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jpeg" ContentType="image/jpeg"/>
  <Default Extension="JPG" ContentType="image/.jpg"/>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2EA24F">
      <w:pPr>
        <w:pStyle w:val="13"/>
        <w:adjustRightInd w:val="0"/>
        <w:snapToGrid w:val="0"/>
        <w:spacing w:line="240" w:lineRule="atLeast"/>
        <w:jc w:val="center"/>
        <w:rPr>
          <w:rFonts w:hAnsi="宋体"/>
          <w:color w:val="auto"/>
          <w:highlight w:val="none"/>
        </w:rPr>
      </w:pPr>
      <w:r>
        <w:rPr>
          <w:color w:val="auto"/>
          <w:highlight w:val="none"/>
        </w:rPr>
        <w:drawing>
          <wp:anchor distT="0" distB="0" distL="114300" distR="114300" simplePos="0" relativeHeight="251660288" behindDoc="0" locked="0" layoutInCell="1" allowOverlap="1">
            <wp:simplePos x="0" y="0"/>
            <wp:positionH relativeFrom="column">
              <wp:posOffset>2200275</wp:posOffset>
            </wp:positionH>
            <wp:positionV relativeFrom="paragraph">
              <wp:posOffset>-50800</wp:posOffset>
            </wp:positionV>
            <wp:extent cx="1599565" cy="1577340"/>
            <wp:effectExtent l="0" t="0" r="635" b="3810"/>
            <wp:wrapNone/>
            <wp:docPr id="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
                    <pic:cNvPicPr>
                      <a:picLocks noChangeAspect="1"/>
                    </pic:cNvPicPr>
                  </pic:nvPicPr>
                  <pic:blipFill>
                    <a:blip r:embed="rId26"/>
                    <a:stretch>
                      <a:fillRect/>
                    </a:stretch>
                  </pic:blipFill>
                  <pic:spPr>
                    <a:xfrm>
                      <a:off x="0" y="0"/>
                      <a:ext cx="1599565" cy="1577340"/>
                    </a:xfrm>
                    <a:prstGeom prst="rect">
                      <a:avLst/>
                    </a:prstGeom>
                    <a:noFill/>
                    <a:ln>
                      <a:noFill/>
                    </a:ln>
                  </pic:spPr>
                </pic:pic>
              </a:graphicData>
            </a:graphic>
          </wp:anchor>
        </w:drawing>
      </w:r>
    </w:p>
    <w:p w14:paraId="3DC54DF4">
      <w:pPr>
        <w:pStyle w:val="13"/>
        <w:adjustRightInd w:val="0"/>
        <w:snapToGrid w:val="0"/>
        <w:spacing w:line="240" w:lineRule="atLeast"/>
        <w:jc w:val="center"/>
        <w:rPr>
          <w:rFonts w:hAnsi="宋体"/>
          <w:color w:val="auto"/>
          <w:highlight w:val="none"/>
        </w:rPr>
      </w:pPr>
    </w:p>
    <w:p w14:paraId="3AE86A67">
      <w:pPr>
        <w:pStyle w:val="13"/>
        <w:adjustRightInd w:val="0"/>
        <w:snapToGrid w:val="0"/>
        <w:spacing w:line="240" w:lineRule="atLeast"/>
        <w:jc w:val="center"/>
        <w:rPr>
          <w:rFonts w:hAnsi="宋体"/>
          <w:color w:val="auto"/>
          <w:highlight w:val="none"/>
        </w:rPr>
      </w:pPr>
    </w:p>
    <w:p w14:paraId="442226A5">
      <w:pPr>
        <w:pStyle w:val="13"/>
        <w:tabs>
          <w:tab w:val="left" w:pos="1336"/>
        </w:tabs>
        <w:adjustRightInd w:val="0"/>
        <w:snapToGrid w:val="0"/>
        <w:spacing w:line="240" w:lineRule="atLeast"/>
        <w:jc w:val="left"/>
        <w:rPr>
          <w:rFonts w:hint="eastAsia" w:hAnsi="宋体" w:eastAsia="宋体"/>
          <w:color w:val="auto"/>
          <w:highlight w:val="none"/>
          <w:lang w:eastAsia="zh-CN"/>
        </w:rPr>
      </w:pPr>
      <w:r>
        <w:rPr>
          <w:rFonts w:hint="eastAsia" w:hAnsi="宋体"/>
          <w:color w:val="auto"/>
          <w:highlight w:val="none"/>
          <w:lang w:eastAsia="zh-CN"/>
        </w:rPr>
        <w:tab/>
      </w:r>
    </w:p>
    <w:p w14:paraId="4D8FD2F3">
      <w:pPr>
        <w:pStyle w:val="13"/>
        <w:adjustRightInd w:val="0"/>
        <w:snapToGrid w:val="0"/>
        <w:spacing w:line="240" w:lineRule="atLeast"/>
        <w:jc w:val="center"/>
        <w:rPr>
          <w:rFonts w:hint="eastAsia" w:ascii="华文中宋" w:hAnsi="华文中宋" w:eastAsia="华文中宋"/>
          <w:b/>
          <w:bCs/>
          <w:color w:val="auto"/>
          <w:sz w:val="84"/>
          <w:szCs w:val="84"/>
          <w:highlight w:val="none"/>
        </w:rPr>
      </w:pPr>
    </w:p>
    <w:p w14:paraId="54AA9C05">
      <w:pPr>
        <w:pStyle w:val="13"/>
        <w:adjustRightInd w:val="0"/>
        <w:snapToGrid w:val="0"/>
        <w:spacing w:line="240" w:lineRule="atLeast"/>
        <w:jc w:val="center"/>
        <w:rPr>
          <w:rFonts w:hint="eastAsia" w:ascii="华文中宋" w:hAnsi="华文中宋" w:eastAsia="华文中宋"/>
          <w:b/>
          <w:bCs/>
          <w:color w:val="auto"/>
          <w:sz w:val="84"/>
          <w:szCs w:val="84"/>
          <w:highlight w:val="none"/>
        </w:rPr>
      </w:pPr>
      <w:r>
        <w:rPr>
          <w:rFonts w:hint="eastAsia" w:ascii="华文中宋" w:hAnsi="华文中宋" w:eastAsia="华文中宋"/>
          <w:b/>
          <w:bCs/>
          <w:color w:val="auto"/>
          <w:sz w:val="84"/>
          <w:szCs w:val="84"/>
          <w:highlight w:val="none"/>
        </w:rPr>
        <w:t>政府采购</w:t>
      </w:r>
    </w:p>
    <w:p w14:paraId="4F5F661D">
      <w:pPr>
        <w:pStyle w:val="13"/>
        <w:adjustRightInd w:val="0"/>
        <w:snapToGrid w:val="0"/>
        <w:spacing w:line="240" w:lineRule="atLeast"/>
        <w:jc w:val="center"/>
        <w:rPr>
          <w:rFonts w:ascii="华文中宋" w:hAnsi="华文中宋" w:eastAsia="华文中宋"/>
          <w:b/>
          <w:bCs/>
          <w:color w:val="auto"/>
          <w:sz w:val="84"/>
          <w:szCs w:val="84"/>
          <w:highlight w:val="none"/>
        </w:rPr>
      </w:pPr>
      <w:r>
        <w:rPr>
          <w:rFonts w:hint="eastAsia" w:ascii="华文中宋" w:hAnsi="华文中宋" w:eastAsia="华文中宋"/>
          <w:b/>
          <w:bCs/>
          <w:color w:val="auto"/>
          <w:sz w:val="84"/>
          <w:szCs w:val="84"/>
          <w:highlight w:val="none"/>
        </w:rPr>
        <w:t>货物项目招标文件</w:t>
      </w:r>
    </w:p>
    <w:p w14:paraId="26E2497D">
      <w:pPr>
        <w:pStyle w:val="13"/>
        <w:adjustRightInd w:val="0"/>
        <w:snapToGrid w:val="0"/>
        <w:spacing w:line="240" w:lineRule="atLeast"/>
        <w:jc w:val="center"/>
        <w:rPr>
          <w:rFonts w:ascii="华文中宋" w:hAnsi="华文中宋" w:eastAsia="华文中宋"/>
          <w:b/>
          <w:bCs/>
          <w:color w:val="auto"/>
          <w:sz w:val="44"/>
          <w:szCs w:val="44"/>
          <w:highlight w:val="none"/>
        </w:rPr>
      </w:pPr>
    </w:p>
    <w:p w14:paraId="4B628310">
      <w:pPr>
        <w:keepNext w:val="0"/>
        <w:keepLines w:val="0"/>
        <w:pageBreakBefore w:val="0"/>
        <w:widowControl w:val="0"/>
        <w:kinsoku/>
        <w:wordWrap/>
        <w:overflowPunct/>
        <w:topLinePunct w:val="0"/>
        <w:autoSpaceDE/>
        <w:autoSpaceDN/>
        <w:bidi w:val="0"/>
        <w:adjustRightInd w:val="0"/>
        <w:snapToGrid w:val="0"/>
        <w:spacing w:line="480" w:lineRule="auto"/>
        <w:textAlignment w:val="auto"/>
        <w:rPr>
          <w:rFonts w:hint="eastAsia" w:ascii="Times New Roman" w:hAnsi="宋体" w:eastAsia="宋体" w:cs="Times New Roman"/>
          <w:b/>
          <w:color w:val="auto"/>
          <w:sz w:val="30"/>
          <w:szCs w:val="30"/>
          <w:highlight w:val="none"/>
        </w:rPr>
      </w:pPr>
    </w:p>
    <w:p w14:paraId="7FE99BB2">
      <w:pPr>
        <w:tabs>
          <w:tab w:val="left" w:pos="720"/>
        </w:tabs>
        <w:spacing w:before="312" w:beforeLines="100" w:line="360" w:lineRule="auto"/>
        <w:ind w:firstLine="643" w:firstLineChars="200"/>
        <w:jc w:val="left"/>
        <w:rPr>
          <w:rFonts w:hint="eastAsia" w:ascii="Times New Roman" w:hAnsi="宋体" w:eastAsia="宋体" w:cs="Times New Roman"/>
          <w:b/>
          <w:color w:val="auto"/>
          <w:sz w:val="32"/>
          <w:szCs w:val="32"/>
          <w:highlight w:val="none"/>
          <w:u w:val="single"/>
          <w:lang w:val="en-US" w:eastAsia="zh-CN"/>
        </w:rPr>
      </w:pPr>
      <w:r>
        <w:rPr>
          <w:rFonts w:hint="eastAsia" w:ascii="Times New Roman" w:hAnsi="宋体" w:eastAsia="宋体" w:cs="Times New Roman"/>
          <w:b/>
          <w:color w:val="auto"/>
          <w:sz w:val="32"/>
          <w:szCs w:val="32"/>
          <w:highlight w:val="none"/>
          <w:lang w:eastAsia="zh-CN"/>
        </w:rPr>
        <w:t>采购项目名称：</w:t>
      </w:r>
      <w:r>
        <w:rPr>
          <w:rFonts w:hint="eastAsia" w:hAnsi="宋体" w:cs="Times New Roman"/>
          <w:b/>
          <w:color w:val="auto"/>
          <w:sz w:val="32"/>
          <w:szCs w:val="32"/>
          <w:highlight w:val="none"/>
          <w:u w:val="single"/>
          <w:lang w:val="en-US" w:eastAsia="zh-CN"/>
        </w:rPr>
        <w:t>株洲市中心医院超长期国债项目第二批设备采购</w:t>
      </w:r>
    </w:p>
    <w:p w14:paraId="7F990916">
      <w:pPr>
        <w:tabs>
          <w:tab w:val="left" w:pos="720"/>
        </w:tabs>
        <w:spacing w:before="312" w:beforeLines="100" w:line="360" w:lineRule="auto"/>
        <w:ind w:firstLine="643" w:firstLineChars="200"/>
        <w:jc w:val="left"/>
        <w:rPr>
          <w:rFonts w:hint="eastAsia" w:hAnsi="宋体" w:cs="Times New Roman"/>
          <w:b/>
          <w:color w:val="auto"/>
          <w:sz w:val="32"/>
          <w:szCs w:val="32"/>
          <w:highlight w:val="none"/>
          <w:u w:val="single"/>
          <w:lang w:val="en-US" w:eastAsia="zh-CN"/>
        </w:rPr>
      </w:pPr>
      <w:r>
        <w:rPr>
          <w:rFonts w:hint="eastAsia" w:hAnsi="宋体" w:cs="Times New Roman"/>
          <w:b/>
          <w:color w:val="auto"/>
          <w:sz w:val="32"/>
          <w:szCs w:val="32"/>
          <w:highlight w:val="none"/>
          <w:lang w:val="en-US" w:eastAsia="zh-CN"/>
        </w:rPr>
        <w:t>政府采购计划编号：</w:t>
      </w:r>
      <w:r>
        <w:rPr>
          <w:rFonts w:hint="eastAsia" w:hAnsi="宋体" w:cs="Times New Roman"/>
          <w:b/>
          <w:color w:val="auto"/>
          <w:sz w:val="32"/>
          <w:szCs w:val="32"/>
          <w:highlight w:val="none"/>
          <w:u w:val="single"/>
          <w:lang w:val="en-US" w:eastAsia="zh-CN"/>
        </w:rPr>
        <w:t>(2026)430200000001-1</w:t>
      </w:r>
    </w:p>
    <w:p w14:paraId="1E56D67A">
      <w:pPr>
        <w:tabs>
          <w:tab w:val="left" w:pos="720"/>
        </w:tabs>
        <w:spacing w:before="312" w:beforeLines="100" w:line="360" w:lineRule="auto"/>
        <w:ind w:firstLine="643" w:firstLineChars="200"/>
        <w:jc w:val="left"/>
        <w:rPr>
          <w:rFonts w:hint="eastAsia" w:ascii="Times New Roman" w:hAnsi="宋体" w:eastAsia="宋体" w:cs="Times New Roman"/>
          <w:b/>
          <w:color w:val="auto"/>
          <w:sz w:val="32"/>
          <w:szCs w:val="32"/>
          <w:highlight w:val="none"/>
          <w:lang w:val="en-US" w:eastAsia="zh-CN"/>
        </w:rPr>
      </w:pPr>
      <w:r>
        <w:rPr>
          <w:rFonts w:hint="eastAsia" w:hAnsi="宋体" w:cs="Times New Roman"/>
          <w:b/>
          <w:color w:val="auto"/>
          <w:sz w:val="32"/>
          <w:szCs w:val="32"/>
          <w:highlight w:val="none"/>
          <w:lang w:val="en-US" w:eastAsia="zh-CN"/>
        </w:rPr>
        <w:t>委托代理编号</w:t>
      </w:r>
      <w:r>
        <w:rPr>
          <w:rFonts w:hint="eastAsia" w:ascii="Times New Roman" w:hAnsi="宋体" w:eastAsia="宋体" w:cs="Times New Roman"/>
          <w:b/>
          <w:color w:val="auto"/>
          <w:sz w:val="32"/>
          <w:szCs w:val="32"/>
          <w:highlight w:val="none"/>
        </w:rPr>
        <w:t>：</w:t>
      </w:r>
      <w:r>
        <w:rPr>
          <w:rFonts w:hint="eastAsia" w:hAnsi="宋体" w:cs="Times New Roman"/>
          <w:b/>
          <w:color w:val="auto"/>
          <w:sz w:val="32"/>
          <w:szCs w:val="32"/>
          <w:highlight w:val="none"/>
          <w:u w:val="single"/>
          <w:lang w:val="en-US" w:eastAsia="zh-CN"/>
        </w:rPr>
        <w:t>HNGH-CG260601</w:t>
      </w:r>
    </w:p>
    <w:p w14:paraId="4B3E4451">
      <w:pPr>
        <w:tabs>
          <w:tab w:val="left" w:pos="720"/>
        </w:tabs>
        <w:spacing w:before="312" w:beforeLines="100" w:line="360" w:lineRule="auto"/>
        <w:ind w:firstLine="643" w:firstLineChars="200"/>
        <w:jc w:val="left"/>
        <w:rPr>
          <w:rFonts w:hint="default" w:ascii="Times New Roman" w:hAnsi="宋体" w:eastAsia="宋体" w:cs="Times New Roman"/>
          <w:b/>
          <w:color w:val="auto"/>
          <w:sz w:val="32"/>
          <w:szCs w:val="32"/>
          <w:highlight w:val="none"/>
          <w:lang w:val="en-US" w:eastAsia="zh-CN"/>
        </w:rPr>
      </w:pPr>
      <w:r>
        <w:rPr>
          <w:rFonts w:hint="eastAsia" w:ascii="Times New Roman" w:hAnsi="宋体" w:eastAsia="宋体" w:cs="Times New Roman"/>
          <w:b/>
          <w:color w:val="auto"/>
          <w:sz w:val="32"/>
          <w:szCs w:val="32"/>
          <w:highlight w:val="none"/>
        </w:rPr>
        <w:t>采   购   人：</w:t>
      </w:r>
      <w:r>
        <w:rPr>
          <w:rFonts w:hint="eastAsia" w:hAnsi="宋体" w:cs="Times New Roman"/>
          <w:b/>
          <w:color w:val="auto"/>
          <w:sz w:val="32"/>
          <w:szCs w:val="32"/>
          <w:highlight w:val="none"/>
          <w:u w:val="single"/>
          <w:lang w:val="en-US" w:eastAsia="zh-CN"/>
        </w:rPr>
        <w:t xml:space="preserve">株洲市中心医院 </w:t>
      </w:r>
    </w:p>
    <w:p w14:paraId="3C7A52D9">
      <w:pPr>
        <w:tabs>
          <w:tab w:val="left" w:pos="720"/>
        </w:tabs>
        <w:spacing w:before="312" w:beforeLines="100" w:line="360" w:lineRule="auto"/>
        <w:ind w:firstLine="643" w:firstLineChars="200"/>
        <w:jc w:val="left"/>
        <w:rPr>
          <w:rFonts w:hint="eastAsia" w:ascii="Times New Roman" w:hAnsi="宋体" w:eastAsia="宋体" w:cs="Times New Roman"/>
          <w:b/>
          <w:color w:val="auto"/>
          <w:sz w:val="32"/>
          <w:szCs w:val="32"/>
          <w:highlight w:val="none"/>
          <w:u w:val="single"/>
        </w:rPr>
      </w:pPr>
      <w:r>
        <w:rPr>
          <w:rFonts w:hint="eastAsia" w:ascii="Times New Roman" w:hAnsi="宋体" w:eastAsia="宋体" w:cs="Times New Roman"/>
          <w:b/>
          <w:color w:val="auto"/>
          <w:sz w:val="32"/>
          <w:szCs w:val="32"/>
          <w:highlight w:val="none"/>
        </w:rPr>
        <w:t>采购代理机构：</w:t>
      </w:r>
      <w:r>
        <w:rPr>
          <w:rFonts w:hint="eastAsia" w:ascii="Times New Roman" w:hAnsi="宋体" w:eastAsia="宋体" w:cs="Times New Roman"/>
          <w:b/>
          <w:color w:val="auto"/>
          <w:sz w:val="32"/>
          <w:szCs w:val="32"/>
          <w:highlight w:val="none"/>
          <w:u w:val="single"/>
          <w:lang w:eastAsia="zh-CN"/>
        </w:rPr>
        <w:t>湖南</w:t>
      </w:r>
      <w:r>
        <w:rPr>
          <w:rFonts w:hint="eastAsia" w:ascii="Times New Roman" w:hAnsi="宋体" w:eastAsia="宋体" w:cs="Times New Roman"/>
          <w:b/>
          <w:color w:val="auto"/>
          <w:sz w:val="32"/>
          <w:szCs w:val="32"/>
          <w:highlight w:val="none"/>
          <w:u w:val="single"/>
          <w:lang w:val="en-US" w:eastAsia="zh-CN"/>
        </w:rPr>
        <w:t>广汇</w:t>
      </w:r>
      <w:r>
        <w:rPr>
          <w:rFonts w:hint="eastAsia" w:ascii="Times New Roman" w:hAnsi="宋体" w:eastAsia="宋体" w:cs="Times New Roman"/>
          <w:b/>
          <w:color w:val="auto"/>
          <w:sz w:val="32"/>
          <w:szCs w:val="32"/>
          <w:highlight w:val="none"/>
          <w:u w:val="single"/>
          <w:lang w:eastAsia="zh-CN"/>
        </w:rPr>
        <w:t>项目管理有限公司</w:t>
      </w:r>
    </w:p>
    <w:p w14:paraId="4D2B716C">
      <w:pPr>
        <w:pStyle w:val="13"/>
        <w:adjustRightInd w:val="0"/>
        <w:snapToGrid w:val="0"/>
        <w:spacing w:line="240" w:lineRule="atLeast"/>
        <w:jc w:val="both"/>
        <w:rPr>
          <w:rFonts w:hAnsi="宋体"/>
          <w:bCs/>
          <w:color w:val="auto"/>
          <w:sz w:val="32"/>
          <w:szCs w:val="32"/>
          <w:highlight w:val="none"/>
        </w:rPr>
      </w:pPr>
    </w:p>
    <w:p w14:paraId="18BCD70A">
      <w:pPr>
        <w:pStyle w:val="13"/>
        <w:adjustRightInd w:val="0"/>
        <w:snapToGrid w:val="0"/>
        <w:spacing w:line="240" w:lineRule="atLeast"/>
        <w:jc w:val="center"/>
        <w:rPr>
          <w:rFonts w:hAnsi="宋体"/>
          <w:bCs/>
          <w:color w:val="auto"/>
          <w:sz w:val="32"/>
          <w:szCs w:val="32"/>
          <w:highlight w:val="none"/>
        </w:rPr>
      </w:pPr>
    </w:p>
    <w:p w14:paraId="7BB5CDF1">
      <w:pPr>
        <w:pStyle w:val="13"/>
        <w:adjustRightInd w:val="0"/>
        <w:snapToGrid w:val="0"/>
        <w:spacing w:line="240" w:lineRule="atLeast"/>
        <w:jc w:val="center"/>
        <w:rPr>
          <w:rFonts w:hAnsi="宋体"/>
          <w:bCs/>
          <w:color w:val="auto"/>
          <w:sz w:val="32"/>
          <w:szCs w:val="32"/>
          <w:highlight w:val="none"/>
        </w:rPr>
      </w:pPr>
    </w:p>
    <w:p w14:paraId="7CEB69A8">
      <w:pPr>
        <w:pStyle w:val="13"/>
        <w:adjustRightInd w:val="0"/>
        <w:snapToGrid w:val="0"/>
        <w:spacing w:line="240" w:lineRule="atLeast"/>
        <w:jc w:val="center"/>
        <w:rPr>
          <w:rFonts w:hint="eastAsia" w:hAnsi="宋体"/>
          <w:b/>
          <w:color w:val="auto"/>
          <w:sz w:val="32"/>
          <w:highlight w:val="none"/>
        </w:rPr>
        <w:sectPr>
          <w:footerReference r:id="rId3" w:type="default"/>
          <w:pgSz w:w="11905" w:h="16839"/>
          <w:pgMar w:top="1238" w:right="1180" w:bottom="1150" w:left="1219" w:header="1337" w:footer="988" w:gutter="0"/>
          <w:pgBorders>
            <w:top w:val="none" w:sz="0" w:space="0"/>
            <w:left w:val="none" w:sz="0" w:space="0"/>
            <w:bottom w:val="none" w:sz="0" w:space="0"/>
            <w:right w:val="none" w:sz="0" w:space="0"/>
          </w:pgBorders>
          <w:pgNumType w:fmt="decimal" w:start="1"/>
          <w:cols w:space="720" w:num="1"/>
        </w:sectPr>
      </w:pPr>
      <w:r>
        <w:rPr>
          <w:rFonts w:hint="eastAsia" w:hAnsi="宋体"/>
          <w:b/>
          <w:color w:val="auto"/>
          <w:sz w:val="32"/>
          <w:highlight w:val="none"/>
        </w:rPr>
        <w:t xml:space="preserve"> </w:t>
      </w:r>
      <w:r>
        <w:rPr>
          <w:rFonts w:hint="eastAsia" w:hAnsi="宋体"/>
          <w:b/>
          <w:color w:val="auto"/>
          <w:sz w:val="32"/>
          <w:highlight w:val="none"/>
          <w:lang w:val="en-US" w:eastAsia="zh-CN"/>
        </w:rPr>
        <w:t>2026</w:t>
      </w:r>
      <w:r>
        <w:rPr>
          <w:rFonts w:hint="eastAsia" w:hAnsi="宋体"/>
          <w:b/>
          <w:color w:val="auto"/>
          <w:sz w:val="32"/>
          <w:highlight w:val="none"/>
        </w:rPr>
        <w:t>年</w:t>
      </w:r>
      <w:r>
        <w:rPr>
          <w:rFonts w:hint="eastAsia" w:hAnsi="宋体"/>
          <w:b/>
          <w:color w:val="auto"/>
          <w:sz w:val="32"/>
          <w:highlight w:val="none"/>
          <w:lang w:val="en-US" w:eastAsia="zh-CN"/>
        </w:rPr>
        <w:t>07</w:t>
      </w:r>
      <w:r>
        <w:rPr>
          <w:rFonts w:hint="eastAsia" w:hAnsi="宋体"/>
          <w:b/>
          <w:color w:val="auto"/>
          <w:sz w:val="32"/>
          <w:highlight w:val="none"/>
        </w:rPr>
        <w:t>月</w:t>
      </w:r>
    </w:p>
    <w:p w14:paraId="0D5A65F6">
      <w:pPr>
        <w:pStyle w:val="13"/>
        <w:adjustRightInd w:val="0"/>
        <w:snapToGrid w:val="0"/>
        <w:spacing w:line="240" w:lineRule="atLeast"/>
        <w:jc w:val="center"/>
        <w:rPr>
          <w:rFonts w:hAnsi="宋体"/>
          <w:bCs/>
          <w:color w:val="auto"/>
          <w:sz w:val="32"/>
          <w:szCs w:val="32"/>
          <w:highlight w:val="none"/>
        </w:rPr>
        <w:sectPr>
          <w:footerReference r:id="rId4" w:type="default"/>
          <w:pgSz w:w="11905" w:h="16839"/>
          <w:pgMar w:top="1238" w:right="1180" w:bottom="1150" w:left="1219" w:header="1337" w:footer="988" w:gutter="0"/>
          <w:pgBorders>
            <w:top w:val="none" w:sz="0" w:space="0"/>
            <w:left w:val="none" w:sz="0" w:space="0"/>
            <w:bottom w:val="none" w:sz="0" w:space="0"/>
            <w:right w:val="none" w:sz="0" w:space="0"/>
          </w:pgBorders>
          <w:pgNumType w:fmt="decimal" w:start="1"/>
          <w:cols w:space="720" w:num="1"/>
        </w:sectPr>
      </w:pPr>
    </w:p>
    <w:p w14:paraId="33E4D047">
      <w:pPr>
        <w:pStyle w:val="13"/>
        <w:adjustRightInd w:val="0"/>
        <w:snapToGrid w:val="0"/>
        <w:spacing w:line="240" w:lineRule="atLeast"/>
        <w:jc w:val="both"/>
        <w:rPr>
          <w:rFonts w:hAnsi="宋体"/>
          <w:b/>
          <w:bCs/>
          <w:color w:val="auto"/>
          <w:sz w:val="32"/>
          <w:szCs w:val="32"/>
          <w:highlight w:val="none"/>
        </w:rPr>
      </w:pPr>
    </w:p>
    <w:p w14:paraId="70FD4BB3">
      <w:pPr>
        <w:pStyle w:val="13"/>
        <w:adjustRightInd w:val="0"/>
        <w:snapToGrid w:val="0"/>
        <w:spacing w:line="240" w:lineRule="atLeast"/>
        <w:jc w:val="both"/>
        <w:rPr>
          <w:rFonts w:hAnsi="宋体"/>
          <w:b/>
          <w:bCs/>
          <w:color w:val="auto"/>
          <w:sz w:val="32"/>
          <w:szCs w:val="32"/>
          <w:highlight w:val="none"/>
        </w:rPr>
      </w:pPr>
    </w:p>
    <w:p w14:paraId="2EB14840">
      <w:pPr>
        <w:pStyle w:val="13"/>
        <w:adjustRightInd w:val="0"/>
        <w:snapToGrid w:val="0"/>
        <w:spacing w:line="360" w:lineRule="auto"/>
        <w:jc w:val="center"/>
        <w:rPr>
          <w:rFonts w:ascii="华文中宋" w:hAnsi="华文中宋" w:eastAsia="华文中宋"/>
          <w:b/>
          <w:color w:val="auto"/>
          <w:spacing w:val="160"/>
          <w:sz w:val="36"/>
          <w:szCs w:val="36"/>
          <w:highlight w:val="none"/>
        </w:rPr>
      </w:pPr>
      <w:r>
        <w:rPr>
          <w:rFonts w:hint="eastAsia" w:ascii="华文中宋" w:hAnsi="华文中宋" w:eastAsia="华文中宋"/>
          <w:b/>
          <w:color w:val="auto"/>
          <w:spacing w:val="160"/>
          <w:sz w:val="36"/>
          <w:szCs w:val="36"/>
          <w:highlight w:val="none"/>
        </w:rPr>
        <w:t>目录</w:t>
      </w:r>
    </w:p>
    <w:p w14:paraId="4804FE2A">
      <w:pPr>
        <w:pStyle w:val="17"/>
        <w:tabs>
          <w:tab w:val="right" w:leader="dot" w:pos="9506"/>
        </w:tabs>
        <w:rPr>
          <w:color w:val="auto"/>
          <w:highlight w:val="none"/>
        </w:rPr>
      </w:pPr>
      <w:r>
        <w:rPr>
          <w:b w:val="0"/>
          <w:color w:val="auto"/>
          <w:highlight w:val="none"/>
        </w:rPr>
        <w:fldChar w:fldCharType="begin"/>
      </w:r>
      <w:r>
        <w:rPr>
          <w:rStyle w:val="28"/>
          <w:b w:val="0"/>
          <w:color w:val="auto"/>
          <w:highlight w:val="none"/>
        </w:rPr>
        <w:instrText xml:space="preserve"> TOC \o "1-4" \h \z \u </w:instrText>
      </w:r>
      <w:r>
        <w:rPr>
          <w:b w:val="0"/>
          <w:color w:val="auto"/>
          <w:highlight w:val="none"/>
        </w:rPr>
        <w:fldChar w:fldCharType="separate"/>
      </w:r>
      <w:r>
        <w:rPr>
          <w:color w:val="auto"/>
          <w:highlight w:val="none"/>
        </w:rPr>
        <w:fldChar w:fldCharType="begin"/>
      </w:r>
      <w:r>
        <w:rPr>
          <w:color w:val="auto"/>
          <w:highlight w:val="none"/>
        </w:rPr>
        <w:instrText xml:space="preserve"> HYPERLINK \l _Toc14388 </w:instrText>
      </w:r>
      <w:r>
        <w:rPr>
          <w:color w:val="auto"/>
          <w:highlight w:val="none"/>
        </w:rPr>
        <w:fldChar w:fldCharType="separate"/>
      </w:r>
      <w:r>
        <w:rPr>
          <w:rFonts w:hint="eastAsia" w:ascii="黑体" w:hAnsi="华文中宋" w:eastAsia="黑体"/>
          <w:color w:val="auto"/>
          <w:szCs w:val="32"/>
          <w:highlight w:val="none"/>
        </w:rPr>
        <w:t>第一章 投标邀请（公开招标）</w:t>
      </w:r>
      <w:r>
        <w:rPr>
          <w:color w:val="auto"/>
          <w:highlight w:val="none"/>
        </w:rPr>
        <w:tab/>
      </w:r>
      <w:r>
        <w:rPr>
          <w:color w:val="auto"/>
          <w:highlight w:val="none"/>
        </w:rPr>
        <w:fldChar w:fldCharType="begin"/>
      </w:r>
      <w:r>
        <w:rPr>
          <w:color w:val="auto"/>
          <w:highlight w:val="none"/>
        </w:rPr>
        <w:instrText xml:space="preserve"> PAGEREF _Toc14388 \h </w:instrText>
      </w:r>
      <w:r>
        <w:rPr>
          <w:color w:val="auto"/>
          <w:highlight w:val="none"/>
        </w:rPr>
        <w:fldChar w:fldCharType="separate"/>
      </w:r>
      <w:r>
        <w:rPr>
          <w:color w:val="auto"/>
          <w:highlight w:val="none"/>
        </w:rPr>
        <w:t>3</w:t>
      </w:r>
      <w:r>
        <w:rPr>
          <w:color w:val="auto"/>
          <w:highlight w:val="none"/>
        </w:rPr>
        <w:fldChar w:fldCharType="end"/>
      </w:r>
      <w:r>
        <w:rPr>
          <w:color w:val="auto"/>
          <w:highlight w:val="none"/>
        </w:rPr>
        <w:fldChar w:fldCharType="end"/>
      </w:r>
    </w:p>
    <w:p w14:paraId="6AC42D28">
      <w:pPr>
        <w:pStyle w:val="17"/>
        <w:tabs>
          <w:tab w:val="right" w:leader="dot" w:pos="9506"/>
        </w:tabs>
        <w:rPr>
          <w:color w:val="auto"/>
          <w:highlight w:val="none"/>
        </w:rPr>
      </w:pPr>
      <w:r>
        <w:rPr>
          <w:rFonts w:ascii="宋体" w:hAnsi="宋体" w:eastAsia="宋体" w:cs="Times New Roman"/>
          <w:color w:val="auto"/>
          <w:highlight w:val="none"/>
        </w:rPr>
        <w:fldChar w:fldCharType="begin"/>
      </w:r>
      <w:r>
        <w:rPr>
          <w:rFonts w:ascii="宋体" w:hAnsi="宋体" w:eastAsia="宋体" w:cs="Times New Roman"/>
          <w:color w:val="auto"/>
          <w:highlight w:val="none"/>
        </w:rPr>
        <w:instrText xml:space="preserve"> HYPERLINK \l _Toc15030 </w:instrText>
      </w:r>
      <w:r>
        <w:rPr>
          <w:rFonts w:ascii="宋体" w:hAnsi="宋体" w:eastAsia="宋体" w:cs="Times New Roman"/>
          <w:color w:val="auto"/>
          <w:highlight w:val="none"/>
        </w:rPr>
        <w:fldChar w:fldCharType="separate"/>
      </w:r>
      <w:r>
        <w:rPr>
          <w:rFonts w:hint="eastAsia" w:ascii="黑体" w:hAnsi="华文中宋" w:eastAsia="黑体"/>
          <w:color w:val="auto"/>
          <w:szCs w:val="32"/>
          <w:highlight w:val="none"/>
        </w:rPr>
        <w:t>第二章 投标须知</w:t>
      </w:r>
      <w:r>
        <w:rPr>
          <w:color w:val="auto"/>
          <w:highlight w:val="none"/>
        </w:rPr>
        <w:tab/>
      </w:r>
      <w:r>
        <w:rPr>
          <w:color w:val="auto"/>
          <w:highlight w:val="none"/>
        </w:rPr>
        <w:fldChar w:fldCharType="begin"/>
      </w:r>
      <w:r>
        <w:rPr>
          <w:color w:val="auto"/>
          <w:highlight w:val="none"/>
        </w:rPr>
        <w:instrText xml:space="preserve"> PAGEREF _Toc15030 \h </w:instrText>
      </w:r>
      <w:r>
        <w:rPr>
          <w:color w:val="auto"/>
          <w:highlight w:val="none"/>
        </w:rPr>
        <w:fldChar w:fldCharType="separate"/>
      </w:r>
      <w:r>
        <w:rPr>
          <w:color w:val="auto"/>
          <w:highlight w:val="none"/>
        </w:rPr>
        <w:t>7</w:t>
      </w:r>
      <w:r>
        <w:rPr>
          <w:color w:val="auto"/>
          <w:highlight w:val="none"/>
        </w:rPr>
        <w:fldChar w:fldCharType="end"/>
      </w:r>
      <w:r>
        <w:rPr>
          <w:rFonts w:ascii="宋体" w:hAnsi="宋体" w:eastAsia="宋体" w:cs="Times New Roman"/>
          <w:color w:val="auto"/>
          <w:highlight w:val="none"/>
        </w:rPr>
        <w:fldChar w:fldCharType="end"/>
      </w:r>
    </w:p>
    <w:p w14:paraId="149A9C32">
      <w:pPr>
        <w:pStyle w:val="20"/>
        <w:tabs>
          <w:tab w:val="right" w:leader="dot" w:pos="9506"/>
        </w:tabs>
        <w:rPr>
          <w:color w:val="auto"/>
          <w:highlight w:val="none"/>
        </w:rPr>
      </w:pPr>
      <w:r>
        <w:rPr>
          <w:rFonts w:ascii="宋体" w:hAnsi="宋体" w:eastAsia="宋体" w:cs="Times New Roman"/>
          <w:color w:val="auto"/>
          <w:highlight w:val="none"/>
        </w:rPr>
        <w:fldChar w:fldCharType="begin"/>
      </w:r>
      <w:r>
        <w:rPr>
          <w:rFonts w:ascii="宋体" w:hAnsi="宋体" w:eastAsia="宋体" w:cs="Times New Roman"/>
          <w:color w:val="auto"/>
          <w:highlight w:val="none"/>
        </w:rPr>
        <w:instrText xml:space="preserve"> HYPERLINK \l _Toc14562 </w:instrText>
      </w:r>
      <w:r>
        <w:rPr>
          <w:rFonts w:ascii="宋体" w:hAnsi="宋体" w:eastAsia="宋体" w:cs="Times New Roman"/>
          <w:color w:val="auto"/>
          <w:highlight w:val="none"/>
        </w:rPr>
        <w:fldChar w:fldCharType="separate"/>
      </w:r>
      <w:r>
        <w:rPr>
          <w:rFonts w:hint="eastAsia" w:ascii="黑体" w:hAnsi="华文中宋" w:eastAsia="黑体"/>
          <w:color w:val="auto"/>
          <w:szCs w:val="28"/>
          <w:highlight w:val="none"/>
        </w:rPr>
        <w:t>第一节 投标须知前附表</w:t>
      </w:r>
      <w:r>
        <w:rPr>
          <w:color w:val="auto"/>
          <w:highlight w:val="none"/>
        </w:rPr>
        <w:tab/>
      </w:r>
      <w:r>
        <w:rPr>
          <w:color w:val="auto"/>
          <w:highlight w:val="none"/>
        </w:rPr>
        <w:fldChar w:fldCharType="begin"/>
      </w:r>
      <w:r>
        <w:rPr>
          <w:color w:val="auto"/>
          <w:highlight w:val="none"/>
        </w:rPr>
        <w:instrText xml:space="preserve"> PAGEREF _Toc14562 \h </w:instrText>
      </w:r>
      <w:r>
        <w:rPr>
          <w:color w:val="auto"/>
          <w:highlight w:val="none"/>
        </w:rPr>
        <w:fldChar w:fldCharType="separate"/>
      </w:r>
      <w:r>
        <w:rPr>
          <w:color w:val="auto"/>
          <w:highlight w:val="none"/>
        </w:rPr>
        <w:t>7</w:t>
      </w:r>
      <w:r>
        <w:rPr>
          <w:color w:val="auto"/>
          <w:highlight w:val="none"/>
        </w:rPr>
        <w:fldChar w:fldCharType="end"/>
      </w:r>
      <w:r>
        <w:rPr>
          <w:rFonts w:ascii="宋体" w:hAnsi="宋体" w:eastAsia="宋体" w:cs="Times New Roman"/>
          <w:color w:val="auto"/>
          <w:highlight w:val="none"/>
        </w:rPr>
        <w:fldChar w:fldCharType="end"/>
      </w:r>
    </w:p>
    <w:p w14:paraId="5577657A">
      <w:pPr>
        <w:pStyle w:val="20"/>
        <w:tabs>
          <w:tab w:val="right" w:leader="dot" w:pos="9506"/>
        </w:tabs>
        <w:rPr>
          <w:color w:val="auto"/>
          <w:highlight w:val="none"/>
        </w:rPr>
      </w:pPr>
      <w:r>
        <w:rPr>
          <w:rFonts w:ascii="宋体" w:hAnsi="宋体" w:eastAsia="宋体" w:cs="Times New Roman"/>
          <w:color w:val="auto"/>
          <w:highlight w:val="none"/>
        </w:rPr>
        <w:fldChar w:fldCharType="begin"/>
      </w:r>
      <w:r>
        <w:rPr>
          <w:rFonts w:ascii="宋体" w:hAnsi="宋体" w:eastAsia="宋体" w:cs="Times New Roman"/>
          <w:color w:val="auto"/>
          <w:highlight w:val="none"/>
        </w:rPr>
        <w:instrText xml:space="preserve"> HYPERLINK \l _Toc1972 </w:instrText>
      </w:r>
      <w:r>
        <w:rPr>
          <w:rFonts w:ascii="宋体" w:hAnsi="宋体" w:eastAsia="宋体" w:cs="Times New Roman"/>
          <w:color w:val="auto"/>
          <w:highlight w:val="none"/>
        </w:rPr>
        <w:fldChar w:fldCharType="separate"/>
      </w:r>
      <w:r>
        <w:rPr>
          <w:rFonts w:hint="eastAsia" w:ascii="黑体" w:hAnsi="黑体" w:eastAsia="黑体"/>
          <w:color w:val="auto"/>
          <w:szCs w:val="28"/>
          <w:highlight w:val="none"/>
        </w:rPr>
        <w:t>第二节 投标须知</w:t>
      </w:r>
      <w:r>
        <w:rPr>
          <w:color w:val="auto"/>
          <w:highlight w:val="none"/>
        </w:rPr>
        <w:tab/>
      </w:r>
      <w:r>
        <w:rPr>
          <w:color w:val="auto"/>
          <w:highlight w:val="none"/>
        </w:rPr>
        <w:fldChar w:fldCharType="begin"/>
      </w:r>
      <w:r>
        <w:rPr>
          <w:color w:val="auto"/>
          <w:highlight w:val="none"/>
        </w:rPr>
        <w:instrText xml:space="preserve"> PAGEREF _Toc1972 \h </w:instrText>
      </w:r>
      <w:r>
        <w:rPr>
          <w:color w:val="auto"/>
          <w:highlight w:val="none"/>
        </w:rPr>
        <w:fldChar w:fldCharType="separate"/>
      </w:r>
      <w:r>
        <w:rPr>
          <w:color w:val="auto"/>
          <w:highlight w:val="none"/>
        </w:rPr>
        <w:t>20</w:t>
      </w:r>
      <w:r>
        <w:rPr>
          <w:color w:val="auto"/>
          <w:highlight w:val="none"/>
        </w:rPr>
        <w:fldChar w:fldCharType="end"/>
      </w:r>
      <w:r>
        <w:rPr>
          <w:rFonts w:ascii="宋体" w:hAnsi="宋体" w:eastAsia="宋体" w:cs="Times New Roman"/>
          <w:color w:val="auto"/>
          <w:highlight w:val="none"/>
        </w:rPr>
        <w:fldChar w:fldCharType="end"/>
      </w:r>
    </w:p>
    <w:p w14:paraId="1C502FF5">
      <w:pPr>
        <w:pStyle w:val="17"/>
        <w:tabs>
          <w:tab w:val="right" w:leader="dot" w:pos="9506"/>
        </w:tabs>
        <w:rPr>
          <w:color w:val="auto"/>
          <w:highlight w:val="none"/>
        </w:rPr>
      </w:pPr>
      <w:r>
        <w:rPr>
          <w:rFonts w:ascii="宋体" w:hAnsi="宋体" w:eastAsia="宋体" w:cs="Times New Roman"/>
          <w:color w:val="auto"/>
          <w:highlight w:val="none"/>
        </w:rPr>
        <w:fldChar w:fldCharType="begin"/>
      </w:r>
      <w:r>
        <w:rPr>
          <w:rFonts w:ascii="宋体" w:hAnsi="宋体" w:eastAsia="宋体" w:cs="Times New Roman"/>
          <w:color w:val="auto"/>
          <w:highlight w:val="none"/>
        </w:rPr>
        <w:instrText xml:space="preserve"> HYPERLINK \l _Toc8452 </w:instrText>
      </w:r>
      <w:r>
        <w:rPr>
          <w:rFonts w:ascii="宋体" w:hAnsi="宋体" w:eastAsia="宋体" w:cs="Times New Roman"/>
          <w:color w:val="auto"/>
          <w:highlight w:val="none"/>
        </w:rPr>
        <w:fldChar w:fldCharType="separate"/>
      </w:r>
      <w:r>
        <w:rPr>
          <w:rFonts w:hint="eastAsia" w:ascii="黑体" w:hAnsi="黑体" w:eastAsia="黑体"/>
          <w:color w:val="auto"/>
          <w:szCs w:val="32"/>
          <w:highlight w:val="none"/>
        </w:rPr>
        <w:t>第三章 资格审查</w:t>
      </w:r>
      <w:r>
        <w:rPr>
          <w:color w:val="auto"/>
          <w:highlight w:val="none"/>
        </w:rPr>
        <w:tab/>
      </w:r>
      <w:r>
        <w:rPr>
          <w:color w:val="auto"/>
          <w:highlight w:val="none"/>
        </w:rPr>
        <w:fldChar w:fldCharType="begin"/>
      </w:r>
      <w:r>
        <w:rPr>
          <w:color w:val="auto"/>
          <w:highlight w:val="none"/>
        </w:rPr>
        <w:instrText xml:space="preserve"> PAGEREF _Toc8452 \h </w:instrText>
      </w:r>
      <w:r>
        <w:rPr>
          <w:color w:val="auto"/>
          <w:highlight w:val="none"/>
        </w:rPr>
        <w:fldChar w:fldCharType="separate"/>
      </w:r>
      <w:r>
        <w:rPr>
          <w:color w:val="auto"/>
          <w:highlight w:val="none"/>
        </w:rPr>
        <w:t>34</w:t>
      </w:r>
      <w:r>
        <w:rPr>
          <w:color w:val="auto"/>
          <w:highlight w:val="none"/>
        </w:rPr>
        <w:fldChar w:fldCharType="end"/>
      </w:r>
      <w:r>
        <w:rPr>
          <w:rFonts w:ascii="宋体" w:hAnsi="宋体" w:eastAsia="宋体" w:cs="Times New Roman"/>
          <w:color w:val="auto"/>
          <w:highlight w:val="none"/>
        </w:rPr>
        <w:fldChar w:fldCharType="end"/>
      </w:r>
    </w:p>
    <w:p w14:paraId="095EEB51">
      <w:pPr>
        <w:pStyle w:val="17"/>
        <w:tabs>
          <w:tab w:val="right" w:leader="dot" w:pos="9506"/>
        </w:tabs>
        <w:rPr>
          <w:color w:val="auto"/>
          <w:highlight w:val="none"/>
        </w:rPr>
      </w:pPr>
      <w:r>
        <w:rPr>
          <w:rFonts w:ascii="宋体" w:hAnsi="宋体" w:eastAsia="宋体" w:cs="Times New Roman"/>
          <w:color w:val="auto"/>
          <w:highlight w:val="none"/>
        </w:rPr>
        <w:fldChar w:fldCharType="begin"/>
      </w:r>
      <w:r>
        <w:rPr>
          <w:rFonts w:ascii="宋体" w:hAnsi="宋体" w:eastAsia="宋体" w:cs="Times New Roman"/>
          <w:color w:val="auto"/>
          <w:highlight w:val="none"/>
        </w:rPr>
        <w:instrText xml:space="preserve"> HYPERLINK \l _Toc20055 </w:instrText>
      </w:r>
      <w:r>
        <w:rPr>
          <w:rFonts w:ascii="宋体" w:hAnsi="宋体" w:eastAsia="宋体" w:cs="Times New Roman"/>
          <w:color w:val="auto"/>
          <w:highlight w:val="none"/>
        </w:rPr>
        <w:fldChar w:fldCharType="separate"/>
      </w:r>
      <w:r>
        <w:rPr>
          <w:rFonts w:hint="eastAsia" w:ascii="黑体" w:hAnsi="华文中宋" w:eastAsia="黑体"/>
          <w:color w:val="auto"/>
          <w:szCs w:val="32"/>
          <w:highlight w:val="none"/>
        </w:rPr>
        <w:t>第四章 评标方法及标准</w:t>
      </w:r>
      <w:r>
        <w:rPr>
          <w:color w:val="auto"/>
          <w:highlight w:val="none"/>
        </w:rPr>
        <w:tab/>
      </w:r>
      <w:r>
        <w:rPr>
          <w:color w:val="auto"/>
          <w:highlight w:val="none"/>
        </w:rPr>
        <w:fldChar w:fldCharType="begin"/>
      </w:r>
      <w:r>
        <w:rPr>
          <w:color w:val="auto"/>
          <w:highlight w:val="none"/>
        </w:rPr>
        <w:instrText xml:space="preserve"> PAGEREF _Toc20055 \h </w:instrText>
      </w:r>
      <w:r>
        <w:rPr>
          <w:color w:val="auto"/>
          <w:highlight w:val="none"/>
        </w:rPr>
        <w:fldChar w:fldCharType="separate"/>
      </w:r>
      <w:r>
        <w:rPr>
          <w:color w:val="auto"/>
          <w:highlight w:val="none"/>
        </w:rPr>
        <w:t>39</w:t>
      </w:r>
      <w:r>
        <w:rPr>
          <w:color w:val="auto"/>
          <w:highlight w:val="none"/>
        </w:rPr>
        <w:fldChar w:fldCharType="end"/>
      </w:r>
      <w:r>
        <w:rPr>
          <w:rFonts w:ascii="宋体" w:hAnsi="宋体" w:eastAsia="宋体" w:cs="Times New Roman"/>
          <w:color w:val="auto"/>
          <w:highlight w:val="none"/>
        </w:rPr>
        <w:fldChar w:fldCharType="end"/>
      </w:r>
    </w:p>
    <w:p w14:paraId="60486ED3">
      <w:pPr>
        <w:pStyle w:val="20"/>
        <w:tabs>
          <w:tab w:val="right" w:leader="dot" w:pos="9506"/>
        </w:tabs>
        <w:rPr>
          <w:color w:val="auto"/>
          <w:highlight w:val="none"/>
        </w:rPr>
      </w:pPr>
      <w:r>
        <w:rPr>
          <w:rFonts w:ascii="宋体" w:hAnsi="宋体" w:eastAsia="宋体" w:cs="Times New Roman"/>
          <w:color w:val="auto"/>
          <w:highlight w:val="none"/>
        </w:rPr>
        <w:fldChar w:fldCharType="begin"/>
      </w:r>
      <w:r>
        <w:rPr>
          <w:rFonts w:ascii="宋体" w:hAnsi="宋体" w:eastAsia="宋体" w:cs="Times New Roman"/>
          <w:color w:val="auto"/>
          <w:highlight w:val="none"/>
        </w:rPr>
        <w:instrText xml:space="preserve"> HYPERLINK \l _Toc15124 </w:instrText>
      </w:r>
      <w:r>
        <w:rPr>
          <w:rFonts w:ascii="宋体" w:hAnsi="宋体" w:eastAsia="宋体" w:cs="Times New Roman"/>
          <w:color w:val="auto"/>
          <w:highlight w:val="none"/>
        </w:rPr>
        <w:fldChar w:fldCharType="separate"/>
      </w:r>
      <w:r>
        <w:rPr>
          <w:rFonts w:hint="eastAsia" w:ascii="黑体" w:hAnsi="华文中宋" w:eastAsia="黑体"/>
          <w:color w:val="auto"/>
          <w:szCs w:val="28"/>
          <w:highlight w:val="none"/>
        </w:rPr>
        <w:t>第一节 评标方法及标准前附表</w:t>
      </w:r>
      <w:r>
        <w:rPr>
          <w:color w:val="auto"/>
          <w:highlight w:val="none"/>
        </w:rPr>
        <w:tab/>
      </w:r>
      <w:r>
        <w:rPr>
          <w:color w:val="auto"/>
          <w:highlight w:val="none"/>
        </w:rPr>
        <w:fldChar w:fldCharType="begin"/>
      </w:r>
      <w:r>
        <w:rPr>
          <w:color w:val="auto"/>
          <w:highlight w:val="none"/>
        </w:rPr>
        <w:instrText xml:space="preserve"> PAGEREF _Toc15124 \h </w:instrText>
      </w:r>
      <w:r>
        <w:rPr>
          <w:color w:val="auto"/>
          <w:highlight w:val="none"/>
        </w:rPr>
        <w:fldChar w:fldCharType="separate"/>
      </w:r>
      <w:r>
        <w:rPr>
          <w:color w:val="auto"/>
          <w:highlight w:val="none"/>
        </w:rPr>
        <w:t>39</w:t>
      </w:r>
      <w:r>
        <w:rPr>
          <w:color w:val="auto"/>
          <w:highlight w:val="none"/>
        </w:rPr>
        <w:fldChar w:fldCharType="end"/>
      </w:r>
      <w:r>
        <w:rPr>
          <w:rFonts w:ascii="宋体" w:hAnsi="宋体" w:eastAsia="宋体" w:cs="Times New Roman"/>
          <w:color w:val="auto"/>
          <w:highlight w:val="none"/>
        </w:rPr>
        <w:fldChar w:fldCharType="end"/>
      </w:r>
    </w:p>
    <w:p w14:paraId="0034AF05">
      <w:pPr>
        <w:pStyle w:val="20"/>
        <w:tabs>
          <w:tab w:val="right" w:leader="dot" w:pos="9506"/>
        </w:tabs>
        <w:rPr>
          <w:color w:val="auto"/>
          <w:highlight w:val="none"/>
        </w:rPr>
      </w:pPr>
      <w:r>
        <w:rPr>
          <w:rFonts w:ascii="宋体" w:hAnsi="宋体" w:eastAsia="宋体" w:cs="Times New Roman"/>
          <w:color w:val="auto"/>
          <w:highlight w:val="none"/>
        </w:rPr>
        <w:fldChar w:fldCharType="begin"/>
      </w:r>
      <w:r>
        <w:rPr>
          <w:rFonts w:ascii="宋体" w:hAnsi="宋体" w:eastAsia="宋体" w:cs="Times New Roman"/>
          <w:color w:val="auto"/>
          <w:highlight w:val="none"/>
        </w:rPr>
        <w:instrText xml:space="preserve"> HYPERLINK \l _Toc17329 </w:instrText>
      </w:r>
      <w:r>
        <w:rPr>
          <w:rFonts w:ascii="宋体" w:hAnsi="宋体" w:eastAsia="宋体" w:cs="Times New Roman"/>
          <w:color w:val="auto"/>
          <w:highlight w:val="none"/>
        </w:rPr>
        <w:fldChar w:fldCharType="separate"/>
      </w:r>
      <w:r>
        <w:rPr>
          <w:rFonts w:hint="eastAsia" w:ascii="黑体" w:hAnsi="华文中宋" w:eastAsia="黑体"/>
          <w:color w:val="auto"/>
          <w:szCs w:val="28"/>
          <w:highlight w:val="none"/>
        </w:rPr>
        <w:t>第二节 评标方法及标准</w:t>
      </w:r>
      <w:r>
        <w:rPr>
          <w:color w:val="auto"/>
          <w:highlight w:val="none"/>
        </w:rPr>
        <w:tab/>
      </w:r>
      <w:r>
        <w:rPr>
          <w:color w:val="auto"/>
          <w:highlight w:val="none"/>
        </w:rPr>
        <w:fldChar w:fldCharType="begin"/>
      </w:r>
      <w:r>
        <w:rPr>
          <w:color w:val="auto"/>
          <w:highlight w:val="none"/>
        </w:rPr>
        <w:instrText xml:space="preserve"> PAGEREF _Toc17329 \h </w:instrText>
      </w:r>
      <w:r>
        <w:rPr>
          <w:color w:val="auto"/>
          <w:highlight w:val="none"/>
        </w:rPr>
        <w:fldChar w:fldCharType="separate"/>
      </w:r>
      <w:r>
        <w:rPr>
          <w:color w:val="auto"/>
          <w:highlight w:val="none"/>
        </w:rPr>
        <w:t>42</w:t>
      </w:r>
      <w:r>
        <w:rPr>
          <w:color w:val="auto"/>
          <w:highlight w:val="none"/>
        </w:rPr>
        <w:fldChar w:fldCharType="end"/>
      </w:r>
      <w:r>
        <w:rPr>
          <w:rFonts w:ascii="宋体" w:hAnsi="宋体" w:eastAsia="宋体" w:cs="Times New Roman"/>
          <w:color w:val="auto"/>
          <w:highlight w:val="none"/>
        </w:rPr>
        <w:fldChar w:fldCharType="end"/>
      </w:r>
    </w:p>
    <w:p w14:paraId="497014E3">
      <w:pPr>
        <w:pStyle w:val="20"/>
        <w:tabs>
          <w:tab w:val="right" w:leader="dot" w:pos="9506"/>
        </w:tabs>
        <w:rPr>
          <w:color w:val="auto"/>
          <w:highlight w:val="none"/>
        </w:rPr>
      </w:pPr>
      <w:r>
        <w:rPr>
          <w:rFonts w:ascii="宋体" w:hAnsi="宋体" w:eastAsia="宋体" w:cs="Times New Roman"/>
          <w:color w:val="auto"/>
          <w:highlight w:val="none"/>
        </w:rPr>
        <w:fldChar w:fldCharType="begin"/>
      </w:r>
      <w:r>
        <w:rPr>
          <w:rFonts w:ascii="宋体" w:hAnsi="宋体" w:eastAsia="宋体" w:cs="Times New Roman"/>
          <w:color w:val="auto"/>
          <w:highlight w:val="none"/>
        </w:rPr>
        <w:instrText xml:space="preserve"> HYPERLINK \l _Toc31668 </w:instrText>
      </w:r>
      <w:r>
        <w:rPr>
          <w:rFonts w:ascii="宋体" w:hAnsi="宋体" w:eastAsia="宋体" w:cs="Times New Roman"/>
          <w:color w:val="auto"/>
          <w:highlight w:val="none"/>
        </w:rPr>
        <w:fldChar w:fldCharType="separate"/>
      </w:r>
      <w:r>
        <w:rPr>
          <w:rFonts w:hint="eastAsia" w:ascii="黑体" w:hAnsi="华文中宋" w:eastAsia="黑体"/>
          <w:color w:val="auto"/>
          <w:szCs w:val="28"/>
          <w:highlight w:val="none"/>
        </w:rPr>
        <w:t>第三节 投标文件的符合性审查</w:t>
      </w:r>
      <w:r>
        <w:rPr>
          <w:color w:val="auto"/>
          <w:highlight w:val="none"/>
        </w:rPr>
        <w:tab/>
      </w:r>
      <w:r>
        <w:rPr>
          <w:color w:val="auto"/>
          <w:highlight w:val="none"/>
        </w:rPr>
        <w:fldChar w:fldCharType="begin"/>
      </w:r>
      <w:r>
        <w:rPr>
          <w:color w:val="auto"/>
          <w:highlight w:val="none"/>
        </w:rPr>
        <w:instrText xml:space="preserve"> PAGEREF _Toc31668 \h </w:instrText>
      </w:r>
      <w:r>
        <w:rPr>
          <w:color w:val="auto"/>
          <w:highlight w:val="none"/>
        </w:rPr>
        <w:fldChar w:fldCharType="separate"/>
      </w:r>
      <w:r>
        <w:rPr>
          <w:color w:val="auto"/>
          <w:highlight w:val="none"/>
        </w:rPr>
        <w:t>47</w:t>
      </w:r>
      <w:r>
        <w:rPr>
          <w:color w:val="auto"/>
          <w:highlight w:val="none"/>
        </w:rPr>
        <w:fldChar w:fldCharType="end"/>
      </w:r>
      <w:r>
        <w:rPr>
          <w:rFonts w:ascii="宋体" w:hAnsi="宋体" w:eastAsia="宋体" w:cs="Times New Roman"/>
          <w:color w:val="auto"/>
          <w:highlight w:val="none"/>
        </w:rPr>
        <w:fldChar w:fldCharType="end"/>
      </w:r>
    </w:p>
    <w:p w14:paraId="305CAF85">
      <w:pPr>
        <w:pStyle w:val="20"/>
        <w:tabs>
          <w:tab w:val="right" w:leader="dot" w:pos="9506"/>
        </w:tabs>
        <w:rPr>
          <w:color w:val="auto"/>
          <w:highlight w:val="none"/>
        </w:rPr>
      </w:pPr>
      <w:r>
        <w:rPr>
          <w:rFonts w:ascii="宋体" w:hAnsi="宋体" w:eastAsia="宋体" w:cs="Times New Roman"/>
          <w:color w:val="auto"/>
          <w:highlight w:val="none"/>
        </w:rPr>
        <w:fldChar w:fldCharType="begin"/>
      </w:r>
      <w:r>
        <w:rPr>
          <w:rFonts w:ascii="宋体" w:hAnsi="宋体" w:eastAsia="宋体" w:cs="Times New Roman"/>
          <w:color w:val="auto"/>
          <w:highlight w:val="none"/>
        </w:rPr>
        <w:instrText xml:space="preserve"> HYPERLINK \l _Toc17158 </w:instrText>
      </w:r>
      <w:r>
        <w:rPr>
          <w:rFonts w:ascii="宋体" w:hAnsi="宋体" w:eastAsia="宋体" w:cs="Times New Roman"/>
          <w:color w:val="auto"/>
          <w:highlight w:val="none"/>
        </w:rPr>
        <w:fldChar w:fldCharType="separate"/>
      </w:r>
      <w:r>
        <w:rPr>
          <w:rFonts w:hint="eastAsia" w:ascii="黑体" w:hAnsi="华文中宋" w:eastAsia="黑体"/>
          <w:color w:val="auto"/>
          <w:szCs w:val="28"/>
          <w:highlight w:val="none"/>
        </w:rPr>
        <w:t>第四节 投标文件的比较与评价（综合评分法）</w:t>
      </w:r>
      <w:r>
        <w:rPr>
          <w:color w:val="auto"/>
          <w:highlight w:val="none"/>
        </w:rPr>
        <w:tab/>
      </w:r>
      <w:r>
        <w:rPr>
          <w:color w:val="auto"/>
          <w:highlight w:val="none"/>
        </w:rPr>
        <w:fldChar w:fldCharType="begin"/>
      </w:r>
      <w:r>
        <w:rPr>
          <w:color w:val="auto"/>
          <w:highlight w:val="none"/>
        </w:rPr>
        <w:instrText xml:space="preserve"> PAGEREF _Toc17158 \h </w:instrText>
      </w:r>
      <w:r>
        <w:rPr>
          <w:color w:val="auto"/>
          <w:highlight w:val="none"/>
        </w:rPr>
        <w:fldChar w:fldCharType="separate"/>
      </w:r>
      <w:r>
        <w:rPr>
          <w:color w:val="auto"/>
          <w:highlight w:val="none"/>
        </w:rPr>
        <w:t>51</w:t>
      </w:r>
      <w:r>
        <w:rPr>
          <w:color w:val="auto"/>
          <w:highlight w:val="none"/>
        </w:rPr>
        <w:fldChar w:fldCharType="end"/>
      </w:r>
      <w:r>
        <w:rPr>
          <w:rFonts w:ascii="宋体" w:hAnsi="宋体" w:eastAsia="宋体" w:cs="Times New Roman"/>
          <w:color w:val="auto"/>
          <w:highlight w:val="none"/>
        </w:rPr>
        <w:fldChar w:fldCharType="end"/>
      </w:r>
    </w:p>
    <w:p w14:paraId="137224F6">
      <w:pPr>
        <w:pStyle w:val="17"/>
        <w:tabs>
          <w:tab w:val="right" w:leader="dot" w:pos="9506"/>
        </w:tabs>
        <w:rPr>
          <w:color w:val="auto"/>
          <w:highlight w:val="none"/>
        </w:rPr>
      </w:pPr>
      <w:r>
        <w:rPr>
          <w:rFonts w:ascii="宋体" w:hAnsi="宋体" w:eastAsia="宋体" w:cs="Times New Roman"/>
          <w:color w:val="auto"/>
          <w:highlight w:val="none"/>
        </w:rPr>
        <w:fldChar w:fldCharType="begin"/>
      </w:r>
      <w:r>
        <w:rPr>
          <w:rFonts w:ascii="宋体" w:hAnsi="宋体" w:eastAsia="宋体" w:cs="Times New Roman"/>
          <w:color w:val="auto"/>
          <w:highlight w:val="none"/>
        </w:rPr>
        <w:instrText xml:space="preserve"> HYPERLINK \l _Toc26788 </w:instrText>
      </w:r>
      <w:r>
        <w:rPr>
          <w:rFonts w:ascii="宋体" w:hAnsi="宋体" w:eastAsia="宋体" w:cs="Times New Roman"/>
          <w:color w:val="auto"/>
          <w:highlight w:val="none"/>
        </w:rPr>
        <w:fldChar w:fldCharType="separate"/>
      </w:r>
      <w:r>
        <w:rPr>
          <w:rFonts w:hint="eastAsia" w:ascii="宋体" w:hAnsi="宋体" w:cs="宋体"/>
          <w:color w:val="auto"/>
          <w:szCs w:val="32"/>
          <w:highlight w:val="none"/>
        </w:rPr>
        <w:t>第五章 采购需求</w:t>
      </w:r>
      <w:r>
        <w:rPr>
          <w:color w:val="auto"/>
          <w:highlight w:val="none"/>
        </w:rPr>
        <w:tab/>
      </w:r>
      <w:r>
        <w:rPr>
          <w:color w:val="auto"/>
          <w:highlight w:val="none"/>
        </w:rPr>
        <w:fldChar w:fldCharType="begin"/>
      </w:r>
      <w:r>
        <w:rPr>
          <w:color w:val="auto"/>
          <w:highlight w:val="none"/>
        </w:rPr>
        <w:instrText xml:space="preserve"> PAGEREF _Toc26788 \h </w:instrText>
      </w:r>
      <w:r>
        <w:rPr>
          <w:color w:val="auto"/>
          <w:highlight w:val="none"/>
        </w:rPr>
        <w:fldChar w:fldCharType="separate"/>
      </w:r>
      <w:r>
        <w:rPr>
          <w:color w:val="auto"/>
          <w:highlight w:val="none"/>
        </w:rPr>
        <w:t>56</w:t>
      </w:r>
      <w:r>
        <w:rPr>
          <w:color w:val="auto"/>
          <w:highlight w:val="none"/>
        </w:rPr>
        <w:fldChar w:fldCharType="end"/>
      </w:r>
      <w:r>
        <w:rPr>
          <w:rFonts w:ascii="宋体" w:hAnsi="宋体" w:eastAsia="宋体" w:cs="Times New Roman"/>
          <w:color w:val="auto"/>
          <w:highlight w:val="none"/>
        </w:rPr>
        <w:fldChar w:fldCharType="end"/>
      </w:r>
    </w:p>
    <w:p w14:paraId="69453111">
      <w:pPr>
        <w:pStyle w:val="20"/>
        <w:tabs>
          <w:tab w:val="right" w:leader="dot" w:pos="9506"/>
        </w:tabs>
        <w:rPr>
          <w:color w:val="auto"/>
          <w:highlight w:val="none"/>
        </w:rPr>
      </w:pPr>
      <w:r>
        <w:rPr>
          <w:rFonts w:ascii="宋体" w:hAnsi="宋体" w:eastAsia="宋体" w:cs="Times New Roman"/>
          <w:color w:val="auto"/>
          <w:highlight w:val="none"/>
        </w:rPr>
        <w:fldChar w:fldCharType="begin"/>
      </w:r>
      <w:r>
        <w:rPr>
          <w:rFonts w:ascii="宋体" w:hAnsi="宋体" w:eastAsia="宋体" w:cs="Times New Roman"/>
          <w:color w:val="auto"/>
          <w:highlight w:val="none"/>
        </w:rPr>
        <w:instrText xml:space="preserve"> HYPERLINK \l _Toc8750 </w:instrText>
      </w:r>
      <w:r>
        <w:rPr>
          <w:rFonts w:ascii="宋体" w:hAnsi="宋体" w:eastAsia="宋体" w:cs="Times New Roman"/>
          <w:color w:val="auto"/>
          <w:highlight w:val="none"/>
        </w:rPr>
        <w:fldChar w:fldCharType="separate"/>
      </w:r>
      <w:r>
        <w:rPr>
          <w:rFonts w:hint="eastAsia" w:ascii="黑体" w:hAnsi="黑体" w:eastAsia="黑体"/>
          <w:color w:val="auto"/>
          <w:szCs w:val="28"/>
          <w:highlight w:val="none"/>
        </w:rPr>
        <w:t>第一节 采购清单一览表</w:t>
      </w:r>
      <w:r>
        <w:rPr>
          <w:color w:val="auto"/>
          <w:highlight w:val="none"/>
        </w:rPr>
        <w:tab/>
      </w:r>
      <w:r>
        <w:rPr>
          <w:color w:val="auto"/>
          <w:highlight w:val="none"/>
        </w:rPr>
        <w:fldChar w:fldCharType="begin"/>
      </w:r>
      <w:r>
        <w:rPr>
          <w:color w:val="auto"/>
          <w:highlight w:val="none"/>
        </w:rPr>
        <w:instrText xml:space="preserve"> PAGEREF _Toc8750 \h </w:instrText>
      </w:r>
      <w:r>
        <w:rPr>
          <w:color w:val="auto"/>
          <w:highlight w:val="none"/>
        </w:rPr>
        <w:fldChar w:fldCharType="separate"/>
      </w:r>
      <w:r>
        <w:rPr>
          <w:color w:val="auto"/>
          <w:highlight w:val="none"/>
        </w:rPr>
        <w:t>56</w:t>
      </w:r>
      <w:r>
        <w:rPr>
          <w:color w:val="auto"/>
          <w:highlight w:val="none"/>
        </w:rPr>
        <w:fldChar w:fldCharType="end"/>
      </w:r>
      <w:r>
        <w:rPr>
          <w:rFonts w:ascii="宋体" w:hAnsi="宋体" w:eastAsia="宋体" w:cs="Times New Roman"/>
          <w:color w:val="auto"/>
          <w:highlight w:val="none"/>
        </w:rPr>
        <w:fldChar w:fldCharType="end"/>
      </w:r>
    </w:p>
    <w:p w14:paraId="5CED5344">
      <w:pPr>
        <w:pStyle w:val="20"/>
        <w:tabs>
          <w:tab w:val="right" w:leader="dot" w:pos="9506"/>
        </w:tabs>
        <w:rPr>
          <w:color w:val="auto"/>
          <w:highlight w:val="none"/>
        </w:rPr>
      </w:pPr>
      <w:r>
        <w:rPr>
          <w:rFonts w:ascii="宋体" w:hAnsi="宋体" w:eastAsia="宋体" w:cs="Times New Roman"/>
          <w:color w:val="auto"/>
          <w:highlight w:val="none"/>
        </w:rPr>
        <w:fldChar w:fldCharType="begin"/>
      </w:r>
      <w:r>
        <w:rPr>
          <w:rFonts w:ascii="宋体" w:hAnsi="宋体" w:eastAsia="宋体" w:cs="Times New Roman"/>
          <w:color w:val="auto"/>
          <w:highlight w:val="none"/>
        </w:rPr>
        <w:instrText xml:space="preserve"> HYPERLINK \l _Toc25758 </w:instrText>
      </w:r>
      <w:r>
        <w:rPr>
          <w:rFonts w:ascii="宋体" w:hAnsi="宋体" w:eastAsia="宋体" w:cs="Times New Roman"/>
          <w:color w:val="auto"/>
          <w:highlight w:val="none"/>
        </w:rPr>
        <w:fldChar w:fldCharType="separate"/>
      </w:r>
      <w:r>
        <w:rPr>
          <w:rFonts w:hint="eastAsia" w:ascii="黑体" w:hAnsi="黑体" w:eastAsia="黑体"/>
          <w:color w:val="auto"/>
          <w:szCs w:val="28"/>
          <w:highlight w:val="none"/>
        </w:rPr>
        <w:t xml:space="preserve">第二节 </w:t>
      </w:r>
      <w:r>
        <w:rPr>
          <w:rFonts w:ascii="黑体" w:hAnsi="黑体" w:eastAsia="黑体"/>
          <w:color w:val="auto"/>
          <w:szCs w:val="28"/>
          <w:highlight w:val="none"/>
        </w:rPr>
        <w:t>技术要求</w:t>
      </w:r>
      <w:r>
        <w:rPr>
          <w:color w:val="auto"/>
          <w:highlight w:val="none"/>
        </w:rPr>
        <w:tab/>
      </w:r>
      <w:r>
        <w:rPr>
          <w:color w:val="auto"/>
          <w:highlight w:val="none"/>
        </w:rPr>
        <w:fldChar w:fldCharType="begin"/>
      </w:r>
      <w:r>
        <w:rPr>
          <w:color w:val="auto"/>
          <w:highlight w:val="none"/>
        </w:rPr>
        <w:instrText xml:space="preserve"> PAGEREF _Toc25758 \h </w:instrText>
      </w:r>
      <w:r>
        <w:rPr>
          <w:color w:val="auto"/>
          <w:highlight w:val="none"/>
        </w:rPr>
        <w:fldChar w:fldCharType="separate"/>
      </w:r>
      <w:r>
        <w:rPr>
          <w:color w:val="auto"/>
          <w:highlight w:val="none"/>
        </w:rPr>
        <w:t>57</w:t>
      </w:r>
      <w:r>
        <w:rPr>
          <w:color w:val="auto"/>
          <w:highlight w:val="none"/>
        </w:rPr>
        <w:fldChar w:fldCharType="end"/>
      </w:r>
      <w:r>
        <w:rPr>
          <w:rFonts w:ascii="宋体" w:hAnsi="宋体" w:eastAsia="宋体" w:cs="Times New Roman"/>
          <w:color w:val="auto"/>
          <w:highlight w:val="none"/>
        </w:rPr>
        <w:fldChar w:fldCharType="end"/>
      </w:r>
    </w:p>
    <w:p w14:paraId="0AD281C5">
      <w:pPr>
        <w:pStyle w:val="20"/>
        <w:tabs>
          <w:tab w:val="right" w:leader="dot" w:pos="9506"/>
        </w:tabs>
        <w:rPr>
          <w:color w:val="auto"/>
          <w:highlight w:val="none"/>
        </w:rPr>
      </w:pPr>
      <w:r>
        <w:rPr>
          <w:rFonts w:ascii="宋体" w:hAnsi="宋体" w:eastAsia="宋体" w:cs="Times New Roman"/>
          <w:color w:val="auto"/>
          <w:highlight w:val="none"/>
        </w:rPr>
        <w:fldChar w:fldCharType="begin"/>
      </w:r>
      <w:r>
        <w:rPr>
          <w:rFonts w:ascii="宋体" w:hAnsi="宋体" w:eastAsia="宋体" w:cs="Times New Roman"/>
          <w:color w:val="auto"/>
          <w:highlight w:val="none"/>
        </w:rPr>
        <w:instrText xml:space="preserve"> HYPERLINK \l _Toc18191 </w:instrText>
      </w:r>
      <w:r>
        <w:rPr>
          <w:rFonts w:ascii="宋体" w:hAnsi="宋体" w:eastAsia="宋体" w:cs="Times New Roman"/>
          <w:color w:val="auto"/>
          <w:highlight w:val="none"/>
        </w:rPr>
        <w:fldChar w:fldCharType="separate"/>
      </w:r>
      <w:r>
        <w:rPr>
          <w:rFonts w:hint="eastAsia" w:ascii="黑体" w:hAnsi="黑体" w:eastAsia="黑体"/>
          <w:color w:val="auto"/>
          <w:szCs w:val="28"/>
          <w:highlight w:val="none"/>
        </w:rPr>
        <w:t>第三节 商务</w:t>
      </w:r>
      <w:r>
        <w:rPr>
          <w:rFonts w:ascii="黑体" w:hAnsi="黑体" w:eastAsia="黑体"/>
          <w:color w:val="auto"/>
          <w:szCs w:val="28"/>
          <w:highlight w:val="none"/>
        </w:rPr>
        <w:t>要求</w:t>
      </w:r>
      <w:r>
        <w:rPr>
          <w:color w:val="auto"/>
          <w:highlight w:val="none"/>
        </w:rPr>
        <w:tab/>
      </w:r>
      <w:r>
        <w:rPr>
          <w:color w:val="auto"/>
          <w:highlight w:val="none"/>
        </w:rPr>
        <w:fldChar w:fldCharType="begin"/>
      </w:r>
      <w:r>
        <w:rPr>
          <w:color w:val="auto"/>
          <w:highlight w:val="none"/>
        </w:rPr>
        <w:instrText xml:space="preserve"> PAGEREF _Toc18191 \h </w:instrText>
      </w:r>
      <w:r>
        <w:rPr>
          <w:color w:val="auto"/>
          <w:highlight w:val="none"/>
        </w:rPr>
        <w:fldChar w:fldCharType="separate"/>
      </w:r>
      <w:r>
        <w:rPr>
          <w:color w:val="auto"/>
          <w:highlight w:val="none"/>
        </w:rPr>
        <w:t>84</w:t>
      </w:r>
      <w:r>
        <w:rPr>
          <w:color w:val="auto"/>
          <w:highlight w:val="none"/>
        </w:rPr>
        <w:fldChar w:fldCharType="end"/>
      </w:r>
      <w:r>
        <w:rPr>
          <w:rFonts w:ascii="宋体" w:hAnsi="宋体" w:eastAsia="宋体" w:cs="Times New Roman"/>
          <w:color w:val="auto"/>
          <w:highlight w:val="none"/>
        </w:rPr>
        <w:fldChar w:fldCharType="end"/>
      </w:r>
    </w:p>
    <w:p w14:paraId="6E656411">
      <w:pPr>
        <w:pStyle w:val="17"/>
        <w:tabs>
          <w:tab w:val="right" w:leader="dot" w:pos="9506"/>
        </w:tabs>
        <w:rPr>
          <w:color w:val="auto"/>
          <w:highlight w:val="none"/>
        </w:rPr>
      </w:pPr>
      <w:r>
        <w:rPr>
          <w:rFonts w:ascii="宋体" w:hAnsi="宋体" w:eastAsia="宋体" w:cs="Times New Roman"/>
          <w:color w:val="auto"/>
          <w:highlight w:val="none"/>
        </w:rPr>
        <w:fldChar w:fldCharType="begin"/>
      </w:r>
      <w:r>
        <w:rPr>
          <w:rFonts w:ascii="宋体" w:hAnsi="宋体" w:eastAsia="宋体" w:cs="Times New Roman"/>
          <w:color w:val="auto"/>
          <w:highlight w:val="none"/>
        </w:rPr>
        <w:instrText xml:space="preserve"> HYPERLINK \l _Toc31130 </w:instrText>
      </w:r>
      <w:r>
        <w:rPr>
          <w:rFonts w:ascii="宋体" w:hAnsi="宋体" w:eastAsia="宋体" w:cs="Times New Roman"/>
          <w:color w:val="auto"/>
          <w:highlight w:val="none"/>
        </w:rPr>
        <w:fldChar w:fldCharType="separate"/>
      </w:r>
      <w:r>
        <w:rPr>
          <w:rFonts w:hint="eastAsia" w:ascii="黑体" w:hAnsi="华文中宋" w:eastAsia="黑体"/>
          <w:color w:val="auto"/>
          <w:szCs w:val="32"/>
          <w:highlight w:val="none"/>
        </w:rPr>
        <w:t>第六章 政府采购合同</w:t>
      </w:r>
      <w:r>
        <w:rPr>
          <w:color w:val="auto"/>
          <w:highlight w:val="none"/>
        </w:rPr>
        <w:tab/>
      </w:r>
      <w:r>
        <w:rPr>
          <w:color w:val="auto"/>
          <w:highlight w:val="none"/>
        </w:rPr>
        <w:fldChar w:fldCharType="begin"/>
      </w:r>
      <w:r>
        <w:rPr>
          <w:color w:val="auto"/>
          <w:highlight w:val="none"/>
        </w:rPr>
        <w:instrText xml:space="preserve"> PAGEREF _Toc31130 \h </w:instrText>
      </w:r>
      <w:r>
        <w:rPr>
          <w:color w:val="auto"/>
          <w:highlight w:val="none"/>
        </w:rPr>
        <w:fldChar w:fldCharType="separate"/>
      </w:r>
      <w:r>
        <w:rPr>
          <w:color w:val="auto"/>
          <w:highlight w:val="none"/>
        </w:rPr>
        <w:t>86</w:t>
      </w:r>
      <w:r>
        <w:rPr>
          <w:color w:val="auto"/>
          <w:highlight w:val="none"/>
        </w:rPr>
        <w:fldChar w:fldCharType="end"/>
      </w:r>
      <w:r>
        <w:rPr>
          <w:rFonts w:ascii="宋体" w:hAnsi="宋体" w:eastAsia="宋体" w:cs="Times New Roman"/>
          <w:color w:val="auto"/>
          <w:highlight w:val="none"/>
        </w:rPr>
        <w:fldChar w:fldCharType="end"/>
      </w:r>
    </w:p>
    <w:p w14:paraId="4788EFD2">
      <w:pPr>
        <w:pStyle w:val="20"/>
        <w:tabs>
          <w:tab w:val="right" w:leader="dot" w:pos="9506"/>
        </w:tabs>
        <w:rPr>
          <w:color w:val="auto"/>
          <w:highlight w:val="none"/>
        </w:rPr>
      </w:pPr>
      <w:r>
        <w:rPr>
          <w:rFonts w:ascii="宋体" w:hAnsi="宋体" w:eastAsia="宋体" w:cs="Times New Roman"/>
          <w:color w:val="auto"/>
          <w:highlight w:val="none"/>
        </w:rPr>
        <w:fldChar w:fldCharType="begin"/>
      </w:r>
      <w:r>
        <w:rPr>
          <w:rFonts w:ascii="宋体" w:hAnsi="宋体" w:eastAsia="宋体" w:cs="Times New Roman"/>
          <w:color w:val="auto"/>
          <w:highlight w:val="none"/>
        </w:rPr>
        <w:instrText xml:space="preserve"> HYPERLINK \l _Toc19940 </w:instrText>
      </w:r>
      <w:r>
        <w:rPr>
          <w:rFonts w:ascii="宋体" w:hAnsi="宋体" w:eastAsia="宋体" w:cs="Times New Roman"/>
          <w:color w:val="auto"/>
          <w:highlight w:val="none"/>
        </w:rPr>
        <w:fldChar w:fldCharType="separate"/>
      </w:r>
      <w:r>
        <w:rPr>
          <w:rFonts w:hint="eastAsia" w:ascii="黑体" w:hAnsi="华文中宋" w:eastAsia="黑体"/>
          <w:color w:val="auto"/>
          <w:szCs w:val="28"/>
          <w:highlight w:val="none"/>
        </w:rPr>
        <w:t>第一节 政府采购合同协议书</w:t>
      </w:r>
      <w:r>
        <w:rPr>
          <w:color w:val="auto"/>
          <w:highlight w:val="none"/>
        </w:rPr>
        <w:tab/>
      </w:r>
      <w:r>
        <w:rPr>
          <w:color w:val="auto"/>
          <w:highlight w:val="none"/>
        </w:rPr>
        <w:fldChar w:fldCharType="begin"/>
      </w:r>
      <w:r>
        <w:rPr>
          <w:color w:val="auto"/>
          <w:highlight w:val="none"/>
        </w:rPr>
        <w:instrText xml:space="preserve"> PAGEREF _Toc19940 \h </w:instrText>
      </w:r>
      <w:r>
        <w:rPr>
          <w:color w:val="auto"/>
          <w:highlight w:val="none"/>
        </w:rPr>
        <w:fldChar w:fldCharType="separate"/>
      </w:r>
      <w:r>
        <w:rPr>
          <w:color w:val="auto"/>
          <w:highlight w:val="none"/>
        </w:rPr>
        <w:t>86</w:t>
      </w:r>
      <w:r>
        <w:rPr>
          <w:color w:val="auto"/>
          <w:highlight w:val="none"/>
        </w:rPr>
        <w:fldChar w:fldCharType="end"/>
      </w:r>
      <w:r>
        <w:rPr>
          <w:rFonts w:ascii="宋体" w:hAnsi="宋体" w:eastAsia="宋体" w:cs="Times New Roman"/>
          <w:color w:val="auto"/>
          <w:highlight w:val="none"/>
        </w:rPr>
        <w:fldChar w:fldCharType="end"/>
      </w:r>
    </w:p>
    <w:p w14:paraId="549616AB">
      <w:pPr>
        <w:pStyle w:val="20"/>
        <w:tabs>
          <w:tab w:val="right" w:leader="dot" w:pos="9506"/>
        </w:tabs>
        <w:rPr>
          <w:color w:val="auto"/>
          <w:highlight w:val="none"/>
        </w:rPr>
      </w:pPr>
      <w:r>
        <w:rPr>
          <w:rFonts w:ascii="宋体" w:hAnsi="宋体" w:eastAsia="宋体" w:cs="Times New Roman"/>
          <w:color w:val="auto"/>
          <w:highlight w:val="none"/>
        </w:rPr>
        <w:fldChar w:fldCharType="begin"/>
      </w:r>
      <w:r>
        <w:rPr>
          <w:rFonts w:ascii="宋体" w:hAnsi="宋体" w:eastAsia="宋体" w:cs="Times New Roman"/>
          <w:color w:val="auto"/>
          <w:highlight w:val="none"/>
        </w:rPr>
        <w:instrText xml:space="preserve"> HYPERLINK \l _Toc22384 </w:instrText>
      </w:r>
      <w:r>
        <w:rPr>
          <w:rFonts w:ascii="宋体" w:hAnsi="宋体" w:eastAsia="宋体" w:cs="Times New Roman"/>
          <w:color w:val="auto"/>
          <w:highlight w:val="none"/>
        </w:rPr>
        <w:fldChar w:fldCharType="separate"/>
      </w:r>
      <w:r>
        <w:rPr>
          <w:rFonts w:hint="eastAsia" w:ascii="黑体" w:hAnsi="黑体" w:eastAsia="黑体"/>
          <w:color w:val="auto"/>
          <w:szCs w:val="28"/>
          <w:highlight w:val="none"/>
        </w:rPr>
        <w:t>第二节 政府采购合同通用条款</w:t>
      </w:r>
      <w:r>
        <w:rPr>
          <w:color w:val="auto"/>
          <w:highlight w:val="none"/>
        </w:rPr>
        <w:tab/>
      </w:r>
      <w:r>
        <w:rPr>
          <w:color w:val="auto"/>
          <w:highlight w:val="none"/>
        </w:rPr>
        <w:fldChar w:fldCharType="begin"/>
      </w:r>
      <w:r>
        <w:rPr>
          <w:color w:val="auto"/>
          <w:highlight w:val="none"/>
        </w:rPr>
        <w:instrText xml:space="preserve"> PAGEREF _Toc22384 \h </w:instrText>
      </w:r>
      <w:r>
        <w:rPr>
          <w:color w:val="auto"/>
          <w:highlight w:val="none"/>
        </w:rPr>
        <w:fldChar w:fldCharType="separate"/>
      </w:r>
      <w:r>
        <w:rPr>
          <w:color w:val="auto"/>
          <w:highlight w:val="none"/>
        </w:rPr>
        <w:t>89</w:t>
      </w:r>
      <w:r>
        <w:rPr>
          <w:color w:val="auto"/>
          <w:highlight w:val="none"/>
        </w:rPr>
        <w:fldChar w:fldCharType="end"/>
      </w:r>
      <w:r>
        <w:rPr>
          <w:rFonts w:ascii="宋体" w:hAnsi="宋体" w:eastAsia="宋体" w:cs="Times New Roman"/>
          <w:color w:val="auto"/>
          <w:highlight w:val="none"/>
        </w:rPr>
        <w:fldChar w:fldCharType="end"/>
      </w:r>
    </w:p>
    <w:p w14:paraId="6A7D1638">
      <w:pPr>
        <w:pStyle w:val="20"/>
        <w:tabs>
          <w:tab w:val="right" w:leader="dot" w:pos="9506"/>
        </w:tabs>
        <w:rPr>
          <w:color w:val="auto"/>
          <w:highlight w:val="none"/>
        </w:rPr>
      </w:pPr>
      <w:r>
        <w:rPr>
          <w:rFonts w:ascii="宋体" w:hAnsi="宋体" w:eastAsia="宋体" w:cs="Times New Roman"/>
          <w:color w:val="auto"/>
          <w:highlight w:val="none"/>
        </w:rPr>
        <w:fldChar w:fldCharType="begin"/>
      </w:r>
      <w:r>
        <w:rPr>
          <w:rFonts w:ascii="宋体" w:hAnsi="宋体" w:eastAsia="宋体" w:cs="Times New Roman"/>
          <w:color w:val="auto"/>
          <w:highlight w:val="none"/>
        </w:rPr>
        <w:instrText xml:space="preserve"> HYPERLINK \l _Toc2304 </w:instrText>
      </w:r>
      <w:r>
        <w:rPr>
          <w:rFonts w:ascii="宋体" w:hAnsi="宋体" w:eastAsia="宋体" w:cs="Times New Roman"/>
          <w:color w:val="auto"/>
          <w:highlight w:val="none"/>
        </w:rPr>
        <w:fldChar w:fldCharType="separate"/>
      </w:r>
      <w:r>
        <w:rPr>
          <w:rFonts w:hint="eastAsia" w:ascii="黑体" w:hAnsi="华文中宋" w:eastAsia="黑体"/>
          <w:color w:val="auto"/>
          <w:szCs w:val="28"/>
          <w:highlight w:val="none"/>
        </w:rPr>
        <w:t>第三节 政府采购合同专用条款</w:t>
      </w:r>
      <w:r>
        <w:rPr>
          <w:color w:val="auto"/>
          <w:highlight w:val="none"/>
        </w:rPr>
        <w:tab/>
      </w:r>
      <w:r>
        <w:rPr>
          <w:color w:val="auto"/>
          <w:highlight w:val="none"/>
        </w:rPr>
        <w:fldChar w:fldCharType="begin"/>
      </w:r>
      <w:r>
        <w:rPr>
          <w:color w:val="auto"/>
          <w:highlight w:val="none"/>
        </w:rPr>
        <w:instrText xml:space="preserve"> PAGEREF _Toc2304 \h </w:instrText>
      </w:r>
      <w:r>
        <w:rPr>
          <w:color w:val="auto"/>
          <w:highlight w:val="none"/>
        </w:rPr>
        <w:fldChar w:fldCharType="separate"/>
      </w:r>
      <w:r>
        <w:rPr>
          <w:color w:val="auto"/>
          <w:highlight w:val="none"/>
        </w:rPr>
        <w:t>95</w:t>
      </w:r>
      <w:r>
        <w:rPr>
          <w:color w:val="auto"/>
          <w:highlight w:val="none"/>
        </w:rPr>
        <w:fldChar w:fldCharType="end"/>
      </w:r>
      <w:r>
        <w:rPr>
          <w:rFonts w:ascii="宋体" w:hAnsi="宋体" w:eastAsia="宋体" w:cs="Times New Roman"/>
          <w:color w:val="auto"/>
          <w:highlight w:val="none"/>
        </w:rPr>
        <w:fldChar w:fldCharType="end"/>
      </w:r>
    </w:p>
    <w:p w14:paraId="7DDD61F7">
      <w:pPr>
        <w:pStyle w:val="17"/>
        <w:tabs>
          <w:tab w:val="right" w:leader="dot" w:pos="9506"/>
        </w:tabs>
        <w:rPr>
          <w:color w:val="auto"/>
          <w:highlight w:val="none"/>
        </w:rPr>
      </w:pPr>
      <w:r>
        <w:rPr>
          <w:rFonts w:ascii="宋体" w:hAnsi="宋体" w:eastAsia="宋体" w:cs="Times New Roman"/>
          <w:color w:val="auto"/>
          <w:highlight w:val="none"/>
        </w:rPr>
        <w:fldChar w:fldCharType="begin"/>
      </w:r>
      <w:r>
        <w:rPr>
          <w:rFonts w:ascii="宋体" w:hAnsi="宋体" w:eastAsia="宋体" w:cs="Times New Roman"/>
          <w:color w:val="auto"/>
          <w:highlight w:val="none"/>
        </w:rPr>
        <w:instrText xml:space="preserve"> HYPERLINK \l _Toc9575 </w:instrText>
      </w:r>
      <w:r>
        <w:rPr>
          <w:rFonts w:ascii="宋体" w:hAnsi="宋体" w:eastAsia="宋体" w:cs="Times New Roman"/>
          <w:color w:val="auto"/>
          <w:highlight w:val="none"/>
        </w:rPr>
        <w:fldChar w:fldCharType="separate"/>
      </w:r>
      <w:r>
        <w:rPr>
          <w:rFonts w:hint="eastAsia" w:ascii="黑体" w:hAnsi="华文中宋" w:eastAsia="黑体"/>
          <w:color w:val="auto"/>
          <w:szCs w:val="32"/>
          <w:highlight w:val="none"/>
        </w:rPr>
        <w:t>第七章 投标文件的组成</w:t>
      </w:r>
      <w:r>
        <w:rPr>
          <w:color w:val="auto"/>
          <w:highlight w:val="none"/>
        </w:rPr>
        <w:tab/>
      </w:r>
      <w:r>
        <w:rPr>
          <w:color w:val="auto"/>
          <w:highlight w:val="none"/>
        </w:rPr>
        <w:fldChar w:fldCharType="begin"/>
      </w:r>
      <w:r>
        <w:rPr>
          <w:color w:val="auto"/>
          <w:highlight w:val="none"/>
        </w:rPr>
        <w:instrText xml:space="preserve"> PAGEREF _Toc9575 \h </w:instrText>
      </w:r>
      <w:r>
        <w:rPr>
          <w:color w:val="auto"/>
          <w:highlight w:val="none"/>
        </w:rPr>
        <w:fldChar w:fldCharType="separate"/>
      </w:r>
      <w:r>
        <w:rPr>
          <w:color w:val="auto"/>
          <w:highlight w:val="none"/>
        </w:rPr>
        <w:t>100</w:t>
      </w:r>
      <w:r>
        <w:rPr>
          <w:color w:val="auto"/>
          <w:highlight w:val="none"/>
        </w:rPr>
        <w:fldChar w:fldCharType="end"/>
      </w:r>
      <w:r>
        <w:rPr>
          <w:rFonts w:ascii="宋体" w:hAnsi="宋体" w:eastAsia="宋体" w:cs="Times New Roman"/>
          <w:color w:val="auto"/>
          <w:highlight w:val="none"/>
        </w:rPr>
        <w:fldChar w:fldCharType="end"/>
      </w:r>
    </w:p>
    <w:p w14:paraId="6EDF6D35">
      <w:pPr>
        <w:pStyle w:val="20"/>
        <w:tabs>
          <w:tab w:val="right" w:leader="dot" w:pos="9506"/>
        </w:tabs>
        <w:rPr>
          <w:color w:val="auto"/>
          <w:highlight w:val="none"/>
        </w:rPr>
      </w:pPr>
      <w:r>
        <w:rPr>
          <w:rFonts w:ascii="宋体" w:hAnsi="宋体" w:eastAsia="宋体" w:cs="Times New Roman"/>
          <w:color w:val="auto"/>
          <w:highlight w:val="none"/>
        </w:rPr>
        <w:fldChar w:fldCharType="begin"/>
      </w:r>
      <w:r>
        <w:rPr>
          <w:rFonts w:ascii="宋体" w:hAnsi="宋体" w:eastAsia="宋体" w:cs="Times New Roman"/>
          <w:color w:val="auto"/>
          <w:highlight w:val="none"/>
        </w:rPr>
        <w:instrText xml:space="preserve"> HYPERLINK \l _Toc10720 </w:instrText>
      </w:r>
      <w:r>
        <w:rPr>
          <w:rFonts w:ascii="宋体" w:hAnsi="宋体" w:eastAsia="宋体" w:cs="Times New Roman"/>
          <w:color w:val="auto"/>
          <w:highlight w:val="none"/>
        </w:rPr>
        <w:fldChar w:fldCharType="separate"/>
      </w:r>
      <w:r>
        <w:rPr>
          <w:rFonts w:hint="eastAsia" w:ascii="黑体" w:hAnsi="黑体" w:eastAsia="黑体"/>
          <w:color w:val="auto"/>
          <w:szCs w:val="44"/>
          <w:highlight w:val="none"/>
        </w:rPr>
        <w:t>第一部分 资格证明文件</w:t>
      </w:r>
      <w:r>
        <w:rPr>
          <w:color w:val="auto"/>
          <w:highlight w:val="none"/>
        </w:rPr>
        <w:tab/>
      </w:r>
      <w:r>
        <w:rPr>
          <w:color w:val="auto"/>
          <w:highlight w:val="none"/>
        </w:rPr>
        <w:fldChar w:fldCharType="begin"/>
      </w:r>
      <w:r>
        <w:rPr>
          <w:color w:val="auto"/>
          <w:highlight w:val="none"/>
        </w:rPr>
        <w:instrText xml:space="preserve"> PAGEREF _Toc10720 \h </w:instrText>
      </w:r>
      <w:r>
        <w:rPr>
          <w:color w:val="auto"/>
          <w:highlight w:val="none"/>
        </w:rPr>
        <w:fldChar w:fldCharType="separate"/>
      </w:r>
      <w:r>
        <w:rPr>
          <w:color w:val="auto"/>
          <w:highlight w:val="none"/>
        </w:rPr>
        <w:t>101</w:t>
      </w:r>
      <w:r>
        <w:rPr>
          <w:color w:val="auto"/>
          <w:highlight w:val="none"/>
        </w:rPr>
        <w:fldChar w:fldCharType="end"/>
      </w:r>
      <w:r>
        <w:rPr>
          <w:rFonts w:ascii="宋体" w:hAnsi="宋体" w:eastAsia="宋体" w:cs="Times New Roman"/>
          <w:color w:val="auto"/>
          <w:highlight w:val="none"/>
        </w:rPr>
        <w:fldChar w:fldCharType="end"/>
      </w:r>
    </w:p>
    <w:p w14:paraId="0CF09959">
      <w:pPr>
        <w:pStyle w:val="12"/>
        <w:tabs>
          <w:tab w:val="right" w:leader="dot" w:pos="9506"/>
        </w:tabs>
        <w:rPr>
          <w:color w:val="auto"/>
          <w:highlight w:val="none"/>
        </w:rPr>
      </w:pPr>
      <w:r>
        <w:rPr>
          <w:rFonts w:ascii="宋体" w:hAnsi="宋体" w:eastAsia="宋体" w:cs="Times New Roman"/>
          <w:color w:val="auto"/>
          <w:highlight w:val="none"/>
        </w:rPr>
        <w:fldChar w:fldCharType="begin"/>
      </w:r>
      <w:r>
        <w:rPr>
          <w:rFonts w:ascii="宋体" w:hAnsi="宋体" w:eastAsia="宋体" w:cs="Times New Roman"/>
          <w:color w:val="auto"/>
          <w:highlight w:val="none"/>
        </w:rPr>
        <w:instrText xml:space="preserve"> HYPERLINK \l _Toc2207 </w:instrText>
      </w:r>
      <w:r>
        <w:rPr>
          <w:rFonts w:ascii="宋体" w:hAnsi="宋体" w:eastAsia="宋体" w:cs="Times New Roman"/>
          <w:color w:val="auto"/>
          <w:highlight w:val="none"/>
        </w:rPr>
        <w:fldChar w:fldCharType="separate"/>
      </w:r>
      <w:r>
        <w:rPr>
          <w:rFonts w:hint="eastAsia" w:ascii="黑体" w:hAnsi="宋体" w:eastAsia="黑体"/>
          <w:color w:val="auto"/>
          <w:szCs w:val="28"/>
          <w:highlight w:val="none"/>
        </w:rPr>
        <w:t>一、开标一览表</w:t>
      </w:r>
      <w:r>
        <w:rPr>
          <w:color w:val="auto"/>
          <w:highlight w:val="none"/>
        </w:rPr>
        <w:tab/>
      </w:r>
      <w:r>
        <w:rPr>
          <w:color w:val="auto"/>
          <w:highlight w:val="none"/>
        </w:rPr>
        <w:fldChar w:fldCharType="begin"/>
      </w:r>
      <w:r>
        <w:rPr>
          <w:color w:val="auto"/>
          <w:highlight w:val="none"/>
        </w:rPr>
        <w:instrText xml:space="preserve"> PAGEREF _Toc2207 \h </w:instrText>
      </w:r>
      <w:r>
        <w:rPr>
          <w:color w:val="auto"/>
          <w:highlight w:val="none"/>
        </w:rPr>
        <w:fldChar w:fldCharType="separate"/>
      </w:r>
      <w:r>
        <w:rPr>
          <w:color w:val="auto"/>
          <w:highlight w:val="none"/>
        </w:rPr>
        <w:t>102</w:t>
      </w:r>
      <w:r>
        <w:rPr>
          <w:color w:val="auto"/>
          <w:highlight w:val="none"/>
        </w:rPr>
        <w:fldChar w:fldCharType="end"/>
      </w:r>
      <w:r>
        <w:rPr>
          <w:rFonts w:ascii="宋体" w:hAnsi="宋体" w:eastAsia="宋体" w:cs="Times New Roman"/>
          <w:color w:val="auto"/>
          <w:highlight w:val="none"/>
        </w:rPr>
        <w:fldChar w:fldCharType="end"/>
      </w:r>
    </w:p>
    <w:p w14:paraId="7F3207C1">
      <w:pPr>
        <w:pStyle w:val="12"/>
        <w:tabs>
          <w:tab w:val="right" w:leader="dot" w:pos="9506"/>
        </w:tabs>
        <w:rPr>
          <w:color w:val="auto"/>
          <w:highlight w:val="none"/>
        </w:rPr>
      </w:pPr>
      <w:r>
        <w:rPr>
          <w:rFonts w:ascii="宋体" w:hAnsi="宋体" w:eastAsia="宋体" w:cs="Times New Roman"/>
          <w:color w:val="auto"/>
          <w:highlight w:val="none"/>
        </w:rPr>
        <w:fldChar w:fldCharType="begin"/>
      </w:r>
      <w:r>
        <w:rPr>
          <w:rFonts w:ascii="宋体" w:hAnsi="宋体" w:eastAsia="宋体" w:cs="Times New Roman"/>
          <w:color w:val="auto"/>
          <w:highlight w:val="none"/>
        </w:rPr>
        <w:instrText xml:space="preserve"> HYPERLINK \l _Toc31825 </w:instrText>
      </w:r>
      <w:r>
        <w:rPr>
          <w:rFonts w:ascii="宋体" w:hAnsi="宋体" w:eastAsia="宋体" w:cs="Times New Roman"/>
          <w:color w:val="auto"/>
          <w:highlight w:val="none"/>
        </w:rPr>
        <w:fldChar w:fldCharType="separate"/>
      </w:r>
      <w:r>
        <w:rPr>
          <w:rFonts w:hint="eastAsia" w:ascii="黑体" w:hAnsi="宋体" w:eastAsia="黑体"/>
          <w:color w:val="auto"/>
          <w:szCs w:val="28"/>
          <w:highlight w:val="none"/>
        </w:rPr>
        <w:t>二、投标保证金</w:t>
      </w:r>
      <w:r>
        <w:rPr>
          <w:color w:val="auto"/>
          <w:highlight w:val="none"/>
        </w:rPr>
        <w:tab/>
      </w:r>
      <w:r>
        <w:rPr>
          <w:color w:val="auto"/>
          <w:highlight w:val="none"/>
        </w:rPr>
        <w:fldChar w:fldCharType="begin"/>
      </w:r>
      <w:r>
        <w:rPr>
          <w:color w:val="auto"/>
          <w:highlight w:val="none"/>
        </w:rPr>
        <w:instrText xml:space="preserve"> PAGEREF _Toc31825 \h </w:instrText>
      </w:r>
      <w:r>
        <w:rPr>
          <w:color w:val="auto"/>
          <w:highlight w:val="none"/>
        </w:rPr>
        <w:fldChar w:fldCharType="separate"/>
      </w:r>
      <w:r>
        <w:rPr>
          <w:color w:val="auto"/>
          <w:highlight w:val="none"/>
        </w:rPr>
        <w:t>103</w:t>
      </w:r>
      <w:r>
        <w:rPr>
          <w:color w:val="auto"/>
          <w:highlight w:val="none"/>
        </w:rPr>
        <w:fldChar w:fldCharType="end"/>
      </w:r>
      <w:r>
        <w:rPr>
          <w:rFonts w:ascii="宋体" w:hAnsi="宋体" w:eastAsia="宋体" w:cs="Times New Roman"/>
          <w:color w:val="auto"/>
          <w:highlight w:val="none"/>
        </w:rPr>
        <w:fldChar w:fldCharType="end"/>
      </w:r>
    </w:p>
    <w:p w14:paraId="328F17B7">
      <w:pPr>
        <w:pStyle w:val="12"/>
        <w:tabs>
          <w:tab w:val="right" w:leader="dot" w:pos="9506"/>
        </w:tabs>
        <w:rPr>
          <w:color w:val="auto"/>
          <w:highlight w:val="none"/>
        </w:rPr>
      </w:pPr>
      <w:r>
        <w:rPr>
          <w:rFonts w:ascii="宋体" w:hAnsi="宋体" w:eastAsia="宋体" w:cs="Times New Roman"/>
          <w:color w:val="auto"/>
          <w:highlight w:val="none"/>
        </w:rPr>
        <w:fldChar w:fldCharType="begin"/>
      </w:r>
      <w:r>
        <w:rPr>
          <w:rFonts w:ascii="宋体" w:hAnsi="宋体" w:eastAsia="宋体" w:cs="Times New Roman"/>
          <w:color w:val="auto"/>
          <w:highlight w:val="none"/>
        </w:rPr>
        <w:instrText xml:space="preserve"> HYPERLINK \l _Toc13336 </w:instrText>
      </w:r>
      <w:r>
        <w:rPr>
          <w:rFonts w:ascii="宋体" w:hAnsi="宋体" w:eastAsia="宋体" w:cs="Times New Roman"/>
          <w:color w:val="auto"/>
          <w:highlight w:val="none"/>
        </w:rPr>
        <w:fldChar w:fldCharType="separate"/>
      </w:r>
      <w:r>
        <w:rPr>
          <w:rFonts w:hint="eastAsia" w:ascii="黑体" w:hAnsi="宋体" w:eastAsia="黑体" w:cs="Times New Roman"/>
          <w:bCs/>
          <w:color w:val="auto"/>
          <w:kern w:val="2"/>
          <w:szCs w:val="28"/>
          <w:highlight w:val="none"/>
          <w:lang w:val="en-US" w:eastAsia="zh-CN" w:bidi="ar-SA"/>
        </w:rPr>
        <w:t>三、法定代表人(单位负责人)身份证明</w:t>
      </w:r>
      <w:r>
        <w:rPr>
          <w:color w:val="auto"/>
          <w:highlight w:val="none"/>
        </w:rPr>
        <w:tab/>
      </w:r>
      <w:r>
        <w:rPr>
          <w:color w:val="auto"/>
          <w:highlight w:val="none"/>
        </w:rPr>
        <w:fldChar w:fldCharType="begin"/>
      </w:r>
      <w:r>
        <w:rPr>
          <w:color w:val="auto"/>
          <w:highlight w:val="none"/>
        </w:rPr>
        <w:instrText xml:space="preserve"> PAGEREF _Toc13336 \h </w:instrText>
      </w:r>
      <w:r>
        <w:rPr>
          <w:color w:val="auto"/>
          <w:highlight w:val="none"/>
        </w:rPr>
        <w:fldChar w:fldCharType="separate"/>
      </w:r>
      <w:r>
        <w:rPr>
          <w:color w:val="auto"/>
          <w:highlight w:val="none"/>
        </w:rPr>
        <w:t>105</w:t>
      </w:r>
      <w:r>
        <w:rPr>
          <w:color w:val="auto"/>
          <w:highlight w:val="none"/>
        </w:rPr>
        <w:fldChar w:fldCharType="end"/>
      </w:r>
      <w:r>
        <w:rPr>
          <w:rFonts w:ascii="宋体" w:hAnsi="宋体" w:eastAsia="宋体" w:cs="Times New Roman"/>
          <w:color w:val="auto"/>
          <w:highlight w:val="none"/>
        </w:rPr>
        <w:fldChar w:fldCharType="end"/>
      </w:r>
    </w:p>
    <w:p w14:paraId="506BF974">
      <w:pPr>
        <w:pStyle w:val="12"/>
        <w:tabs>
          <w:tab w:val="right" w:leader="dot" w:pos="9506"/>
        </w:tabs>
        <w:rPr>
          <w:color w:val="auto"/>
          <w:highlight w:val="none"/>
        </w:rPr>
      </w:pPr>
      <w:r>
        <w:rPr>
          <w:rFonts w:ascii="宋体" w:hAnsi="宋体" w:eastAsia="宋体" w:cs="Times New Roman"/>
          <w:color w:val="auto"/>
          <w:highlight w:val="none"/>
        </w:rPr>
        <w:fldChar w:fldCharType="begin"/>
      </w:r>
      <w:r>
        <w:rPr>
          <w:rFonts w:ascii="宋体" w:hAnsi="宋体" w:eastAsia="宋体" w:cs="Times New Roman"/>
          <w:color w:val="auto"/>
          <w:highlight w:val="none"/>
        </w:rPr>
        <w:instrText xml:space="preserve"> HYPERLINK \l _Toc19485 </w:instrText>
      </w:r>
      <w:r>
        <w:rPr>
          <w:rFonts w:ascii="宋体" w:hAnsi="宋体" w:eastAsia="宋体" w:cs="Times New Roman"/>
          <w:color w:val="auto"/>
          <w:highlight w:val="none"/>
        </w:rPr>
        <w:fldChar w:fldCharType="separate"/>
      </w:r>
      <w:r>
        <w:rPr>
          <w:rFonts w:hint="eastAsia" w:ascii="黑体" w:hAnsi="宋体" w:eastAsia="黑体"/>
          <w:color w:val="auto"/>
          <w:szCs w:val="28"/>
          <w:highlight w:val="none"/>
        </w:rPr>
        <w:t>三、授权委托书</w:t>
      </w:r>
      <w:r>
        <w:rPr>
          <w:color w:val="auto"/>
          <w:highlight w:val="none"/>
        </w:rPr>
        <w:tab/>
      </w:r>
      <w:r>
        <w:rPr>
          <w:color w:val="auto"/>
          <w:highlight w:val="none"/>
        </w:rPr>
        <w:fldChar w:fldCharType="begin"/>
      </w:r>
      <w:r>
        <w:rPr>
          <w:color w:val="auto"/>
          <w:highlight w:val="none"/>
        </w:rPr>
        <w:instrText xml:space="preserve"> PAGEREF _Toc19485 \h </w:instrText>
      </w:r>
      <w:r>
        <w:rPr>
          <w:color w:val="auto"/>
          <w:highlight w:val="none"/>
        </w:rPr>
        <w:fldChar w:fldCharType="separate"/>
      </w:r>
      <w:r>
        <w:rPr>
          <w:color w:val="auto"/>
          <w:highlight w:val="none"/>
        </w:rPr>
        <w:t>106</w:t>
      </w:r>
      <w:r>
        <w:rPr>
          <w:color w:val="auto"/>
          <w:highlight w:val="none"/>
        </w:rPr>
        <w:fldChar w:fldCharType="end"/>
      </w:r>
      <w:r>
        <w:rPr>
          <w:rFonts w:ascii="宋体" w:hAnsi="宋体" w:eastAsia="宋体" w:cs="Times New Roman"/>
          <w:color w:val="auto"/>
          <w:highlight w:val="none"/>
        </w:rPr>
        <w:fldChar w:fldCharType="end"/>
      </w:r>
    </w:p>
    <w:p w14:paraId="7F5FE3CC">
      <w:pPr>
        <w:pStyle w:val="12"/>
        <w:tabs>
          <w:tab w:val="right" w:leader="dot" w:pos="9506"/>
        </w:tabs>
        <w:rPr>
          <w:color w:val="auto"/>
          <w:highlight w:val="none"/>
        </w:rPr>
      </w:pPr>
      <w:r>
        <w:rPr>
          <w:rFonts w:ascii="宋体" w:hAnsi="宋体" w:eastAsia="宋体" w:cs="Times New Roman"/>
          <w:color w:val="auto"/>
          <w:highlight w:val="none"/>
        </w:rPr>
        <w:fldChar w:fldCharType="begin"/>
      </w:r>
      <w:r>
        <w:rPr>
          <w:rFonts w:ascii="宋体" w:hAnsi="宋体" w:eastAsia="宋体" w:cs="Times New Roman"/>
          <w:color w:val="auto"/>
          <w:highlight w:val="none"/>
        </w:rPr>
        <w:instrText xml:space="preserve"> HYPERLINK \l _Toc7733 </w:instrText>
      </w:r>
      <w:r>
        <w:rPr>
          <w:rFonts w:ascii="宋体" w:hAnsi="宋体" w:eastAsia="宋体" w:cs="Times New Roman"/>
          <w:color w:val="auto"/>
          <w:highlight w:val="none"/>
        </w:rPr>
        <w:fldChar w:fldCharType="separate"/>
      </w:r>
      <w:r>
        <w:rPr>
          <w:rFonts w:hint="eastAsia" w:ascii="黑体" w:hAnsi="宋体" w:eastAsia="黑体"/>
          <w:color w:val="auto"/>
          <w:szCs w:val="28"/>
          <w:highlight w:val="none"/>
        </w:rPr>
        <w:t>四、投标人提供的资格证明文件</w:t>
      </w:r>
      <w:r>
        <w:rPr>
          <w:color w:val="auto"/>
          <w:highlight w:val="none"/>
        </w:rPr>
        <w:tab/>
      </w:r>
      <w:r>
        <w:rPr>
          <w:color w:val="auto"/>
          <w:highlight w:val="none"/>
        </w:rPr>
        <w:fldChar w:fldCharType="begin"/>
      </w:r>
      <w:r>
        <w:rPr>
          <w:color w:val="auto"/>
          <w:highlight w:val="none"/>
        </w:rPr>
        <w:instrText xml:space="preserve"> PAGEREF _Toc7733 \h </w:instrText>
      </w:r>
      <w:r>
        <w:rPr>
          <w:color w:val="auto"/>
          <w:highlight w:val="none"/>
        </w:rPr>
        <w:fldChar w:fldCharType="separate"/>
      </w:r>
      <w:r>
        <w:rPr>
          <w:color w:val="auto"/>
          <w:highlight w:val="none"/>
        </w:rPr>
        <w:t>107</w:t>
      </w:r>
      <w:r>
        <w:rPr>
          <w:color w:val="auto"/>
          <w:highlight w:val="none"/>
        </w:rPr>
        <w:fldChar w:fldCharType="end"/>
      </w:r>
      <w:r>
        <w:rPr>
          <w:rFonts w:ascii="宋体" w:hAnsi="宋体" w:eastAsia="宋体" w:cs="Times New Roman"/>
          <w:color w:val="auto"/>
          <w:highlight w:val="none"/>
        </w:rPr>
        <w:fldChar w:fldCharType="end"/>
      </w:r>
    </w:p>
    <w:p w14:paraId="18E11BD0">
      <w:pPr>
        <w:pStyle w:val="20"/>
        <w:tabs>
          <w:tab w:val="right" w:leader="dot" w:pos="9506"/>
        </w:tabs>
        <w:rPr>
          <w:color w:val="auto"/>
          <w:highlight w:val="none"/>
        </w:rPr>
      </w:pPr>
      <w:r>
        <w:rPr>
          <w:rFonts w:ascii="宋体" w:hAnsi="宋体" w:eastAsia="宋体" w:cs="Times New Roman"/>
          <w:color w:val="auto"/>
          <w:highlight w:val="none"/>
        </w:rPr>
        <w:fldChar w:fldCharType="begin"/>
      </w:r>
      <w:r>
        <w:rPr>
          <w:rFonts w:ascii="宋体" w:hAnsi="宋体" w:eastAsia="宋体" w:cs="Times New Roman"/>
          <w:color w:val="auto"/>
          <w:highlight w:val="none"/>
        </w:rPr>
        <w:instrText xml:space="preserve"> HYPERLINK \l _Toc21522 </w:instrText>
      </w:r>
      <w:r>
        <w:rPr>
          <w:rFonts w:ascii="宋体" w:hAnsi="宋体" w:eastAsia="宋体" w:cs="Times New Roman"/>
          <w:color w:val="auto"/>
          <w:highlight w:val="none"/>
        </w:rPr>
        <w:fldChar w:fldCharType="separate"/>
      </w:r>
      <w:r>
        <w:rPr>
          <w:rFonts w:hint="eastAsia" w:ascii="黑体" w:hAnsi="黑体" w:eastAsia="黑体"/>
          <w:color w:val="auto"/>
          <w:szCs w:val="44"/>
          <w:highlight w:val="none"/>
        </w:rPr>
        <w:t>第二部分 商务技术文件</w:t>
      </w:r>
      <w:r>
        <w:rPr>
          <w:color w:val="auto"/>
          <w:highlight w:val="none"/>
        </w:rPr>
        <w:tab/>
      </w:r>
      <w:r>
        <w:rPr>
          <w:color w:val="auto"/>
          <w:highlight w:val="none"/>
        </w:rPr>
        <w:fldChar w:fldCharType="begin"/>
      </w:r>
      <w:r>
        <w:rPr>
          <w:color w:val="auto"/>
          <w:highlight w:val="none"/>
        </w:rPr>
        <w:instrText xml:space="preserve"> PAGEREF _Toc21522 \h </w:instrText>
      </w:r>
      <w:r>
        <w:rPr>
          <w:color w:val="auto"/>
          <w:highlight w:val="none"/>
        </w:rPr>
        <w:fldChar w:fldCharType="separate"/>
      </w:r>
      <w:r>
        <w:rPr>
          <w:color w:val="auto"/>
          <w:highlight w:val="none"/>
        </w:rPr>
        <w:t>113</w:t>
      </w:r>
      <w:r>
        <w:rPr>
          <w:color w:val="auto"/>
          <w:highlight w:val="none"/>
        </w:rPr>
        <w:fldChar w:fldCharType="end"/>
      </w:r>
      <w:r>
        <w:rPr>
          <w:rFonts w:ascii="宋体" w:hAnsi="宋体" w:eastAsia="宋体" w:cs="Times New Roman"/>
          <w:color w:val="auto"/>
          <w:highlight w:val="none"/>
        </w:rPr>
        <w:fldChar w:fldCharType="end"/>
      </w:r>
    </w:p>
    <w:p w14:paraId="1C097A75">
      <w:pPr>
        <w:pStyle w:val="12"/>
        <w:tabs>
          <w:tab w:val="right" w:leader="dot" w:pos="9506"/>
        </w:tabs>
        <w:rPr>
          <w:color w:val="auto"/>
          <w:highlight w:val="none"/>
        </w:rPr>
      </w:pPr>
      <w:r>
        <w:rPr>
          <w:rFonts w:ascii="宋体" w:hAnsi="宋体" w:eastAsia="宋体" w:cs="Times New Roman"/>
          <w:color w:val="auto"/>
          <w:highlight w:val="none"/>
        </w:rPr>
        <w:fldChar w:fldCharType="begin"/>
      </w:r>
      <w:r>
        <w:rPr>
          <w:rFonts w:ascii="宋体" w:hAnsi="宋体" w:eastAsia="宋体" w:cs="Times New Roman"/>
          <w:color w:val="auto"/>
          <w:highlight w:val="none"/>
        </w:rPr>
        <w:instrText xml:space="preserve"> HYPERLINK \l _Toc19427 </w:instrText>
      </w:r>
      <w:r>
        <w:rPr>
          <w:rFonts w:ascii="宋体" w:hAnsi="宋体" w:eastAsia="宋体" w:cs="Times New Roman"/>
          <w:color w:val="auto"/>
          <w:highlight w:val="none"/>
        </w:rPr>
        <w:fldChar w:fldCharType="separate"/>
      </w:r>
      <w:r>
        <w:rPr>
          <w:rFonts w:hint="eastAsia" w:ascii="黑体" w:hAnsi="宋体" w:eastAsia="黑体"/>
          <w:color w:val="auto"/>
          <w:szCs w:val="28"/>
          <w:highlight w:val="none"/>
        </w:rPr>
        <w:t>五</w:t>
      </w:r>
      <w:r>
        <w:rPr>
          <w:rFonts w:ascii="黑体" w:hAnsi="宋体" w:eastAsia="黑体"/>
          <w:color w:val="auto"/>
          <w:szCs w:val="28"/>
          <w:highlight w:val="none"/>
        </w:rPr>
        <w:t>、</w:t>
      </w:r>
      <w:r>
        <w:rPr>
          <w:rFonts w:hint="eastAsia" w:ascii="黑体" w:hAnsi="宋体" w:eastAsia="黑体"/>
          <w:color w:val="auto"/>
          <w:szCs w:val="28"/>
          <w:highlight w:val="none"/>
        </w:rPr>
        <w:t>投标函</w:t>
      </w:r>
      <w:r>
        <w:rPr>
          <w:color w:val="auto"/>
          <w:highlight w:val="none"/>
        </w:rPr>
        <w:tab/>
      </w:r>
      <w:r>
        <w:rPr>
          <w:color w:val="auto"/>
          <w:highlight w:val="none"/>
        </w:rPr>
        <w:fldChar w:fldCharType="begin"/>
      </w:r>
      <w:r>
        <w:rPr>
          <w:color w:val="auto"/>
          <w:highlight w:val="none"/>
        </w:rPr>
        <w:instrText xml:space="preserve"> PAGEREF _Toc19427 \h </w:instrText>
      </w:r>
      <w:r>
        <w:rPr>
          <w:color w:val="auto"/>
          <w:highlight w:val="none"/>
        </w:rPr>
        <w:fldChar w:fldCharType="separate"/>
      </w:r>
      <w:r>
        <w:rPr>
          <w:color w:val="auto"/>
          <w:highlight w:val="none"/>
        </w:rPr>
        <w:t>114</w:t>
      </w:r>
      <w:r>
        <w:rPr>
          <w:color w:val="auto"/>
          <w:highlight w:val="none"/>
        </w:rPr>
        <w:fldChar w:fldCharType="end"/>
      </w:r>
      <w:r>
        <w:rPr>
          <w:rFonts w:ascii="宋体" w:hAnsi="宋体" w:eastAsia="宋体" w:cs="Times New Roman"/>
          <w:color w:val="auto"/>
          <w:highlight w:val="none"/>
        </w:rPr>
        <w:fldChar w:fldCharType="end"/>
      </w:r>
    </w:p>
    <w:p w14:paraId="1DC5D7F5">
      <w:pPr>
        <w:pStyle w:val="12"/>
        <w:tabs>
          <w:tab w:val="right" w:leader="dot" w:pos="9506"/>
        </w:tabs>
        <w:rPr>
          <w:color w:val="auto"/>
          <w:highlight w:val="none"/>
        </w:rPr>
      </w:pPr>
      <w:r>
        <w:rPr>
          <w:rFonts w:ascii="宋体" w:hAnsi="宋体" w:eastAsia="宋体" w:cs="Times New Roman"/>
          <w:color w:val="auto"/>
          <w:highlight w:val="none"/>
        </w:rPr>
        <w:fldChar w:fldCharType="begin"/>
      </w:r>
      <w:r>
        <w:rPr>
          <w:rFonts w:ascii="宋体" w:hAnsi="宋体" w:eastAsia="宋体" w:cs="Times New Roman"/>
          <w:color w:val="auto"/>
          <w:highlight w:val="none"/>
        </w:rPr>
        <w:instrText xml:space="preserve"> HYPERLINK \l _Toc23109 </w:instrText>
      </w:r>
      <w:r>
        <w:rPr>
          <w:rFonts w:ascii="宋体" w:hAnsi="宋体" w:eastAsia="宋体" w:cs="Times New Roman"/>
          <w:color w:val="auto"/>
          <w:highlight w:val="none"/>
        </w:rPr>
        <w:fldChar w:fldCharType="separate"/>
      </w:r>
      <w:r>
        <w:rPr>
          <w:rFonts w:hint="eastAsia" w:ascii="黑体" w:hAnsi="宋体" w:eastAsia="黑体"/>
          <w:color w:val="auto"/>
          <w:szCs w:val="28"/>
          <w:highlight w:val="none"/>
        </w:rPr>
        <w:t>六、分项报价</w:t>
      </w:r>
      <w:r>
        <w:rPr>
          <w:color w:val="auto"/>
          <w:highlight w:val="none"/>
        </w:rPr>
        <w:tab/>
      </w:r>
      <w:r>
        <w:rPr>
          <w:color w:val="auto"/>
          <w:highlight w:val="none"/>
        </w:rPr>
        <w:fldChar w:fldCharType="begin"/>
      </w:r>
      <w:r>
        <w:rPr>
          <w:color w:val="auto"/>
          <w:highlight w:val="none"/>
        </w:rPr>
        <w:instrText xml:space="preserve"> PAGEREF _Toc23109 \h </w:instrText>
      </w:r>
      <w:r>
        <w:rPr>
          <w:color w:val="auto"/>
          <w:highlight w:val="none"/>
        </w:rPr>
        <w:fldChar w:fldCharType="separate"/>
      </w:r>
      <w:r>
        <w:rPr>
          <w:color w:val="auto"/>
          <w:highlight w:val="none"/>
        </w:rPr>
        <w:t>116</w:t>
      </w:r>
      <w:r>
        <w:rPr>
          <w:color w:val="auto"/>
          <w:highlight w:val="none"/>
        </w:rPr>
        <w:fldChar w:fldCharType="end"/>
      </w:r>
      <w:r>
        <w:rPr>
          <w:rFonts w:ascii="宋体" w:hAnsi="宋体" w:eastAsia="宋体" w:cs="Times New Roman"/>
          <w:color w:val="auto"/>
          <w:highlight w:val="none"/>
        </w:rPr>
        <w:fldChar w:fldCharType="end"/>
      </w:r>
    </w:p>
    <w:p w14:paraId="6899BC63">
      <w:pPr>
        <w:pStyle w:val="12"/>
        <w:tabs>
          <w:tab w:val="right" w:leader="dot" w:pos="9506"/>
        </w:tabs>
        <w:rPr>
          <w:color w:val="auto"/>
          <w:highlight w:val="none"/>
        </w:rPr>
      </w:pPr>
      <w:r>
        <w:rPr>
          <w:rFonts w:ascii="宋体" w:hAnsi="宋体" w:eastAsia="宋体" w:cs="Times New Roman"/>
          <w:color w:val="auto"/>
          <w:highlight w:val="none"/>
        </w:rPr>
        <w:fldChar w:fldCharType="begin"/>
      </w:r>
      <w:r>
        <w:rPr>
          <w:rFonts w:ascii="宋体" w:hAnsi="宋体" w:eastAsia="宋体" w:cs="Times New Roman"/>
          <w:color w:val="auto"/>
          <w:highlight w:val="none"/>
        </w:rPr>
        <w:instrText xml:space="preserve"> HYPERLINK \l _Toc30088 </w:instrText>
      </w:r>
      <w:r>
        <w:rPr>
          <w:rFonts w:ascii="宋体" w:hAnsi="宋体" w:eastAsia="宋体" w:cs="Times New Roman"/>
          <w:color w:val="auto"/>
          <w:highlight w:val="none"/>
        </w:rPr>
        <w:fldChar w:fldCharType="separate"/>
      </w:r>
      <w:r>
        <w:rPr>
          <w:rFonts w:hint="eastAsia" w:ascii="黑体" w:hAnsi="宋体" w:eastAsia="黑体"/>
          <w:color w:val="auto"/>
          <w:szCs w:val="28"/>
          <w:highlight w:val="none"/>
        </w:rPr>
        <w:t>七、采购需求响应</w:t>
      </w:r>
      <w:r>
        <w:rPr>
          <w:color w:val="auto"/>
          <w:highlight w:val="none"/>
        </w:rPr>
        <w:tab/>
      </w:r>
      <w:r>
        <w:rPr>
          <w:color w:val="auto"/>
          <w:highlight w:val="none"/>
        </w:rPr>
        <w:fldChar w:fldCharType="begin"/>
      </w:r>
      <w:r>
        <w:rPr>
          <w:color w:val="auto"/>
          <w:highlight w:val="none"/>
        </w:rPr>
        <w:instrText xml:space="preserve"> PAGEREF _Toc30088 \h </w:instrText>
      </w:r>
      <w:r>
        <w:rPr>
          <w:color w:val="auto"/>
          <w:highlight w:val="none"/>
        </w:rPr>
        <w:fldChar w:fldCharType="separate"/>
      </w:r>
      <w:r>
        <w:rPr>
          <w:color w:val="auto"/>
          <w:highlight w:val="none"/>
        </w:rPr>
        <w:t>117</w:t>
      </w:r>
      <w:r>
        <w:rPr>
          <w:color w:val="auto"/>
          <w:highlight w:val="none"/>
        </w:rPr>
        <w:fldChar w:fldCharType="end"/>
      </w:r>
      <w:r>
        <w:rPr>
          <w:rFonts w:ascii="宋体" w:hAnsi="宋体" w:eastAsia="宋体" w:cs="Times New Roman"/>
          <w:color w:val="auto"/>
          <w:highlight w:val="none"/>
        </w:rPr>
        <w:fldChar w:fldCharType="end"/>
      </w:r>
    </w:p>
    <w:p w14:paraId="740054D1">
      <w:pPr>
        <w:pStyle w:val="12"/>
        <w:tabs>
          <w:tab w:val="right" w:leader="dot" w:pos="9506"/>
        </w:tabs>
        <w:rPr>
          <w:color w:val="auto"/>
          <w:highlight w:val="none"/>
        </w:rPr>
      </w:pPr>
      <w:r>
        <w:rPr>
          <w:rFonts w:ascii="宋体" w:hAnsi="宋体" w:eastAsia="宋体" w:cs="Times New Roman"/>
          <w:color w:val="auto"/>
          <w:highlight w:val="none"/>
        </w:rPr>
        <w:fldChar w:fldCharType="begin"/>
      </w:r>
      <w:r>
        <w:rPr>
          <w:rFonts w:ascii="宋体" w:hAnsi="宋体" w:eastAsia="宋体" w:cs="Times New Roman"/>
          <w:color w:val="auto"/>
          <w:highlight w:val="none"/>
        </w:rPr>
        <w:instrText xml:space="preserve"> HYPERLINK \l _Toc6886 </w:instrText>
      </w:r>
      <w:r>
        <w:rPr>
          <w:rFonts w:ascii="宋体" w:hAnsi="宋体" w:eastAsia="宋体" w:cs="Times New Roman"/>
          <w:color w:val="auto"/>
          <w:highlight w:val="none"/>
        </w:rPr>
        <w:fldChar w:fldCharType="separate"/>
      </w:r>
      <w:r>
        <w:rPr>
          <w:rFonts w:hint="eastAsia" w:ascii="黑体" w:hAnsi="黑体" w:eastAsia="黑体"/>
          <w:color w:val="auto"/>
          <w:szCs w:val="28"/>
          <w:highlight w:val="none"/>
        </w:rPr>
        <w:t>八、合同条款偏离表</w:t>
      </w:r>
      <w:r>
        <w:rPr>
          <w:color w:val="auto"/>
          <w:highlight w:val="none"/>
        </w:rPr>
        <w:tab/>
      </w:r>
      <w:r>
        <w:rPr>
          <w:color w:val="auto"/>
          <w:highlight w:val="none"/>
        </w:rPr>
        <w:fldChar w:fldCharType="begin"/>
      </w:r>
      <w:r>
        <w:rPr>
          <w:color w:val="auto"/>
          <w:highlight w:val="none"/>
        </w:rPr>
        <w:instrText xml:space="preserve"> PAGEREF _Toc6886 \h </w:instrText>
      </w:r>
      <w:r>
        <w:rPr>
          <w:color w:val="auto"/>
          <w:highlight w:val="none"/>
        </w:rPr>
        <w:fldChar w:fldCharType="separate"/>
      </w:r>
      <w:r>
        <w:rPr>
          <w:color w:val="auto"/>
          <w:highlight w:val="none"/>
        </w:rPr>
        <w:t>118</w:t>
      </w:r>
      <w:r>
        <w:rPr>
          <w:color w:val="auto"/>
          <w:highlight w:val="none"/>
        </w:rPr>
        <w:fldChar w:fldCharType="end"/>
      </w:r>
      <w:r>
        <w:rPr>
          <w:rFonts w:ascii="宋体" w:hAnsi="宋体" w:eastAsia="宋体" w:cs="Times New Roman"/>
          <w:color w:val="auto"/>
          <w:highlight w:val="none"/>
        </w:rPr>
        <w:fldChar w:fldCharType="end"/>
      </w:r>
    </w:p>
    <w:p w14:paraId="43D16021">
      <w:pPr>
        <w:pStyle w:val="12"/>
        <w:tabs>
          <w:tab w:val="right" w:leader="dot" w:pos="9506"/>
        </w:tabs>
        <w:rPr>
          <w:color w:val="auto"/>
          <w:highlight w:val="none"/>
        </w:rPr>
      </w:pPr>
      <w:r>
        <w:rPr>
          <w:rFonts w:ascii="宋体" w:hAnsi="宋体" w:eastAsia="宋体" w:cs="Times New Roman"/>
          <w:color w:val="auto"/>
          <w:highlight w:val="none"/>
        </w:rPr>
        <w:fldChar w:fldCharType="begin"/>
      </w:r>
      <w:r>
        <w:rPr>
          <w:rFonts w:ascii="宋体" w:hAnsi="宋体" w:eastAsia="宋体" w:cs="Times New Roman"/>
          <w:color w:val="auto"/>
          <w:highlight w:val="none"/>
        </w:rPr>
        <w:instrText xml:space="preserve"> HYPERLINK \l _Toc29536 </w:instrText>
      </w:r>
      <w:r>
        <w:rPr>
          <w:rFonts w:ascii="宋体" w:hAnsi="宋体" w:eastAsia="宋体" w:cs="Times New Roman"/>
          <w:color w:val="auto"/>
          <w:highlight w:val="none"/>
        </w:rPr>
        <w:fldChar w:fldCharType="separate"/>
      </w:r>
      <w:r>
        <w:rPr>
          <w:rFonts w:hint="eastAsia" w:ascii="黑体" w:hAnsi="宋体" w:eastAsia="黑体"/>
          <w:color w:val="auto"/>
          <w:szCs w:val="28"/>
          <w:highlight w:val="none"/>
        </w:rPr>
        <w:t>九、采购需求偏离表</w:t>
      </w:r>
      <w:r>
        <w:rPr>
          <w:color w:val="auto"/>
          <w:highlight w:val="none"/>
        </w:rPr>
        <w:tab/>
      </w:r>
      <w:r>
        <w:rPr>
          <w:color w:val="auto"/>
          <w:highlight w:val="none"/>
        </w:rPr>
        <w:fldChar w:fldCharType="begin"/>
      </w:r>
      <w:r>
        <w:rPr>
          <w:color w:val="auto"/>
          <w:highlight w:val="none"/>
        </w:rPr>
        <w:instrText xml:space="preserve"> PAGEREF _Toc29536 \h </w:instrText>
      </w:r>
      <w:r>
        <w:rPr>
          <w:color w:val="auto"/>
          <w:highlight w:val="none"/>
        </w:rPr>
        <w:fldChar w:fldCharType="separate"/>
      </w:r>
      <w:r>
        <w:rPr>
          <w:color w:val="auto"/>
          <w:highlight w:val="none"/>
        </w:rPr>
        <w:t>119</w:t>
      </w:r>
      <w:r>
        <w:rPr>
          <w:color w:val="auto"/>
          <w:highlight w:val="none"/>
        </w:rPr>
        <w:fldChar w:fldCharType="end"/>
      </w:r>
      <w:r>
        <w:rPr>
          <w:rFonts w:ascii="宋体" w:hAnsi="宋体" w:eastAsia="宋体" w:cs="Times New Roman"/>
          <w:color w:val="auto"/>
          <w:highlight w:val="none"/>
        </w:rPr>
        <w:fldChar w:fldCharType="end"/>
      </w:r>
    </w:p>
    <w:p w14:paraId="08B1AA4D">
      <w:pPr>
        <w:pStyle w:val="12"/>
        <w:tabs>
          <w:tab w:val="right" w:leader="dot" w:pos="9506"/>
        </w:tabs>
        <w:rPr>
          <w:color w:val="auto"/>
          <w:highlight w:val="none"/>
        </w:rPr>
      </w:pPr>
      <w:r>
        <w:rPr>
          <w:rFonts w:ascii="宋体" w:hAnsi="宋体" w:eastAsia="宋体" w:cs="Times New Roman"/>
          <w:color w:val="auto"/>
          <w:highlight w:val="none"/>
        </w:rPr>
        <w:fldChar w:fldCharType="begin"/>
      </w:r>
      <w:r>
        <w:rPr>
          <w:rFonts w:ascii="宋体" w:hAnsi="宋体" w:eastAsia="宋体" w:cs="Times New Roman"/>
          <w:color w:val="auto"/>
          <w:highlight w:val="none"/>
        </w:rPr>
        <w:instrText xml:space="preserve"> HYPERLINK \l _Toc9776 </w:instrText>
      </w:r>
      <w:r>
        <w:rPr>
          <w:rFonts w:ascii="宋体" w:hAnsi="宋体" w:eastAsia="宋体" w:cs="Times New Roman"/>
          <w:color w:val="auto"/>
          <w:highlight w:val="none"/>
        </w:rPr>
        <w:fldChar w:fldCharType="separate"/>
      </w:r>
      <w:r>
        <w:rPr>
          <w:rFonts w:hint="eastAsia" w:ascii="宋体" w:hAnsi="宋体"/>
          <w:color w:val="auto"/>
          <w:szCs w:val="21"/>
          <w:highlight w:val="none"/>
        </w:rPr>
        <w:t>十</w:t>
      </w:r>
      <w:r>
        <w:rPr>
          <w:rFonts w:hint="eastAsia" w:ascii="黑体" w:hAnsi="宋体" w:eastAsia="黑体"/>
          <w:color w:val="auto"/>
          <w:szCs w:val="28"/>
          <w:highlight w:val="none"/>
        </w:rPr>
        <w:t>、享受政府采购政策优惠的证明资料</w:t>
      </w:r>
      <w:r>
        <w:rPr>
          <w:color w:val="auto"/>
          <w:highlight w:val="none"/>
        </w:rPr>
        <w:tab/>
      </w:r>
      <w:r>
        <w:rPr>
          <w:color w:val="auto"/>
          <w:highlight w:val="none"/>
        </w:rPr>
        <w:fldChar w:fldCharType="begin"/>
      </w:r>
      <w:r>
        <w:rPr>
          <w:color w:val="auto"/>
          <w:highlight w:val="none"/>
        </w:rPr>
        <w:instrText xml:space="preserve"> PAGEREF _Toc9776 \h </w:instrText>
      </w:r>
      <w:r>
        <w:rPr>
          <w:color w:val="auto"/>
          <w:highlight w:val="none"/>
        </w:rPr>
        <w:fldChar w:fldCharType="separate"/>
      </w:r>
      <w:r>
        <w:rPr>
          <w:color w:val="auto"/>
          <w:highlight w:val="none"/>
        </w:rPr>
        <w:t>120</w:t>
      </w:r>
      <w:r>
        <w:rPr>
          <w:color w:val="auto"/>
          <w:highlight w:val="none"/>
        </w:rPr>
        <w:fldChar w:fldCharType="end"/>
      </w:r>
      <w:r>
        <w:rPr>
          <w:rFonts w:ascii="宋体" w:hAnsi="宋体" w:eastAsia="宋体" w:cs="Times New Roman"/>
          <w:color w:val="auto"/>
          <w:highlight w:val="none"/>
        </w:rPr>
        <w:fldChar w:fldCharType="end"/>
      </w:r>
    </w:p>
    <w:p w14:paraId="221701E7">
      <w:pPr>
        <w:pStyle w:val="12"/>
        <w:tabs>
          <w:tab w:val="right" w:leader="dot" w:pos="9506"/>
        </w:tabs>
        <w:rPr>
          <w:color w:val="auto"/>
          <w:highlight w:val="none"/>
        </w:rPr>
      </w:pPr>
      <w:r>
        <w:rPr>
          <w:rFonts w:ascii="宋体" w:hAnsi="宋体" w:eastAsia="宋体" w:cs="Times New Roman"/>
          <w:color w:val="auto"/>
          <w:highlight w:val="none"/>
        </w:rPr>
        <w:fldChar w:fldCharType="begin"/>
      </w:r>
      <w:r>
        <w:rPr>
          <w:rFonts w:ascii="宋体" w:hAnsi="宋体" w:eastAsia="宋体" w:cs="Times New Roman"/>
          <w:color w:val="auto"/>
          <w:highlight w:val="none"/>
        </w:rPr>
        <w:instrText xml:space="preserve"> HYPERLINK \l _Toc27356 </w:instrText>
      </w:r>
      <w:r>
        <w:rPr>
          <w:rFonts w:ascii="宋体" w:hAnsi="宋体" w:eastAsia="宋体" w:cs="Times New Roman"/>
          <w:color w:val="auto"/>
          <w:highlight w:val="none"/>
        </w:rPr>
        <w:fldChar w:fldCharType="separate"/>
      </w:r>
      <w:r>
        <w:rPr>
          <w:rFonts w:hint="eastAsia" w:ascii="黑体" w:hAnsi="宋体" w:eastAsia="黑体"/>
          <w:color w:val="auto"/>
          <w:szCs w:val="28"/>
          <w:highlight w:val="none"/>
        </w:rPr>
        <w:t>十一、投标货物符合招标文件规定的证明文件</w:t>
      </w:r>
      <w:r>
        <w:rPr>
          <w:color w:val="auto"/>
          <w:highlight w:val="none"/>
        </w:rPr>
        <w:tab/>
      </w:r>
      <w:r>
        <w:rPr>
          <w:color w:val="auto"/>
          <w:highlight w:val="none"/>
        </w:rPr>
        <w:fldChar w:fldCharType="begin"/>
      </w:r>
      <w:r>
        <w:rPr>
          <w:color w:val="auto"/>
          <w:highlight w:val="none"/>
        </w:rPr>
        <w:instrText xml:space="preserve"> PAGEREF _Toc27356 \h </w:instrText>
      </w:r>
      <w:r>
        <w:rPr>
          <w:color w:val="auto"/>
          <w:highlight w:val="none"/>
        </w:rPr>
        <w:fldChar w:fldCharType="separate"/>
      </w:r>
      <w:r>
        <w:rPr>
          <w:color w:val="auto"/>
          <w:highlight w:val="none"/>
        </w:rPr>
        <w:t>127</w:t>
      </w:r>
      <w:r>
        <w:rPr>
          <w:color w:val="auto"/>
          <w:highlight w:val="none"/>
        </w:rPr>
        <w:fldChar w:fldCharType="end"/>
      </w:r>
      <w:r>
        <w:rPr>
          <w:rFonts w:ascii="宋体" w:hAnsi="宋体" w:eastAsia="宋体" w:cs="Times New Roman"/>
          <w:color w:val="auto"/>
          <w:highlight w:val="none"/>
        </w:rPr>
        <w:fldChar w:fldCharType="end"/>
      </w:r>
    </w:p>
    <w:p w14:paraId="1DB48062">
      <w:pPr>
        <w:pStyle w:val="12"/>
        <w:tabs>
          <w:tab w:val="right" w:leader="dot" w:pos="9506"/>
        </w:tabs>
        <w:rPr>
          <w:color w:val="auto"/>
          <w:highlight w:val="none"/>
        </w:rPr>
      </w:pPr>
      <w:r>
        <w:rPr>
          <w:rFonts w:ascii="宋体" w:hAnsi="宋体" w:eastAsia="宋体" w:cs="Times New Roman"/>
          <w:color w:val="auto"/>
          <w:highlight w:val="none"/>
        </w:rPr>
        <w:fldChar w:fldCharType="begin"/>
      </w:r>
      <w:r>
        <w:rPr>
          <w:rFonts w:ascii="宋体" w:hAnsi="宋体" w:eastAsia="宋体" w:cs="Times New Roman"/>
          <w:color w:val="auto"/>
          <w:highlight w:val="none"/>
        </w:rPr>
        <w:instrText xml:space="preserve"> HYPERLINK \l _Toc9535 </w:instrText>
      </w:r>
      <w:r>
        <w:rPr>
          <w:rFonts w:ascii="宋体" w:hAnsi="宋体" w:eastAsia="宋体" w:cs="Times New Roman"/>
          <w:color w:val="auto"/>
          <w:highlight w:val="none"/>
        </w:rPr>
        <w:fldChar w:fldCharType="separate"/>
      </w:r>
      <w:r>
        <w:rPr>
          <w:rFonts w:hint="eastAsia" w:ascii="黑体" w:hAnsi="宋体" w:eastAsia="黑体"/>
          <w:color w:val="auto"/>
          <w:szCs w:val="28"/>
          <w:highlight w:val="none"/>
        </w:rPr>
        <w:t>十二、投标人认为需提供的其他资料</w:t>
      </w:r>
      <w:r>
        <w:rPr>
          <w:color w:val="auto"/>
          <w:highlight w:val="none"/>
        </w:rPr>
        <w:tab/>
      </w:r>
      <w:r>
        <w:rPr>
          <w:color w:val="auto"/>
          <w:highlight w:val="none"/>
        </w:rPr>
        <w:fldChar w:fldCharType="begin"/>
      </w:r>
      <w:r>
        <w:rPr>
          <w:color w:val="auto"/>
          <w:highlight w:val="none"/>
        </w:rPr>
        <w:instrText xml:space="preserve"> PAGEREF _Toc9535 \h </w:instrText>
      </w:r>
      <w:r>
        <w:rPr>
          <w:color w:val="auto"/>
          <w:highlight w:val="none"/>
        </w:rPr>
        <w:fldChar w:fldCharType="separate"/>
      </w:r>
      <w:r>
        <w:rPr>
          <w:color w:val="auto"/>
          <w:highlight w:val="none"/>
        </w:rPr>
        <w:t>128</w:t>
      </w:r>
      <w:r>
        <w:rPr>
          <w:color w:val="auto"/>
          <w:highlight w:val="none"/>
        </w:rPr>
        <w:fldChar w:fldCharType="end"/>
      </w:r>
      <w:r>
        <w:rPr>
          <w:rFonts w:ascii="宋体" w:hAnsi="宋体" w:eastAsia="宋体" w:cs="Times New Roman"/>
          <w:color w:val="auto"/>
          <w:highlight w:val="none"/>
        </w:rPr>
        <w:fldChar w:fldCharType="end"/>
      </w:r>
    </w:p>
    <w:p w14:paraId="2198DE33">
      <w:pPr>
        <w:pStyle w:val="13"/>
        <w:adjustRightInd w:val="0"/>
        <w:snapToGrid w:val="0"/>
        <w:spacing w:line="360" w:lineRule="auto"/>
        <w:jc w:val="center"/>
        <w:outlineLvl w:val="0"/>
        <w:rPr>
          <w:rFonts w:ascii="宋体" w:hAnsi="宋体" w:eastAsia="宋体" w:cs="Times New Roman"/>
          <w:color w:val="auto"/>
          <w:highlight w:val="none"/>
        </w:rPr>
      </w:pPr>
      <w:r>
        <w:rPr>
          <w:rFonts w:ascii="宋体" w:hAnsi="宋体" w:eastAsia="宋体" w:cs="Times New Roman"/>
          <w:color w:val="auto"/>
          <w:highlight w:val="none"/>
        </w:rPr>
        <w:fldChar w:fldCharType="end"/>
      </w:r>
      <w:bookmarkStart w:id="0" w:name="_Toc21001314"/>
      <w:bookmarkStart w:id="1" w:name="_Toc34720698"/>
      <w:bookmarkStart w:id="2" w:name="_Toc53472201"/>
      <w:bookmarkStart w:id="3" w:name="_Toc20642243"/>
      <w:bookmarkStart w:id="4" w:name="_Toc35421027"/>
      <w:bookmarkStart w:id="5" w:name="_Toc20816073"/>
      <w:bookmarkStart w:id="6" w:name="_Toc21000471"/>
      <w:bookmarkStart w:id="7" w:name="_Toc20988241"/>
    </w:p>
    <w:p w14:paraId="2168DF6C">
      <w:pPr>
        <w:pStyle w:val="13"/>
        <w:adjustRightInd w:val="0"/>
        <w:snapToGrid w:val="0"/>
        <w:spacing w:line="360" w:lineRule="auto"/>
        <w:jc w:val="center"/>
        <w:outlineLvl w:val="0"/>
        <w:rPr>
          <w:rFonts w:hint="eastAsia" w:ascii="黑体" w:hAnsi="华文中宋" w:eastAsia="黑体"/>
          <w:color w:val="auto"/>
          <w:sz w:val="32"/>
          <w:szCs w:val="32"/>
          <w:highlight w:val="none"/>
        </w:rPr>
        <w:sectPr>
          <w:footerReference r:id="rId5" w:type="default"/>
          <w:pgSz w:w="11905" w:h="16839"/>
          <w:pgMar w:top="1238" w:right="1180" w:bottom="1150" w:left="1219" w:header="1337" w:footer="988" w:gutter="0"/>
          <w:pgBorders>
            <w:top w:val="none" w:sz="0" w:space="0"/>
            <w:left w:val="none" w:sz="0" w:space="0"/>
            <w:bottom w:val="none" w:sz="0" w:space="0"/>
            <w:right w:val="none" w:sz="0" w:space="0"/>
          </w:pgBorders>
          <w:pgNumType w:fmt="decimal" w:start="1"/>
          <w:cols w:space="720" w:num="1"/>
        </w:sectPr>
      </w:pPr>
    </w:p>
    <w:p w14:paraId="26C99B1B">
      <w:pPr>
        <w:pStyle w:val="13"/>
        <w:adjustRightInd w:val="0"/>
        <w:snapToGrid w:val="0"/>
        <w:spacing w:line="360" w:lineRule="auto"/>
        <w:jc w:val="center"/>
        <w:outlineLvl w:val="0"/>
        <w:rPr>
          <w:rFonts w:ascii="黑体" w:hAnsi="华文中宋" w:eastAsia="黑体"/>
          <w:color w:val="auto"/>
          <w:sz w:val="32"/>
          <w:szCs w:val="32"/>
          <w:highlight w:val="none"/>
        </w:rPr>
      </w:pPr>
      <w:bookmarkStart w:id="8" w:name="_Toc14388"/>
      <w:r>
        <w:rPr>
          <w:rFonts w:hint="eastAsia" w:ascii="黑体" w:hAnsi="华文中宋" w:eastAsia="黑体"/>
          <w:color w:val="auto"/>
          <w:sz w:val="32"/>
          <w:szCs w:val="32"/>
          <w:highlight w:val="none"/>
        </w:rPr>
        <w:t>第一章 投标邀请（公开招标）</w:t>
      </w:r>
      <w:bookmarkEnd w:id="8"/>
    </w:p>
    <w:p w14:paraId="33D99EA4">
      <w:pPr>
        <w:adjustRightInd w:val="0"/>
        <w:snapToGrid w:val="0"/>
        <w:spacing w:line="360" w:lineRule="auto"/>
        <w:ind w:firstLine="420" w:firstLineChars="200"/>
        <w:rPr>
          <w:rFonts w:ascii="宋体" w:hAnsi="宋体"/>
          <w:color w:val="auto"/>
          <w:szCs w:val="21"/>
          <w:highlight w:val="none"/>
          <w:u w:val="single"/>
        </w:rPr>
      </w:pPr>
    </w:p>
    <w:p w14:paraId="48717F04">
      <w:pPr>
        <w:keepNext w:val="0"/>
        <w:keepLines w:val="0"/>
        <w:pageBreakBefore w:val="0"/>
        <w:widowControl w:val="0"/>
        <w:kinsoku/>
        <w:wordWrap/>
        <w:overflowPunct/>
        <w:topLinePunct w:val="0"/>
        <w:bidi w:val="0"/>
        <w:adjustRightInd w:val="0"/>
        <w:snapToGrid w:val="0"/>
        <w:spacing w:line="480" w:lineRule="exact"/>
        <w:ind w:firstLine="420" w:firstLineChars="200"/>
        <w:textAlignment w:val="auto"/>
        <w:rPr>
          <w:rFonts w:ascii="宋体" w:hAnsi="宋体"/>
          <w:color w:val="auto"/>
          <w:szCs w:val="21"/>
          <w:highlight w:val="none"/>
        </w:rPr>
      </w:pPr>
      <w:r>
        <w:rPr>
          <w:rFonts w:hint="eastAsia" w:ascii="宋体" w:hAnsi="宋体"/>
          <w:color w:val="auto"/>
          <w:szCs w:val="21"/>
          <w:highlight w:val="none"/>
          <w:u w:val="single"/>
          <w:lang w:val="en-US" w:eastAsia="zh-CN"/>
        </w:rPr>
        <w:t xml:space="preserve">株洲市中心医院 </w:t>
      </w:r>
      <w:r>
        <w:rPr>
          <w:rFonts w:hint="eastAsia" w:ascii="宋体" w:hAnsi="宋体"/>
          <w:color w:val="auto"/>
          <w:szCs w:val="21"/>
          <w:highlight w:val="none"/>
        </w:rPr>
        <w:t>（采购人名称）的</w:t>
      </w:r>
      <w:r>
        <w:rPr>
          <w:rFonts w:hint="eastAsia" w:ascii="宋体" w:hAnsi="宋体"/>
          <w:color w:val="auto"/>
          <w:szCs w:val="21"/>
          <w:highlight w:val="none"/>
          <w:u w:val="single"/>
          <w:lang w:val="en-US" w:eastAsia="zh-CN"/>
        </w:rPr>
        <w:t>株洲市中心医院超长期国债项目第二批设备采购</w:t>
      </w:r>
      <w:r>
        <w:rPr>
          <w:rFonts w:hint="eastAsia" w:ascii="宋体" w:hAnsi="宋体"/>
          <w:color w:val="auto"/>
          <w:szCs w:val="21"/>
          <w:highlight w:val="none"/>
        </w:rPr>
        <w:t>(项目名称)进行公开招标采购，现邀请合格投标人参加投标。</w:t>
      </w:r>
    </w:p>
    <w:p w14:paraId="02487C3A">
      <w:pPr>
        <w:keepNext w:val="0"/>
        <w:keepLines w:val="0"/>
        <w:pageBreakBefore w:val="0"/>
        <w:widowControl w:val="0"/>
        <w:kinsoku/>
        <w:wordWrap/>
        <w:overflowPunct/>
        <w:topLinePunct w:val="0"/>
        <w:bidi w:val="0"/>
        <w:adjustRightInd w:val="0"/>
        <w:snapToGrid w:val="0"/>
        <w:spacing w:line="480" w:lineRule="exact"/>
        <w:ind w:firstLine="422" w:firstLineChars="200"/>
        <w:textAlignment w:val="auto"/>
        <w:rPr>
          <w:rFonts w:ascii="宋体" w:hAnsi="宋体"/>
          <w:b/>
          <w:color w:val="auto"/>
          <w:szCs w:val="21"/>
          <w:highlight w:val="none"/>
        </w:rPr>
      </w:pPr>
      <w:r>
        <w:rPr>
          <w:rFonts w:hint="eastAsia" w:ascii="宋体" w:hAnsi="宋体"/>
          <w:b/>
          <w:color w:val="auto"/>
          <w:szCs w:val="21"/>
          <w:highlight w:val="none"/>
        </w:rPr>
        <w:t>一、采购项目基本信息</w:t>
      </w:r>
    </w:p>
    <w:p w14:paraId="6BAACCBA">
      <w:pPr>
        <w:keepNext w:val="0"/>
        <w:keepLines w:val="0"/>
        <w:pageBreakBefore w:val="0"/>
        <w:widowControl w:val="0"/>
        <w:kinsoku/>
        <w:wordWrap/>
        <w:overflowPunct/>
        <w:topLinePunct w:val="0"/>
        <w:bidi w:val="0"/>
        <w:adjustRightInd w:val="0"/>
        <w:snapToGrid w:val="0"/>
        <w:spacing w:line="480" w:lineRule="exact"/>
        <w:ind w:firstLine="420" w:firstLineChars="200"/>
        <w:textAlignment w:val="auto"/>
        <w:rPr>
          <w:rFonts w:hint="eastAsia" w:ascii="宋体" w:hAnsi="宋体" w:eastAsia="宋体"/>
          <w:color w:val="auto"/>
          <w:szCs w:val="21"/>
          <w:highlight w:val="none"/>
          <w:lang w:eastAsia="zh-CN"/>
        </w:rPr>
      </w:pPr>
      <w:r>
        <w:rPr>
          <w:rFonts w:hint="eastAsia" w:ascii="宋体" w:hAnsi="宋体"/>
          <w:color w:val="auto"/>
          <w:szCs w:val="21"/>
          <w:highlight w:val="none"/>
        </w:rPr>
        <w:t>1、</w:t>
      </w:r>
      <w:r>
        <w:rPr>
          <w:rFonts w:hint="eastAsia" w:ascii="宋体" w:hAnsi="宋体"/>
          <w:color w:val="auto"/>
          <w:szCs w:val="21"/>
          <w:highlight w:val="none"/>
          <w:lang w:val="en-US" w:eastAsia="zh-CN"/>
        </w:rPr>
        <w:t>政府</w:t>
      </w:r>
      <w:r>
        <w:rPr>
          <w:rFonts w:hint="eastAsia" w:ascii="宋体" w:hAnsi="宋体"/>
          <w:color w:val="auto"/>
          <w:szCs w:val="21"/>
          <w:highlight w:val="none"/>
        </w:rPr>
        <w:t>采购项目编号：</w:t>
      </w:r>
      <w:r>
        <w:rPr>
          <w:rFonts w:hint="eastAsia" w:ascii="宋体" w:hAnsi="宋体"/>
          <w:color w:val="auto"/>
          <w:szCs w:val="21"/>
          <w:highlight w:val="none"/>
          <w:u w:val="single"/>
          <w:lang w:eastAsia="zh-CN"/>
        </w:rPr>
        <w:t xml:space="preserve">CGXM2026430200000002 </w:t>
      </w:r>
    </w:p>
    <w:p w14:paraId="3112929C">
      <w:pPr>
        <w:keepNext w:val="0"/>
        <w:keepLines w:val="0"/>
        <w:pageBreakBefore w:val="0"/>
        <w:widowControl w:val="0"/>
        <w:kinsoku/>
        <w:wordWrap/>
        <w:overflowPunct/>
        <w:topLinePunct w:val="0"/>
        <w:bidi w:val="0"/>
        <w:adjustRightInd w:val="0"/>
        <w:snapToGrid w:val="0"/>
        <w:spacing w:line="480" w:lineRule="exact"/>
        <w:ind w:firstLine="420" w:firstLineChars="200"/>
        <w:textAlignment w:val="auto"/>
        <w:rPr>
          <w:rFonts w:hint="eastAsia" w:ascii="宋体" w:hAnsi="宋体" w:eastAsia="宋体"/>
          <w:color w:val="auto"/>
          <w:szCs w:val="21"/>
          <w:highlight w:val="none"/>
          <w:lang w:eastAsia="zh-CN"/>
        </w:rPr>
      </w:pPr>
      <w:r>
        <w:rPr>
          <w:rFonts w:hint="eastAsia" w:ascii="宋体" w:hAnsi="宋体"/>
          <w:color w:val="auto"/>
          <w:szCs w:val="21"/>
          <w:highlight w:val="none"/>
        </w:rPr>
        <w:t>2、采购项目名称：</w:t>
      </w:r>
      <w:r>
        <w:rPr>
          <w:rFonts w:hint="eastAsia" w:ascii="宋体" w:hAnsi="宋体"/>
          <w:color w:val="auto"/>
          <w:szCs w:val="21"/>
          <w:highlight w:val="none"/>
          <w:u w:val="single"/>
          <w:lang w:val="en-US" w:eastAsia="zh-CN"/>
        </w:rPr>
        <w:t>株洲市中心医院超长期国债项目第二批设备采购</w:t>
      </w:r>
      <w:r>
        <w:rPr>
          <w:rFonts w:hint="eastAsia" w:ascii="宋体" w:hAnsi="宋体"/>
          <w:color w:val="auto"/>
          <w:szCs w:val="21"/>
          <w:highlight w:val="none"/>
          <w:u w:val="single"/>
          <w:lang w:eastAsia="zh-CN"/>
        </w:rPr>
        <w:t xml:space="preserve"> </w:t>
      </w:r>
    </w:p>
    <w:p w14:paraId="78A88391">
      <w:pPr>
        <w:keepNext w:val="0"/>
        <w:keepLines w:val="0"/>
        <w:pageBreakBefore w:val="0"/>
        <w:widowControl w:val="0"/>
        <w:kinsoku/>
        <w:wordWrap/>
        <w:overflowPunct/>
        <w:topLinePunct w:val="0"/>
        <w:bidi w:val="0"/>
        <w:adjustRightInd w:val="0"/>
        <w:snapToGrid w:val="0"/>
        <w:spacing w:line="480" w:lineRule="exact"/>
        <w:ind w:firstLine="420" w:firstLineChars="200"/>
        <w:textAlignment w:val="auto"/>
        <w:rPr>
          <w:rFonts w:hint="eastAsia" w:ascii="宋体" w:hAnsi="宋体"/>
          <w:color w:val="auto"/>
          <w:szCs w:val="21"/>
          <w:highlight w:val="none"/>
          <w:u w:val="single"/>
          <w:lang w:val="en-US" w:eastAsia="zh-CN"/>
        </w:rPr>
      </w:pPr>
      <w:r>
        <w:rPr>
          <w:rFonts w:hint="eastAsia" w:ascii="宋体" w:hAnsi="宋体"/>
          <w:color w:val="auto"/>
          <w:szCs w:val="21"/>
          <w:highlight w:val="none"/>
        </w:rPr>
        <w:t>3、政府采购计划编号：</w:t>
      </w:r>
      <w:r>
        <w:rPr>
          <w:rFonts w:hint="eastAsia" w:ascii="宋体" w:hAnsi="宋体"/>
          <w:color w:val="auto"/>
          <w:szCs w:val="21"/>
          <w:highlight w:val="none"/>
          <w:u w:val="single"/>
        </w:rPr>
        <w:t>(2026)430200000001-1</w:t>
      </w:r>
    </w:p>
    <w:p w14:paraId="334C6442">
      <w:pPr>
        <w:keepNext w:val="0"/>
        <w:keepLines w:val="0"/>
        <w:pageBreakBefore w:val="0"/>
        <w:widowControl w:val="0"/>
        <w:kinsoku/>
        <w:wordWrap/>
        <w:overflowPunct/>
        <w:topLinePunct w:val="0"/>
        <w:bidi w:val="0"/>
        <w:adjustRightInd w:val="0"/>
        <w:snapToGrid w:val="0"/>
        <w:spacing w:line="480" w:lineRule="exact"/>
        <w:ind w:firstLine="420" w:firstLineChars="200"/>
        <w:textAlignment w:val="auto"/>
        <w:rPr>
          <w:rFonts w:ascii="宋体" w:hAnsi="宋体"/>
          <w:bCs/>
          <w:color w:val="auto"/>
          <w:szCs w:val="21"/>
          <w:highlight w:val="none"/>
          <w:u w:val="single"/>
        </w:rPr>
      </w:pPr>
      <w:r>
        <w:rPr>
          <w:rFonts w:hint="eastAsia" w:ascii="宋体" w:hAnsi="宋体"/>
          <w:bCs/>
          <w:color w:val="auto"/>
          <w:szCs w:val="21"/>
          <w:highlight w:val="none"/>
        </w:rPr>
        <w:t>4、采购项目预算：</w:t>
      </w:r>
      <w:r>
        <w:rPr>
          <w:rFonts w:hint="eastAsia" w:ascii="宋体" w:hAnsi="宋体" w:cs="Times New Roman"/>
          <w:color w:val="auto"/>
          <w:szCs w:val="21"/>
          <w:highlight w:val="none"/>
          <w:u w:val="single"/>
          <w:lang w:val="en-US" w:eastAsia="zh-CN"/>
        </w:rPr>
        <w:t>12487000.00</w:t>
      </w:r>
      <w:r>
        <w:rPr>
          <w:rFonts w:hint="eastAsia" w:ascii="宋体" w:hAnsi="宋体"/>
          <w:bCs/>
          <w:color w:val="auto"/>
          <w:szCs w:val="21"/>
          <w:highlight w:val="none"/>
          <w:u w:val="single"/>
        </w:rPr>
        <w:t>元</w:t>
      </w:r>
    </w:p>
    <w:p w14:paraId="4AC8CA77">
      <w:pPr>
        <w:keepNext w:val="0"/>
        <w:keepLines w:val="0"/>
        <w:pageBreakBefore w:val="0"/>
        <w:widowControl w:val="0"/>
        <w:kinsoku/>
        <w:wordWrap/>
        <w:overflowPunct/>
        <w:topLinePunct w:val="0"/>
        <w:bidi w:val="0"/>
        <w:adjustRightInd w:val="0"/>
        <w:snapToGrid w:val="0"/>
        <w:spacing w:line="480" w:lineRule="exact"/>
        <w:ind w:firstLine="630" w:firstLineChars="300"/>
        <w:textAlignment w:val="auto"/>
        <w:rPr>
          <w:rFonts w:hint="default" w:ascii="宋体" w:hAnsi="宋体" w:eastAsia="宋体"/>
          <w:bCs/>
          <w:color w:val="auto"/>
          <w:szCs w:val="21"/>
          <w:highlight w:val="none"/>
          <w:u w:val="single"/>
          <w:lang w:val="en-US" w:eastAsia="zh-CN"/>
        </w:rPr>
      </w:pPr>
      <w:r>
        <w:rPr>
          <w:rFonts w:hint="eastAsia" w:ascii="宋体" w:hAnsi="宋体"/>
          <w:iCs/>
          <w:color w:val="auto"/>
          <w:szCs w:val="21"/>
          <w:highlight w:val="none"/>
        </w:rPr>
        <w:sym w:font="Wingdings" w:char="00A8"/>
      </w:r>
      <w:r>
        <w:rPr>
          <w:rFonts w:hint="eastAsia" w:ascii="宋体" w:hAnsi="宋体"/>
          <w:iCs/>
          <w:color w:val="auto"/>
          <w:szCs w:val="21"/>
          <w:highlight w:val="none"/>
        </w:rPr>
        <w:t>支持</w:t>
      </w:r>
      <w:r>
        <w:rPr>
          <w:rFonts w:hint="eastAsia" w:ascii="宋体" w:hAnsi="宋体"/>
          <w:bCs/>
          <w:color w:val="auto"/>
          <w:szCs w:val="21"/>
          <w:highlight w:val="none"/>
        </w:rPr>
        <w:t>预付款，预付比例：</w:t>
      </w:r>
      <w:r>
        <w:rPr>
          <w:rFonts w:hint="eastAsia" w:ascii="宋体" w:hAnsi="宋体"/>
          <w:bCs/>
          <w:color w:val="auto"/>
          <w:szCs w:val="21"/>
          <w:highlight w:val="none"/>
          <w:u w:val="single"/>
        </w:rPr>
        <w:t xml:space="preserve">   </w:t>
      </w:r>
      <w:r>
        <w:rPr>
          <w:rFonts w:hint="eastAsia" w:ascii="宋体" w:hAnsi="宋体"/>
          <w:bCs/>
          <w:color w:val="auto"/>
          <w:szCs w:val="21"/>
          <w:highlight w:val="none"/>
          <w:u w:val="single"/>
          <w:lang w:val="en-US" w:eastAsia="zh-CN"/>
        </w:rPr>
        <w:t xml:space="preserve">  /      </w:t>
      </w:r>
    </w:p>
    <w:p w14:paraId="7EADDBB6">
      <w:pPr>
        <w:keepNext w:val="0"/>
        <w:keepLines w:val="0"/>
        <w:pageBreakBefore w:val="0"/>
        <w:widowControl w:val="0"/>
        <w:kinsoku/>
        <w:wordWrap/>
        <w:overflowPunct/>
        <w:topLinePunct w:val="0"/>
        <w:bidi w:val="0"/>
        <w:adjustRightInd w:val="0"/>
        <w:snapToGrid w:val="0"/>
        <w:spacing w:line="480" w:lineRule="exact"/>
        <w:ind w:firstLine="420" w:firstLineChars="200"/>
        <w:textAlignment w:val="auto"/>
        <w:rPr>
          <w:rFonts w:ascii="宋体" w:hAnsi="宋体" w:eastAsia="宋体" w:cs="宋体"/>
          <w:color w:val="auto"/>
          <w:spacing w:val="-3"/>
          <w:sz w:val="21"/>
          <w:szCs w:val="21"/>
          <w:highlight w:val="none"/>
          <w:u w:val="single" w:color="auto"/>
        </w:rPr>
      </w:pPr>
      <w:r>
        <w:rPr>
          <w:rFonts w:hint="eastAsia" w:ascii="宋体" w:hAnsi="宋体"/>
          <w:bCs/>
          <w:color w:val="auto"/>
          <w:szCs w:val="21"/>
          <w:highlight w:val="none"/>
        </w:rPr>
        <w:t>5、本项目</w:t>
      </w:r>
      <w:r>
        <w:rPr>
          <w:rFonts w:hint="eastAsia" w:ascii="宋体" w:hAnsi="宋体"/>
          <w:color w:val="auto"/>
          <w:szCs w:val="21"/>
          <w:highlight w:val="none"/>
        </w:rPr>
        <w:t>对应的中小企业划分标准所属行业：</w:t>
      </w:r>
      <w:r>
        <w:rPr>
          <w:rFonts w:ascii="宋体" w:hAnsi="宋体" w:eastAsia="宋体" w:cs="宋体"/>
          <w:color w:val="auto"/>
          <w:spacing w:val="-3"/>
          <w:sz w:val="21"/>
          <w:szCs w:val="21"/>
          <w:highlight w:val="none"/>
          <w:u w:val="single" w:color="auto"/>
        </w:rPr>
        <w:t>工业</w:t>
      </w:r>
    </w:p>
    <w:p w14:paraId="03273BD8">
      <w:pPr>
        <w:keepNext w:val="0"/>
        <w:keepLines w:val="0"/>
        <w:pageBreakBefore w:val="0"/>
        <w:widowControl w:val="0"/>
        <w:kinsoku/>
        <w:wordWrap/>
        <w:overflowPunct/>
        <w:topLinePunct w:val="0"/>
        <w:bidi w:val="0"/>
        <w:adjustRightInd w:val="0"/>
        <w:snapToGrid w:val="0"/>
        <w:spacing w:line="480" w:lineRule="exact"/>
        <w:ind w:firstLine="420" w:firstLineChars="200"/>
        <w:textAlignment w:val="auto"/>
        <w:rPr>
          <w:rFonts w:ascii="宋体" w:hAnsi="宋体"/>
          <w:bCs/>
          <w:color w:val="auto"/>
          <w:szCs w:val="21"/>
          <w:highlight w:val="none"/>
          <w:u w:val="single"/>
        </w:rPr>
      </w:pPr>
      <w:r>
        <w:rPr>
          <w:rFonts w:hint="eastAsia" w:ascii="宋体" w:hAnsi="宋体"/>
          <w:bCs/>
          <w:color w:val="auto"/>
          <w:szCs w:val="21"/>
          <w:highlight w:val="none"/>
        </w:rPr>
        <w:t>6、评标方法：</w:t>
      </w:r>
      <w:r>
        <w:rPr>
          <w:rFonts w:hint="eastAsia" w:ascii="宋体" w:hAnsi="宋体"/>
          <w:iCs/>
          <w:color w:val="auto"/>
          <w:highlight w:val="none"/>
        </w:rPr>
        <w:sym w:font="Wingdings" w:char="00FE"/>
      </w:r>
      <w:r>
        <w:rPr>
          <w:rFonts w:hint="eastAsia" w:ascii="宋体" w:hAnsi="宋体"/>
          <w:iCs/>
          <w:color w:val="auto"/>
          <w:szCs w:val="21"/>
          <w:highlight w:val="none"/>
        </w:rPr>
        <w:t xml:space="preserve">综合评分法 </w:t>
      </w:r>
      <w:r>
        <w:rPr>
          <w:rFonts w:hint="eastAsia" w:ascii="宋体" w:hAnsi="宋体"/>
          <w:iCs/>
          <w:color w:val="auto"/>
          <w:szCs w:val="21"/>
          <w:highlight w:val="none"/>
        </w:rPr>
        <w:sym w:font="Wingdings" w:char="00A8"/>
      </w:r>
      <w:r>
        <w:rPr>
          <w:rFonts w:hint="eastAsia" w:ascii="宋体" w:hAnsi="宋体"/>
          <w:iCs/>
          <w:color w:val="auto"/>
          <w:szCs w:val="21"/>
          <w:highlight w:val="none"/>
        </w:rPr>
        <w:t>最低评标价法</w:t>
      </w:r>
    </w:p>
    <w:p w14:paraId="66FDD469">
      <w:pPr>
        <w:keepNext w:val="0"/>
        <w:keepLines w:val="0"/>
        <w:pageBreakBefore w:val="0"/>
        <w:widowControl w:val="0"/>
        <w:kinsoku/>
        <w:wordWrap/>
        <w:overflowPunct/>
        <w:topLinePunct w:val="0"/>
        <w:bidi w:val="0"/>
        <w:adjustRightInd w:val="0"/>
        <w:snapToGrid w:val="0"/>
        <w:spacing w:line="480" w:lineRule="exact"/>
        <w:ind w:firstLine="420" w:firstLineChars="200"/>
        <w:textAlignment w:val="auto"/>
        <w:rPr>
          <w:rFonts w:hint="eastAsia" w:ascii="宋体" w:hAnsi="宋体"/>
          <w:bCs/>
          <w:color w:val="auto"/>
          <w:szCs w:val="21"/>
          <w:highlight w:val="none"/>
        </w:rPr>
      </w:pPr>
      <w:r>
        <w:rPr>
          <w:rFonts w:hint="eastAsia" w:ascii="宋体" w:hAnsi="宋体"/>
          <w:bCs/>
          <w:color w:val="auto"/>
          <w:szCs w:val="21"/>
          <w:highlight w:val="none"/>
        </w:rPr>
        <w:t>7、合同定价方式：</w:t>
      </w:r>
      <w:r>
        <w:rPr>
          <w:rFonts w:hint="eastAsia" w:ascii="宋体" w:hAnsi="宋体"/>
          <w:bCs/>
          <w:color w:val="auto"/>
          <w:szCs w:val="21"/>
          <w:highlight w:val="none"/>
        </w:rPr>
        <w:sym w:font="Wingdings" w:char="00FE"/>
      </w:r>
      <w:r>
        <w:rPr>
          <w:rFonts w:hint="eastAsia" w:ascii="宋体" w:hAnsi="宋体"/>
          <w:bCs/>
          <w:color w:val="auto"/>
          <w:szCs w:val="21"/>
          <w:highlight w:val="none"/>
        </w:rPr>
        <w:t xml:space="preserve">固定总价 </w:t>
      </w:r>
      <w:r>
        <w:rPr>
          <w:rFonts w:hint="eastAsia" w:ascii="宋体" w:hAnsi="宋体"/>
          <w:bCs/>
          <w:color w:val="auto"/>
          <w:szCs w:val="21"/>
          <w:highlight w:val="none"/>
        </w:rPr>
        <w:sym w:font="Wingdings" w:char="00A8"/>
      </w:r>
      <w:r>
        <w:rPr>
          <w:rFonts w:hint="eastAsia" w:ascii="宋体" w:hAnsi="宋体"/>
          <w:bCs/>
          <w:color w:val="auto"/>
          <w:szCs w:val="21"/>
          <w:highlight w:val="none"/>
        </w:rPr>
        <w:t xml:space="preserve">固定单价 </w:t>
      </w:r>
      <w:r>
        <w:rPr>
          <w:rFonts w:hint="eastAsia" w:ascii="宋体" w:hAnsi="宋体"/>
          <w:bCs/>
          <w:color w:val="auto"/>
          <w:szCs w:val="21"/>
          <w:highlight w:val="none"/>
        </w:rPr>
        <w:sym w:font="Wingdings" w:char="00A8"/>
      </w:r>
      <w:r>
        <w:rPr>
          <w:rFonts w:hint="eastAsia" w:ascii="宋体" w:hAnsi="宋体"/>
          <w:bCs/>
          <w:color w:val="auto"/>
          <w:szCs w:val="21"/>
          <w:highlight w:val="none"/>
        </w:rPr>
        <w:t xml:space="preserve">成本补偿 </w:t>
      </w:r>
      <w:r>
        <w:rPr>
          <w:rFonts w:hint="eastAsia" w:ascii="宋体" w:hAnsi="宋体"/>
          <w:bCs/>
          <w:color w:val="auto"/>
          <w:szCs w:val="21"/>
          <w:highlight w:val="none"/>
        </w:rPr>
        <w:sym w:font="Wingdings" w:char="00A8"/>
      </w:r>
      <w:r>
        <w:rPr>
          <w:rFonts w:hint="eastAsia" w:ascii="宋体" w:hAnsi="宋体"/>
          <w:bCs/>
          <w:color w:val="auto"/>
          <w:szCs w:val="21"/>
          <w:highlight w:val="none"/>
        </w:rPr>
        <w:t>绩效激励</w:t>
      </w:r>
    </w:p>
    <w:p w14:paraId="3565A6EA">
      <w:pPr>
        <w:keepNext w:val="0"/>
        <w:keepLines w:val="0"/>
        <w:pageBreakBefore w:val="0"/>
        <w:widowControl w:val="0"/>
        <w:kinsoku/>
        <w:wordWrap/>
        <w:overflowPunct/>
        <w:topLinePunct w:val="0"/>
        <w:bidi w:val="0"/>
        <w:adjustRightInd w:val="0"/>
        <w:snapToGrid w:val="0"/>
        <w:spacing w:line="480" w:lineRule="exact"/>
        <w:ind w:firstLine="420" w:firstLineChars="200"/>
        <w:textAlignment w:val="auto"/>
        <w:rPr>
          <w:rFonts w:hint="eastAsia" w:ascii="宋体" w:hAnsi="宋体"/>
          <w:bCs/>
          <w:color w:val="auto"/>
          <w:szCs w:val="21"/>
          <w:highlight w:val="none"/>
        </w:rPr>
      </w:pPr>
      <w:r>
        <w:rPr>
          <w:rFonts w:hint="eastAsia" w:ascii="宋体" w:hAnsi="宋体"/>
          <w:bCs/>
          <w:color w:val="auto"/>
          <w:szCs w:val="21"/>
          <w:highlight w:val="none"/>
        </w:rPr>
        <w:t>8、合同履行期限：在正式合同签订之日起</w:t>
      </w:r>
      <w:r>
        <w:rPr>
          <w:rFonts w:hint="eastAsia" w:ascii="宋体" w:hAnsi="宋体"/>
          <w:bCs/>
          <w:color w:val="auto"/>
          <w:szCs w:val="21"/>
          <w:highlight w:val="none"/>
          <w:lang w:val="en-US" w:eastAsia="zh-CN"/>
        </w:rPr>
        <w:t>45</w:t>
      </w:r>
      <w:r>
        <w:rPr>
          <w:rFonts w:hint="eastAsia" w:ascii="宋体" w:hAnsi="宋体"/>
          <w:bCs/>
          <w:color w:val="auto"/>
          <w:szCs w:val="21"/>
          <w:highlight w:val="none"/>
        </w:rPr>
        <w:t>天内完成设备的供货、安装、调试、检测运行及验收工作。</w:t>
      </w:r>
    </w:p>
    <w:p w14:paraId="4DBF229C">
      <w:pPr>
        <w:keepNext w:val="0"/>
        <w:keepLines w:val="0"/>
        <w:pageBreakBefore w:val="0"/>
        <w:widowControl w:val="0"/>
        <w:kinsoku/>
        <w:wordWrap/>
        <w:overflowPunct/>
        <w:topLinePunct w:val="0"/>
        <w:bidi w:val="0"/>
        <w:adjustRightInd w:val="0"/>
        <w:snapToGrid w:val="0"/>
        <w:spacing w:line="480" w:lineRule="exact"/>
        <w:ind w:firstLine="420" w:firstLineChars="200"/>
        <w:textAlignment w:val="auto"/>
        <w:rPr>
          <w:rFonts w:hint="eastAsia" w:ascii="宋体" w:hAnsi="宋体" w:eastAsia="宋体" w:cs="Times New Roman"/>
          <w:bCs/>
          <w:color w:val="auto"/>
          <w:szCs w:val="21"/>
          <w:highlight w:val="none"/>
        </w:rPr>
      </w:pPr>
      <w:r>
        <w:rPr>
          <w:rFonts w:hint="eastAsia" w:ascii="宋体" w:hAnsi="宋体" w:eastAsia="宋体" w:cs="Times New Roman"/>
          <w:bCs/>
          <w:color w:val="auto"/>
          <w:kern w:val="2"/>
          <w:sz w:val="21"/>
          <w:szCs w:val="21"/>
          <w:highlight w:val="none"/>
          <w:lang w:val="en-US" w:eastAsia="zh-CN" w:bidi="ar-SA"/>
        </w:rPr>
        <w:t>9、</w:t>
      </w:r>
      <w:r>
        <w:rPr>
          <w:rFonts w:hint="eastAsia" w:ascii="宋体" w:hAnsi="宋体" w:eastAsia="宋体" w:cs="Times New Roman"/>
          <w:bCs/>
          <w:color w:val="auto"/>
          <w:szCs w:val="21"/>
          <w:highlight w:val="none"/>
        </w:rPr>
        <w:t>本项目分阶段要求投标人提供以下保证：</w:t>
      </w:r>
    </w:p>
    <w:p w14:paraId="33807773">
      <w:pPr>
        <w:keepNext w:val="0"/>
        <w:keepLines w:val="0"/>
        <w:pageBreakBefore w:val="0"/>
        <w:widowControl w:val="0"/>
        <w:kinsoku/>
        <w:wordWrap/>
        <w:overflowPunct/>
        <w:topLinePunct w:val="0"/>
        <w:bidi w:val="0"/>
        <w:adjustRightInd w:val="0"/>
        <w:snapToGrid w:val="0"/>
        <w:spacing w:line="480" w:lineRule="exact"/>
        <w:ind w:firstLine="420" w:firstLineChars="200"/>
        <w:textAlignment w:val="auto"/>
        <w:rPr>
          <w:rFonts w:hint="eastAsia" w:ascii="宋体" w:hAnsi="宋体" w:eastAsia="宋体" w:cs="Times New Roman"/>
          <w:bCs/>
          <w:color w:val="auto"/>
          <w:szCs w:val="21"/>
          <w:highlight w:val="none"/>
          <w:lang w:eastAsia="zh-CN"/>
        </w:rPr>
      </w:pPr>
      <w:r>
        <w:rPr>
          <w:rFonts w:hint="eastAsia" w:ascii="宋体" w:hAnsi="宋体"/>
          <w:iCs/>
          <w:color w:val="auto"/>
          <w:highlight w:val="none"/>
        </w:rPr>
        <w:sym w:font="Wingdings" w:char="00FE"/>
      </w:r>
      <w:r>
        <w:rPr>
          <w:rFonts w:hint="eastAsia" w:ascii="宋体" w:hAnsi="宋体" w:eastAsia="宋体" w:cs="Times New Roman"/>
          <w:bCs/>
          <w:color w:val="auto"/>
          <w:szCs w:val="21"/>
          <w:highlight w:val="none"/>
        </w:rPr>
        <w:t>投标保证金</w:t>
      </w:r>
      <w:r>
        <w:rPr>
          <w:rFonts w:hint="eastAsia" w:ascii="宋体" w:hAnsi="宋体" w:eastAsia="宋体" w:cs="Times New Roman"/>
          <w:bCs/>
          <w:color w:val="auto"/>
          <w:szCs w:val="21"/>
          <w:highlight w:val="none"/>
          <w:lang w:eastAsia="zh-CN"/>
        </w:rPr>
        <w:t>：</w:t>
      </w:r>
      <w:r>
        <w:rPr>
          <w:rFonts w:hint="eastAsia" w:ascii="宋体" w:hAnsi="宋体" w:eastAsia="宋体" w:cs="Times New Roman"/>
          <w:bCs/>
          <w:color w:val="auto"/>
          <w:szCs w:val="21"/>
          <w:highlight w:val="none"/>
        </w:rPr>
        <w:t>采购项目预算的</w:t>
      </w:r>
      <w:r>
        <w:rPr>
          <w:rFonts w:hint="eastAsia" w:ascii="宋体" w:hAnsi="宋体" w:cs="Times New Roman"/>
          <w:bCs/>
          <w:color w:val="auto"/>
          <w:szCs w:val="21"/>
          <w:highlight w:val="none"/>
          <w:u w:val="single"/>
          <w:lang w:val="en-US" w:eastAsia="zh-CN"/>
        </w:rPr>
        <w:t xml:space="preserve"> 1.92</w:t>
      </w:r>
      <w:r>
        <w:rPr>
          <w:rFonts w:hint="eastAsia" w:ascii="宋体" w:hAnsi="宋体" w:eastAsia="宋体" w:cs="Times New Roman"/>
          <w:bCs/>
          <w:color w:val="auto"/>
          <w:szCs w:val="21"/>
          <w:highlight w:val="none"/>
          <w:u w:val="single"/>
          <w:lang w:val="en-US" w:eastAsia="zh-CN"/>
        </w:rPr>
        <w:t xml:space="preserve"> </w:t>
      </w:r>
      <w:r>
        <w:rPr>
          <w:rFonts w:hint="eastAsia" w:ascii="宋体" w:hAnsi="宋体" w:eastAsia="宋体" w:cs="Times New Roman"/>
          <w:bCs/>
          <w:color w:val="auto"/>
          <w:szCs w:val="21"/>
          <w:highlight w:val="none"/>
        </w:rPr>
        <w:t>%</w:t>
      </w:r>
      <w:r>
        <w:rPr>
          <w:rFonts w:hint="eastAsia" w:ascii="宋体" w:hAnsi="宋体" w:eastAsia="宋体" w:cs="Times New Roman"/>
          <w:bCs/>
          <w:color w:val="auto"/>
          <w:szCs w:val="21"/>
          <w:highlight w:val="none"/>
          <w:lang w:eastAsia="zh-CN"/>
        </w:rPr>
        <w:t>；</w:t>
      </w:r>
    </w:p>
    <w:p w14:paraId="15E8A40B">
      <w:pPr>
        <w:pStyle w:val="30"/>
        <w:keepNext w:val="0"/>
        <w:keepLines w:val="0"/>
        <w:pageBreakBefore w:val="0"/>
        <w:widowControl w:val="0"/>
        <w:kinsoku/>
        <w:wordWrap/>
        <w:overflowPunct/>
        <w:topLinePunct w:val="0"/>
        <w:bidi w:val="0"/>
        <w:spacing w:line="480" w:lineRule="exact"/>
        <w:textAlignment w:val="auto"/>
        <w:rPr>
          <w:rFonts w:hint="eastAsia" w:ascii="宋体" w:hAnsi="宋体" w:eastAsia="宋体"/>
          <w:iCs/>
          <w:color w:val="auto"/>
          <w:highlight w:val="none"/>
          <w:lang w:eastAsia="zh-CN"/>
        </w:rPr>
      </w:pPr>
      <w:r>
        <w:rPr>
          <w:rFonts w:hint="eastAsia" w:ascii="宋体" w:hAnsi="宋体"/>
          <w:iCs/>
          <w:color w:val="auto"/>
          <w:highlight w:val="none"/>
        </w:rPr>
        <w:sym w:font="Wingdings" w:char="00FE"/>
      </w:r>
      <w:r>
        <w:rPr>
          <w:rFonts w:hint="eastAsia" w:ascii="宋体" w:hAnsi="宋体"/>
          <w:color w:val="auto"/>
          <w:highlight w:val="none"/>
        </w:rPr>
        <w:t>履约保证金</w:t>
      </w:r>
      <w:r>
        <w:rPr>
          <w:rFonts w:hint="eastAsia" w:ascii="宋体" w:hAnsi="宋体"/>
          <w:color w:val="auto"/>
          <w:highlight w:val="none"/>
          <w:lang w:eastAsia="zh-CN"/>
        </w:rPr>
        <w:t>：</w:t>
      </w:r>
      <w:r>
        <w:rPr>
          <w:rFonts w:hint="eastAsia" w:ascii="宋体" w:hAnsi="宋体" w:eastAsia="宋体" w:cs="Times New Roman"/>
          <w:bCs/>
          <w:color w:val="auto"/>
          <w:kern w:val="2"/>
          <w:sz w:val="21"/>
          <w:szCs w:val="24"/>
          <w:highlight w:val="none"/>
          <w:u w:val="single"/>
          <w:lang w:val="en-US" w:eastAsia="zh-CN" w:bidi="ar-SA"/>
        </w:rPr>
        <w:t xml:space="preserve">中标金额的 </w:t>
      </w:r>
      <w:r>
        <w:rPr>
          <w:rFonts w:hint="eastAsia" w:ascii="宋体" w:hAnsi="宋体" w:cs="Times New Roman"/>
          <w:bCs/>
          <w:color w:val="auto"/>
          <w:kern w:val="2"/>
          <w:sz w:val="21"/>
          <w:szCs w:val="24"/>
          <w:highlight w:val="none"/>
          <w:u w:val="single"/>
          <w:lang w:val="en-US" w:eastAsia="zh-CN" w:bidi="ar-SA"/>
        </w:rPr>
        <w:t>10</w:t>
      </w:r>
      <w:r>
        <w:rPr>
          <w:rFonts w:hint="eastAsia" w:ascii="宋体" w:hAnsi="宋体" w:eastAsia="宋体" w:cs="Times New Roman"/>
          <w:bCs/>
          <w:color w:val="auto"/>
          <w:kern w:val="2"/>
          <w:sz w:val="21"/>
          <w:szCs w:val="24"/>
          <w:highlight w:val="none"/>
          <w:u w:val="single"/>
          <w:lang w:val="en-US" w:eastAsia="zh-CN" w:bidi="ar-SA"/>
        </w:rPr>
        <w:t xml:space="preserve">  %；</w:t>
      </w:r>
    </w:p>
    <w:p w14:paraId="5DD12172">
      <w:pPr>
        <w:keepNext w:val="0"/>
        <w:keepLines w:val="0"/>
        <w:pageBreakBefore w:val="0"/>
        <w:widowControl w:val="0"/>
        <w:kinsoku/>
        <w:wordWrap/>
        <w:overflowPunct/>
        <w:topLinePunct w:val="0"/>
        <w:bidi w:val="0"/>
        <w:adjustRightInd w:val="0"/>
        <w:snapToGrid w:val="0"/>
        <w:spacing w:line="480" w:lineRule="exact"/>
        <w:ind w:firstLine="420" w:firstLineChars="200"/>
        <w:textAlignment w:val="auto"/>
        <w:rPr>
          <w:rFonts w:hint="eastAsia" w:ascii="宋体" w:hAnsi="宋体"/>
          <w:iCs/>
          <w:color w:val="auto"/>
          <w:highlight w:val="none"/>
          <w:lang w:eastAsia="zh-CN"/>
        </w:rPr>
      </w:pPr>
      <w:r>
        <w:rPr>
          <w:rFonts w:hint="eastAsia" w:ascii="宋体" w:hAnsi="宋体"/>
          <w:iCs/>
          <w:color w:val="auto"/>
          <w:highlight w:val="none"/>
        </w:rPr>
        <w:sym w:font="Wingdings" w:char="00A8"/>
      </w:r>
      <w:r>
        <w:rPr>
          <w:rFonts w:hint="eastAsia" w:ascii="宋体" w:hAnsi="宋体"/>
          <w:iCs/>
          <w:color w:val="auto"/>
          <w:highlight w:val="none"/>
        </w:rPr>
        <w:t>质量保证金</w:t>
      </w:r>
      <w:r>
        <w:rPr>
          <w:rFonts w:hint="eastAsia" w:ascii="宋体" w:hAnsi="宋体"/>
          <w:iCs/>
          <w:color w:val="auto"/>
          <w:highlight w:val="none"/>
          <w:lang w:eastAsia="zh-CN"/>
        </w:rPr>
        <w:t>：</w:t>
      </w:r>
      <w:r>
        <w:rPr>
          <w:rFonts w:hint="eastAsia" w:ascii="宋体" w:hAnsi="宋体"/>
          <w:iCs/>
          <w:color w:val="auto"/>
          <w:highlight w:val="none"/>
        </w:rPr>
        <w:t>合同金额的</w:t>
      </w:r>
      <w:r>
        <w:rPr>
          <w:rFonts w:hint="eastAsia" w:ascii="宋体" w:hAnsi="宋体"/>
          <w:iCs/>
          <w:color w:val="auto"/>
          <w:highlight w:val="none"/>
          <w:u w:val="single"/>
          <w:lang w:val="en-US" w:eastAsia="zh-CN"/>
        </w:rPr>
        <w:t xml:space="preserve">  / </w:t>
      </w:r>
      <w:r>
        <w:rPr>
          <w:rFonts w:hint="eastAsia" w:ascii="宋体" w:hAnsi="宋体"/>
          <w:iCs/>
          <w:color w:val="auto"/>
          <w:highlight w:val="none"/>
        </w:rPr>
        <w:t>%</w:t>
      </w:r>
      <w:r>
        <w:rPr>
          <w:rFonts w:hint="eastAsia" w:ascii="宋体" w:hAnsi="宋体"/>
          <w:iCs/>
          <w:color w:val="auto"/>
          <w:highlight w:val="none"/>
          <w:lang w:eastAsia="zh-CN"/>
        </w:rPr>
        <w:t>。</w:t>
      </w:r>
    </w:p>
    <w:p w14:paraId="68E5CF36">
      <w:pPr>
        <w:keepNext w:val="0"/>
        <w:keepLines w:val="0"/>
        <w:pageBreakBefore w:val="0"/>
        <w:widowControl w:val="0"/>
        <w:kinsoku/>
        <w:wordWrap/>
        <w:overflowPunct/>
        <w:topLinePunct w:val="0"/>
        <w:bidi w:val="0"/>
        <w:adjustRightInd w:val="0"/>
        <w:snapToGrid w:val="0"/>
        <w:spacing w:line="480" w:lineRule="exact"/>
        <w:ind w:firstLine="422" w:firstLineChars="200"/>
        <w:textAlignment w:val="auto"/>
        <w:rPr>
          <w:rFonts w:ascii="宋体" w:hAnsi="宋体"/>
          <w:b/>
          <w:color w:val="auto"/>
          <w:szCs w:val="21"/>
          <w:highlight w:val="none"/>
        </w:rPr>
      </w:pPr>
      <w:r>
        <w:rPr>
          <w:rFonts w:hint="eastAsia" w:ascii="宋体" w:hAnsi="宋体"/>
          <w:b/>
          <w:color w:val="auto"/>
          <w:szCs w:val="21"/>
          <w:highlight w:val="none"/>
        </w:rPr>
        <w:t>二、采购人的采购需求</w:t>
      </w:r>
    </w:p>
    <w:tbl>
      <w:tblPr>
        <w:tblStyle w:val="25"/>
        <w:tblW w:w="9444"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553"/>
        <w:gridCol w:w="2113"/>
        <w:gridCol w:w="1528"/>
        <w:gridCol w:w="790"/>
        <w:gridCol w:w="1514"/>
        <w:gridCol w:w="1487"/>
        <w:gridCol w:w="695"/>
        <w:gridCol w:w="764"/>
      </w:tblGrid>
      <w:tr w14:paraId="006E7C2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739" w:hRule="atLeast"/>
          <w:jc w:val="center"/>
        </w:trPr>
        <w:tc>
          <w:tcPr>
            <w:tcW w:w="553" w:type="dxa"/>
            <w:noWrap w:val="0"/>
            <w:vAlign w:val="center"/>
          </w:tcPr>
          <w:p w14:paraId="6DC451B6">
            <w:pPr>
              <w:adjustRightInd w:val="0"/>
              <w:snapToGrid w:val="0"/>
              <w:jc w:val="center"/>
              <w:rPr>
                <w:color w:val="auto"/>
                <w:szCs w:val="21"/>
                <w:highlight w:val="none"/>
              </w:rPr>
            </w:pPr>
            <w:r>
              <w:rPr>
                <w:rFonts w:hint="eastAsia"/>
                <w:color w:val="auto"/>
                <w:szCs w:val="21"/>
                <w:highlight w:val="none"/>
              </w:rPr>
              <w:t xml:space="preserve">包号 </w:t>
            </w:r>
          </w:p>
        </w:tc>
        <w:tc>
          <w:tcPr>
            <w:tcW w:w="2113" w:type="dxa"/>
            <w:noWrap w:val="0"/>
            <w:vAlign w:val="center"/>
          </w:tcPr>
          <w:p w14:paraId="522942A5">
            <w:pPr>
              <w:adjustRightInd w:val="0"/>
              <w:snapToGrid w:val="0"/>
              <w:jc w:val="center"/>
              <w:rPr>
                <w:color w:val="auto"/>
                <w:szCs w:val="21"/>
                <w:highlight w:val="none"/>
              </w:rPr>
            </w:pPr>
            <w:r>
              <w:rPr>
                <w:rFonts w:hint="eastAsia"/>
                <w:color w:val="auto"/>
                <w:szCs w:val="21"/>
                <w:highlight w:val="none"/>
              </w:rPr>
              <w:t>标的名称</w:t>
            </w:r>
          </w:p>
        </w:tc>
        <w:tc>
          <w:tcPr>
            <w:tcW w:w="1528" w:type="dxa"/>
            <w:tcBorders>
              <w:left w:val="single" w:color="auto" w:sz="4" w:space="0"/>
            </w:tcBorders>
            <w:noWrap w:val="0"/>
            <w:vAlign w:val="center"/>
          </w:tcPr>
          <w:p w14:paraId="331CBFCB">
            <w:pPr>
              <w:adjustRightInd w:val="0"/>
              <w:snapToGrid w:val="0"/>
              <w:jc w:val="center"/>
              <w:rPr>
                <w:color w:val="auto"/>
                <w:szCs w:val="21"/>
                <w:highlight w:val="none"/>
              </w:rPr>
            </w:pPr>
            <w:r>
              <w:rPr>
                <w:rFonts w:hint="eastAsia"/>
                <w:color w:val="auto"/>
                <w:szCs w:val="21"/>
                <w:highlight w:val="none"/>
              </w:rPr>
              <w:t>简要技术要求</w:t>
            </w:r>
          </w:p>
        </w:tc>
        <w:tc>
          <w:tcPr>
            <w:tcW w:w="790" w:type="dxa"/>
            <w:tcBorders>
              <w:left w:val="single" w:color="auto" w:sz="4" w:space="0"/>
            </w:tcBorders>
            <w:noWrap w:val="0"/>
            <w:vAlign w:val="center"/>
          </w:tcPr>
          <w:p w14:paraId="688B122C">
            <w:pPr>
              <w:adjustRightInd w:val="0"/>
              <w:snapToGrid w:val="0"/>
              <w:jc w:val="center"/>
              <w:rPr>
                <w:rFonts w:hint="default" w:ascii="宋体" w:hAnsi="宋体" w:eastAsia="宋体" w:cs="宋体"/>
                <w:color w:val="auto"/>
                <w:kern w:val="0"/>
                <w:szCs w:val="21"/>
                <w:highlight w:val="none"/>
                <w:lang w:val="en-US" w:eastAsia="zh-CN"/>
              </w:rPr>
            </w:pPr>
            <w:r>
              <w:rPr>
                <w:rFonts w:hint="eastAsia"/>
                <w:color w:val="auto"/>
                <w:szCs w:val="21"/>
                <w:highlight w:val="none"/>
              </w:rPr>
              <w:t>数量</w:t>
            </w:r>
            <w:r>
              <w:rPr>
                <w:rFonts w:hint="eastAsia"/>
                <w:color w:val="auto"/>
                <w:szCs w:val="21"/>
                <w:highlight w:val="none"/>
                <w:lang w:val="en-US" w:eastAsia="zh-CN"/>
              </w:rPr>
              <w:t>/单位</w:t>
            </w:r>
          </w:p>
        </w:tc>
        <w:tc>
          <w:tcPr>
            <w:tcW w:w="1514" w:type="dxa"/>
            <w:noWrap w:val="0"/>
            <w:vAlign w:val="center"/>
          </w:tcPr>
          <w:p w14:paraId="720D33C4">
            <w:pPr>
              <w:adjustRightInd w:val="0"/>
              <w:snapToGrid w:val="0"/>
              <w:jc w:val="center"/>
              <w:rPr>
                <w:rFonts w:hint="default" w:eastAsia="宋体"/>
                <w:color w:val="auto"/>
                <w:szCs w:val="21"/>
                <w:highlight w:val="none"/>
                <w:lang w:val="en-US" w:eastAsia="zh-CN"/>
              </w:rPr>
            </w:pPr>
            <w:r>
              <w:rPr>
                <w:rFonts w:hint="eastAsia"/>
                <w:color w:val="auto"/>
                <w:szCs w:val="21"/>
                <w:highlight w:val="none"/>
              </w:rPr>
              <w:t>标的预算</w:t>
            </w:r>
            <w:r>
              <w:rPr>
                <w:rFonts w:hint="eastAsia"/>
                <w:color w:val="auto"/>
                <w:szCs w:val="21"/>
                <w:highlight w:val="none"/>
                <w:lang w:val="en-US" w:eastAsia="zh-CN"/>
              </w:rPr>
              <w:t>(元)</w:t>
            </w:r>
          </w:p>
        </w:tc>
        <w:tc>
          <w:tcPr>
            <w:tcW w:w="1487" w:type="dxa"/>
            <w:noWrap w:val="0"/>
            <w:vAlign w:val="center"/>
          </w:tcPr>
          <w:p w14:paraId="135A3839">
            <w:pPr>
              <w:adjustRightInd w:val="0"/>
              <w:snapToGrid w:val="0"/>
              <w:jc w:val="center"/>
              <w:rPr>
                <w:rFonts w:hint="eastAsia" w:eastAsia="宋体"/>
                <w:color w:val="auto"/>
                <w:szCs w:val="21"/>
                <w:highlight w:val="none"/>
                <w:lang w:eastAsia="zh-CN"/>
              </w:rPr>
            </w:pPr>
            <w:r>
              <w:rPr>
                <w:rFonts w:hint="eastAsia"/>
                <w:color w:val="auto"/>
                <w:szCs w:val="21"/>
                <w:highlight w:val="none"/>
              </w:rPr>
              <w:t>最高限价</w:t>
            </w:r>
            <w:r>
              <w:rPr>
                <w:rFonts w:hint="eastAsia"/>
                <w:color w:val="auto"/>
                <w:szCs w:val="21"/>
                <w:highlight w:val="none"/>
                <w:lang w:eastAsia="zh-CN"/>
              </w:rPr>
              <w:t>（元）</w:t>
            </w:r>
          </w:p>
        </w:tc>
        <w:tc>
          <w:tcPr>
            <w:tcW w:w="695" w:type="dxa"/>
            <w:noWrap w:val="0"/>
            <w:vAlign w:val="center"/>
          </w:tcPr>
          <w:p w14:paraId="537681B1">
            <w:pPr>
              <w:adjustRightInd w:val="0"/>
              <w:snapToGrid w:val="0"/>
              <w:jc w:val="center"/>
              <w:rPr>
                <w:color w:val="auto"/>
                <w:szCs w:val="21"/>
                <w:highlight w:val="none"/>
              </w:rPr>
            </w:pPr>
            <w:r>
              <w:rPr>
                <w:rFonts w:hint="eastAsia"/>
                <w:color w:val="auto"/>
                <w:szCs w:val="21"/>
                <w:highlight w:val="none"/>
              </w:rPr>
              <w:t>节能产品</w:t>
            </w:r>
          </w:p>
        </w:tc>
        <w:tc>
          <w:tcPr>
            <w:tcW w:w="764" w:type="dxa"/>
            <w:noWrap w:val="0"/>
            <w:vAlign w:val="center"/>
          </w:tcPr>
          <w:p w14:paraId="060A3794">
            <w:pPr>
              <w:adjustRightInd w:val="0"/>
              <w:snapToGrid w:val="0"/>
              <w:jc w:val="center"/>
              <w:rPr>
                <w:color w:val="auto"/>
                <w:szCs w:val="21"/>
                <w:highlight w:val="none"/>
              </w:rPr>
            </w:pPr>
            <w:r>
              <w:rPr>
                <w:rFonts w:hint="eastAsia"/>
                <w:color w:val="auto"/>
                <w:szCs w:val="21"/>
                <w:highlight w:val="none"/>
              </w:rPr>
              <w:t>进口产品</w:t>
            </w:r>
          </w:p>
        </w:tc>
      </w:tr>
      <w:tr w14:paraId="41D07B5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693" w:hRule="atLeast"/>
          <w:jc w:val="center"/>
        </w:trPr>
        <w:tc>
          <w:tcPr>
            <w:tcW w:w="553" w:type="dxa"/>
            <w:vMerge w:val="restart"/>
            <w:noWrap w:val="0"/>
            <w:vAlign w:val="center"/>
          </w:tcPr>
          <w:p w14:paraId="0F1263F9">
            <w:pPr>
              <w:adjustRightInd w:val="0"/>
              <w:snapToGrid w:val="0"/>
              <w:spacing w:before="156" w:beforeLines="50" w:line="240" w:lineRule="auto"/>
              <w:jc w:val="center"/>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1</w:t>
            </w:r>
          </w:p>
        </w:tc>
        <w:tc>
          <w:tcPr>
            <w:tcW w:w="2113" w:type="dxa"/>
            <w:noWrap w:val="0"/>
            <w:vAlign w:val="center"/>
          </w:tcPr>
          <w:p w14:paraId="45408AB7">
            <w:pPr>
              <w:adjustRightInd w:val="0"/>
              <w:snapToGrid w:val="0"/>
              <w:jc w:val="center"/>
              <w:rPr>
                <w:rFonts w:hint="default" w:ascii="Times New Roman" w:hAnsi="宋体" w:eastAsia="宋体" w:cs="Times New Roman"/>
                <w:color w:val="auto"/>
                <w:kern w:val="0"/>
                <w:sz w:val="21"/>
                <w:szCs w:val="24"/>
                <w:highlight w:val="none"/>
                <w:lang w:val="en-US" w:eastAsia="zh-CN" w:bidi="ar-SA"/>
              </w:rPr>
            </w:pPr>
            <w:r>
              <w:rPr>
                <w:rFonts w:hint="eastAsia" w:ascii="Times New Roman" w:hAnsi="宋体" w:eastAsia="宋体" w:cs="Times New Roman"/>
                <w:color w:val="auto"/>
                <w:kern w:val="0"/>
                <w:sz w:val="21"/>
                <w:szCs w:val="24"/>
                <w:highlight w:val="none"/>
                <w:lang w:val="en-US" w:eastAsia="zh-CN" w:bidi="ar-SA"/>
              </w:rPr>
              <w:t>DSA（数字减影血管造影系统）</w:t>
            </w:r>
          </w:p>
        </w:tc>
        <w:tc>
          <w:tcPr>
            <w:tcW w:w="1528" w:type="dxa"/>
            <w:tcBorders>
              <w:left w:val="single" w:color="auto" w:sz="4" w:space="0"/>
            </w:tcBorders>
            <w:noWrap w:val="0"/>
            <w:vAlign w:val="center"/>
          </w:tcPr>
          <w:p w14:paraId="2BD9ED30">
            <w:pPr>
              <w:adjustRightInd w:val="0"/>
              <w:snapToGrid w:val="0"/>
              <w:jc w:val="center"/>
              <w:rPr>
                <w:rFonts w:hint="default" w:ascii="Times New Roman" w:hAnsi="宋体" w:eastAsia="宋体" w:cs="Times New Roman"/>
                <w:color w:val="auto"/>
                <w:kern w:val="0"/>
                <w:sz w:val="21"/>
                <w:szCs w:val="24"/>
                <w:highlight w:val="none"/>
                <w:lang w:val="en-US" w:eastAsia="zh-CN" w:bidi="ar-SA"/>
              </w:rPr>
            </w:pPr>
            <w:r>
              <w:rPr>
                <w:rFonts w:hint="eastAsia" w:ascii="Times New Roman" w:hAnsi="宋体" w:eastAsia="宋体" w:cs="Times New Roman"/>
                <w:color w:val="auto"/>
                <w:kern w:val="0"/>
                <w:sz w:val="21"/>
                <w:szCs w:val="24"/>
                <w:highlight w:val="none"/>
                <w:lang w:val="en-US" w:eastAsia="zh-CN" w:bidi="ar-SA"/>
              </w:rPr>
              <w:t>详见第五章</w:t>
            </w:r>
            <w:r>
              <w:rPr>
                <w:rFonts w:hint="eastAsia" w:hAnsi="宋体" w:cs="Times New Roman"/>
                <w:color w:val="auto"/>
                <w:kern w:val="0"/>
                <w:sz w:val="21"/>
                <w:szCs w:val="24"/>
                <w:highlight w:val="none"/>
                <w:lang w:val="en-US" w:eastAsia="zh-CN" w:bidi="ar-SA"/>
              </w:rPr>
              <w:t>采购需求</w:t>
            </w:r>
          </w:p>
        </w:tc>
        <w:tc>
          <w:tcPr>
            <w:tcW w:w="790" w:type="dxa"/>
            <w:tcBorders>
              <w:left w:val="single" w:color="auto" w:sz="4" w:space="0"/>
            </w:tcBorders>
            <w:noWrap w:val="0"/>
            <w:vAlign w:val="center"/>
          </w:tcPr>
          <w:p w14:paraId="1B3E0F15">
            <w:pPr>
              <w:pStyle w:val="13"/>
              <w:adjustRightInd w:val="0"/>
              <w:snapToGrid w:val="0"/>
              <w:jc w:val="center"/>
              <w:rPr>
                <w:rFonts w:hint="default" w:eastAsia="宋体"/>
                <w:color w:val="auto"/>
                <w:szCs w:val="21"/>
                <w:highlight w:val="none"/>
                <w:lang w:val="en-US" w:eastAsia="zh-CN"/>
              </w:rPr>
            </w:pPr>
            <w:r>
              <w:rPr>
                <w:rFonts w:hint="eastAsia"/>
                <w:color w:val="auto"/>
                <w:szCs w:val="21"/>
                <w:highlight w:val="none"/>
                <w:lang w:val="en-US" w:eastAsia="zh-CN"/>
              </w:rPr>
              <w:t>1套</w:t>
            </w:r>
          </w:p>
        </w:tc>
        <w:tc>
          <w:tcPr>
            <w:tcW w:w="1514" w:type="dxa"/>
            <w:noWrap w:val="0"/>
            <w:vAlign w:val="center"/>
          </w:tcPr>
          <w:p w14:paraId="7E55B25B">
            <w:pPr>
              <w:pStyle w:val="13"/>
              <w:adjustRightInd w:val="0"/>
              <w:snapToGrid w:val="0"/>
              <w:jc w:val="center"/>
              <w:rPr>
                <w:rFonts w:hint="default" w:ascii="宋体" w:hAnsi="宋体" w:eastAsia="宋体"/>
                <w:color w:val="auto"/>
                <w:kern w:val="0"/>
                <w:highlight w:val="none"/>
                <w:lang w:val="en-US" w:eastAsia="zh-CN"/>
              </w:rPr>
            </w:pPr>
            <w:r>
              <w:rPr>
                <w:rFonts w:hint="eastAsia"/>
                <w:color w:val="auto"/>
                <w:szCs w:val="21"/>
                <w:highlight w:val="none"/>
                <w:lang w:val="en-US" w:eastAsia="zh-CN"/>
              </w:rPr>
              <w:t>5250000</w:t>
            </w:r>
          </w:p>
        </w:tc>
        <w:tc>
          <w:tcPr>
            <w:tcW w:w="1487" w:type="dxa"/>
            <w:noWrap w:val="0"/>
            <w:vAlign w:val="center"/>
          </w:tcPr>
          <w:p w14:paraId="13F63F56">
            <w:pPr>
              <w:pStyle w:val="13"/>
              <w:adjustRightInd w:val="0"/>
              <w:snapToGrid w:val="0"/>
              <w:jc w:val="center"/>
              <w:rPr>
                <w:rFonts w:hint="default" w:eastAsia="宋体"/>
                <w:color w:val="auto"/>
                <w:szCs w:val="21"/>
                <w:highlight w:val="none"/>
                <w:lang w:val="en-US" w:eastAsia="zh-CN"/>
              </w:rPr>
            </w:pPr>
            <w:r>
              <w:rPr>
                <w:rFonts w:hint="eastAsia"/>
                <w:color w:val="auto"/>
                <w:szCs w:val="21"/>
                <w:highlight w:val="none"/>
                <w:lang w:val="en-US" w:eastAsia="zh-CN"/>
              </w:rPr>
              <w:t>5250000</w:t>
            </w:r>
          </w:p>
        </w:tc>
        <w:tc>
          <w:tcPr>
            <w:tcW w:w="695" w:type="dxa"/>
            <w:noWrap w:val="0"/>
            <w:vAlign w:val="center"/>
          </w:tcPr>
          <w:p w14:paraId="4AFBB27D">
            <w:pPr>
              <w:adjustRightInd w:val="0"/>
              <w:snapToGrid w:val="0"/>
              <w:spacing w:before="156" w:beforeLines="50" w:line="240" w:lineRule="auto"/>
              <w:jc w:val="center"/>
              <w:rPr>
                <w:color w:val="auto"/>
                <w:szCs w:val="21"/>
                <w:highlight w:val="none"/>
              </w:rPr>
            </w:pPr>
            <w:r>
              <w:rPr>
                <w:rFonts w:hint="eastAsia" w:ascii="宋体" w:hAnsi="宋体"/>
                <w:iCs/>
                <w:color w:val="auto"/>
                <w:szCs w:val="21"/>
                <w:highlight w:val="none"/>
              </w:rPr>
              <w:sym w:font="Wingdings" w:char="00A8"/>
            </w:r>
          </w:p>
        </w:tc>
        <w:tc>
          <w:tcPr>
            <w:tcW w:w="764" w:type="dxa"/>
            <w:noWrap w:val="0"/>
            <w:vAlign w:val="center"/>
          </w:tcPr>
          <w:p w14:paraId="3EE251B4">
            <w:pPr>
              <w:adjustRightInd w:val="0"/>
              <w:snapToGrid w:val="0"/>
              <w:spacing w:before="156" w:beforeLines="50" w:line="240" w:lineRule="auto"/>
              <w:jc w:val="center"/>
              <w:rPr>
                <w:color w:val="auto"/>
                <w:szCs w:val="21"/>
                <w:highlight w:val="none"/>
              </w:rPr>
            </w:pPr>
            <w:r>
              <w:rPr>
                <w:rFonts w:hint="eastAsia" w:ascii="宋体" w:hAnsi="宋体"/>
                <w:iCs/>
                <w:color w:val="auto"/>
                <w:szCs w:val="21"/>
                <w:highlight w:val="none"/>
              </w:rPr>
              <w:sym w:font="Wingdings" w:char="00A8"/>
            </w:r>
          </w:p>
        </w:tc>
      </w:tr>
      <w:tr w14:paraId="710587E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693" w:hRule="atLeast"/>
          <w:jc w:val="center"/>
        </w:trPr>
        <w:tc>
          <w:tcPr>
            <w:tcW w:w="553" w:type="dxa"/>
            <w:vMerge w:val="continue"/>
            <w:noWrap w:val="0"/>
            <w:vAlign w:val="center"/>
          </w:tcPr>
          <w:p w14:paraId="77E4CC84">
            <w:pPr>
              <w:adjustRightInd w:val="0"/>
              <w:snapToGrid w:val="0"/>
              <w:spacing w:before="156" w:beforeLines="50" w:line="240" w:lineRule="auto"/>
              <w:jc w:val="center"/>
              <w:rPr>
                <w:rFonts w:hint="eastAsia" w:ascii="Times New Roman" w:hAnsi="Times New Roman" w:eastAsia="宋体" w:cs="Times New Roman"/>
                <w:color w:val="auto"/>
                <w:szCs w:val="21"/>
                <w:highlight w:val="none"/>
                <w:lang w:val="en-US" w:eastAsia="zh-CN"/>
              </w:rPr>
            </w:pPr>
          </w:p>
        </w:tc>
        <w:tc>
          <w:tcPr>
            <w:tcW w:w="2113" w:type="dxa"/>
            <w:noWrap w:val="0"/>
            <w:vAlign w:val="center"/>
          </w:tcPr>
          <w:p w14:paraId="21D7EF2C">
            <w:pPr>
              <w:adjustRightInd w:val="0"/>
              <w:snapToGrid w:val="0"/>
              <w:jc w:val="center"/>
              <w:rPr>
                <w:rFonts w:hint="eastAsia" w:ascii="Times New Roman" w:hAnsi="宋体" w:eastAsia="宋体" w:cs="Times New Roman"/>
                <w:color w:val="auto"/>
                <w:kern w:val="0"/>
                <w:sz w:val="21"/>
                <w:szCs w:val="24"/>
                <w:highlight w:val="none"/>
                <w:lang w:val="en-US" w:eastAsia="zh-CN" w:bidi="ar-SA"/>
              </w:rPr>
            </w:pPr>
            <w:r>
              <w:rPr>
                <w:rFonts w:hint="eastAsia" w:ascii="Times New Roman" w:hAnsi="宋体" w:eastAsia="宋体" w:cs="Times New Roman"/>
                <w:color w:val="auto"/>
                <w:kern w:val="0"/>
                <w:sz w:val="21"/>
                <w:szCs w:val="24"/>
                <w:highlight w:val="none"/>
                <w:lang w:val="en-US" w:eastAsia="zh-CN" w:bidi="ar-SA"/>
              </w:rPr>
              <w:t>主动脉球囊反搏泵</w:t>
            </w:r>
          </w:p>
        </w:tc>
        <w:tc>
          <w:tcPr>
            <w:tcW w:w="1528" w:type="dxa"/>
            <w:tcBorders>
              <w:left w:val="single" w:color="auto" w:sz="4" w:space="0"/>
            </w:tcBorders>
            <w:noWrap w:val="0"/>
            <w:vAlign w:val="center"/>
          </w:tcPr>
          <w:p w14:paraId="42A93F8A">
            <w:pPr>
              <w:adjustRightInd w:val="0"/>
              <w:snapToGrid w:val="0"/>
              <w:jc w:val="center"/>
              <w:rPr>
                <w:rFonts w:hint="eastAsia" w:ascii="Times New Roman" w:hAnsi="宋体" w:eastAsia="宋体" w:cs="Times New Roman"/>
                <w:color w:val="auto"/>
                <w:kern w:val="0"/>
                <w:sz w:val="21"/>
                <w:szCs w:val="24"/>
                <w:highlight w:val="none"/>
                <w:lang w:val="en-US" w:eastAsia="zh-CN" w:bidi="ar-SA"/>
              </w:rPr>
            </w:pPr>
            <w:r>
              <w:rPr>
                <w:rFonts w:hint="eastAsia" w:ascii="Times New Roman" w:hAnsi="宋体" w:eastAsia="宋体" w:cs="Times New Roman"/>
                <w:color w:val="auto"/>
                <w:kern w:val="0"/>
                <w:sz w:val="21"/>
                <w:szCs w:val="24"/>
                <w:highlight w:val="none"/>
                <w:lang w:val="en-US" w:eastAsia="zh-CN" w:bidi="ar-SA"/>
              </w:rPr>
              <w:t>详见第五章</w:t>
            </w:r>
            <w:r>
              <w:rPr>
                <w:rFonts w:hint="eastAsia" w:hAnsi="宋体" w:cs="Times New Roman"/>
                <w:color w:val="auto"/>
                <w:kern w:val="0"/>
                <w:sz w:val="21"/>
                <w:szCs w:val="24"/>
                <w:highlight w:val="none"/>
                <w:lang w:val="en-US" w:eastAsia="zh-CN" w:bidi="ar-SA"/>
              </w:rPr>
              <w:t>采购需求</w:t>
            </w:r>
          </w:p>
        </w:tc>
        <w:tc>
          <w:tcPr>
            <w:tcW w:w="790" w:type="dxa"/>
            <w:tcBorders>
              <w:left w:val="single" w:color="auto" w:sz="4" w:space="0"/>
            </w:tcBorders>
            <w:noWrap w:val="0"/>
            <w:vAlign w:val="center"/>
          </w:tcPr>
          <w:p w14:paraId="2201F300">
            <w:pPr>
              <w:pStyle w:val="13"/>
              <w:adjustRightInd w:val="0"/>
              <w:snapToGrid w:val="0"/>
              <w:jc w:val="center"/>
              <w:rPr>
                <w:rFonts w:hint="default" w:hAnsi="宋体"/>
                <w:color w:val="auto"/>
                <w:kern w:val="0"/>
                <w:highlight w:val="none"/>
                <w:lang w:val="en-US" w:eastAsia="zh-CN"/>
              </w:rPr>
            </w:pPr>
            <w:r>
              <w:rPr>
                <w:rFonts w:hint="eastAsia" w:hAnsi="宋体"/>
                <w:color w:val="auto"/>
                <w:kern w:val="0"/>
                <w:highlight w:val="none"/>
                <w:lang w:val="en-US" w:eastAsia="zh-CN"/>
              </w:rPr>
              <w:t>1台</w:t>
            </w:r>
          </w:p>
        </w:tc>
        <w:tc>
          <w:tcPr>
            <w:tcW w:w="1514" w:type="dxa"/>
            <w:noWrap w:val="0"/>
            <w:vAlign w:val="center"/>
          </w:tcPr>
          <w:p w14:paraId="6B6FAB1C">
            <w:pPr>
              <w:pStyle w:val="13"/>
              <w:adjustRightInd w:val="0"/>
              <w:snapToGrid w:val="0"/>
              <w:jc w:val="center"/>
              <w:rPr>
                <w:rFonts w:hint="default" w:hAnsi="宋体" w:cs="Times New Roman"/>
                <w:color w:val="auto"/>
                <w:szCs w:val="21"/>
                <w:highlight w:val="none"/>
                <w:u w:val="none"/>
                <w:lang w:val="en-US" w:eastAsia="zh-CN"/>
              </w:rPr>
            </w:pPr>
            <w:r>
              <w:rPr>
                <w:rFonts w:hint="eastAsia" w:hAnsi="宋体" w:cs="Times New Roman"/>
                <w:color w:val="auto"/>
                <w:szCs w:val="21"/>
                <w:highlight w:val="none"/>
                <w:u w:val="none"/>
                <w:lang w:val="en-US" w:eastAsia="zh-CN"/>
              </w:rPr>
              <w:t>1100000</w:t>
            </w:r>
          </w:p>
        </w:tc>
        <w:tc>
          <w:tcPr>
            <w:tcW w:w="1487" w:type="dxa"/>
            <w:noWrap w:val="0"/>
            <w:vAlign w:val="center"/>
          </w:tcPr>
          <w:p w14:paraId="24FE0941">
            <w:pPr>
              <w:pStyle w:val="13"/>
              <w:adjustRightInd w:val="0"/>
              <w:snapToGrid w:val="0"/>
              <w:jc w:val="center"/>
              <w:rPr>
                <w:rFonts w:hint="default" w:hAnsi="宋体" w:cs="Times New Roman"/>
                <w:color w:val="auto"/>
                <w:szCs w:val="21"/>
                <w:highlight w:val="none"/>
                <w:u w:val="none"/>
                <w:lang w:val="en-US" w:eastAsia="zh-CN"/>
              </w:rPr>
            </w:pPr>
            <w:r>
              <w:rPr>
                <w:rFonts w:hint="eastAsia" w:hAnsi="宋体" w:cs="Times New Roman"/>
                <w:color w:val="auto"/>
                <w:szCs w:val="21"/>
                <w:highlight w:val="none"/>
                <w:u w:val="none"/>
                <w:lang w:val="en-US" w:eastAsia="zh-CN"/>
              </w:rPr>
              <w:t>1100000</w:t>
            </w:r>
          </w:p>
        </w:tc>
        <w:tc>
          <w:tcPr>
            <w:tcW w:w="695" w:type="dxa"/>
            <w:noWrap w:val="0"/>
            <w:vAlign w:val="center"/>
          </w:tcPr>
          <w:p w14:paraId="35F08509">
            <w:pPr>
              <w:adjustRightInd w:val="0"/>
              <w:snapToGrid w:val="0"/>
              <w:spacing w:before="156" w:beforeLines="50" w:line="240" w:lineRule="auto"/>
              <w:jc w:val="center"/>
              <w:rPr>
                <w:rFonts w:hint="eastAsia" w:ascii="宋体" w:hAnsi="宋体"/>
                <w:iCs/>
                <w:color w:val="auto"/>
                <w:szCs w:val="21"/>
                <w:highlight w:val="none"/>
              </w:rPr>
            </w:pPr>
            <w:r>
              <w:rPr>
                <w:rFonts w:hint="eastAsia" w:ascii="宋体" w:hAnsi="宋体"/>
                <w:iCs/>
                <w:color w:val="auto"/>
                <w:szCs w:val="21"/>
                <w:highlight w:val="none"/>
              </w:rPr>
              <w:sym w:font="Wingdings" w:char="00A8"/>
            </w:r>
          </w:p>
        </w:tc>
        <w:tc>
          <w:tcPr>
            <w:tcW w:w="764" w:type="dxa"/>
            <w:noWrap w:val="0"/>
            <w:vAlign w:val="center"/>
          </w:tcPr>
          <w:p w14:paraId="52114184">
            <w:pPr>
              <w:adjustRightInd w:val="0"/>
              <w:snapToGrid w:val="0"/>
              <w:spacing w:before="156" w:beforeLines="50" w:line="240" w:lineRule="auto"/>
              <w:jc w:val="center"/>
              <w:rPr>
                <w:rFonts w:hint="eastAsia" w:ascii="宋体" w:hAnsi="宋体"/>
                <w:iCs/>
                <w:color w:val="auto"/>
                <w:szCs w:val="21"/>
                <w:highlight w:val="none"/>
              </w:rPr>
            </w:pPr>
            <w:r>
              <w:rPr>
                <w:rFonts w:hint="eastAsia" w:ascii="宋体" w:hAnsi="宋体"/>
                <w:iCs/>
                <w:color w:val="auto"/>
                <w:szCs w:val="21"/>
                <w:highlight w:val="none"/>
              </w:rPr>
              <w:sym w:font="Wingdings" w:char="00A8"/>
            </w:r>
          </w:p>
        </w:tc>
      </w:tr>
      <w:tr w14:paraId="37232F3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693" w:hRule="atLeast"/>
          <w:jc w:val="center"/>
        </w:trPr>
        <w:tc>
          <w:tcPr>
            <w:tcW w:w="553" w:type="dxa"/>
            <w:vMerge w:val="continue"/>
            <w:noWrap w:val="0"/>
            <w:vAlign w:val="center"/>
          </w:tcPr>
          <w:p w14:paraId="4986D77A">
            <w:pPr>
              <w:adjustRightInd w:val="0"/>
              <w:snapToGrid w:val="0"/>
              <w:spacing w:before="156" w:beforeLines="50" w:line="240" w:lineRule="auto"/>
              <w:jc w:val="center"/>
              <w:rPr>
                <w:rFonts w:hint="eastAsia" w:ascii="Times New Roman" w:hAnsi="Times New Roman" w:eastAsia="宋体" w:cs="Times New Roman"/>
                <w:color w:val="auto"/>
                <w:szCs w:val="21"/>
                <w:highlight w:val="none"/>
                <w:lang w:val="en-US" w:eastAsia="zh-CN"/>
              </w:rPr>
            </w:pPr>
          </w:p>
        </w:tc>
        <w:tc>
          <w:tcPr>
            <w:tcW w:w="2113" w:type="dxa"/>
            <w:noWrap w:val="0"/>
            <w:vAlign w:val="center"/>
          </w:tcPr>
          <w:p w14:paraId="523F4E1E">
            <w:pPr>
              <w:adjustRightInd w:val="0"/>
              <w:snapToGrid w:val="0"/>
              <w:jc w:val="center"/>
              <w:rPr>
                <w:rFonts w:hint="eastAsia" w:ascii="Times New Roman" w:hAnsi="宋体" w:eastAsia="宋体" w:cs="Times New Roman"/>
                <w:color w:val="auto"/>
                <w:kern w:val="0"/>
                <w:sz w:val="21"/>
                <w:szCs w:val="24"/>
                <w:highlight w:val="none"/>
                <w:lang w:val="en-US" w:eastAsia="zh-CN" w:bidi="ar-SA"/>
              </w:rPr>
            </w:pPr>
            <w:r>
              <w:rPr>
                <w:rFonts w:hint="eastAsia" w:ascii="Times New Roman" w:hAnsi="宋体" w:eastAsia="宋体" w:cs="Times New Roman"/>
                <w:color w:val="auto"/>
                <w:kern w:val="0"/>
                <w:sz w:val="21"/>
                <w:szCs w:val="24"/>
                <w:highlight w:val="none"/>
                <w:lang w:val="en-US" w:eastAsia="zh-CN" w:bidi="ar-SA"/>
              </w:rPr>
              <w:t>腹腔镜</w:t>
            </w:r>
          </w:p>
        </w:tc>
        <w:tc>
          <w:tcPr>
            <w:tcW w:w="1528" w:type="dxa"/>
            <w:tcBorders>
              <w:left w:val="single" w:color="auto" w:sz="4" w:space="0"/>
            </w:tcBorders>
            <w:noWrap w:val="0"/>
            <w:vAlign w:val="center"/>
          </w:tcPr>
          <w:p w14:paraId="78960702">
            <w:pPr>
              <w:adjustRightInd w:val="0"/>
              <w:snapToGrid w:val="0"/>
              <w:jc w:val="center"/>
              <w:rPr>
                <w:rFonts w:hint="eastAsia" w:ascii="Times New Roman" w:hAnsi="宋体" w:eastAsia="宋体" w:cs="Times New Roman"/>
                <w:color w:val="auto"/>
                <w:kern w:val="0"/>
                <w:sz w:val="21"/>
                <w:szCs w:val="24"/>
                <w:highlight w:val="none"/>
                <w:lang w:val="en-US" w:eastAsia="zh-CN" w:bidi="ar-SA"/>
              </w:rPr>
            </w:pPr>
            <w:r>
              <w:rPr>
                <w:rFonts w:hint="eastAsia" w:ascii="Times New Roman" w:hAnsi="宋体" w:eastAsia="宋体" w:cs="Times New Roman"/>
                <w:color w:val="auto"/>
                <w:kern w:val="0"/>
                <w:sz w:val="21"/>
                <w:szCs w:val="24"/>
                <w:highlight w:val="none"/>
                <w:lang w:val="en-US" w:eastAsia="zh-CN" w:bidi="ar-SA"/>
              </w:rPr>
              <w:t>详见第五章</w:t>
            </w:r>
            <w:r>
              <w:rPr>
                <w:rFonts w:hint="eastAsia" w:hAnsi="宋体" w:cs="Times New Roman"/>
                <w:color w:val="auto"/>
                <w:kern w:val="0"/>
                <w:sz w:val="21"/>
                <w:szCs w:val="24"/>
                <w:highlight w:val="none"/>
                <w:lang w:val="en-US" w:eastAsia="zh-CN" w:bidi="ar-SA"/>
              </w:rPr>
              <w:t>采购需求</w:t>
            </w:r>
          </w:p>
        </w:tc>
        <w:tc>
          <w:tcPr>
            <w:tcW w:w="790" w:type="dxa"/>
            <w:tcBorders>
              <w:left w:val="single" w:color="auto" w:sz="4" w:space="0"/>
            </w:tcBorders>
            <w:noWrap w:val="0"/>
            <w:vAlign w:val="center"/>
          </w:tcPr>
          <w:p w14:paraId="5E0CA443">
            <w:pPr>
              <w:pStyle w:val="13"/>
              <w:adjustRightInd w:val="0"/>
              <w:snapToGrid w:val="0"/>
              <w:jc w:val="center"/>
              <w:rPr>
                <w:rFonts w:hint="default" w:hAnsi="宋体"/>
                <w:color w:val="auto"/>
                <w:kern w:val="0"/>
                <w:highlight w:val="none"/>
                <w:lang w:val="en-US" w:eastAsia="zh-CN"/>
              </w:rPr>
            </w:pPr>
            <w:r>
              <w:rPr>
                <w:rFonts w:hint="eastAsia" w:hAnsi="宋体"/>
                <w:color w:val="auto"/>
                <w:kern w:val="0"/>
                <w:highlight w:val="none"/>
                <w:lang w:val="en-US" w:eastAsia="zh-CN"/>
              </w:rPr>
              <w:t>2台</w:t>
            </w:r>
          </w:p>
        </w:tc>
        <w:tc>
          <w:tcPr>
            <w:tcW w:w="1514" w:type="dxa"/>
            <w:noWrap w:val="0"/>
            <w:vAlign w:val="center"/>
          </w:tcPr>
          <w:p w14:paraId="6D9CE582">
            <w:pPr>
              <w:pStyle w:val="13"/>
              <w:adjustRightInd w:val="0"/>
              <w:snapToGrid w:val="0"/>
              <w:jc w:val="center"/>
              <w:rPr>
                <w:rFonts w:hint="default" w:hAnsi="宋体" w:cs="Times New Roman"/>
                <w:color w:val="auto"/>
                <w:szCs w:val="21"/>
                <w:highlight w:val="none"/>
                <w:u w:val="none"/>
                <w:lang w:val="en-US" w:eastAsia="zh-CN"/>
              </w:rPr>
            </w:pPr>
            <w:r>
              <w:rPr>
                <w:rFonts w:hint="eastAsia" w:hAnsi="宋体" w:cs="Times New Roman"/>
                <w:color w:val="auto"/>
                <w:szCs w:val="21"/>
                <w:highlight w:val="none"/>
                <w:u w:val="none"/>
                <w:lang w:val="en-US" w:eastAsia="zh-CN"/>
              </w:rPr>
              <w:t>3600000</w:t>
            </w:r>
          </w:p>
        </w:tc>
        <w:tc>
          <w:tcPr>
            <w:tcW w:w="1487" w:type="dxa"/>
            <w:noWrap w:val="0"/>
            <w:vAlign w:val="center"/>
          </w:tcPr>
          <w:p w14:paraId="27257326">
            <w:pPr>
              <w:pStyle w:val="13"/>
              <w:adjustRightInd w:val="0"/>
              <w:snapToGrid w:val="0"/>
              <w:jc w:val="center"/>
              <w:rPr>
                <w:rFonts w:hint="default" w:hAnsi="宋体" w:cs="Times New Roman"/>
                <w:color w:val="auto"/>
                <w:szCs w:val="21"/>
                <w:highlight w:val="none"/>
                <w:u w:val="none"/>
                <w:lang w:val="en-US" w:eastAsia="zh-CN"/>
              </w:rPr>
            </w:pPr>
            <w:r>
              <w:rPr>
                <w:rFonts w:hint="eastAsia" w:hAnsi="宋体" w:cs="Times New Roman"/>
                <w:color w:val="auto"/>
                <w:szCs w:val="21"/>
                <w:highlight w:val="none"/>
                <w:u w:val="none"/>
                <w:lang w:val="en-US" w:eastAsia="zh-CN"/>
              </w:rPr>
              <w:t>3600000</w:t>
            </w:r>
          </w:p>
        </w:tc>
        <w:tc>
          <w:tcPr>
            <w:tcW w:w="695" w:type="dxa"/>
            <w:noWrap w:val="0"/>
            <w:vAlign w:val="center"/>
          </w:tcPr>
          <w:p w14:paraId="049D9A7D">
            <w:pPr>
              <w:adjustRightInd w:val="0"/>
              <w:snapToGrid w:val="0"/>
              <w:spacing w:before="156" w:beforeLines="50" w:line="240" w:lineRule="auto"/>
              <w:jc w:val="center"/>
              <w:rPr>
                <w:rFonts w:hint="eastAsia" w:ascii="宋体" w:hAnsi="宋体"/>
                <w:iCs/>
                <w:color w:val="auto"/>
                <w:szCs w:val="21"/>
                <w:highlight w:val="none"/>
              </w:rPr>
            </w:pPr>
            <w:r>
              <w:rPr>
                <w:rFonts w:hint="eastAsia" w:ascii="宋体" w:hAnsi="宋体"/>
                <w:iCs/>
                <w:color w:val="auto"/>
                <w:szCs w:val="21"/>
                <w:highlight w:val="none"/>
              </w:rPr>
              <w:sym w:font="Wingdings" w:char="00A8"/>
            </w:r>
          </w:p>
        </w:tc>
        <w:tc>
          <w:tcPr>
            <w:tcW w:w="764" w:type="dxa"/>
            <w:noWrap w:val="0"/>
            <w:vAlign w:val="center"/>
          </w:tcPr>
          <w:p w14:paraId="1C9383F8">
            <w:pPr>
              <w:adjustRightInd w:val="0"/>
              <w:snapToGrid w:val="0"/>
              <w:spacing w:before="156" w:beforeLines="50" w:line="240" w:lineRule="auto"/>
              <w:jc w:val="center"/>
              <w:rPr>
                <w:rFonts w:hint="eastAsia" w:ascii="宋体" w:hAnsi="宋体"/>
                <w:iCs/>
                <w:color w:val="auto"/>
                <w:szCs w:val="21"/>
                <w:highlight w:val="none"/>
              </w:rPr>
            </w:pPr>
            <w:r>
              <w:rPr>
                <w:rFonts w:hint="eastAsia" w:ascii="宋体" w:hAnsi="宋体"/>
                <w:iCs/>
                <w:color w:val="auto"/>
                <w:szCs w:val="21"/>
                <w:highlight w:val="none"/>
              </w:rPr>
              <w:sym w:font="Wingdings" w:char="00A8"/>
            </w:r>
          </w:p>
        </w:tc>
      </w:tr>
      <w:tr w14:paraId="154CAAC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693" w:hRule="atLeast"/>
          <w:jc w:val="center"/>
        </w:trPr>
        <w:tc>
          <w:tcPr>
            <w:tcW w:w="553" w:type="dxa"/>
            <w:vMerge w:val="continue"/>
            <w:noWrap w:val="0"/>
            <w:vAlign w:val="center"/>
          </w:tcPr>
          <w:p w14:paraId="5E0B8771">
            <w:pPr>
              <w:adjustRightInd w:val="0"/>
              <w:snapToGrid w:val="0"/>
              <w:spacing w:before="156" w:beforeLines="50" w:line="240" w:lineRule="auto"/>
              <w:jc w:val="center"/>
              <w:rPr>
                <w:rFonts w:hint="eastAsia" w:ascii="Times New Roman" w:hAnsi="Times New Roman" w:eastAsia="宋体" w:cs="Times New Roman"/>
                <w:color w:val="auto"/>
                <w:szCs w:val="21"/>
                <w:highlight w:val="none"/>
                <w:lang w:val="en-US" w:eastAsia="zh-CN"/>
              </w:rPr>
            </w:pPr>
          </w:p>
        </w:tc>
        <w:tc>
          <w:tcPr>
            <w:tcW w:w="2113" w:type="dxa"/>
            <w:noWrap w:val="0"/>
            <w:vAlign w:val="center"/>
          </w:tcPr>
          <w:p w14:paraId="48540FA5">
            <w:pPr>
              <w:adjustRightInd w:val="0"/>
              <w:snapToGrid w:val="0"/>
              <w:jc w:val="center"/>
              <w:rPr>
                <w:rFonts w:hint="eastAsia" w:ascii="Times New Roman" w:hAnsi="宋体" w:eastAsia="宋体" w:cs="Times New Roman"/>
                <w:color w:val="auto"/>
                <w:kern w:val="0"/>
                <w:sz w:val="21"/>
                <w:szCs w:val="24"/>
                <w:highlight w:val="none"/>
                <w:lang w:val="en-US" w:eastAsia="zh-CN" w:bidi="ar-SA"/>
              </w:rPr>
            </w:pPr>
            <w:r>
              <w:rPr>
                <w:rFonts w:hint="eastAsia" w:ascii="Times New Roman" w:hAnsi="宋体" w:eastAsia="宋体" w:cs="Times New Roman"/>
                <w:color w:val="auto"/>
                <w:kern w:val="0"/>
                <w:sz w:val="21"/>
                <w:szCs w:val="24"/>
                <w:highlight w:val="none"/>
                <w:lang w:val="en-US" w:eastAsia="zh-CN" w:bidi="ar-SA"/>
              </w:rPr>
              <w:t>数字化手术室</w:t>
            </w:r>
          </w:p>
        </w:tc>
        <w:tc>
          <w:tcPr>
            <w:tcW w:w="1528" w:type="dxa"/>
            <w:tcBorders>
              <w:left w:val="single" w:color="auto" w:sz="4" w:space="0"/>
            </w:tcBorders>
            <w:noWrap w:val="0"/>
            <w:vAlign w:val="center"/>
          </w:tcPr>
          <w:p w14:paraId="6D6060F7">
            <w:pPr>
              <w:adjustRightInd w:val="0"/>
              <w:snapToGrid w:val="0"/>
              <w:jc w:val="center"/>
              <w:rPr>
                <w:rFonts w:hint="eastAsia" w:ascii="Times New Roman" w:hAnsi="宋体" w:eastAsia="宋体" w:cs="Times New Roman"/>
                <w:color w:val="auto"/>
                <w:kern w:val="0"/>
                <w:sz w:val="21"/>
                <w:szCs w:val="24"/>
                <w:highlight w:val="none"/>
                <w:lang w:val="en-US" w:eastAsia="zh-CN" w:bidi="ar-SA"/>
              </w:rPr>
            </w:pPr>
            <w:r>
              <w:rPr>
                <w:rFonts w:hint="eastAsia" w:ascii="Times New Roman" w:hAnsi="宋体" w:eastAsia="宋体" w:cs="Times New Roman"/>
                <w:color w:val="auto"/>
                <w:kern w:val="0"/>
                <w:sz w:val="21"/>
                <w:szCs w:val="24"/>
                <w:highlight w:val="none"/>
                <w:lang w:val="en-US" w:eastAsia="zh-CN" w:bidi="ar-SA"/>
              </w:rPr>
              <w:t>详见第五章</w:t>
            </w:r>
            <w:r>
              <w:rPr>
                <w:rFonts w:hint="eastAsia" w:hAnsi="宋体" w:cs="Times New Roman"/>
                <w:color w:val="auto"/>
                <w:kern w:val="0"/>
                <w:sz w:val="21"/>
                <w:szCs w:val="24"/>
                <w:highlight w:val="none"/>
                <w:lang w:val="en-US" w:eastAsia="zh-CN" w:bidi="ar-SA"/>
              </w:rPr>
              <w:t>采购需求</w:t>
            </w:r>
          </w:p>
        </w:tc>
        <w:tc>
          <w:tcPr>
            <w:tcW w:w="790" w:type="dxa"/>
            <w:tcBorders>
              <w:left w:val="single" w:color="auto" w:sz="4" w:space="0"/>
            </w:tcBorders>
            <w:noWrap w:val="0"/>
            <w:vAlign w:val="center"/>
          </w:tcPr>
          <w:p w14:paraId="13F34FF4">
            <w:pPr>
              <w:pStyle w:val="13"/>
              <w:adjustRightInd w:val="0"/>
              <w:snapToGrid w:val="0"/>
              <w:jc w:val="center"/>
              <w:rPr>
                <w:rFonts w:hint="default" w:hAnsi="宋体"/>
                <w:color w:val="auto"/>
                <w:kern w:val="0"/>
                <w:highlight w:val="none"/>
                <w:lang w:val="en-US" w:eastAsia="zh-CN"/>
              </w:rPr>
            </w:pPr>
            <w:r>
              <w:rPr>
                <w:rFonts w:hint="eastAsia" w:hAnsi="宋体"/>
                <w:color w:val="auto"/>
                <w:kern w:val="0"/>
                <w:highlight w:val="none"/>
                <w:lang w:val="en-US" w:eastAsia="zh-CN"/>
              </w:rPr>
              <w:t>1套</w:t>
            </w:r>
          </w:p>
        </w:tc>
        <w:tc>
          <w:tcPr>
            <w:tcW w:w="1514" w:type="dxa"/>
            <w:noWrap w:val="0"/>
            <w:vAlign w:val="center"/>
          </w:tcPr>
          <w:p w14:paraId="79FFB06A">
            <w:pPr>
              <w:pStyle w:val="13"/>
              <w:adjustRightInd w:val="0"/>
              <w:snapToGrid w:val="0"/>
              <w:jc w:val="center"/>
              <w:rPr>
                <w:rFonts w:hint="default" w:hAnsi="宋体" w:cs="Times New Roman"/>
                <w:color w:val="auto"/>
                <w:szCs w:val="21"/>
                <w:highlight w:val="none"/>
                <w:u w:val="none"/>
                <w:lang w:val="en-US" w:eastAsia="zh-CN"/>
              </w:rPr>
            </w:pPr>
            <w:r>
              <w:rPr>
                <w:rFonts w:hint="eastAsia" w:hAnsi="宋体" w:cs="Times New Roman"/>
                <w:color w:val="auto"/>
                <w:szCs w:val="21"/>
                <w:highlight w:val="none"/>
                <w:u w:val="none"/>
                <w:lang w:val="en-US" w:eastAsia="zh-CN"/>
              </w:rPr>
              <w:t>2100000</w:t>
            </w:r>
          </w:p>
        </w:tc>
        <w:tc>
          <w:tcPr>
            <w:tcW w:w="1487" w:type="dxa"/>
            <w:noWrap w:val="0"/>
            <w:vAlign w:val="center"/>
          </w:tcPr>
          <w:p w14:paraId="4441C54C">
            <w:pPr>
              <w:pStyle w:val="13"/>
              <w:adjustRightInd w:val="0"/>
              <w:snapToGrid w:val="0"/>
              <w:jc w:val="center"/>
              <w:rPr>
                <w:rFonts w:hint="default" w:hAnsi="宋体" w:cs="Times New Roman"/>
                <w:color w:val="auto"/>
                <w:szCs w:val="21"/>
                <w:highlight w:val="none"/>
                <w:u w:val="none"/>
                <w:lang w:val="en-US" w:eastAsia="zh-CN"/>
              </w:rPr>
            </w:pPr>
            <w:r>
              <w:rPr>
                <w:rFonts w:hint="eastAsia" w:hAnsi="宋体" w:cs="Times New Roman"/>
                <w:color w:val="auto"/>
                <w:szCs w:val="21"/>
                <w:highlight w:val="none"/>
                <w:u w:val="none"/>
                <w:lang w:val="en-US" w:eastAsia="zh-CN"/>
              </w:rPr>
              <w:t>2100000</w:t>
            </w:r>
          </w:p>
        </w:tc>
        <w:tc>
          <w:tcPr>
            <w:tcW w:w="695" w:type="dxa"/>
            <w:noWrap w:val="0"/>
            <w:vAlign w:val="center"/>
          </w:tcPr>
          <w:p w14:paraId="1A5B7CE9">
            <w:pPr>
              <w:adjustRightInd w:val="0"/>
              <w:snapToGrid w:val="0"/>
              <w:spacing w:before="156" w:beforeLines="50" w:line="240" w:lineRule="auto"/>
              <w:jc w:val="center"/>
              <w:rPr>
                <w:rFonts w:hint="eastAsia" w:ascii="宋体" w:hAnsi="宋体"/>
                <w:iCs/>
                <w:color w:val="auto"/>
                <w:szCs w:val="21"/>
                <w:highlight w:val="none"/>
              </w:rPr>
            </w:pPr>
            <w:r>
              <w:rPr>
                <w:rFonts w:hint="eastAsia" w:ascii="宋体" w:hAnsi="宋体"/>
                <w:iCs/>
                <w:color w:val="auto"/>
                <w:szCs w:val="21"/>
                <w:highlight w:val="none"/>
              </w:rPr>
              <w:sym w:font="Wingdings" w:char="00A8"/>
            </w:r>
          </w:p>
        </w:tc>
        <w:tc>
          <w:tcPr>
            <w:tcW w:w="764" w:type="dxa"/>
            <w:noWrap w:val="0"/>
            <w:vAlign w:val="center"/>
          </w:tcPr>
          <w:p w14:paraId="039EFD4A">
            <w:pPr>
              <w:adjustRightInd w:val="0"/>
              <w:snapToGrid w:val="0"/>
              <w:spacing w:before="156" w:beforeLines="50" w:line="240" w:lineRule="auto"/>
              <w:jc w:val="center"/>
              <w:rPr>
                <w:rFonts w:hint="eastAsia" w:ascii="宋体" w:hAnsi="宋体"/>
                <w:iCs/>
                <w:color w:val="auto"/>
                <w:szCs w:val="21"/>
                <w:highlight w:val="none"/>
              </w:rPr>
            </w:pPr>
            <w:r>
              <w:rPr>
                <w:rFonts w:hint="eastAsia" w:ascii="宋体" w:hAnsi="宋体"/>
                <w:iCs/>
                <w:color w:val="auto"/>
                <w:szCs w:val="21"/>
                <w:highlight w:val="none"/>
              </w:rPr>
              <w:sym w:font="Wingdings" w:char="00A8"/>
            </w:r>
          </w:p>
        </w:tc>
      </w:tr>
      <w:tr w14:paraId="1B06210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693" w:hRule="atLeast"/>
          <w:jc w:val="center"/>
        </w:trPr>
        <w:tc>
          <w:tcPr>
            <w:tcW w:w="553" w:type="dxa"/>
            <w:vMerge w:val="continue"/>
            <w:noWrap w:val="0"/>
            <w:vAlign w:val="center"/>
          </w:tcPr>
          <w:p w14:paraId="12BF6B8B">
            <w:pPr>
              <w:adjustRightInd w:val="0"/>
              <w:snapToGrid w:val="0"/>
              <w:spacing w:before="156" w:beforeLines="50" w:line="240" w:lineRule="auto"/>
              <w:jc w:val="center"/>
              <w:rPr>
                <w:rFonts w:hint="eastAsia" w:ascii="Times New Roman" w:hAnsi="Times New Roman" w:eastAsia="宋体" w:cs="Times New Roman"/>
                <w:color w:val="auto"/>
                <w:szCs w:val="21"/>
                <w:highlight w:val="none"/>
                <w:lang w:val="en-US" w:eastAsia="zh-CN"/>
              </w:rPr>
            </w:pPr>
          </w:p>
        </w:tc>
        <w:tc>
          <w:tcPr>
            <w:tcW w:w="2113" w:type="dxa"/>
            <w:noWrap w:val="0"/>
            <w:vAlign w:val="center"/>
          </w:tcPr>
          <w:p w14:paraId="24DF861F">
            <w:pPr>
              <w:adjustRightInd w:val="0"/>
              <w:snapToGrid w:val="0"/>
              <w:jc w:val="center"/>
              <w:rPr>
                <w:rFonts w:hint="eastAsia" w:ascii="Times New Roman" w:hAnsi="宋体" w:eastAsia="宋体" w:cs="Times New Roman"/>
                <w:color w:val="auto"/>
                <w:kern w:val="0"/>
                <w:sz w:val="21"/>
                <w:szCs w:val="24"/>
                <w:highlight w:val="none"/>
                <w:lang w:val="en-US" w:eastAsia="zh-CN" w:bidi="ar-SA"/>
              </w:rPr>
            </w:pPr>
            <w:r>
              <w:rPr>
                <w:rFonts w:hint="eastAsia" w:ascii="Times New Roman" w:hAnsi="宋体" w:eastAsia="宋体" w:cs="Times New Roman"/>
                <w:color w:val="auto"/>
                <w:kern w:val="0"/>
                <w:sz w:val="21"/>
                <w:szCs w:val="24"/>
                <w:highlight w:val="none"/>
                <w:lang w:val="en-US" w:eastAsia="zh-CN" w:bidi="ar-SA"/>
              </w:rPr>
              <w:t>床旁血滤机</w:t>
            </w:r>
          </w:p>
        </w:tc>
        <w:tc>
          <w:tcPr>
            <w:tcW w:w="1528" w:type="dxa"/>
            <w:tcBorders>
              <w:left w:val="single" w:color="auto" w:sz="4" w:space="0"/>
            </w:tcBorders>
            <w:noWrap w:val="0"/>
            <w:vAlign w:val="center"/>
          </w:tcPr>
          <w:p w14:paraId="64699AD2">
            <w:pPr>
              <w:adjustRightInd w:val="0"/>
              <w:snapToGrid w:val="0"/>
              <w:jc w:val="center"/>
              <w:rPr>
                <w:rFonts w:hint="eastAsia" w:ascii="Times New Roman" w:hAnsi="宋体" w:eastAsia="宋体" w:cs="Times New Roman"/>
                <w:color w:val="auto"/>
                <w:kern w:val="0"/>
                <w:sz w:val="21"/>
                <w:szCs w:val="24"/>
                <w:highlight w:val="none"/>
                <w:lang w:val="en-US" w:eastAsia="zh-CN" w:bidi="ar-SA"/>
              </w:rPr>
            </w:pPr>
            <w:r>
              <w:rPr>
                <w:rFonts w:hint="eastAsia" w:ascii="Times New Roman" w:hAnsi="宋体" w:eastAsia="宋体" w:cs="Times New Roman"/>
                <w:color w:val="auto"/>
                <w:kern w:val="0"/>
                <w:sz w:val="21"/>
                <w:szCs w:val="24"/>
                <w:highlight w:val="none"/>
                <w:lang w:val="en-US" w:eastAsia="zh-CN" w:bidi="ar-SA"/>
              </w:rPr>
              <w:t>详见第五章</w:t>
            </w:r>
            <w:r>
              <w:rPr>
                <w:rFonts w:hint="eastAsia" w:hAnsi="宋体" w:cs="Times New Roman"/>
                <w:color w:val="auto"/>
                <w:kern w:val="0"/>
                <w:sz w:val="21"/>
                <w:szCs w:val="24"/>
                <w:highlight w:val="none"/>
                <w:lang w:val="en-US" w:eastAsia="zh-CN" w:bidi="ar-SA"/>
              </w:rPr>
              <w:t>采购需求</w:t>
            </w:r>
          </w:p>
        </w:tc>
        <w:tc>
          <w:tcPr>
            <w:tcW w:w="790" w:type="dxa"/>
            <w:tcBorders>
              <w:left w:val="single" w:color="auto" w:sz="4" w:space="0"/>
            </w:tcBorders>
            <w:noWrap w:val="0"/>
            <w:vAlign w:val="center"/>
          </w:tcPr>
          <w:p w14:paraId="5C7F1638">
            <w:pPr>
              <w:pStyle w:val="13"/>
              <w:adjustRightInd w:val="0"/>
              <w:snapToGrid w:val="0"/>
              <w:jc w:val="center"/>
              <w:rPr>
                <w:rFonts w:hint="default" w:hAnsi="宋体"/>
                <w:color w:val="auto"/>
                <w:kern w:val="0"/>
                <w:highlight w:val="none"/>
                <w:lang w:val="en-US" w:eastAsia="zh-CN"/>
              </w:rPr>
            </w:pPr>
            <w:r>
              <w:rPr>
                <w:rFonts w:hint="eastAsia" w:hAnsi="宋体"/>
                <w:color w:val="auto"/>
                <w:kern w:val="0"/>
                <w:highlight w:val="none"/>
                <w:lang w:val="en-US" w:eastAsia="zh-CN"/>
              </w:rPr>
              <w:t>2台</w:t>
            </w:r>
          </w:p>
        </w:tc>
        <w:tc>
          <w:tcPr>
            <w:tcW w:w="1514" w:type="dxa"/>
            <w:noWrap w:val="0"/>
            <w:vAlign w:val="center"/>
          </w:tcPr>
          <w:p w14:paraId="689AF720">
            <w:pPr>
              <w:pStyle w:val="13"/>
              <w:adjustRightInd w:val="0"/>
              <w:snapToGrid w:val="0"/>
              <w:jc w:val="center"/>
              <w:rPr>
                <w:rFonts w:hint="default" w:hAnsi="宋体" w:cs="Times New Roman"/>
                <w:color w:val="auto"/>
                <w:szCs w:val="21"/>
                <w:highlight w:val="none"/>
                <w:u w:val="none"/>
                <w:lang w:val="en-US" w:eastAsia="zh-CN"/>
              </w:rPr>
            </w:pPr>
            <w:r>
              <w:rPr>
                <w:rFonts w:hint="eastAsia" w:hAnsi="宋体" w:cs="Times New Roman"/>
                <w:color w:val="auto"/>
                <w:szCs w:val="21"/>
                <w:highlight w:val="none"/>
                <w:u w:val="none"/>
                <w:lang w:val="en-US" w:eastAsia="zh-CN"/>
              </w:rPr>
              <w:t>437000</w:t>
            </w:r>
          </w:p>
        </w:tc>
        <w:tc>
          <w:tcPr>
            <w:tcW w:w="1487" w:type="dxa"/>
            <w:noWrap w:val="0"/>
            <w:vAlign w:val="center"/>
          </w:tcPr>
          <w:p w14:paraId="48BE9906">
            <w:pPr>
              <w:pStyle w:val="13"/>
              <w:adjustRightInd w:val="0"/>
              <w:snapToGrid w:val="0"/>
              <w:jc w:val="center"/>
              <w:rPr>
                <w:rFonts w:hint="default" w:hAnsi="宋体" w:cs="Times New Roman"/>
                <w:color w:val="auto"/>
                <w:szCs w:val="21"/>
                <w:highlight w:val="none"/>
                <w:u w:val="none"/>
                <w:lang w:val="en-US" w:eastAsia="zh-CN"/>
              </w:rPr>
            </w:pPr>
            <w:r>
              <w:rPr>
                <w:rFonts w:hint="eastAsia" w:hAnsi="宋体" w:cs="Times New Roman"/>
                <w:color w:val="auto"/>
                <w:szCs w:val="21"/>
                <w:highlight w:val="none"/>
                <w:u w:val="none"/>
                <w:lang w:val="en-US" w:eastAsia="zh-CN"/>
              </w:rPr>
              <w:t>437000</w:t>
            </w:r>
          </w:p>
        </w:tc>
        <w:tc>
          <w:tcPr>
            <w:tcW w:w="695" w:type="dxa"/>
            <w:noWrap w:val="0"/>
            <w:vAlign w:val="center"/>
          </w:tcPr>
          <w:p w14:paraId="33881721">
            <w:pPr>
              <w:adjustRightInd w:val="0"/>
              <w:snapToGrid w:val="0"/>
              <w:spacing w:before="156" w:beforeLines="50" w:line="240" w:lineRule="auto"/>
              <w:jc w:val="center"/>
              <w:rPr>
                <w:rFonts w:hint="eastAsia" w:ascii="宋体" w:hAnsi="宋体"/>
                <w:iCs/>
                <w:color w:val="auto"/>
                <w:szCs w:val="21"/>
                <w:highlight w:val="none"/>
              </w:rPr>
            </w:pPr>
            <w:r>
              <w:rPr>
                <w:rFonts w:hint="eastAsia" w:ascii="宋体" w:hAnsi="宋体"/>
                <w:iCs/>
                <w:color w:val="auto"/>
                <w:szCs w:val="21"/>
                <w:highlight w:val="none"/>
              </w:rPr>
              <w:sym w:font="Wingdings" w:char="00A8"/>
            </w:r>
          </w:p>
        </w:tc>
        <w:tc>
          <w:tcPr>
            <w:tcW w:w="764" w:type="dxa"/>
            <w:noWrap w:val="0"/>
            <w:vAlign w:val="center"/>
          </w:tcPr>
          <w:p w14:paraId="2F204BCF">
            <w:pPr>
              <w:adjustRightInd w:val="0"/>
              <w:snapToGrid w:val="0"/>
              <w:spacing w:before="156" w:beforeLines="50" w:line="240" w:lineRule="auto"/>
              <w:jc w:val="center"/>
              <w:rPr>
                <w:rFonts w:hint="eastAsia" w:ascii="宋体" w:hAnsi="宋体"/>
                <w:iCs/>
                <w:color w:val="auto"/>
                <w:szCs w:val="21"/>
                <w:highlight w:val="none"/>
              </w:rPr>
            </w:pPr>
            <w:r>
              <w:rPr>
                <w:rFonts w:hint="eastAsia" w:ascii="宋体" w:hAnsi="宋体"/>
                <w:iCs/>
                <w:color w:val="auto"/>
                <w:szCs w:val="21"/>
                <w:highlight w:val="none"/>
              </w:rPr>
              <w:sym w:font="Wingdings" w:char="00A8"/>
            </w:r>
          </w:p>
        </w:tc>
      </w:tr>
    </w:tbl>
    <w:p w14:paraId="4E864B1E">
      <w:pPr>
        <w:keepNext w:val="0"/>
        <w:keepLines w:val="0"/>
        <w:pageBreakBefore w:val="0"/>
        <w:widowControl w:val="0"/>
        <w:kinsoku/>
        <w:wordWrap/>
        <w:overflowPunct/>
        <w:topLinePunct w:val="0"/>
        <w:bidi w:val="0"/>
        <w:adjustRightInd w:val="0"/>
        <w:snapToGrid w:val="0"/>
        <w:spacing w:line="480" w:lineRule="exact"/>
        <w:ind w:firstLine="420" w:firstLineChars="200"/>
        <w:textAlignment w:val="auto"/>
        <w:rPr>
          <w:rFonts w:ascii="宋体" w:hAnsi="宋体"/>
          <w:color w:val="auto"/>
          <w:szCs w:val="21"/>
          <w:highlight w:val="none"/>
        </w:rPr>
      </w:pPr>
      <w:r>
        <w:rPr>
          <w:rFonts w:hint="eastAsia" w:ascii="宋体" w:hAnsi="宋体"/>
          <w:color w:val="auto"/>
          <w:szCs w:val="21"/>
          <w:highlight w:val="none"/>
        </w:rPr>
        <w:t>说明：</w:t>
      </w:r>
    </w:p>
    <w:p w14:paraId="3B64DE56">
      <w:pPr>
        <w:keepNext w:val="0"/>
        <w:keepLines w:val="0"/>
        <w:pageBreakBefore w:val="0"/>
        <w:widowControl w:val="0"/>
        <w:kinsoku/>
        <w:wordWrap/>
        <w:overflowPunct/>
        <w:topLinePunct w:val="0"/>
        <w:bidi w:val="0"/>
        <w:adjustRightInd w:val="0"/>
        <w:snapToGrid w:val="0"/>
        <w:spacing w:line="480" w:lineRule="exact"/>
        <w:ind w:firstLine="420" w:firstLineChars="200"/>
        <w:textAlignment w:val="auto"/>
        <w:rPr>
          <w:rFonts w:ascii="宋体" w:hAnsi="宋体"/>
          <w:color w:val="auto"/>
          <w:szCs w:val="21"/>
          <w:highlight w:val="none"/>
        </w:rPr>
      </w:pPr>
      <w:r>
        <w:rPr>
          <w:rFonts w:hint="eastAsia" w:ascii="宋体" w:hAnsi="宋体"/>
          <w:color w:val="auto"/>
          <w:szCs w:val="21"/>
          <w:highlight w:val="none"/>
          <w:lang w:val="en-US" w:eastAsia="zh-CN"/>
        </w:rPr>
        <w:t>1.</w:t>
      </w:r>
      <w:r>
        <w:rPr>
          <w:rFonts w:hint="eastAsia" w:ascii="宋体" w:hAnsi="宋体"/>
          <w:color w:val="auto"/>
          <w:szCs w:val="21"/>
          <w:highlight w:val="none"/>
        </w:rPr>
        <w:t>节能产品实行</w:t>
      </w:r>
      <w:r>
        <w:rPr>
          <w:rFonts w:hint="eastAsia" w:ascii="宋体" w:hAnsi="宋体"/>
          <w:iCs/>
          <w:color w:val="auto"/>
          <w:szCs w:val="21"/>
          <w:highlight w:val="none"/>
        </w:rPr>
        <w:t>强制采购的</w:t>
      </w:r>
      <w:r>
        <w:rPr>
          <w:rFonts w:hint="eastAsia" w:ascii="宋体" w:hAnsi="宋体"/>
          <w:color w:val="auto"/>
          <w:szCs w:val="21"/>
          <w:highlight w:val="none"/>
        </w:rPr>
        <w:t>，需提供国家认证机构出具的、处于有效期内的节能产品证书。</w:t>
      </w:r>
    </w:p>
    <w:p w14:paraId="3629A5D8">
      <w:pPr>
        <w:keepNext w:val="0"/>
        <w:keepLines w:val="0"/>
        <w:pageBreakBefore w:val="0"/>
        <w:widowControl w:val="0"/>
        <w:kinsoku/>
        <w:wordWrap/>
        <w:overflowPunct/>
        <w:topLinePunct w:val="0"/>
        <w:bidi w:val="0"/>
        <w:adjustRightInd w:val="0"/>
        <w:snapToGrid w:val="0"/>
        <w:spacing w:line="480" w:lineRule="exact"/>
        <w:ind w:firstLine="420" w:firstLineChars="200"/>
        <w:textAlignment w:val="auto"/>
        <w:rPr>
          <w:rFonts w:ascii="宋体" w:hAnsi="宋体"/>
          <w:color w:val="auto"/>
          <w:szCs w:val="21"/>
          <w:highlight w:val="none"/>
        </w:rPr>
      </w:pPr>
      <w:r>
        <w:rPr>
          <w:rFonts w:hint="eastAsia" w:ascii="宋体" w:hAnsi="宋体"/>
          <w:color w:val="auto"/>
          <w:szCs w:val="21"/>
          <w:highlight w:val="none"/>
          <w:lang w:val="en-US" w:eastAsia="zh-CN"/>
        </w:rPr>
        <w:t>2.</w:t>
      </w:r>
      <w:r>
        <w:rPr>
          <w:rFonts w:hint="eastAsia" w:ascii="宋体" w:hAnsi="宋体"/>
          <w:color w:val="auto"/>
          <w:szCs w:val="21"/>
          <w:highlight w:val="none"/>
        </w:rPr>
        <w:t>同意购买进口产品的，不限制满足采购需求的国内产品参与投标。</w:t>
      </w:r>
    </w:p>
    <w:p w14:paraId="52E9DCA6">
      <w:pPr>
        <w:keepNext w:val="0"/>
        <w:keepLines w:val="0"/>
        <w:pageBreakBefore w:val="0"/>
        <w:widowControl w:val="0"/>
        <w:kinsoku/>
        <w:wordWrap/>
        <w:overflowPunct/>
        <w:topLinePunct w:val="0"/>
        <w:bidi w:val="0"/>
        <w:adjustRightInd w:val="0"/>
        <w:snapToGrid w:val="0"/>
        <w:spacing w:line="480" w:lineRule="exact"/>
        <w:ind w:firstLine="422" w:firstLineChars="200"/>
        <w:textAlignment w:val="auto"/>
        <w:rPr>
          <w:rFonts w:ascii="宋体" w:hAnsi="宋体"/>
          <w:b/>
          <w:color w:val="auto"/>
          <w:szCs w:val="21"/>
          <w:highlight w:val="none"/>
        </w:rPr>
      </w:pPr>
      <w:r>
        <w:rPr>
          <w:rFonts w:hint="eastAsia" w:ascii="宋体" w:hAnsi="宋体"/>
          <w:b/>
          <w:color w:val="auto"/>
          <w:szCs w:val="21"/>
          <w:highlight w:val="none"/>
        </w:rPr>
        <w:t>三、采购项目需落实的政府采购政策</w:t>
      </w:r>
      <w:r>
        <w:rPr>
          <w:rFonts w:hint="eastAsia" w:ascii="宋体" w:hAnsi="宋体"/>
          <w:color w:val="auto"/>
          <w:szCs w:val="21"/>
          <w:highlight w:val="none"/>
        </w:rPr>
        <w:t>：</w:t>
      </w:r>
    </w:p>
    <w:p w14:paraId="43DE2351">
      <w:pPr>
        <w:keepNext w:val="0"/>
        <w:keepLines w:val="0"/>
        <w:pageBreakBefore w:val="0"/>
        <w:widowControl w:val="0"/>
        <w:kinsoku/>
        <w:wordWrap/>
        <w:overflowPunct/>
        <w:topLinePunct w:val="0"/>
        <w:bidi w:val="0"/>
        <w:adjustRightInd w:val="0"/>
        <w:snapToGrid w:val="0"/>
        <w:spacing w:line="480" w:lineRule="exact"/>
        <w:ind w:firstLine="420" w:firstLineChars="200"/>
        <w:textAlignment w:val="auto"/>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val="en-US" w:eastAsia="zh-CN"/>
        </w:rPr>
        <w:t>优先采购：</w:t>
      </w:r>
      <w:r>
        <w:rPr>
          <w:rFonts w:hint="eastAsia" w:ascii="宋体" w:hAnsi="宋体"/>
          <w:color w:val="auto"/>
          <w:szCs w:val="21"/>
          <w:highlight w:val="none"/>
        </w:rPr>
        <w:t>节能产品、</w:t>
      </w:r>
      <w:r>
        <w:rPr>
          <w:rFonts w:hint="eastAsia" w:ascii="宋体" w:hAnsi="宋体"/>
          <w:color w:val="auto"/>
          <w:szCs w:val="21"/>
          <w:highlight w:val="none"/>
          <w:lang w:val="en-US" w:eastAsia="zh-CN"/>
        </w:rPr>
        <w:t>环境标志产品</w:t>
      </w:r>
      <w:r>
        <w:rPr>
          <w:rFonts w:hint="eastAsia" w:ascii="宋体" w:hAnsi="宋体"/>
          <w:color w:val="auto"/>
          <w:szCs w:val="21"/>
          <w:highlight w:val="none"/>
        </w:rPr>
        <w:t>享受加分或价格折扣。</w:t>
      </w:r>
    </w:p>
    <w:p w14:paraId="780F31F8">
      <w:pPr>
        <w:keepNext w:val="0"/>
        <w:keepLines w:val="0"/>
        <w:pageBreakBefore w:val="0"/>
        <w:widowControl w:val="0"/>
        <w:kinsoku/>
        <w:wordWrap/>
        <w:overflowPunct/>
        <w:topLinePunct w:val="0"/>
        <w:bidi w:val="0"/>
        <w:adjustRightInd w:val="0"/>
        <w:snapToGrid w:val="0"/>
        <w:spacing w:line="480" w:lineRule="exact"/>
        <w:ind w:firstLine="420" w:firstLineChars="200"/>
        <w:textAlignment w:val="auto"/>
        <w:rPr>
          <w:rFonts w:hint="eastAsia" w:ascii="宋体" w:hAnsi="宋体" w:eastAsia="宋体"/>
          <w:color w:val="auto"/>
          <w:szCs w:val="21"/>
          <w:highlight w:val="none"/>
          <w:lang w:val="en-US" w:eastAsia="zh-CN"/>
        </w:rPr>
      </w:pPr>
      <w:r>
        <w:rPr>
          <w:rFonts w:hint="eastAsia" w:ascii="宋体" w:hAnsi="宋体"/>
          <w:color w:val="auto"/>
          <w:szCs w:val="21"/>
          <w:highlight w:val="none"/>
        </w:rPr>
        <w:t>2、</w:t>
      </w:r>
      <w:r>
        <w:rPr>
          <w:rFonts w:hint="eastAsia" w:ascii="宋体" w:hAnsi="宋体"/>
          <w:color w:val="auto"/>
          <w:szCs w:val="21"/>
          <w:highlight w:val="none"/>
          <w:lang w:val="en-US" w:eastAsia="zh-CN"/>
        </w:rPr>
        <w:t>支持中小企业：中小企业享受预留采购份额或价格折扣。</w:t>
      </w:r>
    </w:p>
    <w:p w14:paraId="08AB843A">
      <w:pPr>
        <w:keepNext w:val="0"/>
        <w:keepLines w:val="0"/>
        <w:pageBreakBefore w:val="0"/>
        <w:widowControl w:val="0"/>
        <w:kinsoku/>
        <w:wordWrap/>
        <w:overflowPunct/>
        <w:topLinePunct w:val="0"/>
        <w:bidi w:val="0"/>
        <w:adjustRightInd w:val="0"/>
        <w:snapToGrid w:val="0"/>
        <w:spacing w:line="480" w:lineRule="exact"/>
        <w:ind w:firstLine="422" w:firstLineChars="200"/>
        <w:textAlignment w:val="auto"/>
        <w:rPr>
          <w:rFonts w:ascii="宋体" w:hAnsi="宋体"/>
          <w:color w:val="auto"/>
          <w:szCs w:val="21"/>
          <w:highlight w:val="none"/>
        </w:rPr>
      </w:pPr>
      <w:r>
        <w:rPr>
          <w:rFonts w:hint="eastAsia" w:ascii="宋体" w:hAnsi="宋体"/>
          <w:b/>
          <w:color w:val="auto"/>
          <w:szCs w:val="21"/>
          <w:highlight w:val="none"/>
        </w:rPr>
        <w:t>四、投标人的资格要求</w:t>
      </w:r>
      <w:r>
        <w:rPr>
          <w:rFonts w:hint="eastAsia" w:ascii="宋体" w:hAnsi="宋体"/>
          <w:color w:val="auto"/>
          <w:szCs w:val="21"/>
          <w:highlight w:val="none"/>
        </w:rPr>
        <w:t>：</w:t>
      </w:r>
    </w:p>
    <w:p w14:paraId="75E73F5A">
      <w:pPr>
        <w:keepNext w:val="0"/>
        <w:keepLines w:val="0"/>
        <w:pageBreakBefore w:val="0"/>
        <w:widowControl w:val="0"/>
        <w:kinsoku/>
        <w:wordWrap/>
        <w:overflowPunct/>
        <w:topLinePunct w:val="0"/>
        <w:bidi w:val="0"/>
        <w:adjustRightInd w:val="0"/>
        <w:snapToGrid w:val="0"/>
        <w:spacing w:line="480" w:lineRule="exact"/>
        <w:ind w:firstLine="420" w:firstLineChars="200"/>
        <w:textAlignment w:val="auto"/>
        <w:rPr>
          <w:rFonts w:ascii="宋体" w:hAnsi="宋体"/>
          <w:color w:val="auto"/>
          <w:szCs w:val="21"/>
          <w:highlight w:val="none"/>
        </w:rPr>
      </w:pPr>
      <w:r>
        <w:rPr>
          <w:rFonts w:hint="eastAsia" w:ascii="宋体" w:hAnsi="宋体"/>
          <w:color w:val="auto"/>
          <w:szCs w:val="21"/>
          <w:highlight w:val="none"/>
        </w:rPr>
        <w:t>1、投标人的基本资格条件：投标人必须是在中华人民共和国境内注册登记的法人、其他组织或者自然人，且应当符合《政府采购法》第二十二条第一款的规定。</w:t>
      </w:r>
    </w:p>
    <w:p w14:paraId="30259B34">
      <w:pPr>
        <w:keepNext w:val="0"/>
        <w:keepLines w:val="0"/>
        <w:pageBreakBefore w:val="0"/>
        <w:widowControl w:val="0"/>
        <w:kinsoku/>
        <w:wordWrap/>
        <w:overflowPunct/>
        <w:topLinePunct w:val="0"/>
        <w:bidi w:val="0"/>
        <w:adjustRightInd w:val="0"/>
        <w:snapToGrid w:val="0"/>
        <w:spacing w:line="480" w:lineRule="exact"/>
        <w:ind w:firstLine="420" w:firstLineChars="200"/>
        <w:textAlignment w:val="auto"/>
        <w:rPr>
          <w:rFonts w:ascii="宋体" w:hAnsi="宋体"/>
          <w:color w:val="auto"/>
          <w:szCs w:val="21"/>
          <w:highlight w:val="none"/>
        </w:rPr>
      </w:pPr>
      <w:r>
        <w:rPr>
          <w:rFonts w:hint="eastAsia" w:ascii="宋体" w:hAnsi="宋体"/>
          <w:color w:val="auto"/>
          <w:szCs w:val="21"/>
          <w:highlight w:val="none"/>
        </w:rPr>
        <w:t>2、落实政府采购政策需满足的资格要求：</w:t>
      </w:r>
    </w:p>
    <w:p w14:paraId="0405EA2F">
      <w:pPr>
        <w:keepNext w:val="0"/>
        <w:keepLines w:val="0"/>
        <w:pageBreakBefore w:val="0"/>
        <w:widowControl w:val="0"/>
        <w:kinsoku/>
        <w:wordWrap/>
        <w:overflowPunct/>
        <w:topLinePunct w:val="0"/>
        <w:bidi w:val="0"/>
        <w:adjustRightInd w:val="0"/>
        <w:snapToGrid w:val="0"/>
        <w:spacing w:line="480" w:lineRule="exact"/>
        <w:ind w:firstLine="630" w:firstLineChars="300"/>
        <w:textAlignment w:val="auto"/>
        <w:rPr>
          <w:rFonts w:ascii="宋体" w:hAnsi="宋体"/>
          <w:color w:val="auto"/>
          <w:szCs w:val="21"/>
          <w:highlight w:val="none"/>
        </w:rPr>
      </w:pPr>
      <w:r>
        <w:rPr>
          <w:rFonts w:hint="eastAsia" w:ascii="宋体" w:hAnsi="宋体"/>
          <w:iCs/>
          <w:color w:val="auto"/>
          <w:szCs w:val="21"/>
          <w:highlight w:val="none"/>
        </w:rPr>
        <w:sym w:font="Wingdings" w:char="00A8"/>
      </w:r>
      <w:r>
        <w:rPr>
          <w:rFonts w:hint="eastAsia" w:ascii="宋体" w:hAnsi="宋体"/>
          <w:iCs/>
          <w:color w:val="auto"/>
          <w:szCs w:val="21"/>
          <w:highlight w:val="none"/>
          <w:lang w:val="en-US" w:eastAsia="zh-CN"/>
        </w:rPr>
        <w:t>专门面向</w:t>
      </w:r>
      <w:r>
        <w:rPr>
          <w:rFonts w:hint="eastAsia" w:ascii="宋体" w:hAnsi="宋体"/>
          <w:bCs/>
          <w:color w:val="auto"/>
          <w:szCs w:val="21"/>
          <w:highlight w:val="none"/>
          <w:lang w:eastAsia="zh-CN"/>
        </w:rPr>
        <w:t>：</w:t>
      </w:r>
      <w:r>
        <w:rPr>
          <w:rFonts w:hint="eastAsia" w:ascii="宋体" w:hAnsi="宋体"/>
          <w:iCs/>
          <w:color w:val="auto"/>
          <w:szCs w:val="21"/>
          <w:highlight w:val="none"/>
        </w:rPr>
        <w:sym w:font="Wingdings" w:char="00A8"/>
      </w:r>
      <w:r>
        <w:rPr>
          <w:rFonts w:hint="eastAsia" w:ascii="宋体" w:hAnsi="宋体"/>
          <w:iCs/>
          <w:color w:val="auto"/>
          <w:szCs w:val="21"/>
          <w:highlight w:val="none"/>
        </w:rPr>
        <w:t>中</w:t>
      </w:r>
      <w:r>
        <w:rPr>
          <w:rFonts w:hint="eastAsia" w:ascii="宋体" w:hAnsi="宋体"/>
          <w:iCs/>
          <w:color w:val="auto"/>
          <w:szCs w:val="21"/>
          <w:highlight w:val="none"/>
          <w:lang w:val="en-US" w:eastAsia="zh-CN"/>
        </w:rPr>
        <w:t>小</w:t>
      </w:r>
      <w:r>
        <w:rPr>
          <w:rFonts w:hint="eastAsia" w:ascii="宋体" w:hAnsi="宋体"/>
          <w:iCs/>
          <w:color w:val="auto"/>
          <w:szCs w:val="21"/>
          <w:highlight w:val="none"/>
        </w:rPr>
        <w:t xml:space="preserve">企业  </w:t>
      </w:r>
      <w:r>
        <w:rPr>
          <w:rFonts w:hint="eastAsia" w:ascii="宋体" w:hAnsi="宋体"/>
          <w:iCs/>
          <w:color w:val="auto"/>
          <w:szCs w:val="21"/>
          <w:highlight w:val="none"/>
        </w:rPr>
        <w:sym w:font="Wingdings" w:char="00A8"/>
      </w:r>
      <w:r>
        <w:rPr>
          <w:rFonts w:hint="eastAsia" w:ascii="宋体" w:hAnsi="宋体"/>
          <w:iCs/>
          <w:color w:val="auto"/>
          <w:szCs w:val="21"/>
          <w:highlight w:val="none"/>
        </w:rPr>
        <w:t xml:space="preserve">小微企业 </w:t>
      </w:r>
      <w:r>
        <w:rPr>
          <w:rFonts w:hint="eastAsia" w:ascii="宋体" w:hAnsi="宋体"/>
          <w:iCs/>
          <w:color w:val="auto"/>
          <w:szCs w:val="21"/>
          <w:highlight w:val="none"/>
        </w:rPr>
        <w:sym w:font="Wingdings" w:char="00A8"/>
      </w:r>
      <w:r>
        <w:rPr>
          <w:rFonts w:hint="eastAsia" w:ascii="宋体" w:hAnsi="宋体"/>
          <w:iCs/>
          <w:color w:val="auto"/>
          <w:szCs w:val="21"/>
          <w:highlight w:val="none"/>
        </w:rPr>
        <w:t xml:space="preserve">监狱企业 </w:t>
      </w:r>
      <w:r>
        <w:rPr>
          <w:rFonts w:hint="eastAsia" w:ascii="宋体" w:hAnsi="宋体"/>
          <w:iCs/>
          <w:color w:val="auto"/>
          <w:szCs w:val="21"/>
          <w:highlight w:val="none"/>
        </w:rPr>
        <w:sym w:font="Wingdings" w:char="00A8"/>
      </w:r>
      <w:r>
        <w:rPr>
          <w:rFonts w:hint="eastAsia" w:ascii="宋体" w:hAnsi="宋体"/>
          <w:iCs/>
          <w:color w:val="auto"/>
          <w:szCs w:val="21"/>
          <w:highlight w:val="none"/>
        </w:rPr>
        <w:t>福利性单位。</w:t>
      </w:r>
    </w:p>
    <w:p w14:paraId="0D728090">
      <w:pPr>
        <w:keepNext w:val="0"/>
        <w:keepLines w:val="0"/>
        <w:pageBreakBefore w:val="0"/>
        <w:widowControl w:val="0"/>
        <w:kinsoku/>
        <w:wordWrap/>
        <w:overflowPunct/>
        <w:topLinePunct w:val="0"/>
        <w:bidi w:val="0"/>
        <w:adjustRightInd w:val="0"/>
        <w:snapToGrid w:val="0"/>
        <w:spacing w:line="480" w:lineRule="exact"/>
        <w:ind w:firstLine="630" w:firstLineChars="300"/>
        <w:textAlignment w:val="auto"/>
        <w:rPr>
          <w:rFonts w:ascii="宋体" w:hAnsi="宋体"/>
          <w:bCs/>
          <w:color w:val="auto"/>
          <w:szCs w:val="21"/>
          <w:highlight w:val="none"/>
        </w:rPr>
      </w:pPr>
      <w:r>
        <w:rPr>
          <w:rFonts w:hint="eastAsia" w:ascii="宋体" w:hAnsi="宋体"/>
          <w:iCs/>
          <w:color w:val="auto"/>
          <w:szCs w:val="21"/>
          <w:highlight w:val="none"/>
        </w:rPr>
        <w:sym w:font="Wingdings" w:char="00A8"/>
      </w:r>
      <w:r>
        <w:rPr>
          <w:rFonts w:hint="eastAsia" w:ascii="宋体" w:hAnsi="宋体"/>
          <w:iCs/>
          <w:color w:val="auto"/>
          <w:szCs w:val="21"/>
          <w:highlight w:val="none"/>
        </w:rPr>
        <w:t>强制</w:t>
      </w:r>
      <w:r>
        <w:rPr>
          <w:rFonts w:hint="eastAsia" w:ascii="宋体" w:hAnsi="宋体"/>
          <w:bCs/>
          <w:color w:val="auto"/>
          <w:szCs w:val="21"/>
          <w:highlight w:val="none"/>
        </w:rPr>
        <w:t>分包</w:t>
      </w:r>
      <w:r>
        <w:rPr>
          <w:rFonts w:hint="eastAsia" w:ascii="宋体" w:hAnsi="宋体"/>
          <w:bCs/>
          <w:color w:val="auto"/>
          <w:szCs w:val="21"/>
          <w:highlight w:val="none"/>
          <w:lang w:eastAsia="zh-CN"/>
        </w:rPr>
        <w:t>：</w:t>
      </w:r>
      <w:r>
        <w:rPr>
          <w:rFonts w:hint="eastAsia" w:ascii="宋体" w:hAnsi="宋体"/>
          <w:bCs/>
          <w:color w:val="auto"/>
          <w:szCs w:val="21"/>
          <w:highlight w:val="none"/>
        </w:rPr>
        <w:t>大型企业应将采购份额</w:t>
      </w:r>
      <w:r>
        <w:rPr>
          <w:rFonts w:hint="eastAsia" w:ascii="宋体" w:hAnsi="宋体"/>
          <w:bCs/>
          <w:color w:val="auto"/>
          <w:szCs w:val="21"/>
          <w:highlight w:val="none"/>
          <w:lang w:val="en-US" w:eastAsia="zh-CN"/>
        </w:rPr>
        <w:t>的</w:t>
      </w:r>
      <w:r>
        <w:rPr>
          <w:rFonts w:hint="eastAsia" w:ascii="宋体" w:hAnsi="宋体"/>
          <w:bCs/>
          <w:color w:val="auto"/>
          <w:szCs w:val="21"/>
          <w:highlight w:val="none"/>
          <w:u w:val="single"/>
          <w:lang w:val="en-US" w:eastAsia="zh-CN"/>
        </w:rPr>
        <w:t xml:space="preserve">         </w:t>
      </w:r>
      <w:r>
        <w:rPr>
          <w:rFonts w:hint="eastAsia" w:ascii="宋体" w:hAnsi="宋体"/>
          <w:bCs/>
          <w:color w:val="auto"/>
          <w:szCs w:val="21"/>
          <w:highlight w:val="none"/>
        </w:rPr>
        <w:t>%分包给中小企业。</w:t>
      </w:r>
    </w:p>
    <w:p w14:paraId="7BC96475">
      <w:pPr>
        <w:keepNext w:val="0"/>
        <w:keepLines w:val="0"/>
        <w:pageBreakBefore w:val="0"/>
        <w:widowControl w:val="0"/>
        <w:numPr>
          <w:ilvl w:val="0"/>
          <w:numId w:val="1"/>
        </w:numPr>
        <w:kinsoku/>
        <w:wordWrap/>
        <w:overflowPunct/>
        <w:topLinePunct w:val="0"/>
        <w:bidi w:val="0"/>
        <w:adjustRightInd w:val="0"/>
        <w:snapToGrid w:val="0"/>
        <w:spacing w:line="480" w:lineRule="exact"/>
        <w:ind w:firstLine="420" w:firstLineChars="200"/>
        <w:textAlignment w:val="auto"/>
        <w:rPr>
          <w:rFonts w:hint="eastAsia" w:ascii="宋体" w:hAnsi="宋体"/>
          <w:color w:val="auto"/>
          <w:szCs w:val="21"/>
          <w:highlight w:val="none"/>
          <w:lang w:val="en-US" w:eastAsia="zh-CN"/>
        </w:rPr>
      </w:pPr>
      <w:r>
        <w:rPr>
          <w:rFonts w:hint="eastAsia" w:ascii="宋体" w:hAnsi="宋体"/>
          <w:color w:val="auto"/>
          <w:szCs w:val="21"/>
          <w:highlight w:val="none"/>
        </w:rPr>
        <w:t>采购项目的特定资格条件：</w:t>
      </w:r>
    </w:p>
    <w:p w14:paraId="5A087D52">
      <w:pPr>
        <w:adjustRightInd w:val="0"/>
        <w:snapToGrid w:val="0"/>
        <w:spacing w:line="360" w:lineRule="auto"/>
        <w:ind w:firstLine="420" w:firstLineChars="200"/>
        <w:rPr>
          <w:rFonts w:hint="eastAsia"/>
          <w:color w:val="auto"/>
          <w:highlight w:val="none"/>
          <w:lang w:val="en-US" w:eastAsia="zh-CN"/>
        </w:rPr>
      </w:pPr>
      <w:r>
        <w:rPr>
          <w:rFonts w:hint="eastAsia" w:ascii="宋体" w:hAnsi="宋体"/>
          <w:color w:val="auto"/>
          <w:szCs w:val="21"/>
          <w:highlight w:val="none"/>
        </w:rPr>
        <w:t>包1：</w:t>
      </w:r>
    </w:p>
    <w:p w14:paraId="7143A175">
      <w:pPr>
        <w:adjustRightInd w:val="0"/>
        <w:snapToGrid w:val="0"/>
        <w:spacing w:line="360" w:lineRule="auto"/>
        <w:ind w:firstLine="420" w:firstLineChars="200"/>
        <w:rPr>
          <w:rFonts w:hint="eastAsia" w:ascii="宋体" w:hAnsi="宋体" w:eastAsia="宋体" w:cs="Times New Roman"/>
          <w:b w:val="0"/>
          <w:bCs w:val="0"/>
          <w:color w:val="auto"/>
          <w:szCs w:val="21"/>
          <w:highlight w:val="none"/>
        </w:rPr>
      </w:pPr>
      <w:r>
        <w:rPr>
          <w:rFonts w:hint="eastAsia" w:ascii="宋体" w:hAnsi="宋体" w:eastAsia="宋体" w:cs="Times New Roman"/>
          <w:b w:val="0"/>
          <w:bCs w:val="0"/>
          <w:color w:val="auto"/>
          <w:szCs w:val="21"/>
          <w:highlight w:val="none"/>
        </w:rPr>
        <w:t>（1）所投设备若纳入中华人民共和国医疗器械监督管理的，第一类医疗器械必须具备</w:t>
      </w:r>
      <w:r>
        <w:rPr>
          <w:rFonts w:hint="eastAsia" w:ascii="宋体" w:hAnsi="宋体" w:eastAsia="宋体" w:cs="宋体"/>
          <w:b w:val="0"/>
          <w:bCs w:val="0"/>
          <w:color w:val="auto"/>
          <w:szCs w:val="21"/>
          <w:highlight w:val="none"/>
        </w:rPr>
        <w:t>相关行政主管部门颁发</w:t>
      </w:r>
      <w:r>
        <w:rPr>
          <w:rFonts w:hint="eastAsia" w:ascii="宋体" w:hAnsi="宋体" w:eastAsia="宋体" w:cs="Times New Roman"/>
          <w:b w:val="0"/>
          <w:bCs w:val="0"/>
          <w:color w:val="auto"/>
          <w:szCs w:val="21"/>
          <w:highlight w:val="none"/>
        </w:rPr>
        <w:t>的医疗器械备案凭证；第二、三类医疗器械必须具备</w:t>
      </w:r>
      <w:r>
        <w:rPr>
          <w:rFonts w:hint="eastAsia" w:ascii="宋体" w:hAnsi="宋体" w:eastAsia="宋体" w:cs="宋体"/>
          <w:b w:val="0"/>
          <w:bCs w:val="0"/>
          <w:color w:val="auto"/>
          <w:szCs w:val="21"/>
          <w:highlight w:val="none"/>
        </w:rPr>
        <w:t>相关行政主管部门颁发</w:t>
      </w:r>
      <w:r>
        <w:rPr>
          <w:rFonts w:hint="eastAsia" w:ascii="宋体" w:hAnsi="宋体" w:eastAsia="宋体" w:cs="Times New Roman"/>
          <w:b w:val="0"/>
          <w:bCs w:val="0"/>
          <w:color w:val="auto"/>
          <w:szCs w:val="21"/>
          <w:highlight w:val="none"/>
        </w:rPr>
        <w:t>的医疗器械注册证。</w:t>
      </w:r>
    </w:p>
    <w:p w14:paraId="396CD71A">
      <w:pPr>
        <w:adjustRightInd w:val="0"/>
        <w:snapToGrid w:val="0"/>
        <w:spacing w:line="360" w:lineRule="auto"/>
        <w:ind w:firstLine="420" w:firstLineChars="200"/>
        <w:rPr>
          <w:rFonts w:hint="eastAsia" w:ascii="宋体" w:hAnsi="宋体" w:eastAsia="宋体" w:cs="Times New Roman"/>
          <w:b w:val="0"/>
          <w:bCs w:val="0"/>
          <w:color w:val="auto"/>
          <w:szCs w:val="21"/>
          <w:highlight w:val="none"/>
        </w:rPr>
      </w:pPr>
      <w:r>
        <w:rPr>
          <w:rFonts w:hint="eastAsia" w:ascii="宋体" w:hAnsi="宋体" w:eastAsia="宋体" w:cs="Times New Roman"/>
          <w:b w:val="0"/>
          <w:bCs w:val="0"/>
          <w:color w:val="auto"/>
          <w:szCs w:val="21"/>
          <w:highlight w:val="none"/>
        </w:rPr>
        <w:t>（2）所投医疗器械不是自行生产，必须具备</w:t>
      </w:r>
      <w:r>
        <w:rPr>
          <w:rFonts w:hint="eastAsia" w:ascii="宋体" w:hAnsi="宋体" w:eastAsia="宋体" w:cs="宋体"/>
          <w:b w:val="0"/>
          <w:bCs w:val="0"/>
          <w:color w:val="auto"/>
          <w:szCs w:val="21"/>
          <w:highlight w:val="none"/>
        </w:rPr>
        <w:t>相关行政主管部门颁发</w:t>
      </w:r>
      <w:r>
        <w:rPr>
          <w:rFonts w:hint="eastAsia" w:ascii="宋体" w:hAnsi="宋体" w:eastAsia="宋体" w:cs="Times New Roman"/>
          <w:b w:val="0"/>
          <w:bCs w:val="0"/>
          <w:color w:val="auto"/>
          <w:szCs w:val="21"/>
          <w:highlight w:val="none"/>
        </w:rPr>
        <w:t>的相应医疗器械经营备案凭证（医疗器械经营许可证）。</w:t>
      </w:r>
    </w:p>
    <w:p w14:paraId="5FAF7295">
      <w:pPr>
        <w:adjustRightInd w:val="0"/>
        <w:snapToGrid w:val="0"/>
        <w:spacing w:line="360" w:lineRule="auto"/>
        <w:ind w:firstLine="420" w:firstLineChars="200"/>
        <w:rPr>
          <w:rFonts w:hint="eastAsia" w:ascii="宋体" w:hAnsi="宋体" w:eastAsia="宋体" w:cs="Times New Roman"/>
          <w:b w:val="0"/>
          <w:bCs w:val="0"/>
          <w:color w:val="auto"/>
          <w:szCs w:val="21"/>
          <w:highlight w:val="none"/>
        </w:rPr>
      </w:pPr>
      <w:r>
        <w:rPr>
          <w:rFonts w:hint="eastAsia" w:ascii="宋体" w:hAnsi="宋体" w:eastAsia="宋体" w:cs="Times New Roman"/>
          <w:b w:val="0"/>
          <w:bCs w:val="0"/>
          <w:color w:val="auto"/>
          <w:szCs w:val="21"/>
          <w:highlight w:val="none"/>
        </w:rPr>
        <w:t>（3）所投医疗器械为自行生产的，必须具备</w:t>
      </w:r>
      <w:r>
        <w:rPr>
          <w:rFonts w:hint="eastAsia" w:ascii="宋体" w:hAnsi="宋体" w:eastAsia="宋体" w:cs="宋体"/>
          <w:b w:val="0"/>
          <w:bCs w:val="0"/>
          <w:color w:val="auto"/>
          <w:szCs w:val="21"/>
          <w:highlight w:val="none"/>
        </w:rPr>
        <w:t>相关行政主管部门颁发</w:t>
      </w:r>
      <w:r>
        <w:rPr>
          <w:rFonts w:hint="eastAsia" w:ascii="宋体" w:hAnsi="宋体" w:eastAsia="宋体" w:cs="Times New Roman"/>
          <w:b w:val="0"/>
          <w:bCs w:val="0"/>
          <w:color w:val="auto"/>
          <w:szCs w:val="21"/>
          <w:highlight w:val="none"/>
        </w:rPr>
        <w:t>的相应医疗器械生产备案凭证（医疗器械生产许可证）。</w:t>
      </w:r>
    </w:p>
    <w:p w14:paraId="27B9B6F2">
      <w:pPr>
        <w:keepNext w:val="0"/>
        <w:keepLines w:val="0"/>
        <w:pageBreakBefore w:val="0"/>
        <w:widowControl/>
        <w:numPr>
          <w:ilvl w:val="0"/>
          <w:numId w:val="0"/>
        </w:numPr>
        <w:kinsoku/>
        <w:wordWrap/>
        <w:overflowPunct/>
        <w:topLinePunct w:val="0"/>
        <w:bidi w:val="0"/>
        <w:adjustRightInd w:val="0"/>
        <w:snapToGrid w:val="0"/>
        <w:spacing w:line="360" w:lineRule="auto"/>
        <w:ind w:firstLine="420" w:firstLineChars="200"/>
        <w:textAlignment w:val="auto"/>
        <w:rPr>
          <w:rFonts w:hint="eastAsia" w:ascii="宋体" w:hAnsi="宋体"/>
          <w:color w:val="auto"/>
          <w:szCs w:val="21"/>
          <w:highlight w:val="none"/>
          <w:lang w:val="en-US" w:eastAsia="zh-CN"/>
        </w:rPr>
      </w:pPr>
      <w:r>
        <w:rPr>
          <w:rFonts w:hint="eastAsia" w:ascii="宋体" w:hAnsi="宋体" w:eastAsia="宋体" w:cs="Times New Roman"/>
          <w:color w:val="auto"/>
          <w:kern w:val="2"/>
          <w:sz w:val="21"/>
          <w:szCs w:val="21"/>
          <w:highlight w:val="none"/>
          <w:lang w:val="en-US" w:eastAsia="zh-CN" w:bidi="ar-SA"/>
        </w:rPr>
        <w:t>（4）</w:t>
      </w:r>
      <w:r>
        <w:rPr>
          <w:rFonts w:hint="eastAsia" w:ascii="宋体" w:hAnsi="宋体" w:eastAsia="宋体" w:cs="Times New Roman"/>
          <w:color w:val="auto"/>
          <w:szCs w:val="21"/>
          <w:highlight w:val="none"/>
          <w:lang w:val="en-US" w:eastAsia="zh-CN"/>
        </w:rPr>
        <w:t>供应商需提供《湖南省政府采购供应商资格承诺函》。</w:t>
      </w:r>
    </w:p>
    <w:p w14:paraId="1B1F989E">
      <w:pPr>
        <w:keepNext w:val="0"/>
        <w:keepLines w:val="0"/>
        <w:pageBreakBefore w:val="0"/>
        <w:widowControl/>
        <w:numPr>
          <w:ilvl w:val="0"/>
          <w:numId w:val="0"/>
        </w:numPr>
        <w:kinsoku/>
        <w:wordWrap/>
        <w:overflowPunct/>
        <w:topLinePunct w:val="0"/>
        <w:bidi w:val="0"/>
        <w:adjustRightInd w:val="0"/>
        <w:snapToGrid w:val="0"/>
        <w:spacing w:line="360" w:lineRule="auto"/>
        <w:ind w:firstLine="420" w:firstLineChars="200"/>
        <w:textAlignment w:val="auto"/>
        <w:rPr>
          <w:rFonts w:hint="eastAsia" w:ascii="宋体" w:hAnsi="宋体"/>
          <w:color w:val="auto"/>
          <w:szCs w:val="21"/>
          <w:highlight w:val="none"/>
          <w:lang w:val="en-US" w:eastAsia="zh-CN"/>
        </w:rPr>
      </w:pPr>
      <w:r>
        <w:rPr>
          <w:rFonts w:hint="eastAsia" w:ascii="宋体" w:hAnsi="宋体" w:eastAsia="宋体" w:cs="Times New Roman"/>
          <w:color w:val="auto"/>
          <w:kern w:val="2"/>
          <w:sz w:val="21"/>
          <w:szCs w:val="21"/>
          <w:highlight w:val="none"/>
          <w:lang w:val="en-US" w:eastAsia="zh-CN" w:bidi="ar-SA"/>
        </w:rPr>
        <w:t>（5）</w:t>
      </w:r>
      <w:r>
        <w:rPr>
          <w:rFonts w:hint="eastAsia" w:ascii="宋体" w:hAnsi="宋体"/>
          <w:color w:val="auto"/>
          <w:szCs w:val="21"/>
          <w:highlight w:val="none"/>
          <w:lang w:val="en-US" w:eastAsia="zh-CN"/>
        </w:rPr>
        <w:t>所有证书必须在有效期内。</w:t>
      </w:r>
    </w:p>
    <w:p w14:paraId="478579F4">
      <w:pPr>
        <w:keepNext w:val="0"/>
        <w:keepLines w:val="0"/>
        <w:pageBreakBefore w:val="0"/>
        <w:widowControl w:val="0"/>
        <w:numPr>
          <w:ilvl w:val="0"/>
          <w:numId w:val="1"/>
        </w:numPr>
        <w:kinsoku/>
        <w:wordWrap/>
        <w:overflowPunct/>
        <w:topLinePunct w:val="0"/>
        <w:bidi w:val="0"/>
        <w:adjustRightInd w:val="0"/>
        <w:snapToGrid w:val="0"/>
        <w:spacing w:line="480" w:lineRule="exact"/>
        <w:ind w:firstLine="420" w:firstLineChars="200"/>
        <w:textAlignment w:val="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  </w:t>
      </w:r>
      <w:r>
        <w:rPr>
          <w:rFonts w:hint="eastAsia" w:ascii="宋体" w:hAnsi="宋体" w:eastAsia="宋体" w:cs="Times New Roman"/>
          <w:color w:val="auto"/>
          <w:szCs w:val="21"/>
          <w:highlight w:val="none"/>
        </w:rPr>
        <w:t>单位负责人为同一人或者存在直接控股、管理关系的不同投标人，不得参加同一合同项下的政府采购活动。</w:t>
      </w:r>
    </w:p>
    <w:p w14:paraId="396E80E6">
      <w:pPr>
        <w:keepNext w:val="0"/>
        <w:keepLines w:val="0"/>
        <w:pageBreakBefore w:val="0"/>
        <w:widowControl w:val="0"/>
        <w:numPr>
          <w:ilvl w:val="0"/>
          <w:numId w:val="1"/>
        </w:numPr>
        <w:kinsoku/>
        <w:wordWrap/>
        <w:overflowPunct/>
        <w:topLinePunct w:val="0"/>
        <w:bidi w:val="0"/>
        <w:adjustRightInd w:val="0"/>
        <w:snapToGrid w:val="0"/>
        <w:spacing w:line="480" w:lineRule="exact"/>
        <w:ind w:firstLine="420" w:firstLineChars="200"/>
        <w:textAlignment w:val="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为本采购项目提供整体设计、规范编制或者项目管理、监理、检测等服务的，不得再参加此项目的其他采购活动。</w:t>
      </w:r>
    </w:p>
    <w:p w14:paraId="253B87C9">
      <w:pPr>
        <w:keepNext w:val="0"/>
        <w:keepLines w:val="0"/>
        <w:pageBreakBefore w:val="0"/>
        <w:widowControl w:val="0"/>
        <w:numPr>
          <w:ilvl w:val="0"/>
          <w:numId w:val="1"/>
        </w:numPr>
        <w:kinsoku/>
        <w:wordWrap/>
        <w:overflowPunct/>
        <w:topLinePunct w:val="0"/>
        <w:bidi w:val="0"/>
        <w:adjustRightInd w:val="0"/>
        <w:snapToGrid w:val="0"/>
        <w:spacing w:line="480" w:lineRule="exact"/>
        <w:ind w:firstLine="420" w:firstLineChars="200"/>
        <w:textAlignment w:val="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列入失信被执行人、重大税收违法失信主体名单</w:t>
      </w:r>
      <w:r>
        <w:rPr>
          <w:rFonts w:hint="eastAsia" w:ascii="宋体" w:hAnsi="宋体" w:eastAsia="宋体" w:cs="Times New Roman"/>
          <w:color w:val="auto"/>
          <w:szCs w:val="21"/>
          <w:highlight w:val="none"/>
          <w:lang w:eastAsia="zh-CN"/>
        </w:rPr>
        <w:t>、</w:t>
      </w:r>
      <w:r>
        <w:rPr>
          <w:rFonts w:hint="eastAsia" w:ascii="宋体" w:hAnsi="宋体" w:eastAsia="宋体" w:cs="Times New Roman"/>
          <w:color w:val="auto"/>
          <w:szCs w:val="21"/>
          <w:highlight w:val="none"/>
        </w:rPr>
        <w:t>政府采购严重违法失信行为记录名单的，拒绝其参与政府采购活动。</w:t>
      </w:r>
    </w:p>
    <w:p w14:paraId="73175591">
      <w:pPr>
        <w:keepNext w:val="0"/>
        <w:keepLines w:val="0"/>
        <w:pageBreakBefore w:val="0"/>
        <w:widowControl w:val="0"/>
        <w:kinsoku/>
        <w:wordWrap/>
        <w:overflowPunct/>
        <w:topLinePunct w:val="0"/>
        <w:bidi w:val="0"/>
        <w:adjustRightInd w:val="0"/>
        <w:snapToGrid w:val="0"/>
        <w:spacing w:line="480" w:lineRule="exact"/>
        <w:ind w:firstLine="420" w:firstLineChars="200"/>
        <w:textAlignment w:val="auto"/>
        <w:rPr>
          <w:rFonts w:ascii="宋体" w:hAnsi="宋体"/>
          <w:color w:val="auto"/>
          <w:szCs w:val="21"/>
          <w:highlight w:val="none"/>
        </w:rPr>
      </w:pPr>
      <w:r>
        <w:rPr>
          <w:rFonts w:hint="eastAsia" w:ascii="宋体" w:hAnsi="宋体"/>
          <w:color w:val="auto"/>
          <w:szCs w:val="21"/>
          <w:highlight w:val="none"/>
        </w:rPr>
        <w:t>7、联合体投标。本次招标</w:t>
      </w:r>
      <w:r>
        <w:rPr>
          <w:rFonts w:hint="eastAsia" w:ascii="宋体" w:hAnsi="宋体"/>
          <w:color w:val="auto"/>
          <w:szCs w:val="21"/>
          <w:highlight w:val="none"/>
          <w:u w:val="single"/>
        </w:rPr>
        <w:t>不接受</w:t>
      </w:r>
      <w:r>
        <w:rPr>
          <w:rFonts w:hint="eastAsia" w:ascii="宋体" w:hAnsi="宋体"/>
          <w:color w:val="auto"/>
          <w:szCs w:val="21"/>
          <w:highlight w:val="none"/>
        </w:rPr>
        <w:t>(接受或不接受)联合体投标。</w:t>
      </w:r>
    </w:p>
    <w:p w14:paraId="172B5EB5">
      <w:pPr>
        <w:keepNext w:val="0"/>
        <w:keepLines w:val="0"/>
        <w:pageBreakBefore w:val="0"/>
        <w:widowControl w:val="0"/>
        <w:kinsoku/>
        <w:wordWrap/>
        <w:overflowPunct/>
        <w:topLinePunct w:val="0"/>
        <w:bidi w:val="0"/>
        <w:adjustRightInd w:val="0"/>
        <w:snapToGrid w:val="0"/>
        <w:spacing w:line="480" w:lineRule="exact"/>
        <w:ind w:firstLine="422" w:firstLineChars="200"/>
        <w:textAlignment w:val="auto"/>
        <w:rPr>
          <w:rFonts w:hint="eastAsia" w:ascii="宋体" w:hAnsi="宋体"/>
          <w:b/>
          <w:color w:val="auto"/>
          <w:szCs w:val="21"/>
          <w:highlight w:val="none"/>
        </w:rPr>
      </w:pPr>
      <w:r>
        <w:rPr>
          <w:rFonts w:hint="eastAsia" w:ascii="宋体" w:hAnsi="宋体"/>
          <w:b/>
          <w:color w:val="auto"/>
          <w:szCs w:val="21"/>
          <w:highlight w:val="none"/>
        </w:rPr>
        <w:t>五、获取招标文件的时间、期限、地点及方式</w:t>
      </w:r>
    </w:p>
    <w:p w14:paraId="45A4C563">
      <w:pPr>
        <w:keepNext w:val="0"/>
        <w:keepLines w:val="0"/>
        <w:pageBreakBefore w:val="0"/>
        <w:widowControl w:val="0"/>
        <w:kinsoku/>
        <w:wordWrap/>
        <w:overflowPunct/>
        <w:topLinePunct w:val="0"/>
        <w:bidi w:val="0"/>
        <w:adjustRightInd w:val="0"/>
        <w:snapToGrid w:val="0"/>
        <w:spacing w:line="480" w:lineRule="exact"/>
        <w:ind w:firstLine="420" w:firstLineChars="200"/>
        <w:textAlignment w:val="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有意参加投标者，于</w:t>
      </w:r>
      <w:r>
        <w:rPr>
          <w:rFonts w:hint="eastAsia" w:ascii="宋体" w:hAnsi="宋体" w:eastAsia="宋体" w:cs="Times New Roman"/>
          <w:b/>
          <w:bCs/>
          <w:color w:val="auto"/>
          <w:szCs w:val="21"/>
          <w:highlight w:val="none"/>
          <w:lang w:val="en-US" w:eastAsia="zh-CN"/>
        </w:rPr>
        <w:t xml:space="preserve"> </w:t>
      </w:r>
      <w:r>
        <w:rPr>
          <w:rFonts w:hint="eastAsia" w:ascii="宋体" w:hAnsi="宋体" w:cs="Times New Roman"/>
          <w:b/>
          <w:bCs/>
          <w:color w:val="auto"/>
          <w:szCs w:val="21"/>
          <w:highlight w:val="none"/>
          <w:lang w:val="en-US" w:eastAsia="zh-CN"/>
        </w:rPr>
        <w:t>2026</w:t>
      </w:r>
      <w:r>
        <w:rPr>
          <w:rFonts w:hint="eastAsia" w:ascii="宋体" w:hAnsi="宋体" w:eastAsia="宋体" w:cs="Times New Roman"/>
          <w:b/>
          <w:bCs/>
          <w:color w:val="auto"/>
          <w:szCs w:val="21"/>
          <w:highlight w:val="none"/>
          <w:lang w:val="en-US" w:eastAsia="zh-CN"/>
        </w:rPr>
        <w:t>年</w:t>
      </w:r>
      <w:r>
        <w:rPr>
          <w:rFonts w:hint="eastAsia" w:ascii="宋体" w:hAnsi="宋体" w:cs="Times New Roman"/>
          <w:b/>
          <w:bCs/>
          <w:color w:val="auto"/>
          <w:szCs w:val="21"/>
          <w:highlight w:val="none"/>
          <w:lang w:val="en-US" w:eastAsia="zh-CN"/>
        </w:rPr>
        <w:t>07</w:t>
      </w:r>
      <w:r>
        <w:rPr>
          <w:rFonts w:hint="eastAsia" w:ascii="宋体" w:hAnsi="宋体" w:eastAsia="宋体" w:cs="Times New Roman"/>
          <w:b/>
          <w:bCs/>
          <w:color w:val="auto"/>
          <w:szCs w:val="21"/>
          <w:highlight w:val="none"/>
          <w:lang w:val="en-US" w:eastAsia="zh-CN"/>
        </w:rPr>
        <w:t>月</w:t>
      </w:r>
      <w:r>
        <w:rPr>
          <w:rFonts w:hint="eastAsia" w:ascii="宋体" w:hAnsi="宋体" w:cs="Times New Roman"/>
          <w:b/>
          <w:bCs/>
          <w:color w:val="auto"/>
          <w:szCs w:val="21"/>
          <w:highlight w:val="none"/>
          <w:lang w:val="en-US" w:eastAsia="zh-CN"/>
        </w:rPr>
        <w:t>03</w:t>
      </w:r>
      <w:r>
        <w:rPr>
          <w:rFonts w:hint="eastAsia" w:ascii="宋体" w:hAnsi="宋体" w:eastAsia="宋体" w:cs="Times New Roman"/>
          <w:b/>
          <w:bCs/>
          <w:color w:val="auto"/>
          <w:szCs w:val="21"/>
          <w:highlight w:val="none"/>
          <w:lang w:val="en-US" w:eastAsia="zh-CN"/>
        </w:rPr>
        <w:t xml:space="preserve">日至 </w:t>
      </w:r>
      <w:r>
        <w:rPr>
          <w:rFonts w:hint="eastAsia" w:ascii="宋体" w:hAnsi="宋体" w:cs="Times New Roman"/>
          <w:b/>
          <w:bCs/>
          <w:color w:val="auto"/>
          <w:szCs w:val="21"/>
          <w:highlight w:val="none"/>
          <w:lang w:val="en-US" w:eastAsia="zh-CN"/>
        </w:rPr>
        <w:t>2026</w:t>
      </w:r>
      <w:r>
        <w:rPr>
          <w:rFonts w:hint="eastAsia" w:ascii="宋体" w:hAnsi="宋体" w:eastAsia="宋体" w:cs="Times New Roman"/>
          <w:b/>
          <w:bCs/>
          <w:color w:val="auto"/>
          <w:szCs w:val="21"/>
          <w:highlight w:val="none"/>
          <w:lang w:val="en-US" w:eastAsia="zh-CN"/>
        </w:rPr>
        <w:t>年</w:t>
      </w:r>
      <w:r>
        <w:rPr>
          <w:rFonts w:hint="eastAsia" w:ascii="宋体" w:hAnsi="宋体" w:cs="Times New Roman"/>
          <w:b/>
          <w:bCs/>
          <w:color w:val="auto"/>
          <w:szCs w:val="21"/>
          <w:highlight w:val="none"/>
          <w:lang w:val="en-US" w:eastAsia="zh-CN"/>
        </w:rPr>
        <w:t>07</w:t>
      </w:r>
      <w:r>
        <w:rPr>
          <w:rFonts w:hint="eastAsia" w:ascii="宋体" w:hAnsi="宋体" w:eastAsia="宋体" w:cs="Times New Roman"/>
          <w:b/>
          <w:bCs/>
          <w:color w:val="auto"/>
          <w:szCs w:val="21"/>
          <w:highlight w:val="none"/>
          <w:lang w:val="en-US" w:eastAsia="zh-CN"/>
        </w:rPr>
        <w:t>月</w:t>
      </w:r>
      <w:r>
        <w:rPr>
          <w:rFonts w:hint="eastAsia" w:ascii="宋体" w:hAnsi="宋体" w:cs="Times New Roman"/>
          <w:b/>
          <w:bCs/>
          <w:color w:val="auto"/>
          <w:szCs w:val="21"/>
          <w:highlight w:val="none"/>
          <w:lang w:val="en-US" w:eastAsia="zh-CN"/>
        </w:rPr>
        <w:t>09</w:t>
      </w:r>
      <w:r>
        <w:rPr>
          <w:rFonts w:hint="eastAsia" w:ascii="宋体" w:hAnsi="宋体" w:eastAsia="宋体" w:cs="Times New Roman"/>
          <w:b/>
          <w:bCs/>
          <w:color w:val="auto"/>
          <w:szCs w:val="21"/>
          <w:highlight w:val="none"/>
          <w:lang w:val="en-US" w:eastAsia="zh-CN"/>
        </w:rPr>
        <w:t>日</w:t>
      </w:r>
      <w:r>
        <w:rPr>
          <w:rFonts w:hint="eastAsia" w:ascii="宋体" w:hAnsi="宋体" w:eastAsia="宋体" w:cs="Times New Roman"/>
          <w:color w:val="auto"/>
          <w:szCs w:val="21"/>
          <w:highlight w:val="none"/>
          <w:lang w:val="en-US" w:eastAsia="zh-CN"/>
        </w:rPr>
        <w:t>，</w:t>
      </w:r>
      <w:r>
        <w:rPr>
          <w:rFonts w:hint="eastAsia" w:ascii="宋体" w:hAnsi="宋体" w:cs="Times New Roman"/>
          <w:color w:val="auto"/>
          <w:szCs w:val="21"/>
          <w:highlight w:val="none"/>
          <w:lang w:val="en-US" w:eastAsia="zh-CN"/>
        </w:rPr>
        <w:t>全天</w:t>
      </w:r>
      <w:r>
        <w:rPr>
          <w:rFonts w:hint="eastAsia" w:ascii="宋体" w:hAnsi="宋体" w:cs="微软雅黑"/>
          <w:color w:val="auto"/>
          <w:spacing w:val="-2"/>
          <w:kern w:val="0"/>
          <w:szCs w:val="21"/>
          <w:highlight w:val="none"/>
        </w:rPr>
        <w:t>（北京时间）</w:t>
      </w:r>
      <w:r>
        <w:rPr>
          <w:rFonts w:hint="eastAsia" w:ascii="宋体" w:hAnsi="宋体" w:cs="Times New Roman"/>
          <w:color w:val="auto"/>
          <w:szCs w:val="21"/>
          <w:highlight w:val="none"/>
          <w:lang w:val="en-US" w:eastAsia="zh-CN"/>
        </w:rPr>
        <w:t>，</w:t>
      </w:r>
      <w:r>
        <w:rPr>
          <w:rFonts w:hint="eastAsia" w:ascii="宋体" w:hAnsi="宋体" w:eastAsia="宋体" w:cs="Times New Roman"/>
          <w:color w:val="auto"/>
          <w:szCs w:val="21"/>
          <w:highlight w:val="none"/>
          <w:lang w:val="en-US" w:eastAsia="zh-CN"/>
        </w:rPr>
        <w:t xml:space="preserve">在 湖南省株洲市政府采购网（网址： http://www.ccgp-hunan.gov.cn/portal_city.jsp?areaCode=zzs）或湖南省公共资源交易服务平台株洲分平台（https://zhuzhou.hnsggzy.com）获取招标文件。以上两个网站下载的招标文件不一致时，以湖南省株洲市政府采购网为准。通过网络下载的招标文件资料与备案的书面招标文件资料具有同等法律效力。 </w:t>
      </w:r>
    </w:p>
    <w:p w14:paraId="39308F6F">
      <w:pPr>
        <w:keepNext w:val="0"/>
        <w:keepLines w:val="0"/>
        <w:pageBreakBefore w:val="0"/>
        <w:widowControl w:val="0"/>
        <w:kinsoku/>
        <w:wordWrap/>
        <w:overflowPunct/>
        <w:topLinePunct w:val="0"/>
        <w:bidi w:val="0"/>
        <w:adjustRightInd w:val="0"/>
        <w:snapToGrid w:val="0"/>
        <w:spacing w:line="480" w:lineRule="exact"/>
        <w:ind w:firstLine="630" w:firstLineChars="300"/>
        <w:textAlignment w:val="auto"/>
        <w:rPr>
          <w:rFonts w:hint="eastAsia" w:ascii="宋体" w:hAnsi="宋体" w:eastAsia="宋体" w:cs="Times New Roman"/>
          <w:color w:val="auto"/>
          <w:szCs w:val="21"/>
          <w:highlight w:val="none"/>
        </w:rPr>
      </w:pPr>
      <w:r>
        <w:rPr>
          <w:rFonts w:hint="eastAsia" w:ascii="宋体" w:hAnsi="宋体"/>
          <w:iCs/>
          <w:color w:val="auto"/>
          <w:szCs w:val="21"/>
          <w:highlight w:val="none"/>
        </w:rPr>
        <w:sym w:font="Wingdings" w:char="00FE"/>
      </w:r>
      <w:r>
        <w:rPr>
          <w:rFonts w:hint="eastAsia" w:ascii="宋体" w:hAnsi="宋体" w:eastAsia="宋体" w:cs="Times New Roman"/>
          <w:color w:val="auto"/>
          <w:szCs w:val="21"/>
          <w:highlight w:val="none"/>
          <w:lang w:val="en-US" w:eastAsia="zh-CN"/>
        </w:rPr>
        <w:t xml:space="preserve"> 本项目实行电子交易，有 意 参 加 投 标 者，在 湖南省公共资源交易服务平台株洲分平台（https://zhuzhou.hnsggzy.com）获取电子版招标文件。 </w:t>
      </w:r>
    </w:p>
    <w:p w14:paraId="01AA0E16">
      <w:pPr>
        <w:keepNext w:val="0"/>
        <w:keepLines w:val="0"/>
        <w:pageBreakBefore w:val="0"/>
        <w:widowControl w:val="0"/>
        <w:kinsoku/>
        <w:wordWrap/>
        <w:overflowPunct/>
        <w:topLinePunct w:val="0"/>
        <w:bidi w:val="0"/>
        <w:adjustRightInd w:val="0"/>
        <w:snapToGrid w:val="0"/>
        <w:spacing w:line="480" w:lineRule="exact"/>
        <w:ind w:firstLine="420" w:firstLineChars="200"/>
        <w:textAlignment w:val="auto"/>
        <w:rPr>
          <w:rFonts w:hint="eastAsia" w:ascii="宋体" w:hAnsi="宋体" w:eastAsia="宋体" w:cs="Times New Roman"/>
          <w:color w:val="auto"/>
          <w:szCs w:val="21"/>
          <w:highlight w:val="none"/>
        </w:rPr>
      </w:pPr>
      <w:r>
        <w:rPr>
          <w:rFonts w:hint="default" w:ascii="宋体" w:hAnsi="宋体" w:eastAsia="宋体" w:cs="Times New Roman"/>
          <w:color w:val="auto"/>
          <w:szCs w:val="21"/>
          <w:highlight w:val="none"/>
          <w:lang w:val="en-US" w:eastAsia="zh-CN"/>
        </w:rPr>
        <w:t></w:t>
      </w:r>
      <w:r>
        <w:rPr>
          <w:rFonts w:hint="eastAsia" w:ascii="宋体" w:hAnsi="宋体"/>
          <w:color w:val="auto"/>
          <w:szCs w:val="21"/>
          <w:highlight w:val="none"/>
          <w:lang w:val="en-US" w:eastAsia="zh-CN"/>
        </w:rPr>
        <w:sym w:font="Wingdings" w:char="00A8"/>
      </w:r>
      <w:r>
        <w:rPr>
          <w:rFonts w:hint="eastAsia" w:ascii="宋体" w:hAnsi="宋体" w:eastAsia="宋体" w:cs="Times New Roman"/>
          <w:color w:val="auto"/>
          <w:szCs w:val="21"/>
          <w:highlight w:val="none"/>
          <w:lang w:val="en-US" w:eastAsia="zh-CN"/>
        </w:rPr>
        <w:t>本项目进行资格预审，招标文件将向所有通过资格预审的供应商提供。</w:t>
      </w:r>
    </w:p>
    <w:p w14:paraId="10B31876">
      <w:pPr>
        <w:keepNext w:val="0"/>
        <w:keepLines w:val="0"/>
        <w:pageBreakBefore w:val="0"/>
        <w:widowControl w:val="0"/>
        <w:kinsoku/>
        <w:wordWrap/>
        <w:overflowPunct/>
        <w:topLinePunct w:val="0"/>
        <w:bidi w:val="0"/>
        <w:adjustRightInd w:val="0"/>
        <w:snapToGrid w:val="0"/>
        <w:spacing w:line="480" w:lineRule="exact"/>
        <w:ind w:firstLine="422" w:firstLineChars="200"/>
        <w:textAlignment w:val="auto"/>
        <w:rPr>
          <w:rFonts w:ascii="宋体" w:hAnsi="宋体"/>
          <w:b/>
          <w:color w:val="auto"/>
          <w:szCs w:val="21"/>
          <w:highlight w:val="none"/>
        </w:rPr>
      </w:pPr>
      <w:r>
        <w:rPr>
          <w:rFonts w:hint="eastAsia" w:ascii="宋体" w:hAnsi="宋体"/>
          <w:b/>
          <w:color w:val="auto"/>
          <w:szCs w:val="21"/>
          <w:highlight w:val="none"/>
        </w:rPr>
        <w:t>六、投标截止时间、开标时间及地点</w:t>
      </w:r>
    </w:p>
    <w:p w14:paraId="5BFBB6CB">
      <w:pPr>
        <w:keepNext w:val="0"/>
        <w:keepLines w:val="0"/>
        <w:pageBreakBefore w:val="0"/>
        <w:widowControl w:val="0"/>
        <w:kinsoku/>
        <w:wordWrap/>
        <w:overflowPunct/>
        <w:topLinePunct w:val="0"/>
        <w:bidi w:val="0"/>
        <w:adjustRightInd w:val="0"/>
        <w:snapToGrid w:val="0"/>
        <w:spacing w:line="480" w:lineRule="exact"/>
        <w:ind w:firstLine="420" w:firstLineChars="200"/>
        <w:textAlignment w:val="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1、提交投标文件的截止时间：</w:t>
      </w:r>
      <w:r>
        <w:rPr>
          <w:rFonts w:hint="eastAsia" w:ascii="宋体" w:hAnsi="宋体" w:cs="Times New Roman"/>
          <w:b/>
          <w:bCs/>
          <w:color w:val="auto"/>
          <w:szCs w:val="21"/>
          <w:highlight w:val="none"/>
          <w:lang w:eastAsia="zh-CN"/>
        </w:rPr>
        <w:t>202</w:t>
      </w:r>
      <w:r>
        <w:rPr>
          <w:rFonts w:hint="eastAsia" w:ascii="宋体" w:hAnsi="宋体" w:cs="Times New Roman"/>
          <w:b/>
          <w:bCs/>
          <w:color w:val="auto"/>
          <w:szCs w:val="21"/>
          <w:highlight w:val="none"/>
          <w:lang w:val="en-US" w:eastAsia="zh-CN"/>
        </w:rPr>
        <w:t>6</w:t>
      </w:r>
      <w:r>
        <w:rPr>
          <w:rFonts w:hint="eastAsia" w:ascii="宋体" w:hAnsi="宋体" w:eastAsia="宋体" w:cs="Times New Roman"/>
          <w:b/>
          <w:bCs/>
          <w:color w:val="auto"/>
          <w:szCs w:val="21"/>
          <w:highlight w:val="none"/>
        </w:rPr>
        <w:t>年</w:t>
      </w:r>
      <w:r>
        <w:rPr>
          <w:rFonts w:hint="eastAsia" w:ascii="宋体" w:hAnsi="宋体" w:cs="Times New Roman"/>
          <w:b/>
          <w:bCs/>
          <w:color w:val="auto"/>
          <w:szCs w:val="21"/>
          <w:highlight w:val="none"/>
          <w:lang w:val="en-US" w:eastAsia="zh-CN"/>
        </w:rPr>
        <w:t>07</w:t>
      </w:r>
      <w:r>
        <w:rPr>
          <w:rFonts w:hint="eastAsia" w:ascii="宋体" w:hAnsi="宋体" w:eastAsia="宋体" w:cs="Times New Roman"/>
          <w:b/>
          <w:bCs/>
          <w:color w:val="auto"/>
          <w:szCs w:val="21"/>
          <w:highlight w:val="none"/>
        </w:rPr>
        <w:t>月</w:t>
      </w:r>
      <w:r>
        <w:rPr>
          <w:rFonts w:hint="eastAsia" w:ascii="宋体" w:hAnsi="宋体" w:cs="Times New Roman"/>
          <w:b/>
          <w:bCs/>
          <w:color w:val="auto"/>
          <w:szCs w:val="21"/>
          <w:highlight w:val="none"/>
          <w:lang w:val="en-US" w:eastAsia="zh-CN"/>
        </w:rPr>
        <w:t>23</w:t>
      </w:r>
      <w:r>
        <w:rPr>
          <w:rFonts w:hint="eastAsia" w:ascii="宋体" w:hAnsi="宋体" w:eastAsia="宋体" w:cs="Times New Roman"/>
          <w:b/>
          <w:bCs/>
          <w:color w:val="auto"/>
          <w:szCs w:val="21"/>
          <w:highlight w:val="none"/>
        </w:rPr>
        <w:t>日</w:t>
      </w:r>
      <w:r>
        <w:rPr>
          <w:rFonts w:hint="eastAsia" w:ascii="宋体" w:hAnsi="宋体" w:eastAsia="宋体" w:cs="Times New Roman"/>
          <w:b/>
          <w:bCs/>
          <w:color w:val="auto"/>
          <w:szCs w:val="21"/>
          <w:highlight w:val="none"/>
          <w:lang w:val="en-US" w:eastAsia="zh-CN"/>
        </w:rPr>
        <w:t>09</w:t>
      </w:r>
      <w:r>
        <w:rPr>
          <w:rFonts w:hint="eastAsia" w:ascii="宋体" w:hAnsi="宋体" w:eastAsia="宋体" w:cs="Times New Roman"/>
          <w:b/>
          <w:bCs/>
          <w:color w:val="auto"/>
          <w:szCs w:val="21"/>
          <w:highlight w:val="none"/>
        </w:rPr>
        <w:t>时</w:t>
      </w:r>
      <w:r>
        <w:rPr>
          <w:rFonts w:hint="eastAsia" w:ascii="宋体" w:hAnsi="宋体" w:eastAsia="宋体" w:cs="Times New Roman"/>
          <w:b/>
          <w:bCs/>
          <w:color w:val="auto"/>
          <w:szCs w:val="21"/>
          <w:highlight w:val="none"/>
          <w:lang w:val="en-US" w:eastAsia="zh-CN"/>
        </w:rPr>
        <w:t>00</w:t>
      </w:r>
      <w:r>
        <w:rPr>
          <w:rFonts w:hint="eastAsia" w:ascii="宋体" w:hAnsi="宋体" w:eastAsia="宋体" w:cs="Times New Roman"/>
          <w:b/>
          <w:bCs/>
          <w:color w:val="auto"/>
          <w:szCs w:val="21"/>
          <w:highlight w:val="none"/>
        </w:rPr>
        <w:t>分</w:t>
      </w:r>
      <w:r>
        <w:rPr>
          <w:rFonts w:hint="eastAsia" w:ascii="宋体" w:hAnsi="宋体" w:eastAsia="宋体" w:cs="Times New Roman"/>
          <w:color w:val="auto"/>
          <w:szCs w:val="21"/>
          <w:highlight w:val="none"/>
        </w:rPr>
        <w:t>(北京时间)；</w:t>
      </w:r>
    </w:p>
    <w:p w14:paraId="6A80BDA3">
      <w:pPr>
        <w:keepNext w:val="0"/>
        <w:keepLines w:val="0"/>
        <w:pageBreakBefore w:val="0"/>
        <w:widowControl w:val="0"/>
        <w:kinsoku/>
        <w:wordWrap/>
        <w:overflowPunct/>
        <w:topLinePunct w:val="0"/>
        <w:bidi w:val="0"/>
        <w:adjustRightInd w:val="0"/>
        <w:snapToGrid w:val="0"/>
        <w:spacing w:line="480" w:lineRule="exact"/>
        <w:ind w:firstLine="420" w:firstLineChars="200"/>
        <w:textAlignment w:val="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2、投标地点：湖南省公共资源交易服务平台株洲分平台（https://zhuzhou.hnsggzy.com），请投标人在 “操作指南-下载中心”下载“新点投标文件制作软件（湖南省公共资源版）”编制投标文件，投标人应在投标截止时间前通过电子交易系统递交数据电文形式的投标文件。逾期送达的投标文件，电子交易系统予以拒收。</w:t>
      </w:r>
    </w:p>
    <w:p w14:paraId="32F66D9A">
      <w:pPr>
        <w:keepNext w:val="0"/>
        <w:keepLines w:val="0"/>
        <w:pageBreakBefore w:val="0"/>
        <w:widowControl w:val="0"/>
        <w:kinsoku/>
        <w:wordWrap/>
        <w:overflowPunct/>
        <w:topLinePunct w:val="0"/>
        <w:bidi w:val="0"/>
        <w:adjustRightInd w:val="0"/>
        <w:snapToGrid w:val="0"/>
        <w:spacing w:line="480" w:lineRule="exact"/>
        <w:ind w:firstLine="420" w:firstLineChars="200"/>
        <w:textAlignment w:val="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3、开标时间：</w:t>
      </w:r>
      <w:r>
        <w:rPr>
          <w:rFonts w:hint="eastAsia" w:ascii="宋体" w:hAnsi="宋体" w:cs="Times New Roman"/>
          <w:b/>
          <w:bCs/>
          <w:color w:val="auto"/>
          <w:szCs w:val="21"/>
          <w:highlight w:val="none"/>
          <w:lang w:eastAsia="zh-CN"/>
        </w:rPr>
        <w:t>202</w:t>
      </w:r>
      <w:r>
        <w:rPr>
          <w:rFonts w:hint="eastAsia" w:ascii="宋体" w:hAnsi="宋体" w:cs="Times New Roman"/>
          <w:b/>
          <w:bCs/>
          <w:color w:val="auto"/>
          <w:szCs w:val="21"/>
          <w:highlight w:val="none"/>
          <w:lang w:val="en-US" w:eastAsia="zh-CN"/>
        </w:rPr>
        <w:t>6</w:t>
      </w:r>
      <w:r>
        <w:rPr>
          <w:rFonts w:hint="eastAsia" w:ascii="宋体" w:hAnsi="宋体" w:eastAsia="宋体" w:cs="Times New Roman"/>
          <w:b/>
          <w:bCs/>
          <w:color w:val="auto"/>
          <w:szCs w:val="21"/>
          <w:highlight w:val="none"/>
        </w:rPr>
        <w:t>年</w:t>
      </w:r>
      <w:r>
        <w:rPr>
          <w:rFonts w:hint="eastAsia" w:ascii="宋体" w:hAnsi="宋体" w:cs="Times New Roman"/>
          <w:b/>
          <w:bCs/>
          <w:color w:val="auto"/>
          <w:szCs w:val="21"/>
          <w:highlight w:val="none"/>
          <w:lang w:val="en-US" w:eastAsia="zh-CN"/>
        </w:rPr>
        <w:t>07</w:t>
      </w:r>
      <w:r>
        <w:rPr>
          <w:rFonts w:hint="eastAsia" w:ascii="宋体" w:hAnsi="宋体" w:eastAsia="宋体" w:cs="Times New Roman"/>
          <w:b/>
          <w:bCs/>
          <w:color w:val="auto"/>
          <w:szCs w:val="21"/>
          <w:highlight w:val="none"/>
        </w:rPr>
        <w:t>月</w:t>
      </w:r>
      <w:r>
        <w:rPr>
          <w:rFonts w:hint="eastAsia" w:ascii="宋体" w:hAnsi="宋体" w:cs="Times New Roman"/>
          <w:b/>
          <w:bCs/>
          <w:color w:val="auto"/>
          <w:szCs w:val="21"/>
          <w:highlight w:val="none"/>
          <w:lang w:val="en-US" w:eastAsia="zh-CN"/>
        </w:rPr>
        <w:t>23</w:t>
      </w:r>
      <w:r>
        <w:rPr>
          <w:rFonts w:hint="eastAsia" w:ascii="宋体" w:hAnsi="宋体" w:eastAsia="宋体" w:cs="Times New Roman"/>
          <w:b/>
          <w:bCs/>
          <w:color w:val="auto"/>
          <w:szCs w:val="21"/>
          <w:highlight w:val="none"/>
        </w:rPr>
        <w:t>日</w:t>
      </w:r>
      <w:r>
        <w:rPr>
          <w:rFonts w:hint="eastAsia" w:ascii="宋体" w:hAnsi="宋体" w:eastAsia="宋体" w:cs="Times New Roman"/>
          <w:b/>
          <w:bCs/>
          <w:color w:val="auto"/>
          <w:szCs w:val="21"/>
          <w:highlight w:val="none"/>
          <w:lang w:val="en-US" w:eastAsia="zh-CN"/>
        </w:rPr>
        <w:t>09</w:t>
      </w:r>
      <w:r>
        <w:rPr>
          <w:rFonts w:hint="eastAsia" w:ascii="宋体" w:hAnsi="宋体" w:eastAsia="宋体" w:cs="Times New Roman"/>
          <w:b/>
          <w:bCs/>
          <w:color w:val="auto"/>
          <w:szCs w:val="21"/>
          <w:highlight w:val="none"/>
        </w:rPr>
        <w:t>时</w:t>
      </w:r>
      <w:r>
        <w:rPr>
          <w:rFonts w:hint="eastAsia" w:ascii="宋体" w:hAnsi="宋体" w:eastAsia="宋体" w:cs="Times New Roman"/>
          <w:b/>
          <w:bCs/>
          <w:color w:val="auto"/>
          <w:szCs w:val="21"/>
          <w:highlight w:val="none"/>
          <w:lang w:val="en-US" w:eastAsia="zh-CN"/>
        </w:rPr>
        <w:t>00</w:t>
      </w:r>
      <w:r>
        <w:rPr>
          <w:rFonts w:hint="eastAsia" w:ascii="宋体" w:hAnsi="宋体" w:eastAsia="宋体" w:cs="Times New Roman"/>
          <w:b/>
          <w:bCs/>
          <w:color w:val="auto"/>
          <w:szCs w:val="21"/>
          <w:highlight w:val="none"/>
        </w:rPr>
        <w:t>分</w:t>
      </w:r>
      <w:r>
        <w:rPr>
          <w:rFonts w:hint="eastAsia" w:ascii="宋体" w:hAnsi="宋体" w:eastAsia="宋体" w:cs="Times New Roman"/>
          <w:color w:val="auto"/>
          <w:szCs w:val="21"/>
          <w:highlight w:val="none"/>
        </w:rPr>
        <w:t>(北京时间)。</w:t>
      </w:r>
    </w:p>
    <w:p w14:paraId="15547E97">
      <w:pPr>
        <w:keepNext w:val="0"/>
        <w:keepLines w:val="0"/>
        <w:pageBreakBefore w:val="0"/>
        <w:widowControl w:val="0"/>
        <w:kinsoku/>
        <w:wordWrap/>
        <w:overflowPunct/>
        <w:topLinePunct w:val="0"/>
        <w:bidi w:val="0"/>
        <w:adjustRightInd w:val="0"/>
        <w:snapToGrid w:val="0"/>
        <w:spacing w:line="480" w:lineRule="exact"/>
        <w:ind w:firstLine="420" w:firstLineChars="200"/>
        <w:textAlignment w:val="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4、开标地点：</w:t>
      </w:r>
      <w:r>
        <w:rPr>
          <w:rFonts w:hint="default" w:ascii="宋体" w:hAnsi="宋体" w:eastAsia="宋体" w:cs="Times New Roman"/>
          <w:color w:val="auto"/>
          <w:szCs w:val="21"/>
          <w:highlight w:val="none"/>
          <w:u w:val="none"/>
          <w:lang w:val="en-US" w:eastAsia="zh-CN"/>
        </w:rPr>
        <w:t>本项目实行“不见面开标”方式，投标人无需到开标现场，请投标人提前配置好解密电脑和软件环境，在规定时间内使用制作投标文件时的CA 锁登录“网上开标系统”解密投标文件。电子投标文件的解密截止时间为投标截止后30分钟，因投标人自身原因未在规定时间内完成解密或无法解密的投标文件视为撤销其投标文件，相应责任由投标人自行承担。</w:t>
      </w:r>
      <w:r>
        <w:rPr>
          <w:rFonts w:hint="eastAsia" w:ascii="宋体" w:hAnsi="宋体" w:eastAsia="宋体" w:cs="Times New Roman"/>
          <w:color w:val="auto"/>
          <w:szCs w:val="21"/>
          <w:highlight w:val="none"/>
          <w:u w:val="none"/>
        </w:rPr>
        <w:t xml:space="preserve"> </w:t>
      </w:r>
    </w:p>
    <w:p w14:paraId="2D23B346">
      <w:pPr>
        <w:keepNext w:val="0"/>
        <w:keepLines w:val="0"/>
        <w:pageBreakBefore w:val="0"/>
        <w:widowControl w:val="0"/>
        <w:kinsoku/>
        <w:wordWrap/>
        <w:overflowPunct/>
        <w:topLinePunct w:val="0"/>
        <w:bidi w:val="0"/>
        <w:adjustRightInd w:val="0"/>
        <w:snapToGrid w:val="0"/>
        <w:spacing w:line="480" w:lineRule="exact"/>
        <w:ind w:firstLine="422" w:firstLineChars="200"/>
        <w:textAlignment w:val="auto"/>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七、公告期限：</w:t>
      </w:r>
    </w:p>
    <w:p w14:paraId="46174FD5">
      <w:pPr>
        <w:keepNext w:val="0"/>
        <w:keepLines w:val="0"/>
        <w:pageBreakBefore w:val="0"/>
        <w:widowControl w:val="0"/>
        <w:kinsoku/>
        <w:wordWrap/>
        <w:overflowPunct/>
        <w:topLinePunct w:val="0"/>
        <w:bidi w:val="0"/>
        <w:adjustRightInd w:val="0"/>
        <w:snapToGrid w:val="0"/>
        <w:spacing w:line="480" w:lineRule="exact"/>
        <w:ind w:firstLine="420" w:firstLineChars="200"/>
        <w:textAlignment w:val="auto"/>
        <w:rPr>
          <w:rFonts w:ascii="宋体" w:hAnsi="宋体"/>
          <w:color w:val="auto"/>
          <w:szCs w:val="21"/>
          <w:highlight w:val="none"/>
        </w:rPr>
      </w:pPr>
      <w:r>
        <w:rPr>
          <w:rFonts w:hint="eastAsia" w:ascii="宋体" w:hAnsi="宋体"/>
          <w:color w:val="auto"/>
          <w:szCs w:val="21"/>
          <w:highlight w:val="none"/>
        </w:rPr>
        <w:t>1、本招标公告在湖南省公共资源交易服务平台株洲分平台（https://zhuzhou.hnsggzy.com）和湖南省株洲市政府采购网（http://www.ccgp-hunan.gov.cn/）发布。公告期限从本招标公告发布之日起5个工作日。</w:t>
      </w:r>
    </w:p>
    <w:p w14:paraId="17B6D7CA">
      <w:pPr>
        <w:keepNext w:val="0"/>
        <w:keepLines w:val="0"/>
        <w:pageBreakBefore w:val="0"/>
        <w:widowControl w:val="0"/>
        <w:kinsoku/>
        <w:wordWrap/>
        <w:overflowPunct/>
        <w:topLinePunct w:val="0"/>
        <w:bidi w:val="0"/>
        <w:adjustRightInd w:val="0"/>
        <w:snapToGrid w:val="0"/>
        <w:spacing w:line="480" w:lineRule="exact"/>
        <w:ind w:firstLine="420" w:firstLineChars="200"/>
        <w:textAlignment w:val="auto"/>
        <w:rPr>
          <w:rFonts w:ascii="宋体" w:hAnsi="宋体"/>
          <w:color w:val="auto"/>
          <w:szCs w:val="21"/>
          <w:highlight w:val="none"/>
        </w:rPr>
      </w:pPr>
      <w:r>
        <w:rPr>
          <w:rFonts w:hint="eastAsia" w:ascii="宋体" w:hAnsi="宋体"/>
          <w:color w:val="auto"/>
          <w:szCs w:val="21"/>
          <w:highlight w:val="none"/>
        </w:rPr>
        <w:t>2、在其他媒体发布的招标公告，公告内容以本招标公告指定媒体发布的公告为准；公告期限自本招标公告指定媒体最先发布公告之日起算。</w:t>
      </w:r>
    </w:p>
    <w:p w14:paraId="2C92A6F4">
      <w:pPr>
        <w:keepNext w:val="0"/>
        <w:keepLines w:val="0"/>
        <w:pageBreakBefore w:val="0"/>
        <w:widowControl w:val="0"/>
        <w:kinsoku/>
        <w:wordWrap/>
        <w:overflowPunct/>
        <w:topLinePunct w:val="0"/>
        <w:bidi w:val="0"/>
        <w:adjustRightInd w:val="0"/>
        <w:snapToGrid w:val="0"/>
        <w:spacing w:line="480" w:lineRule="exact"/>
        <w:ind w:firstLine="422" w:firstLineChars="200"/>
        <w:textAlignment w:val="auto"/>
        <w:rPr>
          <w:rFonts w:ascii="宋体" w:hAnsi="宋体"/>
          <w:color w:val="auto"/>
          <w:szCs w:val="21"/>
          <w:highlight w:val="none"/>
        </w:rPr>
      </w:pPr>
      <w:r>
        <w:rPr>
          <w:rFonts w:hint="eastAsia" w:ascii="宋体" w:hAnsi="宋体"/>
          <w:b/>
          <w:color w:val="auto"/>
          <w:szCs w:val="21"/>
          <w:highlight w:val="none"/>
        </w:rPr>
        <w:t>八、询问及质疑</w:t>
      </w:r>
      <w:r>
        <w:rPr>
          <w:rFonts w:hint="eastAsia" w:ascii="宋体" w:hAnsi="宋体"/>
          <w:color w:val="auto"/>
          <w:szCs w:val="21"/>
          <w:highlight w:val="none"/>
        </w:rPr>
        <w:t>：</w:t>
      </w:r>
    </w:p>
    <w:p w14:paraId="0E01D14F">
      <w:pPr>
        <w:keepNext w:val="0"/>
        <w:keepLines w:val="0"/>
        <w:pageBreakBefore w:val="0"/>
        <w:widowControl w:val="0"/>
        <w:kinsoku/>
        <w:wordWrap/>
        <w:overflowPunct/>
        <w:topLinePunct w:val="0"/>
        <w:bidi w:val="0"/>
        <w:adjustRightInd w:val="0"/>
        <w:snapToGrid w:val="0"/>
        <w:spacing w:line="480" w:lineRule="exact"/>
        <w:ind w:firstLine="420" w:firstLineChars="200"/>
        <w:textAlignment w:val="auto"/>
        <w:rPr>
          <w:rFonts w:ascii="宋体" w:hAnsi="宋体"/>
          <w:color w:val="auto"/>
          <w:szCs w:val="21"/>
          <w:highlight w:val="none"/>
        </w:rPr>
      </w:pPr>
      <w:r>
        <w:rPr>
          <w:rFonts w:hint="eastAsia" w:ascii="宋体" w:hAnsi="宋体"/>
          <w:color w:val="auto"/>
          <w:szCs w:val="21"/>
          <w:highlight w:val="none"/>
        </w:rPr>
        <w:t>1、投标人对政府采购活动事项如有疑问的，可以向采购人、采购代理机构提出询问。采购人、采购代理机构将在3个工作日内作出答复。</w:t>
      </w:r>
    </w:p>
    <w:p w14:paraId="29133C00">
      <w:pPr>
        <w:keepNext w:val="0"/>
        <w:keepLines w:val="0"/>
        <w:pageBreakBefore w:val="0"/>
        <w:widowControl w:val="0"/>
        <w:kinsoku/>
        <w:wordWrap/>
        <w:overflowPunct/>
        <w:topLinePunct w:val="0"/>
        <w:bidi w:val="0"/>
        <w:adjustRightInd w:val="0"/>
        <w:snapToGrid w:val="0"/>
        <w:spacing w:line="480" w:lineRule="exact"/>
        <w:ind w:firstLine="420" w:firstLineChars="200"/>
        <w:textAlignment w:val="auto"/>
        <w:rPr>
          <w:rFonts w:ascii="宋体" w:hAnsi="宋体"/>
          <w:color w:val="auto"/>
          <w:szCs w:val="21"/>
          <w:highlight w:val="none"/>
        </w:rPr>
      </w:pPr>
      <w:r>
        <w:rPr>
          <w:rFonts w:hint="eastAsia" w:ascii="宋体" w:hAnsi="宋体"/>
          <w:color w:val="auto"/>
          <w:szCs w:val="21"/>
          <w:highlight w:val="none"/>
        </w:rPr>
        <w:t>2、投标人对电子交易平台办理CA证书、操作等如有疑问，请咨询电子交易平台服务机构。</w:t>
      </w:r>
    </w:p>
    <w:p w14:paraId="2517CB02">
      <w:pPr>
        <w:keepNext w:val="0"/>
        <w:keepLines w:val="0"/>
        <w:pageBreakBefore w:val="0"/>
        <w:widowControl w:val="0"/>
        <w:kinsoku/>
        <w:wordWrap/>
        <w:overflowPunct/>
        <w:topLinePunct w:val="0"/>
        <w:bidi w:val="0"/>
        <w:adjustRightInd w:val="0"/>
        <w:snapToGrid w:val="0"/>
        <w:spacing w:line="480" w:lineRule="exact"/>
        <w:ind w:firstLine="420" w:firstLineChars="200"/>
        <w:textAlignment w:val="auto"/>
        <w:rPr>
          <w:rFonts w:ascii="宋体" w:hAnsi="宋体"/>
          <w:color w:val="auto"/>
          <w:szCs w:val="21"/>
          <w:highlight w:val="none"/>
        </w:rPr>
      </w:pPr>
      <w:r>
        <w:rPr>
          <w:rFonts w:hint="eastAsia" w:ascii="宋体" w:hAnsi="宋体"/>
          <w:color w:val="auto"/>
          <w:szCs w:val="21"/>
          <w:highlight w:val="none"/>
        </w:rPr>
        <w:t>3、潜在投标人认为招标文件或招标公告使自己的合法权益受到损害的，可以在收到招标文件之日或招标公告期限届满之日起7个工作日内，按《湖南省财政厅关于印发＜政府采购质疑答复和投诉处理操作规程＞的通知》(湘财购〔20</w:t>
      </w:r>
      <w:r>
        <w:rPr>
          <w:rFonts w:hint="eastAsia" w:ascii="宋体" w:hAnsi="宋体"/>
          <w:color w:val="auto"/>
          <w:szCs w:val="21"/>
          <w:highlight w:val="none"/>
          <w:lang w:val="en-US" w:eastAsia="zh-CN"/>
        </w:rPr>
        <w:t>24</w:t>
      </w:r>
      <w:r>
        <w:rPr>
          <w:rFonts w:hint="eastAsia" w:ascii="宋体" w:hAnsi="宋体"/>
          <w:color w:val="auto"/>
          <w:szCs w:val="21"/>
          <w:highlight w:val="none"/>
        </w:rPr>
        <w:t>〕</w:t>
      </w:r>
      <w:r>
        <w:rPr>
          <w:rFonts w:hint="eastAsia" w:ascii="宋体" w:hAnsi="宋体"/>
          <w:color w:val="auto"/>
          <w:szCs w:val="21"/>
          <w:highlight w:val="none"/>
          <w:lang w:val="en-US" w:eastAsia="zh-CN"/>
        </w:rPr>
        <w:t>67</w:t>
      </w:r>
      <w:r>
        <w:rPr>
          <w:rFonts w:hint="eastAsia" w:ascii="宋体" w:hAnsi="宋体"/>
          <w:color w:val="auto"/>
          <w:szCs w:val="21"/>
          <w:highlight w:val="none"/>
        </w:rPr>
        <w:t>号)规定，以纸质书面形式向采购人、采购代理机构提出质疑。</w:t>
      </w:r>
    </w:p>
    <w:p w14:paraId="492C5058">
      <w:pPr>
        <w:keepNext w:val="0"/>
        <w:keepLines w:val="0"/>
        <w:pageBreakBefore w:val="0"/>
        <w:widowControl w:val="0"/>
        <w:kinsoku/>
        <w:wordWrap/>
        <w:overflowPunct/>
        <w:topLinePunct w:val="0"/>
        <w:bidi w:val="0"/>
        <w:adjustRightInd w:val="0"/>
        <w:snapToGrid w:val="0"/>
        <w:spacing w:line="480" w:lineRule="exact"/>
        <w:ind w:firstLine="422" w:firstLineChars="200"/>
        <w:textAlignment w:val="auto"/>
        <w:rPr>
          <w:rFonts w:hint="default" w:ascii="宋体" w:hAnsi="宋体" w:eastAsia="宋体"/>
          <w:b/>
          <w:color w:val="auto"/>
          <w:szCs w:val="21"/>
          <w:highlight w:val="none"/>
          <w:lang w:val="en-US" w:eastAsia="zh-CN"/>
        </w:rPr>
      </w:pPr>
      <w:r>
        <w:rPr>
          <w:rFonts w:hint="eastAsia" w:ascii="宋体" w:hAnsi="宋体"/>
          <w:b/>
          <w:color w:val="auto"/>
          <w:szCs w:val="21"/>
          <w:highlight w:val="none"/>
        </w:rPr>
        <w:t>九、</w:t>
      </w:r>
      <w:r>
        <w:rPr>
          <w:rFonts w:hint="eastAsia" w:ascii="宋体" w:hAnsi="宋体"/>
          <w:b/>
          <w:color w:val="auto"/>
          <w:szCs w:val="21"/>
          <w:highlight w:val="none"/>
          <w:lang w:val="en-US" w:eastAsia="zh-CN"/>
        </w:rPr>
        <w:t>投标说明</w:t>
      </w:r>
    </w:p>
    <w:p w14:paraId="73C6C784">
      <w:pPr>
        <w:keepNext w:val="0"/>
        <w:keepLines w:val="0"/>
        <w:pageBreakBefore w:val="0"/>
        <w:widowControl w:val="0"/>
        <w:tabs>
          <w:tab w:val="left" w:pos="4700"/>
          <w:tab w:val="left" w:pos="6000"/>
          <w:tab w:val="left" w:pos="7160"/>
          <w:tab w:val="left" w:pos="8520"/>
        </w:tabs>
        <w:kinsoku/>
        <w:wordWrap/>
        <w:overflowPunct/>
        <w:topLinePunct w:val="0"/>
        <w:autoSpaceDE w:val="0"/>
        <w:autoSpaceDN w:val="0"/>
        <w:bidi w:val="0"/>
        <w:adjustRightInd w:val="0"/>
        <w:snapToGrid w:val="0"/>
        <w:spacing w:line="480" w:lineRule="exact"/>
        <w:ind w:right="-23" w:firstLine="420" w:firstLineChars="200"/>
        <w:jc w:val="left"/>
        <w:textAlignment w:val="auto"/>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1、本公告选项：</w:t>
      </w:r>
      <w:r>
        <w:rPr>
          <w:rFonts w:hint="eastAsia" w:ascii="宋体" w:hAnsi="宋体"/>
          <w:iCs/>
          <w:color w:val="auto"/>
          <w:szCs w:val="21"/>
          <w:highlight w:val="none"/>
        </w:rPr>
        <w:sym w:font="Wingdings" w:char="00FE"/>
      </w:r>
      <w:r>
        <w:rPr>
          <w:rFonts w:hint="eastAsia" w:ascii="宋体" w:hAnsi="宋体"/>
          <w:color w:val="auto"/>
          <w:szCs w:val="21"/>
          <w:highlight w:val="none"/>
          <w:lang w:val="en-US" w:eastAsia="zh-CN"/>
        </w:rPr>
        <w:t>表示选择，</w:t>
      </w:r>
      <w:r>
        <w:rPr>
          <w:rFonts w:hint="eastAsia" w:ascii="宋体" w:hAnsi="宋体"/>
          <w:color w:val="auto"/>
          <w:szCs w:val="21"/>
          <w:highlight w:val="none"/>
          <w:lang w:val="en-US" w:eastAsia="zh-CN"/>
        </w:rPr>
        <w:sym w:font="Wingdings" w:char="00A8"/>
      </w:r>
      <w:r>
        <w:rPr>
          <w:rFonts w:hint="eastAsia" w:ascii="宋体" w:hAnsi="宋体"/>
          <w:color w:val="auto"/>
          <w:szCs w:val="21"/>
          <w:highlight w:val="none"/>
          <w:lang w:val="en-US" w:eastAsia="zh-CN"/>
        </w:rPr>
        <w:t>表示未选择。</w:t>
      </w:r>
    </w:p>
    <w:p w14:paraId="700616D7">
      <w:pPr>
        <w:keepNext w:val="0"/>
        <w:keepLines w:val="0"/>
        <w:pageBreakBefore w:val="0"/>
        <w:widowControl w:val="0"/>
        <w:kinsoku/>
        <w:wordWrap/>
        <w:overflowPunct/>
        <w:topLinePunct w:val="0"/>
        <w:bidi w:val="0"/>
        <w:adjustRightInd w:val="0"/>
        <w:snapToGrid w:val="0"/>
        <w:spacing w:line="480" w:lineRule="exact"/>
        <w:ind w:firstLine="420" w:firstLineChars="200"/>
        <w:textAlignment w:val="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2、</w:t>
      </w:r>
      <w:r>
        <w:rPr>
          <w:rFonts w:hint="eastAsia" w:ascii="宋体" w:hAnsi="宋体" w:eastAsia="宋体" w:cs="Times New Roman"/>
          <w:color w:val="auto"/>
          <w:szCs w:val="21"/>
          <w:highlight w:val="none"/>
        </w:rPr>
        <w:t>投标人参与政府采购活动，无需向采购人、代理机构、交易平台缴纳任何费用。</w:t>
      </w:r>
    </w:p>
    <w:p w14:paraId="05AAEAA6">
      <w:pPr>
        <w:pStyle w:val="24"/>
        <w:rPr>
          <w:rFonts w:hint="eastAsia"/>
          <w:color w:val="auto"/>
          <w:highlight w:val="none"/>
        </w:rPr>
      </w:pPr>
    </w:p>
    <w:p w14:paraId="5B4C299D">
      <w:pPr>
        <w:adjustRightInd w:val="0"/>
        <w:snapToGrid w:val="0"/>
        <w:spacing w:line="360" w:lineRule="auto"/>
        <w:ind w:firstLine="422" w:firstLineChars="200"/>
        <w:rPr>
          <w:rFonts w:ascii="宋体" w:hAnsi="宋体"/>
          <w:b/>
          <w:color w:val="auto"/>
          <w:szCs w:val="21"/>
          <w:highlight w:val="none"/>
        </w:rPr>
      </w:pPr>
      <w:r>
        <w:rPr>
          <w:rFonts w:hint="eastAsia" w:ascii="宋体" w:hAnsi="宋体"/>
          <w:b/>
          <w:color w:val="auto"/>
          <w:szCs w:val="21"/>
          <w:highlight w:val="none"/>
        </w:rPr>
        <w:t>十、采购项目联系人姓名和电话</w:t>
      </w:r>
    </w:p>
    <w:p w14:paraId="10B535BC">
      <w:pPr>
        <w:adjustRightInd w:val="0"/>
        <w:snapToGrid w:val="0"/>
        <w:spacing w:line="360" w:lineRule="auto"/>
        <w:ind w:firstLine="411" w:firstLineChars="196"/>
        <w:rPr>
          <w:rFonts w:ascii="宋体" w:hAnsi="宋体"/>
          <w:color w:val="auto"/>
          <w:szCs w:val="21"/>
          <w:highlight w:val="none"/>
        </w:rPr>
      </w:pPr>
      <w:r>
        <w:rPr>
          <w:rFonts w:hint="eastAsia" w:ascii="宋体" w:hAnsi="宋体"/>
          <w:color w:val="auto"/>
          <w:szCs w:val="21"/>
          <w:highlight w:val="none"/>
        </w:rPr>
        <w:t>1、联系人姓名：</w:t>
      </w:r>
      <w:r>
        <w:rPr>
          <w:rFonts w:hint="eastAsia" w:ascii="宋体" w:hAnsi="宋体"/>
          <w:color w:val="auto"/>
          <w:szCs w:val="21"/>
          <w:highlight w:val="none"/>
          <w:u w:val="none"/>
        </w:rPr>
        <w:t>石楠</w:t>
      </w:r>
      <w:r>
        <w:rPr>
          <w:rFonts w:hint="eastAsia" w:ascii="宋体" w:hAnsi="宋体"/>
          <w:color w:val="auto"/>
          <w:szCs w:val="21"/>
          <w:highlight w:val="none"/>
        </w:rPr>
        <w:t xml:space="preserve"> </w:t>
      </w:r>
    </w:p>
    <w:p w14:paraId="58A09B4F">
      <w:pPr>
        <w:adjustRightInd w:val="0"/>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2、电话：</w:t>
      </w:r>
      <w:r>
        <w:rPr>
          <w:rStyle w:val="32"/>
          <w:rFonts w:hint="eastAsia" w:ascii="宋体" w:hAnsi="宋体"/>
          <w:bCs/>
          <w:color w:val="auto"/>
          <w:szCs w:val="21"/>
          <w:highlight w:val="none"/>
          <w:lang w:val="en-US" w:eastAsia="zh-CN"/>
        </w:rPr>
        <w:t>0731-28563058</w:t>
      </w:r>
    </w:p>
    <w:p w14:paraId="18228187">
      <w:pPr>
        <w:adjustRightInd w:val="0"/>
        <w:snapToGrid w:val="0"/>
        <w:spacing w:line="360" w:lineRule="auto"/>
        <w:ind w:firstLine="413" w:firstLineChars="196"/>
        <w:rPr>
          <w:rFonts w:ascii="宋体" w:hAnsi="宋体"/>
          <w:b/>
          <w:bCs/>
          <w:color w:val="auto"/>
          <w:szCs w:val="21"/>
          <w:highlight w:val="none"/>
        </w:rPr>
      </w:pPr>
      <w:r>
        <w:rPr>
          <w:rFonts w:hint="eastAsia" w:ascii="宋体" w:hAnsi="宋体"/>
          <w:b/>
          <w:bCs/>
          <w:color w:val="auto"/>
          <w:szCs w:val="21"/>
          <w:highlight w:val="none"/>
        </w:rPr>
        <w:t>十一、采购人、采购代理机构的名称、地址和联系方法</w:t>
      </w:r>
    </w:p>
    <w:p w14:paraId="2BF01F63">
      <w:pPr>
        <w:adjustRightInd w:val="0"/>
        <w:snapToGrid w:val="0"/>
        <w:spacing w:line="360" w:lineRule="auto"/>
        <w:ind w:firstLine="413" w:firstLineChars="196"/>
        <w:rPr>
          <w:rFonts w:ascii="宋体" w:hAnsi="宋体"/>
          <w:b/>
          <w:bCs/>
          <w:color w:val="auto"/>
          <w:szCs w:val="21"/>
          <w:highlight w:val="none"/>
        </w:rPr>
      </w:pPr>
      <w:r>
        <w:rPr>
          <w:rFonts w:hint="eastAsia" w:ascii="宋体" w:hAnsi="宋体"/>
          <w:b/>
          <w:bCs/>
          <w:color w:val="auto"/>
          <w:szCs w:val="21"/>
          <w:highlight w:val="none"/>
        </w:rPr>
        <w:t>1</w:t>
      </w:r>
      <w:r>
        <w:rPr>
          <w:rFonts w:hint="eastAsia" w:ascii="宋体" w:hAnsi="宋体"/>
          <w:color w:val="auto"/>
          <w:szCs w:val="21"/>
          <w:highlight w:val="none"/>
        </w:rPr>
        <w:t>、</w:t>
      </w:r>
      <w:r>
        <w:rPr>
          <w:rFonts w:hint="eastAsia" w:ascii="宋体" w:hAnsi="宋体"/>
          <w:b/>
          <w:bCs/>
          <w:color w:val="auto"/>
          <w:szCs w:val="21"/>
          <w:highlight w:val="none"/>
        </w:rPr>
        <w:t>采购人信息</w:t>
      </w:r>
    </w:p>
    <w:p w14:paraId="5B71EB0D">
      <w:pPr>
        <w:snapToGrid w:val="0"/>
        <w:spacing w:line="360" w:lineRule="auto"/>
        <w:ind w:firstLine="411" w:firstLineChars="196"/>
        <w:textAlignment w:val="baseline"/>
        <w:rPr>
          <w:rStyle w:val="32"/>
          <w:rFonts w:ascii="宋体" w:hAnsi="宋体"/>
          <w:color w:val="auto"/>
          <w:szCs w:val="21"/>
          <w:highlight w:val="none"/>
        </w:rPr>
      </w:pPr>
      <w:r>
        <w:rPr>
          <w:rStyle w:val="32"/>
          <w:rFonts w:ascii="宋体" w:hAnsi="宋体"/>
          <w:color w:val="auto"/>
          <w:szCs w:val="21"/>
          <w:highlight w:val="none"/>
        </w:rPr>
        <w:t>（1）名 称：</w:t>
      </w:r>
      <w:r>
        <w:rPr>
          <w:rStyle w:val="32"/>
          <w:rFonts w:hint="eastAsia" w:ascii="宋体" w:hAnsi="宋体"/>
          <w:color w:val="auto"/>
          <w:szCs w:val="21"/>
          <w:highlight w:val="none"/>
        </w:rPr>
        <w:t>株洲市中心医院</w:t>
      </w:r>
      <w:r>
        <w:rPr>
          <w:rStyle w:val="32"/>
          <w:rFonts w:ascii="宋体" w:hAnsi="宋体"/>
          <w:color w:val="auto"/>
          <w:szCs w:val="21"/>
          <w:highlight w:val="none"/>
        </w:rPr>
        <w:t xml:space="preserve">                             </w:t>
      </w:r>
    </w:p>
    <w:p w14:paraId="44916F2B">
      <w:pPr>
        <w:snapToGrid w:val="0"/>
        <w:spacing w:line="360" w:lineRule="auto"/>
        <w:ind w:firstLine="411" w:firstLineChars="196"/>
        <w:textAlignment w:val="baseline"/>
        <w:rPr>
          <w:rStyle w:val="32"/>
          <w:rFonts w:ascii="宋体" w:hAnsi="宋体"/>
          <w:color w:val="auto"/>
          <w:szCs w:val="21"/>
          <w:highlight w:val="none"/>
        </w:rPr>
      </w:pPr>
      <w:r>
        <w:rPr>
          <w:rStyle w:val="32"/>
          <w:rFonts w:ascii="宋体" w:hAnsi="宋体"/>
          <w:color w:val="auto"/>
          <w:szCs w:val="21"/>
          <w:highlight w:val="none"/>
        </w:rPr>
        <w:t>（2）地  址：</w:t>
      </w:r>
      <w:r>
        <w:rPr>
          <w:rStyle w:val="32"/>
          <w:rFonts w:hint="eastAsia" w:ascii="宋体" w:hAnsi="宋体"/>
          <w:color w:val="auto"/>
          <w:szCs w:val="21"/>
          <w:highlight w:val="none"/>
        </w:rPr>
        <w:t>株洲市天元区长江南路116号</w:t>
      </w:r>
    </w:p>
    <w:p w14:paraId="19F6537A">
      <w:pPr>
        <w:snapToGrid w:val="0"/>
        <w:spacing w:line="360" w:lineRule="auto"/>
        <w:ind w:firstLine="420" w:firstLineChars="200"/>
        <w:textAlignment w:val="baseline"/>
        <w:rPr>
          <w:rStyle w:val="32"/>
          <w:rFonts w:hint="eastAsia" w:ascii="宋体" w:hAnsi="宋体" w:eastAsia="宋体"/>
          <w:bCs/>
          <w:color w:val="auto"/>
          <w:szCs w:val="21"/>
          <w:highlight w:val="none"/>
          <w:lang w:eastAsia="zh-CN"/>
        </w:rPr>
      </w:pPr>
      <w:r>
        <w:rPr>
          <w:rStyle w:val="32"/>
          <w:rFonts w:ascii="宋体" w:hAnsi="宋体"/>
          <w:color w:val="auto"/>
          <w:szCs w:val="21"/>
          <w:highlight w:val="none"/>
        </w:rPr>
        <w:t>（3）</w:t>
      </w:r>
      <w:r>
        <w:rPr>
          <w:rStyle w:val="32"/>
          <w:rFonts w:ascii="宋体" w:hAnsi="宋体"/>
          <w:bCs/>
          <w:color w:val="auto"/>
          <w:szCs w:val="21"/>
          <w:highlight w:val="none"/>
        </w:rPr>
        <w:t>联系人：</w:t>
      </w:r>
      <w:r>
        <w:rPr>
          <w:rFonts w:hint="eastAsia" w:ascii="宋体" w:hAnsi="宋体" w:cs="宋体"/>
          <w:color w:val="auto"/>
          <w:kern w:val="0"/>
          <w:szCs w:val="21"/>
          <w:highlight w:val="none"/>
          <w:lang w:eastAsia="zh-CN"/>
        </w:rPr>
        <w:t>石楠</w:t>
      </w:r>
    </w:p>
    <w:p w14:paraId="3622C035">
      <w:pPr>
        <w:snapToGrid w:val="0"/>
        <w:spacing w:line="360" w:lineRule="auto"/>
        <w:ind w:firstLine="420" w:firstLineChars="200"/>
        <w:textAlignment w:val="baseline"/>
        <w:rPr>
          <w:rStyle w:val="32"/>
          <w:rFonts w:hint="default" w:ascii="宋体" w:hAnsi="宋体"/>
          <w:color w:val="auto"/>
          <w:szCs w:val="21"/>
          <w:highlight w:val="none"/>
          <w:lang w:val="en-US"/>
        </w:rPr>
      </w:pPr>
      <w:r>
        <w:rPr>
          <w:rStyle w:val="32"/>
          <w:rFonts w:ascii="宋体" w:hAnsi="宋体"/>
          <w:color w:val="auto"/>
          <w:szCs w:val="21"/>
          <w:highlight w:val="none"/>
        </w:rPr>
        <w:t>（4）</w:t>
      </w:r>
      <w:r>
        <w:rPr>
          <w:rStyle w:val="32"/>
          <w:rFonts w:ascii="宋体" w:hAnsi="宋体"/>
          <w:bCs/>
          <w:color w:val="auto"/>
          <w:szCs w:val="21"/>
          <w:highlight w:val="none"/>
        </w:rPr>
        <w:t>电  话：</w:t>
      </w:r>
      <w:r>
        <w:rPr>
          <w:rStyle w:val="32"/>
          <w:rFonts w:hint="eastAsia" w:ascii="宋体" w:hAnsi="宋体"/>
          <w:bCs/>
          <w:color w:val="auto"/>
          <w:szCs w:val="21"/>
          <w:highlight w:val="none"/>
          <w:lang w:val="en-US" w:eastAsia="zh-CN"/>
        </w:rPr>
        <w:t>0731-28563058</w:t>
      </w:r>
    </w:p>
    <w:p w14:paraId="7ED73D6D">
      <w:pPr>
        <w:snapToGrid w:val="0"/>
        <w:spacing w:line="360" w:lineRule="auto"/>
        <w:ind w:firstLine="411" w:firstLineChars="196"/>
        <w:textAlignment w:val="baseline"/>
        <w:rPr>
          <w:rStyle w:val="32"/>
          <w:rFonts w:ascii="宋体" w:hAnsi="宋体"/>
          <w:color w:val="auto"/>
          <w:szCs w:val="21"/>
          <w:highlight w:val="none"/>
        </w:rPr>
      </w:pPr>
      <w:r>
        <w:rPr>
          <w:rStyle w:val="32"/>
          <w:rFonts w:ascii="宋体" w:hAnsi="宋体"/>
          <w:color w:val="auto"/>
          <w:szCs w:val="21"/>
          <w:highlight w:val="none"/>
        </w:rPr>
        <w:t>（5）邮  编：412000</w:t>
      </w:r>
    </w:p>
    <w:p w14:paraId="7E912EFE">
      <w:pPr>
        <w:adjustRightInd w:val="0"/>
        <w:snapToGrid w:val="0"/>
        <w:spacing w:line="360" w:lineRule="auto"/>
        <w:ind w:firstLine="420" w:firstLineChars="200"/>
        <w:rPr>
          <w:rFonts w:ascii="宋体" w:hAnsi="宋体" w:cs="宋体"/>
          <w:color w:val="auto"/>
          <w:szCs w:val="21"/>
          <w:highlight w:val="none"/>
          <w:u w:val="single"/>
        </w:rPr>
      </w:pPr>
      <w:r>
        <w:rPr>
          <w:rStyle w:val="32"/>
          <w:rFonts w:ascii="宋体" w:hAnsi="宋体"/>
          <w:color w:val="auto"/>
          <w:szCs w:val="21"/>
          <w:highlight w:val="none"/>
        </w:rPr>
        <w:t>（6）电子邮箱：/</w:t>
      </w:r>
    </w:p>
    <w:p w14:paraId="188E2667">
      <w:pPr>
        <w:adjustRightInd w:val="0"/>
        <w:snapToGrid w:val="0"/>
        <w:spacing w:line="360" w:lineRule="auto"/>
        <w:ind w:firstLine="413" w:firstLineChars="196"/>
        <w:rPr>
          <w:rFonts w:ascii="宋体" w:hAnsi="宋体"/>
          <w:b/>
          <w:bCs/>
          <w:color w:val="auto"/>
          <w:szCs w:val="21"/>
          <w:highlight w:val="none"/>
        </w:rPr>
      </w:pPr>
      <w:r>
        <w:rPr>
          <w:rFonts w:hint="eastAsia" w:ascii="宋体" w:hAnsi="宋体"/>
          <w:b/>
          <w:bCs/>
          <w:color w:val="auto"/>
          <w:szCs w:val="21"/>
          <w:highlight w:val="none"/>
        </w:rPr>
        <w:t>2</w:t>
      </w:r>
      <w:r>
        <w:rPr>
          <w:rFonts w:hint="eastAsia" w:ascii="宋体" w:hAnsi="宋体"/>
          <w:color w:val="auto"/>
          <w:szCs w:val="21"/>
          <w:highlight w:val="none"/>
        </w:rPr>
        <w:t>、</w:t>
      </w:r>
      <w:r>
        <w:rPr>
          <w:rFonts w:hint="eastAsia" w:ascii="宋体" w:hAnsi="宋体"/>
          <w:b/>
          <w:bCs/>
          <w:color w:val="auto"/>
          <w:szCs w:val="21"/>
          <w:highlight w:val="none"/>
        </w:rPr>
        <w:t>采购代理机构信息</w:t>
      </w:r>
    </w:p>
    <w:p w14:paraId="59AC5A99">
      <w:pPr>
        <w:snapToGrid w:val="0"/>
        <w:spacing w:line="360" w:lineRule="auto"/>
        <w:ind w:firstLine="411" w:firstLineChars="196"/>
        <w:textAlignment w:val="baseline"/>
        <w:rPr>
          <w:rStyle w:val="32"/>
          <w:rFonts w:ascii="宋体" w:hAnsi="宋体"/>
          <w:color w:val="auto"/>
          <w:szCs w:val="21"/>
          <w:highlight w:val="none"/>
        </w:rPr>
      </w:pPr>
      <w:r>
        <w:rPr>
          <w:rStyle w:val="32"/>
          <w:rFonts w:ascii="宋体" w:hAnsi="宋体"/>
          <w:color w:val="auto"/>
          <w:szCs w:val="21"/>
          <w:highlight w:val="none"/>
        </w:rPr>
        <w:t>（1）</w:t>
      </w:r>
      <w:r>
        <w:rPr>
          <w:rStyle w:val="32"/>
          <w:rFonts w:ascii="宋体" w:hAnsi="宋体"/>
          <w:bCs/>
          <w:color w:val="auto"/>
          <w:szCs w:val="21"/>
          <w:highlight w:val="none"/>
        </w:rPr>
        <w:t>名  称：</w:t>
      </w:r>
      <w:r>
        <w:rPr>
          <w:rStyle w:val="32"/>
          <w:rFonts w:hint="eastAsia" w:ascii="宋体" w:hAnsi="宋体"/>
          <w:color w:val="auto"/>
          <w:szCs w:val="21"/>
          <w:highlight w:val="none"/>
        </w:rPr>
        <w:t>湖南广汇项目管理有限公司</w:t>
      </w:r>
    </w:p>
    <w:p w14:paraId="381BC94D">
      <w:pPr>
        <w:snapToGrid w:val="0"/>
        <w:spacing w:line="360" w:lineRule="auto"/>
        <w:ind w:firstLine="420" w:firstLineChars="200"/>
        <w:textAlignment w:val="baseline"/>
        <w:rPr>
          <w:rStyle w:val="32"/>
          <w:rFonts w:ascii="宋体" w:hAnsi="宋体"/>
          <w:color w:val="auto"/>
          <w:szCs w:val="21"/>
          <w:highlight w:val="none"/>
        </w:rPr>
      </w:pPr>
      <w:r>
        <w:rPr>
          <w:rStyle w:val="32"/>
          <w:rFonts w:ascii="宋体" w:hAnsi="宋体"/>
          <w:color w:val="auto"/>
          <w:szCs w:val="21"/>
          <w:highlight w:val="none"/>
        </w:rPr>
        <w:t>（2）地  址：</w:t>
      </w:r>
      <w:r>
        <w:rPr>
          <w:rStyle w:val="32"/>
          <w:rFonts w:hint="eastAsia" w:ascii="宋体" w:hAnsi="宋体"/>
          <w:color w:val="auto"/>
          <w:szCs w:val="21"/>
          <w:highlight w:val="none"/>
        </w:rPr>
        <w:t>株洲市天元区株洲大道335号南方航空工贸园综合楼三楼</w:t>
      </w:r>
    </w:p>
    <w:p w14:paraId="4875A2D2">
      <w:pPr>
        <w:snapToGrid w:val="0"/>
        <w:spacing w:line="360" w:lineRule="auto"/>
        <w:ind w:firstLine="420" w:firstLineChars="200"/>
        <w:textAlignment w:val="baseline"/>
        <w:rPr>
          <w:rStyle w:val="32"/>
          <w:rFonts w:ascii="宋体" w:hAnsi="宋体"/>
          <w:color w:val="auto"/>
          <w:szCs w:val="21"/>
          <w:highlight w:val="none"/>
        </w:rPr>
      </w:pPr>
      <w:r>
        <w:rPr>
          <w:rStyle w:val="32"/>
          <w:rFonts w:ascii="宋体" w:hAnsi="宋体"/>
          <w:color w:val="auto"/>
          <w:szCs w:val="21"/>
          <w:highlight w:val="none"/>
        </w:rPr>
        <w:t>（3）联系人：</w:t>
      </w:r>
      <w:r>
        <w:rPr>
          <w:rStyle w:val="32"/>
          <w:rFonts w:hint="eastAsia" w:ascii="宋体" w:hAnsi="宋体"/>
          <w:color w:val="auto"/>
          <w:szCs w:val="21"/>
          <w:highlight w:val="none"/>
        </w:rPr>
        <w:t>李锋、刘宁、王丹、黎中丽</w:t>
      </w:r>
      <w:r>
        <w:rPr>
          <w:rStyle w:val="32"/>
          <w:rFonts w:ascii="宋体" w:hAnsi="宋体"/>
          <w:color w:val="auto"/>
          <w:szCs w:val="21"/>
          <w:highlight w:val="none"/>
        </w:rPr>
        <w:t xml:space="preserve">  </w:t>
      </w:r>
    </w:p>
    <w:p w14:paraId="4DE99E2D">
      <w:pPr>
        <w:snapToGrid w:val="0"/>
        <w:spacing w:line="360" w:lineRule="auto"/>
        <w:ind w:firstLine="420" w:firstLineChars="200"/>
        <w:textAlignment w:val="baseline"/>
        <w:rPr>
          <w:rStyle w:val="32"/>
          <w:rFonts w:hint="default" w:ascii="宋体" w:hAnsi="宋体"/>
          <w:color w:val="auto"/>
          <w:szCs w:val="21"/>
          <w:highlight w:val="none"/>
          <w:lang w:val="en-US"/>
        </w:rPr>
      </w:pPr>
      <w:r>
        <w:rPr>
          <w:rStyle w:val="32"/>
          <w:rFonts w:ascii="宋体" w:hAnsi="宋体"/>
          <w:color w:val="auto"/>
          <w:szCs w:val="21"/>
          <w:highlight w:val="none"/>
        </w:rPr>
        <w:t>（4）电  话：</w:t>
      </w:r>
      <w:r>
        <w:rPr>
          <w:rFonts w:hint="eastAsia" w:ascii="宋体" w:hAnsi="宋体"/>
          <w:color w:val="auto"/>
          <w:szCs w:val="21"/>
          <w:highlight w:val="none"/>
          <w:lang w:val="en-US" w:eastAsia="zh-CN"/>
        </w:rPr>
        <w:t>0731-22030089</w:t>
      </w:r>
    </w:p>
    <w:p w14:paraId="604F2764">
      <w:pPr>
        <w:snapToGrid w:val="0"/>
        <w:spacing w:line="360" w:lineRule="auto"/>
        <w:ind w:firstLine="420" w:firstLineChars="200"/>
        <w:textAlignment w:val="baseline"/>
        <w:rPr>
          <w:rStyle w:val="32"/>
          <w:rFonts w:ascii="宋体" w:hAnsi="宋体"/>
          <w:color w:val="auto"/>
          <w:szCs w:val="21"/>
          <w:highlight w:val="none"/>
        </w:rPr>
      </w:pPr>
      <w:r>
        <w:rPr>
          <w:rStyle w:val="32"/>
          <w:rFonts w:ascii="宋体" w:hAnsi="宋体"/>
          <w:color w:val="auto"/>
          <w:szCs w:val="21"/>
          <w:highlight w:val="none"/>
        </w:rPr>
        <w:t xml:space="preserve">（5）邮  编：412000 </w:t>
      </w:r>
    </w:p>
    <w:p w14:paraId="44811880">
      <w:pPr>
        <w:snapToGrid w:val="0"/>
        <w:spacing w:line="360" w:lineRule="auto"/>
        <w:ind w:firstLine="420" w:firstLineChars="200"/>
        <w:textAlignment w:val="baseline"/>
        <w:rPr>
          <w:rStyle w:val="32"/>
          <w:color w:val="auto"/>
          <w:szCs w:val="21"/>
          <w:highlight w:val="none"/>
        </w:rPr>
      </w:pPr>
      <w:r>
        <w:rPr>
          <w:rStyle w:val="32"/>
          <w:rFonts w:ascii="宋体" w:hAnsi="宋体"/>
          <w:color w:val="auto"/>
          <w:szCs w:val="21"/>
          <w:highlight w:val="none"/>
        </w:rPr>
        <w:t>（6）</w:t>
      </w:r>
      <w:r>
        <w:rPr>
          <w:rStyle w:val="32"/>
          <w:color w:val="auto"/>
          <w:szCs w:val="21"/>
          <w:highlight w:val="none"/>
        </w:rPr>
        <w:t>电子邮箱：</w:t>
      </w:r>
      <w:r>
        <w:rPr>
          <w:rFonts w:hint="eastAsia" w:ascii="宋体" w:hAnsi="宋体" w:cs="Times New Roman"/>
          <w:color w:val="auto"/>
          <w:szCs w:val="21"/>
          <w:highlight w:val="none"/>
          <w:u w:val="none"/>
          <w:lang w:val="en-US" w:eastAsia="zh-CN"/>
        </w:rPr>
        <w:t>513106146@qq.com</w:t>
      </w:r>
    </w:p>
    <w:p w14:paraId="71F5CE31">
      <w:pPr>
        <w:pStyle w:val="30"/>
        <w:spacing w:line="360" w:lineRule="auto"/>
        <w:ind w:firstLine="422"/>
        <w:rPr>
          <w:rFonts w:ascii="宋体" w:hAnsi="宋体" w:cs="微软雅黑"/>
          <w:b/>
          <w:bCs/>
          <w:color w:val="auto"/>
          <w:kern w:val="0"/>
          <w:position w:val="-1"/>
          <w:highlight w:val="none"/>
        </w:rPr>
      </w:pPr>
      <w:r>
        <w:rPr>
          <w:rFonts w:hint="eastAsia" w:ascii="宋体" w:hAnsi="宋体" w:cs="微软雅黑"/>
          <w:b/>
          <w:bCs/>
          <w:color w:val="auto"/>
          <w:kern w:val="0"/>
          <w:position w:val="-1"/>
          <w:highlight w:val="none"/>
        </w:rPr>
        <w:t>3、电子交易平台服务机构信息</w:t>
      </w:r>
    </w:p>
    <w:p w14:paraId="46B1F57C">
      <w:pPr>
        <w:adjustRightInd w:val="0"/>
        <w:snapToGrid w:val="0"/>
        <w:spacing w:line="360" w:lineRule="auto"/>
        <w:ind w:firstLine="411" w:firstLineChars="196"/>
        <w:rPr>
          <w:rFonts w:hint="eastAsia" w:ascii="宋体" w:hAnsi="宋体" w:eastAsia="宋体"/>
          <w:color w:val="auto"/>
          <w:szCs w:val="21"/>
          <w:highlight w:val="none"/>
          <w:lang w:eastAsia="zh-CN"/>
        </w:rPr>
      </w:pPr>
      <w:r>
        <w:rPr>
          <w:rFonts w:hint="eastAsia" w:ascii="宋体" w:hAnsi="宋体"/>
          <w:color w:val="auto"/>
          <w:szCs w:val="21"/>
          <w:highlight w:val="none"/>
        </w:rPr>
        <w:t>（1）</w:t>
      </w:r>
      <w:r>
        <w:rPr>
          <w:rFonts w:hint="eastAsia" w:ascii="宋体" w:hAnsi="宋体"/>
          <w:bCs/>
          <w:color w:val="auto"/>
          <w:szCs w:val="21"/>
          <w:highlight w:val="none"/>
        </w:rPr>
        <w:t>名  称：</w:t>
      </w:r>
      <w:r>
        <w:rPr>
          <w:rFonts w:hint="eastAsia" w:ascii="宋体" w:hAnsi="宋体"/>
          <w:color w:val="auto"/>
          <w:szCs w:val="21"/>
          <w:highlight w:val="none"/>
          <w:lang w:eastAsia="zh-CN"/>
        </w:rPr>
        <w:t>湖南省公共资源交易服务平台株洲分平台</w:t>
      </w:r>
    </w:p>
    <w:p w14:paraId="595FAC92">
      <w:pPr>
        <w:adjustRightInd w:val="0"/>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（2）联系人：技术支持</w:t>
      </w:r>
    </w:p>
    <w:p w14:paraId="128E2E49">
      <w:pPr>
        <w:adjustRightInd w:val="0"/>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 xml:space="preserve">（3）电  话：4009280095 ；4009980000 ；0731-28101310 </w:t>
      </w:r>
    </w:p>
    <w:p w14:paraId="109A9C5A">
      <w:pPr>
        <w:adjustRightInd w:val="0"/>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 xml:space="preserve">（4）电子邮箱：3562613576@qq.com、2496840774@qq.com </w:t>
      </w:r>
    </w:p>
    <w:p w14:paraId="02F2A1B8">
      <w:pPr>
        <w:pStyle w:val="30"/>
        <w:rPr>
          <w:rFonts w:hint="eastAsia" w:ascii="宋体" w:hAnsi="宋体"/>
          <w:color w:val="auto"/>
          <w:szCs w:val="21"/>
          <w:highlight w:val="none"/>
          <w:u w:val="single"/>
        </w:rPr>
      </w:pPr>
    </w:p>
    <w:p w14:paraId="19288EAD">
      <w:pPr>
        <w:tabs>
          <w:tab w:val="left" w:pos="5380"/>
          <w:tab w:val="left" w:pos="6520"/>
          <w:tab w:val="left" w:pos="7680"/>
        </w:tabs>
        <w:autoSpaceDE w:val="0"/>
        <w:autoSpaceDN w:val="0"/>
        <w:adjustRightInd w:val="0"/>
        <w:snapToGrid w:val="0"/>
        <w:spacing w:before="156" w:beforeLines="50" w:line="240" w:lineRule="auto"/>
        <w:ind w:left="4435" w:right="-20"/>
        <w:jc w:val="left"/>
        <w:rPr>
          <w:rFonts w:ascii="宋体" w:hAnsi="宋体" w:eastAsia="宋体" w:cs="微软雅黑"/>
          <w:strike/>
          <w:dstrike w:val="0"/>
          <w:color w:val="auto"/>
          <w:kern w:val="0"/>
          <w:sz w:val="10"/>
          <w:szCs w:val="10"/>
          <w:highlight w:val="none"/>
        </w:rPr>
      </w:pPr>
    </w:p>
    <w:p w14:paraId="436A0682">
      <w:pPr>
        <w:pStyle w:val="13"/>
        <w:adjustRightInd w:val="0"/>
        <w:snapToGrid w:val="0"/>
        <w:spacing w:line="360" w:lineRule="auto"/>
        <w:jc w:val="center"/>
        <w:outlineLvl w:val="0"/>
        <w:rPr>
          <w:rFonts w:hint="eastAsia" w:ascii="黑体" w:hAnsi="华文中宋" w:eastAsia="黑体"/>
          <w:b/>
          <w:color w:val="auto"/>
          <w:sz w:val="32"/>
          <w:szCs w:val="32"/>
          <w:highlight w:val="none"/>
        </w:rPr>
        <w:sectPr>
          <w:footerReference r:id="rId6" w:type="default"/>
          <w:pgSz w:w="11905" w:h="16839"/>
          <w:pgMar w:top="1238" w:right="1180" w:bottom="1150" w:left="1219" w:header="917" w:footer="988" w:gutter="0"/>
          <w:pgBorders>
            <w:top w:val="none" w:sz="0" w:space="0"/>
            <w:left w:val="none" w:sz="0" w:space="0"/>
            <w:bottom w:val="none" w:sz="0" w:space="0"/>
            <w:right w:val="none" w:sz="0" w:space="0"/>
          </w:pgBorders>
          <w:pgNumType w:fmt="decimal"/>
          <w:cols w:space="720" w:num="1"/>
        </w:sectPr>
      </w:pPr>
    </w:p>
    <w:p w14:paraId="1B48100E">
      <w:pPr>
        <w:pStyle w:val="13"/>
        <w:adjustRightInd w:val="0"/>
        <w:snapToGrid w:val="0"/>
        <w:spacing w:line="360" w:lineRule="auto"/>
        <w:jc w:val="center"/>
        <w:outlineLvl w:val="0"/>
        <w:rPr>
          <w:rFonts w:ascii="黑体" w:hAnsi="华文中宋" w:eastAsia="黑体"/>
          <w:b/>
          <w:color w:val="auto"/>
          <w:spacing w:val="100"/>
          <w:sz w:val="32"/>
          <w:szCs w:val="32"/>
          <w:highlight w:val="none"/>
        </w:rPr>
      </w:pPr>
      <w:bookmarkStart w:id="9" w:name="_Toc15030"/>
      <w:r>
        <w:rPr>
          <w:rFonts w:hint="eastAsia" w:ascii="黑体" w:hAnsi="华文中宋" w:eastAsia="黑体"/>
          <w:b/>
          <w:color w:val="auto"/>
          <w:sz w:val="32"/>
          <w:szCs w:val="32"/>
          <w:highlight w:val="none"/>
        </w:rPr>
        <w:t>第二章 投标须知</w:t>
      </w:r>
      <w:bookmarkEnd w:id="0"/>
      <w:bookmarkEnd w:id="1"/>
      <w:bookmarkEnd w:id="2"/>
      <w:bookmarkEnd w:id="3"/>
      <w:bookmarkEnd w:id="4"/>
      <w:bookmarkEnd w:id="5"/>
      <w:bookmarkEnd w:id="6"/>
      <w:bookmarkEnd w:id="7"/>
      <w:bookmarkEnd w:id="9"/>
    </w:p>
    <w:p w14:paraId="1570BC77">
      <w:pPr>
        <w:pStyle w:val="3"/>
        <w:adjustRightInd w:val="0"/>
        <w:snapToGrid w:val="0"/>
        <w:jc w:val="center"/>
        <w:rPr>
          <w:rFonts w:ascii="黑体" w:hAnsi="华文中宋" w:eastAsia="黑体"/>
          <w:color w:val="auto"/>
          <w:spacing w:val="100"/>
          <w:sz w:val="28"/>
          <w:szCs w:val="28"/>
          <w:highlight w:val="none"/>
        </w:rPr>
      </w:pPr>
      <w:bookmarkStart w:id="10" w:name="_Toc14562"/>
      <w:r>
        <w:rPr>
          <w:rFonts w:hint="eastAsia" w:ascii="黑体" w:hAnsi="华文中宋" w:eastAsia="黑体"/>
          <w:color w:val="auto"/>
          <w:sz w:val="28"/>
          <w:szCs w:val="28"/>
          <w:highlight w:val="none"/>
        </w:rPr>
        <w:t>第一节 投标须知前附表</w:t>
      </w:r>
      <w:bookmarkEnd w:id="10"/>
    </w:p>
    <w:p w14:paraId="6EFC60BB">
      <w:pPr>
        <w:widowControl/>
        <w:kinsoku w:val="0"/>
        <w:autoSpaceDE w:val="0"/>
        <w:autoSpaceDN w:val="0"/>
        <w:adjustRightInd w:val="0"/>
        <w:snapToGrid w:val="0"/>
        <w:spacing w:before="206" w:line="220" w:lineRule="auto"/>
        <w:ind w:right="407"/>
        <w:jc w:val="right"/>
        <w:textAlignment w:val="baseline"/>
        <w:rPr>
          <w:rFonts w:ascii="宋体" w:hAnsi="宋体" w:eastAsia="宋体" w:cs="宋体"/>
          <w:snapToGrid w:val="0"/>
          <w:color w:val="auto"/>
          <w:spacing w:val="-2"/>
          <w:kern w:val="0"/>
          <w:sz w:val="21"/>
          <w:szCs w:val="21"/>
          <w:highlight w:val="none"/>
        </w:rPr>
      </w:pPr>
      <w:r>
        <w:rPr>
          <w:rFonts w:hint="eastAsia" w:ascii="宋体" w:hAnsi="宋体" w:eastAsia="宋体" w:cs="宋体"/>
          <w:snapToGrid w:val="0"/>
          <w:color w:val="auto"/>
          <w:spacing w:val="-2"/>
          <w:kern w:val="0"/>
          <w:sz w:val="21"/>
          <w:szCs w:val="21"/>
          <w:highlight w:val="none"/>
        </w:rPr>
        <w:t>注：本项目启用的条款在“编列内容规定”栏内以“</w:t>
      </w:r>
      <w:r>
        <w:rPr>
          <w:rFonts w:ascii="宋体" w:hAnsi="宋体" w:eastAsia="宋体" w:cs="宋体"/>
          <w:color w:val="auto"/>
          <w:spacing w:val="-1"/>
          <w:sz w:val="21"/>
          <w:szCs w:val="21"/>
          <w:highlight w:val="none"/>
        </w:rPr>
        <w:t>■</w:t>
      </w:r>
      <w:r>
        <w:rPr>
          <w:rFonts w:hint="eastAsia" w:ascii="宋体" w:hAnsi="宋体" w:eastAsia="宋体" w:cs="宋体"/>
          <w:snapToGrid w:val="0"/>
          <w:color w:val="auto"/>
          <w:spacing w:val="-2"/>
          <w:kern w:val="0"/>
          <w:sz w:val="21"/>
          <w:szCs w:val="21"/>
          <w:highlight w:val="none"/>
        </w:rPr>
        <w:t>”标注。</w:t>
      </w:r>
    </w:p>
    <w:tbl>
      <w:tblPr>
        <w:tblStyle w:val="25"/>
        <w:tblW w:w="0" w:type="auto"/>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66"/>
        <w:gridCol w:w="2065"/>
        <w:gridCol w:w="3"/>
        <w:gridCol w:w="5845"/>
      </w:tblGrid>
      <w:tr w14:paraId="541B96B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blHeader/>
        </w:trPr>
        <w:tc>
          <w:tcPr>
            <w:tcW w:w="1666" w:type="dxa"/>
            <w:noWrap w:val="0"/>
            <w:vAlign w:val="center"/>
          </w:tcPr>
          <w:p w14:paraId="53A8E39A">
            <w:pPr>
              <w:adjustRightInd w:val="0"/>
              <w:snapToGrid w:val="0"/>
              <w:spacing w:line="360" w:lineRule="auto"/>
              <w:jc w:val="center"/>
              <w:rPr>
                <w:rFonts w:ascii="宋体" w:hAnsi="宋体" w:eastAsia="宋体"/>
                <w:b/>
                <w:color w:val="auto"/>
                <w:szCs w:val="21"/>
                <w:highlight w:val="none"/>
              </w:rPr>
            </w:pPr>
            <w:r>
              <w:rPr>
                <w:rFonts w:hint="eastAsia" w:ascii="宋体" w:hAnsi="宋体" w:eastAsia="宋体"/>
                <w:b/>
                <w:color w:val="auto"/>
                <w:szCs w:val="21"/>
                <w:highlight w:val="none"/>
              </w:rPr>
              <w:t>条款号</w:t>
            </w:r>
          </w:p>
        </w:tc>
        <w:tc>
          <w:tcPr>
            <w:tcW w:w="2068" w:type="dxa"/>
            <w:gridSpan w:val="2"/>
            <w:noWrap w:val="0"/>
            <w:vAlign w:val="center"/>
          </w:tcPr>
          <w:p w14:paraId="571EE814">
            <w:pPr>
              <w:adjustRightInd w:val="0"/>
              <w:snapToGrid w:val="0"/>
              <w:spacing w:line="360" w:lineRule="auto"/>
              <w:jc w:val="center"/>
              <w:rPr>
                <w:rFonts w:ascii="宋体" w:hAnsi="宋体" w:eastAsia="宋体"/>
                <w:b/>
                <w:color w:val="auto"/>
                <w:szCs w:val="21"/>
                <w:highlight w:val="none"/>
              </w:rPr>
            </w:pPr>
            <w:r>
              <w:rPr>
                <w:rFonts w:hint="eastAsia" w:ascii="宋体" w:hAnsi="宋体" w:eastAsia="宋体"/>
                <w:b/>
                <w:color w:val="auto"/>
                <w:szCs w:val="21"/>
                <w:highlight w:val="none"/>
              </w:rPr>
              <w:t>条款名称</w:t>
            </w:r>
          </w:p>
        </w:tc>
        <w:tc>
          <w:tcPr>
            <w:tcW w:w="5845" w:type="dxa"/>
            <w:noWrap w:val="0"/>
            <w:vAlign w:val="center"/>
          </w:tcPr>
          <w:p w14:paraId="454B1F28">
            <w:pPr>
              <w:adjustRightInd w:val="0"/>
              <w:snapToGrid w:val="0"/>
              <w:spacing w:line="360" w:lineRule="auto"/>
              <w:jc w:val="center"/>
              <w:rPr>
                <w:rFonts w:ascii="宋体" w:hAnsi="宋体" w:eastAsia="宋体"/>
                <w:b/>
                <w:color w:val="auto"/>
                <w:szCs w:val="21"/>
                <w:highlight w:val="none"/>
              </w:rPr>
            </w:pPr>
            <w:r>
              <w:rPr>
                <w:rFonts w:hint="eastAsia" w:ascii="宋体" w:hAnsi="宋体" w:eastAsia="宋体"/>
                <w:b/>
                <w:color w:val="auto"/>
                <w:szCs w:val="21"/>
                <w:highlight w:val="none"/>
              </w:rPr>
              <w:t>编列内容规定</w:t>
            </w:r>
          </w:p>
        </w:tc>
      </w:tr>
      <w:tr w14:paraId="1ED2E38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0" w:hRule="atLeast"/>
        </w:trPr>
        <w:tc>
          <w:tcPr>
            <w:tcW w:w="9579" w:type="dxa"/>
            <w:gridSpan w:val="4"/>
            <w:noWrap w:val="0"/>
            <w:vAlign w:val="center"/>
          </w:tcPr>
          <w:p w14:paraId="0AA0EB23">
            <w:pPr>
              <w:adjustRightInd w:val="0"/>
              <w:snapToGrid w:val="0"/>
              <w:spacing w:line="360" w:lineRule="auto"/>
              <w:rPr>
                <w:rFonts w:ascii="宋体" w:hAnsi="宋体" w:eastAsia="宋体"/>
                <w:color w:val="auto"/>
                <w:szCs w:val="21"/>
                <w:highlight w:val="none"/>
              </w:rPr>
            </w:pPr>
            <w:r>
              <w:rPr>
                <w:rFonts w:hint="eastAsia" w:ascii="宋体" w:hAnsi="宋体" w:eastAsia="宋体"/>
                <w:b/>
                <w:color w:val="auto"/>
                <w:szCs w:val="21"/>
                <w:highlight w:val="none"/>
              </w:rPr>
              <w:t>一、说明</w:t>
            </w:r>
          </w:p>
        </w:tc>
      </w:tr>
      <w:tr w14:paraId="51B7F6E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47" w:hRule="atLeast"/>
        </w:trPr>
        <w:tc>
          <w:tcPr>
            <w:tcW w:w="1666" w:type="dxa"/>
            <w:noWrap w:val="0"/>
            <w:vAlign w:val="center"/>
          </w:tcPr>
          <w:p w14:paraId="507B842D">
            <w:pPr>
              <w:adjustRightInd w:val="0"/>
              <w:snapToGrid w:val="0"/>
              <w:spacing w:line="360" w:lineRule="auto"/>
              <w:jc w:val="center"/>
              <w:rPr>
                <w:rFonts w:ascii="宋体" w:hAnsi="宋体" w:eastAsia="宋体"/>
                <w:color w:val="auto"/>
                <w:szCs w:val="21"/>
                <w:highlight w:val="none"/>
              </w:rPr>
            </w:pPr>
            <w:r>
              <w:rPr>
                <w:rFonts w:hint="eastAsia" w:ascii="宋体" w:hAnsi="宋体" w:eastAsia="宋体"/>
                <w:color w:val="auto"/>
                <w:szCs w:val="21"/>
                <w:highlight w:val="none"/>
              </w:rPr>
              <w:t>第1.1款</w:t>
            </w:r>
          </w:p>
        </w:tc>
        <w:tc>
          <w:tcPr>
            <w:tcW w:w="2068" w:type="dxa"/>
            <w:gridSpan w:val="2"/>
            <w:noWrap w:val="0"/>
            <w:vAlign w:val="center"/>
          </w:tcPr>
          <w:p w14:paraId="0461CC84">
            <w:pPr>
              <w:adjustRightInd w:val="0"/>
              <w:snapToGrid w:val="0"/>
              <w:spacing w:line="360" w:lineRule="auto"/>
              <w:rPr>
                <w:rFonts w:hAnsi="宋体"/>
                <w:color w:val="auto"/>
                <w:szCs w:val="21"/>
                <w:highlight w:val="none"/>
              </w:rPr>
            </w:pPr>
            <w:r>
              <w:rPr>
                <w:rFonts w:hint="eastAsia" w:hAnsi="宋体"/>
                <w:color w:val="auto"/>
                <w:szCs w:val="21"/>
                <w:highlight w:val="none"/>
              </w:rPr>
              <w:t>采购项目</w:t>
            </w:r>
          </w:p>
        </w:tc>
        <w:tc>
          <w:tcPr>
            <w:tcW w:w="5845" w:type="dxa"/>
            <w:noWrap w:val="0"/>
            <w:vAlign w:val="center"/>
          </w:tcPr>
          <w:p w14:paraId="18DB0006">
            <w:pPr>
              <w:adjustRightInd w:val="0"/>
              <w:snapToGrid w:val="0"/>
              <w:spacing w:line="420" w:lineRule="exact"/>
              <w:rPr>
                <w:rFonts w:hint="eastAsia" w:hAnsi="宋体" w:eastAsia="宋体"/>
                <w:color w:val="auto"/>
                <w:szCs w:val="21"/>
                <w:highlight w:val="none"/>
                <w:lang w:eastAsia="zh-CN"/>
              </w:rPr>
            </w:pPr>
            <w:r>
              <w:rPr>
                <w:rFonts w:hint="eastAsia" w:ascii="宋体" w:hAnsi="宋体"/>
                <w:color w:val="auto"/>
                <w:szCs w:val="21"/>
                <w:highlight w:val="none"/>
                <w:u w:val="none"/>
                <w:lang w:val="en-US" w:eastAsia="zh-CN"/>
              </w:rPr>
              <w:t>株洲市中心医院超长期国债项目第二批设备采购</w:t>
            </w:r>
          </w:p>
        </w:tc>
      </w:tr>
      <w:tr w14:paraId="4FFB178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54" w:hRule="atLeast"/>
        </w:trPr>
        <w:tc>
          <w:tcPr>
            <w:tcW w:w="1666" w:type="dxa"/>
            <w:noWrap w:val="0"/>
            <w:vAlign w:val="center"/>
          </w:tcPr>
          <w:p w14:paraId="5D623D9A">
            <w:pPr>
              <w:adjustRightInd w:val="0"/>
              <w:snapToGrid w:val="0"/>
              <w:spacing w:line="360" w:lineRule="auto"/>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第1.2款</w:t>
            </w:r>
          </w:p>
        </w:tc>
        <w:tc>
          <w:tcPr>
            <w:tcW w:w="2068" w:type="dxa"/>
            <w:gridSpan w:val="2"/>
            <w:noWrap w:val="0"/>
            <w:vAlign w:val="center"/>
          </w:tcPr>
          <w:p w14:paraId="0A5C6014">
            <w:pPr>
              <w:adjustRightInd w:val="0"/>
              <w:snapToGrid w:val="0"/>
              <w:spacing w:line="360" w:lineRule="auto"/>
              <w:rPr>
                <w:rFonts w:hint="default" w:ascii="宋体" w:hAnsi="宋体" w:eastAsia="宋体" w:cs="Times New Roman"/>
                <w:color w:val="auto"/>
                <w:szCs w:val="21"/>
                <w:highlight w:val="none"/>
                <w:lang w:val="en-US"/>
              </w:rPr>
            </w:pPr>
            <w:r>
              <w:rPr>
                <w:rFonts w:hint="eastAsia" w:ascii="宋体" w:hAnsi="宋体" w:eastAsia="宋体" w:cs="宋体"/>
                <w:color w:val="auto"/>
                <w:szCs w:val="21"/>
                <w:highlight w:val="none"/>
                <w:lang w:eastAsia="zh-CN"/>
              </w:rPr>
              <w:t>是否预留采购份额</w:t>
            </w:r>
          </w:p>
        </w:tc>
        <w:tc>
          <w:tcPr>
            <w:tcW w:w="5845" w:type="dxa"/>
            <w:noWrap w:val="0"/>
            <w:vAlign w:val="center"/>
          </w:tcPr>
          <w:p w14:paraId="5693579F">
            <w:pPr>
              <w:adjustRightInd w:val="0"/>
              <w:snapToGrid w:val="0"/>
              <w:spacing w:line="40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sym w:font="Wingdings" w:char="00A8"/>
            </w:r>
            <w:r>
              <w:rPr>
                <w:rFonts w:hint="eastAsia" w:ascii="宋体" w:hAnsi="宋体" w:eastAsia="宋体" w:cs="宋体"/>
                <w:color w:val="auto"/>
                <w:szCs w:val="21"/>
                <w:highlight w:val="none"/>
                <w:lang w:eastAsia="zh-CN"/>
              </w:rPr>
              <w:t>是</w:t>
            </w:r>
            <w:r>
              <w:rPr>
                <w:rFonts w:hint="eastAsia"/>
                <w:color w:val="auto"/>
                <w:highlight w:val="none"/>
              </w:rPr>
              <w:t xml:space="preserve"> 是，预留方式：</w:t>
            </w:r>
            <w:r>
              <w:rPr>
                <w:rFonts w:hint="eastAsia"/>
                <w:color w:val="auto"/>
                <w:highlight w:val="none"/>
                <w:u w:val="single"/>
              </w:rPr>
              <w:t>（整体项目专门面向中小/小微企业采购或强制分包采购）。</w:t>
            </w:r>
          </w:p>
          <w:p w14:paraId="4FAD42D8">
            <w:pPr>
              <w:adjustRightInd w:val="0"/>
              <w:snapToGrid w:val="0"/>
              <w:spacing w:line="420" w:lineRule="exact"/>
              <w:rPr>
                <w:rFonts w:hint="eastAsia" w:hAnsi="宋体" w:eastAsia="宋体"/>
                <w:color w:val="auto"/>
                <w:szCs w:val="21"/>
                <w:highlight w:val="none"/>
                <w:lang w:val="en-US" w:eastAsia="zh-CN"/>
              </w:rPr>
            </w:pPr>
            <w:r>
              <w:rPr>
                <w:rFonts w:hint="eastAsia" w:ascii="宋体" w:hAnsi="宋体" w:eastAsia="宋体" w:cs="宋体"/>
                <w:iCs/>
                <w:color w:val="auto"/>
                <w:szCs w:val="21"/>
                <w:highlight w:val="none"/>
              </w:rPr>
              <w:t>■</w:t>
            </w:r>
            <w:r>
              <w:rPr>
                <w:rFonts w:hint="eastAsia" w:ascii="宋体" w:hAnsi="宋体" w:eastAsia="宋体" w:cs="宋体"/>
                <w:color w:val="auto"/>
                <w:spacing w:val="-1"/>
                <w:szCs w:val="21"/>
                <w:highlight w:val="none"/>
                <w:lang w:eastAsia="zh-CN"/>
              </w:rPr>
              <w:t>否</w:t>
            </w:r>
          </w:p>
        </w:tc>
      </w:tr>
      <w:tr w14:paraId="76CCF7D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24" w:hRule="atLeast"/>
        </w:trPr>
        <w:tc>
          <w:tcPr>
            <w:tcW w:w="1666" w:type="dxa"/>
            <w:noWrap w:val="0"/>
            <w:vAlign w:val="center"/>
          </w:tcPr>
          <w:p w14:paraId="10161245">
            <w:pPr>
              <w:adjustRightInd w:val="0"/>
              <w:snapToGrid w:val="0"/>
              <w:spacing w:line="360" w:lineRule="auto"/>
              <w:jc w:val="center"/>
              <w:rPr>
                <w:rFonts w:hint="eastAsia" w:ascii="宋体" w:hAnsi="宋体" w:eastAsia="宋体"/>
                <w:color w:val="auto"/>
                <w:szCs w:val="21"/>
                <w:highlight w:val="none"/>
              </w:rPr>
            </w:pPr>
            <w:r>
              <w:rPr>
                <w:rFonts w:hint="eastAsia" w:ascii="宋体" w:hAnsi="宋体" w:eastAsia="宋体"/>
                <w:color w:val="auto"/>
                <w:szCs w:val="21"/>
                <w:highlight w:val="none"/>
              </w:rPr>
              <w:t>第2.</w:t>
            </w:r>
            <w:r>
              <w:rPr>
                <w:rFonts w:hint="eastAsia" w:ascii="宋体" w:hAnsi="宋体"/>
                <w:color w:val="auto"/>
                <w:szCs w:val="21"/>
                <w:highlight w:val="none"/>
                <w:lang w:val="en-US" w:eastAsia="zh-CN"/>
              </w:rPr>
              <w:t>1</w:t>
            </w:r>
            <w:r>
              <w:rPr>
                <w:rFonts w:hint="eastAsia" w:ascii="宋体" w:hAnsi="宋体" w:eastAsia="宋体" w:cs="宋体"/>
                <w:color w:val="auto"/>
                <w:kern w:val="0"/>
                <w:szCs w:val="21"/>
                <w:highlight w:val="none"/>
                <w:lang w:val="zh-CN"/>
              </w:rPr>
              <w:t>款</w:t>
            </w:r>
          </w:p>
        </w:tc>
        <w:tc>
          <w:tcPr>
            <w:tcW w:w="2068" w:type="dxa"/>
            <w:gridSpan w:val="2"/>
            <w:noWrap w:val="0"/>
            <w:vAlign w:val="center"/>
          </w:tcPr>
          <w:p w14:paraId="03571D25">
            <w:pPr>
              <w:adjustRightInd w:val="0"/>
              <w:snapToGrid w:val="0"/>
              <w:spacing w:line="360" w:lineRule="auto"/>
              <w:jc w:val="left"/>
              <w:rPr>
                <w:rFonts w:hint="eastAsia" w:hAnsi="宋体"/>
                <w:color w:val="auto"/>
                <w:szCs w:val="21"/>
                <w:highlight w:val="none"/>
              </w:rPr>
            </w:pPr>
            <w:r>
              <w:rPr>
                <w:rFonts w:hint="eastAsia" w:hAnsi="宋体"/>
                <w:color w:val="auto"/>
                <w:szCs w:val="21"/>
                <w:highlight w:val="none"/>
              </w:rPr>
              <w:t>采购项目联系人姓名和电话</w:t>
            </w:r>
          </w:p>
        </w:tc>
        <w:tc>
          <w:tcPr>
            <w:tcW w:w="5845" w:type="dxa"/>
            <w:noWrap w:val="0"/>
            <w:vAlign w:val="center"/>
          </w:tcPr>
          <w:p w14:paraId="2F07AFE3">
            <w:pPr>
              <w:keepNext w:val="0"/>
              <w:keepLines w:val="0"/>
              <w:pageBreakBefore w:val="0"/>
              <w:widowControl w:val="0"/>
              <w:kinsoku/>
              <w:wordWrap/>
              <w:overflowPunct/>
              <w:topLinePunct w:val="0"/>
              <w:autoSpaceDE/>
              <w:autoSpaceDN/>
              <w:bidi w:val="0"/>
              <w:snapToGrid w:val="0"/>
              <w:spacing w:line="400" w:lineRule="exact"/>
              <w:textAlignment w:val="auto"/>
              <w:rPr>
                <w:rStyle w:val="32"/>
                <w:rFonts w:hint="default" w:hAnsi="宋体"/>
                <w:color w:val="auto"/>
                <w:szCs w:val="21"/>
                <w:highlight w:val="none"/>
                <w:lang w:val="en-US"/>
              </w:rPr>
            </w:pPr>
            <w:r>
              <w:rPr>
                <w:rStyle w:val="32"/>
                <w:rFonts w:hAnsi="宋体"/>
                <w:color w:val="auto"/>
                <w:szCs w:val="21"/>
                <w:highlight w:val="none"/>
              </w:rPr>
              <w:t>采购项目联系人：</w:t>
            </w:r>
            <w:r>
              <w:rPr>
                <w:rStyle w:val="32"/>
                <w:rFonts w:hint="eastAsia" w:ascii="宋体" w:hAnsi="宋体"/>
                <w:color w:val="auto"/>
                <w:szCs w:val="21"/>
                <w:highlight w:val="none"/>
                <w:lang w:val="en-US"/>
              </w:rPr>
              <w:t xml:space="preserve">石楠 </w:t>
            </w:r>
          </w:p>
          <w:p w14:paraId="7CDBAC80">
            <w:pPr>
              <w:rPr>
                <w:rFonts w:hint="eastAsia" w:ascii="宋体" w:hAnsi="宋体" w:eastAsia="宋体" w:cs="宋体"/>
                <w:color w:val="auto"/>
                <w:spacing w:val="-9"/>
                <w:sz w:val="21"/>
                <w:szCs w:val="21"/>
                <w:highlight w:val="none"/>
                <w:lang w:eastAsia="zh-CN"/>
              </w:rPr>
            </w:pPr>
            <w:r>
              <w:rPr>
                <w:rStyle w:val="32"/>
                <w:rFonts w:hint="eastAsia" w:ascii="宋体" w:hAnsi="宋体"/>
                <w:color w:val="auto"/>
                <w:szCs w:val="21"/>
                <w:highlight w:val="none"/>
              </w:rPr>
              <w:t>联系电话：</w:t>
            </w:r>
            <w:r>
              <w:rPr>
                <w:rStyle w:val="32"/>
                <w:rFonts w:hint="eastAsia" w:ascii="宋体" w:hAnsi="宋体"/>
                <w:color w:val="auto"/>
                <w:szCs w:val="21"/>
                <w:highlight w:val="none"/>
                <w:lang w:val="en-US"/>
              </w:rPr>
              <w:t>0731-28563058</w:t>
            </w:r>
          </w:p>
        </w:tc>
      </w:tr>
      <w:tr w14:paraId="71C9F3D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691" w:hRule="atLeast"/>
        </w:trPr>
        <w:tc>
          <w:tcPr>
            <w:tcW w:w="1666" w:type="dxa"/>
            <w:noWrap w:val="0"/>
            <w:vAlign w:val="center"/>
          </w:tcPr>
          <w:p w14:paraId="3634CCEE">
            <w:pPr>
              <w:adjustRightInd w:val="0"/>
              <w:snapToGrid w:val="0"/>
              <w:spacing w:line="360" w:lineRule="auto"/>
              <w:jc w:val="center"/>
              <w:rPr>
                <w:rFonts w:ascii="宋体" w:hAnsi="宋体" w:eastAsia="宋体"/>
                <w:color w:val="auto"/>
                <w:szCs w:val="21"/>
                <w:highlight w:val="none"/>
              </w:rPr>
            </w:pPr>
            <w:r>
              <w:rPr>
                <w:rFonts w:hint="eastAsia" w:ascii="宋体" w:hAnsi="宋体" w:eastAsia="宋体"/>
                <w:color w:val="auto"/>
                <w:szCs w:val="21"/>
                <w:highlight w:val="none"/>
              </w:rPr>
              <w:t>第2.</w:t>
            </w:r>
            <w:r>
              <w:rPr>
                <w:rFonts w:hint="eastAsia" w:ascii="宋体" w:hAnsi="宋体"/>
                <w:color w:val="auto"/>
                <w:szCs w:val="21"/>
                <w:highlight w:val="none"/>
                <w:lang w:val="en-US" w:eastAsia="zh-CN"/>
              </w:rPr>
              <w:t>2</w:t>
            </w:r>
            <w:r>
              <w:rPr>
                <w:rFonts w:hint="eastAsia" w:ascii="宋体" w:hAnsi="宋体" w:eastAsia="宋体" w:cs="宋体"/>
                <w:color w:val="auto"/>
                <w:kern w:val="0"/>
                <w:szCs w:val="21"/>
                <w:highlight w:val="none"/>
                <w:lang w:val="zh-CN"/>
              </w:rPr>
              <w:t>款</w:t>
            </w:r>
          </w:p>
        </w:tc>
        <w:tc>
          <w:tcPr>
            <w:tcW w:w="2068" w:type="dxa"/>
            <w:gridSpan w:val="2"/>
            <w:noWrap w:val="0"/>
            <w:vAlign w:val="center"/>
          </w:tcPr>
          <w:p w14:paraId="6753C901">
            <w:pPr>
              <w:adjustRightInd w:val="0"/>
              <w:snapToGrid w:val="0"/>
              <w:spacing w:line="360" w:lineRule="auto"/>
              <w:jc w:val="left"/>
              <w:rPr>
                <w:rFonts w:ascii="宋体" w:hAnsi="宋体" w:eastAsia="宋体"/>
                <w:color w:val="auto"/>
                <w:szCs w:val="21"/>
                <w:highlight w:val="none"/>
              </w:rPr>
            </w:pPr>
            <w:r>
              <w:rPr>
                <w:rFonts w:hint="eastAsia" w:hAnsi="宋体"/>
                <w:color w:val="auto"/>
                <w:szCs w:val="21"/>
                <w:highlight w:val="none"/>
              </w:rPr>
              <w:t>采购人名称、地址、电话、联系人</w:t>
            </w:r>
          </w:p>
        </w:tc>
        <w:tc>
          <w:tcPr>
            <w:tcW w:w="5845" w:type="dxa"/>
            <w:noWrap w:val="0"/>
            <w:vAlign w:val="center"/>
          </w:tcPr>
          <w:p w14:paraId="620BE519">
            <w:pPr>
              <w:keepNext w:val="0"/>
              <w:keepLines w:val="0"/>
              <w:pageBreakBefore w:val="0"/>
              <w:widowControl w:val="0"/>
              <w:kinsoku/>
              <w:wordWrap/>
              <w:overflowPunct/>
              <w:topLinePunct w:val="0"/>
              <w:autoSpaceDE/>
              <w:autoSpaceDN/>
              <w:bidi w:val="0"/>
              <w:snapToGrid w:val="0"/>
              <w:spacing w:line="400" w:lineRule="exact"/>
              <w:textAlignment w:val="auto"/>
              <w:rPr>
                <w:rStyle w:val="32"/>
                <w:rFonts w:ascii="宋体" w:hAnsi="宋体"/>
                <w:color w:val="auto"/>
                <w:szCs w:val="21"/>
                <w:highlight w:val="none"/>
              </w:rPr>
            </w:pPr>
            <w:r>
              <w:rPr>
                <w:rStyle w:val="32"/>
                <w:rFonts w:ascii="宋体" w:hAnsi="宋体"/>
                <w:color w:val="auto"/>
                <w:szCs w:val="21"/>
                <w:highlight w:val="none"/>
              </w:rPr>
              <w:t>采购人：</w:t>
            </w:r>
            <w:r>
              <w:rPr>
                <w:rStyle w:val="32"/>
                <w:rFonts w:hint="eastAsia" w:ascii="宋体" w:hAnsi="宋体"/>
                <w:color w:val="auto"/>
                <w:szCs w:val="21"/>
                <w:highlight w:val="none"/>
              </w:rPr>
              <w:t>株洲市中心医院</w:t>
            </w:r>
          </w:p>
          <w:p w14:paraId="7D9A208E">
            <w:pPr>
              <w:keepNext w:val="0"/>
              <w:keepLines w:val="0"/>
              <w:pageBreakBefore w:val="0"/>
              <w:widowControl w:val="0"/>
              <w:kinsoku/>
              <w:wordWrap/>
              <w:overflowPunct/>
              <w:topLinePunct w:val="0"/>
              <w:autoSpaceDE/>
              <w:autoSpaceDN/>
              <w:bidi w:val="0"/>
              <w:snapToGrid w:val="0"/>
              <w:spacing w:line="400" w:lineRule="exact"/>
              <w:textAlignment w:val="auto"/>
              <w:rPr>
                <w:rStyle w:val="32"/>
                <w:rFonts w:ascii="宋体" w:hAnsi="宋体"/>
                <w:color w:val="auto"/>
                <w:szCs w:val="21"/>
                <w:highlight w:val="none"/>
              </w:rPr>
            </w:pPr>
            <w:r>
              <w:rPr>
                <w:rStyle w:val="32"/>
                <w:rFonts w:ascii="宋体" w:hAnsi="宋体"/>
                <w:color w:val="auto"/>
                <w:szCs w:val="21"/>
                <w:highlight w:val="none"/>
              </w:rPr>
              <w:t>地址：</w:t>
            </w:r>
            <w:r>
              <w:rPr>
                <w:rStyle w:val="32"/>
                <w:rFonts w:hint="eastAsia" w:ascii="宋体" w:hAnsi="宋体"/>
                <w:color w:val="auto"/>
                <w:szCs w:val="21"/>
                <w:highlight w:val="none"/>
              </w:rPr>
              <w:t>株洲市天元区长江南路116号</w:t>
            </w:r>
          </w:p>
          <w:p w14:paraId="6705FA93">
            <w:pPr>
              <w:keepNext w:val="0"/>
              <w:keepLines w:val="0"/>
              <w:pageBreakBefore w:val="0"/>
              <w:widowControl w:val="0"/>
              <w:kinsoku/>
              <w:wordWrap/>
              <w:overflowPunct/>
              <w:topLinePunct w:val="0"/>
              <w:autoSpaceDE/>
              <w:autoSpaceDN/>
              <w:bidi w:val="0"/>
              <w:snapToGrid w:val="0"/>
              <w:spacing w:line="400" w:lineRule="exact"/>
              <w:textAlignment w:val="auto"/>
              <w:rPr>
                <w:rStyle w:val="32"/>
                <w:rFonts w:ascii="宋体" w:hAnsi="宋体"/>
                <w:color w:val="auto"/>
                <w:szCs w:val="21"/>
                <w:highlight w:val="none"/>
              </w:rPr>
            </w:pPr>
            <w:r>
              <w:rPr>
                <w:rStyle w:val="32"/>
                <w:rFonts w:ascii="宋体" w:hAnsi="宋体"/>
                <w:color w:val="auto"/>
                <w:szCs w:val="21"/>
                <w:highlight w:val="none"/>
              </w:rPr>
              <w:t>联系人：</w:t>
            </w:r>
            <w:r>
              <w:rPr>
                <w:rStyle w:val="32"/>
                <w:rFonts w:hint="eastAsia" w:ascii="宋体" w:hAnsi="宋体"/>
                <w:color w:val="auto"/>
                <w:szCs w:val="21"/>
                <w:highlight w:val="none"/>
                <w:lang w:val="en-US"/>
              </w:rPr>
              <w:t>石楠</w:t>
            </w:r>
          </w:p>
          <w:p w14:paraId="2435CC05">
            <w:pPr>
              <w:keepNext w:val="0"/>
              <w:keepLines w:val="0"/>
              <w:pageBreakBefore w:val="0"/>
              <w:widowControl w:val="0"/>
              <w:kinsoku/>
              <w:wordWrap/>
              <w:overflowPunct/>
              <w:topLinePunct w:val="0"/>
              <w:autoSpaceDE/>
              <w:autoSpaceDN/>
              <w:bidi w:val="0"/>
              <w:snapToGrid w:val="0"/>
              <w:spacing w:line="400" w:lineRule="exact"/>
              <w:textAlignment w:val="auto"/>
              <w:rPr>
                <w:rFonts w:hint="default" w:hAnsi="宋体"/>
                <w:color w:val="auto"/>
                <w:szCs w:val="21"/>
                <w:highlight w:val="none"/>
                <w:lang w:val="en-US"/>
              </w:rPr>
            </w:pPr>
            <w:r>
              <w:rPr>
                <w:rStyle w:val="32"/>
                <w:rFonts w:ascii="宋体" w:hAnsi="宋体"/>
                <w:color w:val="auto"/>
                <w:szCs w:val="21"/>
                <w:highlight w:val="none"/>
              </w:rPr>
              <w:t>电  话：</w:t>
            </w:r>
            <w:r>
              <w:rPr>
                <w:rStyle w:val="32"/>
                <w:rFonts w:hint="eastAsia" w:ascii="宋体" w:hAnsi="宋体"/>
                <w:color w:val="auto"/>
                <w:szCs w:val="21"/>
                <w:highlight w:val="none"/>
                <w:lang w:val="en-US"/>
              </w:rPr>
              <w:t>0731-28563058</w:t>
            </w:r>
          </w:p>
        </w:tc>
      </w:tr>
      <w:tr w14:paraId="63CBD4F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73" w:hRule="atLeast"/>
        </w:trPr>
        <w:tc>
          <w:tcPr>
            <w:tcW w:w="1666" w:type="dxa"/>
            <w:noWrap w:val="0"/>
            <w:vAlign w:val="center"/>
          </w:tcPr>
          <w:p w14:paraId="345D7D22">
            <w:pPr>
              <w:adjustRightInd w:val="0"/>
              <w:snapToGrid w:val="0"/>
              <w:spacing w:line="360" w:lineRule="auto"/>
              <w:jc w:val="center"/>
              <w:rPr>
                <w:rFonts w:ascii="宋体" w:hAnsi="宋体" w:eastAsia="宋体"/>
                <w:color w:val="auto"/>
                <w:szCs w:val="21"/>
                <w:highlight w:val="none"/>
              </w:rPr>
            </w:pPr>
            <w:r>
              <w:rPr>
                <w:rFonts w:hint="eastAsia" w:ascii="宋体" w:hAnsi="宋体" w:eastAsia="宋体"/>
                <w:color w:val="auto"/>
                <w:szCs w:val="21"/>
                <w:highlight w:val="none"/>
              </w:rPr>
              <w:t>第2.</w:t>
            </w:r>
            <w:r>
              <w:rPr>
                <w:rFonts w:hint="eastAsia" w:ascii="宋体" w:hAnsi="宋体"/>
                <w:color w:val="auto"/>
                <w:szCs w:val="21"/>
                <w:highlight w:val="none"/>
                <w:lang w:val="en-US" w:eastAsia="zh-CN"/>
              </w:rPr>
              <w:t>3</w:t>
            </w:r>
            <w:r>
              <w:rPr>
                <w:rFonts w:hint="eastAsia" w:ascii="宋体" w:hAnsi="宋体" w:eastAsia="宋体" w:cs="宋体"/>
                <w:color w:val="auto"/>
                <w:kern w:val="0"/>
                <w:szCs w:val="21"/>
                <w:highlight w:val="none"/>
                <w:lang w:val="zh-CN"/>
              </w:rPr>
              <w:t>款</w:t>
            </w:r>
          </w:p>
        </w:tc>
        <w:tc>
          <w:tcPr>
            <w:tcW w:w="2068" w:type="dxa"/>
            <w:gridSpan w:val="2"/>
            <w:noWrap w:val="0"/>
            <w:vAlign w:val="center"/>
          </w:tcPr>
          <w:p w14:paraId="1AAAE337">
            <w:pPr>
              <w:adjustRightInd w:val="0"/>
              <w:snapToGrid w:val="0"/>
              <w:spacing w:line="360" w:lineRule="auto"/>
              <w:jc w:val="left"/>
              <w:rPr>
                <w:rFonts w:ascii="宋体" w:hAnsi="宋体" w:eastAsia="宋体"/>
                <w:color w:val="auto"/>
                <w:szCs w:val="21"/>
                <w:highlight w:val="none"/>
              </w:rPr>
            </w:pPr>
            <w:r>
              <w:rPr>
                <w:rFonts w:hint="eastAsia" w:hAnsi="宋体"/>
                <w:color w:val="auto"/>
                <w:szCs w:val="21"/>
                <w:highlight w:val="none"/>
              </w:rPr>
              <w:t>采购代理机构名称、地址、电话、联系人</w:t>
            </w:r>
          </w:p>
        </w:tc>
        <w:tc>
          <w:tcPr>
            <w:tcW w:w="5845" w:type="dxa"/>
            <w:noWrap w:val="0"/>
            <w:vAlign w:val="center"/>
          </w:tcPr>
          <w:p w14:paraId="21C1BF97">
            <w:pPr>
              <w:keepNext w:val="0"/>
              <w:keepLines w:val="0"/>
              <w:pageBreakBefore w:val="0"/>
              <w:widowControl w:val="0"/>
              <w:kinsoku/>
              <w:wordWrap/>
              <w:overflowPunct/>
              <w:topLinePunct w:val="0"/>
              <w:autoSpaceDE/>
              <w:autoSpaceDN/>
              <w:bidi w:val="0"/>
              <w:snapToGrid w:val="0"/>
              <w:spacing w:line="400" w:lineRule="exact"/>
              <w:textAlignment w:val="auto"/>
              <w:rPr>
                <w:rStyle w:val="32"/>
                <w:rFonts w:ascii="宋体" w:hAnsi="宋体"/>
                <w:color w:val="auto"/>
                <w:szCs w:val="21"/>
                <w:highlight w:val="none"/>
              </w:rPr>
            </w:pPr>
            <w:r>
              <w:rPr>
                <w:rStyle w:val="32"/>
                <w:rFonts w:ascii="宋体" w:hAnsi="宋体"/>
                <w:color w:val="auto"/>
                <w:szCs w:val="21"/>
                <w:highlight w:val="none"/>
              </w:rPr>
              <w:t>采购代理机构：</w:t>
            </w:r>
            <w:r>
              <w:rPr>
                <w:rStyle w:val="32"/>
                <w:rFonts w:hint="eastAsia" w:ascii="宋体" w:hAnsi="宋体"/>
                <w:color w:val="auto"/>
                <w:szCs w:val="21"/>
                <w:highlight w:val="none"/>
              </w:rPr>
              <w:t>湖南广汇项目管理有限公司</w:t>
            </w:r>
          </w:p>
          <w:p w14:paraId="261216CE">
            <w:pPr>
              <w:keepNext w:val="0"/>
              <w:keepLines w:val="0"/>
              <w:pageBreakBefore w:val="0"/>
              <w:widowControl w:val="0"/>
              <w:kinsoku/>
              <w:wordWrap/>
              <w:overflowPunct/>
              <w:topLinePunct w:val="0"/>
              <w:autoSpaceDE/>
              <w:autoSpaceDN/>
              <w:bidi w:val="0"/>
              <w:snapToGrid w:val="0"/>
              <w:spacing w:line="400" w:lineRule="exact"/>
              <w:textAlignment w:val="auto"/>
              <w:rPr>
                <w:rStyle w:val="32"/>
                <w:rFonts w:ascii="宋体" w:hAnsi="宋体"/>
                <w:color w:val="auto"/>
                <w:szCs w:val="21"/>
                <w:highlight w:val="none"/>
              </w:rPr>
            </w:pPr>
            <w:r>
              <w:rPr>
                <w:rStyle w:val="32"/>
                <w:rFonts w:ascii="宋体" w:hAnsi="宋体"/>
                <w:color w:val="auto"/>
                <w:szCs w:val="21"/>
                <w:highlight w:val="none"/>
              </w:rPr>
              <w:t>地址：</w:t>
            </w:r>
            <w:r>
              <w:rPr>
                <w:rStyle w:val="32"/>
                <w:rFonts w:hint="eastAsia" w:ascii="宋体" w:hAnsi="宋体"/>
                <w:color w:val="auto"/>
                <w:szCs w:val="21"/>
                <w:highlight w:val="none"/>
              </w:rPr>
              <w:t>株洲市天元区株洲大道335号南方航空工贸园综合楼三楼</w:t>
            </w:r>
          </w:p>
          <w:p w14:paraId="684728ED">
            <w:pPr>
              <w:keepNext w:val="0"/>
              <w:keepLines w:val="0"/>
              <w:pageBreakBefore w:val="0"/>
              <w:widowControl w:val="0"/>
              <w:kinsoku/>
              <w:wordWrap/>
              <w:overflowPunct/>
              <w:topLinePunct w:val="0"/>
              <w:autoSpaceDE/>
              <w:autoSpaceDN/>
              <w:bidi w:val="0"/>
              <w:snapToGrid w:val="0"/>
              <w:spacing w:line="400" w:lineRule="exact"/>
              <w:textAlignment w:val="auto"/>
              <w:rPr>
                <w:rStyle w:val="32"/>
                <w:rFonts w:ascii="宋体" w:hAnsi="宋体"/>
                <w:color w:val="auto"/>
                <w:szCs w:val="21"/>
                <w:highlight w:val="none"/>
              </w:rPr>
            </w:pPr>
            <w:r>
              <w:rPr>
                <w:rStyle w:val="32"/>
                <w:rFonts w:ascii="宋体" w:hAnsi="宋体"/>
                <w:color w:val="auto"/>
                <w:szCs w:val="21"/>
                <w:highlight w:val="none"/>
              </w:rPr>
              <w:t>联系人：</w:t>
            </w:r>
            <w:r>
              <w:rPr>
                <w:rStyle w:val="32"/>
                <w:rFonts w:hint="eastAsia" w:ascii="宋体" w:hAnsi="宋体"/>
                <w:color w:val="auto"/>
                <w:szCs w:val="21"/>
                <w:highlight w:val="none"/>
              </w:rPr>
              <w:t>李锋、刘宁、王丹、黎中丽</w:t>
            </w:r>
            <w:r>
              <w:rPr>
                <w:rStyle w:val="32"/>
                <w:rFonts w:ascii="宋体" w:hAnsi="宋体"/>
                <w:color w:val="auto"/>
                <w:szCs w:val="21"/>
                <w:highlight w:val="none"/>
              </w:rPr>
              <w:t xml:space="preserve">  </w:t>
            </w:r>
          </w:p>
          <w:p w14:paraId="232BDF5D">
            <w:pPr>
              <w:rPr>
                <w:rFonts w:hint="default" w:hAnsi="宋体"/>
                <w:color w:val="auto"/>
                <w:szCs w:val="21"/>
                <w:highlight w:val="none"/>
                <w:lang w:val="en-US"/>
              </w:rPr>
            </w:pPr>
            <w:r>
              <w:rPr>
                <w:rStyle w:val="32"/>
                <w:rFonts w:ascii="宋体" w:hAnsi="宋体"/>
                <w:color w:val="auto"/>
                <w:szCs w:val="21"/>
                <w:highlight w:val="none"/>
              </w:rPr>
              <w:t>联系电话：</w:t>
            </w:r>
            <w:r>
              <w:rPr>
                <w:rFonts w:hint="eastAsia" w:ascii="宋体" w:hAnsi="宋体"/>
                <w:color w:val="auto"/>
                <w:szCs w:val="21"/>
                <w:highlight w:val="none"/>
                <w:lang w:val="en-US" w:eastAsia="zh-CN"/>
              </w:rPr>
              <w:t>0731-22030089</w:t>
            </w:r>
          </w:p>
        </w:tc>
      </w:tr>
      <w:tr w14:paraId="76106EB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889" w:hRule="atLeast"/>
        </w:trPr>
        <w:tc>
          <w:tcPr>
            <w:tcW w:w="1666" w:type="dxa"/>
            <w:noWrap w:val="0"/>
            <w:vAlign w:val="center"/>
          </w:tcPr>
          <w:p w14:paraId="6159B95B">
            <w:pPr>
              <w:adjustRightInd w:val="0"/>
              <w:snapToGrid w:val="0"/>
              <w:spacing w:line="360" w:lineRule="auto"/>
              <w:jc w:val="center"/>
              <w:rPr>
                <w:rFonts w:ascii="宋体" w:hAnsi="宋体" w:eastAsia="宋体"/>
                <w:color w:val="auto"/>
                <w:szCs w:val="21"/>
                <w:highlight w:val="none"/>
              </w:rPr>
            </w:pPr>
            <w:r>
              <w:rPr>
                <w:rFonts w:hint="eastAsia" w:ascii="宋体" w:hAnsi="宋体" w:eastAsia="宋体"/>
                <w:color w:val="auto"/>
                <w:szCs w:val="21"/>
                <w:highlight w:val="none"/>
              </w:rPr>
              <w:t>第3.1</w:t>
            </w:r>
            <w:r>
              <w:rPr>
                <w:rFonts w:hint="eastAsia" w:ascii="宋体" w:hAnsi="宋体" w:eastAsia="宋体" w:cs="宋体"/>
                <w:color w:val="auto"/>
                <w:kern w:val="0"/>
                <w:szCs w:val="21"/>
                <w:highlight w:val="none"/>
                <w:lang w:val="zh-CN"/>
              </w:rPr>
              <w:t>款</w:t>
            </w:r>
          </w:p>
        </w:tc>
        <w:tc>
          <w:tcPr>
            <w:tcW w:w="2068" w:type="dxa"/>
            <w:gridSpan w:val="2"/>
            <w:noWrap w:val="0"/>
            <w:vAlign w:val="center"/>
          </w:tcPr>
          <w:p w14:paraId="49714FB0">
            <w:pPr>
              <w:adjustRightInd w:val="0"/>
              <w:snapToGrid w:val="0"/>
              <w:spacing w:line="360" w:lineRule="auto"/>
              <w:jc w:val="left"/>
              <w:rPr>
                <w:rFonts w:hAnsi="宋体"/>
                <w:color w:val="auto"/>
                <w:szCs w:val="21"/>
                <w:highlight w:val="none"/>
              </w:rPr>
            </w:pPr>
            <w:r>
              <w:rPr>
                <w:rFonts w:hint="eastAsia" w:ascii="宋体" w:hAnsi="宋体" w:eastAsia="宋体"/>
                <w:color w:val="auto"/>
                <w:szCs w:val="21"/>
                <w:highlight w:val="none"/>
              </w:rPr>
              <w:t>投标人资格条件</w:t>
            </w:r>
          </w:p>
        </w:tc>
        <w:tc>
          <w:tcPr>
            <w:tcW w:w="5845" w:type="dxa"/>
            <w:noWrap w:val="0"/>
            <w:vAlign w:val="center"/>
          </w:tcPr>
          <w:p w14:paraId="2B6E4C0F">
            <w:pPr>
              <w:spacing w:before="76" w:line="221" w:lineRule="auto"/>
              <w:rPr>
                <w:rFonts w:ascii="宋体" w:hAnsi="宋体" w:eastAsia="宋体" w:cs="宋体"/>
                <w:color w:val="auto"/>
                <w:spacing w:val="-1"/>
                <w:sz w:val="21"/>
                <w:szCs w:val="21"/>
                <w:highlight w:val="none"/>
              </w:rPr>
            </w:pPr>
            <w:r>
              <w:rPr>
                <w:rFonts w:ascii="宋体" w:hAnsi="宋体" w:eastAsia="宋体" w:cs="宋体"/>
                <w:color w:val="auto"/>
                <w:spacing w:val="-1"/>
                <w:sz w:val="21"/>
                <w:szCs w:val="21"/>
                <w:highlight w:val="none"/>
              </w:rPr>
              <w:t>1、投标人的基本资格条件：投标人必须是在中华人民共和国境内注册登记的法人、其他组织或者自然人， 且应当符合《政府采 购法》第二十二条第一款的规定。</w:t>
            </w:r>
          </w:p>
          <w:p w14:paraId="5A0EAE25">
            <w:pPr>
              <w:spacing w:before="76" w:line="221" w:lineRule="auto"/>
              <w:rPr>
                <w:rFonts w:ascii="宋体" w:hAnsi="宋体" w:eastAsia="宋体" w:cs="宋体"/>
                <w:color w:val="auto"/>
                <w:spacing w:val="-1"/>
                <w:sz w:val="21"/>
                <w:szCs w:val="21"/>
                <w:highlight w:val="none"/>
              </w:rPr>
            </w:pPr>
            <w:r>
              <w:rPr>
                <w:rFonts w:ascii="宋体" w:hAnsi="宋体" w:eastAsia="宋体" w:cs="宋体"/>
                <w:color w:val="auto"/>
                <w:spacing w:val="-1"/>
                <w:sz w:val="21"/>
                <w:szCs w:val="21"/>
                <w:highlight w:val="none"/>
              </w:rPr>
              <w:t>2、落实政府采购政策需满足的资格要求：</w:t>
            </w:r>
          </w:p>
          <w:p w14:paraId="47913776">
            <w:pPr>
              <w:spacing w:before="76" w:line="221" w:lineRule="auto"/>
              <w:rPr>
                <w:rFonts w:ascii="宋体" w:hAnsi="宋体" w:eastAsia="宋体" w:cs="宋体"/>
                <w:color w:val="auto"/>
                <w:spacing w:val="-1"/>
                <w:sz w:val="21"/>
                <w:szCs w:val="21"/>
                <w:highlight w:val="none"/>
              </w:rPr>
            </w:pPr>
            <w:r>
              <w:rPr>
                <w:rFonts w:ascii="宋体" w:hAnsi="宋体" w:eastAsia="宋体" w:cs="宋体"/>
                <w:color w:val="auto"/>
                <w:spacing w:val="-5"/>
                <w:sz w:val="21"/>
                <w:szCs w:val="21"/>
                <w:highlight w:val="none"/>
              </w:rPr>
              <w:sym w:font="Wingdings" w:char="00A8"/>
            </w:r>
            <w:r>
              <w:rPr>
                <w:rFonts w:ascii="宋体" w:hAnsi="宋体" w:eastAsia="宋体" w:cs="宋体"/>
                <w:color w:val="auto"/>
                <w:spacing w:val="-1"/>
                <w:sz w:val="21"/>
                <w:szCs w:val="21"/>
                <w:highlight w:val="none"/>
              </w:rPr>
              <w:t xml:space="preserve">专门面向： </w:t>
            </w:r>
            <w:r>
              <w:rPr>
                <w:rFonts w:ascii="宋体" w:hAnsi="宋体" w:eastAsia="宋体" w:cs="宋体"/>
                <w:color w:val="auto"/>
                <w:spacing w:val="-5"/>
                <w:sz w:val="21"/>
                <w:szCs w:val="21"/>
                <w:highlight w:val="none"/>
              </w:rPr>
              <w:sym w:font="Wingdings" w:char="00A8"/>
            </w:r>
            <w:r>
              <w:rPr>
                <w:rFonts w:ascii="宋体" w:hAnsi="宋体" w:eastAsia="宋体" w:cs="宋体"/>
                <w:color w:val="auto"/>
                <w:spacing w:val="-1"/>
                <w:sz w:val="21"/>
                <w:szCs w:val="21"/>
                <w:highlight w:val="none"/>
              </w:rPr>
              <w:t xml:space="preserve">中小企业 </w:t>
            </w:r>
            <w:r>
              <w:rPr>
                <w:rFonts w:ascii="宋体" w:hAnsi="宋体" w:eastAsia="宋体" w:cs="宋体"/>
                <w:color w:val="auto"/>
                <w:spacing w:val="-5"/>
                <w:sz w:val="21"/>
                <w:szCs w:val="21"/>
                <w:highlight w:val="none"/>
              </w:rPr>
              <w:sym w:font="Wingdings" w:char="00A8"/>
            </w:r>
            <w:r>
              <w:rPr>
                <w:rFonts w:ascii="宋体" w:hAnsi="宋体" w:eastAsia="宋体" w:cs="宋体"/>
                <w:color w:val="auto"/>
                <w:spacing w:val="-1"/>
                <w:sz w:val="21"/>
                <w:szCs w:val="21"/>
                <w:highlight w:val="none"/>
              </w:rPr>
              <w:t xml:space="preserve">小微企业 </w:t>
            </w:r>
            <w:r>
              <w:rPr>
                <w:rFonts w:ascii="宋体" w:hAnsi="宋体" w:eastAsia="宋体" w:cs="宋体"/>
                <w:color w:val="auto"/>
                <w:spacing w:val="-5"/>
                <w:sz w:val="21"/>
                <w:szCs w:val="21"/>
                <w:highlight w:val="none"/>
              </w:rPr>
              <w:sym w:font="Wingdings" w:char="00A8"/>
            </w:r>
            <w:r>
              <w:rPr>
                <w:rFonts w:ascii="宋体" w:hAnsi="宋体" w:eastAsia="宋体" w:cs="宋体"/>
                <w:color w:val="auto"/>
                <w:spacing w:val="-1"/>
                <w:sz w:val="21"/>
                <w:szCs w:val="21"/>
                <w:highlight w:val="none"/>
              </w:rPr>
              <w:t>监狱企业</w:t>
            </w:r>
            <w:r>
              <w:rPr>
                <w:rFonts w:ascii="宋体" w:hAnsi="宋体" w:eastAsia="宋体" w:cs="宋体"/>
                <w:color w:val="auto"/>
                <w:spacing w:val="-5"/>
                <w:sz w:val="21"/>
                <w:szCs w:val="21"/>
                <w:highlight w:val="none"/>
              </w:rPr>
              <w:sym w:font="Wingdings" w:char="00A8"/>
            </w:r>
            <w:r>
              <w:rPr>
                <w:rFonts w:ascii="宋体" w:hAnsi="宋体" w:eastAsia="宋体" w:cs="宋体"/>
                <w:color w:val="auto"/>
                <w:spacing w:val="-1"/>
                <w:sz w:val="21"/>
                <w:szCs w:val="21"/>
                <w:highlight w:val="none"/>
              </w:rPr>
              <w:t>福利 性单位。</w:t>
            </w:r>
          </w:p>
          <w:p w14:paraId="63484D49">
            <w:pPr>
              <w:spacing w:before="76" w:line="221" w:lineRule="auto"/>
              <w:rPr>
                <w:rFonts w:ascii="宋体" w:hAnsi="宋体" w:eastAsia="宋体" w:cs="宋体"/>
                <w:color w:val="auto"/>
                <w:spacing w:val="-1"/>
                <w:sz w:val="21"/>
                <w:szCs w:val="21"/>
                <w:highlight w:val="none"/>
              </w:rPr>
            </w:pPr>
            <w:r>
              <w:rPr>
                <w:rFonts w:ascii="宋体" w:hAnsi="宋体" w:eastAsia="宋体" w:cs="宋体"/>
                <w:color w:val="auto"/>
                <w:spacing w:val="-5"/>
                <w:sz w:val="21"/>
                <w:szCs w:val="21"/>
                <w:highlight w:val="none"/>
              </w:rPr>
              <w:sym w:font="Wingdings" w:char="00A8"/>
            </w:r>
            <w:r>
              <w:rPr>
                <w:rFonts w:ascii="宋体" w:hAnsi="宋体" w:eastAsia="宋体" w:cs="宋体"/>
                <w:color w:val="auto"/>
                <w:spacing w:val="-1"/>
                <w:sz w:val="21"/>
                <w:szCs w:val="21"/>
                <w:highlight w:val="none"/>
              </w:rPr>
              <w:t>强制分包：大型企业应将采购份额的</w:t>
            </w:r>
            <w:r>
              <w:rPr>
                <w:rFonts w:ascii="宋体" w:hAnsi="宋体" w:eastAsia="宋体" w:cs="宋体"/>
                <w:color w:val="auto"/>
                <w:spacing w:val="-1"/>
                <w:sz w:val="21"/>
                <w:szCs w:val="21"/>
                <w:highlight w:val="none"/>
                <w:u w:val="single"/>
              </w:rPr>
              <w:t xml:space="preserve">      </w:t>
            </w:r>
            <w:r>
              <w:rPr>
                <w:rFonts w:ascii="宋体" w:hAnsi="宋体" w:eastAsia="宋体" w:cs="宋体"/>
                <w:color w:val="auto"/>
                <w:spacing w:val="-1"/>
                <w:sz w:val="21"/>
                <w:szCs w:val="21"/>
                <w:highlight w:val="none"/>
              </w:rPr>
              <w:t>%分包给中小企业。</w:t>
            </w:r>
          </w:p>
          <w:p w14:paraId="30022E8F">
            <w:pPr>
              <w:keepNext w:val="0"/>
              <w:keepLines w:val="0"/>
              <w:pageBreakBefore w:val="0"/>
              <w:widowControl w:val="0"/>
              <w:numPr>
                <w:ilvl w:val="0"/>
                <w:numId w:val="2"/>
              </w:numPr>
              <w:kinsoku/>
              <w:wordWrap/>
              <w:overflowPunct/>
              <w:topLinePunct w:val="0"/>
              <w:bidi w:val="0"/>
              <w:adjustRightInd w:val="0"/>
              <w:snapToGrid w:val="0"/>
              <w:spacing w:line="480" w:lineRule="exact"/>
              <w:textAlignment w:val="auto"/>
              <w:rPr>
                <w:rFonts w:ascii="宋体" w:hAnsi="宋体" w:eastAsia="宋体" w:cs="宋体"/>
                <w:color w:val="auto"/>
                <w:spacing w:val="-1"/>
                <w:sz w:val="21"/>
                <w:szCs w:val="21"/>
                <w:highlight w:val="none"/>
              </w:rPr>
            </w:pPr>
            <w:r>
              <w:rPr>
                <w:rFonts w:ascii="宋体" w:hAnsi="宋体" w:eastAsia="宋体" w:cs="宋体"/>
                <w:color w:val="auto"/>
                <w:spacing w:val="-1"/>
                <w:sz w:val="21"/>
                <w:szCs w:val="21"/>
                <w:highlight w:val="none"/>
              </w:rPr>
              <w:t>采购项目的特定资格条件：</w:t>
            </w:r>
          </w:p>
          <w:p w14:paraId="1A956007">
            <w:pPr>
              <w:adjustRightInd w:val="0"/>
              <w:snapToGrid w:val="0"/>
              <w:spacing w:line="360" w:lineRule="auto"/>
              <w:rPr>
                <w:rFonts w:hint="eastAsia"/>
                <w:color w:val="auto"/>
                <w:highlight w:val="none"/>
                <w:lang w:val="en-US" w:eastAsia="zh-CN"/>
              </w:rPr>
            </w:pPr>
            <w:r>
              <w:rPr>
                <w:rFonts w:hint="eastAsia" w:ascii="宋体" w:hAnsi="宋体"/>
                <w:color w:val="auto"/>
                <w:szCs w:val="21"/>
                <w:highlight w:val="none"/>
              </w:rPr>
              <w:t>包1：</w:t>
            </w:r>
          </w:p>
          <w:p w14:paraId="02C588B9">
            <w:pPr>
              <w:adjustRightInd w:val="0"/>
              <w:snapToGrid w:val="0"/>
              <w:spacing w:line="360" w:lineRule="auto"/>
              <w:rPr>
                <w:rFonts w:hint="eastAsia" w:ascii="宋体" w:hAnsi="宋体" w:eastAsia="宋体" w:cs="Times New Roman"/>
                <w:b w:val="0"/>
                <w:bCs w:val="0"/>
                <w:color w:val="auto"/>
                <w:szCs w:val="21"/>
                <w:highlight w:val="none"/>
              </w:rPr>
            </w:pPr>
            <w:r>
              <w:rPr>
                <w:rFonts w:hint="eastAsia" w:ascii="宋体" w:hAnsi="宋体" w:eastAsia="宋体" w:cs="Times New Roman"/>
                <w:b w:val="0"/>
                <w:bCs w:val="0"/>
                <w:color w:val="auto"/>
                <w:szCs w:val="21"/>
                <w:highlight w:val="none"/>
              </w:rPr>
              <w:t>（1）所投设备若纳入中华人民共和国医疗器械监督管理的，第一类医疗器械必须具备</w:t>
            </w:r>
            <w:r>
              <w:rPr>
                <w:rFonts w:hint="eastAsia" w:ascii="宋体" w:hAnsi="宋体" w:eastAsia="宋体" w:cs="宋体"/>
                <w:b w:val="0"/>
                <w:bCs w:val="0"/>
                <w:color w:val="auto"/>
                <w:szCs w:val="21"/>
                <w:highlight w:val="none"/>
              </w:rPr>
              <w:t>相关行政主管部门颁发</w:t>
            </w:r>
            <w:r>
              <w:rPr>
                <w:rFonts w:hint="eastAsia" w:ascii="宋体" w:hAnsi="宋体" w:eastAsia="宋体" w:cs="Times New Roman"/>
                <w:b w:val="0"/>
                <w:bCs w:val="0"/>
                <w:color w:val="auto"/>
                <w:szCs w:val="21"/>
                <w:highlight w:val="none"/>
              </w:rPr>
              <w:t>的医疗器械备案凭证；第二、三类医疗器械必须具备</w:t>
            </w:r>
            <w:r>
              <w:rPr>
                <w:rFonts w:hint="eastAsia" w:ascii="宋体" w:hAnsi="宋体" w:eastAsia="宋体" w:cs="宋体"/>
                <w:b w:val="0"/>
                <w:bCs w:val="0"/>
                <w:color w:val="auto"/>
                <w:szCs w:val="21"/>
                <w:highlight w:val="none"/>
              </w:rPr>
              <w:t>相关行政主管部门颁发</w:t>
            </w:r>
            <w:r>
              <w:rPr>
                <w:rFonts w:hint="eastAsia" w:ascii="宋体" w:hAnsi="宋体" w:eastAsia="宋体" w:cs="Times New Roman"/>
                <w:b w:val="0"/>
                <w:bCs w:val="0"/>
                <w:color w:val="auto"/>
                <w:szCs w:val="21"/>
                <w:highlight w:val="none"/>
              </w:rPr>
              <w:t>的医疗器械注册证。</w:t>
            </w:r>
          </w:p>
          <w:p w14:paraId="40686EA0">
            <w:pPr>
              <w:adjustRightInd w:val="0"/>
              <w:snapToGrid w:val="0"/>
              <w:spacing w:line="360" w:lineRule="auto"/>
              <w:rPr>
                <w:rFonts w:hint="eastAsia" w:ascii="宋体" w:hAnsi="宋体" w:eastAsia="宋体" w:cs="Times New Roman"/>
                <w:b w:val="0"/>
                <w:bCs w:val="0"/>
                <w:color w:val="auto"/>
                <w:szCs w:val="21"/>
                <w:highlight w:val="none"/>
              </w:rPr>
            </w:pPr>
            <w:r>
              <w:rPr>
                <w:rFonts w:hint="eastAsia" w:ascii="宋体" w:hAnsi="宋体" w:eastAsia="宋体" w:cs="Times New Roman"/>
                <w:b w:val="0"/>
                <w:bCs w:val="0"/>
                <w:color w:val="auto"/>
                <w:szCs w:val="21"/>
                <w:highlight w:val="none"/>
              </w:rPr>
              <w:t>（2）所投医疗器械不是自行生产，必须具备</w:t>
            </w:r>
            <w:r>
              <w:rPr>
                <w:rFonts w:hint="eastAsia" w:ascii="宋体" w:hAnsi="宋体" w:eastAsia="宋体" w:cs="宋体"/>
                <w:b w:val="0"/>
                <w:bCs w:val="0"/>
                <w:color w:val="auto"/>
                <w:szCs w:val="21"/>
                <w:highlight w:val="none"/>
              </w:rPr>
              <w:t>相关行政主管部门颁发</w:t>
            </w:r>
            <w:r>
              <w:rPr>
                <w:rFonts w:hint="eastAsia" w:ascii="宋体" w:hAnsi="宋体" w:eastAsia="宋体" w:cs="Times New Roman"/>
                <w:b w:val="0"/>
                <w:bCs w:val="0"/>
                <w:color w:val="auto"/>
                <w:szCs w:val="21"/>
                <w:highlight w:val="none"/>
              </w:rPr>
              <w:t>的相应医疗器械经营备案凭证（医疗器械经营许可证）。</w:t>
            </w:r>
          </w:p>
          <w:p w14:paraId="2E01CFCF">
            <w:pPr>
              <w:adjustRightInd w:val="0"/>
              <w:snapToGrid w:val="0"/>
              <w:spacing w:line="360" w:lineRule="auto"/>
              <w:rPr>
                <w:rFonts w:hint="eastAsia" w:ascii="宋体" w:hAnsi="宋体" w:eastAsia="宋体" w:cs="Times New Roman"/>
                <w:b w:val="0"/>
                <w:bCs w:val="0"/>
                <w:color w:val="auto"/>
                <w:szCs w:val="21"/>
                <w:highlight w:val="none"/>
              </w:rPr>
            </w:pPr>
            <w:r>
              <w:rPr>
                <w:rFonts w:hint="eastAsia" w:ascii="宋体" w:hAnsi="宋体" w:eastAsia="宋体" w:cs="Times New Roman"/>
                <w:b w:val="0"/>
                <w:bCs w:val="0"/>
                <w:color w:val="auto"/>
                <w:szCs w:val="21"/>
                <w:highlight w:val="none"/>
              </w:rPr>
              <w:t>（3）所投医疗器械为自行生产的，必须具备</w:t>
            </w:r>
            <w:r>
              <w:rPr>
                <w:rFonts w:hint="eastAsia" w:ascii="宋体" w:hAnsi="宋体" w:eastAsia="宋体" w:cs="宋体"/>
                <w:b w:val="0"/>
                <w:bCs w:val="0"/>
                <w:color w:val="auto"/>
                <w:szCs w:val="21"/>
                <w:highlight w:val="none"/>
              </w:rPr>
              <w:t>相关行政主管部门颁发</w:t>
            </w:r>
            <w:r>
              <w:rPr>
                <w:rFonts w:hint="eastAsia" w:ascii="宋体" w:hAnsi="宋体" w:eastAsia="宋体" w:cs="Times New Roman"/>
                <w:b w:val="0"/>
                <w:bCs w:val="0"/>
                <w:color w:val="auto"/>
                <w:szCs w:val="21"/>
                <w:highlight w:val="none"/>
              </w:rPr>
              <w:t>的相应医疗器械生产备案凭证（医疗器械生产许可证）。</w:t>
            </w:r>
          </w:p>
          <w:p w14:paraId="6B075844">
            <w:pPr>
              <w:keepNext w:val="0"/>
              <w:keepLines w:val="0"/>
              <w:pageBreakBefore w:val="0"/>
              <w:widowControl/>
              <w:numPr>
                <w:ilvl w:val="0"/>
                <w:numId w:val="0"/>
              </w:numPr>
              <w:kinsoku/>
              <w:wordWrap/>
              <w:overflowPunct/>
              <w:topLinePunct w:val="0"/>
              <w:bidi w:val="0"/>
              <w:adjustRightInd w:val="0"/>
              <w:snapToGrid w:val="0"/>
              <w:spacing w:line="360" w:lineRule="auto"/>
              <w:textAlignment w:val="auto"/>
              <w:rPr>
                <w:rFonts w:hint="eastAsia" w:ascii="宋体" w:hAnsi="宋体"/>
                <w:color w:val="auto"/>
                <w:szCs w:val="21"/>
                <w:highlight w:val="none"/>
                <w:lang w:val="en-US" w:eastAsia="zh-CN"/>
              </w:rPr>
            </w:pPr>
            <w:r>
              <w:rPr>
                <w:rFonts w:hint="eastAsia" w:ascii="宋体" w:hAnsi="宋体" w:eastAsia="宋体" w:cs="Times New Roman"/>
                <w:color w:val="auto"/>
                <w:kern w:val="2"/>
                <w:sz w:val="21"/>
                <w:szCs w:val="21"/>
                <w:highlight w:val="none"/>
                <w:lang w:val="en-US" w:eastAsia="zh-CN" w:bidi="ar-SA"/>
              </w:rPr>
              <w:t>（4）</w:t>
            </w:r>
            <w:r>
              <w:rPr>
                <w:rFonts w:hint="eastAsia" w:ascii="宋体" w:hAnsi="宋体" w:eastAsia="宋体" w:cs="Times New Roman"/>
                <w:color w:val="auto"/>
                <w:szCs w:val="21"/>
                <w:highlight w:val="none"/>
                <w:lang w:val="en-US" w:eastAsia="zh-CN"/>
              </w:rPr>
              <w:t>供应商需提供《湖南省政府采购供应商资格承诺函》。</w:t>
            </w:r>
          </w:p>
          <w:p w14:paraId="764A13B5">
            <w:pPr>
              <w:keepNext w:val="0"/>
              <w:keepLines w:val="0"/>
              <w:pageBreakBefore w:val="0"/>
              <w:widowControl/>
              <w:numPr>
                <w:ilvl w:val="0"/>
                <w:numId w:val="0"/>
              </w:numPr>
              <w:kinsoku/>
              <w:wordWrap/>
              <w:overflowPunct/>
              <w:topLinePunct w:val="0"/>
              <w:bidi w:val="0"/>
              <w:adjustRightInd w:val="0"/>
              <w:snapToGrid w:val="0"/>
              <w:spacing w:line="360" w:lineRule="auto"/>
              <w:textAlignment w:val="auto"/>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kern w:val="2"/>
                <w:sz w:val="21"/>
                <w:szCs w:val="21"/>
                <w:highlight w:val="none"/>
                <w:lang w:val="en-US" w:eastAsia="zh-CN" w:bidi="ar-SA"/>
              </w:rPr>
              <w:t>（5）</w:t>
            </w:r>
            <w:r>
              <w:rPr>
                <w:rFonts w:hint="eastAsia" w:ascii="宋体" w:hAnsi="宋体"/>
                <w:color w:val="auto"/>
                <w:szCs w:val="21"/>
                <w:highlight w:val="none"/>
                <w:lang w:val="en-US" w:eastAsia="zh-CN"/>
              </w:rPr>
              <w:t>所有证书必须在有效期内。</w:t>
            </w:r>
          </w:p>
          <w:p w14:paraId="54691AF1">
            <w:pPr>
              <w:keepNext w:val="0"/>
              <w:keepLines w:val="0"/>
              <w:pageBreakBefore w:val="0"/>
              <w:widowControl/>
              <w:numPr>
                <w:ilvl w:val="0"/>
                <w:numId w:val="0"/>
              </w:numPr>
              <w:kinsoku/>
              <w:wordWrap/>
              <w:overflowPunct/>
              <w:topLinePunct w:val="0"/>
              <w:bidi w:val="0"/>
              <w:adjustRightInd w:val="0"/>
              <w:snapToGrid w:val="0"/>
              <w:spacing w:line="360" w:lineRule="auto"/>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4、单位负责人为同一人或者存在直接控股、管理关系的不同 投标人，不得参加同一合同项下的政府采购活动。</w:t>
            </w:r>
          </w:p>
          <w:p w14:paraId="1C648619">
            <w:pPr>
              <w:keepNext w:val="0"/>
              <w:keepLines w:val="0"/>
              <w:pageBreakBefore w:val="0"/>
              <w:widowControl/>
              <w:numPr>
                <w:ilvl w:val="0"/>
                <w:numId w:val="0"/>
              </w:numPr>
              <w:kinsoku/>
              <w:wordWrap/>
              <w:overflowPunct/>
              <w:topLinePunct w:val="0"/>
              <w:bidi w:val="0"/>
              <w:adjustRightInd w:val="0"/>
              <w:snapToGrid w:val="0"/>
              <w:spacing w:line="360" w:lineRule="auto"/>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5、为本采购项目提供整体设计、规范编制或者项目管理、监 理、检测等服务的， 不得再参加此项目的其他采购活动。</w:t>
            </w:r>
          </w:p>
          <w:p w14:paraId="6F631176">
            <w:pPr>
              <w:keepNext w:val="0"/>
              <w:keepLines w:val="0"/>
              <w:pageBreakBefore w:val="0"/>
              <w:widowControl/>
              <w:numPr>
                <w:ilvl w:val="0"/>
                <w:numId w:val="0"/>
              </w:numPr>
              <w:kinsoku/>
              <w:wordWrap/>
              <w:overflowPunct/>
              <w:topLinePunct w:val="0"/>
              <w:bidi w:val="0"/>
              <w:adjustRightInd w:val="0"/>
              <w:snapToGrid w:val="0"/>
              <w:spacing w:line="360" w:lineRule="auto"/>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6、列入失信被执行人、重大税收违法失信主体名单、政府采 购严重违法失信行为记录名单的，拒绝其参与政府采购活动。</w:t>
            </w:r>
          </w:p>
          <w:p w14:paraId="3B60BCF8">
            <w:pPr>
              <w:keepNext w:val="0"/>
              <w:keepLines w:val="0"/>
              <w:pageBreakBefore w:val="0"/>
              <w:widowControl/>
              <w:numPr>
                <w:ilvl w:val="0"/>
                <w:numId w:val="0"/>
              </w:numPr>
              <w:kinsoku/>
              <w:wordWrap/>
              <w:overflowPunct/>
              <w:topLinePunct w:val="0"/>
              <w:bidi w:val="0"/>
              <w:adjustRightInd w:val="0"/>
              <w:snapToGrid w:val="0"/>
              <w:spacing w:line="360" w:lineRule="auto"/>
              <w:textAlignment w:val="auto"/>
              <w:rPr>
                <w:rFonts w:hAnsi="宋体"/>
                <w:color w:val="auto"/>
                <w:szCs w:val="21"/>
                <w:highlight w:val="none"/>
              </w:rPr>
            </w:pPr>
            <w:r>
              <w:rPr>
                <w:rFonts w:hint="eastAsia" w:ascii="宋体" w:hAnsi="宋体"/>
                <w:color w:val="auto"/>
                <w:szCs w:val="21"/>
                <w:highlight w:val="none"/>
                <w:lang w:val="en-US" w:eastAsia="zh-CN"/>
              </w:rPr>
              <w:t>7、联合体投标。本次招标 不接受  联合体投标。</w:t>
            </w:r>
          </w:p>
        </w:tc>
      </w:tr>
      <w:tr w14:paraId="78546DA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24" w:hRule="atLeast"/>
        </w:trPr>
        <w:tc>
          <w:tcPr>
            <w:tcW w:w="1666" w:type="dxa"/>
            <w:noWrap w:val="0"/>
            <w:vAlign w:val="center"/>
          </w:tcPr>
          <w:p w14:paraId="42BAE991">
            <w:pPr>
              <w:adjustRightInd w:val="0"/>
              <w:snapToGrid w:val="0"/>
              <w:spacing w:line="360" w:lineRule="auto"/>
              <w:jc w:val="center"/>
              <w:rPr>
                <w:rFonts w:ascii="宋体" w:hAnsi="宋体" w:eastAsia="宋体"/>
                <w:color w:val="auto"/>
                <w:szCs w:val="21"/>
                <w:highlight w:val="none"/>
              </w:rPr>
            </w:pPr>
            <w:r>
              <w:rPr>
                <w:rFonts w:hint="eastAsia" w:ascii="宋体" w:hAnsi="宋体" w:eastAsia="宋体"/>
                <w:color w:val="auto"/>
                <w:szCs w:val="21"/>
                <w:highlight w:val="none"/>
              </w:rPr>
              <w:t>第3.2</w:t>
            </w:r>
            <w:r>
              <w:rPr>
                <w:rFonts w:hint="eastAsia" w:ascii="宋体" w:hAnsi="宋体" w:eastAsia="宋体" w:cs="宋体"/>
                <w:color w:val="auto"/>
                <w:kern w:val="0"/>
                <w:szCs w:val="21"/>
                <w:highlight w:val="none"/>
                <w:lang w:val="zh-CN"/>
              </w:rPr>
              <w:t>款</w:t>
            </w:r>
          </w:p>
        </w:tc>
        <w:tc>
          <w:tcPr>
            <w:tcW w:w="2068" w:type="dxa"/>
            <w:gridSpan w:val="2"/>
            <w:noWrap w:val="0"/>
            <w:vAlign w:val="center"/>
          </w:tcPr>
          <w:p w14:paraId="2F985F59">
            <w:pPr>
              <w:adjustRightInd w:val="0"/>
              <w:snapToGrid w:val="0"/>
              <w:spacing w:line="360" w:lineRule="auto"/>
              <w:jc w:val="left"/>
              <w:rPr>
                <w:rFonts w:hAnsi="宋体"/>
                <w:color w:val="auto"/>
                <w:szCs w:val="21"/>
                <w:highlight w:val="none"/>
              </w:rPr>
            </w:pPr>
            <w:r>
              <w:rPr>
                <w:rFonts w:hint="eastAsia" w:hAnsi="宋体"/>
                <w:color w:val="auto"/>
                <w:szCs w:val="21"/>
                <w:highlight w:val="none"/>
              </w:rPr>
              <w:t>接受联合体形式投标</w:t>
            </w:r>
          </w:p>
        </w:tc>
        <w:tc>
          <w:tcPr>
            <w:tcW w:w="5845" w:type="dxa"/>
            <w:noWrap w:val="0"/>
            <w:vAlign w:val="center"/>
          </w:tcPr>
          <w:p w14:paraId="4F0BB8C5">
            <w:pPr>
              <w:spacing w:before="75" w:line="221" w:lineRule="auto"/>
              <w:rPr>
                <w:rFonts w:ascii="宋体" w:hAnsi="宋体" w:eastAsia="宋体" w:cs="宋体"/>
                <w:color w:val="auto"/>
                <w:sz w:val="21"/>
                <w:szCs w:val="21"/>
                <w:highlight w:val="none"/>
              </w:rPr>
            </w:pPr>
            <w:r>
              <w:rPr>
                <w:rFonts w:ascii="宋体" w:hAnsi="宋体" w:eastAsia="宋体" w:cs="宋体"/>
                <w:color w:val="auto"/>
                <w:spacing w:val="-7"/>
                <w:sz w:val="21"/>
                <w:szCs w:val="21"/>
                <w:highlight w:val="none"/>
              </w:rPr>
              <w:t>■</w:t>
            </w:r>
            <w:r>
              <w:rPr>
                <w:rFonts w:ascii="宋体" w:hAnsi="宋体" w:eastAsia="宋体" w:cs="宋体"/>
                <w:color w:val="auto"/>
                <w:spacing w:val="-6"/>
                <w:sz w:val="21"/>
                <w:szCs w:val="21"/>
                <w:highlight w:val="none"/>
              </w:rPr>
              <w:t>不接受</w:t>
            </w:r>
          </w:p>
          <w:p w14:paraId="5E6469C8">
            <w:pPr>
              <w:adjustRightInd w:val="0"/>
              <w:snapToGrid w:val="0"/>
              <w:spacing w:line="420" w:lineRule="exact"/>
              <w:rPr>
                <w:rFonts w:hAnsi="宋体"/>
                <w:color w:val="auto"/>
                <w:szCs w:val="21"/>
                <w:highlight w:val="none"/>
              </w:rPr>
            </w:pPr>
            <w:r>
              <w:rPr>
                <w:rFonts w:ascii="宋体" w:hAnsi="宋体" w:eastAsia="宋体" w:cs="宋体"/>
                <w:color w:val="auto"/>
                <w:spacing w:val="-5"/>
                <w:sz w:val="21"/>
                <w:szCs w:val="21"/>
                <w:highlight w:val="none"/>
              </w:rPr>
              <w:sym w:font="Wingdings" w:char="00A8"/>
            </w:r>
            <w:r>
              <w:rPr>
                <w:rFonts w:ascii="宋体" w:hAnsi="宋体" w:eastAsia="宋体" w:cs="宋体"/>
                <w:color w:val="auto"/>
                <w:spacing w:val="-6"/>
                <w:sz w:val="21"/>
                <w:szCs w:val="21"/>
                <w:highlight w:val="none"/>
              </w:rPr>
              <w:t>接受</w:t>
            </w:r>
          </w:p>
        </w:tc>
      </w:tr>
      <w:tr w14:paraId="6F7CD49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39" w:hRule="atLeast"/>
        </w:trPr>
        <w:tc>
          <w:tcPr>
            <w:tcW w:w="1666" w:type="dxa"/>
            <w:noWrap w:val="0"/>
            <w:vAlign w:val="center"/>
          </w:tcPr>
          <w:p w14:paraId="38745652">
            <w:pPr>
              <w:adjustRightInd w:val="0"/>
              <w:snapToGrid w:val="0"/>
              <w:spacing w:line="360" w:lineRule="auto"/>
              <w:jc w:val="center"/>
              <w:rPr>
                <w:rFonts w:ascii="宋体" w:hAnsi="宋体" w:eastAsia="宋体"/>
                <w:color w:val="auto"/>
                <w:szCs w:val="21"/>
                <w:highlight w:val="none"/>
              </w:rPr>
            </w:pPr>
            <w:r>
              <w:rPr>
                <w:rFonts w:hint="eastAsia" w:ascii="宋体" w:hAnsi="宋体" w:eastAsia="宋体"/>
                <w:color w:val="auto"/>
                <w:szCs w:val="21"/>
                <w:highlight w:val="none"/>
              </w:rPr>
              <w:t>第5.1</w:t>
            </w:r>
            <w:r>
              <w:rPr>
                <w:rFonts w:hint="eastAsia" w:ascii="宋体" w:hAnsi="宋体" w:eastAsia="宋体" w:cs="宋体"/>
                <w:color w:val="auto"/>
                <w:kern w:val="0"/>
                <w:szCs w:val="21"/>
                <w:highlight w:val="none"/>
                <w:lang w:val="zh-CN"/>
              </w:rPr>
              <w:t>款</w:t>
            </w:r>
          </w:p>
        </w:tc>
        <w:tc>
          <w:tcPr>
            <w:tcW w:w="2068" w:type="dxa"/>
            <w:gridSpan w:val="2"/>
            <w:noWrap w:val="0"/>
            <w:vAlign w:val="center"/>
          </w:tcPr>
          <w:p w14:paraId="1A22BC8C">
            <w:pPr>
              <w:adjustRightInd w:val="0"/>
              <w:snapToGrid w:val="0"/>
              <w:spacing w:line="360" w:lineRule="auto"/>
              <w:jc w:val="left"/>
              <w:rPr>
                <w:rFonts w:hAnsi="宋体"/>
                <w:color w:val="auto"/>
                <w:szCs w:val="21"/>
                <w:highlight w:val="none"/>
              </w:rPr>
            </w:pPr>
            <w:r>
              <w:rPr>
                <w:rFonts w:hint="eastAsia" w:ascii="宋体" w:hAnsi="宋体" w:eastAsia="宋体"/>
                <w:color w:val="auto"/>
                <w:szCs w:val="21"/>
                <w:highlight w:val="none"/>
              </w:rPr>
              <w:t>招标文件提供期限</w:t>
            </w:r>
          </w:p>
        </w:tc>
        <w:tc>
          <w:tcPr>
            <w:tcW w:w="5845" w:type="dxa"/>
            <w:noWrap w:val="0"/>
            <w:vAlign w:val="center"/>
          </w:tcPr>
          <w:p w14:paraId="38FB87D3">
            <w:pPr>
              <w:adjustRightInd w:val="0"/>
              <w:snapToGrid w:val="0"/>
              <w:spacing w:line="420" w:lineRule="exact"/>
              <w:rPr>
                <w:rFonts w:hAnsi="宋体"/>
                <w:color w:val="auto"/>
                <w:szCs w:val="21"/>
                <w:highlight w:val="none"/>
              </w:rPr>
            </w:pPr>
            <w:r>
              <w:rPr>
                <w:rFonts w:ascii="宋体" w:hAnsi="宋体" w:eastAsia="宋体" w:cs="宋体"/>
                <w:color w:val="auto"/>
                <w:spacing w:val="-1"/>
                <w:sz w:val="21"/>
                <w:szCs w:val="21"/>
                <w:highlight w:val="none"/>
              </w:rPr>
              <w:t>详见招标公</w:t>
            </w:r>
            <w:r>
              <w:rPr>
                <w:rFonts w:ascii="宋体" w:hAnsi="宋体" w:eastAsia="宋体" w:cs="宋体"/>
                <w:color w:val="auto"/>
                <w:sz w:val="21"/>
                <w:szCs w:val="21"/>
                <w:highlight w:val="none"/>
              </w:rPr>
              <w:t>告</w:t>
            </w:r>
          </w:p>
        </w:tc>
      </w:tr>
      <w:tr w14:paraId="43425A1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228" w:hRule="atLeast"/>
        </w:trPr>
        <w:tc>
          <w:tcPr>
            <w:tcW w:w="1666" w:type="dxa"/>
            <w:noWrap w:val="0"/>
            <w:vAlign w:val="center"/>
          </w:tcPr>
          <w:p w14:paraId="0B8C8511">
            <w:pPr>
              <w:adjustRightInd w:val="0"/>
              <w:snapToGrid w:val="0"/>
              <w:spacing w:line="360" w:lineRule="auto"/>
              <w:jc w:val="center"/>
              <w:rPr>
                <w:rFonts w:ascii="宋体" w:hAnsi="宋体" w:eastAsia="宋体"/>
                <w:color w:val="auto"/>
                <w:szCs w:val="21"/>
                <w:highlight w:val="none"/>
              </w:rPr>
            </w:pPr>
            <w:r>
              <w:rPr>
                <w:rFonts w:hint="eastAsia" w:ascii="宋体" w:hAnsi="宋体" w:eastAsia="宋体"/>
                <w:color w:val="auto"/>
                <w:szCs w:val="21"/>
                <w:highlight w:val="none"/>
              </w:rPr>
              <w:t>第5.2</w:t>
            </w:r>
            <w:r>
              <w:rPr>
                <w:rFonts w:hint="eastAsia" w:ascii="宋体" w:hAnsi="宋体" w:eastAsia="宋体" w:cs="宋体"/>
                <w:color w:val="auto"/>
                <w:kern w:val="0"/>
                <w:szCs w:val="21"/>
                <w:highlight w:val="none"/>
                <w:lang w:val="zh-CN"/>
              </w:rPr>
              <w:t>款</w:t>
            </w:r>
          </w:p>
        </w:tc>
        <w:tc>
          <w:tcPr>
            <w:tcW w:w="2068" w:type="dxa"/>
            <w:gridSpan w:val="2"/>
            <w:noWrap w:val="0"/>
            <w:vAlign w:val="center"/>
          </w:tcPr>
          <w:p w14:paraId="3E9484BB">
            <w:pPr>
              <w:adjustRightInd w:val="0"/>
              <w:snapToGrid w:val="0"/>
              <w:spacing w:line="360" w:lineRule="auto"/>
              <w:jc w:val="left"/>
              <w:rPr>
                <w:rFonts w:ascii="宋体" w:hAnsi="宋体" w:eastAsia="宋体"/>
                <w:color w:val="auto"/>
                <w:szCs w:val="21"/>
                <w:highlight w:val="none"/>
              </w:rPr>
            </w:pPr>
            <w:r>
              <w:rPr>
                <w:rFonts w:hint="eastAsia" w:ascii="宋体" w:hAnsi="宋体" w:eastAsia="宋体"/>
                <w:color w:val="auto"/>
                <w:szCs w:val="21"/>
                <w:highlight w:val="none"/>
              </w:rPr>
              <w:t>组织现场考察或者召开答疑会</w:t>
            </w:r>
          </w:p>
        </w:tc>
        <w:tc>
          <w:tcPr>
            <w:tcW w:w="5845" w:type="dxa"/>
            <w:noWrap w:val="0"/>
            <w:vAlign w:val="center"/>
          </w:tcPr>
          <w:p w14:paraId="5B404302">
            <w:pPr>
              <w:adjustRightInd w:val="0"/>
              <w:snapToGrid w:val="0"/>
              <w:spacing w:line="360" w:lineRule="auto"/>
              <w:rPr>
                <w:rFonts w:ascii="宋体" w:hAnsi="宋体" w:eastAsia="宋体"/>
                <w:color w:val="auto"/>
                <w:szCs w:val="21"/>
                <w:highlight w:val="none"/>
              </w:rPr>
            </w:pPr>
            <w:r>
              <w:rPr>
                <w:rFonts w:ascii="宋体" w:hAnsi="宋体" w:eastAsia="宋体"/>
                <w:color w:val="auto"/>
                <w:szCs w:val="21"/>
                <w:highlight w:val="none"/>
              </w:rPr>
              <w:t>■不组织</w:t>
            </w:r>
          </w:p>
          <w:p w14:paraId="5FE142CE">
            <w:pPr>
              <w:adjustRightInd w:val="0"/>
              <w:snapToGrid w:val="0"/>
              <w:spacing w:line="360" w:lineRule="auto"/>
              <w:rPr>
                <w:rFonts w:ascii="宋体" w:hAnsi="宋体" w:eastAsia="宋体"/>
                <w:color w:val="auto"/>
                <w:szCs w:val="21"/>
                <w:highlight w:val="none"/>
              </w:rPr>
            </w:pPr>
            <w:r>
              <w:rPr>
                <w:rFonts w:ascii="宋体" w:hAnsi="宋体" w:eastAsia="宋体"/>
                <w:color w:val="auto"/>
                <w:szCs w:val="21"/>
                <w:highlight w:val="none"/>
              </w:rPr>
              <w:t>□组织</w:t>
            </w:r>
          </w:p>
          <w:p w14:paraId="494D78B3">
            <w:pPr>
              <w:adjustRightInd w:val="0"/>
              <w:snapToGrid w:val="0"/>
              <w:spacing w:line="360" w:lineRule="auto"/>
              <w:rPr>
                <w:rFonts w:ascii="宋体" w:hAnsi="宋体" w:eastAsia="宋体"/>
                <w:color w:val="auto"/>
                <w:szCs w:val="21"/>
                <w:highlight w:val="none"/>
              </w:rPr>
            </w:pPr>
            <w:r>
              <w:rPr>
                <w:rFonts w:ascii="宋体" w:hAnsi="宋体" w:eastAsia="宋体"/>
                <w:color w:val="auto"/>
                <w:szCs w:val="21"/>
                <w:highlight w:val="none"/>
              </w:rPr>
              <w:t>时间： /地点：/联系人：</w:t>
            </w:r>
          </w:p>
        </w:tc>
      </w:tr>
      <w:tr w14:paraId="43CF3F8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27" w:hRule="atLeast"/>
        </w:trPr>
        <w:tc>
          <w:tcPr>
            <w:tcW w:w="9579" w:type="dxa"/>
            <w:gridSpan w:val="4"/>
            <w:noWrap w:val="0"/>
            <w:vAlign w:val="center"/>
          </w:tcPr>
          <w:p w14:paraId="6579F63C">
            <w:pPr>
              <w:adjustRightInd w:val="0"/>
              <w:snapToGrid w:val="0"/>
              <w:spacing w:line="360" w:lineRule="auto"/>
              <w:rPr>
                <w:rFonts w:ascii="宋体" w:hAnsi="宋体" w:eastAsia="宋体"/>
                <w:b/>
                <w:color w:val="auto"/>
                <w:szCs w:val="21"/>
                <w:highlight w:val="none"/>
              </w:rPr>
            </w:pPr>
            <w:r>
              <w:rPr>
                <w:rFonts w:hint="eastAsia" w:ascii="宋体" w:hAnsi="宋体" w:eastAsia="宋体"/>
                <w:b/>
                <w:color w:val="auto"/>
                <w:szCs w:val="21"/>
                <w:highlight w:val="none"/>
              </w:rPr>
              <w:t>二、招标文件</w:t>
            </w:r>
          </w:p>
        </w:tc>
      </w:tr>
      <w:tr w14:paraId="08B9B2A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25" w:hRule="atLeast"/>
        </w:trPr>
        <w:tc>
          <w:tcPr>
            <w:tcW w:w="1666" w:type="dxa"/>
            <w:noWrap w:val="0"/>
            <w:vAlign w:val="center"/>
          </w:tcPr>
          <w:p w14:paraId="5A8B2C05">
            <w:pPr>
              <w:adjustRightInd w:val="0"/>
              <w:snapToGrid w:val="0"/>
              <w:spacing w:line="360" w:lineRule="auto"/>
              <w:jc w:val="center"/>
              <w:rPr>
                <w:rFonts w:ascii="宋体" w:hAnsi="宋体" w:eastAsia="宋体"/>
                <w:color w:val="auto"/>
                <w:szCs w:val="21"/>
                <w:highlight w:val="none"/>
              </w:rPr>
            </w:pPr>
            <w:r>
              <w:rPr>
                <w:rFonts w:hint="eastAsia" w:ascii="宋体" w:hAnsi="宋体" w:eastAsia="宋体"/>
                <w:color w:val="auto"/>
                <w:szCs w:val="21"/>
                <w:highlight w:val="none"/>
              </w:rPr>
              <w:t>第7.4</w:t>
            </w:r>
            <w:r>
              <w:rPr>
                <w:rFonts w:hint="eastAsia" w:ascii="宋体" w:hAnsi="宋体" w:eastAsia="宋体" w:cs="宋体"/>
                <w:color w:val="auto"/>
                <w:kern w:val="0"/>
                <w:szCs w:val="21"/>
                <w:highlight w:val="none"/>
                <w:lang w:val="zh-CN"/>
              </w:rPr>
              <w:t>款</w:t>
            </w:r>
          </w:p>
        </w:tc>
        <w:tc>
          <w:tcPr>
            <w:tcW w:w="2068" w:type="dxa"/>
            <w:gridSpan w:val="2"/>
            <w:noWrap w:val="0"/>
            <w:vAlign w:val="center"/>
          </w:tcPr>
          <w:p w14:paraId="675B020D">
            <w:pPr>
              <w:adjustRightInd w:val="0"/>
              <w:snapToGrid w:val="0"/>
              <w:spacing w:line="360" w:lineRule="auto"/>
              <w:jc w:val="left"/>
              <w:rPr>
                <w:rFonts w:ascii="宋体" w:hAnsi="宋体" w:eastAsia="宋体"/>
                <w:color w:val="auto"/>
                <w:szCs w:val="21"/>
                <w:highlight w:val="none"/>
              </w:rPr>
            </w:pPr>
            <w:r>
              <w:rPr>
                <w:rFonts w:hint="eastAsia" w:ascii="宋体" w:hAnsi="宋体" w:eastAsia="宋体"/>
                <w:color w:val="auto"/>
                <w:szCs w:val="21"/>
                <w:highlight w:val="none"/>
              </w:rPr>
              <w:t>非实质性偏离的范围和幅度</w:t>
            </w:r>
          </w:p>
        </w:tc>
        <w:tc>
          <w:tcPr>
            <w:tcW w:w="5845" w:type="dxa"/>
            <w:noWrap w:val="0"/>
            <w:vAlign w:val="center"/>
          </w:tcPr>
          <w:p w14:paraId="6BA9E3E1">
            <w:pPr>
              <w:spacing w:before="76" w:line="221" w:lineRule="auto"/>
              <w:rPr>
                <w:rFonts w:hint="default" w:ascii="宋体" w:hAnsi="宋体" w:eastAsia="宋体"/>
                <w:color w:val="auto"/>
                <w:szCs w:val="21"/>
                <w:highlight w:val="none"/>
                <w:u w:val="single"/>
                <w:lang w:val="en-US" w:eastAsia="zh-CN"/>
              </w:rPr>
            </w:pPr>
            <w:r>
              <w:rPr>
                <w:rFonts w:hint="eastAsia" w:ascii="宋体" w:hAnsi="宋体" w:cs="宋体"/>
                <w:strike w:val="0"/>
                <w:dstrike w:val="0"/>
                <w:color w:val="auto"/>
                <w:szCs w:val="21"/>
                <w:highlight w:val="none"/>
                <w:lang w:val="en-US" w:eastAsia="zh-CN"/>
              </w:rPr>
              <w:t>/</w:t>
            </w:r>
          </w:p>
        </w:tc>
      </w:tr>
      <w:tr w14:paraId="525910C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5" w:hRule="atLeast"/>
        </w:trPr>
        <w:tc>
          <w:tcPr>
            <w:tcW w:w="1666" w:type="dxa"/>
            <w:noWrap w:val="0"/>
            <w:vAlign w:val="center"/>
          </w:tcPr>
          <w:p w14:paraId="7EDAA9A3">
            <w:pPr>
              <w:adjustRightInd w:val="0"/>
              <w:snapToGrid w:val="0"/>
              <w:spacing w:line="360" w:lineRule="auto"/>
              <w:jc w:val="center"/>
              <w:rPr>
                <w:rFonts w:ascii="宋体" w:hAnsi="宋体" w:eastAsia="宋体"/>
                <w:color w:val="auto"/>
                <w:szCs w:val="21"/>
                <w:highlight w:val="none"/>
              </w:rPr>
            </w:pPr>
            <w:r>
              <w:rPr>
                <w:rFonts w:hint="eastAsia" w:ascii="宋体" w:hAnsi="宋体" w:eastAsia="宋体"/>
                <w:color w:val="auto"/>
                <w:szCs w:val="21"/>
                <w:highlight w:val="none"/>
              </w:rPr>
              <w:t>第9.1</w:t>
            </w:r>
            <w:r>
              <w:rPr>
                <w:rFonts w:hint="eastAsia" w:ascii="宋体" w:hAnsi="宋体" w:eastAsia="宋体" w:cs="宋体"/>
                <w:color w:val="auto"/>
                <w:kern w:val="0"/>
                <w:szCs w:val="21"/>
                <w:highlight w:val="none"/>
                <w:lang w:val="zh-CN"/>
              </w:rPr>
              <w:t>款</w:t>
            </w:r>
          </w:p>
        </w:tc>
        <w:tc>
          <w:tcPr>
            <w:tcW w:w="2068" w:type="dxa"/>
            <w:gridSpan w:val="2"/>
            <w:noWrap w:val="0"/>
            <w:vAlign w:val="center"/>
          </w:tcPr>
          <w:p w14:paraId="43A8D705">
            <w:pPr>
              <w:adjustRightInd w:val="0"/>
              <w:snapToGrid w:val="0"/>
              <w:spacing w:line="360" w:lineRule="auto"/>
              <w:jc w:val="left"/>
              <w:rPr>
                <w:rFonts w:ascii="宋体" w:hAnsi="宋体" w:eastAsia="宋体"/>
                <w:color w:val="auto"/>
                <w:szCs w:val="21"/>
                <w:highlight w:val="none"/>
              </w:rPr>
            </w:pPr>
            <w:r>
              <w:rPr>
                <w:rFonts w:hint="eastAsia" w:ascii="宋体" w:hAnsi="宋体" w:eastAsia="宋体"/>
                <w:color w:val="auto"/>
                <w:szCs w:val="21"/>
                <w:highlight w:val="none"/>
              </w:rPr>
              <w:t>招标公告指定媒体</w:t>
            </w:r>
          </w:p>
        </w:tc>
        <w:tc>
          <w:tcPr>
            <w:tcW w:w="5845" w:type="dxa"/>
            <w:noWrap w:val="0"/>
            <w:vAlign w:val="center"/>
          </w:tcPr>
          <w:p w14:paraId="661A1DC3">
            <w:pPr>
              <w:spacing w:before="76" w:line="221" w:lineRule="auto"/>
              <w:rPr>
                <w:rFonts w:hint="eastAsia" w:ascii="宋体" w:hAnsi="宋体" w:eastAsia="宋体" w:cs="宋体"/>
                <w:color w:val="auto"/>
                <w:spacing w:val="-1"/>
                <w:sz w:val="21"/>
                <w:szCs w:val="21"/>
                <w:highlight w:val="none"/>
              </w:rPr>
            </w:pPr>
            <w:r>
              <w:rPr>
                <w:rFonts w:ascii="宋体" w:hAnsi="宋体" w:eastAsia="宋体" w:cs="宋体"/>
                <w:color w:val="auto"/>
                <w:spacing w:val="-1"/>
                <w:sz w:val="21"/>
                <w:szCs w:val="21"/>
                <w:highlight w:val="none"/>
              </w:rPr>
              <w:t>湖</w:t>
            </w:r>
            <w:r>
              <w:rPr>
                <w:rFonts w:hint="eastAsia" w:ascii="宋体" w:hAnsi="宋体" w:eastAsia="宋体" w:cs="宋体"/>
                <w:color w:val="auto"/>
                <w:spacing w:val="-1"/>
                <w:sz w:val="21"/>
                <w:szCs w:val="21"/>
                <w:highlight w:val="none"/>
              </w:rPr>
              <w:t>南省</w:t>
            </w:r>
            <w:r>
              <w:rPr>
                <w:rFonts w:hint="eastAsia" w:ascii="宋体" w:hAnsi="宋体" w:eastAsia="宋体" w:cs="宋体"/>
                <w:color w:val="auto"/>
                <w:spacing w:val="-1"/>
                <w:sz w:val="21"/>
                <w:szCs w:val="21"/>
                <w:highlight w:val="none"/>
                <w:lang w:val="en-US" w:eastAsia="zh-CN"/>
              </w:rPr>
              <w:t>株洲市</w:t>
            </w:r>
            <w:r>
              <w:rPr>
                <w:rFonts w:hint="eastAsia" w:ascii="宋体" w:hAnsi="宋体" w:eastAsia="宋体" w:cs="宋体"/>
                <w:color w:val="auto"/>
                <w:spacing w:val="-1"/>
                <w:sz w:val="21"/>
                <w:szCs w:val="21"/>
                <w:highlight w:val="none"/>
              </w:rPr>
              <w:t>政府采购网</w:t>
            </w:r>
            <w:r>
              <w:rPr>
                <w:rFonts w:hint="eastAsia" w:ascii="宋体" w:hAnsi="宋体" w:eastAsia="宋体" w:cs="宋体"/>
                <w:color w:val="auto"/>
                <w:spacing w:val="-1"/>
                <w:sz w:val="21"/>
                <w:szCs w:val="21"/>
                <w:highlight w:val="none"/>
              </w:rPr>
              <w:fldChar w:fldCharType="begin"/>
            </w:r>
            <w:r>
              <w:rPr>
                <w:rFonts w:hint="eastAsia" w:ascii="宋体" w:hAnsi="宋体" w:eastAsia="宋体" w:cs="宋体"/>
                <w:color w:val="auto"/>
                <w:spacing w:val="-1"/>
                <w:sz w:val="21"/>
                <w:szCs w:val="21"/>
                <w:highlight w:val="none"/>
              </w:rPr>
              <w:instrText xml:space="preserve"> HYPERLINK "http://www.ccgp-hunan.gov.cn/" </w:instrText>
            </w:r>
            <w:r>
              <w:rPr>
                <w:rFonts w:hint="eastAsia" w:ascii="宋体" w:hAnsi="宋体" w:eastAsia="宋体" w:cs="宋体"/>
                <w:color w:val="auto"/>
                <w:spacing w:val="-1"/>
                <w:sz w:val="21"/>
                <w:szCs w:val="21"/>
                <w:highlight w:val="none"/>
              </w:rPr>
              <w:fldChar w:fldCharType="separate"/>
            </w:r>
            <w:r>
              <w:rPr>
                <w:rFonts w:hint="eastAsia" w:ascii="宋体" w:hAnsi="宋体" w:eastAsia="宋体" w:cs="宋体"/>
                <w:color w:val="auto"/>
                <w:spacing w:val="-1"/>
                <w:sz w:val="21"/>
                <w:szCs w:val="21"/>
                <w:highlight w:val="none"/>
              </w:rPr>
              <w:t>(www.ccgp-hunan.gov.</w:t>
            </w:r>
            <w:r>
              <w:rPr>
                <w:rFonts w:hint="eastAsia" w:ascii="宋体" w:hAnsi="宋体" w:eastAsia="宋体" w:cs="宋体"/>
                <w:color w:val="auto"/>
                <w:spacing w:val="-1"/>
                <w:sz w:val="21"/>
                <w:szCs w:val="21"/>
                <w:highlight w:val="none"/>
              </w:rPr>
              <w:fldChar w:fldCharType="end"/>
            </w:r>
            <w:r>
              <w:rPr>
                <w:rFonts w:hint="eastAsia" w:ascii="宋体" w:hAnsi="宋体" w:eastAsia="宋体" w:cs="宋体"/>
                <w:color w:val="auto"/>
                <w:spacing w:val="-1"/>
                <w:sz w:val="21"/>
                <w:szCs w:val="21"/>
                <w:highlight w:val="none"/>
              </w:rPr>
              <w:t>cn)</w:t>
            </w:r>
          </w:p>
          <w:p w14:paraId="50D580B3">
            <w:pPr>
              <w:spacing w:before="76" w:line="221" w:lineRule="auto"/>
              <w:rPr>
                <w:rFonts w:hAnsi="宋体"/>
                <w:color w:val="auto"/>
                <w:szCs w:val="21"/>
                <w:highlight w:val="none"/>
              </w:rPr>
            </w:pPr>
            <w:r>
              <w:rPr>
                <w:rFonts w:hint="eastAsia" w:ascii="宋体" w:hAnsi="宋体" w:eastAsia="宋体" w:cs="宋体"/>
                <w:color w:val="auto"/>
                <w:spacing w:val="-1"/>
                <w:sz w:val="21"/>
                <w:szCs w:val="21"/>
                <w:highlight w:val="none"/>
              </w:rPr>
              <w:t>湖南省公共资源交易服务平台株洲分平台</w:t>
            </w:r>
            <w:r>
              <w:rPr>
                <w:rFonts w:hint="eastAsia" w:hAnsi="宋体"/>
                <w:color w:val="auto"/>
                <w:szCs w:val="21"/>
                <w:highlight w:val="none"/>
              </w:rPr>
              <w:t>（https://zhuzhou.hnsggzy.com）</w:t>
            </w:r>
          </w:p>
        </w:tc>
      </w:tr>
      <w:tr w14:paraId="2C67FF0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0" w:hRule="atLeast"/>
        </w:trPr>
        <w:tc>
          <w:tcPr>
            <w:tcW w:w="9579" w:type="dxa"/>
            <w:gridSpan w:val="4"/>
            <w:noWrap w:val="0"/>
            <w:vAlign w:val="center"/>
          </w:tcPr>
          <w:p w14:paraId="24759668">
            <w:pPr>
              <w:adjustRightInd w:val="0"/>
              <w:snapToGrid w:val="0"/>
              <w:spacing w:line="360" w:lineRule="auto"/>
              <w:rPr>
                <w:rFonts w:ascii="宋体" w:hAnsi="宋体" w:eastAsia="宋体"/>
                <w:color w:val="auto"/>
                <w:szCs w:val="21"/>
                <w:highlight w:val="none"/>
              </w:rPr>
            </w:pPr>
            <w:r>
              <w:rPr>
                <w:rFonts w:hint="eastAsia" w:ascii="宋体" w:hAnsi="宋体" w:eastAsia="宋体"/>
                <w:b/>
                <w:color w:val="auto"/>
                <w:szCs w:val="21"/>
                <w:highlight w:val="none"/>
              </w:rPr>
              <w:t>三、投标文件</w:t>
            </w:r>
          </w:p>
        </w:tc>
      </w:tr>
      <w:tr w14:paraId="56C16D7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04" w:hRule="atLeast"/>
        </w:trPr>
        <w:tc>
          <w:tcPr>
            <w:tcW w:w="1666" w:type="dxa"/>
            <w:vMerge w:val="restart"/>
            <w:shd w:val="clear" w:color="auto" w:fill="auto"/>
            <w:noWrap w:val="0"/>
            <w:vAlign w:val="center"/>
          </w:tcPr>
          <w:p w14:paraId="3AE34180">
            <w:pPr>
              <w:jc w:val="center"/>
              <w:rPr>
                <w:rFonts w:ascii="宋体" w:hAnsi="宋体" w:eastAsia="宋体" w:cs="宋体"/>
                <w:color w:val="auto"/>
                <w:kern w:val="2"/>
                <w:sz w:val="21"/>
                <w:szCs w:val="21"/>
                <w:highlight w:val="none"/>
                <w:lang w:val="en-US" w:eastAsia="zh-CN" w:bidi="ar-SA"/>
              </w:rPr>
            </w:pPr>
            <w:r>
              <w:rPr>
                <w:rFonts w:hint="eastAsia" w:ascii="宋体" w:hAnsi="宋体" w:cs="宋体"/>
                <w:color w:val="auto"/>
                <w:szCs w:val="21"/>
                <w:highlight w:val="none"/>
              </w:rPr>
              <w:t>第13.2</w:t>
            </w:r>
            <w:r>
              <w:rPr>
                <w:rFonts w:hint="eastAsia" w:ascii="宋体" w:hAnsi="宋体" w:cs="宋体"/>
                <w:color w:val="auto"/>
                <w:szCs w:val="21"/>
                <w:highlight w:val="none"/>
                <w:lang w:val="zh-CN"/>
              </w:rPr>
              <w:t>款</w:t>
            </w:r>
          </w:p>
        </w:tc>
        <w:tc>
          <w:tcPr>
            <w:tcW w:w="2068" w:type="dxa"/>
            <w:gridSpan w:val="2"/>
            <w:shd w:val="clear" w:color="auto" w:fill="auto"/>
            <w:noWrap w:val="0"/>
            <w:vAlign w:val="center"/>
          </w:tcPr>
          <w:p w14:paraId="3CD21DEE">
            <w:pPr>
              <w:jc w:val="left"/>
              <w:rPr>
                <w:rFonts w:ascii="宋体" w:hAnsi="宋体" w:eastAsia="宋体" w:cs="宋体"/>
                <w:color w:val="auto"/>
                <w:kern w:val="2"/>
                <w:sz w:val="21"/>
                <w:szCs w:val="21"/>
                <w:highlight w:val="none"/>
                <w:lang w:val="en-US" w:eastAsia="zh-CN" w:bidi="ar-SA"/>
              </w:rPr>
            </w:pPr>
            <w:r>
              <w:rPr>
                <w:rFonts w:hint="eastAsia" w:ascii="宋体" w:hAnsi="宋体" w:cs="宋体"/>
                <w:color w:val="auto"/>
                <w:szCs w:val="21"/>
                <w:highlight w:val="none"/>
              </w:rPr>
              <w:t>采购预算、最高限价</w:t>
            </w:r>
          </w:p>
        </w:tc>
        <w:tc>
          <w:tcPr>
            <w:tcW w:w="5845" w:type="dxa"/>
            <w:shd w:val="clear" w:color="auto" w:fill="auto"/>
            <w:noWrap w:val="0"/>
            <w:vAlign w:val="center"/>
          </w:tcPr>
          <w:p w14:paraId="0DBCF513">
            <w:pPr>
              <w:spacing w:line="360" w:lineRule="auto"/>
              <w:rPr>
                <w:rFonts w:ascii="宋体" w:hAnsi="宋体" w:eastAsia="宋体" w:cs="宋体"/>
                <w:color w:val="auto"/>
                <w:kern w:val="2"/>
                <w:sz w:val="21"/>
                <w:szCs w:val="21"/>
                <w:highlight w:val="none"/>
                <w:lang w:val="en-US" w:eastAsia="zh-CN" w:bidi="ar-SA"/>
              </w:rPr>
            </w:pPr>
            <w:r>
              <w:rPr>
                <w:rFonts w:hint="eastAsia" w:ascii="宋体" w:hAnsi="宋体" w:cs="宋体"/>
                <w:color w:val="auto"/>
                <w:szCs w:val="21"/>
                <w:highlight w:val="none"/>
              </w:rPr>
              <w:t>采购预</w:t>
            </w:r>
            <w:r>
              <w:rPr>
                <w:rFonts w:hint="eastAsia" w:ascii="宋体" w:hAnsi="宋体" w:cs="宋体"/>
                <w:color w:val="auto"/>
                <w:szCs w:val="21"/>
                <w:highlight w:val="none"/>
                <w:u w:val="none"/>
              </w:rPr>
              <w:t>算：</w:t>
            </w:r>
            <w:r>
              <w:rPr>
                <w:rFonts w:hint="eastAsia" w:ascii="宋体" w:hAnsi="宋体" w:cs="Times New Roman"/>
                <w:color w:val="auto"/>
                <w:szCs w:val="21"/>
                <w:highlight w:val="none"/>
                <w:u w:val="none"/>
                <w:lang w:val="en-US" w:eastAsia="zh-CN"/>
              </w:rPr>
              <w:t>12487000.00</w:t>
            </w:r>
            <w:r>
              <w:rPr>
                <w:rFonts w:hint="eastAsia" w:ascii="宋体" w:hAnsi="宋体" w:cs="宋体"/>
                <w:bCs/>
                <w:color w:val="auto"/>
                <w:szCs w:val="21"/>
                <w:highlight w:val="none"/>
                <w:u w:val="none"/>
                <w:lang w:val="en-US" w:eastAsia="zh-CN"/>
              </w:rPr>
              <w:t>元；</w:t>
            </w:r>
          </w:p>
        </w:tc>
      </w:tr>
      <w:tr w14:paraId="15CE3EF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04" w:hRule="atLeast"/>
        </w:trPr>
        <w:tc>
          <w:tcPr>
            <w:tcW w:w="1666" w:type="dxa"/>
            <w:vMerge w:val="continue"/>
            <w:noWrap w:val="0"/>
            <w:vAlign w:val="center"/>
          </w:tcPr>
          <w:p w14:paraId="3F6665B2">
            <w:pPr>
              <w:spacing w:before="76" w:line="221" w:lineRule="auto"/>
              <w:rPr>
                <w:rFonts w:hint="eastAsia" w:ascii="宋体" w:hAnsi="宋体" w:eastAsia="宋体"/>
                <w:color w:val="auto"/>
                <w:szCs w:val="21"/>
                <w:highlight w:val="none"/>
              </w:rPr>
            </w:pPr>
          </w:p>
        </w:tc>
        <w:tc>
          <w:tcPr>
            <w:tcW w:w="2068" w:type="dxa"/>
            <w:gridSpan w:val="2"/>
            <w:shd w:val="clear" w:color="auto" w:fill="auto"/>
            <w:noWrap w:val="0"/>
            <w:vAlign w:val="center"/>
          </w:tcPr>
          <w:p w14:paraId="35C815BA">
            <w:pPr>
              <w:jc w:val="left"/>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szCs w:val="21"/>
                <w:highlight w:val="none"/>
              </w:rPr>
              <w:t>最高限价</w:t>
            </w:r>
          </w:p>
        </w:tc>
        <w:tc>
          <w:tcPr>
            <w:tcW w:w="5845" w:type="dxa"/>
            <w:shd w:val="clear" w:color="auto" w:fill="auto"/>
            <w:noWrap w:val="0"/>
            <w:vAlign w:val="center"/>
          </w:tcPr>
          <w:p w14:paraId="4F70D12A">
            <w:pPr>
              <w:spacing w:line="360" w:lineRule="auto"/>
              <w:rPr>
                <w:rFonts w:hint="eastAsia" w:ascii="宋体" w:hAnsi="宋体" w:eastAsia="宋体" w:cs="宋体"/>
                <w:bCs/>
                <w:color w:val="auto"/>
                <w:kern w:val="2"/>
                <w:sz w:val="21"/>
                <w:szCs w:val="21"/>
                <w:highlight w:val="none"/>
                <w:u w:val="none"/>
                <w:lang w:val="en-US" w:eastAsia="zh-CN" w:bidi="ar-SA"/>
              </w:rPr>
            </w:pPr>
            <w:r>
              <w:rPr>
                <w:rFonts w:hint="eastAsia" w:ascii="宋体" w:hAnsi="宋体" w:cs="宋体"/>
                <w:bCs/>
                <w:color w:val="auto"/>
                <w:szCs w:val="21"/>
                <w:highlight w:val="none"/>
                <w:u w:val="none"/>
              </w:rPr>
              <w:t>最高限价</w:t>
            </w:r>
            <w:r>
              <w:rPr>
                <w:rFonts w:hint="eastAsia" w:ascii="宋体" w:hAnsi="宋体" w:cs="宋体"/>
                <w:bCs/>
                <w:color w:val="auto"/>
                <w:szCs w:val="21"/>
                <w:highlight w:val="none"/>
                <w:u w:val="none"/>
                <w:lang w:val="en-US" w:eastAsia="zh-CN"/>
              </w:rPr>
              <w:t>总价</w:t>
            </w:r>
            <w:r>
              <w:rPr>
                <w:rFonts w:hint="eastAsia" w:ascii="宋体" w:hAnsi="宋体" w:cs="宋体"/>
                <w:bCs/>
                <w:color w:val="auto"/>
                <w:szCs w:val="21"/>
                <w:highlight w:val="none"/>
                <w:u w:val="none"/>
              </w:rPr>
              <w:t>：</w:t>
            </w:r>
            <w:r>
              <w:rPr>
                <w:rFonts w:hint="eastAsia" w:ascii="宋体" w:hAnsi="宋体" w:cs="Times New Roman"/>
                <w:color w:val="auto"/>
                <w:szCs w:val="21"/>
                <w:highlight w:val="none"/>
                <w:u w:val="none"/>
                <w:lang w:val="en-US" w:eastAsia="zh-CN"/>
              </w:rPr>
              <w:t>12487000.00</w:t>
            </w:r>
            <w:r>
              <w:rPr>
                <w:rFonts w:hint="eastAsia" w:ascii="宋体" w:hAnsi="宋体" w:cs="宋体"/>
                <w:bCs/>
                <w:color w:val="auto"/>
                <w:szCs w:val="21"/>
                <w:highlight w:val="none"/>
                <w:u w:val="none"/>
                <w:lang w:val="en-US" w:eastAsia="zh-CN"/>
              </w:rPr>
              <w:t>元（其中：DSA（数字减影血管造影系统）：5250000.00元；主动脉球囊反搏泵：1100000.00元；床旁血滤机：437000.00元 ；数字化手术室：2100000.00元；腹腔镜：3600000.00元）；投标人不得超过最高限价总价，也不得超过以上公布的单项限价，否则为不合格投标人。</w:t>
            </w:r>
          </w:p>
        </w:tc>
      </w:tr>
      <w:tr w14:paraId="36F6F6E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73" w:hRule="atLeast"/>
        </w:trPr>
        <w:tc>
          <w:tcPr>
            <w:tcW w:w="1666" w:type="dxa"/>
            <w:noWrap w:val="0"/>
            <w:vAlign w:val="center"/>
          </w:tcPr>
          <w:p w14:paraId="520F819C">
            <w:pPr>
              <w:adjustRightInd w:val="0"/>
              <w:snapToGrid w:val="0"/>
              <w:spacing w:line="360" w:lineRule="auto"/>
              <w:jc w:val="center"/>
              <w:rPr>
                <w:rFonts w:ascii="宋体" w:hAnsi="宋体" w:eastAsia="宋体"/>
                <w:color w:val="auto"/>
                <w:szCs w:val="21"/>
                <w:highlight w:val="none"/>
              </w:rPr>
            </w:pPr>
            <w:r>
              <w:rPr>
                <w:rFonts w:hint="eastAsia" w:ascii="宋体" w:hAnsi="宋体" w:eastAsia="宋体"/>
                <w:color w:val="auto"/>
                <w:szCs w:val="21"/>
                <w:highlight w:val="none"/>
              </w:rPr>
              <w:t>第13.8款</w:t>
            </w:r>
          </w:p>
        </w:tc>
        <w:tc>
          <w:tcPr>
            <w:tcW w:w="2068" w:type="dxa"/>
            <w:gridSpan w:val="2"/>
            <w:noWrap w:val="0"/>
            <w:vAlign w:val="center"/>
          </w:tcPr>
          <w:p w14:paraId="18F858D1">
            <w:pPr>
              <w:adjustRightInd w:val="0"/>
              <w:snapToGrid w:val="0"/>
              <w:spacing w:line="360" w:lineRule="auto"/>
              <w:rPr>
                <w:rFonts w:ascii="宋体" w:hAnsi="宋体" w:eastAsia="宋体"/>
                <w:color w:val="auto"/>
                <w:szCs w:val="21"/>
                <w:highlight w:val="none"/>
              </w:rPr>
            </w:pPr>
            <w:r>
              <w:rPr>
                <w:rFonts w:hint="eastAsia" w:ascii="宋体" w:hAnsi="宋体" w:cs="宋体"/>
                <w:color w:val="auto"/>
                <w:szCs w:val="21"/>
                <w:highlight w:val="none"/>
              </w:rPr>
              <w:t>异常低价投标（响应）审查程序</w:t>
            </w:r>
          </w:p>
        </w:tc>
        <w:tc>
          <w:tcPr>
            <w:tcW w:w="5845" w:type="dxa"/>
            <w:noWrap w:val="0"/>
            <w:vAlign w:val="center"/>
          </w:tcPr>
          <w:p w14:paraId="61320618">
            <w:pPr>
              <w:spacing w:before="76" w:line="221" w:lineRule="auto"/>
              <w:rPr>
                <w:rFonts w:hint="eastAsia" w:ascii="宋体" w:hAnsi="宋体" w:eastAsia="宋体" w:cs="Times New Roman"/>
                <w:color w:val="auto"/>
                <w:szCs w:val="21"/>
                <w:highlight w:val="none"/>
                <w:u w:val="none"/>
                <w:lang w:eastAsia="zh-CN"/>
              </w:rPr>
            </w:pPr>
            <w:r>
              <w:rPr>
                <w:rFonts w:hint="eastAsia" w:ascii="宋体" w:hAnsi="宋体" w:cs="宋体"/>
                <w:b/>
                <w:bCs/>
                <w:color w:val="auto"/>
                <w:sz w:val="21"/>
                <w:szCs w:val="21"/>
                <w:highlight w:val="none"/>
                <w:lang w:val="en-US" w:eastAsia="zh-CN"/>
              </w:rPr>
              <w:t>供应商投标报价出现第二章正文第13.8款情形的，</w:t>
            </w:r>
            <w:r>
              <w:rPr>
                <w:rFonts w:hint="eastAsia" w:ascii="宋体" w:hAnsi="宋体" w:eastAsia="宋体" w:cs="宋体"/>
                <w:b/>
                <w:bCs/>
                <w:color w:val="auto"/>
                <w:sz w:val="21"/>
                <w:szCs w:val="21"/>
                <w:highlight w:val="none"/>
                <w:lang w:val="en-US" w:eastAsia="zh-CN"/>
              </w:rPr>
              <w:t>评审委员会将启动异常低价投标（响应）审查程序，供应商须</w:t>
            </w:r>
            <w:r>
              <w:rPr>
                <w:rFonts w:ascii="宋体" w:hAnsi="宋体" w:cs="宋体"/>
                <w:b/>
                <w:bCs/>
                <w:color w:val="auto"/>
                <w:sz w:val="21"/>
                <w:szCs w:val="21"/>
                <w:highlight w:val="none"/>
              </w:rPr>
              <w:t>在评标现场</w:t>
            </w:r>
            <w:r>
              <w:rPr>
                <w:rFonts w:hint="eastAsia" w:ascii="宋体" w:hAnsi="宋体" w:cs="宋体"/>
                <w:b/>
                <w:bCs/>
                <w:color w:val="auto"/>
                <w:sz w:val="21"/>
                <w:szCs w:val="21"/>
                <w:highlight w:val="none"/>
                <w:lang w:val="en-US" w:eastAsia="zh-CN"/>
              </w:rPr>
              <w:t>规定</w:t>
            </w:r>
            <w:r>
              <w:rPr>
                <w:rFonts w:ascii="宋体" w:hAnsi="宋体" w:cs="宋体"/>
                <w:b/>
                <w:bCs/>
                <w:color w:val="auto"/>
                <w:sz w:val="21"/>
                <w:szCs w:val="21"/>
                <w:highlight w:val="none"/>
              </w:rPr>
              <w:t>的时间内</w:t>
            </w:r>
            <w:r>
              <w:rPr>
                <w:rFonts w:hint="eastAsia" w:ascii="宋体" w:hAnsi="宋体" w:eastAsia="宋体" w:cs="宋体"/>
                <w:b/>
                <w:bCs/>
                <w:color w:val="auto"/>
                <w:sz w:val="21"/>
                <w:szCs w:val="21"/>
                <w:highlight w:val="none"/>
                <w:lang w:val="en-US" w:eastAsia="zh-CN"/>
              </w:rPr>
              <w:t>提供项目具体成本测算等与报价合理性相关的书面说明及必要的证明材料;投标（响应）供应商不能提供书面说明、证明材料，或者提供的书面说明、证明材料不能证明其报价合理性的，评审委员会应当将其作为无效投标（响应）处理。</w:t>
            </w:r>
          </w:p>
        </w:tc>
      </w:tr>
      <w:tr w14:paraId="768CE4A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97" w:hRule="atLeast"/>
        </w:trPr>
        <w:tc>
          <w:tcPr>
            <w:tcW w:w="1666" w:type="dxa"/>
            <w:noWrap w:val="0"/>
            <w:vAlign w:val="center"/>
          </w:tcPr>
          <w:p w14:paraId="178EC364">
            <w:pPr>
              <w:adjustRightInd w:val="0"/>
              <w:snapToGrid w:val="0"/>
              <w:spacing w:line="360" w:lineRule="auto"/>
              <w:jc w:val="center"/>
              <w:rPr>
                <w:rFonts w:ascii="宋体" w:hAnsi="宋体" w:eastAsia="宋体"/>
                <w:color w:val="auto"/>
                <w:szCs w:val="21"/>
                <w:highlight w:val="none"/>
              </w:rPr>
            </w:pPr>
            <w:r>
              <w:rPr>
                <w:rFonts w:hint="eastAsia" w:ascii="宋体" w:hAnsi="宋体" w:eastAsia="宋体"/>
                <w:color w:val="auto"/>
                <w:szCs w:val="21"/>
                <w:highlight w:val="none"/>
              </w:rPr>
              <w:t>第14.1款</w:t>
            </w:r>
          </w:p>
        </w:tc>
        <w:tc>
          <w:tcPr>
            <w:tcW w:w="2068" w:type="dxa"/>
            <w:gridSpan w:val="2"/>
            <w:noWrap w:val="0"/>
            <w:vAlign w:val="center"/>
          </w:tcPr>
          <w:p w14:paraId="4F974D39">
            <w:pPr>
              <w:adjustRightInd w:val="0"/>
              <w:snapToGrid w:val="0"/>
              <w:spacing w:line="360" w:lineRule="auto"/>
              <w:rPr>
                <w:rFonts w:ascii="宋体" w:hAnsi="宋体" w:eastAsia="宋体"/>
                <w:bCs/>
                <w:color w:val="auto"/>
                <w:szCs w:val="21"/>
                <w:highlight w:val="none"/>
              </w:rPr>
            </w:pPr>
            <w:r>
              <w:rPr>
                <w:rFonts w:hint="eastAsia" w:ascii="宋体" w:hAnsi="宋体" w:eastAsia="宋体"/>
                <w:color w:val="auto"/>
                <w:szCs w:val="21"/>
                <w:highlight w:val="none"/>
              </w:rPr>
              <w:t>投标人应提供资格审查资料</w:t>
            </w:r>
          </w:p>
        </w:tc>
        <w:tc>
          <w:tcPr>
            <w:tcW w:w="5845" w:type="dxa"/>
            <w:noWrap w:val="0"/>
            <w:vAlign w:val="center"/>
          </w:tcPr>
          <w:p w14:paraId="5EDCDB22">
            <w:pPr>
              <w:spacing w:before="76" w:line="221" w:lineRule="auto"/>
              <w:rPr>
                <w:rFonts w:ascii="宋体" w:hAnsi="宋体" w:eastAsia="宋体" w:cs="宋体"/>
                <w:color w:val="auto"/>
                <w:spacing w:val="-1"/>
                <w:sz w:val="21"/>
                <w:szCs w:val="21"/>
                <w:highlight w:val="none"/>
              </w:rPr>
            </w:pPr>
            <w:r>
              <w:rPr>
                <w:rFonts w:ascii="宋体" w:hAnsi="宋体" w:eastAsia="宋体" w:cs="宋体"/>
                <w:color w:val="auto"/>
                <w:spacing w:val="-1"/>
                <w:sz w:val="21"/>
                <w:szCs w:val="21"/>
                <w:highlight w:val="none"/>
              </w:rPr>
              <w:t>参加政府采购活动的供应商应当具备《政府采购法》第二十二条规定的供应商条件，提供下列资格证明文件：</w:t>
            </w:r>
          </w:p>
          <w:p w14:paraId="1D678CAD">
            <w:pPr>
              <w:numPr>
                <w:ilvl w:val="0"/>
                <w:numId w:val="3"/>
              </w:numPr>
              <w:spacing w:before="76" w:line="221" w:lineRule="auto"/>
              <w:rPr>
                <w:rFonts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lang w:val="en-US" w:eastAsia="zh-CN"/>
              </w:rPr>
              <w:t>投标报价</w:t>
            </w:r>
            <w:r>
              <w:rPr>
                <w:rFonts w:ascii="宋体" w:hAnsi="宋体" w:eastAsia="宋体" w:cs="宋体"/>
                <w:color w:val="auto"/>
                <w:spacing w:val="-1"/>
                <w:sz w:val="21"/>
                <w:szCs w:val="21"/>
                <w:highlight w:val="none"/>
              </w:rPr>
              <w:t>；</w:t>
            </w:r>
          </w:p>
          <w:p w14:paraId="3F7DCDB3">
            <w:pPr>
              <w:numPr>
                <w:ilvl w:val="0"/>
                <w:numId w:val="3"/>
              </w:numPr>
              <w:spacing w:before="76" w:line="221" w:lineRule="auto"/>
              <w:rPr>
                <w:rFonts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lang w:val="en-US" w:eastAsia="zh-CN"/>
              </w:rPr>
              <w:t>授权代表委托书（授权代表参加投标）</w:t>
            </w:r>
            <w:r>
              <w:rPr>
                <w:rFonts w:ascii="宋体" w:hAnsi="宋体" w:eastAsia="宋体" w:cs="宋体"/>
                <w:color w:val="auto"/>
                <w:spacing w:val="-1"/>
                <w:sz w:val="21"/>
                <w:szCs w:val="21"/>
                <w:highlight w:val="none"/>
              </w:rPr>
              <w:t>；</w:t>
            </w:r>
          </w:p>
          <w:p w14:paraId="00CD2740">
            <w:pPr>
              <w:numPr>
                <w:ilvl w:val="0"/>
                <w:numId w:val="3"/>
              </w:numPr>
              <w:spacing w:before="76" w:line="221" w:lineRule="auto"/>
              <w:rPr>
                <w:rFonts w:ascii="宋体" w:hAnsi="宋体" w:eastAsia="宋体" w:cs="宋体"/>
                <w:color w:val="auto"/>
                <w:spacing w:val="-1"/>
                <w:sz w:val="21"/>
                <w:szCs w:val="21"/>
                <w:highlight w:val="none"/>
              </w:rPr>
            </w:pPr>
            <w:r>
              <w:rPr>
                <w:rFonts w:ascii="宋体" w:hAnsi="宋体" w:eastAsia="宋体" w:cs="宋体"/>
                <w:color w:val="auto"/>
                <w:spacing w:val="-1"/>
                <w:sz w:val="21"/>
                <w:szCs w:val="21"/>
                <w:highlight w:val="none"/>
              </w:rPr>
              <w:t>法人或者其他组织的营业执照等主体资格证明文件，自然 人的身份证明；</w:t>
            </w:r>
          </w:p>
          <w:p w14:paraId="764E5501">
            <w:pPr>
              <w:numPr>
                <w:ilvl w:val="0"/>
                <w:numId w:val="3"/>
              </w:numPr>
              <w:spacing w:before="76" w:line="221" w:lineRule="auto"/>
              <w:rPr>
                <w:rFonts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lang w:val="en-US" w:eastAsia="zh-CN"/>
              </w:rPr>
              <w:t>投标人资格声明；</w:t>
            </w:r>
          </w:p>
          <w:p w14:paraId="705F8177">
            <w:pPr>
              <w:numPr>
                <w:ilvl w:val="0"/>
                <w:numId w:val="3"/>
              </w:numPr>
              <w:spacing w:before="76" w:line="221" w:lineRule="auto"/>
              <w:rPr>
                <w:color w:val="auto"/>
                <w:highlight w:val="none"/>
              </w:rPr>
            </w:pPr>
            <w:r>
              <w:rPr>
                <w:rFonts w:hint="eastAsia" w:ascii="宋体" w:hAnsi="宋体" w:eastAsia="宋体" w:cs="宋体"/>
                <w:color w:val="auto"/>
                <w:spacing w:val="-1"/>
                <w:sz w:val="21"/>
                <w:szCs w:val="21"/>
                <w:highlight w:val="none"/>
                <w:lang w:val="en-US" w:eastAsia="zh-CN"/>
              </w:rPr>
              <w:t>不良信用记录查询</w:t>
            </w:r>
            <w:r>
              <w:rPr>
                <w:rFonts w:ascii="宋体" w:hAnsi="宋体" w:eastAsia="宋体" w:cs="宋体"/>
                <w:color w:val="auto"/>
                <w:spacing w:val="-1"/>
                <w:sz w:val="21"/>
                <w:szCs w:val="21"/>
                <w:highlight w:val="none"/>
              </w:rPr>
              <w:t>；</w:t>
            </w:r>
          </w:p>
          <w:p w14:paraId="6E9A2416">
            <w:pPr>
              <w:numPr>
                <w:ilvl w:val="0"/>
                <w:numId w:val="3"/>
              </w:numPr>
              <w:spacing w:before="76" w:line="221" w:lineRule="auto"/>
              <w:rPr>
                <w:rFonts w:ascii="宋体" w:hAnsi="宋体" w:eastAsia="宋体" w:cs="宋体"/>
                <w:color w:val="auto"/>
                <w:spacing w:val="-1"/>
                <w:sz w:val="21"/>
                <w:szCs w:val="21"/>
                <w:highlight w:val="none"/>
              </w:rPr>
            </w:pPr>
            <w:r>
              <w:rPr>
                <w:rFonts w:ascii="宋体" w:hAnsi="宋体" w:eastAsia="宋体" w:cs="宋体"/>
                <w:color w:val="auto"/>
                <w:spacing w:val="-1"/>
                <w:sz w:val="21"/>
                <w:szCs w:val="21"/>
                <w:highlight w:val="none"/>
              </w:rPr>
              <w:t>湖南省政府采购供应商资格承诺函(格式)；</w:t>
            </w:r>
          </w:p>
          <w:p w14:paraId="7CF528D9">
            <w:pPr>
              <w:numPr>
                <w:ilvl w:val="0"/>
                <w:numId w:val="3"/>
              </w:numPr>
              <w:spacing w:before="76" w:line="221" w:lineRule="auto"/>
              <w:rPr>
                <w:rFonts w:hint="eastAsia" w:ascii="宋体" w:hAnsi="宋体" w:eastAsia="宋体" w:cs="宋体"/>
                <w:color w:val="auto"/>
                <w:spacing w:val="-1"/>
                <w:sz w:val="21"/>
                <w:szCs w:val="21"/>
                <w:highlight w:val="none"/>
                <w:lang w:val="en-US" w:eastAsia="zh-CN"/>
              </w:rPr>
            </w:pPr>
            <w:r>
              <w:rPr>
                <w:rFonts w:hint="eastAsia" w:ascii="宋体" w:hAnsi="宋体" w:eastAsia="宋体" w:cs="宋体"/>
                <w:color w:val="auto"/>
                <w:spacing w:val="-1"/>
                <w:sz w:val="21"/>
                <w:szCs w:val="21"/>
                <w:highlight w:val="none"/>
                <w:lang w:val="en-US" w:eastAsia="zh-CN"/>
              </w:rPr>
              <w:t>资格证明文件的签署、盖章；</w:t>
            </w:r>
          </w:p>
          <w:p w14:paraId="33D2F5C9">
            <w:pPr>
              <w:numPr>
                <w:ilvl w:val="0"/>
                <w:numId w:val="3"/>
              </w:numPr>
              <w:spacing w:before="76" w:line="221" w:lineRule="auto"/>
              <w:rPr>
                <w:color w:val="auto"/>
                <w:highlight w:val="none"/>
              </w:rPr>
            </w:pPr>
            <w:r>
              <w:rPr>
                <w:rFonts w:hint="eastAsia" w:ascii="宋体" w:hAnsi="宋体" w:eastAsia="宋体" w:cs="宋体"/>
                <w:color w:val="auto"/>
                <w:spacing w:val="-1"/>
                <w:sz w:val="21"/>
                <w:szCs w:val="21"/>
                <w:highlight w:val="none"/>
                <w:lang w:val="en-US" w:eastAsia="zh-CN"/>
              </w:rPr>
              <w:t>是否存在不符合法律、规章、规范性文件和招标文件的规定。</w:t>
            </w:r>
          </w:p>
        </w:tc>
      </w:tr>
      <w:tr w14:paraId="7864AED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27" w:hRule="atLeast"/>
        </w:trPr>
        <w:tc>
          <w:tcPr>
            <w:tcW w:w="1666" w:type="dxa"/>
            <w:noWrap w:val="0"/>
            <w:vAlign w:val="center"/>
          </w:tcPr>
          <w:p w14:paraId="151D7161">
            <w:pPr>
              <w:adjustRightInd w:val="0"/>
              <w:snapToGrid w:val="0"/>
              <w:spacing w:line="360" w:lineRule="auto"/>
              <w:jc w:val="center"/>
              <w:rPr>
                <w:rFonts w:ascii="宋体" w:hAnsi="宋体" w:eastAsia="宋体"/>
                <w:color w:val="auto"/>
                <w:szCs w:val="21"/>
                <w:highlight w:val="none"/>
              </w:rPr>
            </w:pPr>
            <w:r>
              <w:rPr>
                <w:rFonts w:hint="eastAsia" w:ascii="宋体" w:hAnsi="宋体" w:eastAsia="宋体"/>
                <w:color w:val="auto"/>
                <w:szCs w:val="21"/>
                <w:highlight w:val="none"/>
              </w:rPr>
              <w:t>第16.1</w:t>
            </w:r>
            <w:r>
              <w:rPr>
                <w:rFonts w:hint="eastAsia" w:ascii="宋体" w:hAnsi="宋体" w:eastAsia="宋体" w:cs="宋体"/>
                <w:color w:val="auto"/>
                <w:kern w:val="0"/>
                <w:szCs w:val="21"/>
                <w:highlight w:val="none"/>
                <w:lang w:val="zh-CN"/>
              </w:rPr>
              <w:t>款</w:t>
            </w:r>
          </w:p>
        </w:tc>
        <w:tc>
          <w:tcPr>
            <w:tcW w:w="2068" w:type="dxa"/>
            <w:gridSpan w:val="2"/>
            <w:noWrap w:val="0"/>
            <w:vAlign w:val="center"/>
          </w:tcPr>
          <w:p w14:paraId="6368FCB6">
            <w:pPr>
              <w:adjustRightInd w:val="0"/>
              <w:snapToGrid w:val="0"/>
              <w:spacing w:line="360" w:lineRule="auto"/>
              <w:jc w:val="left"/>
              <w:rPr>
                <w:rFonts w:ascii="宋体" w:hAnsi="宋体" w:eastAsia="宋体"/>
                <w:bCs/>
                <w:color w:val="auto"/>
                <w:szCs w:val="21"/>
                <w:highlight w:val="none"/>
              </w:rPr>
            </w:pPr>
            <w:r>
              <w:rPr>
                <w:rFonts w:hint="eastAsia" w:ascii="宋体" w:hAnsi="宋体" w:eastAsia="宋体"/>
                <w:bCs/>
                <w:color w:val="auto"/>
                <w:szCs w:val="21"/>
                <w:highlight w:val="none"/>
              </w:rPr>
              <w:t>投标有效期</w:t>
            </w:r>
          </w:p>
        </w:tc>
        <w:tc>
          <w:tcPr>
            <w:tcW w:w="5845" w:type="dxa"/>
            <w:noWrap w:val="0"/>
            <w:vAlign w:val="center"/>
          </w:tcPr>
          <w:p w14:paraId="7DD86C26">
            <w:pPr>
              <w:adjustRightInd w:val="0"/>
              <w:snapToGrid w:val="0"/>
              <w:spacing w:line="360" w:lineRule="auto"/>
              <w:rPr>
                <w:rFonts w:ascii="宋体" w:hAnsi="宋体" w:eastAsia="宋体"/>
                <w:bCs/>
                <w:color w:val="auto"/>
                <w:szCs w:val="21"/>
                <w:highlight w:val="none"/>
              </w:rPr>
            </w:pPr>
            <w:r>
              <w:rPr>
                <w:rFonts w:ascii="宋体" w:hAnsi="宋体" w:eastAsia="宋体" w:cs="宋体"/>
                <w:b/>
                <w:bCs/>
                <w:color w:val="auto"/>
                <w:spacing w:val="-1"/>
                <w:sz w:val="21"/>
                <w:szCs w:val="21"/>
                <w:highlight w:val="none"/>
                <w:u w:val="single" w:color="auto"/>
              </w:rPr>
              <w:t xml:space="preserve">90 </w:t>
            </w:r>
            <w:r>
              <w:rPr>
                <w:rFonts w:ascii="宋体" w:hAnsi="宋体" w:eastAsia="宋体" w:cs="宋体"/>
                <w:b/>
                <w:bCs/>
                <w:color w:val="auto"/>
                <w:spacing w:val="-1"/>
                <w:sz w:val="21"/>
                <w:szCs w:val="21"/>
                <w:highlight w:val="none"/>
              </w:rPr>
              <w:t>日</w:t>
            </w:r>
            <w:r>
              <w:rPr>
                <w:rFonts w:ascii="宋体" w:hAnsi="宋体" w:eastAsia="宋体" w:cs="宋体"/>
                <w:color w:val="auto"/>
                <w:spacing w:val="-1"/>
                <w:sz w:val="21"/>
                <w:szCs w:val="21"/>
                <w:highlight w:val="none"/>
              </w:rPr>
              <w:t xml:space="preserve"> (日历日) 从投标截止时间起计算。</w:t>
            </w:r>
          </w:p>
        </w:tc>
      </w:tr>
      <w:tr w14:paraId="365519F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66" w:type="dxa"/>
            <w:noWrap w:val="0"/>
            <w:vAlign w:val="center"/>
          </w:tcPr>
          <w:p w14:paraId="759FBAFA">
            <w:pPr>
              <w:adjustRightInd w:val="0"/>
              <w:snapToGrid w:val="0"/>
              <w:spacing w:line="360" w:lineRule="auto"/>
              <w:jc w:val="center"/>
              <w:rPr>
                <w:rFonts w:ascii="宋体" w:hAnsi="宋体" w:eastAsia="宋体"/>
                <w:color w:val="auto"/>
                <w:szCs w:val="21"/>
                <w:highlight w:val="none"/>
              </w:rPr>
            </w:pPr>
            <w:r>
              <w:rPr>
                <w:rFonts w:hint="eastAsia" w:ascii="宋体" w:hAnsi="宋体" w:eastAsia="宋体"/>
                <w:color w:val="auto"/>
                <w:szCs w:val="21"/>
                <w:highlight w:val="none"/>
              </w:rPr>
              <w:t>第17.1</w:t>
            </w:r>
            <w:r>
              <w:rPr>
                <w:rFonts w:hint="eastAsia" w:ascii="宋体" w:hAnsi="宋体" w:eastAsia="宋体" w:cs="宋体"/>
                <w:color w:val="auto"/>
                <w:kern w:val="0"/>
                <w:szCs w:val="21"/>
                <w:highlight w:val="none"/>
                <w:lang w:val="zh-CN"/>
              </w:rPr>
              <w:t>款</w:t>
            </w:r>
          </w:p>
        </w:tc>
        <w:tc>
          <w:tcPr>
            <w:tcW w:w="2068" w:type="dxa"/>
            <w:gridSpan w:val="2"/>
            <w:noWrap w:val="0"/>
            <w:vAlign w:val="center"/>
          </w:tcPr>
          <w:p w14:paraId="4385401E">
            <w:pPr>
              <w:adjustRightInd w:val="0"/>
              <w:snapToGrid w:val="0"/>
              <w:spacing w:line="360" w:lineRule="auto"/>
              <w:ind w:left="-533" w:leftChars="-254" w:firstLine="533" w:firstLineChars="254"/>
              <w:jc w:val="left"/>
              <w:rPr>
                <w:rFonts w:ascii="宋体" w:hAnsi="宋体" w:eastAsia="宋体"/>
                <w:color w:val="auto"/>
                <w:szCs w:val="21"/>
                <w:highlight w:val="none"/>
              </w:rPr>
            </w:pPr>
            <w:r>
              <w:rPr>
                <w:rFonts w:hint="eastAsia" w:ascii="宋体" w:hAnsi="宋体" w:eastAsia="宋体"/>
                <w:color w:val="auto"/>
                <w:szCs w:val="21"/>
                <w:highlight w:val="none"/>
              </w:rPr>
              <w:t>投标保证金</w:t>
            </w:r>
          </w:p>
        </w:tc>
        <w:tc>
          <w:tcPr>
            <w:tcW w:w="5845" w:type="dxa"/>
            <w:noWrap w:val="0"/>
            <w:vAlign w:val="center"/>
          </w:tcPr>
          <w:p w14:paraId="6C222E9F">
            <w:pPr>
              <w:spacing w:before="76" w:line="221" w:lineRule="auto"/>
              <w:rPr>
                <w:rFonts w:hint="eastAsia" w:ascii="宋体" w:hAnsi="宋体" w:eastAsia="宋体" w:cs="宋体"/>
                <w:color w:val="auto"/>
                <w:spacing w:val="-1"/>
                <w:sz w:val="21"/>
                <w:szCs w:val="21"/>
                <w:highlight w:val="none"/>
              </w:rPr>
            </w:pPr>
            <w:r>
              <w:rPr>
                <w:rFonts w:ascii="宋体" w:hAnsi="宋体" w:eastAsia="宋体"/>
                <w:color w:val="auto"/>
                <w:szCs w:val="21"/>
                <w:highlight w:val="none"/>
              </w:rPr>
              <w:t>□</w:t>
            </w:r>
            <w:r>
              <w:rPr>
                <w:rFonts w:hint="eastAsia" w:ascii="宋体" w:hAnsi="宋体" w:eastAsia="宋体" w:cs="宋体"/>
                <w:color w:val="auto"/>
                <w:spacing w:val="-1"/>
                <w:sz w:val="21"/>
                <w:szCs w:val="21"/>
                <w:highlight w:val="none"/>
              </w:rPr>
              <w:t>不要求提供</w:t>
            </w:r>
          </w:p>
          <w:p w14:paraId="26EFECDB">
            <w:pPr>
              <w:spacing w:before="76" w:line="221" w:lineRule="auto"/>
              <w:rPr>
                <w:rFonts w:hint="default" w:ascii="宋体" w:hAnsi="宋体" w:eastAsia="宋体" w:cs="宋体"/>
                <w:color w:val="auto"/>
                <w:spacing w:val="-1"/>
                <w:sz w:val="21"/>
                <w:szCs w:val="21"/>
                <w:highlight w:val="none"/>
                <w:lang w:val="en-US" w:eastAsia="zh-CN"/>
              </w:rPr>
            </w:pPr>
            <w:r>
              <w:rPr>
                <w:rFonts w:ascii="宋体" w:hAnsi="宋体" w:eastAsia="宋体"/>
                <w:color w:val="auto"/>
                <w:szCs w:val="21"/>
                <w:highlight w:val="none"/>
              </w:rPr>
              <w:t>■</w:t>
            </w:r>
            <w:r>
              <w:rPr>
                <w:rFonts w:hint="eastAsia" w:ascii="宋体" w:hAnsi="宋体" w:eastAsia="宋体" w:cs="宋体"/>
                <w:color w:val="auto"/>
                <w:spacing w:val="-1"/>
                <w:sz w:val="21"/>
                <w:szCs w:val="21"/>
                <w:highlight w:val="none"/>
              </w:rPr>
              <w:t>要求提供</w:t>
            </w:r>
            <w:r>
              <w:rPr>
                <w:rFonts w:hint="eastAsia" w:ascii="宋体" w:hAnsi="宋体" w:cs="宋体"/>
                <w:color w:val="auto"/>
                <w:spacing w:val="-1"/>
                <w:sz w:val="21"/>
                <w:szCs w:val="21"/>
                <w:highlight w:val="none"/>
                <w:lang w:eastAsia="zh-CN"/>
              </w:rPr>
              <w:t>，</w:t>
            </w:r>
            <w:r>
              <w:rPr>
                <w:rFonts w:hint="eastAsia" w:ascii="宋体" w:hAnsi="宋体" w:cs="宋体"/>
                <w:color w:val="auto"/>
                <w:spacing w:val="-1"/>
                <w:sz w:val="21"/>
                <w:szCs w:val="21"/>
                <w:highlight w:val="none"/>
                <w:lang w:val="en-US" w:eastAsia="zh-CN"/>
              </w:rPr>
              <w:t>其中：</w:t>
            </w:r>
          </w:p>
          <w:p w14:paraId="142F0929">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cs="宋体"/>
                <w:b/>
                <w:bCs/>
                <w:color w:val="auto"/>
                <w:szCs w:val="21"/>
                <w:highlight w:val="none"/>
                <w:lang w:val="en-US" w:eastAsia="zh-CN"/>
              </w:rPr>
            </w:pPr>
            <w:r>
              <w:rPr>
                <w:rStyle w:val="32"/>
                <w:rFonts w:hint="eastAsia" w:ascii="宋体" w:hAnsi="宋体"/>
                <w:b/>
                <w:bCs/>
                <w:color w:val="auto"/>
                <w:szCs w:val="21"/>
                <w:highlight w:val="none"/>
                <w:lang w:val="en-US"/>
              </w:rPr>
              <w:t>包1 ：</w:t>
            </w:r>
            <w:r>
              <w:rPr>
                <w:rStyle w:val="32"/>
                <w:rFonts w:ascii="宋体" w:hAnsi="宋体"/>
                <w:b/>
                <w:bCs/>
                <w:color w:val="auto"/>
                <w:szCs w:val="21"/>
                <w:highlight w:val="none"/>
              </w:rPr>
              <w:t>保证金金额</w:t>
            </w:r>
            <w:r>
              <w:rPr>
                <w:rFonts w:hint="eastAsia" w:ascii="宋体" w:hAnsi="宋体"/>
                <w:b/>
                <w:bCs/>
                <w:color w:val="auto"/>
                <w:szCs w:val="21"/>
                <w:highlight w:val="none"/>
                <w:u w:val="none"/>
                <w:lang w:val="en-US" w:eastAsia="zh-CN"/>
              </w:rPr>
              <w:t>：240000.00元，</w:t>
            </w:r>
            <w:r>
              <w:rPr>
                <w:rFonts w:hint="eastAsia" w:ascii="宋体" w:hAnsi="宋体" w:cs="宋体"/>
                <w:b/>
                <w:bCs/>
                <w:color w:val="auto"/>
                <w:szCs w:val="21"/>
                <w:highlight w:val="none"/>
              </w:rPr>
              <w:t>人民币</w:t>
            </w:r>
            <w:r>
              <w:rPr>
                <w:rFonts w:hint="eastAsia" w:ascii="宋体" w:hAnsi="宋体" w:cs="宋体"/>
                <w:b/>
                <w:bCs/>
                <w:color w:val="auto"/>
                <w:szCs w:val="21"/>
                <w:highlight w:val="none"/>
                <w:lang w:val="en-US" w:eastAsia="zh-CN"/>
              </w:rPr>
              <w:t>贰拾肆万元整</w:t>
            </w:r>
          </w:p>
          <w:p w14:paraId="207DDBAD">
            <w:pPr>
              <w:keepNext w:val="0"/>
              <w:keepLines w:val="0"/>
              <w:pageBreakBefore w:val="0"/>
              <w:widowControl w:val="0"/>
              <w:kinsoku/>
              <w:wordWrap/>
              <w:overflowPunct/>
              <w:topLinePunct w:val="0"/>
              <w:autoSpaceDE/>
              <w:autoSpaceDN/>
              <w:bidi w:val="0"/>
              <w:spacing w:line="400" w:lineRule="exact"/>
              <w:textAlignment w:val="auto"/>
              <w:rPr>
                <w:rStyle w:val="32"/>
                <w:rFonts w:ascii="宋体" w:hAnsi="宋体" w:cs="宋体"/>
                <w:bCs/>
                <w:color w:val="auto"/>
                <w:szCs w:val="21"/>
                <w:highlight w:val="none"/>
              </w:rPr>
            </w:pPr>
            <w:r>
              <w:rPr>
                <w:rStyle w:val="32"/>
                <w:rFonts w:ascii="宋体" w:hAnsi="宋体" w:cs="宋体"/>
                <w:bCs/>
                <w:color w:val="auto"/>
                <w:szCs w:val="21"/>
                <w:highlight w:val="none"/>
              </w:rPr>
              <w:t>投标保证金缴纳支持以下形式（打“√”项为本项目支持形式）</w:t>
            </w:r>
          </w:p>
          <w:p w14:paraId="0D71A0AE">
            <w:pPr>
              <w:keepNext w:val="0"/>
              <w:keepLines w:val="0"/>
              <w:pageBreakBefore w:val="0"/>
              <w:widowControl w:val="0"/>
              <w:kinsoku/>
              <w:wordWrap/>
              <w:overflowPunct/>
              <w:topLinePunct w:val="0"/>
              <w:autoSpaceDE/>
              <w:autoSpaceDN/>
              <w:bidi w:val="0"/>
              <w:snapToGrid w:val="0"/>
              <w:spacing w:line="400" w:lineRule="exact"/>
              <w:textAlignment w:val="auto"/>
              <w:rPr>
                <w:rStyle w:val="32"/>
                <w:rFonts w:ascii="宋体" w:hAnsi="宋体" w:cs="宋体"/>
                <w:bCs/>
                <w:color w:val="auto"/>
                <w:szCs w:val="21"/>
                <w:highlight w:val="none"/>
              </w:rPr>
            </w:pPr>
            <w:r>
              <w:rPr>
                <w:rStyle w:val="32"/>
                <w:rFonts w:ascii="宋体" w:hAnsi="宋体" w:cs="宋体"/>
                <w:bCs/>
                <w:color w:val="auto"/>
                <w:szCs w:val="21"/>
                <w:highlight w:val="none"/>
              </w:rPr>
              <w:t>☑电子保函    ☑转账   □纸质保函    □其他</w:t>
            </w:r>
          </w:p>
          <w:p w14:paraId="4F457E74">
            <w:pPr>
              <w:keepNext w:val="0"/>
              <w:keepLines w:val="0"/>
              <w:pageBreakBefore w:val="0"/>
              <w:widowControl w:val="0"/>
              <w:kinsoku/>
              <w:wordWrap/>
              <w:overflowPunct/>
              <w:topLinePunct w:val="0"/>
              <w:autoSpaceDE/>
              <w:autoSpaceDN/>
              <w:bidi w:val="0"/>
              <w:snapToGrid w:val="0"/>
              <w:spacing w:line="400" w:lineRule="exact"/>
              <w:textAlignment w:val="auto"/>
              <w:rPr>
                <w:rStyle w:val="32"/>
                <w:rFonts w:ascii="宋体" w:hAnsi="宋体"/>
                <w:color w:val="auto"/>
                <w:szCs w:val="21"/>
                <w:highlight w:val="none"/>
              </w:rPr>
            </w:pPr>
            <w:r>
              <w:rPr>
                <w:rStyle w:val="32"/>
                <w:rFonts w:ascii="宋体" w:hAnsi="宋体"/>
                <w:b/>
                <w:color w:val="auto"/>
                <w:szCs w:val="21"/>
                <w:highlight w:val="none"/>
              </w:rPr>
              <w:t>电子保函方式</w:t>
            </w:r>
            <w:r>
              <w:rPr>
                <w:rStyle w:val="32"/>
                <w:rFonts w:ascii="宋体" w:hAnsi="宋体" w:cs="宋体"/>
                <w:bCs/>
                <w:color w:val="auto"/>
                <w:szCs w:val="21"/>
                <w:highlight w:val="none"/>
              </w:rPr>
              <w:t>：包括银行电子保函、电子担保保函、投标保证保险。</w:t>
            </w:r>
            <w:r>
              <w:rPr>
                <w:rStyle w:val="32"/>
                <w:rFonts w:hint="eastAsia" w:ascii="宋体" w:hAnsi="宋体" w:cs="宋体"/>
                <w:bCs/>
                <w:strike w:val="0"/>
                <w:dstrike w:val="0"/>
                <w:color w:val="auto"/>
                <w:szCs w:val="21"/>
                <w:highlight w:val="none"/>
              </w:rPr>
              <w:t>电子保函办理网址为：https://dzbh.zhzhuzhou.cn:28080/，可从株洲市公共资源交易中心电子交易平台（交易系统）跳转。</w:t>
            </w:r>
            <w:r>
              <w:rPr>
                <w:rStyle w:val="32"/>
                <w:rFonts w:ascii="宋体" w:hAnsi="宋体" w:cs="宋体"/>
                <w:bCs/>
                <w:color w:val="auto"/>
                <w:szCs w:val="21"/>
                <w:highlight w:val="none"/>
              </w:rPr>
              <w:t>具体操作请登录株洲市公共资源交易中心门户网站—操作指南—《株洲市电子保函服务平台政府采购供应商操作手册》了解。</w:t>
            </w:r>
          </w:p>
          <w:p w14:paraId="5F92A9CD">
            <w:pPr>
              <w:keepNext w:val="0"/>
              <w:keepLines w:val="0"/>
              <w:pageBreakBefore w:val="0"/>
              <w:widowControl w:val="0"/>
              <w:kinsoku/>
              <w:wordWrap/>
              <w:overflowPunct/>
              <w:topLinePunct w:val="0"/>
              <w:autoSpaceDE/>
              <w:autoSpaceDN/>
              <w:bidi w:val="0"/>
              <w:snapToGrid w:val="0"/>
              <w:spacing w:line="400" w:lineRule="exact"/>
              <w:textAlignment w:val="auto"/>
              <w:rPr>
                <w:rStyle w:val="32"/>
                <w:rFonts w:ascii="宋体" w:hAnsi="宋体"/>
                <w:color w:val="auto"/>
                <w:szCs w:val="21"/>
                <w:highlight w:val="none"/>
              </w:rPr>
            </w:pPr>
            <w:r>
              <w:rPr>
                <w:rStyle w:val="32"/>
                <w:rFonts w:ascii="宋体" w:hAnsi="宋体" w:cs="宋体"/>
                <w:b/>
                <w:bCs/>
                <w:color w:val="auto"/>
                <w:szCs w:val="21"/>
                <w:highlight w:val="none"/>
              </w:rPr>
              <w:t>转账方式</w:t>
            </w:r>
            <w:r>
              <w:rPr>
                <w:rStyle w:val="32"/>
                <w:rFonts w:ascii="宋体" w:hAnsi="宋体"/>
                <w:color w:val="auto"/>
                <w:szCs w:val="21"/>
                <w:highlight w:val="none"/>
              </w:rPr>
              <w:t>：</w:t>
            </w:r>
          </w:p>
          <w:p w14:paraId="53F9AE44">
            <w:pPr>
              <w:keepNext w:val="0"/>
              <w:keepLines w:val="0"/>
              <w:pageBreakBefore w:val="0"/>
              <w:widowControl w:val="0"/>
              <w:kinsoku/>
              <w:wordWrap/>
              <w:overflowPunct/>
              <w:topLinePunct w:val="0"/>
              <w:autoSpaceDE/>
              <w:autoSpaceDN/>
              <w:bidi w:val="0"/>
              <w:spacing w:line="400" w:lineRule="exact"/>
              <w:ind w:firstLine="210" w:firstLineChars="100"/>
              <w:textAlignment w:val="auto"/>
              <w:rPr>
                <w:rStyle w:val="32"/>
                <w:rFonts w:ascii="宋体" w:hAnsi="宋体" w:cs="宋体"/>
                <w:bCs/>
                <w:color w:val="auto"/>
                <w:highlight w:val="none"/>
              </w:rPr>
            </w:pPr>
            <w:r>
              <w:rPr>
                <w:rStyle w:val="32"/>
                <w:rFonts w:ascii="宋体" w:hAnsi="宋体" w:cs="宋体"/>
                <w:bCs/>
                <w:color w:val="auto"/>
                <w:highlight w:val="none"/>
              </w:rPr>
              <w:t>递交方式：投标保证金必须是从投标人单位</w:t>
            </w:r>
            <w:r>
              <w:rPr>
                <w:rStyle w:val="32"/>
                <w:rFonts w:ascii="宋体" w:hAnsi="宋体"/>
                <w:b/>
                <w:color w:val="auto"/>
                <w:highlight w:val="none"/>
              </w:rPr>
              <w:t>基本账户</w:t>
            </w:r>
            <w:r>
              <w:rPr>
                <w:rStyle w:val="32"/>
                <w:rFonts w:ascii="宋体" w:hAnsi="宋体" w:cs="宋体"/>
                <w:bCs/>
                <w:color w:val="auto"/>
                <w:highlight w:val="none"/>
              </w:rPr>
              <w:t>转（汇）入投标保证金的托管账户管理，以现金方式和非投标人单位账户提交的投标保证金无效；投标保证金托管账户如下：</w:t>
            </w:r>
          </w:p>
          <w:p w14:paraId="51243D38">
            <w:pPr>
              <w:keepNext w:val="0"/>
              <w:keepLines w:val="0"/>
              <w:pageBreakBefore w:val="0"/>
              <w:widowControl w:val="0"/>
              <w:kinsoku/>
              <w:wordWrap/>
              <w:overflowPunct/>
              <w:topLinePunct w:val="0"/>
              <w:autoSpaceDE/>
              <w:autoSpaceDN/>
              <w:bidi w:val="0"/>
              <w:spacing w:line="400" w:lineRule="exact"/>
              <w:textAlignment w:val="auto"/>
              <w:rPr>
                <w:rStyle w:val="32"/>
                <w:rFonts w:ascii="宋体" w:hAnsi="宋体"/>
                <w:b/>
                <w:color w:val="auto"/>
                <w:highlight w:val="none"/>
              </w:rPr>
            </w:pPr>
            <w:r>
              <w:rPr>
                <w:rStyle w:val="32"/>
                <w:rFonts w:ascii="宋体" w:hAnsi="宋体"/>
                <w:b/>
                <w:color w:val="auto"/>
                <w:highlight w:val="none"/>
              </w:rPr>
              <w:t>账户名称：株洲市公共资源交易中心交易保证金专户</w:t>
            </w:r>
          </w:p>
          <w:p w14:paraId="350B2AB0">
            <w:pPr>
              <w:keepNext w:val="0"/>
              <w:keepLines w:val="0"/>
              <w:pageBreakBefore w:val="0"/>
              <w:widowControl w:val="0"/>
              <w:kinsoku/>
              <w:wordWrap/>
              <w:overflowPunct/>
              <w:topLinePunct w:val="0"/>
              <w:autoSpaceDE/>
              <w:autoSpaceDN/>
              <w:bidi w:val="0"/>
              <w:spacing w:line="400" w:lineRule="exact"/>
              <w:textAlignment w:val="auto"/>
              <w:rPr>
                <w:rStyle w:val="32"/>
                <w:rFonts w:ascii="宋体" w:hAnsi="宋体"/>
                <w:b/>
                <w:color w:val="auto"/>
                <w:highlight w:val="none"/>
              </w:rPr>
            </w:pPr>
            <w:r>
              <w:rPr>
                <w:rStyle w:val="32"/>
                <w:rFonts w:ascii="宋体" w:hAnsi="宋体"/>
                <w:b/>
                <w:color w:val="auto"/>
                <w:highlight w:val="none"/>
              </w:rPr>
              <w:t>开户银行：中国建设银行股份有限公司株洲湘银支行</w:t>
            </w:r>
          </w:p>
          <w:p w14:paraId="75BD52FE">
            <w:pPr>
              <w:keepNext w:val="0"/>
              <w:keepLines w:val="0"/>
              <w:pageBreakBefore w:val="0"/>
              <w:widowControl w:val="0"/>
              <w:kinsoku/>
              <w:wordWrap/>
              <w:overflowPunct/>
              <w:topLinePunct w:val="0"/>
              <w:autoSpaceDE/>
              <w:autoSpaceDN/>
              <w:bidi w:val="0"/>
              <w:spacing w:line="400" w:lineRule="exact"/>
              <w:textAlignment w:val="auto"/>
              <w:rPr>
                <w:rStyle w:val="32"/>
                <w:rFonts w:hint="default" w:ascii="宋体" w:hAnsi="宋体"/>
                <w:b/>
                <w:color w:val="auto"/>
                <w:highlight w:val="none"/>
                <w:lang w:val="en-US"/>
              </w:rPr>
            </w:pPr>
            <w:r>
              <w:rPr>
                <w:rStyle w:val="32"/>
                <w:rFonts w:hint="eastAsia" w:ascii="宋体" w:hAnsi="宋体"/>
                <w:b/>
                <w:color w:val="auto"/>
                <w:highlight w:val="none"/>
                <w:lang w:val="en-US"/>
              </w:rPr>
              <w:t>包1</w:t>
            </w:r>
            <w:r>
              <w:rPr>
                <w:rStyle w:val="32"/>
                <w:rFonts w:ascii="宋体" w:hAnsi="宋体"/>
                <w:b/>
                <w:color w:val="auto"/>
                <w:highlight w:val="none"/>
              </w:rPr>
              <w:t>银行账号：4300 1500 5620 5966 6666</w:t>
            </w:r>
            <w:r>
              <w:rPr>
                <w:rStyle w:val="32"/>
                <w:rFonts w:hint="eastAsia" w:ascii="宋体" w:hAnsi="宋体"/>
                <w:b/>
                <w:color w:val="auto"/>
                <w:highlight w:val="none"/>
                <w:lang w:val="en-US"/>
              </w:rPr>
              <w:t xml:space="preserve">-17947     </w:t>
            </w:r>
          </w:p>
          <w:p w14:paraId="2A2BD391">
            <w:pPr>
              <w:keepNext w:val="0"/>
              <w:keepLines w:val="0"/>
              <w:pageBreakBefore w:val="0"/>
              <w:widowControl w:val="0"/>
              <w:kinsoku/>
              <w:wordWrap/>
              <w:overflowPunct/>
              <w:topLinePunct w:val="0"/>
              <w:autoSpaceDE/>
              <w:autoSpaceDN/>
              <w:bidi w:val="0"/>
              <w:adjustRightInd w:val="0"/>
              <w:snapToGrid w:val="0"/>
              <w:spacing w:line="380" w:lineRule="exact"/>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该账号仅为此项目的保证金托管账户，请勿与其它项目的账号混淆。 发生串户则视为无效保证金。在转账票据摘要处须注明：“ （项目名称 投标保证金”。（如“项目名称”字符过多，转账票据摘要处填写不下的，则“取‘项目名称’前面字符”填入。）</w:t>
            </w:r>
          </w:p>
          <w:p w14:paraId="436D584C">
            <w:pPr>
              <w:keepNext w:val="0"/>
              <w:keepLines w:val="0"/>
              <w:pageBreakBefore w:val="0"/>
              <w:widowControl w:val="0"/>
              <w:kinsoku/>
              <w:wordWrap/>
              <w:overflowPunct/>
              <w:topLinePunct w:val="0"/>
              <w:autoSpaceDE/>
              <w:autoSpaceDN/>
              <w:bidi w:val="0"/>
              <w:adjustRightInd w:val="0"/>
              <w:snapToGrid w:val="0"/>
              <w:spacing w:line="380" w:lineRule="exact"/>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投标保证金到帐截止时间为投标截止时间。（为确保投标保证金按时 到账，请投标人于开标日前一个工作日下午 3：00 前提交，并注意交纳保证金的银行账号中含有“-”号。）</w:t>
            </w:r>
          </w:p>
          <w:p w14:paraId="29E26944">
            <w:pPr>
              <w:keepNext w:val="0"/>
              <w:keepLines w:val="0"/>
              <w:pageBreakBefore w:val="0"/>
              <w:widowControl w:val="0"/>
              <w:kinsoku/>
              <w:wordWrap/>
              <w:overflowPunct/>
              <w:topLinePunct w:val="0"/>
              <w:autoSpaceDE/>
              <w:autoSpaceDN/>
              <w:bidi w:val="0"/>
              <w:adjustRightInd w:val="0"/>
              <w:snapToGrid w:val="0"/>
              <w:spacing w:line="380" w:lineRule="exact"/>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特别提示：</w:t>
            </w:r>
          </w:p>
          <w:p w14:paraId="2CB42339">
            <w:pPr>
              <w:keepNext w:val="0"/>
              <w:keepLines w:val="0"/>
              <w:pageBreakBefore w:val="0"/>
              <w:widowControl w:val="0"/>
              <w:kinsoku/>
              <w:wordWrap/>
              <w:overflowPunct/>
              <w:topLinePunct w:val="0"/>
              <w:autoSpaceDE/>
              <w:autoSpaceDN/>
              <w:bidi w:val="0"/>
              <w:adjustRightInd w:val="0"/>
              <w:snapToGrid w:val="0"/>
              <w:spacing w:line="380" w:lineRule="exact"/>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① 投标保证金汇款服务咨询：中国建设银行股份有限公司株洲湘银支行 0731-28520852（联系人：黄朝辉） 和 0731-22864427（联系人：刘岚）。</w:t>
            </w:r>
          </w:p>
          <w:p w14:paraId="08D93868">
            <w:pPr>
              <w:keepNext w:val="0"/>
              <w:keepLines w:val="0"/>
              <w:pageBreakBefore w:val="0"/>
              <w:widowControl w:val="0"/>
              <w:kinsoku/>
              <w:wordWrap/>
              <w:overflowPunct/>
              <w:topLinePunct w:val="0"/>
              <w:autoSpaceDE/>
              <w:autoSpaceDN/>
              <w:bidi w:val="0"/>
              <w:adjustRightInd w:val="0"/>
              <w:snapToGrid w:val="0"/>
              <w:spacing w:line="380" w:lineRule="exact"/>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②开标现场将展示投标保证金情况，各投标单位仅须在投标文件中提供投标人账户银行进账单的复印件或扫描件。如投标单位基本账户被冻结，须提交申请从投标单位名称一致的其他账户转入投标保证金， 并提供法院出具的协助冻结存款通知书复印件，请投标人认真阅读关于投标保证金缴纳的规定，并严格执行，防止投标保证金缴纳出现失误。</w:t>
            </w:r>
          </w:p>
          <w:p w14:paraId="5657C18F">
            <w:pPr>
              <w:keepNext w:val="0"/>
              <w:keepLines w:val="0"/>
              <w:pageBreakBefore w:val="0"/>
              <w:widowControl w:val="0"/>
              <w:kinsoku/>
              <w:wordWrap/>
              <w:overflowPunct/>
              <w:topLinePunct w:val="0"/>
              <w:autoSpaceDE/>
              <w:autoSpaceDN/>
              <w:bidi w:val="0"/>
              <w:adjustRightInd w:val="0"/>
              <w:snapToGrid w:val="0"/>
              <w:spacing w:line="380" w:lineRule="exact"/>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因银行和收款方在开标前均无法查询保证金到账情况，建议投标人尽 量提前递交投标保证金，并密切关注是否有被退回的情况，避免因未按招标文件要求递交投标保证金而导致废标。</w:t>
            </w:r>
          </w:p>
          <w:p w14:paraId="5B9DAD7E">
            <w:pPr>
              <w:keepNext w:val="0"/>
              <w:keepLines w:val="0"/>
              <w:pageBreakBefore w:val="0"/>
              <w:widowControl w:val="0"/>
              <w:kinsoku/>
              <w:wordWrap/>
              <w:overflowPunct/>
              <w:topLinePunct w:val="0"/>
              <w:autoSpaceDE/>
              <w:autoSpaceDN/>
              <w:bidi w:val="0"/>
              <w:adjustRightInd w:val="0"/>
              <w:snapToGrid w:val="0"/>
              <w:spacing w:line="380" w:lineRule="exact"/>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2、投标人不按招标文件要求提交投标保证金的,视为不合格投标人。未中标人的投标保证金在中标通知书发出后五个工作日内由银行自动退还给投标人。中标人于合同签订之日起五个工作日内将退款申请及付款凭证发至项目代理机构，代理机构在交易系统上传退款申请、付款凭证、公共资源交易中心进场交易确认书后退款至原缴款账户。株洲市公共资源交易中心一楼服务大厅3号保证金窗口联系电话： 0731-28681387。</w:t>
            </w:r>
          </w:p>
          <w:p w14:paraId="1A0D8D32">
            <w:pPr>
              <w:keepNext w:val="0"/>
              <w:keepLines w:val="0"/>
              <w:pageBreakBefore w:val="0"/>
              <w:widowControl w:val="0"/>
              <w:kinsoku/>
              <w:wordWrap/>
              <w:overflowPunct/>
              <w:topLinePunct w:val="0"/>
              <w:autoSpaceDE/>
              <w:autoSpaceDN/>
              <w:bidi w:val="0"/>
              <w:adjustRightInd w:val="0"/>
              <w:snapToGrid w:val="0"/>
              <w:spacing w:line="380" w:lineRule="exact"/>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4、投标人有下列情况之一的，将不予退回投标保证金： 投标人在投标有效期内撤销其投标文件的；</w:t>
            </w:r>
          </w:p>
          <w:p w14:paraId="53AED206">
            <w:pPr>
              <w:pStyle w:val="24"/>
              <w:ind w:left="0" w:leftChars="0" w:firstLine="0" w:firstLineChars="0"/>
              <w:rPr>
                <w:color w:val="auto"/>
                <w:highlight w:val="none"/>
              </w:rPr>
            </w:pPr>
            <w:r>
              <w:rPr>
                <w:rFonts w:hint="eastAsia" w:ascii="宋体" w:hAnsi="宋体" w:eastAsia="宋体" w:cs="Times New Roman"/>
                <w:color w:val="auto"/>
                <w:szCs w:val="21"/>
                <w:highlight w:val="none"/>
                <w:lang w:val="en-US" w:eastAsia="zh-CN"/>
              </w:rPr>
              <w:t>中标人无正当理由不与招标人订立合同， 在签订合同时向招标人提出附加条件，或者不按照招标文件要求提交履约保证金的。</w:t>
            </w:r>
          </w:p>
        </w:tc>
      </w:tr>
      <w:tr w14:paraId="236DC63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27" w:hRule="atLeast"/>
        </w:trPr>
        <w:tc>
          <w:tcPr>
            <w:tcW w:w="1666" w:type="dxa"/>
            <w:noWrap w:val="0"/>
            <w:vAlign w:val="center"/>
          </w:tcPr>
          <w:p w14:paraId="2083E99A">
            <w:pPr>
              <w:adjustRightInd w:val="0"/>
              <w:snapToGrid w:val="0"/>
              <w:spacing w:line="360" w:lineRule="auto"/>
              <w:jc w:val="center"/>
              <w:rPr>
                <w:rFonts w:ascii="宋体" w:hAnsi="宋体" w:eastAsia="宋体"/>
                <w:color w:val="auto"/>
                <w:szCs w:val="21"/>
                <w:highlight w:val="none"/>
              </w:rPr>
            </w:pPr>
            <w:r>
              <w:rPr>
                <w:rFonts w:hint="eastAsia" w:ascii="宋体" w:hAnsi="宋体" w:eastAsia="宋体"/>
                <w:color w:val="auto"/>
                <w:szCs w:val="21"/>
                <w:highlight w:val="none"/>
              </w:rPr>
              <w:t>第18.1</w:t>
            </w:r>
            <w:r>
              <w:rPr>
                <w:rFonts w:hint="eastAsia" w:ascii="宋体" w:hAnsi="宋体" w:eastAsia="宋体" w:cs="宋体"/>
                <w:color w:val="auto"/>
                <w:kern w:val="0"/>
                <w:szCs w:val="21"/>
                <w:highlight w:val="none"/>
                <w:lang w:val="zh-CN"/>
              </w:rPr>
              <w:t>款</w:t>
            </w:r>
          </w:p>
        </w:tc>
        <w:tc>
          <w:tcPr>
            <w:tcW w:w="2068" w:type="dxa"/>
            <w:gridSpan w:val="2"/>
            <w:noWrap w:val="0"/>
            <w:vAlign w:val="center"/>
          </w:tcPr>
          <w:p w14:paraId="43C79336">
            <w:pPr>
              <w:adjustRightInd w:val="0"/>
              <w:snapToGrid w:val="0"/>
              <w:spacing w:line="360" w:lineRule="auto"/>
              <w:jc w:val="left"/>
              <w:rPr>
                <w:rFonts w:ascii="宋体" w:hAnsi="宋体" w:eastAsia="宋体"/>
                <w:color w:val="auto"/>
                <w:szCs w:val="21"/>
                <w:highlight w:val="none"/>
              </w:rPr>
            </w:pPr>
            <w:r>
              <w:rPr>
                <w:rFonts w:hint="eastAsia" w:ascii="宋体" w:hAnsi="宋体" w:eastAsia="宋体"/>
                <w:bCs/>
                <w:color w:val="auto"/>
                <w:szCs w:val="21"/>
                <w:highlight w:val="none"/>
              </w:rPr>
              <w:t>分包</w:t>
            </w:r>
          </w:p>
        </w:tc>
        <w:tc>
          <w:tcPr>
            <w:tcW w:w="5845" w:type="dxa"/>
            <w:noWrap w:val="0"/>
            <w:vAlign w:val="center"/>
          </w:tcPr>
          <w:p w14:paraId="0DBBE824">
            <w:pPr>
              <w:adjustRightInd w:val="0"/>
              <w:snapToGrid w:val="0"/>
              <w:spacing w:line="360" w:lineRule="auto"/>
              <w:rPr>
                <w:rFonts w:ascii="宋体" w:hAnsi="宋体" w:eastAsia="宋体"/>
                <w:b/>
                <w:bCs/>
                <w:color w:val="auto"/>
                <w:szCs w:val="21"/>
                <w:highlight w:val="none"/>
              </w:rPr>
            </w:pPr>
            <w:r>
              <w:rPr>
                <w:rFonts w:ascii="宋体" w:hAnsi="宋体" w:eastAsia="宋体" w:cs="宋体"/>
                <w:color w:val="auto"/>
                <w:spacing w:val="-4"/>
                <w:sz w:val="21"/>
                <w:szCs w:val="21"/>
                <w:highlight w:val="none"/>
              </w:rPr>
              <w:t>■不允许分包</w:t>
            </w:r>
          </w:p>
        </w:tc>
      </w:tr>
      <w:tr w14:paraId="79EAC08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633" w:hRule="atLeast"/>
        </w:trPr>
        <w:tc>
          <w:tcPr>
            <w:tcW w:w="1666" w:type="dxa"/>
            <w:noWrap w:val="0"/>
            <w:vAlign w:val="center"/>
          </w:tcPr>
          <w:p w14:paraId="480880B6">
            <w:pPr>
              <w:adjustRightInd w:val="0"/>
              <w:snapToGrid w:val="0"/>
              <w:spacing w:line="360" w:lineRule="auto"/>
              <w:jc w:val="center"/>
              <w:rPr>
                <w:rFonts w:hint="eastAsia" w:ascii="宋体" w:hAnsi="宋体" w:eastAsia="宋体"/>
                <w:color w:val="auto"/>
                <w:szCs w:val="21"/>
                <w:highlight w:val="none"/>
              </w:rPr>
            </w:pPr>
            <w:r>
              <w:rPr>
                <w:rFonts w:ascii="宋体" w:hAnsi="宋体" w:eastAsia="宋体" w:cs="宋体"/>
                <w:color w:val="auto"/>
                <w:spacing w:val="-16"/>
                <w:sz w:val="21"/>
                <w:szCs w:val="21"/>
                <w:highlight w:val="none"/>
              </w:rPr>
              <w:t>第</w:t>
            </w:r>
            <w:r>
              <w:rPr>
                <w:rFonts w:ascii="宋体" w:hAnsi="宋体" w:eastAsia="宋体" w:cs="宋体"/>
                <w:color w:val="auto"/>
                <w:spacing w:val="-12"/>
                <w:sz w:val="21"/>
                <w:szCs w:val="21"/>
                <w:highlight w:val="none"/>
              </w:rPr>
              <w:t xml:space="preserve"> 19.</w:t>
            </w:r>
            <w:r>
              <w:rPr>
                <w:rFonts w:hint="eastAsia" w:ascii="宋体" w:hAnsi="宋体" w:cs="宋体"/>
                <w:color w:val="auto"/>
                <w:spacing w:val="-12"/>
                <w:sz w:val="21"/>
                <w:szCs w:val="21"/>
                <w:highlight w:val="none"/>
                <w:lang w:val="en-US" w:eastAsia="zh-CN"/>
              </w:rPr>
              <w:t>1</w:t>
            </w:r>
            <w:r>
              <w:rPr>
                <w:rFonts w:ascii="宋体" w:hAnsi="宋体" w:eastAsia="宋体" w:cs="宋体"/>
                <w:color w:val="auto"/>
                <w:spacing w:val="-12"/>
                <w:sz w:val="21"/>
                <w:szCs w:val="21"/>
                <w:highlight w:val="none"/>
              </w:rPr>
              <w:t xml:space="preserve"> 款</w:t>
            </w:r>
          </w:p>
        </w:tc>
        <w:tc>
          <w:tcPr>
            <w:tcW w:w="2068" w:type="dxa"/>
            <w:gridSpan w:val="2"/>
            <w:noWrap w:val="0"/>
            <w:vAlign w:val="center"/>
          </w:tcPr>
          <w:p w14:paraId="300E3F5C">
            <w:pPr>
              <w:adjustRightInd w:val="0"/>
              <w:snapToGrid w:val="0"/>
              <w:spacing w:line="360" w:lineRule="auto"/>
              <w:jc w:val="left"/>
              <w:rPr>
                <w:rFonts w:hint="eastAsia" w:ascii="宋体" w:hAnsi="宋体" w:eastAsia="宋体"/>
                <w:bCs/>
                <w:color w:val="auto"/>
                <w:szCs w:val="21"/>
                <w:highlight w:val="none"/>
              </w:rPr>
            </w:pPr>
            <w:r>
              <w:rPr>
                <w:rFonts w:ascii="宋体" w:hAnsi="宋体" w:eastAsia="宋体" w:cs="宋体"/>
                <w:color w:val="auto"/>
                <w:spacing w:val="-1"/>
                <w:sz w:val="21"/>
                <w:szCs w:val="21"/>
                <w:highlight w:val="none"/>
              </w:rPr>
              <w:t>投标文件的签</w:t>
            </w:r>
            <w:r>
              <w:rPr>
                <w:rFonts w:ascii="宋体" w:hAnsi="宋体" w:eastAsia="宋体" w:cs="宋体"/>
                <w:color w:val="auto"/>
                <w:sz w:val="21"/>
                <w:szCs w:val="21"/>
                <w:highlight w:val="none"/>
              </w:rPr>
              <w:t>署</w:t>
            </w:r>
          </w:p>
        </w:tc>
        <w:tc>
          <w:tcPr>
            <w:tcW w:w="5845" w:type="dxa"/>
            <w:noWrap w:val="0"/>
            <w:vAlign w:val="center"/>
          </w:tcPr>
          <w:p w14:paraId="6B7785F7">
            <w:pPr>
              <w:adjustRightInd w:val="0"/>
              <w:snapToGrid w:val="0"/>
              <w:spacing w:line="360" w:lineRule="auto"/>
              <w:rPr>
                <w:rFonts w:hint="eastAsia" w:ascii="宋体" w:hAnsi="宋体" w:eastAsia="宋体" w:cs="宋体"/>
                <w:color w:val="auto"/>
                <w:spacing w:val="-4"/>
                <w:sz w:val="21"/>
                <w:szCs w:val="21"/>
                <w:highlight w:val="none"/>
                <w:lang w:eastAsia="zh-CN"/>
              </w:rPr>
            </w:pPr>
            <w:r>
              <w:rPr>
                <w:rFonts w:ascii="宋体" w:hAnsi="宋体" w:eastAsia="宋体" w:cs="宋体"/>
                <w:color w:val="auto"/>
                <w:spacing w:val="-1"/>
                <w:sz w:val="21"/>
                <w:szCs w:val="21"/>
                <w:highlight w:val="none"/>
              </w:rPr>
              <w:t>投标文件由投标人和投标人代表按照招标文件规定在投标文 件需要签署的位置签署、盖章(电子签章)</w:t>
            </w:r>
            <w:r>
              <w:rPr>
                <w:rFonts w:hint="eastAsia" w:ascii="宋体" w:hAnsi="宋体" w:eastAsia="宋体" w:cs="宋体"/>
                <w:color w:val="auto"/>
                <w:spacing w:val="-1"/>
                <w:sz w:val="21"/>
                <w:szCs w:val="21"/>
                <w:highlight w:val="none"/>
                <w:lang w:eastAsia="zh-CN"/>
              </w:rPr>
              <w:t>。</w:t>
            </w:r>
            <w:r>
              <w:rPr>
                <w:rFonts w:ascii="宋体" w:hAnsi="宋体" w:eastAsia="宋体" w:cs="宋体"/>
                <w:b/>
                <w:bCs/>
                <w:color w:val="auto"/>
                <w:spacing w:val="-1"/>
                <w:sz w:val="21"/>
                <w:szCs w:val="21"/>
                <w:highlight w:val="none"/>
              </w:rPr>
              <w:t>注：中标人在</w:t>
            </w:r>
            <w:r>
              <w:rPr>
                <w:rFonts w:hint="eastAsia" w:ascii="宋体" w:hAnsi="宋体" w:eastAsia="宋体" w:cs="宋体"/>
                <w:b/>
                <w:bCs/>
                <w:color w:val="auto"/>
                <w:spacing w:val="-1"/>
                <w:sz w:val="21"/>
                <w:szCs w:val="21"/>
                <w:highlight w:val="none"/>
                <w:lang w:val="en-US" w:eastAsia="zh-CN"/>
              </w:rPr>
              <w:t>领</w:t>
            </w:r>
            <w:r>
              <w:rPr>
                <w:rFonts w:ascii="宋体" w:hAnsi="宋体" w:eastAsia="宋体" w:cs="宋体"/>
                <w:b/>
                <w:bCs/>
                <w:color w:val="auto"/>
                <w:spacing w:val="-1"/>
                <w:sz w:val="21"/>
                <w:szCs w:val="21"/>
                <w:highlight w:val="none"/>
              </w:rPr>
              <w:t>取中标通知前须向招标代理机构提交电子评标系统导出的纸质版投标文件，共</w:t>
            </w:r>
            <w:r>
              <w:rPr>
                <w:rFonts w:hint="eastAsia" w:ascii="宋体" w:hAnsi="宋体" w:cs="宋体"/>
                <w:b/>
                <w:bCs/>
                <w:color w:val="auto"/>
                <w:spacing w:val="-1"/>
                <w:sz w:val="21"/>
                <w:szCs w:val="21"/>
                <w:highlight w:val="none"/>
                <w:lang w:val="en-US" w:eastAsia="zh-CN"/>
              </w:rPr>
              <w:t>三</w:t>
            </w:r>
            <w:r>
              <w:rPr>
                <w:rFonts w:ascii="宋体" w:hAnsi="宋体" w:eastAsia="宋体" w:cs="宋体"/>
                <w:b/>
                <w:bCs/>
                <w:color w:val="auto"/>
                <w:spacing w:val="-1"/>
                <w:sz w:val="21"/>
                <w:szCs w:val="21"/>
                <w:highlight w:val="none"/>
              </w:rPr>
              <w:t>份，并装订成册</w:t>
            </w:r>
            <w:r>
              <w:rPr>
                <w:rFonts w:hint="eastAsia" w:ascii="宋体" w:hAnsi="宋体" w:cs="宋体"/>
                <w:b/>
                <w:bCs/>
                <w:color w:val="auto"/>
                <w:spacing w:val="-1"/>
                <w:sz w:val="21"/>
                <w:szCs w:val="21"/>
                <w:highlight w:val="none"/>
                <w:lang w:eastAsia="zh-CN"/>
              </w:rPr>
              <w:t>，</w:t>
            </w:r>
            <w:r>
              <w:rPr>
                <w:rFonts w:hint="eastAsia" w:ascii="宋体" w:hAnsi="宋体" w:cs="宋体"/>
                <w:b/>
                <w:bCs/>
                <w:color w:val="auto"/>
                <w:szCs w:val="21"/>
                <w:highlight w:val="none"/>
              </w:rPr>
              <w:t>纸质文件需与电子版文件一致</w:t>
            </w:r>
            <w:r>
              <w:rPr>
                <w:rFonts w:ascii="宋体" w:hAnsi="宋体" w:eastAsia="宋体" w:cs="宋体"/>
                <w:b/>
                <w:bCs/>
                <w:color w:val="auto"/>
                <w:spacing w:val="-1"/>
                <w:sz w:val="21"/>
                <w:szCs w:val="21"/>
                <w:highlight w:val="none"/>
              </w:rPr>
              <w:t>。</w:t>
            </w:r>
          </w:p>
        </w:tc>
      </w:tr>
      <w:tr w14:paraId="5B4CDF4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27" w:hRule="atLeast"/>
        </w:trPr>
        <w:tc>
          <w:tcPr>
            <w:tcW w:w="9579" w:type="dxa"/>
            <w:gridSpan w:val="4"/>
            <w:noWrap w:val="0"/>
            <w:vAlign w:val="center"/>
          </w:tcPr>
          <w:p w14:paraId="784DBA8A">
            <w:pPr>
              <w:adjustRightInd w:val="0"/>
              <w:snapToGrid w:val="0"/>
              <w:spacing w:line="360" w:lineRule="auto"/>
              <w:rPr>
                <w:rFonts w:ascii="宋体" w:hAnsi="宋体" w:eastAsia="宋体"/>
                <w:b/>
                <w:bCs/>
                <w:color w:val="auto"/>
                <w:szCs w:val="21"/>
                <w:highlight w:val="none"/>
              </w:rPr>
            </w:pPr>
            <w:r>
              <w:rPr>
                <w:rFonts w:hint="eastAsia" w:ascii="宋体" w:hAnsi="宋体" w:eastAsia="宋体"/>
                <w:b/>
                <w:color w:val="auto"/>
                <w:szCs w:val="21"/>
                <w:highlight w:val="none"/>
              </w:rPr>
              <w:t>四、投标</w:t>
            </w:r>
          </w:p>
        </w:tc>
      </w:tr>
      <w:tr w14:paraId="6103E2B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24" w:hRule="atLeast"/>
        </w:trPr>
        <w:tc>
          <w:tcPr>
            <w:tcW w:w="1666" w:type="dxa"/>
            <w:noWrap w:val="0"/>
            <w:vAlign w:val="center"/>
          </w:tcPr>
          <w:p w14:paraId="0E5E6359">
            <w:pPr>
              <w:adjustRightInd w:val="0"/>
              <w:snapToGrid w:val="0"/>
              <w:spacing w:line="360" w:lineRule="auto"/>
              <w:jc w:val="center"/>
              <w:rPr>
                <w:rFonts w:hint="eastAsia" w:ascii="宋体" w:hAnsi="宋体" w:eastAsia="宋体"/>
                <w:color w:val="auto"/>
                <w:szCs w:val="21"/>
                <w:highlight w:val="none"/>
              </w:rPr>
            </w:pPr>
            <w:r>
              <w:rPr>
                <w:rFonts w:ascii="宋体" w:hAnsi="宋体" w:eastAsia="宋体" w:cs="宋体"/>
                <w:color w:val="auto"/>
                <w:spacing w:val="-16"/>
                <w:sz w:val="21"/>
                <w:szCs w:val="21"/>
                <w:highlight w:val="none"/>
              </w:rPr>
              <w:t>第</w:t>
            </w:r>
            <w:r>
              <w:rPr>
                <w:rFonts w:ascii="宋体" w:hAnsi="宋体" w:eastAsia="宋体" w:cs="宋体"/>
                <w:color w:val="auto"/>
                <w:spacing w:val="-12"/>
                <w:sz w:val="21"/>
                <w:szCs w:val="21"/>
                <w:highlight w:val="none"/>
              </w:rPr>
              <w:t xml:space="preserve"> 20.1 款</w:t>
            </w:r>
          </w:p>
        </w:tc>
        <w:tc>
          <w:tcPr>
            <w:tcW w:w="2068" w:type="dxa"/>
            <w:gridSpan w:val="2"/>
            <w:noWrap w:val="0"/>
            <w:vAlign w:val="center"/>
          </w:tcPr>
          <w:p w14:paraId="77831118">
            <w:pPr>
              <w:adjustRightInd w:val="0"/>
              <w:snapToGrid w:val="0"/>
              <w:spacing w:line="360" w:lineRule="auto"/>
              <w:jc w:val="left"/>
              <w:rPr>
                <w:rFonts w:hint="eastAsia" w:ascii="宋体" w:hAnsi="宋体" w:eastAsia="宋体"/>
                <w:color w:val="auto"/>
                <w:szCs w:val="21"/>
                <w:highlight w:val="none"/>
              </w:rPr>
            </w:pPr>
            <w:r>
              <w:rPr>
                <w:rFonts w:ascii="宋体" w:hAnsi="宋体" w:eastAsia="宋体" w:cs="宋体"/>
                <w:color w:val="auto"/>
                <w:spacing w:val="-1"/>
                <w:sz w:val="21"/>
                <w:szCs w:val="21"/>
                <w:highlight w:val="none"/>
              </w:rPr>
              <w:t>电子版投标文件的密封和标记</w:t>
            </w:r>
          </w:p>
        </w:tc>
        <w:tc>
          <w:tcPr>
            <w:tcW w:w="5845" w:type="dxa"/>
            <w:noWrap w:val="0"/>
            <w:vAlign w:val="center"/>
          </w:tcPr>
          <w:p w14:paraId="0A479109">
            <w:pPr>
              <w:adjustRightInd w:val="0"/>
              <w:snapToGrid w:val="0"/>
              <w:spacing w:line="360" w:lineRule="auto"/>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通过数字证书进行签章、加密。未按要求签章、加密的投标文件，系统将无法接收，采购人、采购代理机构不予受理。</w:t>
            </w:r>
          </w:p>
        </w:tc>
      </w:tr>
      <w:tr w14:paraId="7C9437B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88" w:hRule="atLeast"/>
        </w:trPr>
        <w:tc>
          <w:tcPr>
            <w:tcW w:w="1666" w:type="dxa"/>
            <w:noWrap w:val="0"/>
            <w:vAlign w:val="center"/>
          </w:tcPr>
          <w:p w14:paraId="30989352">
            <w:pPr>
              <w:adjustRightInd w:val="0"/>
              <w:snapToGrid w:val="0"/>
              <w:spacing w:line="360" w:lineRule="auto"/>
              <w:jc w:val="center"/>
              <w:rPr>
                <w:rFonts w:ascii="宋体" w:hAnsi="宋体" w:eastAsia="宋体"/>
                <w:color w:val="auto"/>
                <w:szCs w:val="21"/>
                <w:highlight w:val="none"/>
              </w:rPr>
            </w:pPr>
            <w:r>
              <w:rPr>
                <w:rFonts w:hint="eastAsia" w:ascii="宋体" w:hAnsi="宋体" w:eastAsia="宋体"/>
                <w:color w:val="auto"/>
                <w:szCs w:val="21"/>
                <w:highlight w:val="none"/>
              </w:rPr>
              <w:t>第21.1</w:t>
            </w:r>
            <w:r>
              <w:rPr>
                <w:rFonts w:hint="eastAsia" w:ascii="宋体" w:hAnsi="宋体" w:eastAsia="宋体" w:cs="宋体"/>
                <w:color w:val="auto"/>
                <w:kern w:val="0"/>
                <w:szCs w:val="21"/>
                <w:highlight w:val="none"/>
                <w:lang w:val="zh-CN"/>
              </w:rPr>
              <w:t>款</w:t>
            </w:r>
          </w:p>
        </w:tc>
        <w:tc>
          <w:tcPr>
            <w:tcW w:w="2068" w:type="dxa"/>
            <w:gridSpan w:val="2"/>
            <w:noWrap w:val="0"/>
            <w:vAlign w:val="center"/>
          </w:tcPr>
          <w:p w14:paraId="1AB10955">
            <w:pPr>
              <w:adjustRightInd w:val="0"/>
              <w:snapToGrid w:val="0"/>
              <w:spacing w:line="360" w:lineRule="auto"/>
              <w:jc w:val="left"/>
              <w:rPr>
                <w:rFonts w:ascii="宋体" w:hAnsi="宋体" w:eastAsia="宋体"/>
                <w:color w:val="auto"/>
                <w:szCs w:val="21"/>
                <w:highlight w:val="none"/>
              </w:rPr>
            </w:pPr>
            <w:r>
              <w:rPr>
                <w:rFonts w:hint="eastAsia" w:ascii="宋体" w:hAnsi="宋体" w:eastAsia="宋体"/>
                <w:color w:val="auto"/>
                <w:szCs w:val="21"/>
                <w:highlight w:val="none"/>
              </w:rPr>
              <w:t>投标截止时间及投标地点</w:t>
            </w:r>
          </w:p>
        </w:tc>
        <w:tc>
          <w:tcPr>
            <w:tcW w:w="5845" w:type="dxa"/>
            <w:noWrap w:val="0"/>
            <w:vAlign w:val="center"/>
          </w:tcPr>
          <w:p w14:paraId="27BB119C">
            <w:pPr>
              <w:adjustRightInd w:val="0"/>
              <w:snapToGrid w:val="0"/>
              <w:spacing w:line="360" w:lineRule="auto"/>
              <w:rPr>
                <w:rFonts w:ascii="宋体" w:hAnsi="宋体" w:eastAsia="宋体" w:cs="宋体"/>
                <w:color w:val="auto"/>
                <w:spacing w:val="-1"/>
                <w:sz w:val="21"/>
                <w:szCs w:val="21"/>
                <w:highlight w:val="none"/>
              </w:rPr>
            </w:pPr>
            <w:r>
              <w:rPr>
                <w:rFonts w:ascii="宋体" w:hAnsi="宋体" w:eastAsia="宋体" w:cs="宋体"/>
                <w:color w:val="auto"/>
                <w:spacing w:val="-1"/>
                <w:sz w:val="21"/>
                <w:szCs w:val="21"/>
                <w:highlight w:val="none"/>
              </w:rPr>
              <w:t>投标截止时间： 详见本项目招标公告</w:t>
            </w:r>
          </w:p>
          <w:p w14:paraId="61D6A55D">
            <w:pPr>
              <w:adjustRightInd w:val="0"/>
              <w:snapToGrid w:val="0"/>
              <w:spacing w:line="360" w:lineRule="auto"/>
              <w:rPr>
                <w:rFonts w:ascii="宋体" w:hAnsi="宋体" w:eastAsia="宋体"/>
                <w:bCs/>
                <w:color w:val="auto"/>
                <w:szCs w:val="21"/>
                <w:highlight w:val="none"/>
              </w:rPr>
            </w:pPr>
            <w:r>
              <w:rPr>
                <w:rFonts w:ascii="宋体" w:hAnsi="宋体" w:eastAsia="宋体" w:cs="宋体"/>
                <w:color w:val="auto"/>
                <w:spacing w:val="-1"/>
                <w:sz w:val="21"/>
                <w:szCs w:val="21"/>
                <w:highlight w:val="none"/>
              </w:rPr>
              <w:t>投标地点： 详见本项目招标公告</w:t>
            </w:r>
          </w:p>
        </w:tc>
      </w:tr>
      <w:tr w14:paraId="3A8C92D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27" w:hRule="atLeast"/>
        </w:trPr>
        <w:tc>
          <w:tcPr>
            <w:tcW w:w="9579" w:type="dxa"/>
            <w:gridSpan w:val="4"/>
            <w:noWrap w:val="0"/>
            <w:vAlign w:val="center"/>
          </w:tcPr>
          <w:p w14:paraId="66EA1AC7">
            <w:pPr>
              <w:adjustRightInd w:val="0"/>
              <w:snapToGrid w:val="0"/>
              <w:spacing w:line="360" w:lineRule="auto"/>
              <w:rPr>
                <w:rFonts w:ascii="宋体" w:hAnsi="宋体" w:eastAsia="宋体"/>
                <w:color w:val="auto"/>
                <w:szCs w:val="21"/>
                <w:highlight w:val="none"/>
              </w:rPr>
            </w:pPr>
            <w:r>
              <w:rPr>
                <w:rFonts w:hint="eastAsia" w:ascii="宋体" w:hAnsi="宋体" w:eastAsia="宋体"/>
                <w:b/>
                <w:bCs/>
                <w:color w:val="auto"/>
                <w:szCs w:val="21"/>
                <w:highlight w:val="none"/>
              </w:rPr>
              <w:t>五、开标、资格审查和评标</w:t>
            </w:r>
          </w:p>
        </w:tc>
      </w:tr>
      <w:tr w14:paraId="207D2D8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27" w:hRule="atLeast"/>
        </w:trPr>
        <w:tc>
          <w:tcPr>
            <w:tcW w:w="1666" w:type="dxa"/>
            <w:noWrap w:val="0"/>
            <w:vAlign w:val="center"/>
          </w:tcPr>
          <w:p w14:paraId="2437D437">
            <w:pPr>
              <w:adjustRightInd w:val="0"/>
              <w:snapToGrid w:val="0"/>
              <w:spacing w:line="360" w:lineRule="auto"/>
              <w:jc w:val="center"/>
              <w:rPr>
                <w:rFonts w:ascii="宋体" w:hAnsi="宋体" w:eastAsia="宋体"/>
                <w:color w:val="auto"/>
                <w:szCs w:val="21"/>
                <w:highlight w:val="none"/>
              </w:rPr>
            </w:pPr>
            <w:r>
              <w:rPr>
                <w:rFonts w:hint="eastAsia" w:ascii="宋体" w:hAnsi="宋体" w:eastAsia="宋体"/>
                <w:color w:val="auto"/>
                <w:szCs w:val="21"/>
                <w:highlight w:val="none"/>
              </w:rPr>
              <w:t>第24.1</w:t>
            </w:r>
            <w:r>
              <w:rPr>
                <w:rFonts w:hint="eastAsia" w:ascii="宋体" w:hAnsi="宋体" w:eastAsia="宋体" w:cs="宋体"/>
                <w:color w:val="auto"/>
                <w:kern w:val="0"/>
                <w:szCs w:val="21"/>
                <w:highlight w:val="none"/>
                <w:lang w:val="zh-CN"/>
              </w:rPr>
              <w:t>款</w:t>
            </w:r>
          </w:p>
        </w:tc>
        <w:tc>
          <w:tcPr>
            <w:tcW w:w="2068" w:type="dxa"/>
            <w:gridSpan w:val="2"/>
            <w:noWrap w:val="0"/>
            <w:vAlign w:val="center"/>
          </w:tcPr>
          <w:p w14:paraId="09C6DFF3">
            <w:pPr>
              <w:adjustRightInd w:val="0"/>
              <w:snapToGrid w:val="0"/>
              <w:spacing w:line="360" w:lineRule="auto"/>
              <w:jc w:val="left"/>
              <w:rPr>
                <w:rFonts w:ascii="宋体" w:hAnsi="宋体" w:eastAsia="宋体"/>
                <w:color w:val="auto"/>
                <w:szCs w:val="21"/>
                <w:highlight w:val="none"/>
              </w:rPr>
            </w:pPr>
            <w:r>
              <w:rPr>
                <w:rFonts w:hint="eastAsia" w:ascii="宋体" w:hAnsi="宋体" w:eastAsia="宋体"/>
                <w:bCs/>
                <w:color w:val="auto"/>
                <w:szCs w:val="21"/>
                <w:highlight w:val="none"/>
              </w:rPr>
              <w:t>开标地点</w:t>
            </w:r>
            <w:r>
              <w:rPr>
                <w:rFonts w:hint="eastAsia" w:ascii="宋体" w:hAnsi="宋体" w:eastAsia="宋体"/>
                <w:color w:val="auto"/>
                <w:szCs w:val="21"/>
                <w:highlight w:val="none"/>
              </w:rPr>
              <w:t xml:space="preserve"> </w:t>
            </w:r>
          </w:p>
        </w:tc>
        <w:tc>
          <w:tcPr>
            <w:tcW w:w="5845" w:type="dxa"/>
            <w:noWrap w:val="0"/>
            <w:vAlign w:val="center"/>
          </w:tcPr>
          <w:p w14:paraId="02CA556A">
            <w:pPr>
              <w:adjustRightInd w:val="0"/>
              <w:snapToGrid w:val="0"/>
              <w:spacing w:line="360" w:lineRule="auto"/>
              <w:rPr>
                <w:rFonts w:hint="default" w:ascii="宋体" w:hAnsi="宋体" w:eastAsia="宋体"/>
                <w:color w:val="auto"/>
                <w:szCs w:val="21"/>
                <w:highlight w:val="none"/>
                <w:lang w:val="en-US" w:eastAsia="zh-CN"/>
              </w:rPr>
            </w:pPr>
            <w:r>
              <w:rPr>
                <w:rFonts w:hint="eastAsia" w:ascii="Times New Roman" w:hAnsi="Times New Roman" w:eastAsia="宋体" w:cs="Times New Roman"/>
                <w:b w:val="0"/>
                <w:i w:val="0"/>
                <w:caps w:val="0"/>
                <w:color w:val="auto"/>
                <w:spacing w:val="0"/>
                <w:w w:val="100"/>
                <w:kern w:val="2"/>
                <w:sz w:val="21"/>
                <w:szCs w:val="24"/>
                <w:highlight w:val="none"/>
                <w:lang w:val="en-US" w:eastAsia="zh-CN" w:bidi="ar-SA"/>
              </w:rPr>
              <w:t xml:space="preserve">详见招标文件“第一章 </w:t>
            </w:r>
            <w:r>
              <w:rPr>
                <w:rFonts w:hint="eastAsia" w:cs="Times New Roman"/>
                <w:b w:val="0"/>
                <w:i w:val="0"/>
                <w:caps w:val="0"/>
                <w:color w:val="auto"/>
                <w:spacing w:val="0"/>
                <w:w w:val="100"/>
                <w:kern w:val="2"/>
                <w:sz w:val="21"/>
                <w:szCs w:val="24"/>
                <w:highlight w:val="none"/>
                <w:lang w:val="en-US" w:eastAsia="zh-CN" w:bidi="ar-SA"/>
              </w:rPr>
              <w:t>投标邀请</w:t>
            </w:r>
            <w:r>
              <w:rPr>
                <w:rFonts w:hint="eastAsia" w:ascii="Times New Roman" w:hAnsi="Times New Roman" w:eastAsia="宋体" w:cs="Times New Roman"/>
                <w:b w:val="0"/>
                <w:i w:val="0"/>
                <w:caps w:val="0"/>
                <w:color w:val="auto"/>
                <w:spacing w:val="0"/>
                <w:w w:val="100"/>
                <w:kern w:val="2"/>
                <w:sz w:val="21"/>
                <w:szCs w:val="24"/>
                <w:highlight w:val="none"/>
                <w:lang w:val="en-US" w:eastAsia="zh-CN" w:bidi="ar-SA"/>
              </w:rPr>
              <w:t>”相关规定。</w:t>
            </w:r>
          </w:p>
        </w:tc>
      </w:tr>
      <w:tr w14:paraId="386E041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24" w:hRule="atLeast"/>
        </w:trPr>
        <w:tc>
          <w:tcPr>
            <w:tcW w:w="1666" w:type="dxa"/>
            <w:noWrap w:val="0"/>
            <w:vAlign w:val="center"/>
          </w:tcPr>
          <w:p w14:paraId="25A17D58">
            <w:pPr>
              <w:adjustRightInd w:val="0"/>
              <w:snapToGrid w:val="0"/>
              <w:spacing w:line="360" w:lineRule="auto"/>
              <w:jc w:val="center"/>
              <w:rPr>
                <w:rFonts w:ascii="宋体" w:hAnsi="宋体" w:eastAsia="宋体"/>
                <w:color w:val="auto"/>
                <w:szCs w:val="21"/>
                <w:highlight w:val="none"/>
              </w:rPr>
            </w:pPr>
            <w:r>
              <w:rPr>
                <w:rFonts w:hint="eastAsia" w:ascii="宋体" w:hAnsi="宋体" w:eastAsia="宋体"/>
                <w:color w:val="auto"/>
                <w:szCs w:val="21"/>
                <w:highlight w:val="none"/>
              </w:rPr>
              <w:t>第24.2</w:t>
            </w:r>
            <w:r>
              <w:rPr>
                <w:rFonts w:hint="eastAsia" w:ascii="宋体" w:hAnsi="宋体" w:eastAsia="宋体" w:cs="宋体"/>
                <w:color w:val="auto"/>
                <w:kern w:val="0"/>
                <w:szCs w:val="21"/>
                <w:highlight w:val="none"/>
                <w:lang w:val="zh-CN"/>
              </w:rPr>
              <w:t>款</w:t>
            </w:r>
          </w:p>
        </w:tc>
        <w:tc>
          <w:tcPr>
            <w:tcW w:w="2068" w:type="dxa"/>
            <w:gridSpan w:val="2"/>
            <w:noWrap w:val="0"/>
            <w:vAlign w:val="center"/>
          </w:tcPr>
          <w:p w14:paraId="02F00E71">
            <w:pPr>
              <w:adjustRightInd w:val="0"/>
              <w:snapToGrid w:val="0"/>
              <w:spacing w:line="360" w:lineRule="auto"/>
              <w:jc w:val="left"/>
              <w:rPr>
                <w:rFonts w:ascii="宋体" w:hAnsi="宋体" w:eastAsia="宋体"/>
                <w:color w:val="auto"/>
                <w:szCs w:val="21"/>
                <w:highlight w:val="none"/>
              </w:rPr>
            </w:pPr>
            <w:r>
              <w:rPr>
                <w:rFonts w:hint="eastAsia" w:ascii="宋体" w:hAnsi="宋体" w:eastAsia="宋体"/>
                <w:color w:val="auto"/>
                <w:szCs w:val="21"/>
                <w:highlight w:val="none"/>
              </w:rPr>
              <w:t>需要宣布的其他内容</w:t>
            </w:r>
          </w:p>
        </w:tc>
        <w:tc>
          <w:tcPr>
            <w:tcW w:w="5845" w:type="dxa"/>
            <w:noWrap w:val="0"/>
            <w:vAlign w:val="center"/>
          </w:tcPr>
          <w:p w14:paraId="3E8B486D">
            <w:pPr>
              <w:adjustRightInd w:val="0"/>
              <w:snapToGrid w:val="0"/>
              <w:spacing w:line="360" w:lineRule="auto"/>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无</w:t>
            </w:r>
          </w:p>
        </w:tc>
      </w:tr>
      <w:tr w14:paraId="63A7753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27" w:hRule="atLeast"/>
        </w:trPr>
        <w:tc>
          <w:tcPr>
            <w:tcW w:w="9579" w:type="dxa"/>
            <w:gridSpan w:val="4"/>
            <w:noWrap w:val="0"/>
            <w:vAlign w:val="center"/>
          </w:tcPr>
          <w:p w14:paraId="70319EB2">
            <w:pPr>
              <w:adjustRightInd w:val="0"/>
              <w:snapToGrid w:val="0"/>
              <w:spacing w:line="360" w:lineRule="auto"/>
              <w:rPr>
                <w:rFonts w:ascii="宋体" w:hAnsi="宋体" w:eastAsia="宋体"/>
                <w:b/>
                <w:color w:val="auto"/>
                <w:szCs w:val="21"/>
                <w:highlight w:val="none"/>
              </w:rPr>
            </w:pPr>
            <w:r>
              <w:rPr>
                <w:rFonts w:hint="eastAsia" w:ascii="宋体" w:hAnsi="宋体" w:eastAsia="宋体"/>
                <w:b/>
                <w:color w:val="auto"/>
                <w:szCs w:val="21"/>
                <w:highlight w:val="none"/>
              </w:rPr>
              <w:t>六、中标信息公布</w:t>
            </w:r>
          </w:p>
        </w:tc>
      </w:tr>
      <w:tr w14:paraId="0C5F9DC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24" w:hRule="atLeast"/>
        </w:trPr>
        <w:tc>
          <w:tcPr>
            <w:tcW w:w="1666" w:type="dxa"/>
            <w:noWrap w:val="0"/>
            <w:vAlign w:val="center"/>
          </w:tcPr>
          <w:p w14:paraId="5F7FF760">
            <w:pPr>
              <w:adjustRightInd w:val="0"/>
              <w:snapToGrid w:val="0"/>
              <w:spacing w:line="360" w:lineRule="auto"/>
              <w:jc w:val="center"/>
              <w:rPr>
                <w:rFonts w:ascii="宋体" w:hAnsi="宋体" w:eastAsia="宋体"/>
                <w:color w:val="auto"/>
                <w:szCs w:val="21"/>
                <w:highlight w:val="none"/>
              </w:rPr>
            </w:pPr>
            <w:r>
              <w:rPr>
                <w:rFonts w:hint="eastAsia" w:ascii="宋体" w:hAnsi="宋体" w:eastAsia="宋体"/>
                <w:color w:val="auto"/>
                <w:szCs w:val="21"/>
                <w:highlight w:val="none"/>
              </w:rPr>
              <w:t>第28.2</w:t>
            </w:r>
            <w:r>
              <w:rPr>
                <w:rFonts w:hint="eastAsia" w:ascii="宋体" w:hAnsi="宋体" w:eastAsia="宋体" w:cs="宋体"/>
                <w:color w:val="auto"/>
                <w:kern w:val="0"/>
                <w:szCs w:val="21"/>
                <w:highlight w:val="none"/>
                <w:lang w:val="zh-CN"/>
              </w:rPr>
              <w:t>款</w:t>
            </w:r>
          </w:p>
        </w:tc>
        <w:tc>
          <w:tcPr>
            <w:tcW w:w="2068" w:type="dxa"/>
            <w:gridSpan w:val="2"/>
            <w:noWrap w:val="0"/>
            <w:vAlign w:val="center"/>
          </w:tcPr>
          <w:p w14:paraId="7D470A78">
            <w:pPr>
              <w:adjustRightInd w:val="0"/>
              <w:snapToGrid w:val="0"/>
              <w:spacing w:line="360" w:lineRule="auto"/>
              <w:jc w:val="left"/>
              <w:rPr>
                <w:rFonts w:ascii="宋体" w:hAnsi="宋体" w:eastAsia="宋体"/>
                <w:color w:val="auto"/>
                <w:szCs w:val="21"/>
                <w:highlight w:val="none"/>
              </w:rPr>
            </w:pPr>
            <w:r>
              <w:rPr>
                <w:rFonts w:hint="eastAsia" w:ascii="宋体" w:hAnsi="宋体" w:eastAsia="宋体"/>
                <w:color w:val="auto"/>
                <w:szCs w:val="21"/>
                <w:highlight w:val="none"/>
              </w:rPr>
              <w:t>中标候选人并列时确定中标人的方式</w:t>
            </w:r>
          </w:p>
        </w:tc>
        <w:tc>
          <w:tcPr>
            <w:tcW w:w="5845" w:type="dxa"/>
            <w:noWrap w:val="0"/>
            <w:vAlign w:val="center"/>
          </w:tcPr>
          <w:p w14:paraId="17ECC647">
            <w:pPr>
              <w:adjustRightInd w:val="0"/>
              <w:snapToGrid w:val="0"/>
              <w:spacing w:line="360" w:lineRule="auto"/>
              <w:rPr>
                <w:rFonts w:ascii="宋体" w:hAnsi="宋体" w:eastAsia="宋体"/>
                <w:color w:val="auto"/>
                <w:szCs w:val="21"/>
                <w:highlight w:val="none"/>
              </w:rPr>
            </w:pPr>
            <w:r>
              <w:rPr>
                <w:rFonts w:ascii="宋体" w:hAnsi="宋体" w:eastAsia="宋体" w:cs="宋体"/>
                <w:color w:val="auto"/>
                <w:spacing w:val="-1"/>
                <w:sz w:val="21"/>
                <w:szCs w:val="21"/>
                <w:highlight w:val="none"/>
              </w:rPr>
              <w:t>详见本招标</w:t>
            </w:r>
            <w:r>
              <w:rPr>
                <w:rFonts w:ascii="宋体" w:hAnsi="宋体" w:eastAsia="宋体" w:cs="宋体"/>
                <w:color w:val="auto"/>
                <w:sz w:val="21"/>
                <w:szCs w:val="21"/>
                <w:highlight w:val="none"/>
              </w:rPr>
              <w:t>文件第四章相关规定</w:t>
            </w:r>
          </w:p>
        </w:tc>
      </w:tr>
      <w:tr w14:paraId="5252F00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927" w:hRule="atLeast"/>
        </w:trPr>
        <w:tc>
          <w:tcPr>
            <w:tcW w:w="1666" w:type="dxa"/>
            <w:noWrap w:val="0"/>
            <w:vAlign w:val="center"/>
          </w:tcPr>
          <w:p w14:paraId="56F37423">
            <w:pPr>
              <w:adjustRightInd w:val="0"/>
              <w:snapToGrid w:val="0"/>
              <w:spacing w:line="360" w:lineRule="auto"/>
              <w:jc w:val="center"/>
              <w:rPr>
                <w:rFonts w:ascii="宋体" w:hAnsi="宋体" w:eastAsia="宋体"/>
                <w:color w:val="auto"/>
                <w:szCs w:val="21"/>
                <w:highlight w:val="none"/>
              </w:rPr>
            </w:pPr>
            <w:r>
              <w:rPr>
                <w:rFonts w:hint="eastAsia" w:ascii="宋体" w:hAnsi="宋体" w:eastAsia="宋体"/>
                <w:color w:val="auto"/>
                <w:szCs w:val="21"/>
                <w:highlight w:val="none"/>
              </w:rPr>
              <w:t>第29.3</w:t>
            </w:r>
            <w:r>
              <w:rPr>
                <w:rFonts w:hint="eastAsia" w:ascii="宋体" w:hAnsi="宋体" w:eastAsia="宋体" w:cs="宋体"/>
                <w:color w:val="auto"/>
                <w:kern w:val="0"/>
                <w:szCs w:val="21"/>
                <w:highlight w:val="none"/>
                <w:lang w:val="zh-CN"/>
              </w:rPr>
              <w:t>款</w:t>
            </w:r>
          </w:p>
        </w:tc>
        <w:tc>
          <w:tcPr>
            <w:tcW w:w="2068" w:type="dxa"/>
            <w:gridSpan w:val="2"/>
            <w:noWrap w:val="0"/>
            <w:vAlign w:val="center"/>
          </w:tcPr>
          <w:p w14:paraId="2FE6C73B">
            <w:pPr>
              <w:adjustRightInd w:val="0"/>
              <w:snapToGrid w:val="0"/>
              <w:spacing w:line="360" w:lineRule="auto"/>
              <w:jc w:val="left"/>
              <w:rPr>
                <w:rFonts w:ascii="宋体" w:hAnsi="宋体" w:eastAsia="宋体"/>
                <w:color w:val="auto"/>
                <w:szCs w:val="21"/>
                <w:highlight w:val="none"/>
              </w:rPr>
            </w:pPr>
            <w:r>
              <w:rPr>
                <w:rFonts w:hint="eastAsia" w:ascii="宋体" w:hAnsi="宋体" w:eastAsia="宋体"/>
                <w:color w:val="auto"/>
                <w:szCs w:val="21"/>
                <w:highlight w:val="none"/>
              </w:rPr>
              <w:t>接收质疑函的联系部门、联系电话和通讯地址</w:t>
            </w:r>
          </w:p>
        </w:tc>
        <w:tc>
          <w:tcPr>
            <w:tcW w:w="5845" w:type="dxa"/>
            <w:noWrap w:val="0"/>
            <w:vAlign w:val="center"/>
          </w:tcPr>
          <w:p w14:paraId="04A043D2">
            <w:pPr>
              <w:textAlignment w:val="baseline"/>
              <w:rPr>
                <w:rStyle w:val="32"/>
                <w:color w:val="auto"/>
                <w:highlight w:val="none"/>
              </w:rPr>
            </w:pPr>
            <w:r>
              <w:rPr>
                <w:rStyle w:val="32"/>
                <w:color w:val="auto"/>
                <w:highlight w:val="none"/>
              </w:rPr>
              <w:t>1、采购人：</w:t>
            </w:r>
            <w:r>
              <w:rPr>
                <w:rStyle w:val="32"/>
                <w:rFonts w:hint="eastAsia"/>
                <w:color w:val="auto"/>
                <w:highlight w:val="none"/>
              </w:rPr>
              <w:t>株洲市中心医院</w:t>
            </w:r>
          </w:p>
          <w:p w14:paraId="7601A0A4">
            <w:pPr>
              <w:textAlignment w:val="baseline"/>
              <w:rPr>
                <w:rStyle w:val="32"/>
                <w:color w:val="auto"/>
                <w:highlight w:val="none"/>
              </w:rPr>
            </w:pPr>
            <w:r>
              <w:rPr>
                <w:rStyle w:val="32"/>
                <w:color w:val="auto"/>
                <w:highlight w:val="none"/>
              </w:rPr>
              <w:t>地址：</w:t>
            </w:r>
            <w:r>
              <w:rPr>
                <w:rStyle w:val="32"/>
                <w:rFonts w:hint="eastAsia"/>
                <w:color w:val="auto"/>
                <w:highlight w:val="none"/>
              </w:rPr>
              <w:t>株洲市天元区长江南路116号</w:t>
            </w:r>
          </w:p>
          <w:p w14:paraId="540F2EF0">
            <w:pPr>
              <w:snapToGrid w:val="0"/>
              <w:textAlignment w:val="baseline"/>
              <w:rPr>
                <w:rStyle w:val="32"/>
                <w:rFonts w:ascii="宋体" w:hAnsi="宋体"/>
                <w:color w:val="auto"/>
                <w:szCs w:val="21"/>
                <w:highlight w:val="none"/>
              </w:rPr>
            </w:pPr>
            <w:r>
              <w:rPr>
                <w:rStyle w:val="32"/>
                <w:rFonts w:ascii="宋体" w:hAnsi="宋体"/>
                <w:color w:val="auto"/>
                <w:szCs w:val="21"/>
                <w:highlight w:val="none"/>
              </w:rPr>
              <w:t>联系人：</w:t>
            </w:r>
            <w:r>
              <w:rPr>
                <w:rStyle w:val="32"/>
                <w:rFonts w:hint="eastAsia" w:ascii="宋体" w:hAnsi="宋体"/>
                <w:color w:val="auto"/>
                <w:szCs w:val="21"/>
                <w:highlight w:val="none"/>
              </w:rPr>
              <w:t>石楠</w:t>
            </w:r>
          </w:p>
          <w:p w14:paraId="67BD1665">
            <w:pPr>
              <w:textAlignment w:val="baseline"/>
              <w:rPr>
                <w:color w:val="auto"/>
                <w:highlight w:val="none"/>
              </w:rPr>
            </w:pPr>
            <w:r>
              <w:rPr>
                <w:rStyle w:val="32"/>
                <w:rFonts w:ascii="宋体" w:hAnsi="宋体"/>
                <w:color w:val="auto"/>
                <w:szCs w:val="21"/>
                <w:highlight w:val="none"/>
              </w:rPr>
              <w:t>电  话：</w:t>
            </w:r>
            <w:r>
              <w:rPr>
                <w:rStyle w:val="32"/>
                <w:rFonts w:hint="eastAsia" w:ascii="宋体" w:hAnsi="宋体"/>
                <w:color w:val="auto"/>
                <w:szCs w:val="21"/>
                <w:highlight w:val="none"/>
                <w:lang w:val="en-US"/>
              </w:rPr>
              <w:t xml:space="preserve"> 0731-28563058</w:t>
            </w:r>
          </w:p>
          <w:p w14:paraId="257854D5">
            <w:pPr>
              <w:spacing w:before="76" w:line="221" w:lineRule="auto"/>
              <w:rPr>
                <w:rFonts w:hint="eastAsia"/>
                <w:color w:val="auto"/>
                <w:highlight w:val="none"/>
                <w:lang w:eastAsia="zh-CN"/>
              </w:rPr>
            </w:pPr>
            <w:r>
              <w:rPr>
                <w:rFonts w:hint="eastAsia"/>
                <w:color w:val="auto"/>
                <w:highlight w:val="none"/>
                <w:lang w:val="en-US" w:eastAsia="zh-CN"/>
              </w:rPr>
              <w:t>招标代理机构</w:t>
            </w:r>
            <w:r>
              <w:rPr>
                <w:color w:val="auto"/>
                <w:highlight w:val="none"/>
              </w:rPr>
              <w:t>名称：</w:t>
            </w:r>
            <w:r>
              <w:rPr>
                <w:rFonts w:hint="eastAsia"/>
                <w:color w:val="auto"/>
                <w:highlight w:val="none"/>
                <w:lang w:eastAsia="zh-CN"/>
              </w:rPr>
              <w:t>湖南</w:t>
            </w:r>
            <w:r>
              <w:rPr>
                <w:rFonts w:hint="eastAsia"/>
                <w:color w:val="auto"/>
                <w:highlight w:val="none"/>
                <w:lang w:val="en-US" w:eastAsia="zh-CN"/>
              </w:rPr>
              <w:t>广汇</w:t>
            </w:r>
            <w:r>
              <w:rPr>
                <w:rFonts w:hint="eastAsia"/>
                <w:color w:val="auto"/>
                <w:highlight w:val="none"/>
                <w:lang w:eastAsia="zh-CN"/>
              </w:rPr>
              <w:t>项目管理有限公司</w:t>
            </w:r>
          </w:p>
          <w:p w14:paraId="75116648">
            <w:pPr>
              <w:spacing w:before="76" w:line="221" w:lineRule="auto"/>
              <w:rPr>
                <w:rFonts w:hint="eastAsia"/>
                <w:color w:val="auto"/>
                <w:highlight w:val="none"/>
                <w:lang w:eastAsia="zh-CN"/>
              </w:rPr>
            </w:pPr>
            <w:r>
              <w:rPr>
                <w:color w:val="auto"/>
                <w:highlight w:val="none"/>
              </w:rPr>
              <w:t>地址：</w:t>
            </w:r>
            <w:r>
              <w:rPr>
                <w:rFonts w:hint="eastAsia" w:ascii="宋体" w:hAnsi="宋体" w:eastAsia="宋体" w:cs="宋体"/>
                <w:color w:val="auto"/>
                <w:spacing w:val="-1"/>
                <w:sz w:val="21"/>
                <w:szCs w:val="21"/>
                <w:highlight w:val="none"/>
                <w:lang w:val="en-US" w:eastAsia="zh-CN"/>
              </w:rPr>
              <w:t>株洲市天元区株洲大道335号南方航空工贸园综合楼三楼</w:t>
            </w:r>
          </w:p>
          <w:p w14:paraId="31D72965">
            <w:pPr>
              <w:spacing w:before="76" w:line="221" w:lineRule="auto"/>
              <w:rPr>
                <w:rFonts w:hint="eastAsia"/>
                <w:color w:val="auto"/>
                <w:highlight w:val="none"/>
                <w:lang w:eastAsia="zh-CN"/>
              </w:rPr>
            </w:pPr>
            <w:r>
              <w:rPr>
                <w:color w:val="auto"/>
                <w:highlight w:val="none"/>
              </w:rPr>
              <w:t>电话：</w:t>
            </w:r>
            <w:r>
              <w:rPr>
                <w:rFonts w:hint="eastAsia" w:ascii="宋体" w:hAnsi="宋体" w:eastAsia="宋体" w:cs="宋体"/>
                <w:color w:val="auto"/>
                <w:spacing w:val="-1"/>
                <w:sz w:val="21"/>
                <w:szCs w:val="21"/>
                <w:highlight w:val="none"/>
                <w:lang w:eastAsia="zh-CN"/>
              </w:rPr>
              <w:t>0731-</w:t>
            </w:r>
            <w:r>
              <w:rPr>
                <w:rFonts w:hint="eastAsia" w:ascii="宋体" w:hAnsi="宋体" w:eastAsia="宋体" w:cs="宋体"/>
                <w:color w:val="auto"/>
                <w:spacing w:val="-1"/>
                <w:sz w:val="21"/>
                <w:szCs w:val="21"/>
                <w:highlight w:val="none"/>
                <w:lang w:val="en-US" w:eastAsia="zh-CN"/>
              </w:rPr>
              <w:t>22030089</w:t>
            </w:r>
          </w:p>
          <w:p w14:paraId="1D9564A1">
            <w:pPr>
              <w:spacing w:before="76" w:line="221" w:lineRule="auto"/>
              <w:rPr>
                <w:rFonts w:hint="default"/>
                <w:color w:val="auto"/>
                <w:highlight w:val="none"/>
                <w:lang w:val="en-US" w:eastAsia="zh-CN"/>
              </w:rPr>
            </w:pPr>
            <w:r>
              <w:rPr>
                <w:color w:val="auto"/>
                <w:highlight w:val="none"/>
              </w:rPr>
              <w:t>联系人：</w:t>
            </w:r>
            <w:r>
              <w:rPr>
                <w:rFonts w:hint="eastAsia"/>
                <w:color w:val="auto"/>
                <w:highlight w:val="none"/>
                <w:lang w:val="en-US" w:eastAsia="zh-CN"/>
              </w:rPr>
              <w:t>李锋、刘宁、王丹、黎中丽</w:t>
            </w:r>
          </w:p>
          <w:p w14:paraId="0EC76914">
            <w:pPr>
              <w:spacing w:before="76" w:line="221" w:lineRule="auto"/>
              <w:rPr>
                <w:color w:val="auto"/>
                <w:highlight w:val="none"/>
              </w:rPr>
            </w:pPr>
            <w:r>
              <w:rPr>
                <w:rFonts w:hint="eastAsia"/>
                <w:color w:val="auto"/>
                <w:szCs w:val="21"/>
                <w:highlight w:val="none"/>
              </w:rPr>
              <w:t>电子邮箱：</w:t>
            </w:r>
            <w:r>
              <w:rPr>
                <w:rFonts w:hint="eastAsia" w:ascii="宋体" w:hAnsi="宋体" w:cs="Times New Roman"/>
                <w:color w:val="auto"/>
                <w:szCs w:val="21"/>
                <w:highlight w:val="none"/>
                <w:u w:val="none"/>
                <w:lang w:val="en-US" w:eastAsia="zh-CN"/>
              </w:rPr>
              <w:t xml:space="preserve">513106146@qq.com </w:t>
            </w:r>
          </w:p>
        </w:tc>
      </w:tr>
      <w:tr w14:paraId="2C4D1A4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27" w:hRule="atLeast"/>
        </w:trPr>
        <w:tc>
          <w:tcPr>
            <w:tcW w:w="9579" w:type="dxa"/>
            <w:gridSpan w:val="4"/>
            <w:noWrap w:val="0"/>
            <w:vAlign w:val="center"/>
          </w:tcPr>
          <w:p w14:paraId="291839FC">
            <w:pPr>
              <w:adjustRightInd w:val="0"/>
              <w:snapToGrid w:val="0"/>
              <w:spacing w:line="360" w:lineRule="auto"/>
              <w:rPr>
                <w:rFonts w:ascii="宋体" w:hAnsi="宋体" w:eastAsia="宋体"/>
                <w:color w:val="auto"/>
                <w:szCs w:val="21"/>
                <w:highlight w:val="none"/>
              </w:rPr>
            </w:pPr>
            <w:r>
              <w:rPr>
                <w:rFonts w:hint="eastAsia" w:ascii="宋体" w:hAnsi="宋体" w:eastAsia="宋体"/>
                <w:b/>
                <w:color w:val="auto"/>
                <w:szCs w:val="21"/>
                <w:highlight w:val="none"/>
              </w:rPr>
              <w:t>七、合同签订</w:t>
            </w:r>
          </w:p>
        </w:tc>
      </w:tr>
      <w:tr w14:paraId="5789B01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5" w:hRule="atLeast"/>
        </w:trPr>
        <w:tc>
          <w:tcPr>
            <w:tcW w:w="1666" w:type="dxa"/>
            <w:noWrap w:val="0"/>
            <w:vAlign w:val="center"/>
          </w:tcPr>
          <w:p w14:paraId="0955847D">
            <w:pPr>
              <w:adjustRightInd w:val="0"/>
              <w:snapToGrid w:val="0"/>
              <w:spacing w:line="360" w:lineRule="auto"/>
              <w:jc w:val="center"/>
              <w:rPr>
                <w:rFonts w:ascii="宋体" w:hAnsi="宋体" w:eastAsia="宋体"/>
                <w:color w:val="auto"/>
                <w:szCs w:val="21"/>
                <w:highlight w:val="none"/>
              </w:rPr>
            </w:pPr>
            <w:r>
              <w:rPr>
                <w:rFonts w:hint="eastAsia" w:ascii="宋体" w:hAnsi="宋体" w:eastAsia="宋体"/>
                <w:color w:val="auto"/>
                <w:szCs w:val="21"/>
                <w:highlight w:val="none"/>
              </w:rPr>
              <w:t>第31.1</w:t>
            </w:r>
            <w:r>
              <w:rPr>
                <w:rFonts w:hint="eastAsia" w:ascii="宋体" w:hAnsi="宋体" w:eastAsia="宋体" w:cs="宋体"/>
                <w:color w:val="auto"/>
                <w:kern w:val="0"/>
                <w:szCs w:val="21"/>
                <w:highlight w:val="none"/>
                <w:lang w:val="zh-CN"/>
              </w:rPr>
              <w:t>款</w:t>
            </w:r>
          </w:p>
        </w:tc>
        <w:tc>
          <w:tcPr>
            <w:tcW w:w="2068" w:type="dxa"/>
            <w:gridSpan w:val="2"/>
            <w:noWrap w:val="0"/>
            <w:vAlign w:val="center"/>
          </w:tcPr>
          <w:p w14:paraId="1FBBDD50">
            <w:pPr>
              <w:adjustRightInd w:val="0"/>
              <w:snapToGrid w:val="0"/>
              <w:spacing w:line="360" w:lineRule="auto"/>
              <w:jc w:val="left"/>
              <w:rPr>
                <w:rFonts w:ascii="宋体" w:hAnsi="宋体" w:eastAsia="宋体"/>
                <w:color w:val="auto"/>
                <w:szCs w:val="21"/>
                <w:highlight w:val="none"/>
              </w:rPr>
            </w:pPr>
            <w:r>
              <w:rPr>
                <w:rFonts w:hint="eastAsia" w:ascii="宋体" w:hAnsi="宋体" w:eastAsia="宋体"/>
                <w:color w:val="auto"/>
                <w:szCs w:val="21"/>
                <w:highlight w:val="none"/>
              </w:rPr>
              <w:t>履约担保</w:t>
            </w:r>
          </w:p>
        </w:tc>
        <w:tc>
          <w:tcPr>
            <w:tcW w:w="5845" w:type="dxa"/>
            <w:noWrap w:val="0"/>
            <w:vAlign w:val="center"/>
          </w:tcPr>
          <w:p w14:paraId="65ABA091">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□不要求提供</w:t>
            </w:r>
          </w:p>
          <w:p w14:paraId="6F64422C">
            <w:pPr>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rPr>
              <w:t>■要求提供：</w:t>
            </w:r>
            <w:r>
              <w:rPr>
                <w:rFonts w:hint="eastAsia" w:ascii="宋体" w:hAnsi="宋体" w:eastAsia="宋体" w:cs="宋体"/>
                <w:color w:val="auto"/>
                <w:szCs w:val="21"/>
                <w:highlight w:val="none"/>
              </w:rPr>
              <w:t xml:space="preserve">履约担保的金额为 </w:t>
            </w:r>
            <w:r>
              <w:rPr>
                <w:rFonts w:hint="eastAsia" w:ascii="宋体" w:hAnsi="宋体" w:eastAsia="宋体" w:cs="宋体"/>
                <w:color w:val="auto"/>
                <w:szCs w:val="21"/>
                <w:highlight w:val="none"/>
                <w:lang w:val="en-US" w:eastAsia="zh-CN"/>
              </w:rPr>
              <w:t>中标金额的</w:t>
            </w:r>
            <w:r>
              <w:rPr>
                <w:rFonts w:hint="eastAsia" w:ascii="宋体" w:hAnsi="宋体" w:cs="宋体"/>
                <w:color w:val="auto"/>
                <w:szCs w:val="21"/>
                <w:highlight w:val="none"/>
                <w:u w:val="single"/>
                <w:lang w:val="en-US" w:eastAsia="zh-CN"/>
              </w:rPr>
              <w:t>10</w:t>
            </w:r>
            <w:r>
              <w:rPr>
                <w:rFonts w:hint="eastAsia" w:ascii="宋体" w:hAnsi="宋体" w:eastAsia="宋体" w:cs="宋体"/>
                <w:color w:val="auto"/>
                <w:szCs w:val="21"/>
                <w:highlight w:val="none"/>
                <w:u w:val="single"/>
                <w:lang w:val="en-US" w:eastAsia="zh-CN"/>
              </w:rPr>
              <w:t>%</w:t>
            </w:r>
            <w:r>
              <w:rPr>
                <w:rFonts w:hint="eastAsia" w:ascii="宋体" w:hAnsi="宋体" w:eastAsia="宋体" w:cs="宋体"/>
                <w:color w:val="auto"/>
                <w:szCs w:val="21"/>
                <w:highlight w:val="none"/>
              </w:rPr>
              <w:t>。</w:t>
            </w:r>
          </w:p>
          <w:p w14:paraId="4CF62CB6">
            <w:pPr>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自收到中标通知书之日起，五个工作日内提交履约保证金，未在限定期限内提交视为放弃中标。</w:t>
            </w:r>
          </w:p>
          <w:p w14:paraId="07BD65AD">
            <w:pPr>
              <w:spacing w:before="76" w:line="221" w:lineRule="auto"/>
              <w:rPr>
                <w:rFonts w:ascii="宋体" w:hAnsi="宋体" w:eastAsia="宋体"/>
                <w:strike/>
                <w:color w:val="auto"/>
                <w:szCs w:val="21"/>
                <w:highlight w:val="none"/>
              </w:rPr>
            </w:pPr>
            <w:r>
              <w:rPr>
                <w:rFonts w:hint="eastAsia" w:ascii="宋体" w:hAnsi="宋体" w:eastAsia="宋体" w:cs="宋体"/>
                <w:color w:val="auto"/>
                <w:szCs w:val="21"/>
                <w:highlight w:val="none"/>
                <w:lang w:val="en-US" w:eastAsia="zh-CN"/>
              </w:rPr>
              <w:t>履约担保的退还：验收合格后一个月后无息退还。</w:t>
            </w:r>
          </w:p>
        </w:tc>
      </w:tr>
      <w:tr w14:paraId="6FA0F9A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26" w:hRule="atLeast"/>
        </w:trPr>
        <w:tc>
          <w:tcPr>
            <w:tcW w:w="9579" w:type="dxa"/>
            <w:gridSpan w:val="4"/>
            <w:noWrap w:val="0"/>
            <w:vAlign w:val="center"/>
          </w:tcPr>
          <w:p w14:paraId="2C5B7BC6">
            <w:pPr>
              <w:adjustRightInd w:val="0"/>
              <w:snapToGrid w:val="0"/>
              <w:spacing w:line="360" w:lineRule="auto"/>
              <w:rPr>
                <w:rFonts w:hint="default" w:ascii="宋体" w:hAnsi="宋体" w:eastAsia="宋体"/>
                <w:color w:val="auto"/>
                <w:szCs w:val="21"/>
                <w:highlight w:val="none"/>
                <w:lang w:val="en-US" w:eastAsia="zh-CN"/>
              </w:rPr>
            </w:pPr>
            <w:r>
              <w:rPr>
                <w:rFonts w:hint="eastAsia" w:ascii="宋体" w:hAnsi="宋体"/>
                <w:b/>
                <w:bCs/>
                <w:color w:val="auto"/>
                <w:szCs w:val="21"/>
                <w:highlight w:val="none"/>
                <w:lang w:val="en-US" w:eastAsia="zh-CN"/>
              </w:rPr>
              <w:t>八、政府采购政策</w:t>
            </w:r>
          </w:p>
        </w:tc>
      </w:tr>
      <w:tr w14:paraId="7DFC056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5" w:hRule="atLeast"/>
        </w:trPr>
        <w:tc>
          <w:tcPr>
            <w:tcW w:w="1666" w:type="dxa"/>
            <w:noWrap w:val="0"/>
            <w:vAlign w:val="center"/>
          </w:tcPr>
          <w:p w14:paraId="123025E9">
            <w:pPr>
              <w:shd w:val="clear" w:color="auto" w:fill="auto"/>
              <w:adjustRightInd w:val="0"/>
              <w:snapToGrid w:val="0"/>
              <w:spacing w:line="320" w:lineRule="exact"/>
              <w:jc w:val="center"/>
              <w:rPr>
                <w:rFonts w:ascii="宋体" w:hAnsi="宋体" w:eastAsia="宋体" w:cs="Times New Roman"/>
                <w:color w:val="auto"/>
                <w:kern w:val="2"/>
                <w:sz w:val="21"/>
                <w:szCs w:val="21"/>
                <w:highlight w:val="none"/>
                <w:lang w:val="en-US" w:eastAsia="zh-CN" w:bidi="ar-SA"/>
              </w:rPr>
            </w:pPr>
            <w:r>
              <w:rPr>
                <w:rFonts w:hint="eastAsia" w:ascii="宋体" w:hAnsi="宋体" w:eastAsia="宋体"/>
                <w:color w:val="auto"/>
                <w:szCs w:val="21"/>
                <w:highlight w:val="none"/>
              </w:rPr>
              <w:t>第33.1款</w:t>
            </w:r>
          </w:p>
        </w:tc>
        <w:tc>
          <w:tcPr>
            <w:tcW w:w="2068" w:type="dxa"/>
            <w:gridSpan w:val="2"/>
            <w:noWrap w:val="0"/>
            <w:vAlign w:val="center"/>
          </w:tcPr>
          <w:p w14:paraId="762F6159">
            <w:pPr>
              <w:shd w:val="clear" w:color="auto" w:fill="auto"/>
              <w:adjustRightInd w:val="0"/>
              <w:snapToGrid w:val="0"/>
              <w:spacing w:line="320" w:lineRule="exact"/>
              <w:jc w:val="center"/>
              <w:rPr>
                <w:rFonts w:ascii="宋体" w:hAnsi="宋体" w:eastAsia="宋体" w:cs="Times New Roman"/>
                <w:color w:val="auto"/>
                <w:kern w:val="2"/>
                <w:sz w:val="21"/>
                <w:szCs w:val="21"/>
                <w:highlight w:val="none"/>
                <w:lang w:val="en-US" w:eastAsia="zh-CN" w:bidi="ar-SA"/>
              </w:rPr>
            </w:pPr>
            <w:r>
              <w:rPr>
                <w:rFonts w:hint="eastAsia" w:ascii="宋体" w:hAnsi="宋体" w:eastAsia="宋体"/>
                <w:color w:val="auto"/>
                <w:szCs w:val="21"/>
                <w:highlight w:val="none"/>
              </w:rPr>
              <w:t>优先采购</w:t>
            </w:r>
          </w:p>
        </w:tc>
        <w:tc>
          <w:tcPr>
            <w:tcW w:w="5845" w:type="dxa"/>
            <w:noWrap w:val="0"/>
            <w:vAlign w:val="center"/>
          </w:tcPr>
          <w:p w14:paraId="7B9DC51B">
            <w:pPr>
              <w:shd w:val="clear" w:color="auto" w:fill="auto"/>
              <w:adjustRightInd w:val="0"/>
              <w:snapToGrid w:val="0"/>
              <w:spacing w:line="320" w:lineRule="exact"/>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Times New Roman"/>
                <w:color w:val="auto"/>
                <w:highlight w:val="none"/>
              </w:rPr>
              <w:t xml:space="preserve">（1）纳入财政部会同国务院有关部门发布的节能产品、环境标志产品政府采购品目清单，实施政府优先采购的，评审时按招标文件第四章第一节有关规定对该部分产品给予一定比例的价格折扣或者加分； </w:t>
            </w:r>
          </w:p>
        </w:tc>
      </w:tr>
      <w:tr w14:paraId="19FAA5D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5" w:hRule="atLeast"/>
        </w:trPr>
        <w:tc>
          <w:tcPr>
            <w:tcW w:w="1666" w:type="dxa"/>
            <w:noWrap w:val="0"/>
            <w:vAlign w:val="center"/>
          </w:tcPr>
          <w:p w14:paraId="51B96FA6">
            <w:pPr>
              <w:shd w:val="clear" w:color="auto" w:fill="auto"/>
              <w:adjustRightInd w:val="0"/>
              <w:snapToGrid w:val="0"/>
              <w:spacing w:line="320" w:lineRule="exact"/>
              <w:jc w:val="center"/>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olor w:val="auto"/>
                <w:szCs w:val="21"/>
                <w:highlight w:val="none"/>
              </w:rPr>
              <w:t>第33.2款</w:t>
            </w:r>
          </w:p>
        </w:tc>
        <w:tc>
          <w:tcPr>
            <w:tcW w:w="2068" w:type="dxa"/>
            <w:gridSpan w:val="2"/>
            <w:noWrap w:val="0"/>
            <w:vAlign w:val="center"/>
          </w:tcPr>
          <w:p w14:paraId="6BA55D19">
            <w:pPr>
              <w:shd w:val="clear" w:color="auto" w:fill="auto"/>
              <w:adjustRightInd w:val="0"/>
              <w:snapToGrid w:val="0"/>
              <w:spacing w:line="320" w:lineRule="exact"/>
              <w:jc w:val="center"/>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olor w:val="auto"/>
                <w:szCs w:val="21"/>
                <w:highlight w:val="none"/>
              </w:rPr>
              <w:t>强制采购</w:t>
            </w:r>
          </w:p>
        </w:tc>
        <w:tc>
          <w:tcPr>
            <w:tcW w:w="5845" w:type="dxa"/>
            <w:noWrap w:val="0"/>
            <w:vAlign w:val="center"/>
          </w:tcPr>
          <w:p w14:paraId="3B5FE7B4">
            <w:pPr>
              <w:shd w:val="clear" w:color="auto" w:fill="auto"/>
              <w:adjustRightInd w:val="0"/>
              <w:snapToGrid w:val="0"/>
              <w:spacing w:line="320" w:lineRule="exact"/>
              <w:jc w:val="left"/>
              <w:rPr>
                <w:rFonts w:hint="eastAsia" w:ascii="宋体" w:hAnsi="宋体" w:eastAsia="宋体" w:cs="Times New Roman"/>
                <w:color w:val="auto"/>
                <w:kern w:val="2"/>
                <w:sz w:val="21"/>
                <w:szCs w:val="24"/>
                <w:highlight w:val="none"/>
                <w:lang w:val="en-US" w:eastAsia="zh-CN" w:bidi="ar-SA"/>
              </w:rPr>
            </w:pPr>
            <w:r>
              <w:rPr>
                <w:rFonts w:hint="eastAsia" w:ascii="宋体" w:hAnsi="宋体" w:cs="宋体"/>
                <w:color w:val="auto"/>
                <w:kern w:val="0"/>
                <w:highlight w:val="none"/>
              </w:rPr>
              <w:t>纳入财政部会同国务院有关部门发布的节能产品政府采购品目清单，实施政府强制采购的（品目清单标注</w:t>
            </w:r>
            <w:r>
              <w:rPr>
                <w:rFonts w:hint="eastAsia" w:ascii="宋体" w:hAnsi="宋体" w:cs="宋体"/>
                <w:color w:val="auto"/>
                <w:kern w:val="0"/>
                <w:highlight w:val="none"/>
              </w:rPr>
              <w:sym w:font="Wingdings" w:char="F0AB"/>
            </w:r>
            <w:r>
              <w:rPr>
                <w:rFonts w:hint="eastAsia" w:ascii="宋体" w:hAnsi="宋体" w:cs="宋体"/>
                <w:color w:val="auto"/>
                <w:kern w:val="0"/>
                <w:highlight w:val="none"/>
              </w:rPr>
              <w:t>符号产品），投标人投标产品应当取得国家确定的认证机构出具的、处于有效期之内的节能产品认证证书，否则其</w:t>
            </w:r>
            <w:r>
              <w:rPr>
                <w:rFonts w:hint="eastAsia" w:ascii="宋体" w:hAnsi="宋体" w:cs="宋体"/>
                <w:b/>
                <w:color w:val="auto"/>
                <w:kern w:val="0"/>
                <w:szCs w:val="21"/>
                <w:highlight w:val="none"/>
              </w:rPr>
              <w:t>投标无效</w:t>
            </w:r>
            <w:r>
              <w:rPr>
                <w:rFonts w:hint="eastAsia" w:ascii="宋体" w:hAnsi="宋体" w:eastAsia="宋体"/>
                <w:color w:val="auto"/>
                <w:highlight w:val="none"/>
              </w:rPr>
              <w:t>。</w:t>
            </w:r>
          </w:p>
        </w:tc>
      </w:tr>
      <w:tr w14:paraId="6C8B22A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5" w:hRule="atLeast"/>
        </w:trPr>
        <w:tc>
          <w:tcPr>
            <w:tcW w:w="1666" w:type="dxa"/>
            <w:noWrap w:val="0"/>
            <w:vAlign w:val="center"/>
          </w:tcPr>
          <w:p w14:paraId="4516EFB7">
            <w:pPr>
              <w:shd w:val="clear" w:color="auto" w:fill="auto"/>
              <w:adjustRightInd w:val="0"/>
              <w:snapToGrid w:val="0"/>
              <w:spacing w:line="320" w:lineRule="exact"/>
              <w:jc w:val="center"/>
              <w:rPr>
                <w:rFonts w:hint="default" w:ascii="宋体" w:hAnsi="宋体" w:eastAsia="宋体" w:cs="Times New Roman"/>
                <w:color w:val="auto"/>
                <w:kern w:val="2"/>
                <w:sz w:val="21"/>
                <w:szCs w:val="21"/>
                <w:highlight w:val="none"/>
                <w:lang w:val="en-US" w:eastAsia="zh-CN" w:bidi="ar-SA"/>
              </w:rPr>
            </w:pPr>
            <w:r>
              <w:rPr>
                <w:rFonts w:hint="eastAsia" w:ascii="宋体" w:hAnsi="宋体" w:eastAsia="宋体"/>
                <w:color w:val="auto"/>
                <w:szCs w:val="21"/>
                <w:highlight w:val="none"/>
                <w:lang w:val="en-US" w:eastAsia="zh-CN"/>
              </w:rPr>
              <w:t>第33.8款</w:t>
            </w:r>
          </w:p>
        </w:tc>
        <w:tc>
          <w:tcPr>
            <w:tcW w:w="2068" w:type="dxa"/>
            <w:gridSpan w:val="2"/>
            <w:noWrap w:val="0"/>
            <w:vAlign w:val="center"/>
          </w:tcPr>
          <w:p w14:paraId="3775A9D4">
            <w:pPr>
              <w:shd w:val="clear" w:color="auto" w:fill="auto"/>
              <w:adjustRightInd w:val="0"/>
              <w:snapToGrid w:val="0"/>
              <w:spacing w:line="320" w:lineRule="exact"/>
              <w:jc w:val="center"/>
              <w:rPr>
                <w:rFonts w:hint="default" w:ascii="宋体" w:hAnsi="宋体" w:eastAsia="宋体" w:cs="Times New Roman"/>
                <w:color w:val="auto"/>
                <w:kern w:val="2"/>
                <w:sz w:val="21"/>
                <w:szCs w:val="21"/>
                <w:highlight w:val="none"/>
                <w:lang w:val="en-US" w:eastAsia="zh-CN" w:bidi="ar-SA"/>
              </w:rPr>
            </w:pPr>
            <w:r>
              <w:rPr>
                <w:rFonts w:hint="eastAsia" w:ascii="宋体" w:hAnsi="宋体" w:eastAsia="宋体"/>
                <w:color w:val="auto"/>
                <w:szCs w:val="21"/>
                <w:highlight w:val="none"/>
                <w:lang w:val="en-US" w:eastAsia="zh-CN"/>
              </w:rPr>
              <w:t>采购进口产品</w:t>
            </w:r>
          </w:p>
        </w:tc>
        <w:tc>
          <w:tcPr>
            <w:tcW w:w="5845" w:type="dxa"/>
            <w:noWrap w:val="0"/>
            <w:vAlign w:val="center"/>
          </w:tcPr>
          <w:p w14:paraId="762871A3">
            <w:pPr>
              <w:keepNext w:val="0"/>
              <w:keepLines w:val="0"/>
              <w:pageBreakBefore w:val="0"/>
              <w:widowControl w:val="0"/>
              <w:shd w:val="clear" w:color="auto" w:fill="auto"/>
              <w:kinsoku/>
              <w:wordWrap/>
              <w:overflowPunct/>
              <w:topLinePunct w:val="0"/>
              <w:autoSpaceDE/>
              <w:autoSpaceDN/>
              <w:bidi w:val="0"/>
              <w:adjustRightInd w:val="0"/>
              <w:snapToGrid w:val="0"/>
              <w:spacing w:line="300" w:lineRule="exact"/>
              <w:textAlignment w:val="auto"/>
              <w:rPr>
                <w:rFonts w:ascii="宋体" w:hAnsi="宋体" w:cs="宋体"/>
                <w:color w:val="auto"/>
                <w:szCs w:val="21"/>
                <w:highlight w:val="none"/>
              </w:rPr>
            </w:pPr>
            <w:r>
              <w:rPr>
                <w:rFonts w:hint="eastAsia" w:ascii="宋体" w:hAnsi="宋体" w:eastAsia="宋体"/>
                <w:color w:val="auto"/>
                <w:szCs w:val="21"/>
                <w:highlight w:val="none"/>
              </w:rPr>
              <w:t>■</w:t>
            </w:r>
            <w:r>
              <w:rPr>
                <w:rFonts w:hint="eastAsia" w:ascii="宋体" w:hAnsi="宋体" w:cs="宋体"/>
                <w:color w:val="auto"/>
                <w:szCs w:val="21"/>
                <w:highlight w:val="none"/>
              </w:rPr>
              <w:t xml:space="preserve"> 本采购项目拒绝进口产品参加投标</w:t>
            </w:r>
          </w:p>
          <w:p w14:paraId="68B95364">
            <w:pPr>
              <w:shd w:val="clear" w:color="auto" w:fill="auto"/>
              <w:adjustRightInd w:val="0"/>
              <w:snapToGrid w:val="0"/>
              <w:spacing w:line="320" w:lineRule="exact"/>
              <w:jc w:val="left"/>
              <w:rPr>
                <w:rFonts w:hint="eastAsia" w:ascii="宋体" w:hAnsi="宋体" w:eastAsia="宋体" w:cs="Times New Roman"/>
                <w:color w:val="auto"/>
                <w:kern w:val="2"/>
                <w:sz w:val="21"/>
                <w:szCs w:val="24"/>
                <w:highlight w:val="none"/>
                <w:lang w:val="en-US" w:eastAsia="zh-CN" w:bidi="ar-SA"/>
              </w:rPr>
            </w:pPr>
            <w:r>
              <w:rPr>
                <w:rFonts w:hint="eastAsia" w:ascii="宋体" w:hAnsi="宋体" w:cs="宋体"/>
                <w:color w:val="auto"/>
                <w:szCs w:val="21"/>
                <w:highlight w:val="none"/>
              </w:rPr>
              <w:t>□ 本采购项目已经财政部门审核同意购买进口产品</w:t>
            </w:r>
          </w:p>
        </w:tc>
      </w:tr>
      <w:tr w14:paraId="77CA995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5" w:hRule="atLeast"/>
        </w:trPr>
        <w:tc>
          <w:tcPr>
            <w:tcW w:w="1666" w:type="dxa"/>
            <w:vMerge w:val="restart"/>
            <w:noWrap w:val="0"/>
            <w:vAlign w:val="center"/>
          </w:tcPr>
          <w:p w14:paraId="2C5C373B">
            <w:pPr>
              <w:adjustRightInd w:val="0"/>
              <w:snapToGrid w:val="0"/>
              <w:spacing w:line="360" w:lineRule="auto"/>
              <w:jc w:val="center"/>
              <w:rPr>
                <w:rFonts w:hint="default" w:ascii="宋体" w:hAnsi="宋体" w:eastAsia="宋体"/>
                <w:color w:val="auto"/>
                <w:szCs w:val="21"/>
                <w:highlight w:val="none"/>
                <w:lang w:val="en-US" w:eastAsia="zh-CN"/>
              </w:rPr>
            </w:pPr>
            <w:r>
              <w:rPr>
                <w:rFonts w:ascii="宋体" w:hAnsi="宋体" w:eastAsia="宋体" w:cs="宋体"/>
                <w:color w:val="auto"/>
                <w:spacing w:val="-16"/>
                <w:sz w:val="21"/>
                <w:szCs w:val="21"/>
                <w:highlight w:val="none"/>
              </w:rPr>
              <w:t>第</w:t>
            </w:r>
            <w:r>
              <w:rPr>
                <w:rFonts w:ascii="宋体" w:hAnsi="宋体" w:eastAsia="宋体" w:cs="宋体"/>
                <w:color w:val="auto"/>
                <w:spacing w:val="-12"/>
                <w:sz w:val="21"/>
                <w:szCs w:val="21"/>
                <w:highlight w:val="none"/>
              </w:rPr>
              <w:t xml:space="preserve"> 33.9 款</w:t>
            </w:r>
          </w:p>
        </w:tc>
        <w:tc>
          <w:tcPr>
            <w:tcW w:w="2068" w:type="dxa"/>
            <w:gridSpan w:val="2"/>
            <w:noWrap w:val="0"/>
            <w:vAlign w:val="center"/>
          </w:tcPr>
          <w:p w14:paraId="2B6DF74C">
            <w:pPr>
              <w:adjustRightInd w:val="0"/>
              <w:snapToGrid w:val="0"/>
              <w:spacing w:line="360" w:lineRule="auto"/>
              <w:jc w:val="center"/>
              <w:rPr>
                <w:rFonts w:hint="eastAsia" w:ascii="宋体" w:hAnsi="宋体"/>
                <w:color w:val="auto"/>
                <w:szCs w:val="21"/>
                <w:highlight w:val="none"/>
                <w:lang w:val="en-US" w:eastAsia="zh-CN"/>
              </w:rPr>
            </w:pPr>
            <w:r>
              <w:rPr>
                <w:rFonts w:ascii="宋体" w:hAnsi="宋体" w:eastAsia="宋体" w:cs="宋体"/>
                <w:color w:val="auto"/>
                <w:spacing w:val="-1"/>
                <w:sz w:val="21"/>
                <w:szCs w:val="21"/>
                <w:highlight w:val="none"/>
              </w:rPr>
              <w:t>政府采</w:t>
            </w:r>
            <w:r>
              <w:rPr>
                <w:rFonts w:ascii="宋体" w:hAnsi="宋体" w:eastAsia="宋体" w:cs="宋体"/>
                <w:color w:val="auto"/>
                <w:sz w:val="21"/>
                <w:szCs w:val="21"/>
                <w:highlight w:val="none"/>
              </w:rPr>
              <w:t xml:space="preserve">购支持中小 </w:t>
            </w:r>
            <w:r>
              <w:rPr>
                <w:rFonts w:ascii="宋体" w:hAnsi="宋体" w:eastAsia="宋体" w:cs="宋体"/>
                <w:color w:val="auto"/>
                <w:spacing w:val="-2"/>
                <w:sz w:val="21"/>
                <w:szCs w:val="21"/>
                <w:highlight w:val="none"/>
              </w:rPr>
              <w:t>企业</w:t>
            </w:r>
            <w:r>
              <w:rPr>
                <w:rFonts w:ascii="宋体" w:hAnsi="宋体" w:eastAsia="宋体" w:cs="宋体"/>
                <w:color w:val="auto"/>
                <w:spacing w:val="-1"/>
                <w:sz w:val="21"/>
                <w:szCs w:val="21"/>
                <w:highlight w:val="none"/>
              </w:rPr>
              <w:t>融资</w:t>
            </w:r>
          </w:p>
        </w:tc>
        <w:tc>
          <w:tcPr>
            <w:tcW w:w="5845" w:type="dxa"/>
            <w:noWrap w:val="0"/>
            <w:vAlign w:val="center"/>
          </w:tcPr>
          <w:p w14:paraId="52D614D3">
            <w:pPr>
              <w:spacing w:before="76" w:line="221" w:lineRule="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株洲市已实施政府采购合同线上融资模式。有融资需求的， 可按本章节附件 1、附件 2、所列流程申请或附件 3 向所列银行咨询办理</w:t>
            </w:r>
          </w:p>
        </w:tc>
      </w:tr>
      <w:tr w14:paraId="3F056F4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5" w:hRule="atLeast"/>
        </w:trPr>
        <w:tc>
          <w:tcPr>
            <w:tcW w:w="1666" w:type="dxa"/>
            <w:vMerge w:val="continue"/>
            <w:noWrap w:val="0"/>
            <w:vAlign w:val="center"/>
          </w:tcPr>
          <w:p w14:paraId="2B7FBCD4">
            <w:pPr>
              <w:adjustRightInd w:val="0"/>
              <w:snapToGrid w:val="0"/>
              <w:spacing w:line="360" w:lineRule="auto"/>
              <w:jc w:val="center"/>
              <w:rPr>
                <w:rFonts w:hint="default" w:ascii="宋体" w:hAnsi="宋体" w:eastAsia="宋体"/>
                <w:color w:val="auto"/>
                <w:szCs w:val="21"/>
                <w:highlight w:val="none"/>
                <w:lang w:val="en-US" w:eastAsia="zh-CN"/>
              </w:rPr>
            </w:pPr>
          </w:p>
        </w:tc>
        <w:tc>
          <w:tcPr>
            <w:tcW w:w="2068" w:type="dxa"/>
            <w:gridSpan w:val="2"/>
            <w:noWrap w:val="0"/>
            <w:vAlign w:val="center"/>
          </w:tcPr>
          <w:p w14:paraId="5D5699EC">
            <w:pPr>
              <w:adjustRightInd w:val="0"/>
              <w:snapToGrid w:val="0"/>
              <w:spacing w:line="360" w:lineRule="auto"/>
              <w:jc w:val="left"/>
              <w:rPr>
                <w:rFonts w:hint="eastAsia" w:ascii="宋体" w:hAnsi="宋体" w:eastAsia="宋体"/>
                <w:color w:val="auto"/>
                <w:szCs w:val="21"/>
                <w:highlight w:val="none"/>
                <w:lang w:val="en-US" w:eastAsia="zh-CN"/>
              </w:rPr>
            </w:pPr>
            <w:r>
              <w:rPr>
                <w:rFonts w:ascii="宋体" w:hAnsi="宋体" w:eastAsia="宋体" w:cs="宋体"/>
                <w:color w:val="auto"/>
                <w:spacing w:val="-1"/>
                <w:sz w:val="21"/>
                <w:szCs w:val="21"/>
                <w:highlight w:val="none"/>
              </w:rPr>
              <w:t>政</w:t>
            </w:r>
            <w:r>
              <w:rPr>
                <w:rFonts w:hint="eastAsia" w:ascii="Times New Roman" w:hAnsi="Times New Roman" w:eastAsia="宋体" w:cs="Times New Roman"/>
                <w:color w:val="auto"/>
                <w:highlight w:val="none"/>
                <w:lang w:val="en-US" w:eastAsia="zh-CN"/>
              </w:rPr>
              <w:t>府采购信用担保</w:t>
            </w:r>
          </w:p>
        </w:tc>
        <w:tc>
          <w:tcPr>
            <w:tcW w:w="5845" w:type="dxa"/>
            <w:noWrap w:val="0"/>
            <w:vAlign w:val="center"/>
          </w:tcPr>
          <w:p w14:paraId="5733B41C">
            <w:pPr>
              <w:spacing w:before="76" w:line="221" w:lineRule="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有投标担保、履约担保需求的， 可向担保机构咨 询或登陆中国湖南政府采购网查询，格式见附件 4、附件 5。</w:t>
            </w:r>
          </w:p>
        </w:tc>
      </w:tr>
      <w:tr w14:paraId="37384A5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27" w:hRule="atLeast"/>
        </w:trPr>
        <w:tc>
          <w:tcPr>
            <w:tcW w:w="9579" w:type="dxa"/>
            <w:gridSpan w:val="4"/>
            <w:noWrap w:val="0"/>
            <w:vAlign w:val="center"/>
          </w:tcPr>
          <w:p w14:paraId="20065E6B">
            <w:pPr>
              <w:adjustRightInd w:val="0"/>
              <w:snapToGrid w:val="0"/>
              <w:spacing w:line="360" w:lineRule="auto"/>
              <w:rPr>
                <w:rFonts w:ascii="宋体" w:hAnsi="宋体" w:eastAsia="宋体"/>
                <w:color w:val="auto"/>
                <w:szCs w:val="21"/>
                <w:highlight w:val="none"/>
              </w:rPr>
            </w:pPr>
            <w:r>
              <w:rPr>
                <w:rFonts w:hint="eastAsia" w:ascii="宋体" w:hAnsi="宋体" w:eastAsia="宋体"/>
                <w:b/>
                <w:color w:val="auto"/>
                <w:szCs w:val="21"/>
                <w:highlight w:val="none"/>
              </w:rPr>
              <w:t>九、其他规定</w:t>
            </w:r>
          </w:p>
        </w:tc>
      </w:tr>
      <w:tr w14:paraId="0EAA9FC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6" w:hRule="atLeast"/>
        </w:trPr>
        <w:tc>
          <w:tcPr>
            <w:tcW w:w="1666" w:type="dxa"/>
            <w:noWrap w:val="0"/>
            <w:vAlign w:val="center"/>
          </w:tcPr>
          <w:p w14:paraId="06489172">
            <w:pPr>
              <w:adjustRightInd w:val="0"/>
              <w:snapToGrid w:val="0"/>
              <w:spacing w:line="400" w:lineRule="exact"/>
              <w:jc w:val="center"/>
              <w:rPr>
                <w:rFonts w:hint="eastAsia"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rPr>
              <w:t>第35.1</w:t>
            </w:r>
            <w:r>
              <w:rPr>
                <w:rFonts w:hint="eastAsia" w:ascii="宋体" w:hAnsi="宋体" w:cs="宋体"/>
                <w:color w:val="auto"/>
                <w:kern w:val="0"/>
                <w:szCs w:val="21"/>
                <w:highlight w:val="none"/>
                <w:lang w:val="zh-CN"/>
              </w:rPr>
              <w:t>（</w:t>
            </w:r>
            <w:r>
              <w:rPr>
                <w:rFonts w:hint="eastAsia" w:ascii="宋体" w:hAnsi="宋体" w:cs="宋体"/>
                <w:color w:val="auto"/>
                <w:kern w:val="0"/>
                <w:szCs w:val="21"/>
                <w:highlight w:val="none"/>
              </w:rPr>
              <w:t>1</w:t>
            </w:r>
            <w:r>
              <w:rPr>
                <w:rFonts w:hint="eastAsia" w:ascii="宋体" w:hAnsi="宋体" w:cs="宋体"/>
                <w:color w:val="auto"/>
                <w:kern w:val="0"/>
                <w:szCs w:val="21"/>
                <w:highlight w:val="none"/>
                <w:lang w:val="zh-CN"/>
              </w:rPr>
              <w:t>）</w:t>
            </w:r>
            <w:r>
              <w:rPr>
                <w:rFonts w:hint="eastAsia" w:ascii="宋体" w:hAnsi="宋体" w:cs="宋体"/>
                <w:color w:val="auto"/>
                <w:kern w:val="0"/>
                <w:szCs w:val="21"/>
                <w:highlight w:val="none"/>
              </w:rPr>
              <w:t>项</w:t>
            </w:r>
          </w:p>
        </w:tc>
        <w:tc>
          <w:tcPr>
            <w:tcW w:w="2065" w:type="dxa"/>
            <w:noWrap w:val="0"/>
            <w:vAlign w:val="center"/>
          </w:tcPr>
          <w:p w14:paraId="62606930">
            <w:pPr>
              <w:adjustRightInd w:val="0"/>
              <w:snapToGrid w:val="0"/>
              <w:spacing w:line="400" w:lineRule="exact"/>
              <w:jc w:val="left"/>
              <w:rPr>
                <w:rFonts w:hint="eastAsia"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rPr>
              <w:t>合同预付款的支付比例和支付条件</w:t>
            </w:r>
          </w:p>
        </w:tc>
        <w:tc>
          <w:tcPr>
            <w:tcW w:w="5848" w:type="dxa"/>
            <w:gridSpan w:val="2"/>
            <w:noWrap w:val="0"/>
            <w:vAlign w:val="center"/>
          </w:tcPr>
          <w:p w14:paraId="5550EAA3">
            <w:pPr>
              <w:adjustRightInd w:val="0"/>
              <w:snapToGrid w:val="0"/>
              <w:spacing w:line="400" w:lineRule="exact"/>
              <w:rPr>
                <w:color w:val="auto"/>
                <w:highlight w:val="none"/>
                <w:u w:val="single"/>
              </w:rPr>
            </w:pPr>
            <w:r>
              <w:rPr>
                <w:rFonts w:hint="eastAsia"/>
                <w:color w:val="auto"/>
                <w:highlight w:val="none"/>
              </w:rPr>
              <w:t>支付比例：</w:t>
            </w:r>
            <w:r>
              <w:rPr>
                <w:rFonts w:hint="eastAsia"/>
                <w:color w:val="auto"/>
                <w:highlight w:val="none"/>
                <w:u w:val="single"/>
              </w:rPr>
              <w:t xml:space="preserve"> </w:t>
            </w:r>
            <w:r>
              <w:rPr>
                <w:rFonts w:hint="eastAsia"/>
                <w:color w:val="auto"/>
                <w:highlight w:val="none"/>
                <w:u w:val="single"/>
                <w:lang w:val="en-US" w:eastAsia="zh-CN"/>
              </w:rPr>
              <w:t>详见采购需求</w:t>
            </w:r>
            <w:r>
              <w:rPr>
                <w:rFonts w:hint="eastAsia"/>
                <w:color w:val="auto"/>
                <w:highlight w:val="none"/>
                <w:u w:val="single"/>
              </w:rPr>
              <w:t xml:space="preserve"> ；</w:t>
            </w:r>
          </w:p>
          <w:p w14:paraId="5DEC3198">
            <w:pPr>
              <w:adjustRightInd w:val="0"/>
              <w:snapToGrid w:val="0"/>
              <w:spacing w:line="400" w:lineRule="exact"/>
              <w:rPr>
                <w:rFonts w:hint="eastAsia" w:ascii="宋体" w:hAnsi="宋体" w:eastAsia="宋体" w:cs="Times New Roman"/>
                <w:color w:val="auto"/>
                <w:kern w:val="2"/>
                <w:sz w:val="21"/>
                <w:szCs w:val="21"/>
                <w:highlight w:val="none"/>
                <w:lang w:val="en-US" w:eastAsia="zh-CN" w:bidi="ar-SA"/>
              </w:rPr>
            </w:pPr>
            <w:r>
              <w:rPr>
                <w:rFonts w:hint="eastAsia"/>
                <w:color w:val="auto"/>
                <w:highlight w:val="none"/>
              </w:rPr>
              <w:t>支付条件：</w:t>
            </w:r>
            <w:r>
              <w:rPr>
                <w:rFonts w:hint="eastAsia"/>
                <w:color w:val="auto"/>
                <w:highlight w:val="none"/>
                <w:u w:val="single"/>
              </w:rPr>
              <w:t xml:space="preserve"> </w:t>
            </w:r>
            <w:r>
              <w:rPr>
                <w:rFonts w:hint="eastAsia"/>
                <w:color w:val="auto"/>
                <w:highlight w:val="none"/>
                <w:u w:val="single"/>
                <w:lang w:val="en-US" w:eastAsia="zh-CN"/>
              </w:rPr>
              <w:t>详见采购需求</w:t>
            </w:r>
            <w:r>
              <w:rPr>
                <w:rFonts w:hint="eastAsia"/>
                <w:color w:val="auto"/>
                <w:highlight w:val="none"/>
                <w:u w:val="single"/>
              </w:rPr>
              <w:t xml:space="preserve"> 。</w:t>
            </w:r>
          </w:p>
        </w:tc>
      </w:tr>
      <w:tr w14:paraId="6601C9C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6" w:hRule="atLeast"/>
        </w:trPr>
        <w:tc>
          <w:tcPr>
            <w:tcW w:w="1666" w:type="dxa"/>
            <w:noWrap w:val="0"/>
            <w:vAlign w:val="center"/>
          </w:tcPr>
          <w:p w14:paraId="6323F5D4">
            <w:pPr>
              <w:adjustRightInd w:val="0"/>
              <w:snapToGrid w:val="0"/>
              <w:jc w:val="center"/>
              <w:rPr>
                <w:rFonts w:ascii="宋体" w:hAnsi="宋体" w:eastAsia="宋体"/>
                <w:color w:val="auto"/>
                <w:szCs w:val="21"/>
                <w:highlight w:val="none"/>
              </w:rPr>
            </w:pPr>
            <w:r>
              <w:rPr>
                <w:rFonts w:hint="eastAsia" w:ascii="宋体" w:hAnsi="宋体" w:eastAsia="宋体"/>
                <w:color w:val="auto"/>
                <w:szCs w:val="21"/>
                <w:highlight w:val="none"/>
              </w:rPr>
              <w:t>第35.</w:t>
            </w:r>
            <w:r>
              <w:rPr>
                <w:rFonts w:hint="eastAsia" w:ascii="宋体" w:hAnsi="宋体"/>
                <w:color w:val="auto"/>
                <w:szCs w:val="21"/>
                <w:highlight w:val="none"/>
                <w:lang w:val="en-US" w:eastAsia="zh-CN"/>
              </w:rPr>
              <w:t>2</w:t>
            </w:r>
            <w:r>
              <w:rPr>
                <w:rFonts w:hint="eastAsia" w:ascii="宋体" w:hAnsi="宋体" w:eastAsia="宋体" w:cs="宋体"/>
                <w:color w:val="auto"/>
                <w:kern w:val="0"/>
                <w:szCs w:val="21"/>
                <w:highlight w:val="none"/>
                <w:lang w:val="zh-CN"/>
              </w:rPr>
              <w:t>款</w:t>
            </w:r>
          </w:p>
        </w:tc>
        <w:tc>
          <w:tcPr>
            <w:tcW w:w="2065" w:type="dxa"/>
            <w:noWrap w:val="0"/>
            <w:vAlign w:val="center"/>
          </w:tcPr>
          <w:p w14:paraId="5FE17867">
            <w:pPr>
              <w:adjustRightInd w:val="0"/>
              <w:snapToGrid w:val="0"/>
              <w:jc w:val="center"/>
              <w:rPr>
                <w:rFonts w:ascii="宋体" w:hAnsi="宋体" w:eastAsia="宋体"/>
                <w:color w:val="auto"/>
                <w:szCs w:val="21"/>
                <w:highlight w:val="none"/>
              </w:rPr>
            </w:pPr>
            <w:r>
              <w:rPr>
                <w:rFonts w:hint="eastAsia" w:ascii="宋体" w:hAnsi="宋体" w:eastAsia="宋体"/>
                <w:color w:val="auto"/>
                <w:szCs w:val="21"/>
                <w:highlight w:val="none"/>
              </w:rPr>
              <w:t>招标代理服务费</w:t>
            </w:r>
          </w:p>
        </w:tc>
        <w:tc>
          <w:tcPr>
            <w:tcW w:w="5848" w:type="dxa"/>
            <w:gridSpan w:val="2"/>
            <w:noWrap w:val="0"/>
            <w:vAlign w:val="center"/>
          </w:tcPr>
          <w:p w14:paraId="0FDF445B">
            <w:pPr>
              <w:widowControl w:val="0"/>
              <w:adjustRightInd/>
              <w:spacing w:line="340" w:lineRule="exact"/>
              <w:ind w:firstLine="0" w:firstLineChars="0"/>
              <w:jc w:val="both"/>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采购项目招标代理服务费由采购人</w:t>
            </w:r>
            <w:r>
              <w:rPr>
                <w:rFonts w:hint="eastAsia" w:ascii="宋体" w:hAnsi="宋体" w:eastAsia="宋体" w:cs="宋体"/>
                <w:color w:val="auto"/>
                <w:szCs w:val="21"/>
                <w:highlight w:val="none"/>
                <w:lang w:val="en-US" w:eastAsia="zh-CN"/>
              </w:rPr>
              <w:t>按照政府采购代理协议合同</w:t>
            </w:r>
            <w:r>
              <w:rPr>
                <w:rFonts w:hint="eastAsia" w:ascii="宋体" w:hAnsi="宋体" w:eastAsia="宋体" w:cs="宋体"/>
                <w:color w:val="auto"/>
                <w:szCs w:val="21"/>
                <w:highlight w:val="none"/>
              </w:rPr>
              <w:t>向代理机构支付。</w:t>
            </w:r>
          </w:p>
          <w:p w14:paraId="4AD4101C">
            <w:pPr>
              <w:widowControl w:val="0"/>
              <w:adjustRightInd/>
              <w:spacing w:line="340" w:lineRule="exact"/>
              <w:ind w:firstLine="0" w:firstLineChars="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单位全称：湖南广汇项目管理有限公司</w:t>
            </w:r>
          </w:p>
          <w:p w14:paraId="5A245FCB">
            <w:pPr>
              <w:widowControl w:val="0"/>
              <w:adjustRightInd/>
              <w:spacing w:line="340" w:lineRule="exact"/>
              <w:ind w:firstLine="0" w:firstLineChars="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基本户账号：8100 0043 7788 6888 88</w:t>
            </w:r>
          </w:p>
          <w:p w14:paraId="1D739D57">
            <w:pPr>
              <w:widowControl w:val="0"/>
              <w:adjustRightInd/>
              <w:spacing w:line="340" w:lineRule="exact"/>
              <w:ind w:firstLine="0" w:firstLineChars="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开户行：长沙银行株洲市科技支行</w:t>
            </w:r>
          </w:p>
          <w:p w14:paraId="47ABFC56">
            <w:pPr>
              <w:widowControl w:val="0"/>
              <w:adjustRightInd/>
              <w:spacing w:line="340" w:lineRule="exact"/>
              <w:ind w:firstLine="0" w:firstLineChars="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行号：313552002296</w:t>
            </w:r>
          </w:p>
          <w:p w14:paraId="03744CA1">
            <w:pPr>
              <w:rPr>
                <w:color w:val="auto"/>
                <w:highlight w:val="none"/>
              </w:rPr>
            </w:pPr>
            <w:r>
              <w:rPr>
                <w:rFonts w:hint="eastAsia" w:ascii="宋体" w:hAnsi="宋体" w:eastAsia="宋体" w:cs="宋体"/>
                <w:color w:val="auto"/>
                <w:szCs w:val="21"/>
                <w:highlight w:val="none"/>
              </w:rPr>
              <w:t>纳税识别号：91430211MACYPM0D2B</w:t>
            </w:r>
          </w:p>
          <w:p w14:paraId="783B853C">
            <w:pPr>
              <w:rPr>
                <w:rFonts w:ascii="宋体" w:hAnsi="宋体" w:eastAsia="宋体"/>
                <w:color w:val="auto"/>
                <w:szCs w:val="21"/>
                <w:highlight w:val="none"/>
              </w:rPr>
            </w:pPr>
          </w:p>
        </w:tc>
      </w:tr>
      <w:tr w14:paraId="28B4AD6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84" w:hRule="atLeast"/>
        </w:trPr>
        <w:tc>
          <w:tcPr>
            <w:tcW w:w="1666" w:type="dxa"/>
            <w:vMerge w:val="restart"/>
            <w:noWrap w:val="0"/>
            <w:vAlign w:val="center"/>
          </w:tcPr>
          <w:p w14:paraId="53959DA4">
            <w:pPr>
              <w:adjustRightInd w:val="0"/>
              <w:snapToGrid w:val="0"/>
              <w:jc w:val="center"/>
              <w:rPr>
                <w:rFonts w:ascii="宋体" w:hAnsi="宋体" w:eastAsia="宋体"/>
                <w:color w:val="auto"/>
                <w:szCs w:val="21"/>
                <w:highlight w:val="none"/>
              </w:rPr>
            </w:pPr>
            <w:r>
              <w:rPr>
                <w:rFonts w:hint="eastAsia" w:ascii="宋体" w:hAnsi="宋体" w:eastAsia="宋体"/>
                <w:color w:val="auto"/>
                <w:szCs w:val="21"/>
                <w:highlight w:val="none"/>
              </w:rPr>
              <w:t>第36.1</w:t>
            </w:r>
            <w:r>
              <w:rPr>
                <w:rFonts w:hint="eastAsia" w:ascii="宋体" w:hAnsi="宋体" w:eastAsia="宋体" w:cs="宋体"/>
                <w:color w:val="auto"/>
                <w:kern w:val="0"/>
                <w:szCs w:val="21"/>
                <w:highlight w:val="none"/>
                <w:lang w:val="zh-CN"/>
              </w:rPr>
              <w:t>款</w:t>
            </w:r>
          </w:p>
        </w:tc>
        <w:tc>
          <w:tcPr>
            <w:tcW w:w="2065" w:type="dxa"/>
            <w:noWrap w:val="0"/>
            <w:vAlign w:val="center"/>
          </w:tcPr>
          <w:p w14:paraId="15803985">
            <w:pPr>
              <w:adjustRightInd w:val="0"/>
              <w:snapToGrid w:val="0"/>
              <w:jc w:val="center"/>
              <w:rPr>
                <w:rFonts w:ascii="宋体" w:hAnsi="宋体" w:eastAsia="宋体"/>
                <w:color w:val="auto"/>
                <w:szCs w:val="21"/>
                <w:highlight w:val="none"/>
              </w:rPr>
            </w:pPr>
            <w:r>
              <w:rPr>
                <w:rFonts w:hint="eastAsia" w:ascii="宋体" w:hAnsi="宋体" w:eastAsia="宋体"/>
                <w:color w:val="auto"/>
                <w:szCs w:val="21"/>
                <w:highlight w:val="none"/>
              </w:rPr>
              <w:t>其他规定</w:t>
            </w:r>
          </w:p>
        </w:tc>
        <w:tc>
          <w:tcPr>
            <w:tcW w:w="5848" w:type="dxa"/>
            <w:gridSpan w:val="2"/>
            <w:noWrap w:val="0"/>
            <w:vAlign w:val="center"/>
          </w:tcPr>
          <w:p w14:paraId="4BDC3A89">
            <w:pPr>
              <w:adjustRightInd w:val="0"/>
              <w:snapToGrid w:val="0"/>
              <w:spacing w:line="400" w:lineRule="exact"/>
              <w:rPr>
                <w:rFonts w:hint="eastAsia"/>
                <w:color w:val="auto"/>
                <w:sz w:val="21"/>
                <w:szCs w:val="21"/>
                <w:highlight w:val="none"/>
                <w:lang w:val="en-US" w:eastAsia="zh-CN"/>
              </w:rPr>
            </w:pPr>
            <w:r>
              <w:rPr>
                <w:rFonts w:hint="eastAsia"/>
                <w:color w:val="auto"/>
                <w:sz w:val="21"/>
                <w:szCs w:val="21"/>
                <w:highlight w:val="none"/>
                <w:lang w:val="en-US" w:eastAsia="zh-CN"/>
              </w:rPr>
              <w:t>其他：</w:t>
            </w:r>
          </w:p>
          <w:p w14:paraId="538BA4F1">
            <w:pPr>
              <w:adjustRightInd w:val="0"/>
              <w:snapToGrid w:val="0"/>
              <w:spacing w:line="400" w:lineRule="exact"/>
              <w:rPr>
                <w:rFonts w:hint="eastAsia"/>
                <w:color w:val="auto"/>
                <w:sz w:val="21"/>
                <w:szCs w:val="21"/>
                <w:highlight w:val="none"/>
                <w:lang w:val="en-US" w:eastAsia="zh-CN"/>
              </w:rPr>
            </w:pPr>
            <w:r>
              <w:rPr>
                <w:rFonts w:hint="eastAsia"/>
                <w:color w:val="auto"/>
                <w:sz w:val="21"/>
                <w:szCs w:val="21"/>
                <w:highlight w:val="none"/>
                <w:lang w:val="en-US" w:eastAsia="zh-CN"/>
              </w:rPr>
              <w:t>1、政府采购电子标项目报名程序：湖南省公共资源交易服务平台株洲分平台——交易快速通道——政府采购——株洲市公共资源交易中心电子交易平台——填写投标信息——选择对应项目报名。也可直接登陆株洲市公共资源交易中心电子交易平台（http://www.zzzyjy.cn:89/TPBidderSJZS/memberLogin）报名。</w:t>
            </w:r>
          </w:p>
          <w:p w14:paraId="24610BC0">
            <w:pPr>
              <w:adjustRightInd w:val="0"/>
              <w:snapToGrid w:val="0"/>
              <w:rPr>
                <w:rFonts w:ascii="宋体" w:hAnsi="宋体" w:eastAsia="宋体"/>
                <w:color w:val="auto"/>
                <w:szCs w:val="21"/>
                <w:highlight w:val="none"/>
              </w:rPr>
            </w:pPr>
            <w:r>
              <w:rPr>
                <w:rFonts w:hint="eastAsia"/>
                <w:color w:val="auto"/>
                <w:sz w:val="21"/>
                <w:szCs w:val="21"/>
                <w:highlight w:val="none"/>
                <w:lang w:val="en-US" w:eastAsia="zh-CN"/>
              </w:rPr>
              <w:t>2、获取招标（采购）文件：各类采购项目（政采电子标、纸质标及其他采购），供应商均可登陆株洲市公共资源交易中心电子交易平台——交易文件下载——选择对应项目获取。</w:t>
            </w:r>
          </w:p>
        </w:tc>
      </w:tr>
      <w:tr w14:paraId="6A9F5F9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74" w:hRule="atLeast"/>
        </w:trPr>
        <w:tc>
          <w:tcPr>
            <w:tcW w:w="1666" w:type="dxa"/>
            <w:vMerge w:val="continue"/>
            <w:noWrap w:val="0"/>
            <w:vAlign w:val="center"/>
          </w:tcPr>
          <w:p w14:paraId="4F4EB1D7">
            <w:pPr>
              <w:adjustRightInd w:val="0"/>
              <w:snapToGrid w:val="0"/>
              <w:jc w:val="center"/>
              <w:rPr>
                <w:rFonts w:ascii="宋体" w:hAnsi="宋体" w:eastAsia="宋体"/>
                <w:color w:val="auto"/>
                <w:szCs w:val="21"/>
                <w:highlight w:val="none"/>
              </w:rPr>
            </w:pPr>
          </w:p>
        </w:tc>
        <w:tc>
          <w:tcPr>
            <w:tcW w:w="2065" w:type="dxa"/>
            <w:noWrap w:val="0"/>
            <w:vAlign w:val="center"/>
          </w:tcPr>
          <w:p w14:paraId="3284837C">
            <w:pPr>
              <w:adjustRightInd w:val="0"/>
              <w:snapToGrid w:val="0"/>
              <w:jc w:val="center"/>
              <w:rPr>
                <w:rFonts w:ascii="宋体" w:hAnsi="宋体" w:eastAsia="宋体"/>
                <w:color w:val="auto"/>
                <w:szCs w:val="21"/>
                <w:highlight w:val="none"/>
              </w:rPr>
            </w:pPr>
            <w:r>
              <w:rPr>
                <w:rFonts w:hint="eastAsia" w:ascii="宋体" w:hAnsi="宋体" w:eastAsia="宋体" w:cs="宋体"/>
                <w:color w:val="auto"/>
                <w:szCs w:val="21"/>
                <w:highlight w:val="none"/>
              </w:rPr>
              <w:t>备选方案</w:t>
            </w:r>
          </w:p>
        </w:tc>
        <w:tc>
          <w:tcPr>
            <w:tcW w:w="5848" w:type="dxa"/>
            <w:gridSpan w:val="2"/>
            <w:noWrap w:val="0"/>
            <w:vAlign w:val="center"/>
          </w:tcPr>
          <w:p w14:paraId="7C21A84E">
            <w:pPr>
              <w:adjustRightInd w:val="0"/>
              <w:snapToGrid w:val="0"/>
              <w:rPr>
                <w:rFonts w:ascii="宋体" w:hAnsi="宋体" w:eastAsia="宋体" w:cs="宋体"/>
                <w:color w:val="auto"/>
                <w:szCs w:val="21"/>
                <w:highlight w:val="none"/>
              </w:rPr>
            </w:pPr>
            <w:r>
              <w:rPr>
                <w:rFonts w:hint="eastAsia" w:ascii="宋体" w:hAnsi="宋体" w:eastAsia="宋体" w:cs="宋体"/>
                <w:color w:val="auto"/>
                <w:szCs w:val="21"/>
                <w:highlight w:val="none"/>
              </w:rPr>
              <w:t>■ 不接受</w:t>
            </w:r>
          </w:p>
          <w:p w14:paraId="3F324935">
            <w:pPr>
              <w:adjustRightInd w:val="0"/>
              <w:snapToGrid w:val="0"/>
              <w:rPr>
                <w:rFonts w:ascii="宋体" w:hAnsi="宋体" w:eastAsia="宋体"/>
                <w:color w:val="auto"/>
                <w:szCs w:val="21"/>
                <w:highlight w:val="none"/>
              </w:rPr>
            </w:pPr>
            <w:r>
              <w:rPr>
                <w:rFonts w:hint="eastAsia" w:ascii="宋体" w:hAnsi="宋体" w:eastAsia="宋体" w:cs="宋体"/>
                <w:color w:val="auto"/>
                <w:sz w:val="22"/>
                <w:szCs w:val="22"/>
                <w:highlight w:val="none"/>
              </w:rPr>
              <w:sym w:font="Wingdings" w:char="00A8"/>
            </w:r>
            <w:r>
              <w:rPr>
                <w:rFonts w:hint="eastAsia" w:ascii="宋体" w:hAnsi="宋体" w:eastAsia="宋体" w:cs="宋体"/>
                <w:color w:val="auto"/>
                <w:szCs w:val="21"/>
                <w:highlight w:val="none"/>
              </w:rPr>
              <w:t xml:space="preserve"> 接受</w:t>
            </w:r>
          </w:p>
        </w:tc>
      </w:tr>
      <w:tr w14:paraId="49F1BB1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6" w:hRule="atLeast"/>
        </w:trPr>
        <w:tc>
          <w:tcPr>
            <w:tcW w:w="1666" w:type="dxa"/>
            <w:vMerge w:val="continue"/>
            <w:noWrap w:val="0"/>
            <w:vAlign w:val="center"/>
          </w:tcPr>
          <w:p w14:paraId="4E445B47">
            <w:pPr>
              <w:adjustRightInd w:val="0"/>
              <w:snapToGrid w:val="0"/>
              <w:rPr>
                <w:rFonts w:eastAsia="宋体"/>
                <w:color w:val="auto"/>
                <w:highlight w:val="none"/>
              </w:rPr>
            </w:pPr>
          </w:p>
        </w:tc>
        <w:tc>
          <w:tcPr>
            <w:tcW w:w="2065" w:type="dxa"/>
            <w:noWrap w:val="0"/>
            <w:vAlign w:val="center"/>
          </w:tcPr>
          <w:p w14:paraId="6BDA8422">
            <w:pPr>
              <w:adjustRightInd w:val="0"/>
              <w:snapToGrid w:val="0"/>
              <w:jc w:val="center"/>
              <w:rPr>
                <w:rFonts w:ascii="宋体" w:hAnsi="宋体" w:eastAsia="宋体"/>
                <w:color w:val="auto"/>
                <w:szCs w:val="21"/>
                <w:highlight w:val="none"/>
              </w:rPr>
            </w:pPr>
            <w:r>
              <w:rPr>
                <w:rFonts w:hint="eastAsia" w:ascii="宋体" w:hAnsi="宋体" w:eastAsia="宋体" w:cs="宋体"/>
                <w:color w:val="auto"/>
                <w:szCs w:val="21"/>
                <w:highlight w:val="none"/>
              </w:rPr>
              <w:t>样品提供的规定</w:t>
            </w:r>
          </w:p>
        </w:tc>
        <w:tc>
          <w:tcPr>
            <w:tcW w:w="5848" w:type="dxa"/>
            <w:gridSpan w:val="2"/>
            <w:noWrap w:val="0"/>
            <w:vAlign w:val="center"/>
          </w:tcPr>
          <w:p w14:paraId="23CDE52A">
            <w:pPr>
              <w:adjustRightInd w:val="0"/>
              <w:snapToGrid w:val="0"/>
              <w:rPr>
                <w:rFonts w:ascii="宋体" w:hAnsi="宋体" w:eastAsia="宋体" w:cs="宋体"/>
                <w:color w:val="auto"/>
                <w:szCs w:val="21"/>
                <w:highlight w:val="none"/>
              </w:rPr>
            </w:pPr>
            <w:r>
              <w:rPr>
                <w:rFonts w:hint="eastAsia" w:ascii="宋体" w:hAnsi="宋体" w:eastAsia="宋体" w:cs="宋体"/>
                <w:color w:val="auto"/>
                <w:szCs w:val="21"/>
                <w:highlight w:val="none"/>
              </w:rPr>
              <w:t>■ 不要求提供。</w:t>
            </w:r>
          </w:p>
          <w:p w14:paraId="5A3799E1">
            <w:pPr>
              <w:rPr>
                <w:rFonts w:ascii="宋体" w:hAnsi="宋体" w:eastAsia="宋体"/>
                <w:color w:val="auto"/>
                <w:szCs w:val="21"/>
                <w:highlight w:val="none"/>
              </w:rPr>
            </w:pPr>
            <w:r>
              <w:rPr>
                <w:rFonts w:hint="eastAsia" w:ascii="宋体" w:hAnsi="宋体" w:eastAsia="宋体" w:cs="宋体"/>
                <w:color w:val="auto"/>
                <w:sz w:val="22"/>
                <w:szCs w:val="22"/>
                <w:highlight w:val="none"/>
              </w:rPr>
              <w:sym w:font="Wingdings" w:char="00A8"/>
            </w:r>
            <w:r>
              <w:rPr>
                <w:rFonts w:hint="eastAsia" w:ascii="宋体" w:hAnsi="宋体" w:eastAsia="宋体" w:cs="宋体"/>
                <w:color w:val="auto"/>
                <w:sz w:val="22"/>
                <w:szCs w:val="22"/>
                <w:highlight w:val="none"/>
              </w:rPr>
              <w:t xml:space="preserve"> </w:t>
            </w:r>
            <w:r>
              <w:rPr>
                <w:rFonts w:hint="eastAsia" w:ascii="宋体" w:hAnsi="宋体" w:eastAsia="宋体" w:cs="宋体"/>
                <w:color w:val="auto"/>
                <w:szCs w:val="21"/>
                <w:highlight w:val="none"/>
              </w:rPr>
              <w:t>要求提供：提交时间：提交地点：要求提供：</w:t>
            </w:r>
          </w:p>
        </w:tc>
      </w:tr>
    </w:tbl>
    <w:p w14:paraId="79CE5F06">
      <w:pPr>
        <w:spacing w:before="112" w:line="220" w:lineRule="auto"/>
        <w:ind w:left="66"/>
        <w:rPr>
          <w:rFonts w:ascii="宋体" w:hAnsi="宋体" w:eastAsia="宋体" w:cs="宋体"/>
          <w:b/>
          <w:bCs/>
          <w:color w:val="auto"/>
          <w:spacing w:val="-20"/>
          <w:sz w:val="32"/>
          <w:szCs w:val="32"/>
          <w:highlight w:val="none"/>
        </w:rPr>
        <w:sectPr>
          <w:footerReference r:id="rId7" w:type="default"/>
          <w:pgSz w:w="11905" w:h="16839"/>
          <w:pgMar w:top="1238" w:right="1180" w:bottom="1150" w:left="1219" w:header="917" w:footer="988" w:gutter="0"/>
          <w:pgBorders>
            <w:top w:val="none" w:sz="0" w:space="0"/>
            <w:left w:val="none" w:sz="0" w:space="0"/>
            <w:bottom w:val="none" w:sz="0" w:space="0"/>
            <w:right w:val="none" w:sz="0" w:space="0"/>
          </w:pgBorders>
          <w:pgNumType w:fmt="decimal"/>
          <w:cols w:space="720" w:num="1"/>
        </w:sectPr>
      </w:pPr>
    </w:p>
    <w:p w14:paraId="74F9AE63">
      <w:pPr>
        <w:spacing w:before="112" w:line="220" w:lineRule="auto"/>
        <w:ind w:left="66"/>
        <w:rPr>
          <w:rFonts w:ascii="宋体" w:hAnsi="宋体" w:eastAsia="宋体" w:cs="宋体"/>
          <w:color w:val="auto"/>
          <w:sz w:val="32"/>
          <w:szCs w:val="32"/>
          <w:highlight w:val="none"/>
        </w:rPr>
      </w:pPr>
      <w:r>
        <w:rPr>
          <w:rFonts w:ascii="宋体" w:hAnsi="宋体" w:eastAsia="宋体" w:cs="宋体"/>
          <w:b/>
          <w:bCs/>
          <w:color w:val="auto"/>
          <w:spacing w:val="-20"/>
          <w:sz w:val="32"/>
          <w:szCs w:val="32"/>
          <w:highlight w:val="none"/>
        </w:rPr>
        <w:t>附</w:t>
      </w:r>
      <w:r>
        <w:rPr>
          <w:rFonts w:ascii="宋体" w:hAnsi="宋体" w:eastAsia="宋体" w:cs="宋体"/>
          <w:b/>
          <w:bCs/>
          <w:color w:val="auto"/>
          <w:spacing w:val="-19"/>
          <w:sz w:val="32"/>
          <w:szCs w:val="32"/>
          <w:highlight w:val="none"/>
        </w:rPr>
        <w:t>件 1</w:t>
      </w:r>
    </w:p>
    <w:p w14:paraId="4E8F511F">
      <w:pPr>
        <w:spacing w:before="237" w:line="220" w:lineRule="auto"/>
        <w:ind w:left="1913"/>
        <w:rPr>
          <w:rFonts w:ascii="宋体" w:hAnsi="宋体" w:eastAsia="宋体" w:cs="宋体"/>
          <w:b/>
          <w:bCs/>
          <w:color w:val="auto"/>
          <w:sz w:val="32"/>
          <w:szCs w:val="32"/>
          <w:highlight w:val="none"/>
        </w:rPr>
      </w:pPr>
      <w:r>
        <w:rPr>
          <w:rFonts w:ascii="宋体" w:hAnsi="宋体" w:eastAsia="宋体" w:cs="宋体"/>
          <w:b/>
          <w:bCs/>
          <w:color w:val="auto"/>
          <w:spacing w:val="1"/>
          <w:sz w:val="32"/>
          <w:szCs w:val="32"/>
          <w:highlight w:val="none"/>
        </w:rPr>
        <w:t>株</w:t>
      </w:r>
      <w:r>
        <w:rPr>
          <w:rFonts w:ascii="宋体" w:hAnsi="宋体" w:eastAsia="宋体" w:cs="宋体"/>
          <w:b/>
          <w:bCs/>
          <w:color w:val="auto"/>
          <w:sz w:val="32"/>
          <w:szCs w:val="32"/>
          <w:highlight w:val="none"/>
        </w:rPr>
        <w:t>洲市政府采购合同线上融资流程</w:t>
      </w:r>
    </w:p>
    <w:p w14:paraId="7E722842">
      <w:pPr>
        <w:spacing w:line="392" w:lineRule="auto"/>
        <w:rPr>
          <w:rFonts w:ascii="Arial"/>
          <w:b/>
          <w:bCs/>
          <w:color w:val="auto"/>
          <w:sz w:val="21"/>
          <w:highlight w:val="none"/>
        </w:rPr>
      </w:pPr>
    </w:p>
    <w:p w14:paraId="11006D7E">
      <w:pPr>
        <w:spacing w:before="68" w:line="221" w:lineRule="auto"/>
        <w:ind w:left="441"/>
        <w:rPr>
          <w:rFonts w:ascii="宋体" w:hAnsi="宋体" w:eastAsia="宋体" w:cs="宋体"/>
          <w:b/>
          <w:bCs/>
          <w:color w:val="auto"/>
          <w:sz w:val="21"/>
          <w:szCs w:val="21"/>
          <w:highlight w:val="none"/>
        </w:rPr>
      </w:pPr>
      <w:r>
        <w:rPr>
          <w:rFonts w:ascii="宋体" w:hAnsi="宋体" w:eastAsia="宋体" w:cs="宋体"/>
          <w:b/>
          <w:bCs/>
          <w:color w:val="auto"/>
          <w:spacing w:val="27"/>
          <w:sz w:val="21"/>
          <w:szCs w:val="21"/>
          <w:highlight w:val="none"/>
        </w:rPr>
        <w:t>(</w:t>
      </w:r>
      <w:r>
        <w:rPr>
          <w:rFonts w:ascii="宋体" w:hAnsi="宋体" w:eastAsia="宋体" w:cs="宋体"/>
          <w:b/>
          <w:bCs/>
          <w:color w:val="auto"/>
          <w:spacing w:val="24"/>
          <w:sz w:val="21"/>
          <w:szCs w:val="21"/>
          <w:highlight w:val="none"/>
        </w:rPr>
        <w:t>一)、融资申请</w:t>
      </w:r>
    </w:p>
    <w:p w14:paraId="58B9DEAD">
      <w:pPr>
        <w:spacing w:line="241" w:lineRule="auto"/>
        <w:rPr>
          <w:rFonts w:ascii="Arial"/>
          <w:color w:val="auto"/>
          <w:sz w:val="21"/>
          <w:highlight w:val="none"/>
        </w:rPr>
      </w:pPr>
    </w:p>
    <w:p w14:paraId="5271ADBB">
      <w:pPr>
        <w:spacing w:before="69" w:line="491" w:lineRule="auto"/>
        <w:ind w:left="22" w:right="55" w:firstLine="543"/>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有融资需求的供应商取得《中</w:t>
      </w:r>
      <w:r>
        <w:rPr>
          <w:rFonts w:ascii="宋体" w:hAnsi="宋体" w:eastAsia="宋体" w:cs="宋体"/>
          <w:color w:val="auto"/>
          <w:spacing w:val="1"/>
          <w:sz w:val="21"/>
          <w:szCs w:val="21"/>
          <w:highlight w:val="none"/>
        </w:rPr>
        <w:t>标通知书》后，在签订采购合同前，通过“株洲市政府采购网”的</w:t>
      </w:r>
      <w:r>
        <w:rPr>
          <w:rFonts w:ascii="宋体" w:hAnsi="宋体" w:eastAsia="宋体" w:cs="宋体"/>
          <w:color w:val="auto"/>
          <w:sz w:val="21"/>
          <w:szCs w:val="21"/>
          <w:highlight w:val="none"/>
        </w:rPr>
        <w:t xml:space="preserve"> </w:t>
      </w:r>
      <w:r>
        <w:rPr>
          <w:rFonts w:ascii="宋体" w:hAnsi="宋体" w:eastAsia="宋体" w:cs="宋体"/>
          <w:color w:val="auto"/>
          <w:spacing w:val="-1"/>
          <w:sz w:val="21"/>
          <w:szCs w:val="21"/>
          <w:highlight w:val="none"/>
        </w:rPr>
        <w:t>“政府采购合同融资”链接进入“中征应收账款融资服务</w:t>
      </w:r>
      <w:r>
        <w:rPr>
          <w:rFonts w:ascii="宋体" w:hAnsi="宋体" w:eastAsia="宋体" w:cs="宋体"/>
          <w:color w:val="auto"/>
          <w:sz w:val="21"/>
          <w:szCs w:val="21"/>
          <w:highlight w:val="none"/>
        </w:rPr>
        <w:t>平台”，直接向参与金融机构推送融资需求。</w:t>
      </w:r>
    </w:p>
    <w:p w14:paraId="56C6FA8B">
      <w:pPr>
        <w:spacing w:before="1" w:line="221" w:lineRule="auto"/>
        <w:ind w:left="360"/>
        <w:rPr>
          <w:rFonts w:ascii="宋体" w:hAnsi="宋体" w:eastAsia="宋体" w:cs="宋体"/>
          <w:b/>
          <w:bCs/>
          <w:color w:val="auto"/>
          <w:sz w:val="21"/>
          <w:szCs w:val="21"/>
          <w:highlight w:val="none"/>
        </w:rPr>
      </w:pPr>
      <w:r>
        <w:rPr>
          <w:rFonts w:ascii="宋体" w:hAnsi="宋体" w:eastAsia="宋体" w:cs="宋体"/>
          <w:b/>
          <w:bCs/>
          <w:color w:val="auto"/>
          <w:spacing w:val="26"/>
          <w:sz w:val="21"/>
          <w:szCs w:val="21"/>
          <w:highlight w:val="none"/>
        </w:rPr>
        <w:t>(</w:t>
      </w:r>
      <w:r>
        <w:rPr>
          <w:rFonts w:ascii="宋体" w:hAnsi="宋体" w:eastAsia="宋体" w:cs="宋体"/>
          <w:b/>
          <w:bCs/>
          <w:color w:val="auto"/>
          <w:spacing w:val="24"/>
          <w:sz w:val="21"/>
          <w:szCs w:val="21"/>
          <w:highlight w:val="none"/>
        </w:rPr>
        <w:t>二)、资料审查</w:t>
      </w:r>
    </w:p>
    <w:p w14:paraId="01FB319B">
      <w:pPr>
        <w:spacing w:line="241" w:lineRule="auto"/>
        <w:rPr>
          <w:rFonts w:ascii="Arial"/>
          <w:color w:val="auto"/>
          <w:sz w:val="21"/>
          <w:highlight w:val="none"/>
        </w:rPr>
      </w:pPr>
    </w:p>
    <w:p w14:paraId="144DC703">
      <w:pPr>
        <w:spacing w:before="68" w:line="491" w:lineRule="auto"/>
        <w:ind w:left="40" w:right="57" w:firstLine="420"/>
        <w:rPr>
          <w:rFonts w:ascii="宋体" w:hAnsi="宋体" w:eastAsia="宋体" w:cs="宋体"/>
          <w:color w:val="auto"/>
          <w:sz w:val="21"/>
          <w:szCs w:val="21"/>
          <w:highlight w:val="none"/>
        </w:rPr>
      </w:pPr>
      <w:r>
        <w:rPr>
          <w:rFonts w:ascii="宋体" w:hAnsi="宋体" w:eastAsia="宋体" w:cs="宋体"/>
          <w:color w:val="auto"/>
          <w:spacing w:val="-6"/>
          <w:sz w:val="21"/>
          <w:szCs w:val="21"/>
          <w:highlight w:val="none"/>
        </w:rPr>
        <w:t>参与金融</w:t>
      </w:r>
      <w:r>
        <w:rPr>
          <w:rFonts w:ascii="宋体" w:hAnsi="宋体" w:eastAsia="宋体" w:cs="宋体"/>
          <w:color w:val="auto"/>
          <w:spacing w:val="-3"/>
          <w:sz w:val="21"/>
          <w:szCs w:val="21"/>
          <w:highlight w:val="none"/>
        </w:rPr>
        <w:t>机构登录平台查看融资需求及中标(或成交) 详情， 进行贷前评审， 确定融资方案和回款</w:t>
      </w:r>
      <w:r>
        <w:rPr>
          <w:rFonts w:ascii="宋体" w:hAnsi="宋体" w:eastAsia="宋体" w:cs="宋体"/>
          <w:color w:val="auto"/>
          <w:spacing w:val="-1"/>
          <w:sz w:val="21"/>
          <w:szCs w:val="21"/>
          <w:highlight w:val="none"/>
        </w:rPr>
        <w:t>账户，签订《政府采购合同》，确定合同收款账户。</w:t>
      </w:r>
    </w:p>
    <w:p w14:paraId="49B18F74">
      <w:pPr>
        <w:spacing w:line="221" w:lineRule="auto"/>
        <w:ind w:left="441"/>
        <w:rPr>
          <w:rFonts w:ascii="宋体" w:hAnsi="宋体" w:eastAsia="宋体" w:cs="宋体"/>
          <w:color w:val="auto"/>
          <w:sz w:val="21"/>
          <w:szCs w:val="21"/>
          <w:highlight w:val="none"/>
        </w:rPr>
      </w:pPr>
      <w:r>
        <w:rPr>
          <w:rFonts w:ascii="宋体" w:hAnsi="宋体" w:eastAsia="宋体" w:cs="宋体"/>
          <w:b/>
          <w:bCs/>
          <w:color w:val="auto"/>
          <w:spacing w:val="26"/>
          <w:sz w:val="21"/>
          <w:szCs w:val="21"/>
          <w:highlight w:val="none"/>
        </w:rPr>
        <w:t>(</w:t>
      </w:r>
      <w:r>
        <w:rPr>
          <w:rFonts w:ascii="宋体" w:hAnsi="宋体" w:eastAsia="宋体" w:cs="宋体"/>
          <w:b/>
          <w:bCs/>
          <w:color w:val="auto"/>
          <w:spacing w:val="19"/>
          <w:sz w:val="21"/>
          <w:szCs w:val="21"/>
          <w:highlight w:val="none"/>
        </w:rPr>
        <w:t>三)、签订贷款协议</w:t>
      </w:r>
    </w:p>
    <w:p w14:paraId="665EE77C">
      <w:pPr>
        <w:rPr>
          <w:rFonts w:ascii="Arial"/>
          <w:color w:val="auto"/>
          <w:sz w:val="21"/>
          <w:highlight w:val="none"/>
        </w:rPr>
      </w:pPr>
    </w:p>
    <w:p w14:paraId="4DE1AEC3">
      <w:pPr>
        <w:spacing w:before="69" w:line="492" w:lineRule="auto"/>
        <w:ind w:left="46" w:right="57" w:firstLine="415"/>
        <w:rPr>
          <w:rFonts w:ascii="宋体" w:hAnsi="宋体" w:eastAsia="宋体" w:cs="宋体"/>
          <w:color w:val="auto"/>
          <w:sz w:val="21"/>
          <w:szCs w:val="21"/>
          <w:highlight w:val="none"/>
        </w:rPr>
      </w:pPr>
      <w:r>
        <w:rPr>
          <w:rFonts w:ascii="宋体" w:hAnsi="宋体" w:eastAsia="宋体" w:cs="宋体"/>
          <w:color w:val="auto"/>
          <w:spacing w:val="-8"/>
          <w:sz w:val="21"/>
          <w:szCs w:val="21"/>
          <w:highlight w:val="none"/>
        </w:rPr>
        <w:t>参与金融机构登录平台查看采购合同信息， 与供应商签订贷款协议， 在线填写融资成交单， 推送</w:t>
      </w:r>
      <w:r>
        <w:rPr>
          <w:rFonts w:ascii="宋体" w:hAnsi="宋体" w:eastAsia="宋体" w:cs="宋体"/>
          <w:color w:val="auto"/>
          <w:spacing w:val="-1"/>
          <w:sz w:val="21"/>
          <w:szCs w:val="21"/>
          <w:highlight w:val="none"/>
        </w:rPr>
        <w:t>融</w:t>
      </w:r>
      <w:r>
        <w:rPr>
          <w:rFonts w:ascii="宋体" w:hAnsi="宋体" w:eastAsia="宋体" w:cs="宋体"/>
          <w:color w:val="auto"/>
          <w:spacing w:val="-2"/>
          <w:sz w:val="21"/>
          <w:szCs w:val="21"/>
          <w:highlight w:val="none"/>
        </w:rPr>
        <w:t>资成交信息，</w:t>
      </w:r>
      <w:r>
        <w:rPr>
          <w:rFonts w:ascii="宋体" w:hAnsi="宋体" w:eastAsia="宋体" w:cs="宋体"/>
          <w:color w:val="auto"/>
          <w:spacing w:val="-1"/>
          <w:sz w:val="21"/>
          <w:szCs w:val="21"/>
          <w:highlight w:val="none"/>
        </w:rPr>
        <w:t>系统自动将回款账户锁定为银行监管账户。</w:t>
      </w:r>
    </w:p>
    <w:p w14:paraId="2C1577F6">
      <w:pPr>
        <w:spacing w:line="220" w:lineRule="auto"/>
        <w:ind w:left="465"/>
        <w:rPr>
          <w:rFonts w:ascii="宋体" w:hAnsi="宋体" w:eastAsia="宋体" w:cs="宋体"/>
          <w:b/>
          <w:bCs/>
          <w:color w:val="auto"/>
          <w:sz w:val="21"/>
          <w:szCs w:val="21"/>
          <w:highlight w:val="none"/>
        </w:rPr>
      </w:pPr>
      <w:r>
        <w:rPr>
          <w:rFonts w:ascii="宋体" w:hAnsi="宋体" w:eastAsia="宋体" w:cs="宋体"/>
          <w:b/>
          <w:bCs/>
          <w:color w:val="auto"/>
          <w:spacing w:val="28"/>
          <w:sz w:val="21"/>
          <w:szCs w:val="21"/>
          <w:highlight w:val="none"/>
        </w:rPr>
        <w:t>(</w:t>
      </w:r>
      <w:r>
        <w:rPr>
          <w:rFonts w:ascii="宋体" w:hAnsi="宋体" w:eastAsia="宋体" w:cs="宋体"/>
          <w:b/>
          <w:bCs/>
          <w:color w:val="auto"/>
          <w:spacing w:val="24"/>
          <w:sz w:val="21"/>
          <w:szCs w:val="21"/>
          <w:highlight w:val="none"/>
        </w:rPr>
        <w:t>四)、贷款发放</w:t>
      </w:r>
    </w:p>
    <w:p w14:paraId="6EA3DD8A">
      <w:pPr>
        <w:rPr>
          <w:rFonts w:ascii="Arial"/>
          <w:color w:val="auto"/>
          <w:sz w:val="21"/>
          <w:highlight w:val="none"/>
        </w:rPr>
      </w:pPr>
    </w:p>
    <w:p w14:paraId="39D2FC13">
      <w:pPr>
        <w:spacing w:before="70" w:line="220" w:lineRule="auto"/>
        <w:ind w:left="464"/>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融资银行核实回款账</w:t>
      </w:r>
      <w:r>
        <w:rPr>
          <w:rFonts w:ascii="宋体" w:hAnsi="宋体" w:eastAsia="宋体" w:cs="宋体"/>
          <w:color w:val="auto"/>
          <w:sz w:val="21"/>
          <w:szCs w:val="21"/>
          <w:highlight w:val="none"/>
        </w:rPr>
        <w:t>户无误后，根据贷款协议向供应商发放贷款。</w:t>
      </w:r>
    </w:p>
    <w:p w14:paraId="29C9580B">
      <w:pPr>
        <w:spacing w:before="306" w:line="221" w:lineRule="auto"/>
        <w:ind w:left="441"/>
        <w:rPr>
          <w:rFonts w:ascii="宋体" w:hAnsi="宋体" w:eastAsia="宋体" w:cs="宋体"/>
          <w:b/>
          <w:bCs/>
          <w:color w:val="auto"/>
          <w:sz w:val="21"/>
          <w:szCs w:val="21"/>
          <w:highlight w:val="none"/>
        </w:rPr>
      </w:pPr>
      <w:r>
        <w:rPr>
          <w:rFonts w:ascii="宋体" w:hAnsi="宋体" w:eastAsia="宋体" w:cs="宋体"/>
          <w:b/>
          <w:bCs/>
          <w:color w:val="auto"/>
          <w:spacing w:val="27"/>
          <w:sz w:val="21"/>
          <w:szCs w:val="21"/>
          <w:highlight w:val="none"/>
        </w:rPr>
        <w:t>(</w:t>
      </w:r>
      <w:r>
        <w:rPr>
          <w:rFonts w:ascii="宋体" w:hAnsi="宋体" w:eastAsia="宋体" w:cs="宋体"/>
          <w:b/>
          <w:bCs/>
          <w:color w:val="auto"/>
          <w:spacing w:val="24"/>
          <w:sz w:val="21"/>
          <w:szCs w:val="21"/>
          <w:highlight w:val="none"/>
        </w:rPr>
        <w:t>五)、按期还款</w:t>
      </w:r>
    </w:p>
    <w:p w14:paraId="1B3A1F81">
      <w:pPr>
        <w:rPr>
          <w:rFonts w:ascii="Arial"/>
          <w:color w:val="auto"/>
          <w:sz w:val="21"/>
          <w:highlight w:val="none"/>
        </w:rPr>
      </w:pPr>
    </w:p>
    <w:p w14:paraId="38166CB6">
      <w:pPr>
        <w:spacing w:before="68" w:line="492" w:lineRule="auto"/>
        <w:ind w:left="37" w:firstLine="422"/>
        <w:rPr>
          <w:rFonts w:ascii="宋体" w:hAnsi="宋体" w:eastAsia="宋体" w:cs="宋体"/>
          <w:color w:val="auto"/>
          <w:sz w:val="21"/>
          <w:szCs w:val="21"/>
          <w:highlight w:val="none"/>
        </w:rPr>
      </w:pPr>
      <w:r>
        <w:rPr>
          <w:rFonts w:ascii="宋体" w:hAnsi="宋体" w:eastAsia="宋体" w:cs="宋体"/>
          <w:color w:val="auto"/>
          <w:spacing w:val="-12"/>
          <w:sz w:val="21"/>
          <w:szCs w:val="21"/>
          <w:highlight w:val="none"/>
        </w:rPr>
        <w:t>合同履行完</w:t>
      </w:r>
      <w:r>
        <w:rPr>
          <w:rFonts w:ascii="宋体" w:hAnsi="宋体" w:eastAsia="宋体" w:cs="宋体"/>
          <w:color w:val="auto"/>
          <w:spacing w:val="-8"/>
          <w:sz w:val="21"/>
          <w:szCs w:val="21"/>
          <w:highlight w:val="none"/>
        </w:rPr>
        <w:t>毕</w:t>
      </w:r>
      <w:r>
        <w:rPr>
          <w:rFonts w:ascii="宋体" w:hAnsi="宋体" w:eastAsia="宋体" w:cs="宋体"/>
          <w:color w:val="auto"/>
          <w:spacing w:val="-6"/>
          <w:sz w:val="21"/>
          <w:szCs w:val="21"/>
          <w:highlight w:val="none"/>
        </w:rPr>
        <w:t>后，采购单位根据合同约定时间和账户在线填写支付申请， 向财政部门发送支付指令，</w:t>
      </w:r>
      <w:r>
        <w:rPr>
          <w:rFonts w:ascii="宋体" w:hAnsi="宋体" w:eastAsia="宋体" w:cs="宋体"/>
          <w:color w:val="auto"/>
          <w:sz w:val="21"/>
          <w:szCs w:val="21"/>
          <w:highlight w:val="none"/>
        </w:rPr>
        <w:t xml:space="preserve"> </w:t>
      </w:r>
      <w:r>
        <w:rPr>
          <w:rFonts w:ascii="宋体" w:hAnsi="宋体" w:eastAsia="宋体" w:cs="宋体"/>
          <w:color w:val="auto"/>
          <w:spacing w:val="-2"/>
          <w:sz w:val="21"/>
          <w:szCs w:val="21"/>
          <w:highlight w:val="none"/>
        </w:rPr>
        <w:t>财政部</w:t>
      </w:r>
      <w:r>
        <w:rPr>
          <w:rFonts w:ascii="宋体" w:hAnsi="宋体" w:eastAsia="宋体" w:cs="宋体"/>
          <w:color w:val="auto"/>
          <w:spacing w:val="-1"/>
          <w:sz w:val="21"/>
          <w:szCs w:val="21"/>
          <w:highlight w:val="none"/>
        </w:rPr>
        <w:t>门严格按照相关规定将资金支付到采购合同收款账户。</w:t>
      </w:r>
    </w:p>
    <w:p w14:paraId="733D8AAC">
      <w:pPr>
        <w:spacing w:before="1" w:line="220" w:lineRule="auto"/>
        <w:ind w:left="441"/>
        <w:rPr>
          <w:rFonts w:ascii="宋体" w:hAnsi="宋体" w:eastAsia="宋体" w:cs="宋体"/>
          <w:b/>
          <w:bCs/>
          <w:color w:val="auto"/>
          <w:sz w:val="21"/>
          <w:szCs w:val="21"/>
          <w:highlight w:val="none"/>
        </w:rPr>
      </w:pPr>
      <w:r>
        <w:rPr>
          <w:rFonts w:ascii="宋体" w:hAnsi="宋体" w:eastAsia="宋体" w:cs="宋体"/>
          <w:b/>
          <w:bCs/>
          <w:color w:val="auto"/>
          <w:spacing w:val="22"/>
          <w:sz w:val="21"/>
          <w:szCs w:val="21"/>
          <w:highlight w:val="none"/>
        </w:rPr>
        <w:t>(六 )、业务终</w:t>
      </w:r>
      <w:r>
        <w:rPr>
          <w:rFonts w:ascii="宋体" w:hAnsi="宋体" w:eastAsia="宋体" w:cs="宋体"/>
          <w:b/>
          <w:bCs/>
          <w:color w:val="auto"/>
          <w:spacing w:val="20"/>
          <w:sz w:val="21"/>
          <w:szCs w:val="21"/>
          <w:highlight w:val="none"/>
        </w:rPr>
        <w:t>止</w:t>
      </w:r>
    </w:p>
    <w:p w14:paraId="0661E4F9">
      <w:pPr>
        <w:rPr>
          <w:rFonts w:ascii="Arial"/>
          <w:color w:val="auto"/>
          <w:sz w:val="21"/>
          <w:highlight w:val="none"/>
        </w:rPr>
      </w:pPr>
    </w:p>
    <w:p w14:paraId="75C6192B">
      <w:pPr>
        <w:spacing w:before="69" w:line="221" w:lineRule="auto"/>
        <w:ind w:left="432"/>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贷款</w:t>
      </w:r>
      <w:r>
        <w:rPr>
          <w:rFonts w:ascii="宋体" w:hAnsi="宋体" w:eastAsia="宋体" w:cs="宋体"/>
          <w:color w:val="auto"/>
          <w:spacing w:val="-1"/>
          <w:sz w:val="21"/>
          <w:szCs w:val="21"/>
          <w:highlight w:val="none"/>
        </w:rPr>
        <w:t>偿清后，融资银行解除质押，业务终止。</w:t>
      </w:r>
    </w:p>
    <w:p w14:paraId="380BAF7E">
      <w:pPr>
        <w:rPr>
          <w:color w:val="auto"/>
          <w:highlight w:val="none"/>
        </w:rPr>
        <w:sectPr>
          <w:pgSz w:w="11905" w:h="16839"/>
          <w:pgMar w:top="1238" w:right="1180" w:bottom="1150" w:left="1219" w:header="917" w:footer="988" w:gutter="0"/>
          <w:pgBorders>
            <w:top w:val="none" w:sz="0" w:space="0"/>
            <w:left w:val="none" w:sz="0" w:space="0"/>
            <w:bottom w:val="none" w:sz="0" w:space="0"/>
            <w:right w:val="none" w:sz="0" w:space="0"/>
          </w:pgBorders>
          <w:pgNumType w:fmt="decimal"/>
          <w:cols w:space="720" w:num="1"/>
        </w:sectPr>
      </w:pPr>
    </w:p>
    <w:p w14:paraId="6E997B34">
      <w:pPr>
        <w:spacing w:before="112" w:line="220" w:lineRule="auto"/>
        <w:ind w:left="66"/>
        <w:rPr>
          <w:rFonts w:ascii="宋体" w:hAnsi="宋体" w:eastAsia="宋体" w:cs="宋体"/>
          <w:b/>
          <w:bCs/>
          <w:color w:val="auto"/>
          <w:spacing w:val="-24"/>
          <w:sz w:val="32"/>
          <w:szCs w:val="32"/>
          <w:highlight w:val="none"/>
        </w:rPr>
      </w:pPr>
      <w:r>
        <w:rPr>
          <w:rFonts w:ascii="宋体" w:hAnsi="宋体" w:eastAsia="宋体" w:cs="宋体"/>
          <w:b/>
          <w:bCs/>
          <w:color w:val="auto"/>
          <w:spacing w:val="-24"/>
          <w:sz w:val="32"/>
          <w:szCs w:val="32"/>
          <w:highlight w:val="none"/>
        </w:rPr>
        <w:t>附件 2</w:t>
      </w:r>
    </w:p>
    <w:p w14:paraId="08F91229">
      <w:pPr>
        <w:pStyle w:val="24"/>
        <w:rPr>
          <w:color w:val="auto"/>
          <w:highlight w:val="none"/>
        </w:rPr>
      </w:pPr>
    </w:p>
    <w:p w14:paraId="532EBE46">
      <w:pPr>
        <w:adjustRightInd w:val="0"/>
        <w:snapToGrid w:val="0"/>
        <w:spacing w:line="360" w:lineRule="auto"/>
        <w:rPr>
          <w:rFonts w:ascii="宋体" w:hAnsi="宋体"/>
          <w:b/>
          <w:color w:val="auto"/>
          <w:sz w:val="10"/>
          <w:szCs w:val="10"/>
          <w:highlight w:val="none"/>
        </w:rPr>
      </w:pPr>
      <w:r>
        <w:rPr>
          <w:color w:val="auto"/>
          <w:highlight w:val="none"/>
        </w:rPr>
        <w:drawing>
          <wp:inline distT="0" distB="0" distL="114300" distR="114300">
            <wp:extent cx="5713730" cy="3578860"/>
            <wp:effectExtent l="0" t="0" r="1270" b="2540"/>
            <wp:docPr id="5" name="图片 1"/>
            <wp:cNvGraphicFramePr/>
            <a:graphic xmlns:a="http://schemas.openxmlformats.org/drawingml/2006/main">
              <a:graphicData uri="http://schemas.openxmlformats.org/drawingml/2006/picture">
                <pic:pic xmlns:pic="http://schemas.openxmlformats.org/drawingml/2006/picture">
                  <pic:nvPicPr>
                    <pic:cNvPr id="5" name="图片 1"/>
                    <pic:cNvPicPr/>
                  </pic:nvPicPr>
                  <pic:blipFill>
                    <a:blip r:embed="rId27"/>
                    <a:stretch>
                      <a:fillRect/>
                    </a:stretch>
                  </pic:blipFill>
                  <pic:spPr>
                    <a:xfrm>
                      <a:off x="0" y="0"/>
                      <a:ext cx="5713730" cy="3578860"/>
                    </a:xfrm>
                    <a:prstGeom prst="rect">
                      <a:avLst/>
                    </a:prstGeom>
                    <a:noFill/>
                    <a:ln>
                      <a:noFill/>
                    </a:ln>
                  </pic:spPr>
                </pic:pic>
              </a:graphicData>
            </a:graphic>
          </wp:inline>
        </w:drawing>
      </w:r>
    </w:p>
    <w:p w14:paraId="5D9C8CFC">
      <w:pPr>
        <w:spacing w:before="112" w:line="220" w:lineRule="auto"/>
        <w:ind w:left="66"/>
        <w:rPr>
          <w:rFonts w:ascii="宋体" w:hAnsi="宋体" w:eastAsia="宋体" w:cs="宋体"/>
          <w:color w:val="auto"/>
          <w:spacing w:val="-25"/>
          <w:sz w:val="32"/>
          <w:szCs w:val="32"/>
          <w:highlight w:val="none"/>
        </w:rPr>
      </w:pPr>
    </w:p>
    <w:p w14:paraId="7B8DD46A">
      <w:pPr>
        <w:spacing w:before="112" w:line="220" w:lineRule="auto"/>
        <w:ind w:left="66"/>
        <w:rPr>
          <w:rFonts w:ascii="宋体" w:hAnsi="宋体" w:eastAsia="宋体" w:cs="宋体"/>
          <w:color w:val="auto"/>
          <w:spacing w:val="-25"/>
          <w:sz w:val="32"/>
          <w:szCs w:val="32"/>
          <w:highlight w:val="none"/>
        </w:rPr>
      </w:pPr>
    </w:p>
    <w:p w14:paraId="163A50EF">
      <w:pPr>
        <w:spacing w:before="112" w:line="220" w:lineRule="auto"/>
        <w:ind w:left="66"/>
        <w:rPr>
          <w:rFonts w:ascii="宋体" w:hAnsi="宋体" w:eastAsia="宋体" w:cs="宋体"/>
          <w:color w:val="auto"/>
          <w:spacing w:val="-25"/>
          <w:sz w:val="32"/>
          <w:szCs w:val="32"/>
          <w:highlight w:val="none"/>
        </w:rPr>
      </w:pPr>
    </w:p>
    <w:p w14:paraId="5C29A1B0">
      <w:pPr>
        <w:spacing w:before="112" w:line="220" w:lineRule="auto"/>
        <w:ind w:left="66"/>
        <w:rPr>
          <w:rFonts w:ascii="宋体" w:hAnsi="宋体" w:eastAsia="宋体" w:cs="宋体"/>
          <w:color w:val="auto"/>
          <w:spacing w:val="-25"/>
          <w:sz w:val="32"/>
          <w:szCs w:val="32"/>
          <w:highlight w:val="none"/>
        </w:rPr>
      </w:pPr>
    </w:p>
    <w:p w14:paraId="29A0585E">
      <w:pPr>
        <w:spacing w:before="112" w:line="220" w:lineRule="auto"/>
        <w:ind w:left="66"/>
        <w:rPr>
          <w:rFonts w:ascii="宋体" w:hAnsi="宋体" w:eastAsia="宋体" w:cs="宋体"/>
          <w:color w:val="auto"/>
          <w:spacing w:val="-25"/>
          <w:sz w:val="32"/>
          <w:szCs w:val="32"/>
          <w:highlight w:val="none"/>
        </w:rPr>
      </w:pPr>
    </w:p>
    <w:p w14:paraId="15BE7023">
      <w:pPr>
        <w:spacing w:before="112" w:line="220" w:lineRule="auto"/>
        <w:ind w:left="66"/>
        <w:rPr>
          <w:rFonts w:ascii="宋体" w:hAnsi="宋体" w:eastAsia="宋体" w:cs="宋体"/>
          <w:color w:val="auto"/>
          <w:spacing w:val="-25"/>
          <w:sz w:val="32"/>
          <w:szCs w:val="32"/>
          <w:highlight w:val="none"/>
        </w:rPr>
      </w:pPr>
    </w:p>
    <w:p w14:paraId="2CEB7DD1">
      <w:pPr>
        <w:spacing w:before="112" w:line="220" w:lineRule="auto"/>
        <w:ind w:left="66"/>
        <w:rPr>
          <w:rFonts w:ascii="宋体" w:hAnsi="宋体" w:eastAsia="宋体" w:cs="宋体"/>
          <w:color w:val="auto"/>
          <w:spacing w:val="-25"/>
          <w:sz w:val="32"/>
          <w:szCs w:val="32"/>
          <w:highlight w:val="none"/>
        </w:rPr>
      </w:pPr>
    </w:p>
    <w:p w14:paraId="5B41596E">
      <w:pPr>
        <w:spacing w:before="112" w:line="220" w:lineRule="auto"/>
        <w:ind w:left="66"/>
        <w:rPr>
          <w:rFonts w:ascii="宋体" w:hAnsi="宋体" w:eastAsia="宋体" w:cs="宋体"/>
          <w:color w:val="auto"/>
          <w:spacing w:val="-25"/>
          <w:sz w:val="32"/>
          <w:szCs w:val="32"/>
          <w:highlight w:val="none"/>
        </w:rPr>
      </w:pPr>
    </w:p>
    <w:p w14:paraId="7E418E0C">
      <w:pPr>
        <w:spacing w:before="112" w:line="220" w:lineRule="auto"/>
        <w:ind w:left="66"/>
        <w:rPr>
          <w:rFonts w:ascii="宋体" w:hAnsi="宋体" w:eastAsia="宋体" w:cs="宋体"/>
          <w:color w:val="auto"/>
          <w:spacing w:val="-25"/>
          <w:sz w:val="32"/>
          <w:szCs w:val="32"/>
          <w:highlight w:val="none"/>
        </w:rPr>
      </w:pPr>
    </w:p>
    <w:p w14:paraId="0CD027FE">
      <w:pPr>
        <w:pStyle w:val="24"/>
        <w:rPr>
          <w:rFonts w:ascii="宋体" w:hAnsi="宋体" w:eastAsia="宋体" w:cs="宋体"/>
          <w:color w:val="auto"/>
          <w:spacing w:val="-25"/>
          <w:sz w:val="32"/>
          <w:szCs w:val="32"/>
          <w:highlight w:val="none"/>
        </w:rPr>
      </w:pPr>
    </w:p>
    <w:p w14:paraId="176AC8EE">
      <w:pPr>
        <w:pStyle w:val="7"/>
        <w:rPr>
          <w:rFonts w:ascii="宋体" w:hAnsi="宋体" w:eastAsia="宋体" w:cs="宋体"/>
          <w:color w:val="auto"/>
          <w:spacing w:val="-25"/>
          <w:sz w:val="32"/>
          <w:szCs w:val="32"/>
          <w:highlight w:val="none"/>
        </w:rPr>
      </w:pPr>
    </w:p>
    <w:p w14:paraId="6FD86EC7">
      <w:pPr>
        <w:pStyle w:val="7"/>
        <w:rPr>
          <w:rFonts w:ascii="宋体" w:hAnsi="宋体" w:eastAsia="宋体" w:cs="宋体"/>
          <w:color w:val="auto"/>
          <w:spacing w:val="-25"/>
          <w:sz w:val="32"/>
          <w:szCs w:val="32"/>
          <w:highlight w:val="none"/>
        </w:rPr>
      </w:pPr>
    </w:p>
    <w:p w14:paraId="605F9339">
      <w:pPr>
        <w:pStyle w:val="7"/>
        <w:rPr>
          <w:rFonts w:ascii="宋体" w:hAnsi="宋体" w:eastAsia="宋体" w:cs="宋体"/>
          <w:color w:val="auto"/>
          <w:spacing w:val="-25"/>
          <w:sz w:val="32"/>
          <w:szCs w:val="32"/>
          <w:highlight w:val="none"/>
        </w:rPr>
      </w:pPr>
    </w:p>
    <w:p w14:paraId="5EB1A732">
      <w:pPr>
        <w:pStyle w:val="7"/>
        <w:rPr>
          <w:rFonts w:ascii="宋体" w:hAnsi="宋体" w:eastAsia="宋体" w:cs="宋体"/>
          <w:color w:val="auto"/>
          <w:spacing w:val="-25"/>
          <w:sz w:val="32"/>
          <w:szCs w:val="32"/>
          <w:highlight w:val="none"/>
        </w:rPr>
      </w:pPr>
    </w:p>
    <w:p w14:paraId="36C0B951">
      <w:pPr>
        <w:pStyle w:val="7"/>
        <w:rPr>
          <w:rFonts w:ascii="宋体" w:hAnsi="宋体" w:eastAsia="宋体" w:cs="宋体"/>
          <w:color w:val="auto"/>
          <w:spacing w:val="-25"/>
          <w:sz w:val="32"/>
          <w:szCs w:val="32"/>
          <w:highlight w:val="none"/>
        </w:rPr>
      </w:pPr>
    </w:p>
    <w:p w14:paraId="23AE95A4">
      <w:pPr>
        <w:pStyle w:val="7"/>
        <w:rPr>
          <w:rFonts w:ascii="宋体" w:hAnsi="宋体" w:eastAsia="宋体" w:cs="宋体"/>
          <w:color w:val="auto"/>
          <w:spacing w:val="-25"/>
          <w:sz w:val="32"/>
          <w:szCs w:val="32"/>
          <w:highlight w:val="none"/>
        </w:rPr>
      </w:pPr>
    </w:p>
    <w:p w14:paraId="377A6743">
      <w:pPr>
        <w:spacing w:before="112" w:line="220" w:lineRule="auto"/>
        <w:ind w:left="66"/>
        <w:rPr>
          <w:rFonts w:ascii="宋体" w:hAnsi="宋体" w:eastAsia="宋体" w:cs="宋体"/>
          <w:b/>
          <w:bCs/>
          <w:color w:val="auto"/>
          <w:sz w:val="32"/>
          <w:szCs w:val="32"/>
          <w:highlight w:val="none"/>
        </w:rPr>
      </w:pPr>
      <w:r>
        <w:rPr>
          <w:rFonts w:ascii="宋体" w:hAnsi="宋体" w:eastAsia="宋体" w:cs="宋体"/>
          <w:b/>
          <w:bCs/>
          <w:color w:val="auto"/>
          <w:spacing w:val="-25"/>
          <w:sz w:val="32"/>
          <w:szCs w:val="32"/>
          <w:highlight w:val="none"/>
        </w:rPr>
        <w:t>附</w:t>
      </w:r>
      <w:r>
        <w:rPr>
          <w:rFonts w:ascii="宋体" w:hAnsi="宋体" w:eastAsia="宋体" w:cs="宋体"/>
          <w:b/>
          <w:bCs/>
          <w:color w:val="auto"/>
          <w:spacing w:val="-23"/>
          <w:sz w:val="32"/>
          <w:szCs w:val="32"/>
          <w:highlight w:val="none"/>
        </w:rPr>
        <w:t>件 3</w:t>
      </w:r>
    </w:p>
    <w:p w14:paraId="3DA684D7">
      <w:pPr>
        <w:spacing w:before="237" w:line="220" w:lineRule="auto"/>
        <w:ind w:left="1213"/>
        <w:rPr>
          <w:rFonts w:ascii="宋体" w:hAnsi="宋体" w:eastAsia="宋体" w:cs="宋体"/>
          <w:color w:val="auto"/>
          <w:sz w:val="32"/>
          <w:szCs w:val="32"/>
          <w:highlight w:val="none"/>
        </w:rPr>
      </w:pPr>
      <w:r>
        <w:rPr>
          <w:rFonts w:ascii="宋体" w:hAnsi="宋体" w:eastAsia="宋体" w:cs="宋体"/>
          <w:color w:val="auto"/>
          <w:spacing w:val="1"/>
          <w:sz w:val="32"/>
          <w:szCs w:val="32"/>
          <w:highlight w:val="none"/>
        </w:rPr>
        <w:t>株洲市政府采购合同线上融资业务办理</w:t>
      </w:r>
      <w:r>
        <w:rPr>
          <w:rFonts w:ascii="宋体" w:hAnsi="宋体" w:eastAsia="宋体" w:cs="宋体"/>
          <w:color w:val="auto"/>
          <w:sz w:val="32"/>
          <w:szCs w:val="32"/>
          <w:highlight w:val="none"/>
        </w:rPr>
        <w:t>银行联系表</w:t>
      </w:r>
    </w:p>
    <w:p w14:paraId="77731DDF">
      <w:pPr>
        <w:spacing w:line="197" w:lineRule="exact"/>
        <w:rPr>
          <w:color w:val="auto"/>
          <w:highlight w:val="none"/>
        </w:rPr>
      </w:pPr>
    </w:p>
    <w:tbl>
      <w:tblPr>
        <w:tblStyle w:val="35"/>
        <w:tblW w:w="0" w:type="auto"/>
        <w:tblInd w:w="16"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9243"/>
      </w:tblGrid>
      <w:tr w14:paraId="5E67FF40">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7830" w:hRule="atLeast"/>
        </w:trPr>
        <w:tc>
          <w:tcPr>
            <w:tcW w:w="9243" w:type="dxa"/>
            <w:noWrap w:val="0"/>
            <w:vAlign w:val="top"/>
          </w:tcPr>
          <w:p w14:paraId="41581E7A">
            <w:pPr>
              <w:spacing w:line="14" w:lineRule="exact"/>
              <w:rPr>
                <w:color w:val="auto"/>
                <w:highlight w:val="none"/>
              </w:rPr>
            </w:pPr>
          </w:p>
          <w:tbl>
            <w:tblPr>
              <w:tblStyle w:val="35"/>
              <w:tblW w:w="0" w:type="auto"/>
              <w:tblInd w:w="1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42"/>
              <w:gridCol w:w="3038"/>
              <w:gridCol w:w="1722"/>
              <w:gridCol w:w="3602"/>
            </w:tblGrid>
            <w:tr w14:paraId="23610A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8" w:hRule="atLeast"/>
              </w:trPr>
              <w:tc>
                <w:tcPr>
                  <w:tcW w:w="842" w:type="dxa"/>
                  <w:tcBorders>
                    <w:right w:val="single" w:color="000000" w:sz="4" w:space="0"/>
                  </w:tcBorders>
                  <w:noWrap w:val="0"/>
                  <w:vAlign w:val="top"/>
                </w:tcPr>
                <w:p w14:paraId="0750C4CF">
                  <w:pPr>
                    <w:spacing w:before="188" w:line="222" w:lineRule="auto"/>
                    <w:ind w:left="103"/>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序  号</w:t>
                  </w:r>
                </w:p>
              </w:tc>
              <w:tc>
                <w:tcPr>
                  <w:tcW w:w="3038" w:type="dxa"/>
                  <w:tcBorders>
                    <w:left w:val="single" w:color="000000" w:sz="4" w:space="0"/>
                    <w:right w:val="single" w:color="000000" w:sz="4" w:space="0"/>
                  </w:tcBorders>
                  <w:noWrap w:val="0"/>
                  <w:vAlign w:val="top"/>
                </w:tcPr>
                <w:p w14:paraId="5407DE78">
                  <w:pPr>
                    <w:spacing w:before="188" w:line="221" w:lineRule="auto"/>
                    <w:ind w:left="1104"/>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银行名称</w:t>
                  </w:r>
                </w:p>
              </w:tc>
              <w:tc>
                <w:tcPr>
                  <w:tcW w:w="1722" w:type="dxa"/>
                  <w:tcBorders>
                    <w:left w:val="single" w:color="000000" w:sz="4" w:space="0"/>
                    <w:right w:val="single" w:color="000000" w:sz="4" w:space="0"/>
                  </w:tcBorders>
                  <w:noWrap w:val="0"/>
                  <w:vAlign w:val="top"/>
                </w:tcPr>
                <w:p w14:paraId="4A98D592">
                  <w:pPr>
                    <w:spacing w:before="188" w:line="223" w:lineRule="auto"/>
                    <w:ind w:left="549"/>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联</w:t>
                  </w:r>
                  <w:r>
                    <w:rPr>
                      <w:rFonts w:ascii="宋体" w:hAnsi="宋体" w:eastAsia="宋体" w:cs="宋体"/>
                      <w:color w:val="auto"/>
                      <w:spacing w:val="-1"/>
                      <w:sz w:val="21"/>
                      <w:szCs w:val="21"/>
                      <w:highlight w:val="none"/>
                    </w:rPr>
                    <w:t>系人</w:t>
                  </w:r>
                </w:p>
              </w:tc>
              <w:tc>
                <w:tcPr>
                  <w:tcW w:w="3602" w:type="dxa"/>
                  <w:tcBorders>
                    <w:left w:val="single" w:color="000000" w:sz="4" w:space="0"/>
                  </w:tcBorders>
                  <w:noWrap w:val="0"/>
                  <w:vAlign w:val="top"/>
                </w:tcPr>
                <w:p w14:paraId="1968DDC5">
                  <w:pPr>
                    <w:spacing w:before="188" w:line="223" w:lineRule="auto"/>
                    <w:ind w:left="1386"/>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联系电话</w:t>
                  </w:r>
                </w:p>
              </w:tc>
            </w:tr>
            <w:tr w14:paraId="6510B7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6" w:hRule="atLeast"/>
              </w:trPr>
              <w:tc>
                <w:tcPr>
                  <w:tcW w:w="842" w:type="dxa"/>
                  <w:tcBorders>
                    <w:right w:val="single" w:color="000000" w:sz="4" w:space="0"/>
                  </w:tcBorders>
                  <w:noWrap w:val="0"/>
                  <w:vAlign w:val="top"/>
                </w:tcPr>
                <w:p w14:paraId="761F11FB">
                  <w:pPr>
                    <w:spacing w:before="148" w:line="186" w:lineRule="auto"/>
                    <w:ind w:left="383"/>
                    <w:rPr>
                      <w:rFonts w:ascii="宋体" w:hAnsi="宋体" w:eastAsia="宋体" w:cs="宋体"/>
                      <w:color w:val="auto"/>
                      <w:sz w:val="21"/>
                      <w:szCs w:val="21"/>
                      <w:highlight w:val="none"/>
                    </w:rPr>
                  </w:pPr>
                  <w:r>
                    <w:rPr>
                      <w:rFonts w:ascii="宋体" w:hAnsi="宋体" w:eastAsia="宋体" w:cs="宋体"/>
                      <w:color w:val="auto"/>
                      <w:sz w:val="21"/>
                      <w:szCs w:val="21"/>
                      <w:highlight w:val="none"/>
                    </w:rPr>
                    <w:t>1</w:t>
                  </w:r>
                </w:p>
              </w:tc>
              <w:tc>
                <w:tcPr>
                  <w:tcW w:w="3038" w:type="dxa"/>
                  <w:tcBorders>
                    <w:left w:val="single" w:color="000000" w:sz="4" w:space="0"/>
                    <w:right w:val="single" w:color="000000" w:sz="4" w:space="0"/>
                  </w:tcBorders>
                  <w:noWrap w:val="0"/>
                  <w:vAlign w:val="top"/>
                </w:tcPr>
                <w:p w14:paraId="2A16D9D6">
                  <w:pPr>
                    <w:spacing w:before="113" w:line="221" w:lineRule="auto"/>
                    <w:ind w:left="689"/>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交通银行株洲分行</w:t>
                  </w:r>
                </w:p>
              </w:tc>
              <w:tc>
                <w:tcPr>
                  <w:tcW w:w="1722" w:type="dxa"/>
                  <w:tcBorders>
                    <w:left w:val="single" w:color="000000" w:sz="4" w:space="0"/>
                    <w:right w:val="single" w:color="000000" w:sz="4" w:space="0"/>
                  </w:tcBorders>
                  <w:noWrap w:val="0"/>
                  <w:vAlign w:val="top"/>
                </w:tcPr>
                <w:p w14:paraId="32DE780D">
                  <w:pPr>
                    <w:spacing w:before="113" w:line="221" w:lineRule="auto"/>
                    <w:ind w:left="654"/>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蒋宁</w:t>
                  </w:r>
                </w:p>
              </w:tc>
              <w:tc>
                <w:tcPr>
                  <w:tcW w:w="3602" w:type="dxa"/>
                  <w:tcBorders>
                    <w:left w:val="single" w:color="000000" w:sz="4" w:space="0"/>
                  </w:tcBorders>
                  <w:noWrap w:val="0"/>
                  <w:vAlign w:val="top"/>
                </w:tcPr>
                <w:p w14:paraId="3B99C88B">
                  <w:pPr>
                    <w:spacing w:before="149" w:line="184" w:lineRule="auto"/>
                    <w:ind w:left="1242"/>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15873</w:t>
                  </w:r>
                  <w:r>
                    <w:rPr>
                      <w:rFonts w:ascii="宋体" w:hAnsi="宋体" w:eastAsia="宋体" w:cs="宋体"/>
                      <w:color w:val="auto"/>
                      <w:spacing w:val="-1"/>
                      <w:sz w:val="21"/>
                      <w:szCs w:val="21"/>
                      <w:highlight w:val="none"/>
                    </w:rPr>
                    <w:t>361819</w:t>
                  </w:r>
                </w:p>
              </w:tc>
            </w:tr>
            <w:tr w14:paraId="06403B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1" w:hRule="atLeast"/>
              </w:trPr>
              <w:tc>
                <w:tcPr>
                  <w:tcW w:w="842" w:type="dxa"/>
                  <w:tcBorders>
                    <w:right w:val="single" w:color="000000" w:sz="4" w:space="0"/>
                  </w:tcBorders>
                  <w:noWrap w:val="0"/>
                  <w:vAlign w:val="top"/>
                </w:tcPr>
                <w:p w14:paraId="14858965">
                  <w:pPr>
                    <w:spacing w:before="154" w:line="185" w:lineRule="auto"/>
                    <w:ind w:left="370"/>
                    <w:rPr>
                      <w:rFonts w:ascii="宋体" w:hAnsi="宋体" w:eastAsia="宋体" w:cs="宋体"/>
                      <w:color w:val="auto"/>
                      <w:sz w:val="21"/>
                      <w:szCs w:val="21"/>
                      <w:highlight w:val="none"/>
                    </w:rPr>
                  </w:pPr>
                  <w:r>
                    <w:rPr>
                      <w:rFonts w:ascii="宋体" w:hAnsi="宋体" w:eastAsia="宋体" w:cs="宋体"/>
                      <w:color w:val="auto"/>
                      <w:sz w:val="21"/>
                      <w:szCs w:val="21"/>
                      <w:highlight w:val="none"/>
                    </w:rPr>
                    <w:t>2</w:t>
                  </w:r>
                </w:p>
              </w:tc>
              <w:tc>
                <w:tcPr>
                  <w:tcW w:w="3038" w:type="dxa"/>
                  <w:tcBorders>
                    <w:left w:val="single" w:color="000000" w:sz="4" w:space="0"/>
                    <w:right w:val="single" w:color="000000" w:sz="4" w:space="0"/>
                  </w:tcBorders>
                  <w:noWrap w:val="0"/>
                  <w:vAlign w:val="top"/>
                </w:tcPr>
                <w:p w14:paraId="11BE789B">
                  <w:pPr>
                    <w:spacing w:before="118" w:line="221" w:lineRule="auto"/>
                    <w:ind w:left="686"/>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长沙银行</w:t>
                  </w:r>
                  <w:r>
                    <w:rPr>
                      <w:rFonts w:ascii="宋体" w:hAnsi="宋体" w:eastAsia="宋体" w:cs="宋体"/>
                      <w:color w:val="auto"/>
                      <w:sz w:val="21"/>
                      <w:szCs w:val="21"/>
                      <w:highlight w:val="none"/>
                    </w:rPr>
                    <w:t>株洲分行</w:t>
                  </w:r>
                </w:p>
              </w:tc>
              <w:tc>
                <w:tcPr>
                  <w:tcW w:w="1722" w:type="dxa"/>
                  <w:tcBorders>
                    <w:left w:val="single" w:color="000000" w:sz="4" w:space="0"/>
                    <w:right w:val="single" w:color="000000" w:sz="4" w:space="0"/>
                  </w:tcBorders>
                  <w:noWrap w:val="0"/>
                  <w:vAlign w:val="top"/>
                </w:tcPr>
                <w:p w14:paraId="22B60A53">
                  <w:pPr>
                    <w:spacing w:before="119" w:line="223" w:lineRule="auto"/>
                    <w:ind w:left="576"/>
                    <w:rPr>
                      <w:rFonts w:ascii="宋体" w:hAnsi="宋体" w:eastAsia="宋体" w:cs="宋体"/>
                      <w:color w:val="auto"/>
                      <w:sz w:val="21"/>
                      <w:szCs w:val="21"/>
                      <w:highlight w:val="none"/>
                    </w:rPr>
                  </w:pPr>
                  <w:r>
                    <w:rPr>
                      <w:rFonts w:ascii="宋体" w:hAnsi="宋体" w:eastAsia="宋体" w:cs="宋体"/>
                      <w:color w:val="auto"/>
                      <w:spacing w:val="-8"/>
                      <w:sz w:val="21"/>
                      <w:szCs w:val="21"/>
                      <w:highlight w:val="none"/>
                    </w:rPr>
                    <w:t>曾</w:t>
                  </w:r>
                  <w:r>
                    <w:rPr>
                      <w:rFonts w:ascii="宋体" w:hAnsi="宋体" w:eastAsia="宋体" w:cs="宋体"/>
                      <w:color w:val="auto"/>
                      <w:spacing w:val="-7"/>
                      <w:sz w:val="21"/>
                      <w:szCs w:val="21"/>
                      <w:highlight w:val="none"/>
                    </w:rPr>
                    <w:t>名志</w:t>
                  </w:r>
                </w:p>
              </w:tc>
              <w:tc>
                <w:tcPr>
                  <w:tcW w:w="3602" w:type="dxa"/>
                  <w:tcBorders>
                    <w:left w:val="single" w:color="000000" w:sz="4" w:space="0"/>
                  </w:tcBorders>
                  <w:noWrap w:val="0"/>
                  <w:vAlign w:val="top"/>
                </w:tcPr>
                <w:p w14:paraId="03F92E77">
                  <w:pPr>
                    <w:spacing w:before="154" w:line="184" w:lineRule="auto"/>
                    <w:ind w:left="1242"/>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13786</w:t>
                  </w:r>
                  <w:r>
                    <w:rPr>
                      <w:rFonts w:ascii="宋体" w:hAnsi="宋体" w:eastAsia="宋体" w:cs="宋体"/>
                      <w:color w:val="auto"/>
                      <w:spacing w:val="-1"/>
                      <w:sz w:val="21"/>
                      <w:szCs w:val="21"/>
                      <w:highlight w:val="none"/>
                    </w:rPr>
                    <w:t>360080</w:t>
                  </w:r>
                </w:p>
              </w:tc>
            </w:tr>
            <w:tr w14:paraId="349423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1" w:hRule="atLeast"/>
              </w:trPr>
              <w:tc>
                <w:tcPr>
                  <w:tcW w:w="842" w:type="dxa"/>
                  <w:tcBorders>
                    <w:right w:val="single" w:color="000000" w:sz="4" w:space="0"/>
                  </w:tcBorders>
                  <w:noWrap w:val="0"/>
                  <w:vAlign w:val="top"/>
                </w:tcPr>
                <w:p w14:paraId="4C83E3BB">
                  <w:pPr>
                    <w:spacing w:before="150" w:line="183" w:lineRule="auto"/>
                    <w:ind w:left="372"/>
                    <w:rPr>
                      <w:rFonts w:ascii="宋体" w:hAnsi="宋体" w:eastAsia="宋体" w:cs="宋体"/>
                      <w:color w:val="auto"/>
                      <w:sz w:val="21"/>
                      <w:szCs w:val="21"/>
                      <w:highlight w:val="none"/>
                    </w:rPr>
                  </w:pPr>
                  <w:r>
                    <w:rPr>
                      <w:rFonts w:ascii="宋体" w:hAnsi="宋体" w:eastAsia="宋体" w:cs="宋体"/>
                      <w:color w:val="auto"/>
                      <w:sz w:val="21"/>
                      <w:szCs w:val="21"/>
                      <w:highlight w:val="none"/>
                    </w:rPr>
                    <w:t>3</w:t>
                  </w:r>
                </w:p>
              </w:tc>
              <w:tc>
                <w:tcPr>
                  <w:tcW w:w="3038" w:type="dxa"/>
                  <w:tcBorders>
                    <w:left w:val="single" w:color="000000" w:sz="4" w:space="0"/>
                    <w:right w:val="single" w:color="000000" w:sz="4" w:space="0"/>
                  </w:tcBorders>
                  <w:noWrap w:val="0"/>
                  <w:vAlign w:val="top"/>
                </w:tcPr>
                <w:p w14:paraId="00708982">
                  <w:pPr>
                    <w:spacing w:before="114" w:line="221" w:lineRule="auto"/>
                    <w:ind w:left="687"/>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光大银行株</w:t>
                  </w:r>
                  <w:r>
                    <w:rPr>
                      <w:rFonts w:ascii="宋体" w:hAnsi="宋体" w:eastAsia="宋体" w:cs="宋体"/>
                      <w:color w:val="auto"/>
                      <w:sz w:val="21"/>
                      <w:szCs w:val="21"/>
                      <w:highlight w:val="none"/>
                    </w:rPr>
                    <w:t>洲分行</w:t>
                  </w:r>
                </w:p>
              </w:tc>
              <w:tc>
                <w:tcPr>
                  <w:tcW w:w="1722" w:type="dxa"/>
                  <w:tcBorders>
                    <w:left w:val="single" w:color="000000" w:sz="4" w:space="0"/>
                    <w:right w:val="single" w:color="000000" w:sz="4" w:space="0"/>
                  </w:tcBorders>
                  <w:noWrap w:val="0"/>
                  <w:vAlign w:val="top"/>
                </w:tcPr>
                <w:p w14:paraId="5A91EA56">
                  <w:pPr>
                    <w:spacing w:before="114" w:line="221" w:lineRule="auto"/>
                    <w:ind w:left="554"/>
                    <w:rPr>
                      <w:rFonts w:ascii="宋体" w:hAnsi="宋体" w:eastAsia="宋体" w:cs="宋体"/>
                      <w:color w:val="auto"/>
                      <w:sz w:val="21"/>
                      <w:szCs w:val="21"/>
                      <w:highlight w:val="none"/>
                    </w:rPr>
                  </w:pPr>
                  <w:r>
                    <w:rPr>
                      <w:rFonts w:ascii="宋体" w:hAnsi="宋体" w:eastAsia="宋体" w:cs="宋体"/>
                      <w:color w:val="auto"/>
                      <w:spacing w:val="-4"/>
                      <w:sz w:val="21"/>
                      <w:szCs w:val="21"/>
                      <w:highlight w:val="none"/>
                    </w:rPr>
                    <w:t>马</w:t>
                  </w:r>
                  <w:r>
                    <w:rPr>
                      <w:rFonts w:ascii="宋体" w:hAnsi="宋体" w:eastAsia="宋体" w:cs="宋体"/>
                      <w:color w:val="auto"/>
                      <w:spacing w:val="-2"/>
                      <w:sz w:val="21"/>
                      <w:szCs w:val="21"/>
                      <w:highlight w:val="none"/>
                    </w:rPr>
                    <w:t>文胜</w:t>
                  </w:r>
                </w:p>
              </w:tc>
              <w:tc>
                <w:tcPr>
                  <w:tcW w:w="3602" w:type="dxa"/>
                  <w:tcBorders>
                    <w:left w:val="single" w:color="000000" w:sz="4" w:space="0"/>
                  </w:tcBorders>
                  <w:noWrap w:val="0"/>
                  <w:vAlign w:val="top"/>
                </w:tcPr>
                <w:p w14:paraId="5472C136">
                  <w:pPr>
                    <w:spacing w:before="149" w:line="184" w:lineRule="auto"/>
                    <w:ind w:left="1242"/>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13907</w:t>
                  </w:r>
                  <w:r>
                    <w:rPr>
                      <w:rFonts w:ascii="宋体" w:hAnsi="宋体" w:eastAsia="宋体" w:cs="宋体"/>
                      <w:color w:val="auto"/>
                      <w:spacing w:val="-1"/>
                      <w:sz w:val="21"/>
                      <w:szCs w:val="21"/>
                      <w:highlight w:val="none"/>
                    </w:rPr>
                    <w:t>334569</w:t>
                  </w:r>
                </w:p>
              </w:tc>
            </w:tr>
            <w:tr w14:paraId="1E0605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6" w:hRule="atLeast"/>
              </w:trPr>
              <w:tc>
                <w:tcPr>
                  <w:tcW w:w="842" w:type="dxa"/>
                  <w:tcBorders>
                    <w:right w:val="single" w:color="000000" w:sz="4" w:space="0"/>
                  </w:tcBorders>
                  <w:noWrap w:val="0"/>
                  <w:vAlign w:val="top"/>
                </w:tcPr>
                <w:p w14:paraId="05F0C5DB">
                  <w:pPr>
                    <w:spacing w:before="150" w:line="185" w:lineRule="auto"/>
                    <w:ind w:left="367"/>
                    <w:rPr>
                      <w:rFonts w:ascii="宋体" w:hAnsi="宋体" w:eastAsia="宋体" w:cs="宋体"/>
                      <w:color w:val="auto"/>
                      <w:sz w:val="21"/>
                      <w:szCs w:val="21"/>
                      <w:highlight w:val="none"/>
                    </w:rPr>
                  </w:pPr>
                  <w:r>
                    <w:rPr>
                      <w:rFonts w:ascii="宋体" w:hAnsi="宋体" w:eastAsia="宋体" w:cs="宋体"/>
                      <w:color w:val="auto"/>
                      <w:sz w:val="21"/>
                      <w:szCs w:val="21"/>
                      <w:highlight w:val="none"/>
                    </w:rPr>
                    <w:t>4</w:t>
                  </w:r>
                </w:p>
              </w:tc>
              <w:tc>
                <w:tcPr>
                  <w:tcW w:w="3038" w:type="dxa"/>
                  <w:tcBorders>
                    <w:left w:val="single" w:color="000000" w:sz="4" w:space="0"/>
                    <w:right w:val="single" w:color="000000" w:sz="4" w:space="0"/>
                  </w:tcBorders>
                  <w:noWrap w:val="0"/>
                  <w:vAlign w:val="top"/>
                </w:tcPr>
                <w:p w14:paraId="69928C51">
                  <w:pPr>
                    <w:spacing w:before="114" w:line="221" w:lineRule="auto"/>
                    <w:ind w:left="475"/>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华融湘江</w:t>
                  </w:r>
                  <w:r>
                    <w:rPr>
                      <w:rFonts w:ascii="宋体" w:hAnsi="宋体" w:eastAsia="宋体" w:cs="宋体"/>
                      <w:color w:val="auto"/>
                      <w:sz w:val="21"/>
                      <w:szCs w:val="21"/>
                      <w:highlight w:val="none"/>
                    </w:rPr>
                    <w:t>银行株洲分行</w:t>
                  </w:r>
                </w:p>
              </w:tc>
              <w:tc>
                <w:tcPr>
                  <w:tcW w:w="1722" w:type="dxa"/>
                  <w:tcBorders>
                    <w:left w:val="single" w:color="000000" w:sz="4" w:space="0"/>
                    <w:right w:val="single" w:color="000000" w:sz="4" w:space="0"/>
                  </w:tcBorders>
                  <w:noWrap w:val="0"/>
                  <w:vAlign w:val="top"/>
                </w:tcPr>
                <w:p w14:paraId="752C0867">
                  <w:pPr>
                    <w:spacing w:before="115" w:line="221" w:lineRule="auto"/>
                    <w:ind w:left="653"/>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泰</w:t>
                  </w:r>
                  <w:r>
                    <w:rPr>
                      <w:rFonts w:ascii="宋体" w:hAnsi="宋体" w:eastAsia="宋体" w:cs="宋体"/>
                      <w:color w:val="auto"/>
                      <w:spacing w:val="-1"/>
                      <w:sz w:val="21"/>
                      <w:szCs w:val="21"/>
                      <w:highlight w:val="none"/>
                    </w:rPr>
                    <w:t>莹</w:t>
                  </w:r>
                </w:p>
              </w:tc>
              <w:tc>
                <w:tcPr>
                  <w:tcW w:w="3602" w:type="dxa"/>
                  <w:tcBorders>
                    <w:left w:val="single" w:color="000000" w:sz="4" w:space="0"/>
                  </w:tcBorders>
                  <w:noWrap w:val="0"/>
                  <w:vAlign w:val="top"/>
                </w:tcPr>
                <w:p w14:paraId="0E4585A8">
                  <w:pPr>
                    <w:spacing w:before="149" w:line="184" w:lineRule="auto"/>
                    <w:ind w:left="1242"/>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18073</w:t>
                  </w:r>
                  <w:r>
                    <w:rPr>
                      <w:rFonts w:ascii="宋体" w:hAnsi="宋体" w:eastAsia="宋体" w:cs="宋体"/>
                      <w:color w:val="auto"/>
                      <w:spacing w:val="-1"/>
                      <w:sz w:val="21"/>
                      <w:szCs w:val="21"/>
                      <w:highlight w:val="none"/>
                    </w:rPr>
                    <w:t>365299</w:t>
                  </w:r>
                </w:p>
              </w:tc>
            </w:tr>
            <w:tr w14:paraId="49159C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1" w:hRule="atLeast"/>
              </w:trPr>
              <w:tc>
                <w:tcPr>
                  <w:tcW w:w="842" w:type="dxa"/>
                  <w:tcBorders>
                    <w:right w:val="single" w:color="000000" w:sz="4" w:space="0"/>
                  </w:tcBorders>
                  <w:noWrap w:val="0"/>
                  <w:vAlign w:val="top"/>
                </w:tcPr>
                <w:p w14:paraId="316BF825">
                  <w:pPr>
                    <w:spacing w:before="157" w:line="182" w:lineRule="auto"/>
                    <w:ind w:left="372"/>
                    <w:rPr>
                      <w:rFonts w:ascii="宋体" w:hAnsi="宋体" w:eastAsia="宋体" w:cs="宋体"/>
                      <w:color w:val="auto"/>
                      <w:sz w:val="21"/>
                      <w:szCs w:val="21"/>
                      <w:highlight w:val="none"/>
                    </w:rPr>
                  </w:pPr>
                  <w:r>
                    <w:rPr>
                      <w:rFonts w:ascii="宋体" w:hAnsi="宋体" w:eastAsia="宋体" w:cs="宋体"/>
                      <w:color w:val="auto"/>
                      <w:sz w:val="21"/>
                      <w:szCs w:val="21"/>
                      <w:highlight w:val="none"/>
                    </w:rPr>
                    <w:t>5</w:t>
                  </w:r>
                </w:p>
              </w:tc>
              <w:tc>
                <w:tcPr>
                  <w:tcW w:w="3038" w:type="dxa"/>
                  <w:tcBorders>
                    <w:left w:val="single" w:color="000000" w:sz="4" w:space="0"/>
                    <w:right w:val="single" w:color="000000" w:sz="4" w:space="0"/>
                  </w:tcBorders>
                  <w:noWrap w:val="0"/>
                  <w:vAlign w:val="top"/>
                </w:tcPr>
                <w:p w14:paraId="37E102B3">
                  <w:pPr>
                    <w:spacing w:before="119" w:line="221" w:lineRule="auto"/>
                    <w:ind w:left="688"/>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工商银行株洲</w:t>
                  </w:r>
                  <w:r>
                    <w:rPr>
                      <w:rFonts w:ascii="宋体" w:hAnsi="宋体" w:eastAsia="宋体" w:cs="宋体"/>
                      <w:color w:val="auto"/>
                      <w:sz w:val="21"/>
                      <w:szCs w:val="21"/>
                      <w:highlight w:val="none"/>
                    </w:rPr>
                    <w:t>分行</w:t>
                  </w:r>
                </w:p>
              </w:tc>
              <w:tc>
                <w:tcPr>
                  <w:tcW w:w="1722" w:type="dxa"/>
                  <w:tcBorders>
                    <w:left w:val="single" w:color="000000" w:sz="4" w:space="0"/>
                    <w:right w:val="single" w:color="000000" w:sz="4" w:space="0"/>
                  </w:tcBorders>
                  <w:noWrap w:val="0"/>
                  <w:vAlign w:val="top"/>
                </w:tcPr>
                <w:p w14:paraId="318CA4B2">
                  <w:pPr>
                    <w:spacing w:before="119" w:line="222" w:lineRule="auto"/>
                    <w:ind w:left="562"/>
                    <w:rPr>
                      <w:rFonts w:ascii="宋体" w:hAnsi="宋体" w:eastAsia="宋体" w:cs="宋体"/>
                      <w:color w:val="auto"/>
                      <w:sz w:val="21"/>
                      <w:szCs w:val="21"/>
                      <w:highlight w:val="none"/>
                    </w:rPr>
                  </w:pPr>
                  <w:r>
                    <w:rPr>
                      <w:rFonts w:ascii="宋体" w:hAnsi="宋体" w:eastAsia="宋体" w:cs="宋体"/>
                      <w:color w:val="auto"/>
                      <w:spacing w:val="-5"/>
                      <w:sz w:val="21"/>
                      <w:szCs w:val="21"/>
                      <w:highlight w:val="none"/>
                    </w:rPr>
                    <w:t>易</w:t>
                  </w:r>
                  <w:r>
                    <w:rPr>
                      <w:rFonts w:ascii="宋体" w:hAnsi="宋体" w:eastAsia="宋体" w:cs="宋体"/>
                      <w:color w:val="auto"/>
                      <w:spacing w:val="-4"/>
                      <w:sz w:val="21"/>
                      <w:szCs w:val="21"/>
                      <w:highlight w:val="none"/>
                    </w:rPr>
                    <w:t>铁建</w:t>
                  </w:r>
                </w:p>
              </w:tc>
              <w:tc>
                <w:tcPr>
                  <w:tcW w:w="3602" w:type="dxa"/>
                  <w:tcBorders>
                    <w:left w:val="single" w:color="000000" w:sz="4" w:space="0"/>
                  </w:tcBorders>
                  <w:noWrap w:val="0"/>
                  <w:vAlign w:val="top"/>
                </w:tcPr>
                <w:p w14:paraId="6D192AAF">
                  <w:pPr>
                    <w:spacing w:before="154" w:line="184" w:lineRule="auto"/>
                    <w:ind w:left="771"/>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18673383317 282958</w:t>
                  </w:r>
                  <w:r>
                    <w:rPr>
                      <w:rFonts w:ascii="宋体" w:hAnsi="宋体" w:eastAsia="宋体" w:cs="宋体"/>
                      <w:color w:val="auto"/>
                      <w:sz w:val="21"/>
                      <w:szCs w:val="21"/>
                      <w:highlight w:val="none"/>
                    </w:rPr>
                    <w:t>51</w:t>
                  </w:r>
                </w:p>
              </w:tc>
            </w:tr>
            <w:tr w14:paraId="62E18C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6" w:hRule="atLeast"/>
              </w:trPr>
              <w:tc>
                <w:tcPr>
                  <w:tcW w:w="842" w:type="dxa"/>
                  <w:tcBorders>
                    <w:right w:val="single" w:color="000000" w:sz="4" w:space="0"/>
                  </w:tcBorders>
                  <w:noWrap w:val="0"/>
                  <w:vAlign w:val="top"/>
                </w:tcPr>
                <w:p w14:paraId="60F59C9B">
                  <w:pPr>
                    <w:spacing w:before="151" w:line="183" w:lineRule="auto"/>
                    <w:ind w:left="369"/>
                    <w:rPr>
                      <w:rFonts w:ascii="宋体" w:hAnsi="宋体" w:eastAsia="宋体" w:cs="宋体"/>
                      <w:color w:val="auto"/>
                      <w:sz w:val="21"/>
                      <w:szCs w:val="21"/>
                      <w:highlight w:val="none"/>
                    </w:rPr>
                  </w:pPr>
                  <w:r>
                    <w:rPr>
                      <w:rFonts w:ascii="宋体" w:hAnsi="宋体" w:eastAsia="宋体" w:cs="宋体"/>
                      <w:color w:val="auto"/>
                      <w:sz w:val="21"/>
                      <w:szCs w:val="21"/>
                      <w:highlight w:val="none"/>
                    </w:rPr>
                    <w:t>6</w:t>
                  </w:r>
                </w:p>
              </w:tc>
              <w:tc>
                <w:tcPr>
                  <w:tcW w:w="3038" w:type="dxa"/>
                  <w:tcBorders>
                    <w:left w:val="single" w:color="000000" w:sz="4" w:space="0"/>
                    <w:right w:val="single" w:color="000000" w:sz="4" w:space="0"/>
                  </w:tcBorders>
                  <w:noWrap w:val="0"/>
                  <w:vAlign w:val="top"/>
                </w:tcPr>
                <w:p w14:paraId="313B9B3D">
                  <w:pPr>
                    <w:spacing w:before="114" w:line="221" w:lineRule="auto"/>
                    <w:ind w:left="685"/>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农业银行</w:t>
                  </w:r>
                  <w:r>
                    <w:rPr>
                      <w:rFonts w:ascii="宋体" w:hAnsi="宋体" w:eastAsia="宋体" w:cs="宋体"/>
                      <w:color w:val="auto"/>
                      <w:sz w:val="21"/>
                      <w:szCs w:val="21"/>
                      <w:highlight w:val="none"/>
                    </w:rPr>
                    <w:t>株洲分行</w:t>
                  </w:r>
                </w:p>
              </w:tc>
              <w:tc>
                <w:tcPr>
                  <w:tcW w:w="1722" w:type="dxa"/>
                  <w:tcBorders>
                    <w:left w:val="single" w:color="000000" w:sz="4" w:space="0"/>
                    <w:right w:val="single" w:color="000000" w:sz="4" w:space="0"/>
                  </w:tcBorders>
                  <w:noWrap w:val="0"/>
                  <w:vAlign w:val="top"/>
                </w:tcPr>
                <w:p w14:paraId="5CD84373">
                  <w:pPr>
                    <w:spacing w:before="114" w:line="223" w:lineRule="auto"/>
                    <w:ind w:left="553"/>
                    <w:rPr>
                      <w:rFonts w:ascii="宋体" w:hAnsi="宋体" w:eastAsia="宋体" w:cs="宋体"/>
                      <w:color w:val="auto"/>
                      <w:sz w:val="21"/>
                      <w:szCs w:val="21"/>
                      <w:highlight w:val="none"/>
                    </w:rPr>
                  </w:pPr>
                  <w:r>
                    <w:rPr>
                      <w:rFonts w:ascii="宋体" w:hAnsi="宋体" w:eastAsia="宋体" w:cs="宋体"/>
                      <w:color w:val="auto"/>
                      <w:spacing w:val="-3"/>
                      <w:sz w:val="21"/>
                      <w:szCs w:val="21"/>
                      <w:highlight w:val="none"/>
                    </w:rPr>
                    <w:t>张</w:t>
                  </w:r>
                  <w:r>
                    <w:rPr>
                      <w:rFonts w:ascii="宋体" w:hAnsi="宋体" w:eastAsia="宋体" w:cs="宋体"/>
                      <w:color w:val="auto"/>
                      <w:spacing w:val="-2"/>
                      <w:sz w:val="21"/>
                      <w:szCs w:val="21"/>
                      <w:highlight w:val="none"/>
                    </w:rPr>
                    <w:t>亚虹</w:t>
                  </w:r>
                </w:p>
              </w:tc>
              <w:tc>
                <w:tcPr>
                  <w:tcW w:w="3602" w:type="dxa"/>
                  <w:tcBorders>
                    <w:left w:val="single" w:color="000000" w:sz="4" w:space="0"/>
                  </w:tcBorders>
                  <w:noWrap w:val="0"/>
                  <w:vAlign w:val="top"/>
                </w:tcPr>
                <w:p w14:paraId="3275D58D">
                  <w:pPr>
                    <w:spacing w:before="149" w:line="184" w:lineRule="auto"/>
                    <w:ind w:left="1242"/>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15873</w:t>
                  </w:r>
                  <w:r>
                    <w:rPr>
                      <w:rFonts w:ascii="宋体" w:hAnsi="宋体" w:eastAsia="宋体" w:cs="宋体"/>
                      <w:color w:val="auto"/>
                      <w:spacing w:val="-1"/>
                      <w:sz w:val="21"/>
                      <w:szCs w:val="21"/>
                      <w:highlight w:val="none"/>
                    </w:rPr>
                    <w:t>378583</w:t>
                  </w:r>
                </w:p>
              </w:tc>
            </w:tr>
            <w:tr w14:paraId="508CF5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6" w:hRule="atLeast"/>
              </w:trPr>
              <w:tc>
                <w:tcPr>
                  <w:tcW w:w="842" w:type="dxa"/>
                  <w:tcBorders>
                    <w:right w:val="single" w:color="000000" w:sz="4" w:space="0"/>
                  </w:tcBorders>
                  <w:noWrap w:val="0"/>
                  <w:vAlign w:val="top"/>
                </w:tcPr>
                <w:p w14:paraId="7C34E189">
                  <w:pPr>
                    <w:spacing w:before="152" w:line="182" w:lineRule="auto"/>
                    <w:ind w:left="373"/>
                    <w:rPr>
                      <w:rFonts w:ascii="宋体" w:hAnsi="宋体" w:eastAsia="宋体" w:cs="宋体"/>
                      <w:color w:val="auto"/>
                      <w:sz w:val="21"/>
                      <w:szCs w:val="21"/>
                      <w:highlight w:val="none"/>
                    </w:rPr>
                  </w:pPr>
                  <w:r>
                    <w:rPr>
                      <w:rFonts w:ascii="宋体" w:hAnsi="宋体" w:eastAsia="宋体" w:cs="宋体"/>
                      <w:color w:val="auto"/>
                      <w:sz w:val="21"/>
                      <w:szCs w:val="21"/>
                      <w:highlight w:val="none"/>
                    </w:rPr>
                    <w:t>7</w:t>
                  </w:r>
                </w:p>
              </w:tc>
              <w:tc>
                <w:tcPr>
                  <w:tcW w:w="3038" w:type="dxa"/>
                  <w:tcBorders>
                    <w:left w:val="single" w:color="000000" w:sz="4" w:space="0"/>
                    <w:right w:val="single" w:color="000000" w:sz="4" w:space="0"/>
                  </w:tcBorders>
                  <w:noWrap w:val="0"/>
                  <w:vAlign w:val="top"/>
                </w:tcPr>
                <w:p w14:paraId="79330D74">
                  <w:pPr>
                    <w:spacing w:before="114" w:line="221" w:lineRule="auto"/>
                    <w:ind w:left="705"/>
                    <w:rPr>
                      <w:rFonts w:ascii="宋体" w:hAnsi="宋体" w:eastAsia="宋体" w:cs="宋体"/>
                      <w:color w:val="auto"/>
                      <w:sz w:val="21"/>
                      <w:szCs w:val="21"/>
                      <w:highlight w:val="none"/>
                    </w:rPr>
                  </w:pPr>
                  <w:r>
                    <w:rPr>
                      <w:rFonts w:ascii="宋体" w:hAnsi="宋体" w:eastAsia="宋体" w:cs="宋体"/>
                      <w:color w:val="auto"/>
                      <w:spacing w:val="-3"/>
                      <w:sz w:val="21"/>
                      <w:szCs w:val="21"/>
                      <w:highlight w:val="none"/>
                    </w:rPr>
                    <w:t>中国银行株洲分</w:t>
                  </w:r>
                  <w:r>
                    <w:rPr>
                      <w:rFonts w:ascii="宋体" w:hAnsi="宋体" w:eastAsia="宋体" w:cs="宋体"/>
                      <w:color w:val="auto"/>
                      <w:spacing w:val="-2"/>
                      <w:sz w:val="21"/>
                      <w:szCs w:val="21"/>
                      <w:highlight w:val="none"/>
                    </w:rPr>
                    <w:t>行</w:t>
                  </w:r>
                </w:p>
              </w:tc>
              <w:tc>
                <w:tcPr>
                  <w:tcW w:w="1722" w:type="dxa"/>
                  <w:tcBorders>
                    <w:left w:val="single" w:color="000000" w:sz="4" w:space="0"/>
                    <w:right w:val="single" w:color="000000" w:sz="4" w:space="0"/>
                  </w:tcBorders>
                  <w:noWrap w:val="0"/>
                  <w:vAlign w:val="top"/>
                </w:tcPr>
                <w:p w14:paraId="52561F0E">
                  <w:pPr>
                    <w:spacing w:before="115" w:line="220" w:lineRule="auto"/>
                    <w:ind w:left="559"/>
                    <w:rPr>
                      <w:rFonts w:ascii="宋体" w:hAnsi="宋体" w:eastAsia="宋体" w:cs="宋体"/>
                      <w:color w:val="auto"/>
                      <w:sz w:val="21"/>
                      <w:szCs w:val="21"/>
                      <w:highlight w:val="none"/>
                    </w:rPr>
                  </w:pPr>
                  <w:r>
                    <w:rPr>
                      <w:rFonts w:ascii="宋体" w:hAnsi="宋体" w:eastAsia="宋体" w:cs="宋体"/>
                      <w:color w:val="auto"/>
                      <w:spacing w:val="-5"/>
                      <w:sz w:val="21"/>
                      <w:szCs w:val="21"/>
                      <w:highlight w:val="none"/>
                    </w:rPr>
                    <w:t>陈</w:t>
                  </w:r>
                  <w:r>
                    <w:rPr>
                      <w:rFonts w:ascii="宋体" w:hAnsi="宋体" w:eastAsia="宋体" w:cs="宋体"/>
                      <w:color w:val="auto"/>
                      <w:spacing w:val="-3"/>
                      <w:sz w:val="21"/>
                      <w:szCs w:val="21"/>
                      <w:highlight w:val="none"/>
                    </w:rPr>
                    <w:t>向红</w:t>
                  </w:r>
                </w:p>
              </w:tc>
              <w:tc>
                <w:tcPr>
                  <w:tcW w:w="3602" w:type="dxa"/>
                  <w:tcBorders>
                    <w:left w:val="single" w:color="000000" w:sz="4" w:space="0"/>
                  </w:tcBorders>
                  <w:noWrap w:val="0"/>
                  <w:vAlign w:val="top"/>
                </w:tcPr>
                <w:p w14:paraId="1595C398">
                  <w:pPr>
                    <w:spacing w:before="150" w:line="184" w:lineRule="auto"/>
                    <w:ind w:left="666"/>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15096360998   288171</w:t>
                  </w:r>
                  <w:r>
                    <w:rPr>
                      <w:rFonts w:ascii="宋体" w:hAnsi="宋体" w:eastAsia="宋体" w:cs="宋体"/>
                      <w:color w:val="auto"/>
                      <w:sz w:val="21"/>
                      <w:szCs w:val="21"/>
                      <w:highlight w:val="none"/>
                    </w:rPr>
                    <w:t>18</w:t>
                  </w:r>
                </w:p>
              </w:tc>
            </w:tr>
            <w:tr w14:paraId="060686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1" w:hRule="atLeast"/>
              </w:trPr>
              <w:tc>
                <w:tcPr>
                  <w:tcW w:w="842" w:type="dxa"/>
                  <w:tcBorders>
                    <w:right w:val="single" w:color="000000" w:sz="4" w:space="0"/>
                  </w:tcBorders>
                  <w:noWrap w:val="0"/>
                  <w:vAlign w:val="top"/>
                </w:tcPr>
                <w:p w14:paraId="2AF6EA17">
                  <w:pPr>
                    <w:spacing w:before="152" w:line="183" w:lineRule="auto"/>
                    <w:ind w:left="368"/>
                    <w:rPr>
                      <w:rFonts w:ascii="宋体" w:hAnsi="宋体" w:eastAsia="宋体" w:cs="宋体"/>
                      <w:color w:val="auto"/>
                      <w:sz w:val="21"/>
                      <w:szCs w:val="21"/>
                      <w:highlight w:val="none"/>
                    </w:rPr>
                  </w:pPr>
                  <w:r>
                    <w:rPr>
                      <w:rFonts w:ascii="宋体" w:hAnsi="宋体" w:eastAsia="宋体" w:cs="宋体"/>
                      <w:color w:val="auto"/>
                      <w:sz w:val="21"/>
                      <w:szCs w:val="21"/>
                      <w:highlight w:val="none"/>
                    </w:rPr>
                    <w:t>8</w:t>
                  </w:r>
                </w:p>
              </w:tc>
              <w:tc>
                <w:tcPr>
                  <w:tcW w:w="3038" w:type="dxa"/>
                  <w:tcBorders>
                    <w:left w:val="single" w:color="000000" w:sz="4" w:space="0"/>
                    <w:right w:val="single" w:color="000000" w:sz="4" w:space="0"/>
                  </w:tcBorders>
                  <w:noWrap w:val="0"/>
                  <w:vAlign w:val="top"/>
                </w:tcPr>
                <w:p w14:paraId="3813FAA1">
                  <w:pPr>
                    <w:spacing w:before="115" w:line="221" w:lineRule="auto"/>
                    <w:ind w:left="701"/>
                    <w:rPr>
                      <w:rFonts w:ascii="宋体" w:hAnsi="宋体" w:eastAsia="宋体" w:cs="宋体"/>
                      <w:color w:val="auto"/>
                      <w:sz w:val="21"/>
                      <w:szCs w:val="21"/>
                      <w:highlight w:val="none"/>
                    </w:rPr>
                  </w:pPr>
                  <w:r>
                    <w:rPr>
                      <w:rFonts w:ascii="宋体" w:hAnsi="宋体" w:eastAsia="宋体" w:cs="宋体"/>
                      <w:color w:val="auto"/>
                      <w:spacing w:val="-4"/>
                      <w:sz w:val="21"/>
                      <w:szCs w:val="21"/>
                      <w:highlight w:val="none"/>
                    </w:rPr>
                    <w:t>邮</w:t>
                  </w:r>
                  <w:r>
                    <w:rPr>
                      <w:rFonts w:ascii="宋体" w:hAnsi="宋体" w:eastAsia="宋体" w:cs="宋体"/>
                      <w:color w:val="auto"/>
                      <w:spacing w:val="-3"/>
                      <w:sz w:val="21"/>
                      <w:szCs w:val="21"/>
                      <w:highlight w:val="none"/>
                    </w:rPr>
                    <w:t>储</w:t>
                  </w:r>
                  <w:r>
                    <w:rPr>
                      <w:rFonts w:ascii="宋体" w:hAnsi="宋体" w:eastAsia="宋体" w:cs="宋体"/>
                      <w:color w:val="auto"/>
                      <w:spacing w:val="-2"/>
                      <w:sz w:val="21"/>
                      <w:szCs w:val="21"/>
                      <w:highlight w:val="none"/>
                    </w:rPr>
                    <w:t>银行株洲分行</w:t>
                  </w:r>
                </w:p>
              </w:tc>
              <w:tc>
                <w:tcPr>
                  <w:tcW w:w="1722" w:type="dxa"/>
                  <w:tcBorders>
                    <w:left w:val="single" w:color="000000" w:sz="4" w:space="0"/>
                    <w:right w:val="single" w:color="000000" w:sz="4" w:space="0"/>
                  </w:tcBorders>
                  <w:noWrap w:val="0"/>
                  <w:vAlign w:val="top"/>
                </w:tcPr>
                <w:p w14:paraId="04D72E60">
                  <w:pPr>
                    <w:spacing w:before="115" w:line="221" w:lineRule="auto"/>
                    <w:ind w:left="549"/>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李燕</w:t>
                  </w:r>
                  <w:r>
                    <w:rPr>
                      <w:rFonts w:ascii="宋体" w:hAnsi="宋体" w:eastAsia="宋体" w:cs="宋体"/>
                      <w:color w:val="auto"/>
                      <w:spacing w:val="-1"/>
                      <w:sz w:val="21"/>
                      <w:szCs w:val="21"/>
                      <w:highlight w:val="none"/>
                    </w:rPr>
                    <w:t>京</w:t>
                  </w:r>
                </w:p>
              </w:tc>
              <w:tc>
                <w:tcPr>
                  <w:tcW w:w="3602" w:type="dxa"/>
                  <w:tcBorders>
                    <w:left w:val="single" w:color="000000" w:sz="4" w:space="0"/>
                  </w:tcBorders>
                  <w:noWrap w:val="0"/>
                  <w:vAlign w:val="top"/>
                </w:tcPr>
                <w:p w14:paraId="640F2153">
                  <w:pPr>
                    <w:spacing w:before="150" w:line="184" w:lineRule="auto"/>
                    <w:ind w:left="1242"/>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18673</w:t>
                  </w:r>
                  <w:r>
                    <w:rPr>
                      <w:rFonts w:ascii="宋体" w:hAnsi="宋体" w:eastAsia="宋体" w:cs="宋体"/>
                      <w:color w:val="auto"/>
                      <w:spacing w:val="-1"/>
                      <w:sz w:val="21"/>
                      <w:szCs w:val="21"/>
                      <w:highlight w:val="none"/>
                    </w:rPr>
                    <w:t>322433</w:t>
                  </w:r>
                </w:p>
              </w:tc>
            </w:tr>
            <w:tr w14:paraId="28D1F4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6" w:hRule="atLeast"/>
              </w:trPr>
              <w:tc>
                <w:tcPr>
                  <w:tcW w:w="842" w:type="dxa"/>
                  <w:tcBorders>
                    <w:right w:val="single" w:color="000000" w:sz="4" w:space="0"/>
                  </w:tcBorders>
                  <w:noWrap w:val="0"/>
                  <w:vAlign w:val="top"/>
                </w:tcPr>
                <w:p w14:paraId="685C3762">
                  <w:pPr>
                    <w:spacing w:before="152" w:line="183" w:lineRule="auto"/>
                    <w:ind w:left="368"/>
                    <w:rPr>
                      <w:rFonts w:ascii="宋体" w:hAnsi="宋体" w:eastAsia="宋体" w:cs="宋体"/>
                      <w:color w:val="auto"/>
                      <w:sz w:val="21"/>
                      <w:szCs w:val="21"/>
                      <w:highlight w:val="none"/>
                    </w:rPr>
                  </w:pPr>
                  <w:r>
                    <w:rPr>
                      <w:rFonts w:ascii="宋体" w:hAnsi="宋体" w:eastAsia="宋体" w:cs="宋体"/>
                      <w:color w:val="auto"/>
                      <w:sz w:val="21"/>
                      <w:szCs w:val="21"/>
                      <w:highlight w:val="none"/>
                    </w:rPr>
                    <w:t>9</w:t>
                  </w:r>
                </w:p>
              </w:tc>
              <w:tc>
                <w:tcPr>
                  <w:tcW w:w="3038" w:type="dxa"/>
                  <w:tcBorders>
                    <w:left w:val="single" w:color="000000" w:sz="4" w:space="0"/>
                    <w:right w:val="single" w:color="000000" w:sz="4" w:space="0"/>
                  </w:tcBorders>
                  <w:noWrap w:val="0"/>
                  <w:vAlign w:val="top"/>
                </w:tcPr>
                <w:p w14:paraId="45EA9DB2">
                  <w:pPr>
                    <w:spacing w:before="116" w:line="221" w:lineRule="auto"/>
                    <w:ind w:left="689"/>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兴业银行株洲分行</w:t>
                  </w:r>
                </w:p>
              </w:tc>
              <w:tc>
                <w:tcPr>
                  <w:tcW w:w="1722" w:type="dxa"/>
                  <w:tcBorders>
                    <w:left w:val="single" w:color="000000" w:sz="4" w:space="0"/>
                    <w:right w:val="single" w:color="000000" w:sz="4" w:space="0"/>
                  </w:tcBorders>
                  <w:noWrap w:val="0"/>
                  <w:vAlign w:val="top"/>
                </w:tcPr>
                <w:p w14:paraId="5D740FF9">
                  <w:pPr>
                    <w:spacing w:before="116" w:line="221" w:lineRule="auto"/>
                    <w:ind w:left="658"/>
                    <w:rPr>
                      <w:rFonts w:ascii="宋体" w:hAnsi="宋体" w:eastAsia="宋体" w:cs="宋体"/>
                      <w:color w:val="auto"/>
                      <w:sz w:val="21"/>
                      <w:szCs w:val="21"/>
                      <w:highlight w:val="none"/>
                    </w:rPr>
                  </w:pPr>
                  <w:r>
                    <w:rPr>
                      <w:rFonts w:ascii="宋体" w:hAnsi="宋体" w:eastAsia="宋体" w:cs="宋体"/>
                      <w:color w:val="auto"/>
                      <w:spacing w:val="-4"/>
                      <w:sz w:val="21"/>
                      <w:szCs w:val="21"/>
                      <w:highlight w:val="none"/>
                    </w:rPr>
                    <w:t>张</w:t>
                  </w:r>
                  <w:r>
                    <w:rPr>
                      <w:rFonts w:ascii="宋体" w:hAnsi="宋体" w:eastAsia="宋体" w:cs="宋体"/>
                      <w:color w:val="auto"/>
                      <w:spacing w:val="-2"/>
                      <w:sz w:val="21"/>
                      <w:szCs w:val="21"/>
                      <w:highlight w:val="none"/>
                    </w:rPr>
                    <w:t>维</w:t>
                  </w:r>
                </w:p>
              </w:tc>
              <w:tc>
                <w:tcPr>
                  <w:tcW w:w="3602" w:type="dxa"/>
                  <w:tcBorders>
                    <w:left w:val="single" w:color="000000" w:sz="4" w:space="0"/>
                  </w:tcBorders>
                  <w:noWrap w:val="0"/>
                  <w:vAlign w:val="top"/>
                </w:tcPr>
                <w:p w14:paraId="3715BABD">
                  <w:pPr>
                    <w:spacing w:before="151" w:line="184" w:lineRule="auto"/>
                    <w:ind w:left="1242"/>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13807</w:t>
                  </w:r>
                  <w:r>
                    <w:rPr>
                      <w:rFonts w:ascii="宋体" w:hAnsi="宋体" w:eastAsia="宋体" w:cs="宋体"/>
                      <w:color w:val="auto"/>
                      <w:spacing w:val="-1"/>
                      <w:sz w:val="21"/>
                      <w:szCs w:val="21"/>
                      <w:highlight w:val="none"/>
                    </w:rPr>
                    <w:t>312821</w:t>
                  </w:r>
                </w:p>
              </w:tc>
            </w:tr>
            <w:tr w14:paraId="6E2568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6" w:hRule="atLeast"/>
              </w:trPr>
              <w:tc>
                <w:tcPr>
                  <w:tcW w:w="842" w:type="dxa"/>
                  <w:tcBorders>
                    <w:right w:val="single" w:color="000000" w:sz="4" w:space="0"/>
                  </w:tcBorders>
                  <w:noWrap w:val="0"/>
                  <w:vAlign w:val="top"/>
                </w:tcPr>
                <w:p w14:paraId="7302D466">
                  <w:pPr>
                    <w:spacing w:before="151" w:line="184" w:lineRule="auto"/>
                    <w:ind w:left="330"/>
                    <w:rPr>
                      <w:rFonts w:ascii="宋体" w:hAnsi="宋体" w:eastAsia="宋体" w:cs="宋体"/>
                      <w:color w:val="auto"/>
                      <w:sz w:val="21"/>
                      <w:szCs w:val="21"/>
                      <w:highlight w:val="none"/>
                    </w:rPr>
                  </w:pPr>
                  <w:r>
                    <w:rPr>
                      <w:rFonts w:ascii="宋体" w:hAnsi="宋体" w:eastAsia="宋体" w:cs="宋体"/>
                      <w:color w:val="auto"/>
                      <w:spacing w:val="-7"/>
                      <w:sz w:val="21"/>
                      <w:szCs w:val="21"/>
                      <w:highlight w:val="none"/>
                    </w:rPr>
                    <w:t>1</w:t>
                  </w:r>
                  <w:r>
                    <w:rPr>
                      <w:rFonts w:ascii="宋体" w:hAnsi="宋体" w:eastAsia="宋体" w:cs="宋体"/>
                      <w:color w:val="auto"/>
                      <w:spacing w:val="-5"/>
                      <w:sz w:val="21"/>
                      <w:szCs w:val="21"/>
                      <w:highlight w:val="none"/>
                    </w:rPr>
                    <w:t>0</w:t>
                  </w:r>
                </w:p>
              </w:tc>
              <w:tc>
                <w:tcPr>
                  <w:tcW w:w="3038" w:type="dxa"/>
                  <w:tcBorders>
                    <w:left w:val="single" w:color="000000" w:sz="4" w:space="0"/>
                    <w:right w:val="single" w:color="000000" w:sz="4" w:space="0"/>
                  </w:tcBorders>
                  <w:noWrap w:val="0"/>
                  <w:vAlign w:val="top"/>
                </w:tcPr>
                <w:p w14:paraId="276901A3">
                  <w:pPr>
                    <w:spacing w:before="116" w:line="221" w:lineRule="auto"/>
                    <w:ind w:left="686"/>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渤海银行</w:t>
                  </w:r>
                  <w:r>
                    <w:rPr>
                      <w:rFonts w:ascii="宋体" w:hAnsi="宋体" w:eastAsia="宋体" w:cs="宋体"/>
                      <w:color w:val="auto"/>
                      <w:sz w:val="21"/>
                      <w:szCs w:val="21"/>
                      <w:highlight w:val="none"/>
                    </w:rPr>
                    <w:t>株洲分行</w:t>
                  </w:r>
                </w:p>
              </w:tc>
              <w:tc>
                <w:tcPr>
                  <w:tcW w:w="1722" w:type="dxa"/>
                  <w:tcBorders>
                    <w:left w:val="single" w:color="000000" w:sz="4" w:space="0"/>
                    <w:right w:val="single" w:color="000000" w:sz="4" w:space="0"/>
                  </w:tcBorders>
                  <w:noWrap w:val="0"/>
                  <w:vAlign w:val="top"/>
                </w:tcPr>
                <w:p w14:paraId="494830A5">
                  <w:pPr>
                    <w:spacing w:before="117" w:line="221" w:lineRule="auto"/>
                    <w:ind w:left="551"/>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何习之</w:t>
                  </w:r>
                </w:p>
              </w:tc>
              <w:tc>
                <w:tcPr>
                  <w:tcW w:w="3602" w:type="dxa"/>
                  <w:tcBorders>
                    <w:left w:val="single" w:color="000000" w:sz="4" w:space="0"/>
                  </w:tcBorders>
                  <w:noWrap w:val="0"/>
                  <w:vAlign w:val="top"/>
                </w:tcPr>
                <w:p w14:paraId="2910C8BB">
                  <w:pPr>
                    <w:spacing w:before="151" w:line="184" w:lineRule="auto"/>
                    <w:ind w:left="771"/>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18975347745 229871</w:t>
                  </w:r>
                  <w:r>
                    <w:rPr>
                      <w:rFonts w:ascii="宋体" w:hAnsi="宋体" w:eastAsia="宋体" w:cs="宋体"/>
                      <w:color w:val="auto"/>
                      <w:sz w:val="21"/>
                      <w:szCs w:val="21"/>
                      <w:highlight w:val="none"/>
                    </w:rPr>
                    <w:t>19</w:t>
                  </w:r>
                </w:p>
              </w:tc>
            </w:tr>
            <w:tr w14:paraId="26B46B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2" w:hRule="atLeast"/>
              </w:trPr>
              <w:tc>
                <w:tcPr>
                  <w:tcW w:w="842" w:type="dxa"/>
                  <w:tcBorders>
                    <w:right w:val="single" w:color="000000" w:sz="4" w:space="0"/>
                  </w:tcBorders>
                  <w:noWrap w:val="0"/>
                  <w:vAlign w:val="top"/>
                </w:tcPr>
                <w:p w14:paraId="7E701838">
                  <w:pPr>
                    <w:spacing w:before="146" w:line="186" w:lineRule="auto"/>
                    <w:ind w:left="330"/>
                    <w:rPr>
                      <w:rFonts w:ascii="宋体" w:hAnsi="宋体" w:eastAsia="宋体" w:cs="宋体"/>
                      <w:color w:val="auto"/>
                      <w:sz w:val="21"/>
                      <w:szCs w:val="21"/>
                      <w:highlight w:val="none"/>
                    </w:rPr>
                  </w:pPr>
                  <w:r>
                    <w:rPr>
                      <w:rFonts w:ascii="宋体" w:hAnsi="宋体" w:eastAsia="宋体" w:cs="宋体"/>
                      <w:color w:val="auto"/>
                      <w:spacing w:val="-7"/>
                      <w:sz w:val="21"/>
                      <w:szCs w:val="21"/>
                      <w:highlight w:val="none"/>
                    </w:rPr>
                    <w:t>1</w:t>
                  </w:r>
                  <w:r>
                    <w:rPr>
                      <w:rFonts w:ascii="宋体" w:hAnsi="宋体" w:eastAsia="宋体" w:cs="宋体"/>
                      <w:color w:val="auto"/>
                      <w:spacing w:val="-5"/>
                      <w:sz w:val="21"/>
                      <w:szCs w:val="21"/>
                      <w:highlight w:val="none"/>
                    </w:rPr>
                    <w:t>1</w:t>
                  </w:r>
                </w:p>
              </w:tc>
              <w:tc>
                <w:tcPr>
                  <w:tcW w:w="3038" w:type="dxa"/>
                  <w:tcBorders>
                    <w:left w:val="single" w:color="000000" w:sz="4" w:space="0"/>
                    <w:right w:val="single" w:color="000000" w:sz="4" w:space="0"/>
                  </w:tcBorders>
                  <w:noWrap w:val="0"/>
                  <w:vAlign w:val="top"/>
                </w:tcPr>
                <w:p w14:paraId="719EF906">
                  <w:pPr>
                    <w:spacing w:before="111" w:line="221" w:lineRule="auto"/>
                    <w:ind w:left="686"/>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浦发银行</w:t>
                  </w:r>
                  <w:r>
                    <w:rPr>
                      <w:rFonts w:ascii="宋体" w:hAnsi="宋体" w:eastAsia="宋体" w:cs="宋体"/>
                      <w:color w:val="auto"/>
                      <w:sz w:val="21"/>
                      <w:szCs w:val="21"/>
                      <w:highlight w:val="none"/>
                    </w:rPr>
                    <w:t>株洲分行</w:t>
                  </w:r>
                </w:p>
              </w:tc>
              <w:tc>
                <w:tcPr>
                  <w:tcW w:w="1722" w:type="dxa"/>
                  <w:tcBorders>
                    <w:left w:val="single" w:color="000000" w:sz="4" w:space="0"/>
                    <w:right w:val="single" w:color="000000" w:sz="4" w:space="0"/>
                  </w:tcBorders>
                  <w:noWrap w:val="0"/>
                  <w:vAlign w:val="top"/>
                </w:tcPr>
                <w:p w14:paraId="63E0D77E">
                  <w:pPr>
                    <w:spacing w:before="112" w:line="222" w:lineRule="auto"/>
                    <w:ind w:left="662"/>
                    <w:rPr>
                      <w:rFonts w:ascii="宋体" w:hAnsi="宋体" w:eastAsia="宋体" w:cs="宋体"/>
                      <w:color w:val="auto"/>
                      <w:sz w:val="21"/>
                      <w:szCs w:val="21"/>
                      <w:highlight w:val="none"/>
                    </w:rPr>
                  </w:pPr>
                  <w:r>
                    <w:rPr>
                      <w:rFonts w:ascii="宋体" w:hAnsi="宋体" w:eastAsia="宋体" w:cs="宋体"/>
                      <w:color w:val="auto"/>
                      <w:spacing w:val="-5"/>
                      <w:sz w:val="21"/>
                      <w:szCs w:val="21"/>
                      <w:highlight w:val="none"/>
                    </w:rPr>
                    <w:t>言</w:t>
                  </w:r>
                  <w:r>
                    <w:rPr>
                      <w:rFonts w:ascii="宋体" w:hAnsi="宋体" w:eastAsia="宋体" w:cs="宋体"/>
                      <w:color w:val="auto"/>
                      <w:spacing w:val="-3"/>
                      <w:sz w:val="21"/>
                      <w:szCs w:val="21"/>
                      <w:highlight w:val="none"/>
                    </w:rPr>
                    <w:t>磊</w:t>
                  </w:r>
                </w:p>
              </w:tc>
              <w:tc>
                <w:tcPr>
                  <w:tcW w:w="3602" w:type="dxa"/>
                  <w:tcBorders>
                    <w:left w:val="single" w:color="000000" w:sz="4" w:space="0"/>
                  </w:tcBorders>
                  <w:noWrap w:val="0"/>
                  <w:vAlign w:val="top"/>
                </w:tcPr>
                <w:p w14:paraId="5824BF57">
                  <w:pPr>
                    <w:spacing w:before="146" w:line="184" w:lineRule="auto"/>
                    <w:ind w:left="1242"/>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13973</w:t>
                  </w:r>
                  <w:r>
                    <w:rPr>
                      <w:rFonts w:ascii="宋体" w:hAnsi="宋体" w:eastAsia="宋体" w:cs="宋体"/>
                      <w:color w:val="auto"/>
                      <w:spacing w:val="-1"/>
                      <w:sz w:val="21"/>
                      <w:szCs w:val="21"/>
                      <w:highlight w:val="none"/>
                    </w:rPr>
                    <w:t>319893</w:t>
                  </w:r>
                </w:p>
              </w:tc>
            </w:tr>
            <w:tr w14:paraId="0561D0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6" w:hRule="atLeast"/>
              </w:trPr>
              <w:tc>
                <w:tcPr>
                  <w:tcW w:w="842" w:type="dxa"/>
                  <w:tcBorders>
                    <w:right w:val="single" w:color="000000" w:sz="4" w:space="0"/>
                  </w:tcBorders>
                  <w:noWrap w:val="0"/>
                  <w:vAlign w:val="top"/>
                </w:tcPr>
                <w:p w14:paraId="4D185D99">
                  <w:pPr>
                    <w:spacing w:before="151" w:line="184" w:lineRule="auto"/>
                    <w:ind w:left="330"/>
                    <w:rPr>
                      <w:rFonts w:ascii="宋体" w:hAnsi="宋体" w:eastAsia="宋体" w:cs="宋体"/>
                      <w:color w:val="auto"/>
                      <w:sz w:val="21"/>
                      <w:szCs w:val="21"/>
                      <w:highlight w:val="none"/>
                    </w:rPr>
                  </w:pPr>
                  <w:r>
                    <w:rPr>
                      <w:rFonts w:ascii="宋体" w:hAnsi="宋体" w:eastAsia="宋体" w:cs="宋体"/>
                      <w:color w:val="auto"/>
                      <w:spacing w:val="-7"/>
                      <w:sz w:val="21"/>
                      <w:szCs w:val="21"/>
                      <w:highlight w:val="none"/>
                    </w:rPr>
                    <w:t>1</w:t>
                  </w:r>
                  <w:r>
                    <w:rPr>
                      <w:rFonts w:ascii="宋体" w:hAnsi="宋体" w:eastAsia="宋体" w:cs="宋体"/>
                      <w:color w:val="auto"/>
                      <w:spacing w:val="-5"/>
                      <w:sz w:val="21"/>
                      <w:szCs w:val="21"/>
                      <w:highlight w:val="none"/>
                    </w:rPr>
                    <w:t>3</w:t>
                  </w:r>
                </w:p>
              </w:tc>
              <w:tc>
                <w:tcPr>
                  <w:tcW w:w="3038" w:type="dxa"/>
                  <w:tcBorders>
                    <w:left w:val="single" w:color="000000" w:sz="4" w:space="0"/>
                    <w:right w:val="single" w:color="000000" w:sz="4" w:space="0"/>
                  </w:tcBorders>
                  <w:noWrap w:val="0"/>
                  <w:vAlign w:val="top"/>
                </w:tcPr>
                <w:p w14:paraId="1F474F73">
                  <w:pPr>
                    <w:spacing w:before="116" w:line="221" w:lineRule="auto"/>
                    <w:ind w:left="685"/>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广发银行</w:t>
                  </w:r>
                  <w:r>
                    <w:rPr>
                      <w:rFonts w:ascii="宋体" w:hAnsi="宋体" w:eastAsia="宋体" w:cs="宋体"/>
                      <w:color w:val="auto"/>
                      <w:sz w:val="21"/>
                      <w:szCs w:val="21"/>
                      <w:highlight w:val="none"/>
                    </w:rPr>
                    <w:t>株洲分行</w:t>
                  </w:r>
                </w:p>
              </w:tc>
              <w:tc>
                <w:tcPr>
                  <w:tcW w:w="1722" w:type="dxa"/>
                  <w:tcBorders>
                    <w:left w:val="single" w:color="000000" w:sz="4" w:space="0"/>
                    <w:right w:val="single" w:color="000000" w:sz="4" w:space="0"/>
                  </w:tcBorders>
                  <w:noWrap w:val="0"/>
                  <w:vAlign w:val="top"/>
                </w:tcPr>
                <w:p w14:paraId="47FC6904">
                  <w:pPr>
                    <w:spacing w:before="116" w:line="222" w:lineRule="auto"/>
                    <w:ind w:left="658"/>
                    <w:rPr>
                      <w:rFonts w:ascii="宋体" w:hAnsi="宋体" w:eastAsia="宋体" w:cs="宋体"/>
                      <w:color w:val="auto"/>
                      <w:sz w:val="21"/>
                      <w:szCs w:val="21"/>
                      <w:highlight w:val="none"/>
                    </w:rPr>
                  </w:pPr>
                  <w:r>
                    <w:rPr>
                      <w:rFonts w:ascii="宋体" w:hAnsi="宋体" w:eastAsia="宋体" w:cs="宋体"/>
                      <w:color w:val="auto"/>
                      <w:spacing w:val="-4"/>
                      <w:sz w:val="21"/>
                      <w:szCs w:val="21"/>
                      <w:highlight w:val="none"/>
                    </w:rPr>
                    <w:t>张</w:t>
                  </w:r>
                  <w:r>
                    <w:rPr>
                      <w:rFonts w:ascii="宋体" w:hAnsi="宋体" w:eastAsia="宋体" w:cs="宋体"/>
                      <w:color w:val="auto"/>
                      <w:spacing w:val="-2"/>
                      <w:sz w:val="21"/>
                      <w:szCs w:val="21"/>
                      <w:highlight w:val="none"/>
                    </w:rPr>
                    <w:t>琳</w:t>
                  </w:r>
                </w:p>
              </w:tc>
              <w:tc>
                <w:tcPr>
                  <w:tcW w:w="3602" w:type="dxa"/>
                  <w:tcBorders>
                    <w:left w:val="single" w:color="000000" w:sz="4" w:space="0"/>
                  </w:tcBorders>
                  <w:noWrap w:val="0"/>
                  <w:vAlign w:val="top"/>
                </w:tcPr>
                <w:p w14:paraId="49EEC407">
                  <w:pPr>
                    <w:spacing w:before="151" w:line="184" w:lineRule="auto"/>
                    <w:ind w:left="771"/>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18565608267 288681</w:t>
                  </w:r>
                  <w:r>
                    <w:rPr>
                      <w:rFonts w:ascii="宋体" w:hAnsi="宋体" w:eastAsia="宋体" w:cs="宋体"/>
                      <w:color w:val="auto"/>
                      <w:sz w:val="21"/>
                      <w:szCs w:val="21"/>
                      <w:highlight w:val="none"/>
                    </w:rPr>
                    <w:t>58</w:t>
                  </w:r>
                </w:p>
              </w:tc>
            </w:tr>
            <w:tr w14:paraId="73C91D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1" w:hRule="atLeast"/>
              </w:trPr>
              <w:tc>
                <w:tcPr>
                  <w:tcW w:w="842" w:type="dxa"/>
                  <w:tcBorders>
                    <w:right w:val="single" w:color="000000" w:sz="4" w:space="0"/>
                  </w:tcBorders>
                  <w:noWrap w:val="0"/>
                  <w:vAlign w:val="top"/>
                </w:tcPr>
                <w:p w14:paraId="2C103E59">
                  <w:pPr>
                    <w:spacing w:before="146" w:line="186" w:lineRule="auto"/>
                    <w:ind w:left="330"/>
                    <w:rPr>
                      <w:rFonts w:ascii="宋体" w:hAnsi="宋体" w:eastAsia="宋体" w:cs="宋体"/>
                      <w:color w:val="auto"/>
                      <w:sz w:val="21"/>
                      <w:szCs w:val="21"/>
                      <w:highlight w:val="none"/>
                    </w:rPr>
                  </w:pPr>
                  <w:r>
                    <w:rPr>
                      <w:rFonts w:ascii="宋体" w:hAnsi="宋体" w:eastAsia="宋体" w:cs="宋体"/>
                      <w:color w:val="auto"/>
                      <w:spacing w:val="-7"/>
                      <w:sz w:val="21"/>
                      <w:szCs w:val="21"/>
                      <w:highlight w:val="none"/>
                    </w:rPr>
                    <w:t>1</w:t>
                  </w:r>
                  <w:r>
                    <w:rPr>
                      <w:rFonts w:ascii="宋体" w:hAnsi="宋体" w:eastAsia="宋体" w:cs="宋体"/>
                      <w:color w:val="auto"/>
                      <w:spacing w:val="-5"/>
                      <w:sz w:val="21"/>
                      <w:szCs w:val="21"/>
                      <w:highlight w:val="none"/>
                    </w:rPr>
                    <w:t>4</w:t>
                  </w:r>
                </w:p>
              </w:tc>
              <w:tc>
                <w:tcPr>
                  <w:tcW w:w="3038" w:type="dxa"/>
                  <w:tcBorders>
                    <w:left w:val="single" w:color="000000" w:sz="4" w:space="0"/>
                    <w:right w:val="single" w:color="000000" w:sz="4" w:space="0"/>
                  </w:tcBorders>
                  <w:noWrap w:val="0"/>
                  <w:vAlign w:val="top"/>
                </w:tcPr>
                <w:p w14:paraId="79BD5620">
                  <w:pPr>
                    <w:spacing w:before="111" w:line="221" w:lineRule="auto"/>
                    <w:ind w:left="686"/>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华夏银行</w:t>
                  </w:r>
                  <w:r>
                    <w:rPr>
                      <w:rFonts w:ascii="宋体" w:hAnsi="宋体" w:eastAsia="宋体" w:cs="宋体"/>
                      <w:color w:val="auto"/>
                      <w:sz w:val="21"/>
                      <w:szCs w:val="21"/>
                      <w:highlight w:val="none"/>
                    </w:rPr>
                    <w:t>株洲分行</w:t>
                  </w:r>
                </w:p>
              </w:tc>
              <w:tc>
                <w:tcPr>
                  <w:tcW w:w="1722" w:type="dxa"/>
                  <w:tcBorders>
                    <w:left w:val="single" w:color="000000" w:sz="4" w:space="0"/>
                    <w:right w:val="single" w:color="000000" w:sz="4" w:space="0"/>
                  </w:tcBorders>
                  <w:noWrap w:val="0"/>
                  <w:vAlign w:val="top"/>
                </w:tcPr>
                <w:p w14:paraId="06E251FF">
                  <w:pPr>
                    <w:spacing w:before="112" w:line="221" w:lineRule="auto"/>
                    <w:ind w:left="547"/>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程玥瑄</w:t>
                  </w:r>
                </w:p>
              </w:tc>
              <w:tc>
                <w:tcPr>
                  <w:tcW w:w="3602" w:type="dxa"/>
                  <w:tcBorders>
                    <w:left w:val="single" w:color="000000" w:sz="4" w:space="0"/>
                  </w:tcBorders>
                  <w:noWrap w:val="0"/>
                  <w:vAlign w:val="top"/>
                </w:tcPr>
                <w:p w14:paraId="1359FCBA">
                  <w:pPr>
                    <w:spacing w:before="146" w:line="184" w:lineRule="auto"/>
                    <w:ind w:left="719"/>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18673301515  2886859</w:t>
                  </w:r>
                  <w:r>
                    <w:rPr>
                      <w:rFonts w:ascii="宋体" w:hAnsi="宋体" w:eastAsia="宋体" w:cs="宋体"/>
                      <w:color w:val="auto"/>
                      <w:sz w:val="21"/>
                      <w:szCs w:val="21"/>
                      <w:highlight w:val="none"/>
                    </w:rPr>
                    <w:t>5</w:t>
                  </w:r>
                </w:p>
              </w:tc>
            </w:tr>
            <w:tr w14:paraId="22F2E3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6" w:hRule="atLeast"/>
              </w:trPr>
              <w:tc>
                <w:tcPr>
                  <w:tcW w:w="842" w:type="dxa"/>
                  <w:tcBorders>
                    <w:right w:val="single" w:color="000000" w:sz="4" w:space="0"/>
                  </w:tcBorders>
                  <w:noWrap w:val="0"/>
                  <w:vAlign w:val="top"/>
                </w:tcPr>
                <w:p w14:paraId="539F32A5">
                  <w:pPr>
                    <w:spacing w:before="152" w:line="184" w:lineRule="auto"/>
                    <w:ind w:left="330"/>
                    <w:rPr>
                      <w:rFonts w:ascii="宋体" w:hAnsi="宋体" w:eastAsia="宋体" w:cs="宋体"/>
                      <w:color w:val="auto"/>
                      <w:sz w:val="21"/>
                      <w:szCs w:val="21"/>
                      <w:highlight w:val="none"/>
                    </w:rPr>
                  </w:pPr>
                  <w:r>
                    <w:rPr>
                      <w:rFonts w:ascii="宋体" w:hAnsi="宋体" w:eastAsia="宋体" w:cs="宋体"/>
                      <w:color w:val="auto"/>
                      <w:spacing w:val="-7"/>
                      <w:sz w:val="21"/>
                      <w:szCs w:val="21"/>
                      <w:highlight w:val="none"/>
                    </w:rPr>
                    <w:t>1</w:t>
                  </w:r>
                  <w:r>
                    <w:rPr>
                      <w:rFonts w:ascii="宋体" w:hAnsi="宋体" w:eastAsia="宋体" w:cs="宋体"/>
                      <w:color w:val="auto"/>
                      <w:spacing w:val="-5"/>
                      <w:sz w:val="21"/>
                      <w:szCs w:val="21"/>
                      <w:highlight w:val="none"/>
                    </w:rPr>
                    <w:t>5</w:t>
                  </w:r>
                </w:p>
              </w:tc>
              <w:tc>
                <w:tcPr>
                  <w:tcW w:w="3038" w:type="dxa"/>
                  <w:tcBorders>
                    <w:left w:val="single" w:color="000000" w:sz="4" w:space="0"/>
                    <w:right w:val="single" w:color="000000" w:sz="4" w:space="0"/>
                  </w:tcBorders>
                  <w:noWrap w:val="0"/>
                  <w:vAlign w:val="top"/>
                </w:tcPr>
                <w:p w14:paraId="00F791BB">
                  <w:pPr>
                    <w:spacing w:before="116" w:line="221" w:lineRule="auto"/>
                    <w:ind w:left="706"/>
                    <w:rPr>
                      <w:rFonts w:ascii="宋体" w:hAnsi="宋体" w:eastAsia="宋体" w:cs="宋体"/>
                      <w:color w:val="auto"/>
                      <w:sz w:val="21"/>
                      <w:szCs w:val="21"/>
                      <w:highlight w:val="none"/>
                    </w:rPr>
                  </w:pPr>
                  <w:r>
                    <w:rPr>
                      <w:rFonts w:ascii="宋体" w:hAnsi="宋体" w:eastAsia="宋体" w:cs="宋体"/>
                      <w:color w:val="auto"/>
                      <w:spacing w:val="-3"/>
                      <w:sz w:val="21"/>
                      <w:szCs w:val="21"/>
                      <w:highlight w:val="none"/>
                    </w:rPr>
                    <w:t>民生银行株洲分行</w:t>
                  </w:r>
                </w:p>
              </w:tc>
              <w:tc>
                <w:tcPr>
                  <w:tcW w:w="1722" w:type="dxa"/>
                  <w:tcBorders>
                    <w:left w:val="single" w:color="000000" w:sz="4" w:space="0"/>
                    <w:right w:val="single" w:color="000000" w:sz="4" w:space="0"/>
                  </w:tcBorders>
                  <w:noWrap w:val="0"/>
                  <w:vAlign w:val="top"/>
                </w:tcPr>
                <w:p w14:paraId="33288FD6">
                  <w:pPr>
                    <w:spacing w:before="116" w:line="221" w:lineRule="auto"/>
                    <w:ind w:left="547"/>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刘海峰</w:t>
                  </w:r>
                </w:p>
              </w:tc>
              <w:tc>
                <w:tcPr>
                  <w:tcW w:w="3602" w:type="dxa"/>
                  <w:tcBorders>
                    <w:left w:val="single" w:color="000000" w:sz="4" w:space="0"/>
                  </w:tcBorders>
                  <w:noWrap w:val="0"/>
                  <w:vAlign w:val="top"/>
                </w:tcPr>
                <w:p w14:paraId="18C52C05">
                  <w:pPr>
                    <w:spacing w:before="152" w:line="184" w:lineRule="auto"/>
                    <w:ind w:left="719"/>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18273272755  2886100</w:t>
                  </w:r>
                  <w:r>
                    <w:rPr>
                      <w:rFonts w:ascii="宋体" w:hAnsi="宋体" w:eastAsia="宋体" w:cs="宋体"/>
                      <w:color w:val="auto"/>
                      <w:sz w:val="21"/>
                      <w:szCs w:val="21"/>
                      <w:highlight w:val="none"/>
                    </w:rPr>
                    <w:t>2</w:t>
                  </w:r>
                </w:p>
              </w:tc>
            </w:tr>
            <w:tr w14:paraId="3C505D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1" w:hRule="atLeast"/>
              </w:trPr>
              <w:tc>
                <w:tcPr>
                  <w:tcW w:w="842" w:type="dxa"/>
                  <w:tcBorders>
                    <w:right w:val="single" w:color="000000" w:sz="4" w:space="0"/>
                  </w:tcBorders>
                  <w:noWrap w:val="0"/>
                  <w:vAlign w:val="top"/>
                </w:tcPr>
                <w:p w14:paraId="4EEF0921">
                  <w:pPr>
                    <w:spacing w:before="152" w:line="184" w:lineRule="auto"/>
                    <w:ind w:left="330"/>
                    <w:rPr>
                      <w:rFonts w:ascii="宋体" w:hAnsi="宋体" w:eastAsia="宋体" w:cs="宋体"/>
                      <w:color w:val="auto"/>
                      <w:sz w:val="21"/>
                      <w:szCs w:val="21"/>
                      <w:highlight w:val="none"/>
                    </w:rPr>
                  </w:pPr>
                  <w:r>
                    <w:rPr>
                      <w:rFonts w:ascii="宋体" w:hAnsi="宋体" w:eastAsia="宋体" w:cs="宋体"/>
                      <w:color w:val="auto"/>
                      <w:spacing w:val="-7"/>
                      <w:sz w:val="21"/>
                      <w:szCs w:val="21"/>
                      <w:highlight w:val="none"/>
                    </w:rPr>
                    <w:t>1</w:t>
                  </w:r>
                  <w:r>
                    <w:rPr>
                      <w:rFonts w:ascii="宋体" w:hAnsi="宋体" w:eastAsia="宋体" w:cs="宋体"/>
                      <w:color w:val="auto"/>
                      <w:spacing w:val="-5"/>
                      <w:sz w:val="21"/>
                      <w:szCs w:val="21"/>
                      <w:highlight w:val="none"/>
                    </w:rPr>
                    <w:t>6</w:t>
                  </w:r>
                </w:p>
              </w:tc>
              <w:tc>
                <w:tcPr>
                  <w:tcW w:w="3038" w:type="dxa"/>
                  <w:tcBorders>
                    <w:left w:val="single" w:color="000000" w:sz="4" w:space="0"/>
                    <w:right w:val="single" w:color="000000" w:sz="4" w:space="0"/>
                  </w:tcBorders>
                  <w:noWrap w:val="0"/>
                  <w:vAlign w:val="top"/>
                </w:tcPr>
                <w:p w14:paraId="30ACF5A5">
                  <w:pPr>
                    <w:spacing w:before="117" w:line="221" w:lineRule="auto"/>
                    <w:ind w:left="689"/>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北京银行株洲分</w:t>
                  </w:r>
                  <w:r>
                    <w:rPr>
                      <w:rFonts w:ascii="宋体" w:hAnsi="宋体" w:eastAsia="宋体" w:cs="宋体"/>
                      <w:color w:val="auto"/>
                      <w:sz w:val="21"/>
                      <w:szCs w:val="21"/>
                      <w:highlight w:val="none"/>
                    </w:rPr>
                    <w:t>行</w:t>
                  </w:r>
                </w:p>
              </w:tc>
              <w:tc>
                <w:tcPr>
                  <w:tcW w:w="1722" w:type="dxa"/>
                  <w:tcBorders>
                    <w:left w:val="single" w:color="000000" w:sz="4" w:space="0"/>
                    <w:right w:val="single" w:color="000000" w:sz="4" w:space="0"/>
                  </w:tcBorders>
                  <w:noWrap w:val="0"/>
                  <w:vAlign w:val="top"/>
                </w:tcPr>
                <w:p w14:paraId="6ED5B201">
                  <w:pPr>
                    <w:spacing w:before="117" w:line="221" w:lineRule="auto"/>
                    <w:ind w:left="681"/>
                    <w:rPr>
                      <w:rFonts w:ascii="宋体" w:hAnsi="宋体" w:eastAsia="宋体" w:cs="宋体"/>
                      <w:color w:val="auto"/>
                      <w:sz w:val="21"/>
                      <w:szCs w:val="21"/>
                      <w:highlight w:val="none"/>
                    </w:rPr>
                  </w:pPr>
                  <w:r>
                    <w:rPr>
                      <w:rFonts w:ascii="宋体" w:hAnsi="宋体" w:eastAsia="宋体" w:cs="宋体"/>
                      <w:color w:val="auto"/>
                      <w:spacing w:val="-9"/>
                      <w:sz w:val="21"/>
                      <w:szCs w:val="21"/>
                      <w:highlight w:val="none"/>
                    </w:rPr>
                    <w:t>曾</w:t>
                  </w:r>
                  <w:r>
                    <w:rPr>
                      <w:rFonts w:ascii="宋体" w:hAnsi="宋体" w:eastAsia="宋体" w:cs="宋体"/>
                      <w:color w:val="auto"/>
                      <w:spacing w:val="-8"/>
                      <w:sz w:val="21"/>
                      <w:szCs w:val="21"/>
                      <w:highlight w:val="none"/>
                    </w:rPr>
                    <w:t>艳</w:t>
                  </w:r>
                </w:p>
              </w:tc>
              <w:tc>
                <w:tcPr>
                  <w:tcW w:w="3602" w:type="dxa"/>
                  <w:tcBorders>
                    <w:left w:val="single" w:color="000000" w:sz="4" w:space="0"/>
                  </w:tcBorders>
                  <w:noWrap w:val="0"/>
                  <w:vAlign w:val="top"/>
                </w:tcPr>
                <w:p w14:paraId="3DF2FC86">
                  <w:pPr>
                    <w:spacing w:before="152" w:line="184" w:lineRule="auto"/>
                    <w:ind w:left="719"/>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13087339502  2588556</w:t>
                  </w:r>
                  <w:r>
                    <w:rPr>
                      <w:rFonts w:ascii="宋体" w:hAnsi="宋体" w:eastAsia="宋体" w:cs="宋体"/>
                      <w:color w:val="auto"/>
                      <w:sz w:val="21"/>
                      <w:szCs w:val="21"/>
                      <w:highlight w:val="none"/>
                    </w:rPr>
                    <w:t>9</w:t>
                  </w:r>
                </w:p>
              </w:tc>
            </w:tr>
            <w:tr w14:paraId="0D3527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8" w:hRule="atLeast"/>
              </w:trPr>
              <w:tc>
                <w:tcPr>
                  <w:tcW w:w="842" w:type="dxa"/>
                  <w:tcBorders>
                    <w:right w:val="single" w:color="000000" w:sz="4" w:space="0"/>
                  </w:tcBorders>
                  <w:noWrap w:val="0"/>
                  <w:vAlign w:val="top"/>
                </w:tcPr>
                <w:p w14:paraId="78BA7C08">
                  <w:pPr>
                    <w:spacing w:before="153" w:line="184" w:lineRule="auto"/>
                    <w:ind w:left="330"/>
                    <w:rPr>
                      <w:rFonts w:ascii="宋体" w:hAnsi="宋体" w:eastAsia="宋体" w:cs="宋体"/>
                      <w:color w:val="auto"/>
                      <w:sz w:val="21"/>
                      <w:szCs w:val="21"/>
                      <w:highlight w:val="none"/>
                    </w:rPr>
                  </w:pPr>
                  <w:r>
                    <w:rPr>
                      <w:rFonts w:ascii="宋体" w:hAnsi="宋体" w:eastAsia="宋体" w:cs="宋体"/>
                      <w:color w:val="auto"/>
                      <w:spacing w:val="-7"/>
                      <w:sz w:val="21"/>
                      <w:szCs w:val="21"/>
                      <w:highlight w:val="none"/>
                    </w:rPr>
                    <w:t>1</w:t>
                  </w:r>
                  <w:r>
                    <w:rPr>
                      <w:rFonts w:ascii="宋体" w:hAnsi="宋体" w:eastAsia="宋体" w:cs="宋体"/>
                      <w:color w:val="auto"/>
                      <w:spacing w:val="-5"/>
                      <w:sz w:val="21"/>
                      <w:szCs w:val="21"/>
                      <w:highlight w:val="none"/>
                    </w:rPr>
                    <w:t>7</w:t>
                  </w:r>
                </w:p>
              </w:tc>
              <w:tc>
                <w:tcPr>
                  <w:tcW w:w="3038" w:type="dxa"/>
                  <w:tcBorders>
                    <w:left w:val="single" w:color="000000" w:sz="4" w:space="0"/>
                    <w:right w:val="single" w:color="000000" w:sz="4" w:space="0"/>
                  </w:tcBorders>
                  <w:noWrap w:val="0"/>
                  <w:vAlign w:val="top"/>
                </w:tcPr>
                <w:p w14:paraId="55E1A9BC">
                  <w:pPr>
                    <w:spacing w:before="117" w:line="221" w:lineRule="auto"/>
                    <w:ind w:left="686"/>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招商银行</w:t>
                  </w:r>
                  <w:r>
                    <w:rPr>
                      <w:rFonts w:ascii="宋体" w:hAnsi="宋体" w:eastAsia="宋体" w:cs="宋体"/>
                      <w:color w:val="auto"/>
                      <w:sz w:val="21"/>
                      <w:szCs w:val="21"/>
                      <w:highlight w:val="none"/>
                    </w:rPr>
                    <w:t>株洲分行</w:t>
                  </w:r>
                </w:p>
              </w:tc>
              <w:tc>
                <w:tcPr>
                  <w:tcW w:w="1722" w:type="dxa"/>
                  <w:tcBorders>
                    <w:left w:val="single" w:color="000000" w:sz="4" w:space="0"/>
                    <w:right w:val="single" w:color="000000" w:sz="4" w:space="0"/>
                  </w:tcBorders>
                  <w:noWrap w:val="0"/>
                  <w:vAlign w:val="top"/>
                </w:tcPr>
                <w:p w14:paraId="2213F441">
                  <w:pPr>
                    <w:spacing w:before="118" w:line="221" w:lineRule="auto"/>
                    <w:ind w:left="549"/>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董经</w:t>
                  </w:r>
                  <w:r>
                    <w:rPr>
                      <w:rFonts w:ascii="宋体" w:hAnsi="宋体" w:eastAsia="宋体" w:cs="宋体"/>
                      <w:color w:val="auto"/>
                      <w:spacing w:val="-1"/>
                      <w:sz w:val="21"/>
                      <w:szCs w:val="21"/>
                      <w:highlight w:val="none"/>
                    </w:rPr>
                    <w:t>纬</w:t>
                  </w:r>
                </w:p>
              </w:tc>
              <w:tc>
                <w:tcPr>
                  <w:tcW w:w="3602" w:type="dxa"/>
                  <w:tcBorders>
                    <w:left w:val="single" w:color="000000" w:sz="4" w:space="0"/>
                  </w:tcBorders>
                  <w:noWrap w:val="0"/>
                  <w:vAlign w:val="top"/>
                </w:tcPr>
                <w:p w14:paraId="0C8934F6">
                  <w:pPr>
                    <w:spacing w:before="153" w:line="184" w:lineRule="auto"/>
                    <w:ind w:left="666"/>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18273331270   227539</w:t>
                  </w:r>
                  <w:r>
                    <w:rPr>
                      <w:rFonts w:ascii="宋体" w:hAnsi="宋体" w:eastAsia="宋体" w:cs="宋体"/>
                      <w:color w:val="auto"/>
                      <w:sz w:val="21"/>
                      <w:szCs w:val="21"/>
                      <w:highlight w:val="none"/>
                    </w:rPr>
                    <w:t>77</w:t>
                  </w:r>
                </w:p>
              </w:tc>
            </w:tr>
          </w:tbl>
          <w:p w14:paraId="0AD67AAF">
            <w:pPr>
              <w:spacing w:line="140" w:lineRule="auto"/>
              <w:rPr>
                <w:rFonts w:ascii="Arial"/>
                <w:color w:val="auto"/>
                <w:sz w:val="2"/>
                <w:highlight w:val="none"/>
              </w:rPr>
            </w:pPr>
          </w:p>
        </w:tc>
      </w:tr>
    </w:tbl>
    <w:p w14:paraId="3407E3B8">
      <w:pPr>
        <w:spacing w:before="112" w:line="220" w:lineRule="auto"/>
        <w:ind w:left="66"/>
        <w:rPr>
          <w:rFonts w:ascii="宋体" w:hAnsi="宋体" w:eastAsia="宋体" w:cs="宋体"/>
          <w:color w:val="auto"/>
          <w:spacing w:val="-27"/>
          <w:sz w:val="32"/>
          <w:szCs w:val="32"/>
          <w:highlight w:val="none"/>
        </w:rPr>
      </w:pPr>
    </w:p>
    <w:p w14:paraId="73BC581E">
      <w:pPr>
        <w:spacing w:before="112" w:line="220" w:lineRule="auto"/>
        <w:ind w:left="66"/>
        <w:rPr>
          <w:rFonts w:ascii="宋体" w:hAnsi="宋体" w:eastAsia="宋体" w:cs="宋体"/>
          <w:color w:val="auto"/>
          <w:spacing w:val="-27"/>
          <w:sz w:val="32"/>
          <w:szCs w:val="32"/>
          <w:highlight w:val="none"/>
        </w:rPr>
      </w:pPr>
    </w:p>
    <w:p w14:paraId="1895F47F">
      <w:pPr>
        <w:spacing w:before="112" w:line="220" w:lineRule="auto"/>
        <w:ind w:left="66"/>
        <w:rPr>
          <w:rFonts w:ascii="宋体" w:hAnsi="宋体" w:eastAsia="宋体" w:cs="宋体"/>
          <w:color w:val="auto"/>
          <w:spacing w:val="-27"/>
          <w:sz w:val="32"/>
          <w:szCs w:val="32"/>
          <w:highlight w:val="none"/>
        </w:rPr>
      </w:pPr>
    </w:p>
    <w:p w14:paraId="02D5DE45">
      <w:pPr>
        <w:spacing w:before="112" w:line="220" w:lineRule="auto"/>
        <w:ind w:left="66"/>
        <w:rPr>
          <w:rFonts w:ascii="宋体" w:hAnsi="宋体" w:eastAsia="宋体" w:cs="宋体"/>
          <w:color w:val="auto"/>
          <w:spacing w:val="-27"/>
          <w:sz w:val="32"/>
          <w:szCs w:val="32"/>
          <w:highlight w:val="none"/>
        </w:rPr>
      </w:pPr>
    </w:p>
    <w:p w14:paraId="60C83C6F">
      <w:pPr>
        <w:spacing w:before="112" w:line="220" w:lineRule="auto"/>
        <w:rPr>
          <w:rFonts w:ascii="宋体" w:hAnsi="宋体" w:eastAsia="宋体" w:cs="宋体"/>
          <w:color w:val="auto"/>
          <w:spacing w:val="-27"/>
          <w:sz w:val="32"/>
          <w:szCs w:val="32"/>
          <w:highlight w:val="none"/>
        </w:rPr>
      </w:pPr>
    </w:p>
    <w:p w14:paraId="49A91CE7">
      <w:pPr>
        <w:spacing w:before="112" w:line="220" w:lineRule="auto"/>
        <w:rPr>
          <w:rFonts w:ascii="宋体" w:hAnsi="宋体" w:eastAsia="宋体" w:cs="宋体"/>
          <w:color w:val="auto"/>
          <w:spacing w:val="-27"/>
          <w:sz w:val="32"/>
          <w:szCs w:val="32"/>
          <w:highlight w:val="none"/>
        </w:rPr>
      </w:pPr>
    </w:p>
    <w:p w14:paraId="44A192FD">
      <w:pPr>
        <w:spacing w:before="112" w:line="220" w:lineRule="auto"/>
        <w:rPr>
          <w:rFonts w:ascii="宋体" w:hAnsi="宋体" w:eastAsia="宋体" w:cs="宋体"/>
          <w:color w:val="auto"/>
          <w:spacing w:val="-27"/>
          <w:sz w:val="32"/>
          <w:szCs w:val="32"/>
          <w:highlight w:val="none"/>
        </w:rPr>
      </w:pPr>
    </w:p>
    <w:p w14:paraId="00AC603C">
      <w:pPr>
        <w:spacing w:before="112" w:line="220" w:lineRule="auto"/>
        <w:rPr>
          <w:rFonts w:ascii="宋体" w:hAnsi="宋体" w:eastAsia="宋体" w:cs="宋体"/>
          <w:color w:val="auto"/>
          <w:spacing w:val="-27"/>
          <w:sz w:val="32"/>
          <w:szCs w:val="32"/>
          <w:highlight w:val="none"/>
        </w:rPr>
      </w:pPr>
    </w:p>
    <w:p w14:paraId="26E65044">
      <w:pPr>
        <w:spacing w:before="112" w:line="220" w:lineRule="auto"/>
        <w:rPr>
          <w:rFonts w:ascii="宋体" w:hAnsi="宋体" w:eastAsia="宋体" w:cs="宋体"/>
          <w:color w:val="auto"/>
          <w:spacing w:val="-27"/>
          <w:sz w:val="32"/>
          <w:szCs w:val="32"/>
          <w:highlight w:val="none"/>
        </w:rPr>
      </w:pPr>
    </w:p>
    <w:p w14:paraId="46752BF5">
      <w:pPr>
        <w:spacing w:before="112" w:line="220" w:lineRule="auto"/>
        <w:rPr>
          <w:rFonts w:ascii="宋体" w:hAnsi="宋体" w:eastAsia="宋体" w:cs="宋体"/>
          <w:color w:val="auto"/>
          <w:spacing w:val="-27"/>
          <w:sz w:val="32"/>
          <w:szCs w:val="32"/>
          <w:highlight w:val="none"/>
        </w:rPr>
      </w:pPr>
    </w:p>
    <w:p w14:paraId="72A724A7">
      <w:pPr>
        <w:pStyle w:val="24"/>
        <w:rPr>
          <w:color w:val="auto"/>
          <w:highlight w:val="none"/>
        </w:rPr>
      </w:pPr>
    </w:p>
    <w:p w14:paraId="5CCE9059">
      <w:pPr>
        <w:spacing w:before="112" w:line="220" w:lineRule="auto"/>
        <w:rPr>
          <w:rFonts w:ascii="宋体" w:hAnsi="宋体" w:eastAsia="宋体" w:cs="宋体"/>
          <w:b/>
          <w:bCs/>
          <w:color w:val="auto"/>
          <w:spacing w:val="-25"/>
          <w:sz w:val="32"/>
          <w:szCs w:val="32"/>
          <w:highlight w:val="none"/>
        </w:rPr>
      </w:pPr>
      <w:r>
        <w:rPr>
          <w:rFonts w:ascii="宋体" w:hAnsi="宋体" w:eastAsia="宋体" w:cs="宋体"/>
          <w:b/>
          <w:bCs/>
          <w:color w:val="auto"/>
          <w:spacing w:val="-27"/>
          <w:sz w:val="32"/>
          <w:szCs w:val="32"/>
          <w:highlight w:val="none"/>
        </w:rPr>
        <w:t>附</w:t>
      </w:r>
      <w:r>
        <w:rPr>
          <w:rFonts w:ascii="宋体" w:hAnsi="宋体" w:eastAsia="宋体" w:cs="宋体"/>
          <w:b/>
          <w:bCs/>
          <w:color w:val="auto"/>
          <w:spacing w:val="-25"/>
          <w:sz w:val="32"/>
          <w:szCs w:val="32"/>
          <w:highlight w:val="none"/>
        </w:rPr>
        <w:t>件 4</w:t>
      </w:r>
    </w:p>
    <w:p w14:paraId="1CCA8485">
      <w:pPr>
        <w:spacing w:before="231" w:line="225" w:lineRule="auto"/>
        <w:ind w:left="3486"/>
        <w:rPr>
          <w:rFonts w:ascii="宋体" w:hAnsi="宋体" w:eastAsia="宋体" w:cs="宋体"/>
          <w:color w:val="auto"/>
          <w:sz w:val="27"/>
          <w:szCs w:val="27"/>
          <w:highlight w:val="none"/>
        </w:rPr>
      </w:pPr>
      <w:r>
        <w:rPr>
          <w:rFonts w:ascii="宋体" w:hAnsi="宋体" w:eastAsia="宋体" w:cs="宋体"/>
          <w:color w:val="auto"/>
          <w:spacing w:val="10"/>
          <w:sz w:val="27"/>
          <w:szCs w:val="27"/>
          <w:highlight w:val="none"/>
        </w:rPr>
        <w:t>政</w:t>
      </w:r>
      <w:r>
        <w:rPr>
          <w:rFonts w:ascii="宋体" w:hAnsi="宋体" w:eastAsia="宋体" w:cs="宋体"/>
          <w:color w:val="auto"/>
          <w:spacing w:val="8"/>
          <w:sz w:val="27"/>
          <w:szCs w:val="27"/>
          <w:highlight w:val="none"/>
        </w:rPr>
        <w:t>府采购投标担保函</w:t>
      </w:r>
    </w:p>
    <w:p w14:paraId="2F36BE62">
      <w:pPr>
        <w:spacing w:line="272" w:lineRule="auto"/>
        <w:rPr>
          <w:rFonts w:ascii="Arial"/>
          <w:color w:val="auto"/>
          <w:sz w:val="21"/>
          <w:highlight w:val="none"/>
        </w:rPr>
      </w:pPr>
    </w:p>
    <w:p w14:paraId="083053AB">
      <w:pPr>
        <w:spacing w:line="273" w:lineRule="auto"/>
        <w:rPr>
          <w:rFonts w:ascii="Arial"/>
          <w:color w:val="auto"/>
          <w:sz w:val="21"/>
          <w:highlight w:val="none"/>
        </w:rPr>
      </w:pPr>
    </w:p>
    <w:p w14:paraId="73624117">
      <w:pPr>
        <w:spacing w:before="69" w:line="221" w:lineRule="auto"/>
        <w:ind w:left="5709"/>
        <w:rPr>
          <w:rFonts w:ascii="宋体" w:hAnsi="宋体" w:eastAsia="宋体" w:cs="宋体"/>
          <w:color w:val="auto"/>
          <w:sz w:val="21"/>
          <w:szCs w:val="21"/>
          <w:highlight w:val="none"/>
        </w:rPr>
      </w:pPr>
      <w:r>
        <w:rPr>
          <w:rFonts w:ascii="宋体" w:hAnsi="宋体" w:eastAsia="宋体" w:cs="宋体"/>
          <w:color w:val="auto"/>
          <w:spacing w:val="-19"/>
          <w:w w:val="92"/>
          <w:sz w:val="21"/>
          <w:szCs w:val="21"/>
          <w:highlight w:val="none"/>
        </w:rPr>
        <w:t>编号：</w:t>
      </w:r>
      <w:r>
        <w:rPr>
          <w:rFonts w:ascii="宋体" w:hAnsi="宋体" w:eastAsia="宋体" w:cs="宋体"/>
          <w:color w:val="auto"/>
          <w:sz w:val="21"/>
          <w:szCs w:val="21"/>
          <w:highlight w:val="none"/>
          <w:u w:val="single" w:color="auto"/>
        </w:rPr>
        <w:t xml:space="preserve">                    </w:t>
      </w:r>
    </w:p>
    <w:p w14:paraId="46DD4AEB">
      <w:pPr>
        <w:tabs>
          <w:tab w:val="left" w:pos="2251"/>
        </w:tabs>
        <w:spacing w:before="156" w:line="220" w:lineRule="auto"/>
        <w:ind w:left="28"/>
        <w:rPr>
          <w:rFonts w:ascii="宋体" w:hAnsi="宋体" w:eastAsia="宋体" w:cs="宋体"/>
          <w:color w:val="auto"/>
          <w:sz w:val="21"/>
          <w:szCs w:val="21"/>
          <w:highlight w:val="none"/>
        </w:rPr>
      </w:pPr>
      <w:r>
        <w:rPr>
          <w:rFonts w:ascii="宋体" w:hAnsi="宋体" w:eastAsia="宋体" w:cs="宋体"/>
          <w:color w:val="auto"/>
          <w:sz w:val="21"/>
          <w:szCs w:val="21"/>
          <w:highlight w:val="none"/>
          <w:u w:val="single" w:color="auto"/>
        </w:rPr>
        <w:tab/>
      </w:r>
      <w:r>
        <w:rPr>
          <w:rFonts w:ascii="宋体" w:hAnsi="宋体" w:eastAsia="宋体" w:cs="宋体"/>
          <w:color w:val="auto"/>
          <w:spacing w:val="8"/>
          <w:sz w:val="21"/>
          <w:szCs w:val="21"/>
          <w:highlight w:val="none"/>
        </w:rPr>
        <w:t>(</w:t>
      </w:r>
      <w:r>
        <w:rPr>
          <w:rFonts w:ascii="宋体" w:hAnsi="宋体" w:eastAsia="宋体" w:cs="宋体"/>
          <w:color w:val="auto"/>
          <w:spacing w:val="7"/>
          <w:sz w:val="21"/>
          <w:szCs w:val="21"/>
          <w:highlight w:val="none"/>
        </w:rPr>
        <w:t>采</w:t>
      </w:r>
      <w:r>
        <w:rPr>
          <w:rFonts w:ascii="宋体" w:hAnsi="宋体" w:eastAsia="宋体" w:cs="宋体"/>
          <w:color w:val="auto"/>
          <w:spacing w:val="4"/>
          <w:sz w:val="21"/>
          <w:szCs w:val="21"/>
          <w:highlight w:val="none"/>
        </w:rPr>
        <w:t>购代理机构)：</w:t>
      </w:r>
    </w:p>
    <w:p w14:paraId="27A509CA">
      <w:pPr>
        <w:tabs>
          <w:tab w:val="left" w:pos="2143"/>
        </w:tabs>
        <w:spacing w:before="157" w:line="360" w:lineRule="auto"/>
        <w:ind w:left="28" w:right="92" w:firstLine="433"/>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鉴于</w:t>
      </w:r>
      <w:r>
        <w:rPr>
          <w:rFonts w:ascii="宋体" w:hAnsi="宋体" w:eastAsia="宋体" w:cs="宋体"/>
          <w:color w:val="auto"/>
          <w:spacing w:val="-1"/>
          <w:sz w:val="21"/>
          <w:szCs w:val="21"/>
          <w:highlight w:val="none"/>
          <w:u w:val="single" w:color="auto"/>
        </w:rPr>
        <w:t xml:space="preserve"> </w:t>
      </w:r>
      <w:r>
        <w:rPr>
          <w:rFonts w:ascii="宋体" w:hAnsi="宋体" w:eastAsia="宋体" w:cs="宋体"/>
          <w:color w:val="auto"/>
          <w:sz w:val="21"/>
          <w:szCs w:val="21"/>
          <w:highlight w:val="none"/>
          <w:u w:val="single" w:color="auto"/>
        </w:rPr>
        <w:t xml:space="preserve">                    </w:t>
      </w:r>
      <w:r>
        <w:rPr>
          <w:rFonts w:ascii="宋体" w:hAnsi="宋体" w:eastAsia="宋体" w:cs="宋体"/>
          <w:color w:val="auto"/>
          <w:sz w:val="21"/>
          <w:szCs w:val="21"/>
          <w:highlight w:val="none"/>
        </w:rPr>
        <w:t>(以下简称投标人) 拟参加编号为</w:t>
      </w:r>
      <w:r>
        <w:rPr>
          <w:rFonts w:ascii="宋体" w:hAnsi="宋体" w:eastAsia="宋体" w:cs="宋体"/>
          <w:color w:val="auto"/>
          <w:sz w:val="21"/>
          <w:szCs w:val="21"/>
          <w:highlight w:val="none"/>
          <w:u w:val="single" w:color="auto"/>
        </w:rPr>
        <w:t xml:space="preserve">                        </w:t>
      </w:r>
      <w:r>
        <w:rPr>
          <w:rFonts w:ascii="宋体" w:hAnsi="宋体" w:eastAsia="宋体" w:cs="宋体"/>
          <w:color w:val="auto"/>
          <w:sz w:val="21"/>
          <w:szCs w:val="21"/>
          <w:highlight w:val="none"/>
        </w:rPr>
        <w:t xml:space="preserve">的     </w:t>
      </w:r>
      <w:r>
        <w:rPr>
          <w:rFonts w:ascii="宋体" w:hAnsi="宋体" w:eastAsia="宋体" w:cs="宋体"/>
          <w:color w:val="auto"/>
          <w:sz w:val="21"/>
          <w:szCs w:val="21"/>
          <w:highlight w:val="none"/>
          <w:u w:val="single" w:color="auto"/>
        </w:rPr>
        <w:tab/>
      </w:r>
      <w:r>
        <w:rPr>
          <w:rFonts w:ascii="宋体" w:hAnsi="宋体" w:eastAsia="宋体" w:cs="宋体"/>
          <w:color w:val="auto"/>
          <w:spacing w:val="-2"/>
          <w:sz w:val="21"/>
          <w:szCs w:val="21"/>
          <w:highlight w:val="none"/>
        </w:rPr>
        <w:t>项目(以下简称“本项</w:t>
      </w:r>
      <w:r>
        <w:rPr>
          <w:rFonts w:ascii="宋体" w:hAnsi="宋体" w:eastAsia="宋体" w:cs="宋体"/>
          <w:color w:val="auto"/>
          <w:spacing w:val="-1"/>
          <w:sz w:val="21"/>
          <w:szCs w:val="21"/>
          <w:highlight w:val="none"/>
        </w:rPr>
        <w:t>目”) 投标， 根据本项目招标文件，供应商参加投标时应</w:t>
      </w:r>
      <w:r>
        <w:rPr>
          <w:rFonts w:ascii="宋体" w:hAnsi="宋体" w:eastAsia="宋体" w:cs="宋体"/>
          <w:color w:val="auto"/>
          <w:sz w:val="21"/>
          <w:szCs w:val="21"/>
          <w:highlight w:val="none"/>
        </w:rPr>
        <w:t xml:space="preserve"> </w:t>
      </w:r>
      <w:r>
        <w:rPr>
          <w:rFonts w:ascii="宋体" w:hAnsi="宋体" w:eastAsia="宋体" w:cs="宋体"/>
          <w:color w:val="auto"/>
          <w:spacing w:val="-10"/>
          <w:sz w:val="21"/>
          <w:szCs w:val="21"/>
          <w:highlight w:val="none"/>
        </w:rPr>
        <w:t>向你</w:t>
      </w:r>
      <w:r>
        <w:rPr>
          <w:rFonts w:ascii="宋体" w:hAnsi="宋体" w:eastAsia="宋体" w:cs="宋体"/>
          <w:color w:val="auto"/>
          <w:spacing w:val="-8"/>
          <w:sz w:val="21"/>
          <w:szCs w:val="21"/>
          <w:highlight w:val="none"/>
        </w:rPr>
        <w:t>方</w:t>
      </w:r>
      <w:r>
        <w:rPr>
          <w:rFonts w:ascii="宋体" w:hAnsi="宋体" w:eastAsia="宋体" w:cs="宋体"/>
          <w:color w:val="auto"/>
          <w:spacing w:val="-5"/>
          <w:sz w:val="21"/>
          <w:szCs w:val="21"/>
          <w:highlight w:val="none"/>
        </w:rPr>
        <w:t>交纳投标保证金， 且可以投标担保函的形式交纳投标保证金。应供应商的申请， 我方以保证的方</w:t>
      </w:r>
      <w:r>
        <w:rPr>
          <w:rFonts w:ascii="宋体" w:hAnsi="宋体" w:eastAsia="宋体" w:cs="宋体"/>
          <w:color w:val="auto"/>
          <w:spacing w:val="-2"/>
          <w:sz w:val="21"/>
          <w:szCs w:val="21"/>
          <w:highlight w:val="none"/>
        </w:rPr>
        <w:t>式向你方提供如下投标保证</w:t>
      </w:r>
      <w:r>
        <w:rPr>
          <w:rFonts w:ascii="宋体" w:hAnsi="宋体" w:eastAsia="宋体" w:cs="宋体"/>
          <w:color w:val="auto"/>
          <w:spacing w:val="-1"/>
          <w:sz w:val="21"/>
          <w:szCs w:val="21"/>
          <w:highlight w:val="none"/>
        </w:rPr>
        <w:t>金担保：</w:t>
      </w:r>
    </w:p>
    <w:p w14:paraId="3C7F2E3A">
      <w:pPr>
        <w:spacing w:line="220" w:lineRule="auto"/>
        <w:ind w:left="462"/>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一、保证责</w:t>
      </w:r>
      <w:r>
        <w:rPr>
          <w:rFonts w:ascii="宋体" w:hAnsi="宋体" w:eastAsia="宋体" w:cs="宋体"/>
          <w:color w:val="auto"/>
          <w:sz w:val="21"/>
          <w:szCs w:val="21"/>
          <w:highlight w:val="none"/>
        </w:rPr>
        <w:t>任的情形及保证金额</w:t>
      </w:r>
    </w:p>
    <w:p w14:paraId="1AF39C37">
      <w:pPr>
        <w:spacing w:before="157" w:line="221" w:lineRule="auto"/>
        <w:ind w:left="465"/>
        <w:rPr>
          <w:rFonts w:ascii="宋体" w:hAnsi="宋体" w:eastAsia="宋体" w:cs="宋体"/>
          <w:color w:val="auto"/>
          <w:sz w:val="21"/>
          <w:szCs w:val="21"/>
          <w:highlight w:val="none"/>
        </w:rPr>
      </w:pPr>
      <w:r>
        <w:rPr>
          <w:rFonts w:ascii="宋体" w:hAnsi="宋体" w:eastAsia="宋体" w:cs="宋体"/>
          <w:color w:val="auto"/>
          <w:spacing w:val="4"/>
          <w:sz w:val="21"/>
          <w:szCs w:val="21"/>
          <w:highlight w:val="none"/>
        </w:rPr>
        <w:t>(一)</w:t>
      </w:r>
      <w:r>
        <w:rPr>
          <w:rFonts w:ascii="宋体" w:hAnsi="宋体" w:eastAsia="宋体" w:cs="宋体"/>
          <w:color w:val="auto"/>
          <w:spacing w:val="2"/>
          <w:sz w:val="21"/>
          <w:szCs w:val="21"/>
          <w:highlight w:val="none"/>
        </w:rPr>
        <w:t>在投标人出现下列情形之一时， 我方承担保证责任：</w:t>
      </w:r>
    </w:p>
    <w:p w14:paraId="59A5F96D">
      <w:pPr>
        <w:spacing w:before="157" w:line="242" w:lineRule="auto"/>
        <w:ind w:left="475"/>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1．中标后投标人无正当理由不与采购人或者采购代理机构签订《政府采购合同》；</w:t>
      </w:r>
    </w:p>
    <w:p w14:paraId="623D1975">
      <w:pPr>
        <w:spacing w:before="133" w:line="242" w:lineRule="auto"/>
        <w:ind w:left="461"/>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2．招标文件规定的投标人应当缴纳保证金的其他情形。</w:t>
      </w:r>
    </w:p>
    <w:p w14:paraId="137AD230">
      <w:pPr>
        <w:spacing w:before="132" w:line="359" w:lineRule="auto"/>
        <w:ind w:left="39" w:right="90" w:firstLine="426"/>
        <w:rPr>
          <w:rFonts w:ascii="宋体" w:hAnsi="宋体" w:eastAsia="宋体" w:cs="宋体"/>
          <w:color w:val="auto"/>
          <w:sz w:val="21"/>
          <w:szCs w:val="21"/>
          <w:highlight w:val="none"/>
        </w:rPr>
      </w:pPr>
      <w:r>
        <w:rPr>
          <w:rFonts w:ascii="宋体" w:hAnsi="宋体" w:eastAsia="宋体" w:cs="宋体"/>
          <w:color w:val="auto"/>
          <w:spacing w:val="3"/>
          <w:sz w:val="21"/>
          <w:szCs w:val="21"/>
          <w:highlight w:val="none"/>
        </w:rPr>
        <w:t>(二) 我方承担保证责任的最高金额为人民币</w:t>
      </w:r>
      <w:r>
        <w:rPr>
          <w:rFonts w:ascii="宋体" w:hAnsi="宋体" w:eastAsia="宋体" w:cs="宋体"/>
          <w:color w:val="auto"/>
          <w:spacing w:val="3"/>
          <w:sz w:val="21"/>
          <w:szCs w:val="21"/>
          <w:highlight w:val="none"/>
          <w:u w:val="single" w:color="auto"/>
        </w:rPr>
        <w:t xml:space="preserve">      </w:t>
      </w:r>
      <w:r>
        <w:rPr>
          <w:rFonts w:ascii="宋体" w:hAnsi="宋体" w:eastAsia="宋体" w:cs="宋体"/>
          <w:color w:val="auto"/>
          <w:spacing w:val="3"/>
          <w:sz w:val="21"/>
          <w:szCs w:val="21"/>
          <w:highlight w:val="none"/>
        </w:rPr>
        <w:t>元(大写</w:t>
      </w:r>
      <w:r>
        <w:rPr>
          <w:rFonts w:ascii="宋体" w:hAnsi="宋体" w:eastAsia="宋体" w:cs="宋体"/>
          <w:color w:val="auto"/>
          <w:spacing w:val="3"/>
          <w:sz w:val="21"/>
          <w:szCs w:val="21"/>
          <w:highlight w:val="none"/>
          <w:u w:val="single" w:color="auto"/>
        </w:rPr>
        <w:t xml:space="preserve">                  </w:t>
      </w:r>
      <w:r>
        <w:rPr>
          <w:rFonts w:ascii="宋体" w:hAnsi="宋体" w:eastAsia="宋体" w:cs="宋体"/>
          <w:color w:val="auto"/>
          <w:spacing w:val="3"/>
          <w:sz w:val="21"/>
          <w:szCs w:val="21"/>
          <w:highlight w:val="none"/>
        </w:rPr>
        <w:t>) ，即本</w:t>
      </w:r>
      <w:r>
        <w:rPr>
          <w:rFonts w:ascii="宋体" w:hAnsi="宋体" w:eastAsia="宋体" w:cs="宋体"/>
          <w:color w:val="auto"/>
          <w:spacing w:val="1"/>
          <w:sz w:val="21"/>
          <w:szCs w:val="21"/>
          <w:highlight w:val="none"/>
        </w:rPr>
        <w:t>项</w:t>
      </w:r>
      <w:r>
        <w:rPr>
          <w:rFonts w:ascii="宋体" w:hAnsi="宋体" w:eastAsia="宋体" w:cs="宋体"/>
          <w:color w:val="auto"/>
          <w:sz w:val="21"/>
          <w:szCs w:val="21"/>
          <w:highlight w:val="none"/>
        </w:rPr>
        <w:t xml:space="preserve">目的 </w:t>
      </w:r>
      <w:r>
        <w:rPr>
          <w:rFonts w:ascii="宋体" w:hAnsi="宋体" w:eastAsia="宋体" w:cs="宋体"/>
          <w:color w:val="auto"/>
          <w:spacing w:val="-6"/>
          <w:sz w:val="21"/>
          <w:szCs w:val="21"/>
          <w:highlight w:val="none"/>
        </w:rPr>
        <w:t>投</w:t>
      </w:r>
      <w:r>
        <w:rPr>
          <w:rFonts w:ascii="宋体" w:hAnsi="宋体" w:eastAsia="宋体" w:cs="宋体"/>
          <w:color w:val="auto"/>
          <w:spacing w:val="-3"/>
          <w:sz w:val="21"/>
          <w:szCs w:val="21"/>
          <w:highlight w:val="none"/>
        </w:rPr>
        <w:t>标保证金金额。</w:t>
      </w:r>
    </w:p>
    <w:p w14:paraId="43A1C2B3">
      <w:pPr>
        <w:spacing w:line="221" w:lineRule="auto"/>
        <w:ind w:left="462"/>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二、</w:t>
      </w:r>
      <w:r>
        <w:rPr>
          <w:rFonts w:ascii="宋体" w:hAnsi="宋体" w:eastAsia="宋体" w:cs="宋体"/>
          <w:color w:val="auto"/>
          <w:sz w:val="21"/>
          <w:szCs w:val="21"/>
          <w:highlight w:val="none"/>
        </w:rPr>
        <w:t>保证的方式及保证期间</w:t>
      </w:r>
    </w:p>
    <w:p w14:paraId="4F090E2C">
      <w:pPr>
        <w:spacing w:before="157" w:line="221" w:lineRule="auto"/>
        <w:ind w:left="461"/>
        <w:rPr>
          <w:rFonts w:ascii="宋体" w:hAnsi="宋体" w:eastAsia="宋体" w:cs="宋体"/>
          <w:color w:val="auto"/>
          <w:sz w:val="21"/>
          <w:szCs w:val="21"/>
          <w:highlight w:val="none"/>
        </w:rPr>
      </w:pPr>
      <w:r>
        <w:rPr>
          <w:rFonts w:ascii="宋体" w:hAnsi="宋体" w:eastAsia="宋体" w:cs="宋体"/>
          <w:color w:val="auto"/>
          <w:spacing w:val="-14"/>
          <w:sz w:val="21"/>
          <w:szCs w:val="21"/>
          <w:highlight w:val="none"/>
        </w:rPr>
        <w:t>我</w:t>
      </w:r>
      <w:r>
        <w:rPr>
          <w:rFonts w:ascii="宋体" w:hAnsi="宋体" w:eastAsia="宋体" w:cs="宋体"/>
          <w:color w:val="auto"/>
          <w:spacing w:val="-12"/>
          <w:sz w:val="21"/>
          <w:szCs w:val="21"/>
          <w:highlight w:val="none"/>
        </w:rPr>
        <w:t>方</w:t>
      </w:r>
      <w:r>
        <w:rPr>
          <w:rFonts w:ascii="宋体" w:hAnsi="宋体" w:eastAsia="宋体" w:cs="宋体"/>
          <w:color w:val="auto"/>
          <w:spacing w:val="-7"/>
          <w:sz w:val="21"/>
          <w:szCs w:val="21"/>
          <w:highlight w:val="none"/>
        </w:rPr>
        <w:t>保证的方式为： 连带责任保证。</w:t>
      </w:r>
    </w:p>
    <w:p w14:paraId="3C34E53E">
      <w:pPr>
        <w:spacing w:before="156" w:line="220" w:lineRule="auto"/>
        <w:ind w:left="461"/>
        <w:rPr>
          <w:rFonts w:ascii="宋体" w:hAnsi="宋体" w:eastAsia="宋体" w:cs="宋体"/>
          <w:color w:val="auto"/>
          <w:sz w:val="21"/>
          <w:szCs w:val="21"/>
          <w:highlight w:val="none"/>
        </w:rPr>
      </w:pPr>
      <w:r>
        <w:rPr>
          <w:rFonts w:ascii="宋体" w:hAnsi="宋体" w:eastAsia="宋体" w:cs="宋体"/>
          <w:color w:val="auto"/>
          <w:spacing w:val="-6"/>
          <w:sz w:val="21"/>
          <w:szCs w:val="21"/>
          <w:highlight w:val="none"/>
        </w:rPr>
        <w:t>我</w:t>
      </w:r>
      <w:r>
        <w:rPr>
          <w:rFonts w:ascii="宋体" w:hAnsi="宋体" w:eastAsia="宋体" w:cs="宋体"/>
          <w:color w:val="auto"/>
          <w:spacing w:val="-4"/>
          <w:sz w:val="21"/>
          <w:szCs w:val="21"/>
          <w:highlight w:val="none"/>
        </w:rPr>
        <w:t>方的保证期间为： 自本保函生效之日起</w:t>
      </w:r>
      <w:r>
        <w:rPr>
          <w:rFonts w:ascii="宋体" w:hAnsi="宋体" w:eastAsia="宋体" w:cs="宋体"/>
          <w:color w:val="auto"/>
          <w:spacing w:val="-4"/>
          <w:sz w:val="21"/>
          <w:szCs w:val="21"/>
          <w:highlight w:val="none"/>
          <w:u w:val="single" w:color="auto"/>
        </w:rPr>
        <w:t xml:space="preserve">    </w:t>
      </w:r>
      <w:r>
        <w:rPr>
          <w:rFonts w:ascii="宋体" w:hAnsi="宋体" w:eastAsia="宋体" w:cs="宋体"/>
          <w:color w:val="auto"/>
          <w:spacing w:val="-4"/>
          <w:sz w:val="21"/>
          <w:szCs w:val="21"/>
          <w:highlight w:val="none"/>
        </w:rPr>
        <w:t>个月止。</w:t>
      </w:r>
    </w:p>
    <w:p w14:paraId="610E1F0D">
      <w:pPr>
        <w:spacing w:before="163" w:line="221" w:lineRule="auto"/>
        <w:ind w:left="459"/>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三、承担</w:t>
      </w:r>
      <w:r>
        <w:rPr>
          <w:rFonts w:ascii="宋体" w:hAnsi="宋体" w:eastAsia="宋体" w:cs="宋体"/>
          <w:color w:val="auto"/>
          <w:sz w:val="21"/>
          <w:szCs w:val="21"/>
          <w:highlight w:val="none"/>
        </w:rPr>
        <w:t>保证责任的程序</w:t>
      </w:r>
    </w:p>
    <w:p w14:paraId="0274103E">
      <w:pPr>
        <w:spacing w:before="156" w:line="359" w:lineRule="auto"/>
        <w:ind w:left="37" w:right="98" w:firstLine="438"/>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1．你方要求我方承担保证责任的，应在本保函保证期间内向我方发出书面索赔通</w:t>
      </w:r>
      <w:r>
        <w:rPr>
          <w:rFonts w:ascii="宋体" w:hAnsi="宋体" w:eastAsia="宋体" w:cs="宋体"/>
          <w:color w:val="auto"/>
          <w:sz w:val="21"/>
          <w:szCs w:val="21"/>
          <w:highlight w:val="none"/>
        </w:rPr>
        <w:t xml:space="preserve">知。索赔通知应 </w:t>
      </w:r>
      <w:r>
        <w:rPr>
          <w:rFonts w:ascii="宋体" w:hAnsi="宋体" w:eastAsia="宋体" w:cs="宋体"/>
          <w:color w:val="auto"/>
          <w:spacing w:val="-6"/>
          <w:sz w:val="21"/>
          <w:szCs w:val="21"/>
          <w:highlight w:val="none"/>
        </w:rPr>
        <w:t>写明要求</w:t>
      </w:r>
      <w:r>
        <w:rPr>
          <w:rFonts w:ascii="宋体" w:hAnsi="宋体" w:eastAsia="宋体" w:cs="宋体"/>
          <w:color w:val="auto"/>
          <w:spacing w:val="-5"/>
          <w:sz w:val="21"/>
          <w:szCs w:val="21"/>
          <w:highlight w:val="none"/>
        </w:rPr>
        <w:t>索</w:t>
      </w:r>
      <w:r>
        <w:rPr>
          <w:rFonts w:ascii="宋体" w:hAnsi="宋体" w:eastAsia="宋体" w:cs="宋体"/>
          <w:color w:val="auto"/>
          <w:spacing w:val="-3"/>
          <w:sz w:val="21"/>
          <w:szCs w:val="21"/>
          <w:highlight w:val="none"/>
        </w:rPr>
        <w:t>赔的金额，支付款项应到达的账号， 并附有证明投标人发生我方应承担保证责任情形的事实</w:t>
      </w:r>
      <w:r>
        <w:rPr>
          <w:rFonts w:ascii="宋体" w:hAnsi="宋体" w:eastAsia="宋体" w:cs="宋体"/>
          <w:color w:val="auto"/>
          <w:sz w:val="21"/>
          <w:szCs w:val="21"/>
          <w:highlight w:val="none"/>
        </w:rPr>
        <w:t xml:space="preserve"> </w:t>
      </w:r>
      <w:r>
        <w:rPr>
          <w:rFonts w:ascii="宋体" w:hAnsi="宋体" w:eastAsia="宋体" w:cs="宋体"/>
          <w:color w:val="auto"/>
          <w:spacing w:val="-8"/>
          <w:sz w:val="21"/>
          <w:szCs w:val="21"/>
          <w:highlight w:val="none"/>
        </w:rPr>
        <w:t>材料。</w:t>
      </w:r>
    </w:p>
    <w:p w14:paraId="67C6199B">
      <w:pPr>
        <w:spacing w:before="2" w:line="358" w:lineRule="auto"/>
        <w:ind w:left="39" w:right="100" w:firstLine="422"/>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2．我方在收</w:t>
      </w:r>
      <w:r>
        <w:rPr>
          <w:rFonts w:ascii="宋体" w:hAnsi="宋体" w:eastAsia="宋体" w:cs="宋体"/>
          <w:color w:val="auto"/>
          <w:spacing w:val="1"/>
          <w:sz w:val="21"/>
          <w:szCs w:val="21"/>
          <w:highlight w:val="none"/>
        </w:rPr>
        <w:t>到索赔通知及相关证明材料后，在</w:t>
      </w:r>
      <w:r>
        <w:rPr>
          <w:rFonts w:ascii="宋体" w:hAnsi="宋体" w:eastAsia="宋体" w:cs="宋体"/>
          <w:color w:val="auto"/>
          <w:spacing w:val="1"/>
          <w:sz w:val="21"/>
          <w:szCs w:val="21"/>
          <w:highlight w:val="none"/>
          <w:u w:val="single" w:color="auto"/>
        </w:rPr>
        <w:t xml:space="preserve">    </w:t>
      </w:r>
      <w:r>
        <w:rPr>
          <w:rFonts w:ascii="宋体" w:hAnsi="宋体" w:eastAsia="宋体" w:cs="宋体"/>
          <w:color w:val="auto"/>
          <w:spacing w:val="1"/>
          <w:sz w:val="21"/>
          <w:szCs w:val="21"/>
          <w:highlight w:val="none"/>
        </w:rPr>
        <w:t>个工作日内进行审查，符合应承担保证责任情</w:t>
      </w:r>
      <w:r>
        <w:rPr>
          <w:rFonts w:ascii="宋体" w:hAnsi="宋体" w:eastAsia="宋体" w:cs="宋体"/>
          <w:color w:val="auto"/>
          <w:sz w:val="21"/>
          <w:szCs w:val="21"/>
          <w:highlight w:val="none"/>
        </w:rPr>
        <w:t xml:space="preserve"> </w:t>
      </w:r>
      <w:r>
        <w:rPr>
          <w:rFonts w:ascii="宋体" w:hAnsi="宋体" w:eastAsia="宋体" w:cs="宋体"/>
          <w:color w:val="auto"/>
          <w:spacing w:val="-2"/>
          <w:sz w:val="21"/>
          <w:szCs w:val="21"/>
          <w:highlight w:val="none"/>
        </w:rPr>
        <w:t>形的，我</w:t>
      </w:r>
      <w:r>
        <w:rPr>
          <w:rFonts w:ascii="宋体" w:hAnsi="宋体" w:eastAsia="宋体" w:cs="宋体"/>
          <w:color w:val="auto"/>
          <w:spacing w:val="-1"/>
          <w:sz w:val="21"/>
          <w:szCs w:val="21"/>
          <w:highlight w:val="none"/>
        </w:rPr>
        <w:t>方应按照你方的要求代投标人向你方支付投标保证金。</w:t>
      </w:r>
    </w:p>
    <w:p w14:paraId="048AB3D8">
      <w:pPr>
        <w:spacing w:before="1" w:line="220" w:lineRule="auto"/>
        <w:ind w:left="479"/>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四、保证责任的</w:t>
      </w:r>
      <w:r>
        <w:rPr>
          <w:rFonts w:ascii="宋体" w:hAnsi="宋体" w:eastAsia="宋体" w:cs="宋体"/>
          <w:color w:val="auto"/>
          <w:spacing w:val="-1"/>
          <w:sz w:val="21"/>
          <w:szCs w:val="21"/>
          <w:highlight w:val="none"/>
        </w:rPr>
        <w:t>终止</w:t>
      </w:r>
    </w:p>
    <w:p w14:paraId="0FEF2402">
      <w:pPr>
        <w:spacing w:before="156" w:line="361" w:lineRule="auto"/>
        <w:ind w:left="40" w:right="117" w:firstLine="434"/>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1．保证期间届满你方未向我方书面主张保证责</w:t>
      </w:r>
      <w:r>
        <w:rPr>
          <w:rFonts w:ascii="宋体" w:hAnsi="宋体" w:eastAsia="宋体" w:cs="宋体"/>
          <w:color w:val="auto"/>
          <w:sz w:val="21"/>
          <w:szCs w:val="21"/>
          <w:highlight w:val="none"/>
        </w:rPr>
        <w:t xml:space="preserve">任的，自保证期间届满次日起，我方保证责任自动 </w:t>
      </w:r>
      <w:r>
        <w:rPr>
          <w:rFonts w:ascii="宋体" w:hAnsi="宋体" w:eastAsia="宋体" w:cs="宋体"/>
          <w:color w:val="auto"/>
          <w:spacing w:val="-11"/>
          <w:sz w:val="21"/>
          <w:szCs w:val="21"/>
          <w:highlight w:val="none"/>
        </w:rPr>
        <w:t>终</w:t>
      </w:r>
      <w:r>
        <w:rPr>
          <w:rFonts w:ascii="宋体" w:hAnsi="宋体" w:eastAsia="宋体" w:cs="宋体"/>
          <w:color w:val="auto"/>
          <w:spacing w:val="-8"/>
          <w:sz w:val="21"/>
          <w:szCs w:val="21"/>
          <w:highlight w:val="none"/>
        </w:rPr>
        <w:t>止。</w:t>
      </w:r>
    </w:p>
    <w:p w14:paraId="3EDC814B">
      <w:pPr>
        <w:spacing w:before="2" w:line="358" w:lineRule="auto"/>
        <w:ind w:left="38" w:firstLine="423"/>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2．我方按照本保函向你方履</w:t>
      </w:r>
      <w:r>
        <w:rPr>
          <w:rFonts w:ascii="宋体" w:hAnsi="宋体" w:eastAsia="宋体" w:cs="宋体"/>
          <w:color w:val="auto"/>
          <w:spacing w:val="-1"/>
          <w:sz w:val="21"/>
          <w:szCs w:val="21"/>
          <w:highlight w:val="none"/>
        </w:rPr>
        <w:t>行了保证责任后， 自我方向你方支付款项(支付款项从我方账户划出)</w:t>
      </w:r>
      <w:r>
        <w:rPr>
          <w:rFonts w:ascii="宋体" w:hAnsi="宋体" w:eastAsia="宋体" w:cs="宋体"/>
          <w:color w:val="auto"/>
          <w:sz w:val="21"/>
          <w:szCs w:val="21"/>
          <w:highlight w:val="none"/>
        </w:rPr>
        <w:t xml:space="preserve"> </w:t>
      </w:r>
      <w:r>
        <w:rPr>
          <w:rFonts w:ascii="宋体" w:hAnsi="宋体" w:eastAsia="宋体" w:cs="宋体"/>
          <w:color w:val="auto"/>
          <w:spacing w:val="-2"/>
          <w:sz w:val="21"/>
          <w:szCs w:val="21"/>
          <w:highlight w:val="none"/>
        </w:rPr>
        <w:t>之日起，保证责任终止</w:t>
      </w:r>
      <w:r>
        <w:rPr>
          <w:rFonts w:ascii="宋体" w:hAnsi="宋体" w:eastAsia="宋体" w:cs="宋体"/>
          <w:color w:val="auto"/>
          <w:spacing w:val="-1"/>
          <w:sz w:val="21"/>
          <w:szCs w:val="21"/>
          <w:highlight w:val="none"/>
        </w:rPr>
        <w:t>。</w:t>
      </w:r>
    </w:p>
    <w:p w14:paraId="31B7ECAE">
      <w:pPr>
        <w:spacing w:before="2" w:line="358" w:lineRule="auto"/>
        <w:ind w:left="40" w:right="103" w:firstLine="423"/>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3．按照</w:t>
      </w:r>
      <w:r>
        <w:rPr>
          <w:rFonts w:ascii="宋体" w:hAnsi="宋体" w:eastAsia="宋体" w:cs="宋体"/>
          <w:color w:val="auto"/>
          <w:spacing w:val="1"/>
          <w:sz w:val="21"/>
          <w:szCs w:val="21"/>
          <w:highlight w:val="none"/>
        </w:rPr>
        <w:t>法律法规的规定或出现我方保证责任终止的其它情形的，我方在本保函项下的保证责任亦</w:t>
      </w:r>
      <w:r>
        <w:rPr>
          <w:rFonts w:ascii="宋体" w:hAnsi="宋体" w:eastAsia="宋体" w:cs="宋体"/>
          <w:color w:val="auto"/>
          <w:sz w:val="21"/>
          <w:szCs w:val="21"/>
          <w:highlight w:val="none"/>
        </w:rPr>
        <w:t xml:space="preserve"> </w:t>
      </w:r>
      <w:r>
        <w:rPr>
          <w:rFonts w:ascii="宋体" w:hAnsi="宋体" w:eastAsia="宋体" w:cs="宋体"/>
          <w:color w:val="auto"/>
          <w:spacing w:val="-11"/>
          <w:sz w:val="21"/>
          <w:szCs w:val="21"/>
          <w:highlight w:val="none"/>
        </w:rPr>
        <w:t>终</w:t>
      </w:r>
      <w:r>
        <w:rPr>
          <w:rFonts w:ascii="宋体" w:hAnsi="宋体" w:eastAsia="宋体" w:cs="宋体"/>
          <w:color w:val="auto"/>
          <w:spacing w:val="-8"/>
          <w:sz w:val="21"/>
          <w:szCs w:val="21"/>
          <w:highlight w:val="none"/>
        </w:rPr>
        <w:t>止。</w:t>
      </w:r>
    </w:p>
    <w:p w14:paraId="017D387F">
      <w:pPr>
        <w:spacing w:before="1" w:line="220" w:lineRule="auto"/>
        <w:ind w:left="462"/>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五、免责</w:t>
      </w:r>
      <w:r>
        <w:rPr>
          <w:rFonts w:ascii="宋体" w:hAnsi="宋体" w:eastAsia="宋体" w:cs="宋体"/>
          <w:color w:val="auto"/>
          <w:sz w:val="21"/>
          <w:szCs w:val="21"/>
          <w:highlight w:val="none"/>
        </w:rPr>
        <w:t>条款</w:t>
      </w:r>
    </w:p>
    <w:p w14:paraId="1F535A68">
      <w:pPr>
        <w:spacing w:before="157" w:line="368" w:lineRule="auto"/>
        <w:ind w:left="42" w:right="103" w:firstLine="432"/>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1．依照法律规定或你方与投标人的另行约定，全部或者部分免除投标人投标保证</w:t>
      </w:r>
      <w:r>
        <w:rPr>
          <w:rFonts w:ascii="宋体" w:hAnsi="宋体" w:eastAsia="宋体" w:cs="宋体"/>
          <w:color w:val="auto"/>
          <w:sz w:val="21"/>
          <w:szCs w:val="21"/>
          <w:highlight w:val="none"/>
        </w:rPr>
        <w:t xml:space="preserve">金义务时，我方 </w:t>
      </w:r>
      <w:r>
        <w:rPr>
          <w:rFonts w:ascii="宋体" w:hAnsi="宋体" w:eastAsia="宋体" w:cs="宋体"/>
          <w:color w:val="auto"/>
          <w:spacing w:val="-4"/>
          <w:sz w:val="21"/>
          <w:szCs w:val="21"/>
          <w:highlight w:val="none"/>
        </w:rPr>
        <w:t>亦</w:t>
      </w:r>
      <w:r>
        <w:rPr>
          <w:rFonts w:ascii="宋体" w:hAnsi="宋体" w:eastAsia="宋体" w:cs="宋体"/>
          <w:color w:val="auto"/>
          <w:spacing w:val="-3"/>
          <w:sz w:val="21"/>
          <w:szCs w:val="21"/>
          <w:highlight w:val="none"/>
        </w:rPr>
        <w:t>免</w:t>
      </w:r>
      <w:r>
        <w:rPr>
          <w:rFonts w:ascii="宋体" w:hAnsi="宋体" w:eastAsia="宋体" w:cs="宋体"/>
          <w:color w:val="auto"/>
          <w:spacing w:val="-2"/>
          <w:sz w:val="21"/>
          <w:szCs w:val="21"/>
          <w:highlight w:val="none"/>
        </w:rPr>
        <w:t>除相应的保证责任。</w:t>
      </w:r>
    </w:p>
    <w:p w14:paraId="5440F0CC">
      <w:pPr>
        <w:rPr>
          <w:color w:val="auto"/>
          <w:highlight w:val="none"/>
        </w:rPr>
        <w:sectPr>
          <w:footerReference r:id="rId8" w:type="default"/>
          <w:pgSz w:w="11905" w:h="16839"/>
          <w:pgMar w:top="1238" w:right="1144" w:bottom="1150" w:left="1219" w:header="917" w:footer="988" w:gutter="0"/>
          <w:pgBorders>
            <w:top w:val="none" w:sz="0" w:space="0"/>
            <w:left w:val="none" w:sz="0" w:space="0"/>
            <w:bottom w:val="none" w:sz="0" w:space="0"/>
            <w:right w:val="none" w:sz="0" w:space="0"/>
          </w:pgBorders>
          <w:pgNumType w:fmt="decimal"/>
          <w:cols w:space="720" w:num="1"/>
        </w:sectPr>
      </w:pPr>
    </w:p>
    <w:p w14:paraId="15928854">
      <w:pPr>
        <w:spacing w:before="97" w:line="242" w:lineRule="auto"/>
        <w:ind w:left="461"/>
        <w:rPr>
          <w:rFonts w:ascii="宋体" w:hAnsi="宋体" w:eastAsia="宋体" w:cs="宋体"/>
          <w:color w:val="auto"/>
          <w:sz w:val="21"/>
          <w:szCs w:val="21"/>
          <w:highlight w:val="none"/>
        </w:rPr>
      </w:pPr>
      <w:r>
        <w:rPr>
          <w:rFonts w:ascii="宋体" w:hAnsi="宋体" w:eastAsia="宋体" w:cs="宋体"/>
          <w:color w:val="auto"/>
          <w:spacing w:val="5"/>
          <w:sz w:val="21"/>
          <w:szCs w:val="21"/>
          <w:highlight w:val="none"/>
        </w:rPr>
        <w:t>2．因你方原因致使投标人发生本保函第一条第(一)款约定情形的，我方不承担保证责任</w:t>
      </w:r>
      <w:r>
        <w:rPr>
          <w:rFonts w:ascii="宋体" w:hAnsi="宋体" w:eastAsia="宋体" w:cs="宋体"/>
          <w:color w:val="auto"/>
          <w:spacing w:val="2"/>
          <w:sz w:val="21"/>
          <w:szCs w:val="21"/>
          <w:highlight w:val="none"/>
        </w:rPr>
        <w:t>。</w:t>
      </w:r>
    </w:p>
    <w:p w14:paraId="1F3388E0">
      <w:pPr>
        <w:spacing w:before="132" w:line="241" w:lineRule="auto"/>
        <w:ind w:left="463"/>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3．因不可抗力造成投标人发生本保函第一条约定情形的，我方不承担保证</w:t>
      </w:r>
      <w:r>
        <w:rPr>
          <w:rFonts w:ascii="宋体" w:hAnsi="宋体" w:eastAsia="宋体" w:cs="宋体"/>
          <w:color w:val="auto"/>
          <w:sz w:val="21"/>
          <w:szCs w:val="21"/>
          <w:highlight w:val="none"/>
        </w:rPr>
        <w:t>责任。</w:t>
      </w:r>
    </w:p>
    <w:p w14:paraId="61C03B7D">
      <w:pPr>
        <w:spacing w:before="134" w:line="359" w:lineRule="auto"/>
        <w:ind w:left="40" w:right="37" w:firstLine="418"/>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4．你方或其他有权</w:t>
      </w:r>
      <w:r>
        <w:rPr>
          <w:rFonts w:ascii="宋体" w:hAnsi="宋体" w:eastAsia="宋体" w:cs="宋体"/>
          <w:color w:val="auto"/>
          <w:spacing w:val="1"/>
          <w:sz w:val="21"/>
          <w:szCs w:val="21"/>
          <w:highlight w:val="none"/>
        </w:rPr>
        <w:t>机关对招标文件进行任何澄清或修改，加重我方保证责任的，我方对加重部分</w:t>
      </w:r>
      <w:r>
        <w:rPr>
          <w:rFonts w:ascii="宋体" w:hAnsi="宋体" w:eastAsia="宋体" w:cs="宋体"/>
          <w:color w:val="auto"/>
          <w:sz w:val="21"/>
          <w:szCs w:val="21"/>
          <w:highlight w:val="none"/>
        </w:rPr>
        <w:t xml:space="preserve"> </w:t>
      </w:r>
      <w:r>
        <w:rPr>
          <w:rFonts w:ascii="宋体" w:hAnsi="宋体" w:eastAsia="宋体" w:cs="宋体"/>
          <w:color w:val="auto"/>
          <w:spacing w:val="-2"/>
          <w:sz w:val="21"/>
          <w:szCs w:val="21"/>
          <w:highlight w:val="none"/>
        </w:rPr>
        <w:t>不承担保证</w:t>
      </w:r>
      <w:r>
        <w:rPr>
          <w:rFonts w:ascii="宋体" w:hAnsi="宋体" w:eastAsia="宋体" w:cs="宋体"/>
          <w:color w:val="auto"/>
          <w:spacing w:val="-1"/>
          <w:sz w:val="21"/>
          <w:szCs w:val="21"/>
          <w:highlight w:val="none"/>
        </w:rPr>
        <w:t>责任，但该澄清或修改经我方事先书面同意的除外。</w:t>
      </w:r>
    </w:p>
    <w:p w14:paraId="38C3D0A8">
      <w:pPr>
        <w:spacing w:line="220" w:lineRule="auto"/>
        <w:ind w:left="461"/>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六、</w:t>
      </w:r>
      <w:r>
        <w:rPr>
          <w:rFonts w:ascii="宋体" w:hAnsi="宋体" w:eastAsia="宋体" w:cs="宋体"/>
          <w:color w:val="auto"/>
          <w:sz w:val="21"/>
          <w:szCs w:val="21"/>
          <w:highlight w:val="none"/>
        </w:rPr>
        <w:t>争议的解决</w:t>
      </w:r>
    </w:p>
    <w:p w14:paraId="0C70B85D">
      <w:pPr>
        <w:spacing w:before="156" w:line="359" w:lineRule="auto"/>
        <w:ind w:left="37" w:right="27" w:firstLine="438"/>
        <w:rPr>
          <w:rFonts w:ascii="宋体" w:hAnsi="宋体" w:eastAsia="宋体" w:cs="宋体"/>
          <w:color w:val="auto"/>
          <w:sz w:val="21"/>
          <w:szCs w:val="21"/>
          <w:highlight w:val="none"/>
        </w:rPr>
      </w:pPr>
      <w:r>
        <w:rPr>
          <w:rFonts w:ascii="宋体" w:hAnsi="宋体" w:eastAsia="宋体" w:cs="宋体"/>
          <w:color w:val="auto"/>
          <w:spacing w:val="-6"/>
          <w:sz w:val="21"/>
          <w:szCs w:val="21"/>
          <w:highlight w:val="none"/>
        </w:rPr>
        <w:t>因本保函发生的纠纷，由你我双方协商解决， 如果协商不成的， 通过诉讼程序解决，诉讼管辖地的</w:t>
      </w:r>
      <w:r>
        <w:rPr>
          <w:rFonts w:ascii="宋体" w:hAnsi="宋体" w:eastAsia="宋体" w:cs="宋体"/>
          <w:color w:val="auto"/>
          <w:sz w:val="21"/>
          <w:szCs w:val="21"/>
          <w:highlight w:val="none"/>
        </w:rPr>
        <w:t xml:space="preserve"> </w:t>
      </w:r>
      <w:r>
        <w:rPr>
          <w:rFonts w:ascii="宋体" w:hAnsi="宋体" w:eastAsia="宋体" w:cs="宋体"/>
          <w:color w:val="auto"/>
          <w:spacing w:val="-8"/>
          <w:sz w:val="21"/>
          <w:szCs w:val="21"/>
          <w:highlight w:val="none"/>
        </w:rPr>
        <w:t>法院</w:t>
      </w:r>
      <w:r>
        <w:rPr>
          <w:rFonts w:ascii="宋体" w:hAnsi="宋体" w:eastAsia="宋体" w:cs="宋体"/>
          <w:color w:val="auto"/>
          <w:spacing w:val="-7"/>
          <w:sz w:val="21"/>
          <w:szCs w:val="21"/>
          <w:highlight w:val="none"/>
        </w:rPr>
        <w:t>为</w:t>
      </w:r>
      <w:r>
        <w:rPr>
          <w:rFonts w:ascii="宋体" w:hAnsi="宋体" w:eastAsia="宋体" w:cs="宋体"/>
          <w:color w:val="auto"/>
          <w:spacing w:val="-4"/>
          <w:sz w:val="21"/>
          <w:szCs w:val="21"/>
          <w:highlight w:val="none"/>
          <w:u w:val="single" w:color="auto"/>
        </w:rPr>
        <w:t xml:space="preserve">                 </w:t>
      </w:r>
      <w:r>
        <w:rPr>
          <w:rFonts w:ascii="宋体" w:hAnsi="宋体" w:eastAsia="宋体" w:cs="宋体"/>
          <w:color w:val="auto"/>
          <w:spacing w:val="-4"/>
          <w:sz w:val="21"/>
          <w:szCs w:val="21"/>
          <w:highlight w:val="none"/>
        </w:rPr>
        <w:t xml:space="preserve"> 法院。</w:t>
      </w:r>
    </w:p>
    <w:p w14:paraId="130D59A1">
      <w:pPr>
        <w:spacing w:line="221" w:lineRule="auto"/>
        <w:ind w:left="458"/>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七</w:t>
      </w:r>
      <w:r>
        <w:rPr>
          <w:rFonts w:ascii="宋体" w:hAnsi="宋体" w:eastAsia="宋体" w:cs="宋体"/>
          <w:color w:val="auto"/>
          <w:sz w:val="21"/>
          <w:szCs w:val="21"/>
          <w:highlight w:val="none"/>
        </w:rPr>
        <w:t>、保函的生效</w:t>
      </w:r>
    </w:p>
    <w:p w14:paraId="4A620FD5">
      <w:pPr>
        <w:spacing w:before="161" w:line="220" w:lineRule="auto"/>
        <w:ind w:left="460"/>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本保函自我方加盖公</w:t>
      </w:r>
      <w:r>
        <w:rPr>
          <w:rFonts w:ascii="宋体" w:hAnsi="宋体" w:eastAsia="宋体" w:cs="宋体"/>
          <w:color w:val="auto"/>
          <w:spacing w:val="-1"/>
          <w:sz w:val="21"/>
          <w:szCs w:val="21"/>
          <w:highlight w:val="none"/>
        </w:rPr>
        <w:t>章之日起生效。</w:t>
      </w:r>
    </w:p>
    <w:p w14:paraId="02E3E962">
      <w:pPr>
        <w:spacing w:line="247" w:lineRule="auto"/>
        <w:rPr>
          <w:rFonts w:ascii="Arial"/>
          <w:color w:val="auto"/>
          <w:sz w:val="21"/>
          <w:highlight w:val="none"/>
        </w:rPr>
      </w:pPr>
    </w:p>
    <w:p w14:paraId="376A1CA6">
      <w:pPr>
        <w:spacing w:line="247" w:lineRule="auto"/>
        <w:rPr>
          <w:rFonts w:ascii="Arial"/>
          <w:color w:val="auto"/>
          <w:sz w:val="21"/>
          <w:highlight w:val="none"/>
        </w:rPr>
      </w:pPr>
    </w:p>
    <w:p w14:paraId="0621D666">
      <w:pPr>
        <w:spacing w:before="68" w:line="408" w:lineRule="exact"/>
        <w:ind w:firstLine="6292" w:firstLineChars="2600"/>
        <w:rPr>
          <w:rFonts w:ascii="宋体" w:hAnsi="宋体" w:eastAsia="宋体" w:cs="宋体"/>
          <w:color w:val="auto"/>
          <w:spacing w:val="10"/>
          <w:position w:val="15"/>
          <w:sz w:val="21"/>
          <w:szCs w:val="21"/>
          <w:highlight w:val="none"/>
        </w:rPr>
      </w:pPr>
      <w:r>
        <w:rPr>
          <w:rFonts w:ascii="宋体" w:hAnsi="宋体" w:eastAsia="宋体" w:cs="宋体"/>
          <w:color w:val="auto"/>
          <w:spacing w:val="16"/>
          <w:position w:val="15"/>
          <w:sz w:val="21"/>
          <w:szCs w:val="21"/>
          <w:highlight w:val="none"/>
        </w:rPr>
        <w:t>保</w:t>
      </w:r>
      <w:r>
        <w:rPr>
          <w:rFonts w:ascii="宋体" w:hAnsi="宋体" w:eastAsia="宋体" w:cs="宋体"/>
          <w:color w:val="auto"/>
          <w:spacing w:val="10"/>
          <w:position w:val="15"/>
          <w:sz w:val="21"/>
          <w:szCs w:val="21"/>
          <w:highlight w:val="none"/>
        </w:rPr>
        <w:t>证人：(公章)</w:t>
      </w:r>
    </w:p>
    <w:p w14:paraId="6E37441F">
      <w:pPr>
        <w:pStyle w:val="24"/>
        <w:rPr>
          <w:color w:val="auto"/>
          <w:highlight w:val="none"/>
        </w:rPr>
      </w:pPr>
    </w:p>
    <w:p w14:paraId="22A7B039">
      <w:pPr>
        <w:tabs>
          <w:tab w:val="left" w:pos="4662"/>
        </w:tabs>
        <w:spacing w:before="1" w:line="220" w:lineRule="auto"/>
        <w:ind w:firstLine="6480" w:firstLineChars="3000"/>
        <w:rPr>
          <w:rFonts w:ascii="宋体" w:hAnsi="宋体" w:eastAsia="宋体" w:cs="宋体"/>
          <w:color w:val="auto"/>
          <w:sz w:val="21"/>
          <w:szCs w:val="21"/>
          <w:highlight w:val="none"/>
        </w:rPr>
      </w:pPr>
      <w:r>
        <w:rPr>
          <w:rFonts w:ascii="宋体" w:hAnsi="宋体" w:eastAsia="宋体" w:cs="宋体"/>
          <w:color w:val="auto"/>
          <w:spacing w:val="3"/>
          <w:sz w:val="21"/>
          <w:szCs w:val="21"/>
          <w:highlight w:val="none"/>
        </w:rPr>
        <w:t>年</w:t>
      </w:r>
      <w:r>
        <w:rPr>
          <w:rFonts w:hint="eastAsia" w:ascii="宋体" w:hAnsi="宋体" w:eastAsia="宋体" w:cs="宋体"/>
          <w:color w:val="auto"/>
          <w:spacing w:val="3"/>
          <w:sz w:val="21"/>
          <w:szCs w:val="21"/>
          <w:highlight w:val="none"/>
          <w:lang w:val="en-US" w:eastAsia="zh-CN"/>
        </w:rPr>
        <w:t xml:space="preserve">   </w:t>
      </w:r>
      <w:r>
        <w:rPr>
          <w:rFonts w:ascii="宋体" w:hAnsi="宋体" w:eastAsia="宋体" w:cs="宋体"/>
          <w:color w:val="auto"/>
          <w:spacing w:val="3"/>
          <w:sz w:val="21"/>
          <w:szCs w:val="21"/>
          <w:highlight w:val="none"/>
        </w:rPr>
        <w:t xml:space="preserve"> 月</w:t>
      </w:r>
      <w:r>
        <w:rPr>
          <w:rFonts w:hint="eastAsia" w:ascii="宋体" w:hAnsi="宋体" w:eastAsia="宋体" w:cs="宋体"/>
          <w:color w:val="auto"/>
          <w:spacing w:val="3"/>
          <w:sz w:val="21"/>
          <w:szCs w:val="21"/>
          <w:highlight w:val="none"/>
          <w:lang w:val="en-US" w:eastAsia="zh-CN"/>
        </w:rPr>
        <w:t xml:space="preserve">   </w:t>
      </w:r>
      <w:r>
        <w:rPr>
          <w:rFonts w:ascii="宋体" w:hAnsi="宋体" w:eastAsia="宋体" w:cs="宋体"/>
          <w:color w:val="auto"/>
          <w:spacing w:val="1"/>
          <w:sz w:val="21"/>
          <w:szCs w:val="21"/>
          <w:highlight w:val="none"/>
        </w:rPr>
        <w:t>日</w:t>
      </w:r>
    </w:p>
    <w:p w14:paraId="7A1C8468">
      <w:pPr>
        <w:spacing w:line="267" w:lineRule="auto"/>
        <w:rPr>
          <w:rFonts w:ascii="Arial"/>
          <w:color w:val="auto"/>
          <w:sz w:val="21"/>
          <w:highlight w:val="none"/>
        </w:rPr>
      </w:pPr>
    </w:p>
    <w:p w14:paraId="5367B4AE">
      <w:pPr>
        <w:pStyle w:val="24"/>
        <w:ind w:left="0" w:leftChars="0" w:firstLine="0" w:firstLineChars="0"/>
        <w:rPr>
          <w:color w:val="auto"/>
          <w:highlight w:val="none"/>
        </w:rPr>
      </w:pPr>
    </w:p>
    <w:p w14:paraId="4AEA3B68">
      <w:pPr>
        <w:spacing w:before="69" w:line="287" w:lineRule="auto"/>
        <w:ind w:left="36" w:right="32" w:firstLine="3"/>
        <w:rPr>
          <w:color w:val="auto"/>
          <w:highlight w:val="none"/>
        </w:rPr>
        <w:sectPr>
          <w:headerReference r:id="rId9" w:type="default"/>
          <w:footerReference r:id="rId10" w:type="default"/>
          <w:pgSz w:w="11905" w:h="16839"/>
          <w:pgMar w:top="1238" w:right="1210" w:bottom="1150" w:left="1219" w:header="917" w:footer="988" w:gutter="0"/>
          <w:pgBorders>
            <w:top w:val="none" w:sz="0" w:space="0"/>
            <w:left w:val="none" w:sz="0" w:space="0"/>
            <w:bottom w:val="none" w:sz="0" w:space="0"/>
            <w:right w:val="none" w:sz="0" w:space="0"/>
          </w:pgBorders>
          <w:pgNumType w:fmt="decimal"/>
          <w:cols w:space="720" w:num="1"/>
        </w:sectPr>
      </w:pPr>
      <w:r>
        <w:rPr>
          <w:rFonts w:ascii="宋体" w:hAnsi="宋体" w:eastAsia="宋体" w:cs="宋体"/>
          <w:color w:val="auto"/>
          <w:spacing w:val="-14"/>
          <w:sz w:val="21"/>
          <w:szCs w:val="21"/>
          <w:highlight w:val="none"/>
        </w:rPr>
        <w:t xml:space="preserve">备注： </w:t>
      </w:r>
      <w:r>
        <w:rPr>
          <w:rFonts w:ascii="宋体" w:hAnsi="宋体" w:eastAsia="宋体" w:cs="宋体"/>
          <w:color w:val="auto"/>
          <w:spacing w:val="-7"/>
          <w:sz w:val="21"/>
          <w:szCs w:val="21"/>
          <w:highlight w:val="none"/>
        </w:rPr>
        <w:t>招标文件规定接受“投标担保函”形式递交投标保证金的可以按上述格式递交， 否则， 按招标文</w:t>
      </w:r>
      <w:r>
        <w:rPr>
          <w:rFonts w:ascii="宋体" w:hAnsi="宋体" w:eastAsia="宋体" w:cs="宋体"/>
          <w:color w:val="auto"/>
          <w:spacing w:val="-1"/>
          <w:sz w:val="21"/>
          <w:szCs w:val="21"/>
          <w:highlight w:val="none"/>
        </w:rPr>
        <w:t>件规</w:t>
      </w:r>
      <w:r>
        <w:rPr>
          <w:rFonts w:ascii="宋体" w:hAnsi="宋体" w:eastAsia="宋体" w:cs="宋体"/>
          <w:color w:val="auto"/>
          <w:sz w:val="21"/>
          <w:szCs w:val="21"/>
          <w:highlight w:val="none"/>
        </w:rPr>
        <w:t>定其他方式递交。</w:t>
      </w:r>
    </w:p>
    <w:p w14:paraId="78343D77">
      <w:pPr>
        <w:spacing w:before="112" w:line="220" w:lineRule="auto"/>
        <w:rPr>
          <w:rFonts w:ascii="宋体" w:hAnsi="宋体" w:eastAsia="宋体" w:cs="宋体"/>
          <w:b/>
          <w:bCs/>
          <w:color w:val="auto"/>
          <w:spacing w:val="-23"/>
          <w:sz w:val="32"/>
          <w:szCs w:val="32"/>
          <w:highlight w:val="none"/>
        </w:rPr>
      </w:pPr>
      <w:r>
        <w:rPr>
          <w:rFonts w:ascii="宋体" w:hAnsi="宋体" w:eastAsia="宋体" w:cs="宋体"/>
          <w:b/>
          <w:bCs/>
          <w:color w:val="auto"/>
          <w:spacing w:val="-25"/>
          <w:sz w:val="32"/>
          <w:szCs w:val="32"/>
          <w:highlight w:val="none"/>
        </w:rPr>
        <w:t>附</w:t>
      </w:r>
      <w:r>
        <w:rPr>
          <w:rFonts w:ascii="宋体" w:hAnsi="宋体" w:eastAsia="宋体" w:cs="宋体"/>
          <w:b/>
          <w:bCs/>
          <w:color w:val="auto"/>
          <w:spacing w:val="-23"/>
          <w:sz w:val="32"/>
          <w:szCs w:val="32"/>
          <w:highlight w:val="none"/>
        </w:rPr>
        <w:t>件 5</w:t>
      </w:r>
    </w:p>
    <w:p w14:paraId="0D255114">
      <w:pPr>
        <w:shd w:val="clear" w:color="auto" w:fill="auto"/>
        <w:adjustRightInd w:val="0"/>
        <w:snapToGrid w:val="0"/>
        <w:spacing w:line="360" w:lineRule="auto"/>
        <w:jc w:val="center"/>
        <w:rPr>
          <w:rFonts w:ascii="宋体" w:hAnsi="宋体" w:cs="宋体"/>
          <w:color w:val="auto"/>
          <w:kern w:val="0"/>
          <w:szCs w:val="21"/>
          <w:highlight w:val="none"/>
        </w:rPr>
      </w:pPr>
      <w:r>
        <w:rPr>
          <w:rFonts w:hint="eastAsia" w:ascii="宋体" w:hAnsi="宋体" w:cs="宋体"/>
          <w:color w:val="auto"/>
          <w:kern w:val="0"/>
          <w:sz w:val="28"/>
          <w:szCs w:val="28"/>
          <w:highlight w:val="none"/>
        </w:rPr>
        <w:t>政府采购履约担保函</w:t>
      </w:r>
    </w:p>
    <w:p w14:paraId="3A643520">
      <w:pPr>
        <w:shd w:val="clear" w:color="auto" w:fill="auto"/>
        <w:adjustRightInd w:val="0"/>
        <w:snapToGrid w:val="0"/>
        <w:spacing w:line="360" w:lineRule="auto"/>
        <w:ind w:firstLine="5040" w:firstLineChars="2400"/>
        <w:rPr>
          <w:rFonts w:ascii="宋体" w:hAnsi="宋体" w:cs="宋体"/>
          <w:b/>
          <w:color w:val="auto"/>
          <w:kern w:val="0"/>
          <w:szCs w:val="21"/>
          <w:highlight w:val="none"/>
        </w:rPr>
      </w:pPr>
      <w:r>
        <w:rPr>
          <w:rFonts w:hint="eastAsia" w:ascii="宋体" w:hAnsi="宋体" w:cs="宋体"/>
          <w:color w:val="auto"/>
          <w:kern w:val="0"/>
          <w:szCs w:val="21"/>
          <w:highlight w:val="none"/>
        </w:rPr>
        <w:t xml:space="preserve">              编号：</w:t>
      </w:r>
      <w:r>
        <w:rPr>
          <w:rFonts w:hint="eastAsia" w:ascii="宋体" w:hAnsi="宋体" w:cs="宋体"/>
          <w:color w:val="auto"/>
          <w:kern w:val="0"/>
          <w:szCs w:val="21"/>
          <w:highlight w:val="none"/>
          <w:u w:val="single"/>
        </w:rPr>
        <w:t xml:space="preserve">              </w:t>
      </w:r>
    </w:p>
    <w:p w14:paraId="6E0C3E13">
      <w:pPr>
        <w:shd w:val="clear" w:color="auto" w:fill="auto"/>
        <w:adjustRightInd w:val="0"/>
        <w:snapToGrid w:val="0"/>
        <w:spacing w:line="360" w:lineRule="auto"/>
        <w:rPr>
          <w:rFonts w:ascii="宋体" w:hAnsi="宋体" w:cs="宋体"/>
          <w:color w:val="auto"/>
          <w:kern w:val="0"/>
          <w:szCs w:val="21"/>
          <w:highlight w:val="none"/>
        </w:rPr>
      </w:pPr>
      <w:r>
        <w:rPr>
          <w:rFonts w:hint="eastAsia" w:ascii="宋体" w:hAnsi="宋体" w:cs="宋体"/>
          <w:color w:val="auto"/>
          <w:kern w:val="0"/>
          <w:szCs w:val="21"/>
          <w:highlight w:val="none"/>
        </w:rPr>
        <w:t xml:space="preserve"> </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 xml:space="preserve">（采购人）： </w:t>
      </w:r>
    </w:p>
    <w:p w14:paraId="2708F36C">
      <w:pPr>
        <w:shd w:val="clear" w:color="auto" w:fill="auto"/>
        <w:adjustRightInd w:val="0"/>
        <w:snapToGri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鉴于你方与</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（以下简称供应商）于</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年</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月</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日签定编号为</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的《</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政府采购合同》（以下简称主合同），且依据该合同的约定，供应商应在</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年</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月</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日前向你方交纳履约保证金，且可以履约担保函的形式交纳履约保证金。应供应商的申请，我方以保证的方式向你方提供如下履约保证金担保：</w:t>
      </w:r>
    </w:p>
    <w:p w14:paraId="34A28485">
      <w:pPr>
        <w:shd w:val="clear" w:color="auto" w:fill="auto"/>
        <w:adjustRightInd w:val="0"/>
        <w:snapToGrid w:val="0"/>
        <w:spacing w:line="360" w:lineRule="auto"/>
        <w:ind w:firstLine="422" w:firstLineChars="200"/>
        <w:rPr>
          <w:rFonts w:ascii="宋体" w:hAnsi="宋体" w:cs="宋体"/>
          <w:b/>
          <w:color w:val="auto"/>
          <w:kern w:val="0"/>
          <w:szCs w:val="21"/>
          <w:highlight w:val="none"/>
        </w:rPr>
      </w:pPr>
      <w:bookmarkStart w:id="11" w:name="_Toc21137_WPSOffice_Level2"/>
      <w:r>
        <w:rPr>
          <w:rFonts w:hint="eastAsia" w:ascii="宋体" w:hAnsi="宋体" w:cs="宋体"/>
          <w:b/>
          <w:color w:val="auto"/>
          <w:kern w:val="0"/>
          <w:szCs w:val="21"/>
          <w:highlight w:val="none"/>
        </w:rPr>
        <w:t>一、保证责任的情形及保证金额</w:t>
      </w:r>
      <w:bookmarkEnd w:id="11"/>
    </w:p>
    <w:p w14:paraId="7FF264DD">
      <w:pPr>
        <w:shd w:val="clear" w:color="auto" w:fill="auto"/>
        <w:adjustRightInd w:val="0"/>
        <w:snapToGri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（一）在供应商出现下列情形之一时，我方承担保证责任：</w:t>
      </w:r>
    </w:p>
    <w:p w14:paraId="6152F1EE">
      <w:pPr>
        <w:shd w:val="clear" w:color="auto" w:fill="auto"/>
        <w:adjustRightInd w:val="0"/>
        <w:snapToGri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1．将中标项目转让给他人，或者在投标文件中未说明，且未经采购人同意，将中标项目分包给他人的；</w:t>
      </w:r>
    </w:p>
    <w:p w14:paraId="060FBD31">
      <w:pPr>
        <w:shd w:val="clear" w:color="auto" w:fill="auto"/>
        <w:adjustRightInd w:val="0"/>
        <w:snapToGri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 xml:space="preserve">2．主合同约定的应当缴纳履约保证金的情形: </w:t>
      </w:r>
    </w:p>
    <w:p w14:paraId="4C6150F5">
      <w:pPr>
        <w:shd w:val="clear" w:color="auto" w:fill="auto"/>
        <w:adjustRightInd w:val="0"/>
        <w:snapToGrid w:val="0"/>
        <w:spacing w:line="360" w:lineRule="auto"/>
        <w:ind w:firstLine="420" w:firstLineChars="200"/>
        <w:rPr>
          <w:rFonts w:ascii="宋体" w:hAnsi="宋体" w:cs="宋体"/>
          <w:b/>
          <w:color w:val="auto"/>
          <w:kern w:val="0"/>
          <w:szCs w:val="21"/>
          <w:highlight w:val="none"/>
        </w:rPr>
      </w:pPr>
      <w:r>
        <w:rPr>
          <w:rFonts w:hint="eastAsia" w:ascii="宋体" w:hAnsi="宋体" w:cs="宋体"/>
          <w:color w:val="auto"/>
          <w:kern w:val="0"/>
          <w:szCs w:val="21"/>
          <w:highlight w:val="none"/>
        </w:rPr>
        <w:t xml:space="preserve">（1）未按主合同约定的质量、数量和期限供应产品/提供服务/完成工程的； </w:t>
      </w:r>
    </w:p>
    <w:p w14:paraId="1904043D">
      <w:pPr>
        <w:shd w:val="clear" w:color="auto" w:fill="auto"/>
        <w:adjustRightInd w:val="0"/>
        <w:snapToGrid w:val="0"/>
        <w:spacing w:line="360" w:lineRule="auto"/>
        <w:ind w:firstLine="420" w:firstLineChars="200"/>
        <w:rPr>
          <w:rFonts w:ascii="宋体" w:hAnsi="宋体" w:cs="宋体"/>
          <w:color w:val="auto"/>
          <w:kern w:val="0"/>
          <w:szCs w:val="21"/>
          <w:highlight w:val="none"/>
          <w:u w:val="single"/>
        </w:rPr>
      </w:pPr>
      <w:r>
        <w:rPr>
          <w:rFonts w:hint="eastAsia" w:ascii="宋体" w:hAnsi="宋体" w:cs="宋体"/>
          <w:color w:val="auto"/>
          <w:kern w:val="0"/>
          <w:szCs w:val="21"/>
          <w:highlight w:val="none"/>
        </w:rPr>
        <w:t>（2）</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w:t>
      </w:r>
    </w:p>
    <w:p w14:paraId="7EFD9335">
      <w:pPr>
        <w:shd w:val="clear" w:color="auto" w:fill="auto"/>
        <w:adjustRightInd w:val="0"/>
        <w:snapToGri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（二）我方的保证范围是主合同约定的合同价款总额的</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%数额为</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元（大写</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），币种为</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。（即主合同履约保证金金额）</w:t>
      </w:r>
    </w:p>
    <w:p w14:paraId="627CACBA">
      <w:pPr>
        <w:shd w:val="clear" w:color="auto" w:fill="auto"/>
        <w:adjustRightInd w:val="0"/>
        <w:snapToGrid w:val="0"/>
        <w:spacing w:line="360" w:lineRule="auto"/>
        <w:ind w:firstLine="422" w:firstLineChars="200"/>
        <w:rPr>
          <w:rFonts w:ascii="宋体" w:hAnsi="宋体" w:cs="宋体"/>
          <w:b/>
          <w:color w:val="auto"/>
          <w:kern w:val="0"/>
          <w:szCs w:val="21"/>
          <w:highlight w:val="none"/>
        </w:rPr>
      </w:pPr>
      <w:bookmarkStart w:id="12" w:name="_Toc15035_WPSOffice_Level2"/>
      <w:r>
        <w:rPr>
          <w:rFonts w:hint="eastAsia" w:ascii="宋体" w:hAnsi="宋体" w:cs="宋体"/>
          <w:b/>
          <w:color w:val="auto"/>
          <w:kern w:val="0"/>
          <w:szCs w:val="21"/>
          <w:highlight w:val="none"/>
        </w:rPr>
        <w:t>二、保证的方式及保证期间</w:t>
      </w:r>
      <w:bookmarkEnd w:id="12"/>
      <w:r>
        <w:rPr>
          <w:rFonts w:hint="eastAsia" w:ascii="宋体" w:hAnsi="宋体" w:cs="宋体"/>
          <w:b/>
          <w:color w:val="auto"/>
          <w:kern w:val="0"/>
          <w:szCs w:val="21"/>
          <w:highlight w:val="none"/>
        </w:rPr>
        <w:t xml:space="preserve"> </w:t>
      </w:r>
    </w:p>
    <w:p w14:paraId="638655DA">
      <w:pPr>
        <w:shd w:val="clear" w:color="auto" w:fill="auto"/>
        <w:adjustRightInd w:val="0"/>
        <w:snapToGri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 xml:space="preserve">我方保证的方式为：连带责任保证。 </w:t>
      </w:r>
    </w:p>
    <w:p w14:paraId="78D09D0C">
      <w:pPr>
        <w:shd w:val="clear" w:color="auto" w:fill="auto"/>
        <w:adjustRightInd w:val="0"/>
        <w:snapToGri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我方保证的期间为：自本合同生效之日起至供应商按照主合同约定的供货/完工期限届满后</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日内。</w:t>
      </w:r>
    </w:p>
    <w:p w14:paraId="406BCE4E">
      <w:pPr>
        <w:shd w:val="clear" w:color="auto" w:fill="auto"/>
        <w:adjustRightInd w:val="0"/>
        <w:snapToGri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如果供应商未按主合同约定向贵方供应产品/提供服务/完成工程的，由我方在保证金额内向你方支付上述款项。</w:t>
      </w:r>
    </w:p>
    <w:p w14:paraId="781E446A">
      <w:pPr>
        <w:shd w:val="clear" w:color="auto" w:fill="auto"/>
        <w:adjustRightInd w:val="0"/>
        <w:snapToGrid w:val="0"/>
        <w:spacing w:line="360" w:lineRule="auto"/>
        <w:ind w:firstLine="422" w:firstLineChars="200"/>
        <w:rPr>
          <w:rFonts w:ascii="宋体" w:hAnsi="宋体" w:cs="宋体"/>
          <w:b/>
          <w:color w:val="auto"/>
          <w:kern w:val="0"/>
          <w:szCs w:val="21"/>
          <w:highlight w:val="none"/>
        </w:rPr>
      </w:pPr>
      <w:bookmarkStart w:id="13" w:name="_Toc29266_WPSOffice_Level2"/>
      <w:r>
        <w:rPr>
          <w:rFonts w:hint="eastAsia" w:ascii="宋体" w:hAnsi="宋体" w:cs="宋体"/>
          <w:b/>
          <w:color w:val="auto"/>
          <w:kern w:val="0"/>
          <w:szCs w:val="21"/>
          <w:highlight w:val="none"/>
        </w:rPr>
        <w:t>三、承担保证责任的程序</w:t>
      </w:r>
      <w:bookmarkEnd w:id="13"/>
    </w:p>
    <w:p w14:paraId="72952A75">
      <w:pPr>
        <w:shd w:val="clear" w:color="auto" w:fill="auto"/>
        <w:adjustRightInd w:val="0"/>
        <w:snapToGrid w:val="0"/>
        <w:spacing w:line="360" w:lineRule="auto"/>
        <w:ind w:firstLine="420" w:firstLineChars="200"/>
        <w:rPr>
          <w:rFonts w:ascii="宋体" w:hAnsi="宋体" w:cs="宋体"/>
          <w:b/>
          <w:color w:val="auto"/>
          <w:kern w:val="0"/>
          <w:szCs w:val="21"/>
          <w:highlight w:val="none"/>
        </w:rPr>
      </w:pPr>
      <w:r>
        <w:rPr>
          <w:rFonts w:hint="eastAsia" w:ascii="宋体" w:hAnsi="宋体" w:cs="宋体"/>
          <w:color w:val="auto"/>
          <w:kern w:val="0"/>
          <w:szCs w:val="21"/>
          <w:highlight w:val="none"/>
        </w:rPr>
        <w:t xml:space="preserve">1．你方要求我方承担保证责任的，应在本保函保证期间内向我方发出书面索赔通知。索赔通知应写明要求索赔的金额，支付款项应到达的账号。并附有证明供应商违约事实的证明材料。 </w:t>
      </w:r>
    </w:p>
    <w:p w14:paraId="4F2A94E2">
      <w:pPr>
        <w:shd w:val="clear" w:color="auto" w:fill="auto"/>
        <w:adjustRightInd w:val="0"/>
        <w:snapToGri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如果你方与供应商因产品质量问题产生争议，你方还需同时提供</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部门出具的质量检测报告，或经诉讼（仲裁）程序裁决后的裁决书、调解书，本保证人即按照检测结果或裁决书、调解书决定是否承担保证责任。</w:t>
      </w:r>
    </w:p>
    <w:p w14:paraId="6EABF541">
      <w:pPr>
        <w:shd w:val="clear" w:color="auto" w:fill="auto"/>
        <w:adjustRightInd w:val="0"/>
        <w:snapToGri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2．我方收到你方的书面索赔通知及相应证明材料，在</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工作日内进行核定后按照本保函的承诺承担保证责任。</w:t>
      </w:r>
    </w:p>
    <w:p w14:paraId="13022F8A">
      <w:pPr>
        <w:shd w:val="clear" w:color="auto" w:fill="auto"/>
        <w:adjustRightInd w:val="0"/>
        <w:snapToGrid w:val="0"/>
        <w:spacing w:line="360" w:lineRule="auto"/>
        <w:ind w:firstLine="422" w:firstLineChars="200"/>
        <w:rPr>
          <w:rFonts w:ascii="宋体" w:hAnsi="宋体" w:cs="宋体"/>
          <w:b/>
          <w:color w:val="auto"/>
          <w:kern w:val="0"/>
          <w:szCs w:val="21"/>
          <w:highlight w:val="none"/>
        </w:rPr>
      </w:pPr>
      <w:bookmarkStart w:id="14" w:name="_Toc31353_WPSOffice_Level2"/>
      <w:r>
        <w:rPr>
          <w:rFonts w:hint="eastAsia" w:ascii="宋体" w:hAnsi="宋体" w:cs="宋体"/>
          <w:b/>
          <w:color w:val="auto"/>
          <w:kern w:val="0"/>
          <w:szCs w:val="21"/>
          <w:highlight w:val="none"/>
        </w:rPr>
        <w:t>四、保证责任的终止</w:t>
      </w:r>
      <w:bookmarkEnd w:id="14"/>
    </w:p>
    <w:p w14:paraId="583A9FC7">
      <w:pPr>
        <w:shd w:val="clear" w:color="auto" w:fill="auto"/>
        <w:adjustRightInd w:val="0"/>
        <w:snapToGri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1．保证期间届满你方未向我方书面主张保证责任的，自保证期间届满次日起，我方保证责任自动终止。保证期间届满前，主合同约定的产品\工程\服务全部验收合格的，自验收合格日起，我方保证责任自动终止。</w:t>
      </w:r>
    </w:p>
    <w:p w14:paraId="3F8A16F0">
      <w:pPr>
        <w:shd w:val="clear" w:color="auto" w:fill="auto"/>
        <w:adjustRightInd w:val="0"/>
        <w:snapToGri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2．我方按照本保函向你方履行了保证责任后，自我方向你方支付款项（支付款项从我方账户划出）之日起，保证责任即终止。</w:t>
      </w:r>
    </w:p>
    <w:p w14:paraId="2D82F9A9">
      <w:pPr>
        <w:shd w:val="clear" w:color="auto" w:fill="auto"/>
        <w:adjustRightInd w:val="0"/>
        <w:snapToGri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3．按照法律法规的规定或出现应终止我方保证责任的其它情形的，我方在本保函项下的保证责任亦终止。</w:t>
      </w:r>
    </w:p>
    <w:p w14:paraId="38CD6B56">
      <w:pPr>
        <w:shd w:val="clear" w:color="auto" w:fill="auto"/>
        <w:adjustRightInd w:val="0"/>
        <w:snapToGri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p>
    <w:p w14:paraId="0646CF17">
      <w:pPr>
        <w:shd w:val="clear" w:color="auto" w:fill="auto"/>
        <w:adjustRightInd w:val="0"/>
        <w:snapToGrid w:val="0"/>
        <w:spacing w:line="360" w:lineRule="auto"/>
        <w:ind w:firstLine="422" w:firstLineChars="200"/>
        <w:rPr>
          <w:rFonts w:ascii="宋体" w:hAnsi="宋体" w:cs="宋体"/>
          <w:b/>
          <w:color w:val="auto"/>
          <w:kern w:val="0"/>
          <w:szCs w:val="21"/>
          <w:highlight w:val="none"/>
        </w:rPr>
      </w:pPr>
      <w:bookmarkStart w:id="15" w:name="_Toc6060_WPSOffice_Level2"/>
      <w:r>
        <w:rPr>
          <w:rFonts w:hint="eastAsia" w:ascii="宋体" w:hAnsi="宋体" w:cs="宋体"/>
          <w:b/>
          <w:color w:val="auto"/>
          <w:kern w:val="0"/>
          <w:szCs w:val="21"/>
          <w:highlight w:val="none"/>
        </w:rPr>
        <w:t>五、免责条款</w:t>
      </w:r>
      <w:bookmarkEnd w:id="15"/>
    </w:p>
    <w:p w14:paraId="13861E64">
      <w:pPr>
        <w:shd w:val="clear" w:color="auto" w:fill="auto"/>
        <w:adjustRightInd w:val="0"/>
        <w:snapToGri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1．因你方违反主合同约定致使供应商不能履行义务的，我方不承担保证责任。</w:t>
      </w:r>
    </w:p>
    <w:p w14:paraId="32079BD1">
      <w:pPr>
        <w:shd w:val="clear" w:color="auto" w:fill="auto"/>
        <w:adjustRightInd w:val="0"/>
        <w:snapToGrid w:val="0"/>
        <w:spacing w:line="360" w:lineRule="auto"/>
        <w:ind w:firstLine="420" w:firstLineChars="200"/>
        <w:rPr>
          <w:rFonts w:ascii="宋体" w:hAnsi="宋体" w:cs="宋体"/>
          <w:b/>
          <w:color w:val="auto"/>
          <w:kern w:val="0"/>
          <w:szCs w:val="21"/>
          <w:highlight w:val="none"/>
        </w:rPr>
      </w:pPr>
      <w:r>
        <w:rPr>
          <w:rFonts w:hint="eastAsia" w:ascii="宋体" w:hAnsi="宋体" w:cs="宋体"/>
          <w:color w:val="auto"/>
          <w:kern w:val="0"/>
          <w:szCs w:val="21"/>
          <w:highlight w:val="none"/>
        </w:rPr>
        <w:t>2．依照法律法规的规定或你方与供应商的另行约定，全部或者部分免除供应商应缴纳的保证金义务的，我方亦免除相应的保证责任。</w:t>
      </w:r>
    </w:p>
    <w:p w14:paraId="08AE4B38">
      <w:pPr>
        <w:shd w:val="clear" w:color="auto" w:fill="auto"/>
        <w:adjustRightInd w:val="0"/>
        <w:snapToGri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3．因不可抗力造成供应商不能履行供货义务的，我方不承担保证责任。</w:t>
      </w:r>
    </w:p>
    <w:p w14:paraId="6594D3E4">
      <w:pPr>
        <w:shd w:val="clear" w:color="auto" w:fill="auto"/>
        <w:adjustRightInd w:val="0"/>
        <w:snapToGrid w:val="0"/>
        <w:spacing w:line="360" w:lineRule="auto"/>
        <w:ind w:firstLine="422" w:firstLineChars="200"/>
        <w:rPr>
          <w:rFonts w:ascii="宋体" w:hAnsi="宋体" w:cs="宋体"/>
          <w:b/>
          <w:color w:val="auto"/>
          <w:kern w:val="0"/>
          <w:szCs w:val="21"/>
          <w:highlight w:val="none"/>
        </w:rPr>
      </w:pPr>
      <w:bookmarkStart w:id="16" w:name="_Toc6096_WPSOffice_Level2"/>
      <w:r>
        <w:rPr>
          <w:rFonts w:hint="eastAsia" w:ascii="宋体" w:hAnsi="宋体" w:cs="宋体"/>
          <w:b/>
          <w:color w:val="auto"/>
          <w:kern w:val="0"/>
          <w:szCs w:val="21"/>
          <w:highlight w:val="none"/>
        </w:rPr>
        <w:t>六、争议的解决</w:t>
      </w:r>
      <w:bookmarkEnd w:id="16"/>
    </w:p>
    <w:p w14:paraId="0274D529">
      <w:pPr>
        <w:shd w:val="clear" w:color="auto" w:fill="auto"/>
        <w:adjustRightInd w:val="0"/>
        <w:snapToGri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因本保函发生的纠纷，由你我双方协商解决，协商不成的，通过诉讼程序解决，诉讼管辖地法院为</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法院。</w:t>
      </w:r>
    </w:p>
    <w:p w14:paraId="1107D31C">
      <w:pPr>
        <w:shd w:val="clear" w:color="auto" w:fill="auto"/>
        <w:adjustRightInd w:val="0"/>
        <w:snapToGrid w:val="0"/>
        <w:spacing w:line="360" w:lineRule="auto"/>
        <w:ind w:firstLine="422" w:firstLineChars="200"/>
        <w:rPr>
          <w:rFonts w:ascii="宋体" w:hAnsi="宋体" w:cs="宋体"/>
          <w:b/>
          <w:color w:val="auto"/>
          <w:kern w:val="0"/>
          <w:szCs w:val="21"/>
          <w:highlight w:val="none"/>
        </w:rPr>
      </w:pPr>
      <w:bookmarkStart w:id="17" w:name="_Toc26142_WPSOffice_Level2"/>
      <w:r>
        <w:rPr>
          <w:rFonts w:hint="eastAsia" w:ascii="宋体" w:hAnsi="宋体" w:cs="宋体"/>
          <w:b/>
          <w:color w:val="auto"/>
          <w:kern w:val="0"/>
          <w:szCs w:val="21"/>
          <w:highlight w:val="none"/>
        </w:rPr>
        <w:t>七、保函的生效</w:t>
      </w:r>
      <w:bookmarkEnd w:id="17"/>
      <w:r>
        <w:rPr>
          <w:rFonts w:hint="eastAsia" w:ascii="宋体" w:hAnsi="宋体" w:cs="宋体"/>
          <w:b/>
          <w:color w:val="auto"/>
          <w:kern w:val="0"/>
          <w:szCs w:val="21"/>
          <w:highlight w:val="none"/>
        </w:rPr>
        <w:t xml:space="preserve"> </w:t>
      </w:r>
    </w:p>
    <w:p w14:paraId="21D3EE65">
      <w:pPr>
        <w:shd w:val="clear" w:color="auto" w:fill="auto"/>
        <w:adjustRightInd w:val="0"/>
        <w:snapToGri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 xml:space="preserve">本保函自我方加盖公章之日起生效。 </w:t>
      </w:r>
    </w:p>
    <w:p w14:paraId="53A6BA2B">
      <w:pPr>
        <w:shd w:val="clear" w:color="auto" w:fill="auto"/>
        <w:adjustRightInd w:val="0"/>
        <w:snapToGrid w:val="0"/>
        <w:spacing w:line="360" w:lineRule="auto"/>
        <w:rPr>
          <w:rFonts w:ascii="宋体" w:hAnsi="宋体" w:cs="宋体"/>
          <w:color w:val="auto"/>
          <w:kern w:val="0"/>
          <w:szCs w:val="21"/>
          <w:highlight w:val="none"/>
        </w:rPr>
      </w:pPr>
      <w:r>
        <w:rPr>
          <w:rFonts w:hint="eastAsia" w:ascii="宋体" w:hAnsi="宋体" w:cs="宋体"/>
          <w:color w:val="auto"/>
          <w:kern w:val="0"/>
          <w:szCs w:val="21"/>
          <w:highlight w:val="none"/>
        </w:rPr>
        <w:t xml:space="preserve">                                                      保证人：（公章） </w:t>
      </w:r>
    </w:p>
    <w:p w14:paraId="005EE06C">
      <w:pPr>
        <w:shd w:val="clear" w:color="auto" w:fill="auto"/>
        <w:adjustRightInd w:val="0"/>
        <w:snapToGrid w:val="0"/>
        <w:spacing w:line="360" w:lineRule="auto"/>
        <w:rPr>
          <w:rFonts w:ascii="宋体" w:hAnsi="宋体" w:cs="宋体"/>
          <w:color w:val="auto"/>
          <w:kern w:val="0"/>
          <w:szCs w:val="21"/>
          <w:highlight w:val="none"/>
        </w:rPr>
      </w:pPr>
      <w:r>
        <w:rPr>
          <w:rFonts w:hint="eastAsia" w:ascii="宋体" w:hAnsi="宋体" w:cs="宋体"/>
          <w:color w:val="auto"/>
          <w:kern w:val="0"/>
          <w:szCs w:val="21"/>
          <w:highlight w:val="none"/>
        </w:rPr>
        <w:t xml:space="preserve">         </w:t>
      </w:r>
    </w:p>
    <w:p w14:paraId="6C49A9BD">
      <w:pPr>
        <w:shd w:val="clear" w:color="auto" w:fill="auto"/>
        <w:adjustRightInd w:val="0"/>
        <w:snapToGrid w:val="0"/>
        <w:spacing w:line="360" w:lineRule="auto"/>
        <w:ind w:firstLine="1050" w:firstLineChars="500"/>
        <w:rPr>
          <w:rFonts w:ascii="宋体" w:hAnsi="宋体" w:cs="宋体"/>
          <w:color w:val="auto"/>
          <w:kern w:val="0"/>
          <w:szCs w:val="21"/>
          <w:highlight w:val="none"/>
        </w:rPr>
      </w:pPr>
      <w:r>
        <w:rPr>
          <w:rFonts w:hint="eastAsia" w:ascii="宋体" w:hAnsi="宋体" w:cs="宋体"/>
          <w:color w:val="auto"/>
          <w:kern w:val="0"/>
          <w:szCs w:val="21"/>
          <w:highlight w:val="none"/>
        </w:rPr>
        <w:t xml:space="preserve">                                        </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 xml:space="preserve"> 年</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月</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 xml:space="preserve"> 日 </w:t>
      </w:r>
    </w:p>
    <w:p w14:paraId="4F48CB11">
      <w:pPr>
        <w:shd w:val="clear" w:color="auto" w:fill="auto"/>
        <w:adjustRightInd w:val="0"/>
        <w:snapToGrid w:val="0"/>
        <w:spacing w:line="360" w:lineRule="auto"/>
        <w:ind w:firstLine="1050" w:firstLineChars="500"/>
        <w:rPr>
          <w:rFonts w:ascii="宋体" w:hAnsi="宋体" w:cs="宋体"/>
          <w:color w:val="auto"/>
          <w:kern w:val="0"/>
          <w:szCs w:val="21"/>
          <w:highlight w:val="none"/>
        </w:rPr>
      </w:pPr>
    </w:p>
    <w:p w14:paraId="6FFB98D2">
      <w:pPr>
        <w:shd w:val="clear" w:color="auto" w:fill="auto"/>
        <w:adjustRightInd w:val="0"/>
        <w:snapToGrid w:val="0"/>
        <w:spacing w:line="360" w:lineRule="auto"/>
        <w:ind w:left="420" w:leftChars="200"/>
        <w:jc w:val="left"/>
        <w:rPr>
          <w:rFonts w:ascii="宋体" w:hAnsi="宋体" w:cs="宋体"/>
          <w:color w:val="auto"/>
          <w:szCs w:val="21"/>
          <w:highlight w:val="none"/>
        </w:rPr>
      </w:pPr>
    </w:p>
    <w:p w14:paraId="164DAFD8">
      <w:pPr>
        <w:spacing w:before="161" w:line="371" w:lineRule="auto"/>
        <w:ind w:right="376"/>
        <w:rPr>
          <w:rFonts w:hint="eastAsia" w:ascii="黑体" w:hAnsi="黑体" w:eastAsia="黑体"/>
          <w:color w:val="auto"/>
          <w:sz w:val="28"/>
          <w:szCs w:val="28"/>
          <w:highlight w:val="none"/>
        </w:rPr>
      </w:pPr>
    </w:p>
    <w:p w14:paraId="2753F440">
      <w:pPr>
        <w:pStyle w:val="3"/>
        <w:adjustRightInd w:val="0"/>
        <w:snapToGrid w:val="0"/>
        <w:spacing w:before="156" w:beforeLines="50"/>
        <w:jc w:val="center"/>
        <w:rPr>
          <w:rFonts w:hint="eastAsia" w:ascii="黑体" w:hAnsi="黑体" w:eastAsia="黑体"/>
          <w:color w:val="auto"/>
          <w:sz w:val="28"/>
          <w:szCs w:val="28"/>
          <w:highlight w:val="none"/>
        </w:rPr>
      </w:pPr>
    </w:p>
    <w:p w14:paraId="5AFEF6C0">
      <w:pPr>
        <w:rPr>
          <w:rFonts w:hint="eastAsia" w:ascii="黑体" w:hAnsi="黑体" w:eastAsia="黑体"/>
          <w:color w:val="auto"/>
          <w:sz w:val="28"/>
          <w:szCs w:val="28"/>
          <w:highlight w:val="none"/>
        </w:rPr>
      </w:pPr>
    </w:p>
    <w:p w14:paraId="3BE696F5">
      <w:pPr>
        <w:pStyle w:val="11"/>
        <w:rPr>
          <w:rFonts w:hint="eastAsia"/>
          <w:color w:val="auto"/>
          <w:highlight w:val="none"/>
        </w:rPr>
      </w:pPr>
    </w:p>
    <w:p w14:paraId="21C33501">
      <w:pPr>
        <w:pStyle w:val="24"/>
        <w:rPr>
          <w:rFonts w:hint="eastAsia" w:ascii="黑体" w:hAnsi="黑体" w:eastAsia="黑体"/>
          <w:color w:val="auto"/>
          <w:sz w:val="28"/>
          <w:szCs w:val="28"/>
          <w:highlight w:val="none"/>
        </w:rPr>
      </w:pPr>
    </w:p>
    <w:p w14:paraId="274112DE">
      <w:pPr>
        <w:pStyle w:val="7"/>
        <w:rPr>
          <w:rFonts w:hint="eastAsia" w:ascii="黑体" w:hAnsi="黑体" w:eastAsia="黑体"/>
          <w:color w:val="auto"/>
          <w:sz w:val="28"/>
          <w:szCs w:val="28"/>
          <w:highlight w:val="none"/>
        </w:rPr>
      </w:pPr>
    </w:p>
    <w:p w14:paraId="2A5E00F9">
      <w:pPr>
        <w:pStyle w:val="23"/>
        <w:ind w:left="0" w:leftChars="0" w:firstLine="0" w:firstLineChars="0"/>
        <w:rPr>
          <w:rFonts w:hint="eastAsia" w:ascii="黑体" w:hAnsi="黑体" w:eastAsia="黑体"/>
          <w:color w:val="auto"/>
          <w:sz w:val="28"/>
          <w:szCs w:val="28"/>
          <w:highlight w:val="none"/>
        </w:rPr>
        <w:sectPr>
          <w:footerReference r:id="rId11" w:type="default"/>
          <w:pgSz w:w="11905" w:h="16839"/>
          <w:pgMar w:top="1115" w:right="1134" w:bottom="1146" w:left="1134" w:header="0" w:footer="984" w:gutter="0"/>
          <w:pgBorders>
            <w:top w:val="none" w:sz="0" w:space="0"/>
            <w:left w:val="none" w:sz="0" w:space="0"/>
            <w:bottom w:val="none" w:sz="0" w:space="0"/>
            <w:right w:val="none" w:sz="0" w:space="0"/>
          </w:pgBorders>
          <w:pgNumType w:fmt="decimal"/>
          <w:cols w:space="720" w:num="1"/>
        </w:sectPr>
      </w:pPr>
    </w:p>
    <w:p w14:paraId="62499CFA">
      <w:pPr>
        <w:rPr>
          <w:rFonts w:hint="eastAsia"/>
          <w:color w:val="auto"/>
          <w:highlight w:val="none"/>
        </w:rPr>
      </w:pPr>
    </w:p>
    <w:p w14:paraId="6F3FF62F">
      <w:pPr>
        <w:pStyle w:val="3"/>
        <w:adjustRightInd w:val="0"/>
        <w:snapToGrid w:val="0"/>
        <w:spacing w:before="156" w:beforeLines="50"/>
        <w:jc w:val="center"/>
        <w:rPr>
          <w:rFonts w:ascii="黑体" w:hAnsi="黑体" w:eastAsia="黑体"/>
          <w:color w:val="auto"/>
          <w:sz w:val="28"/>
          <w:szCs w:val="28"/>
          <w:highlight w:val="none"/>
        </w:rPr>
      </w:pPr>
      <w:bookmarkStart w:id="18" w:name="_Toc1972"/>
      <w:r>
        <w:rPr>
          <w:rFonts w:hint="eastAsia" w:ascii="黑体" w:hAnsi="黑体" w:eastAsia="黑体"/>
          <w:color w:val="auto"/>
          <w:sz w:val="28"/>
          <w:szCs w:val="28"/>
          <w:highlight w:val="none"/>
        </w:rPr>
        <w:t>第二节 投标须知</w:t>
      </w:r>
      <w:bookmarkEnd w:id="18"/>
    </w:p>
    <w:p w14:paraId="7424014E">
      <w:pPr>
        <w:pStyle w:val="4"/>
        <w:adjustRightInd w:val="0"/>
        <w:snapToGrid w:val="0"/>
        <w:spacing w:before="156" w:beforeLines="50" w:after="0" w:line="360" w:lineRule="auto"/>
        <w:jc w:val="center"/>
        <w:rPr>
          <w:rFonts w:ascii="黑体" w:hAnsi="黑体" w:eastAsia="黑体"/>
          <w:b w:val="0"/>
          <w:color w:val="auto"/>
          <w:sz w:val="28"/>
          <w:szCs w:val="28"/>
          <w:highlight w:val="none"/>
        </w:rPr>
      </w:pPr>
      <w:bookmarkStart w:id="19" w:name="_Toc28657"/>
      <w:r>
        <w:rPr>
          <w:rFonts w:hint="eastAsia" w:ascii="黑体" w:hAnsi="黑体" w:eastAsia="黑体"/>
          <w:color w:val="auto"/>
          <w:sz w:val="28"/>
          <w:szCs w:val="28"/>
          <w:highlight w:val="none"/>
        </w:rPr>
        <w:t>一、总则</w:t>
      </w:r>
      <w:bookmarkEnd w:id="19"/>
    </w:p>
    <w:p w14:paraId="5A9E6141">
      <w:pPr>
        <w:adjustRightInd w:val="0"/>
        <w:snapToGrid w:val="0"/>
        <w:spacing w:before="156" w:beforeLines="50" w:line="360" w:lineRule="auto"/>
        <w:jc w:val="left"/>
        <w:rPr>
          <w:rFonts w:ascii="宋体" w:hAnsi="宋体" w:eastAsia="宋体"/>
          <w:b/>
          <w:bCs/>
          <w:color w:val="auto"/>
          <w:sz w:val="24"/>
          <w:highlight w:val="none"/>
        </w:rPr>
      </w:pPr>
      <w:r>
        <w:rPr>
          <w:rFonts w:hint="eastAsia" w:ascii="宋体" w:hAnsi="宋体" w:eastAsia="宋体"/>
          <w:b/>
          <w:bCs/>
          <w:color w:val="auto"/>
          <w:sz w:val="24"/>
          <w:highlight w:val="none"/>
        </w:rPr>
        <w:t>1. 适用范围</w:t>
      </w:r>
    </w:p>
    <w:p w14:paraId="48C52A01">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1.1本招标文件仅适用于本章第一节</w:t>
      </w:r>
      <w:r>
        <w:rPr>
          <w:rFonts w:hint="eastAsia" w:ascii="宋体" w:hAnsi="宋体" w:eastAsia="宋体"/>
          <w:b/>
          <w:bCs/>
          <w:color w:val="auto"/>
          <w:szCs w:val="21"/>
          <w:highlight w:val="none"/>
        </w:rPr>
        <w:t>【投标须知前附表】</w:t>
      </w:r>
      <w:r>
        <w:rPr>
          <w:rFonts w:hint="eastAsia" w:ascii="宋体" w:hAnsi="宋体" w:eastAsia="宋体"/>
          <w:color w:val="auto"/>
          <w:szCs w:val="21"/>
          <w:highlight w:val="none"/>
        </w:rPr>
        <w:t>中所叙述的采购项目。</w:t>
      </w:r>
    </w:p>
    <w:p w14:paraId="11B924B4">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1.2</w:t>
      </w:r>
      <w:r>
        <w:rPr>
          <w:rFonts w:hint="eastAsia" w:ascii="宋体" w:hAnsi="宋体" w:eastAsia="宋体"/>
          <w:b/>
          <w:color w:val="auto"/>
          <w:szCs w:val="21"/>
          <w:highlight w:val="none"/>
        </w:rPr>
        <w:t>【投标须知前附表】</w:t>
      </w:r>
      <w:r>
        <w:rPr>
          <w:rFonts w:hint="eastAsia" w:ascii="宋体" w:hAnsi="宋体" w:eastAsia="宋体"/>
          <w:color w:val="auto"/>
          <w:szCs w:val="21"/>
          <w:highlight w:val="none"/>
        </w:rPr>
        <w:t>规定采购项目或者采购包属于“预留采购份额”的，</w:t>
      </w:r>
      <w:r>
        <w:rPr>
          <w:rFonts w:hint="eastAsia" w:ascii="宋体" w:hAnsi="宋体"/>
          <w:color w:val="auto"/>
          <w:szCs w:val="21"/>
          <w:highlight w:val="none"/>
          <w:lang w:val="en-US" w:eastAsia="zh-CN"/>
        </w:rPr>
        <w:t>投标人</w:t>
      </w:r>
      <w:r>
        <w:rPr>
          <w:rFonts w:hint="eastAsia" w:ascii="宋体" w:hAnsi="宋体" w:eastAsia="宋体"/>
          <w:color w:val="auto"/>
          <w:szCs w:val="21"/>
          <w:highlight w:val="none"/>
        </w:rPr>
        <w:t>应当符合本章第33.7款规定，否则，其</w:t>
      </w:r>
      <w:r>
        <w:rPr>
          <w:rFonts w:hint="eastAsia" w:ascii="宋体" w:hAnsi="宋体" w:eastAsia="宋体"/>
          <w:b/>
          <w:color w:val="auto"/>
          <w:szCs w:val="21"/>
          <w:highlight w:val="none"/>
        </w:rPr>
        <w:t>投标无效</w:t>
      </w:r>
      <w:r>
        <w:rPr>
          <w:rFonts w:hint="eastAsia" w:ascii="宋体" w:hAnsi="宋体" w:eastAsia="宋体"/>
          <w:color w:val="auto"/>
          <w:szCs w:val="21"/>
          <w:highlight w:val="none"/>
        </w:rPr>
        <w:t>。</w:t>
      </w:r>
    </w:p>
    <w:p w14:paraId="726377D3">
      <w:pPr>
        <w:adjustRightInd w:val="0"/>
        <w:snapToGrid w:val="0"/>
        <w:spacing w:before="156" w:beforeLines="50" w:line="360" w:lineRule="auto"/>
        <w:jc w:val="left"/>
        <w:rPr>
          <w:rFonts w:ascii="宋体" w:hAnsi="宋体" w:eastAsia="宋体"/>
          <w:b/>
          <w:bCs/>
          <w:color w:val="auto"/>
          <w:sz w:val="24"/>
          <w:highlight w:val="none"/>
        </w:rPr>
      </w:pPr>
      <w:r>
        <w:rPr>
          <w:rFonts w:hint="eastAsia" w:ascii="宋体" w:hAnsi="宋体" w:eastAsia="宋体"/>
          <w:b/>
          <w:bCs/>
          <w:color w:val="auto"/>
          <w:sz w:val="24"/>
          <w:highlight w:val="none"/>
        </w:rPr>
        <w:t>2. 定义</w:t>
      </w:r>
    </w:p>
    <w:p w14:paraId="0D3D52BC">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2.1采购项目联系人姓名和电话见</w:t>
      </w:r>
      <w:r>
        <w:rPr>
          <w:rFonts w:hint="eastAsia" w:ascii="宋体" w:hAnsi="宋体" w:eastAsia="宋体"/>
          <w:b/>
          <w:color w:val="auto"/>
          <w:szCs w:val="21"/>
          <w:highlight w:val="none"/>
        </w:rPr>
        <w:t>【投标须知前附表】</w:t>
      </w:r>
      <w:r>
        <w:rPr>
          <w:rFonts w:hint="eastAsia" w:ascii="宋体" w:hAnsi="宋体" w:eastAsia="宋体"/>
          <w:color w:val="auto"/>
          <w:szCs w:val="21"/>
          <w:highlight w:val="none"/>
        </w:rPr>
        <w:t>。</w:t>
      </w:r>
    </w:p>
    <w:p w14:paraId="0E137824">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2.2采购人名称、地址、电话、联系人见</w:t>
      </w:r>
      <w:r>
        <w:rPr>
          <w:rFonts w:hint="eastAsia" w:ascii="宋体" w:hAnsi="宋体" w:eastAsia="宋体"/>
          <w:b/>
          <w:color w:val="auto"/>
          <w:szCs w:val="21"/>
          <w:highlight w:val="none"/>
        </w:rPr>
        <w:t>【投标须知前附表】</w:t>
      </w:r>
      <w:r>
        <w:rPr>
          <w:rFonts w:hint="eastAsia" w:ascii="宋体" w:hAnsi="宋体" w:eastAsia="宋体"/>
          <w:color w:val="auto"/>
          <w:szCs w:val="21"/>
          <w:highlight w:val="none"/>
        </w:rPr>
        <w:t>。</w:t>
      </w:r>
    </w:p>
    <w:p w14:paraId="19F2CA2F">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2.3采购代理机构名称、地址、电话、联系人见</w:t>
      </w:r>
      <w:r>
        <w:rPr>
          <w:rFonts w:hint="eastAsia" w:ascii="宋体" w:hAnsi="宋体" w:eastAsia="宋体"/>
          <w:b/>
          <w:color w:val="auto"/>
          <w:szCs w:val="21"/>
          <w:highlight w:val="none"/>
        </w:rPr>
        <w:t>【投标须知前附表】。</w:t>
      </w:r>
    </w:p>
    <w:p w14:paraId="31873D2B">
      <w:pPr>
        <w:adjustRightInd w:val="0"/>
        <w:snapToGrid w:val="0"/>
        <w:spacing w:before="156" w:beforeLines="50" w:line="360" w:lineRule="auto"/>
        <w:ind w:firstLine="420" w:firstLineChars="200"/>
        <w:jc w:val="left"/>
        <w:rPr>
          <w:rFonts w:hint="eastAsia" w:ascii="宋体" w:hAnsi="宋体" w:eastAsia="宋体"/>
          <w:color w:val="auto"/>
          <w:szCs w:val="21"/>
          <w:highlight w:val="none"/>
        </w:rPr>
      </w:pPr>
      <w:r>
        <w:rPr>
          <w:rFonts w:hint="eastAsia" w:ascii="宋体" w:hAnsi="宋体" w:eastAsia="宋体"/>
          <w:color w:val="auto"/>
          <w:szCs w:val="21"/>
          <w:highlight w:val="none"/>
        </w:rPr>
        <w:t>2.4投标人系指响应招标、参加投标竞争的法人、其他组织或自然人。</w:t>
      </w:r>
    </w:p>
    <w:p w14:paraId="19BE8074">
      <w:pPr>
        <w:adjustRightInd w:val="0"/>
        <w:snapToGrid w:val="0"/>
        <w:spacing w:before="158" w:beforeLines="50" w:line="360" w:lineRule="auto"/>
        <w:ind w:firstLine="420" w:firstLineChars="200"/>
        <w:jc w:val="left"/>
        <w:rPr>
          <w:rFonts w:hint="eastAsia" w:ascii="宋体" w:hAnsi="宋体" w:eastAsia="宋体"/>
          <w:color w:val="auto"/>
          <w:szCs w:val="21"/>
          <w:highlight w:val="none"/>
        </w:rPr>
      </w:pPr>
      <w:r>
        <w:rPr>
          <w:rFonts w:hint="eastAsia" w:ascii="宋体" w:hAnsi="宋体" w:cs="宋体"/>
          <w:color w:val="auto"/>
          <w:highlight w:val="none"/>
        </w:rPr>
        <w:t>2.5进口产品是指符合《政府采购进口产品管理办法》（财库〔2007〕119 号）和《关于政府采购进口产品管理有关问题的通知》（财办库〔2008〕248 号）文件规定的产品。除</w:t>
      </w:r>
      <w:r>
        <w:rPr>
          <w:rFonts w:hint="eastAsia" w:ascii="宋体" w:hAnsi="宋体" w:cs="宋体"/>
          <w:b/>
          <w:bCs/>
          <w:color w:val="auto"/>
          <w:highlight w:val="none"/>
        </w:rPr>
        <w:t>【投标须知前附表】</w:t>
      </w:r>
      <w:r>
        <w:rPr>
          <w:rFonts w:hint="eastAsia" w:ascii="宋体" w:hAnsi="宋体" w:cs="宋体"/>
          <w:color w:val="auto"/>
          <w:highlight w:val="none"/>
        </w:rPr>
        <w:t>另有规定外，采购项目</w:t>
      </w:r>
      <w:r>
        <w:rPr>
          <w:rFonts w:hint="eastAsia" w:ascii="宋体" w:hAnsi="宋体" w:cs="宋体"/>
          <w:b/>
          <w:bCs/>
          <w:color w:val="auto"/>
          <w:highlight w:val="none"/>
        </w:rPr>
        <w:t>拒绝进口产品参加投标</w:t>
      </w:r>
      <w:r>
        <w:rPr>
          <w:rFonts w:hint="eastAsia" w:ascii="宋体" w:hAnsi="宋体" w:cs="宋体"/>
          <w:color w:val="auto"/>
          <w:highlight w:val="none"/>
        </w:rPr>
        <w:t>。本款规定同意购买进口产品的，不限制满足招标文件要求的国内产品参与投标竞争。</w:t>
      </w:r>
    </w:p>
    <w:p w14:paraId="4224B1A8">
      <w:pPr>
        <w:adjustRightInd w:val="0"/>
        <w:snapToGrid w:val="0"/>
        <w:spacing w:before="156" w:beforeLines="50" w:line="360" w:lineRule="auto"/>
        <w:jc w:val="left"/>
        <w:rPr>
          <w:rFonts w:ascii="宋体" w:hAnsi="宋体" w:eastAsia="宋体"/>
          <w:b/>
          <w:bCs/>
          <w:color w:val="auto"/>
          <w:sz w:val="24"/>
          <w:highlight w:val="none"/>
        </w:rPr>
      </w:pPr>
      <w:r>
        <w:rPr>
          <w:rFonts w:hint="eastAsia" w:ascii="宋体" w:hAnsi="宋体" w:eastAsia="宋体"/>
          <w:b/>
          <w:bCs/>
          <w:color w:val="auto"/>
          <w:sz w:val="24"/>
          <w:highlight w:val="none"/>
        </w:rPr>
        <w:t>3. 投标人的资格要求</w:t>
      </w:r>
    </w:p>
    <w:p w14:paraId="36011BB1">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3.1投标人应当符合</w:t>
      </w:r>
      <w:r>
        <w:rPr>
          <w:rFonts w:hint="eastAsia" w:ascii="宋体" w:hAnsi="宋体" w:eastAsia="宋体"/>
          <w:b/>
          <w:color w:val="auto"/>
          <w:szCs w:val="21"/>
          <w:highlight w:val="none"/>
        </w:rPr>
        <w:t>【投标须知前附表】</w:t>
      </w:r>
      <w:r>
        <w:rPr>
          <w:rFonts w:hint="eastAsia" w:ascii="宋体" w:hAnsi="宋体" w:eastAsia="宋体"/>
          <w:color w:val="auto"/>
          <w:szCs w:val="21"/>
          <w:highlight w:val="none"/>
        </w:rPr>
        <w:t>规定的投标人资格条件。</w:t>
      </w:r>
    </w:p>
    <w:p w14:paraId="5E26E204">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3.2</w:t>
      </w:r>
      <w:r>
        <w:rPr>
          <w:rFonts w:hint="eastAsia" w:ascii="宋体" w:hAnsi="宋体" w:eastAsia="宋体"/>
          <w:b/>
          <w:color w:val="auto"/>
          <w:szCs w:val="21"/>
          <w:highlight w:val="none"/>
        </w:rPr>
        <w:t>【投标须知前附表】</w:t>
      </w:r>
      <w:r>
        <w:rPr>
          <w:rFonts w:hint="eastAsia" w:ascii="宋体" w:hAnsi="宋体" w:eastAsia="宋体"/>
          <w:color w:val="auto"/>
          <w:szCs w:val="21"/>
          <w:highlight w:val="none"/>
        </w:rPr>
        <w:t>规定接受联合体形式投标的，投标人除应符合本章第3.1</w:t>
      </w:r>
      <w:r>
        <w:rPr>
          <w:rFonts w:hint="eastAsia" w:ascii="宋体" w:hAnsi="宋体" w:eastAsia="宋体" w:cs="宋体"/>
          <w:color w:val="auto"/>
          <w:kern w:val="0"/>
          <w:szCs w:val="21"/>
          <w:highlight w:val="none"/>
          <w:lang w:val="zh-CN"/>
        </w:rPr>
        <w:t>款</w:t>
      </w:r>
      <w:r>
        <w:rPr>
          <w:rFonts w:hint="eastAsia" w:ascii="宋体" w:hAnsi="宋体" w:eastAsia="宋体"/>
          <w:color w:val="auto"/>
          <w:szCs w:val="21"/>
          <w:highlight w:val="none"/>
        </w:rPr>
        <w:t xml:space="preserve">规定的资格条件外，还应遵守以下规定： </w:t>
      </w:r>
    </w:p>
    <w:p w14:paraId="448A1BFD">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（l）联合体中有同类资质的供应商按照联合体分工承担相同工作的，应当按照资质等级较低的供应商确定资质等级。</w:t>
      </w:r>
    </w:p>
    <w:p w14:paraId="7A03014C">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（2）联合体各方应按招标文件提供的格式签订联合体协议书，明确联合体牵头人和各方的权利义务、合同工作量比例；</w:t>
      </w:r>
    </w:p>
    <w:p w14:paraId="7DC19A71">
      <w:pPr>
        <w:adjustRightInd w:val="0"/>
        <w:snapToGrid w:val="0"/>
        <w:spacing w:before="156" w:beforeLines="50" w:line="360" w:lineRule="auto"/>
        <w:ind w:firstLine="420" w:firstLineChars="200"/>
        <w:jc w:val="left"/>
        <w:rPr>
          <w:rFonts w:ascii="宋体" w:hAnsi="宋体" w:eastAsia="宋体" w:cs="宋体"/>
          <w:color w:val="auto"/>
          <w:kern w:val="0"/>
          <w:szCs w:val="21"/>
          <w:highlight w:val="none"/>
          <w:lang w:val="zh-CN"/>
        </w:rPr>
      </w:pPr>
      <w:r>
        <w:rPr>
          <w:rFonts w:hint="eastAsia" w:ascii="宋体" w:hAnsi="宋体" w:eastAsia="宋体"/>
          <w:color w:val="auto"/>
          <w:szCs w:val="21"/>
          <w:highlight w:val="none"/>
        </w:rPr>
        <w:t>（3）联合体各方签订联合体协议书后，</w:t>
      </w:r>
      <w:r>
        <w:rPr>
          <w:rFonts w:hint="eastAsia" w:ascii="宋体" w:hAnsi="宋体" w:eastAsia="宋体" w:cs="宋体"/>
          <w:color w:val="auto"/>
          <w:kern w:val="0"/>
          <w:szCs w:val="21"/>
          <w:highlight w:val="none"/>
          <w:lang w:val="zh-CN"/>
        </w:rPr>
        <w:t>不得再单独参加或者与其他投标人组成新的联合体参加同一合同项下的采购活动。</w:t>
      </w:r>
    </w:p>
    <w:p w14:paraId="708F8801">
      <w:pPr>
        <w:adjustRightInd w:val="0"/>
        <w:snapToGrid w:val="0"/>
        <w:spacing w:before="156" w:beforeLines="50" w:line="360" w:lineRule="auto"/>
        <w:jc w:val="left"/>
        <w:rPr>
          <w:rFonts w:ascii="宋体" w:hAnsi="宋体" w:eastAsia="宋体"/>
          <w:b/>
          <w:bCs/>
          <w:color w:val="auto"/>
          <w:sz w:val="24"/>
          <w:highlight w:val="none"/>
        </w:rPr>
      </w:pPr>
      <w:r>
        <w:rPr>
          <w:rFonts w:hint="eastAsia" w:ascii="宋体" w:hAnsi="宋体" w:eastAsia="宋体"/>
          <w:b/>
          <w:bCs/>
          <w:color w:val="auto"/>
          <w:sz w:val="24"/>
          <w:highlight w:val="none"/>
        </w:rPr>
        <w:t xml:space="preserve">4. 投标费用 </w:t>
      </w:r>
    </w:p>
    <w:p w14:paraId="32A57B86">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4.1投标人应自行承担所有参与投标的相关费用，不论投标的结果如何，采购人、采购代理机构均无义务和责任承担这些费用。</w:t>
      </w:r>
    </w:p>
    <w:p w14:paraId="0C29EAE9">
      <w:pPr>
        <w:adjustRightInd w:val="0"/>
        <w:snapToGrid w:val="0"/>
        <w:spacing w:before="156" w:beforeLines="50" w:line="360" w:lineRule="auto"/>
        <w:jc w:val="left"/>
        <w:rPr>
          <w:rFonts w:ascii="宋体" w:hAnsi="宋体" w:eastAsia="宋体"/>
          <w:b/>
          <w:color w:val="auto"/>
          <w:sz w:val="24"/>
          <w:highlight w:val="none"/>
        </w:rPr>
      </w:pPr>
      <w:r>
        <w:rPr>
          <w:rFonts w:hint="eastAsia" w:ascii="宋体" w:hAnsi="宋体" w:eastAsia="宋体"/>
          <w:b/>
          <w:color w:val="auto"/>
          <w:sz w:val="24"/>
          <w:highlight w:val="none"/>
        </w:rPr>
        <w:t>5．组织现场考察或者召开答疑会</w:t>
      </w:r>
    </w:p>
    <w:p w14:paraId="362E355A">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highlight w:val="none"/>
        </w:rPr>
        <w:t>5.1采购人、采购代理机构可以在</w:t>
      </w:r>
      <w:r>
        <w:rPr>
          <w:rFonts w:hint="eastAsia" w:ascii="宋体" w:hAnsi="宋体" w:eastAsia="宋体"/>
          <w:b/>
          <w:color w:val="auto"/>
          <w:szCs w:val="21"/>
          <w:highlight w:val="none"/>
        </w:rPr>
        <w:t>【投标须知前附表】</w:t>
      </w:r>
      <w:r>
        <w:rPr>
          <w:rFonts w:hint="eastAsia" w:ascii="宋体" w:hAnsi="宋体" w:eastAsia="宋体"/>
          <w:color w:val="auto"/>
          <w:szCs w:val="21"/>
          <w:highlight w:val="none"/>
        </w:rPr>
        <w:t>规定的招标文件提供期限截止后，组织已获取招标文件的潜在投标人现场考察或者召开开标前答疑会。</w:t>
      </w:r>
    </w:p>
    <w:p w14:paraId="6FA25D98">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5.2获取招标文件的潜在投标人应按</w:t>
      </w:r>
      <w:r>
        <w:rPr>
          <w:rFonts w:hint="eastAsia" w:ascii="宋体" w:hAnsi="宋体" w:eastAsia="宋体"/>
          <w:b/>
          <w:color w:val="auto"/>
          <w:szCs w:val="21"/>
          <w:highlight w:val="none"/>
        </w:rPr>
        <w:t>【投标须知前附表】</w:t>
      </w:r>
      <w:r>
        <w:rPr>
          <w:rFonts w:hint="eastAsia" w:ascii="宋体" w:hAnsi="宋体" w:eastAsia="宋体"/>
          <w:color w:val="auto"/>
          <w:szCs w:val="21"/>
          <w:highlight w:val="none"/>
        </w:rPr>
        <w:t>规定参加现场考察或者答疑会；如不参加，其风险由其自行承担。</w:t>
      </w:r>
    </w:p>
    <w:p w14:paraId="51ABC821">
      <w:pPr>
        <w:adjustRightInd w:val="0"/>
        <w:snapToGrid w:val="0"/>
        <w:spacing w:before="156" w:beforeLines="50" w:line="360" w:lineRule="auto"/>
        <w:ind w:firstLine="420" w:firstLineChars="200"/>
        <w:jc w:val="left"/>
        <w:rPr>
          <w:rFonts w:ascii="宋体" w:hAnsi="宋体" w:eastAsia="宋体"/>
          <w:color w:val="auto"/>
          <w:highlight w:val="none"/>
        </w:rPr>
      </w:pPr>
      <w:r>
        <w:rPr>
          <w:rFonts w:hint="eastAsia" w:ascii="宋体" w:hAnsi="宋体" w:eastAsia="宋体"/>
          <w:color w:val="auto"/>
          <w:highlight w:val="none"/>
        </w:rPr>
        <w:t>5.3潜在投标人现场考察或者参加答疑会的费用由自己承担，现场考察期间所发生的人身伤害及财产损失由自己负责。</w:t>
      </w:r>
    </w:p>
    <w:p w14:paraId="7F05EFD5">
      <w:pPr>
        <w:adjustRightInd w:val="0"/>
        <w:snapToGrid w:val="0"/>
        <w:spacing w:before="156" w:beforeLines="50" w:line="360" w:lineRule="auto"/>
        <w:ind w:firstLine="420" w:firstLineChars="200"/>
        <w:jc w:val="left"/>
        <w:rPr>
          <w:rFonts w:ascii="宋体" w:hAnsi="宋体" w:eastAsia="宋体"/>
          <w:color w:val="auto"/>
          <w:highlight w:val="none"/>
        </w:rPr>
      </w:pPr>
      <w:r>
        <w:rPr>
          <w:rFonts w:hint="eastAsia" w:ascii="宋体" w:hAnsi="宋体" w:eastAsia="宋体"/>
          <w:color w:val="auto"/>
          <w:highlight w:val="none"/>
        </w:rPr>
        <w:t>5.4采购人、采购代理机构不对投标人据此而做出的推论、理解和结论负责。投标人一旦中标，不得以任何借口，提出额外补偿，或延长合同期限的要求。</w:t>
      </w:r>
    </w:p>
    <w:p w14:paraId="075F0F58">
      <w:pPr>
        <w:pStyle w:val="4"/>
        <w:adjustRightInd w:val="0"/>
        <w:snapToGrid w:val="0"/>
        <w:spacing w:before="156" w:beforeLines="50" w:after="0" w:line="360" w:lineRule="auto"/>
        <w:jc w:val="center"/>
        <w:rPr>
          <w:rFonts w:ascii="黑体" w:hAnsi="黑体" w:eastAsia="黑体"/>
          <w:color w:val="auto"/>
          <w:sz w:val="28"/>
          <w:szCs w:val="28"/>
          <w:highlight w:val="none"/>
        </w:rPr>
      </w:pPr>
      <w:bookmarkStart w:id="20" w:name="_Toc26384"/>
      <w:r>
        <w:rPr>
          <w:rFonts w:hint="eastAsia" w:ascii="黑体" w:hAnsi="黑体" w:eastAsia="黑体"/>
          <w:color w:val="auto"/>
          <w:sz w:val="28"/>
          <w:szCs w:val="28"/>
          <w:highlight w:val="none"/>
        </w:rPr>
        <w:t>二、招标文件</w:t>
      </w:r>
      <w:bookmarkEnd w:id="20"/>
    </w:p>
    <w:p w14:paraId="6043F610">
      <w:pPr>
        <w:adjustRightInd w:val="0"/>
        <w:snapToGrid w:val="0"/>
        <w:spacing w:before="156" w:beforeLines="50" w:line="360" w:lineRule="auto"/>
        <w:jc w:val="left"/>
        <w:rPr>
          <w:rFonts w:ascii="宋体" w:hAnsi="宋体" w:eastAsia="宋体"/>
          <w:b/>
          <w:bCs/>
          <w:color w:val="auto"/>
          <w:sz w:val="24"/>
          <w:highlight w:val="none"/>
        </w:rPr>
      </w:pPr>
      <w:r>
        <w:rPr>
          <w:rFonts w:hint="eastAsia" w:ascii="宋体" w:hAnsi="宋体" w:eastAsia="宋体"/>
          <w:b/>
          <w:bCs/>
          <w:color w:val="auto"/>
          <w:sz w:val="24"/>
          <w:highlight w:val="none"/>
        </w:rPr>
        <w:t>6. 招标文件的构成</w:t>
      </w:r>
    </w:p>
    <w:p w14:paraId="631BA9BE">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6.1 招标文件共七章，各章内容如下：</w:t>
      </w:r>
    </w:p>
    <w:p w14:paraId="5EDAE73E">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第一章 投标邀请</w:t>
      </w:r>
    </w:p>
    <w:p w14:paraId="4C98E737">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第二章 投标须知</w:t>
      </w:r>
    </w:p>
    <w:p w14:paraId="5054E6F3">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第三章 资格审查</w:t>
      </w:r>
    </w:p>
    <w:p w14:paraId="2014C10C">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第四章 评标方法及标准</w:t>
      </w:r>
    </w:p>
    <w:p w14:paraId="4A667126">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第五章 采购需求</w:t>
      </w:r>
    </w:p>
    <w:p w14:paraId="0B1C7502">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第六章 政府采购合同</w:t>
      </w:r>
    </w:p>
    <w:p w14:paraId="76C96CE5">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第七章 投标文件的组成</w:t>
      </w:r>
    </w:p>
    <w:p w14:paraId="0336EBAD">
      <w:pPr>
        <w:adjustRightInd w:val="0"/>
        <w:snapToGrid w:val="0"/>
        <w:spacing w:before="156" w:beforeLines="50" w:line="360" w:lineRule="auto"/>
        <w:ind w:firstLine="420" w:firstLineChars="200"/>
        <w:jc w:val="left"/>
        <w:rPr>
          <w:rFonts w:ascii="宋体" w:hAnsi="宋体" w:eastAsia="宋体" w:cs="宋体"/>
          <w:b/>
          <w:color w:val="auto"/>
          <w:szCs w:val="21"/>
          <w:highlight w:val="none"/>
        </w:rPr>
      </w:pPr>
      <w:r>
        <w:rPr>
          <w:rFonts w:hint="eastAsia" w:ascii="宋体" w:hAnsi="宋体" w:eastAsia="宋体"/>
          <w:color w:val="auto"/>
          <w:szCs w:val="21"/>
          <w:highlight w:val="none"/>
        </w:rPr>
        <w:t>6.2采购人、采购代理机构在提交投标文件截止时间前</w:t>
      </w:r>
      <w:r>
        <w:rPr>
          <w:rFonts w:hint="eastAsia" w:ascii="宋体" w:hAnsi="宋体" w:eastAsia="宋体" w:cs="宋体"/>
          <w:color w:val="auto"/>
          <w:szCs w:val="21"/>
          <w:highlight w:val="none"/>
        </w:rPr>
        <w:t>对招标文件所作的澄清或者修改，构成招标文件的组成部分。</w:t>
      </w:r>
    </w:p>
    <w:p w14:paraId="214766DE">
      <w:pPr>
        <w:adjustRightInd w:val="0"/>
        <w:snapToGrid w:val="0"/>
        <w:spacing w:before="156" w:beforeLines="50" w:line="360" w:lineRule="auto"/>
        <w:jc w:val="left"/>
        <w:rPr>
          <w:rFonts w:ascii="宋体" w:hAnsi="宋体" w:eastAsia="宋体"/>
          <w:b/>
          <w:color w:val="auto"/>
          <w:sz w:val="24"/>
          <w:highlight w:val="none"/>
        </w:rPr>
      </w:pPr>
      <w:r>
        <w:rPr>
          <w:rFonts w:hint="eastAsia" w:ascii="宋体" w:hAnsi="宋体" w:eastAsia="宋体"/>
          <w:b/>
          <w:color w:val="auto"/>
          <w:sz w:val="24"/>
          <w:highlight w:val="none"/>
        </w:rPr>
        <w:t>7．偏离与实质性响应</w:t>
      </w:r>
    </w:p>
    <w:p w14:paraId="26EAB853">
      <w:pPr>
        <w:adjustRightInd w:val="0"/>
        <w:snapToGrid w:val="0"/>
        <w:spacing w:before="156" w:beforeLines="50" w:line="360" w:lineRule="auto"/>
        <w:ind w:firstLine="420" w:firstLineChars="200"/>
        <w:rPr>
          <w:rFonts w:ascii="宋体" w:hAnsi="宋体" w:eastAsia="宋体"/>
          <w:color w:val="auto"/>
          <w:highlight w:val="none"/>
        </w:rPr>
      </w:pPr>
      <w:r>
        <w:rPr>
          <w:rFonts w:hint="eastAsia" w:ascii="宋体" w:hAnsi="宋体" w:eastAsia="宋体"/>
          <w:color w:val="auto"/>
          <w:highlight w:val="none"/>
        </w:rPr>
        <w:t>7.1投标人应当按照招标文件的要求编制投标文件。投标文件应当对招标文件提出的要求和条件作出明确响应。</w:t>
      </w:r>
    </w:p>
    <w:p w14:paraId="7B2E754B">
      <w:pPr>
        <w:adjustRightInd w:val="0"/>
        <w:snapToGrid w:val="0"/>
        <w:spacing w:before="156" w:beforeLines="50" w:line="360" w:lineRule="auto"/>
        <w:ind w:firstLine="420" w:firstLineChars="200"/>
        <w:rPr>
          <w:rFonts w:ascii="宋体" w:hAnsi="宋体" w:eastAsia="宋体"/>
          <w:color w:val="auto"/>
          <w:highlight w:val="none"/>
        </w:rPr>
      </w:pPr>
      <w:r>
        <w:rPr>
          <w:rFonts w:hint="eastAsia" w:ascii="宋体" w:hAnsi="宋体" w:eastAsia="宋体"/>
          <w:color w:val="auto"/>
          <w:highlight w:val="none"/>
        </w:rPr>
        <w:t>7.2偏离是指投标文件不响应或者不满足招标文件提出的要求和条件，分为实质性偏离和非实质性偏离。</w:t>
      </w:r>
    </w:p>
    <w:p w14:paraId="17542924">
      <w:pPr>
        <w:adjustRightInd w:val="0"/>
        <w:snapToGrid w:val="0"/>
        <w:spacing w:before="156" w:beforeLines="50" w:line="360" w:lineRule="auto"/>
        <w:ind w:firstLine="420" w:firstLineChars="200"/>
        <w:rPr>
          <w:rFonts w:ascii="宋体" w:hAnsi="宋体" w:eastAsia="宋体"/>
          <w:color w:val="auto"/>
          <w:highlight w:val="none"/>
        </w:rPr>
      </w:pPr>
      <w:r>
        <w:rPr>
          <w:rFonts w:hint="eastAsia" w:ascii="宋体" w:hAnsi="宋体" w:eastAsia="宋体"/>
          <w:color w:val="auto"/>
          <w:highlight w:val="none"/>
        </w:rPr>
        <w:t>7.3除法律、法规和招标文件规定的其他投标无效情形外，招标文件中用“★”符号标明的条款为实质性要求和条件，对其中任何一条的偏离，为实质性偏离，</w:t>
      </w:r>
      <w:r>
        <w:rPr>
          <w:rFonts w:hint="eastAsia" w:ascii="宋体" w:hAnsi="宋体" w:eastAsia="宋体"/>
          <w:b/>
          <w:color w:val="auto"/>
          <w:highlight w:val="none"/>
        </w:rPr>
        <w:t>其投标无效</w:t>
      </w:r>
      <w:r>
        <w:rPr>
          <w:rFonts w:hint="eastAsia" w:ascii="宋体" w:hAnsi="宋体" w:eastAsia="宋体"/>
          <w:color w:val="auto"/>
          <w:highlight w:val="none"/>
        </w:rPr>
        <w:t>。</w:t>
      </w:r>
    </w:p>
    <w:p w14:paraId="6836A664">
      <w:pPr>
        <w:adjustRightInd w:val="0"/>
        <w:snapToGrid w:val="0"/>
        <w:spacing w:before="156" w:beforeLines="50" w:line="360" w:lineRule="auto"/>
        <w:ind w:firstLine="420" w:firstLineChars="200"/>
        <w:jc w:val="left"/>
        <w:rPr>
          <w:rFonts w:ascii="宋体" w:hAnsi="宋体" w:eastAsia="宋体"/>
          <w:color w:val="auto"/>
          <w:highlight w:val="none"/>
        </w:rPr>
      </w:pPr>
      <w:r>
        <w:rPr>
          <w:rFonts w:hint="eastAsia" w:ascii="宋体" w:hAnsi="宋体" w:eastAsia="宋体"/>
          <w:color w:val="auto"/>
          <w:highlight w:val="none"/>
        </w:rPr>
        <w:t>7.4投标</w:t>
      </w:r>
      <w:r>
        <w:rPr>
          <w:rFonts w:hint="eastAsia" w:ascii="宋体" w:hAnsi="宋体" w:eastAsia="宋体"/>
          <w:color w:val="auto"/>
          <w:szCs w:val="21"/>
          <w:highlight w:val="none"/>
        </w:rPr>
        <w:t>文件偏离招标文件的非实质性要求和条件，为非实质性偏离。非实质性偏离的范围和幅度应当符合</w:t>
      </w:r>
      <w:r>
        <w:rPr>
          <w:rFonts w:hint="eastAsia" w:ascii="宋体" w:hAnsi="宋体" w:eastAsia="宋体"/>
          <w:b/>
          <w:color w:val="auto"/>
          <w:szCs w:val="21"/>
          <w:highlight w:val="none"/>
        </w:rPr>
        <w:t>【投标须知前附表】</w:t>
      </w:r>
      <w:r>
        <w:rPr>
          <w:rFonts w:hint="eastAsia" w:ascii="宋体" w:hAnsi="宋体" w:eastAsia="宋体"/>
          <w:color w:val="auto"/>
          <w:szCs w:val="21"/>
          <w:highlight w:val="none"/>
        </w:rPr>
        <w:t>的规定，</w:t>
      </w:r>
      <w:r>
        <w:rPr>
          <w:rFonts w:hint="eastAsia" w:ascii="宋体" w:hAnsi="宋体" w:eastAsia="宋体"/>
          <w:b/>
          <w:color w:val="auto"/>
          <w:szCs w:val="21"/>
          <w:highlight w:val="none"/>
        </w:rPr>
        <w:t>否</w:t>
      </w:r>
      <w:r>
        <w:rPr>
          <w:rFonts w:hint="eastAsia" w:ascii="宋体" w:hAnsi="宋体" w:eastAsia="宋体"/>
          <w:b/>
          <w:color w:val="auto"/>
          <w:highlight w:val="none"/>
        </w:rPr>
        <w:t>则投标无效</w:t>
      </w:r>
      <w:r>
        <w:rPr>
          <w:rFonts w:hint="eastAsia" w:ascii="宋体" w:hAnsi="宋体" w:eastAsia="宋体"/>
          <w:color w:val="auto"/>
          <w:highlight w:val="none"/>
        </w:rPr>
        <w:t>。</w:t>
      </w:r>
    </w:p>
    <w:p w14:paraId="5F7FDA92">
      <w:pPr>
        <w:adjustRightInd w:val="0"/>
        <w:snapToGrid w:val="0"/>
        <w:spacing w:before="156" w:beforeLines="50" w:line="360" w:lineRule="auto"/>
        <w:jc w:val="left"/>
        <w:rPr>
          <w:rFonts w:ascii="宋体" w:hAnsi="宋体" w:eastAsia="宋体"/>
          <w:b/>
          <w:bCs/>
          <w:color w:val="auto"/>
          <w:sz w:val="24"/>
          <w:highlight w:val="none"/>
        </w:rPr>
      </w:pPr>
      <w:r>
        <w:rPr>
          <w:rFonts w:hint="eastAsia" w:ascii="宋体" w:hAnsi="宋体" w:eastAsia="宋体"/>
          <w:b/>
          <w:color w:val="auto"/>
          <w:sz w:val="24"/>
          <w:highlight w:val="none"/>
        </w:rPr>
        <w:t>8. 询问</w:t>
      </w:r>
    </w:p>
    <w:p w14:paraId="4CDF75CF">
      <w:pPr>
        <w:adjustRightInd w:val="0"/>
        <w:snapToGrid w:val="0"/>
        <w:spacing w:before="156" w:beforeLines="50" w:line="360" w:lineRule="auto"/>
        <w:ind w:firstLine="420" w:firstLineChars="200"/>
        <w:jc w:val="left"/>
        <w:rPr>
          <w:rFonts w:ascii="宋体" w:hAnsi="宋体" w:eastAsia="宋体"/>
          <w:color w:val="auto"/>
          <w:highlight w:val="none"/>
        </w:rPr>
      </w:pPr>
      <w:r>
        <w:rPr>
          <w:rFonts w:hint="eastAsia" w:ascii="宋体" w:hAnsi="宋体" w:eastAsia="宋体"/>
          <w:color w:val="auto"/>
          <w:highlight w:val="none"/>
        </w:rPr>
        <w:t>8.1潜在投标人应仔细阅读和检查招标文件的全部内容。如有疑问，可以向采购人或者采购代理机构提出询问。</w:t>
      </w:r>
    </w:p>
    <w:p w14:paraId="6C8D7830">
      <w:pPr>
        <w:adjustRightInd w:val="0"/>
        <w:snapToGrid w:val="0"/>
        <w:spacing w:before="156" w:beforeLines="50" w:line="360" w:lineRule="auto"/>
        <w:jc w:val="left"/>
        <w:rPr>
          <w:rFonts w:ascii="宋体" w:hAnsi="宋体" w:eastAsia="宋体"/>
          <w:b/>
          <w:bCs/>
          <w:color w:val="auto"/>
          <w:sz w:val="24"/>
          <w:highlight w:val="none"/>
        </w:rPr>
      </w:pPr>
      <w:r>
        <w:rPr>
          <w:rFonts w:hint="eastAsia" w:ascii="宋体" w:hAnsi="宋体" w:eastAsia="宋体"/>
          <w:b/>
          <w:bCs/>
          <w:color w:val="auto"/>
          <w:sz w:val="24"/>
          <w:highlight w:val="none"/>
        </w:rPr>
        <w:t>9. 招标文件的澄清或者修改</w:t>
      </w:r>
    </w:p>
    <w:p w14:paraId="41D5514F">
      <w:pPr>
        <w:adjustRightInd w:val="0"/>
        <w:snapToGrid w:val="0"/>
        <w:spacing w:before="156" w:beforeLines="50" w:line="360" w:lineRule="auto"/>
        <w:ind w:firstLine="420" w:firstLineChars="200"/>
        <w:jc w:val="left"/>
        <w:rPr>
          <w:rFonts w:ascii="宋体" w:hAnsi="宋体" w:eastAsia="宋体"/>
          <w:color w:val="auto"/>
          <w:highlight w:val="none"/>
        </w:rPr>
      </w:pPr>
      <w:r>
        <w:rPr>
          <w:rFonts w:hint="eastAsia" w:ascii="宋体" w:hAnsi="宋体" w:eastAsia="宋体"/>
          <w:color w:val="auto"/>
          <w:highlight w:val="none"/>
        </w:rPr>
        <w:t>9.1采购人、采购代理机构对已发出的招标文件进行必要澄清或者修改的，将在</w:t>
      </w:r>
      <w:r>
        <w:rPr>
          <w:rFonts w:hint="eastAsia" w:ascii="宋体" w:hAnsi="宋体" w:eastAsia="宋体"/>
          <w:b/>
          <w:color w:val="auto"/>
          <w:szCs w:val="21"/>
          <w:highlight w:val="none"/>
        </w:rPr>
        <w:t>【投标须知前附表】</w:t>
      </w:r>
      <w:r>
        <w:rPr>
          <w:rFonts w:hint="eastAsia" w:ascii="宋体" w:hAnsi="宋体" w:eastAsia="宋体"/>
          <w:color w:val="auto"/>
          <w:szCs w:val="21"/>
          <w:highlight w:val="none"/>
        </w:rPr>
        <w:t>规定的</w:t>
      </w:r>
      <w:r>
        <w:rPr>
          <w:rFonts w:hint="eastAsia" w:ascii="宋体" w:hAnsi="宋体" w:eastAsia="宋体"/>
          <w:color w:val="auto"/>
          <w:highlight w:val="none"/>
        </w:rPr>
        <w:t>招标公告指定媒体上发布澄清或者修改公告。</w:t>
      </w:r>
    </w:p>
    <w:p w14:paraId="31CF159C">
      <w:pPr>
        <w:adjustRightInd w:val="0"/>
        <w:snapToGrid w:val="0"/>
        <w:spacing w:before="156" w:beforeLines="50" w:line="360" w:lineRule="auto"/>
        <w:ind w:firstLine="420" w:firstLineChars="200"/>
        <w:jc w:val="left"/>
        <w:rPr>
          <w:rFonts w:ascii="宋体" w:hAnsi="宋体" w:eastAsia="宋体"/>
          <w:color w:val="auto"/>
          <w:highlight w:val="none"/>
        </w:rPr>
      </w:pPr>
      <w:r>
        <w:rPr>
          <w:rFonts w:hint="eastAsia" w:ascii="宋体" w:hAnsi="宋体" w:eastAsia="宋体" w:cs="宋体"/>
          <w:color w:val="auto"/>
          <w:kern w:val="0"/>
          <w:szCs w:val="21"/>
          <w:highlight w:val="none"/>
        </w:rPr>
        <w:t>9.2澄清或者修改</w:t>
      </w:r>
      <w:r>
        <w:rPr>
          <w:rFonts w:hint="eastAsia" w:ascii="宋体" w:hAnsi="宋体" w:eastAsia="宋体"/>
          <w:color w:val="auto"/>
          <w:highlight w:val="none"/>
        </w:rPr>
        <w:t>的</w:t>
      </w:r>
      <w:r>
        <w:rPr>
          <w:rFonts w:hint="eastAsia" w:ascii="宋体" w:hAnsi="宋体" w:eastAsia="宋体" w:cs="宋体"/>
          <w:color w:val="auto"/>
          <w:kern w:val="0"/>
          <w:szCs w:val="21"/>
          <w:highlight w:val="none"/>
        </w:rPr>
        <w:t>内容可能影响投标文件编制的，采购人、采购代理机构</w:t>
      </w:r>
      <w:r>
        <w:rPr>
          <w:rFonts w:hint="eastAsia" w:ascii="宋体" w:hAnsi="宋体" w:eastAsia="宋体"/>
          <w:color w:val="auto"/>
          <w:highlight w:val="none"/>
        </w:rPr>
        <w:t>将</w:t>
      </w:r>
      <w:r>
        <w:rPr>
          <w:rFonts w:hint="eastAsia" w:ascii="宋体" w:hAnsi="宋体" w:eastAsia="宋体" w:cs="宋体"/>
          <w:color w:val="auto"/>
          <w:kern w:val="0"/>
          <w:szCs w:val="21"/>
          <w:highlight w:val="none"/>
        </w:rPr>
        <w:t>在提交投标文件截止时间15日前，</w:t>
      </w:r>
      <w:r>
        <w:rPr>
          <w:rFonts w:hint="eastAsia" w:ascii="宋体" w:hAnsi="宋体" w:eastAsia="宋体"/>
          <w:color w:val="auto"/>
          <w:highlight w:val="none"/>
        </w:rPr>
        <w:t>以书面形式通知所有获取招标文件的潜在投标人；不足15日的，将相应延长提交投标文件的截止时间。</w:t>
      </w:r>
    </w:p>
    <w:p w14:paraId="7FBF7CF0">
      <w:pPr>
        <w:adjustRightInd w:val="0"/>
        <w:snapToGrid w:val="0"/>
        <w:spacing w:before="156" w:beforeLines="50" w:line="360" w:lineRule="auto"/>
        <w:ind w:firstLine="420" w:firstLineChars="200"/>
        <w:jc w:val="left"/>
        <w:rPr>
          <w:rFonts w:ascii="宋体" w:hAnsi="宋体" w:eastAsia="宋体"/>
          <w:color w:val="auto"/>
          <w:highlight w:val="none"/>
        </w:rPr>
      </w:pPr>
      <w:r>
        <w:rPr>
          <w:rFonts w:hint="eastAsia" w:ascii="宋体" w:hAnsi="宋体" w:eastAsia="宋体"/>
          <w:color w:val="auto"/>
          <w:highlight w:val="none"/>
        </w:rPr>
        <w:t>9</w:t>
      </w:r>
      <w:r>
        <w:rPr>
          <w:rFonts w:ascii="宋体" w:hAnsi="宋体" w:eastAsia="宋体"/>
          <w:color w:val="auto"/>
          <w:highlight w:val="none"/>
        </w:rPr>
        <w:t>.3</w:t>
      </w:r>
      <w:r>
        <w:rPr>
          <w:rFonts w:hint="eastAsia" w:ascii="宋体" w:hAnsi="宋体" w:eastAsia="宋体"/>
          <w:color w:val="auto"/>
          <w:highlight w:val="none"/>
        </w:rPr>
        <w:t>招标文件的提供期限届满后，获取招标文件的潜在投标人不足3家的，可以顺延提供期限，并在指定媒体上发布修改公告。</w:t>
      </w:r>
    </w:p>
    <w:p w14:paraId="10910C3E">
      <w:pPr>
        <w:adjustRightInd w:val="0"/>
        <w:snapToGrid w:val="0"/>
        <w:spacing w:before="156" w:beforeLines="50" w:line="360" w:lineRule="auto"/>
        <w:ind w:firstLine="420" w:firstLineChars="200"/>
        <w:jc w:val="left"/>
        <w:rPr>
          <w:rFonts w:ascii="宋体" w:hAnsi="宋体" w:eastAsia="宋体"/>
          <w:color w:val="auto"/>
          <w:highlight w:val="none"/>
        </w:rPr>
      </w:pPr>
      <w:r>
        <w:rPr>
          <w:rFonts w:hint="eastAsia" w:ascii="宋体" w:hAnsi="宋体" w:eastAsia="宋体"/>
          <w:color w:val="auto"/>
          <w:highlight w:val="none"/>
        </w:rPr>
        <w:t>9.4 通过电子招标投标交易平台下载招标文件的，请获取招标文件的潜在投标人及时关注</w:t>
      </w:r>
      <w:r>
        <w:rPr>
          <w:rFonts w:hint="eastAsia" w:ascii="宋体" w:hAnsi="宋体" w:eastAsia="宋体"/>
          <w:color w:val="auto"/>
          <w:szCs w:val="21"/>
          <w:highlight w:val="none"/>
        </w:rPr>
        <w:t>招标公告指定媒体</w:t>
      </w:r>
      <w:r>
        <w:rPr>
          <w:rFonts w:hint="eastAsia" w:ascii="宋体" w:hAnsi="宋体" w:eastAsia="宋体"/>
          <w:color w:val="auto"/>
          <w:highlight w:val="none"/>
        </w:rPr>
        <w:t>发布的澄清或者修改公告，采购人、采购代理机构不再书面通知。</w:t>
      </w:r>
    </w:p>
    <w:p w14:paraId="7E1E2516">
      <w:pPr>
        <w:pStyle w:val="4"/>
        <w:adjustRightInd w:val="0"/>
        <w:snapToGrid w:val="0"/>
        <w:spacing w:before="156" w:beforeLines="50" w:after="0" w:line="360" w:lineRule="auto"/>
        <w:jc w:val="center"/>
        <w:rPr>
          <w:rFonts w:ascii="黑体" w:hAnsi="黑体" w:eastAsia="黑体"/>
          <w:color w:val="auto"/>
          <w:sz w:val="28"/>
          <w:szCs w:val="28"/>
          <w:highlight w:val="none"/>
        </w:rPr>
      </w:pPr>
      <w:bookmarkStart w:id="21" w:name="_Toc10332"/>
      <w:r>
        <w:rPr>
          <w:rFonts w:hint="eastAsia" w:ascii="黑体" w:hAnsi="黑体" w:eastAsia="黑体"/>
          <w:color w:val="auto"/>
          <w:sz w:val="28"/>
          <w:szCs w:val="28"/>
          <w:highlight w:val="none"/>
        </w:rPr>
        <w:t>三、投标文件</w:t>
      </w:r>
      <w:bookmarkEnd w:id="21"/>
    </w:p>
    <w:p w14:paraId="1CF7216A">
      <w:pPr>
        <w:adjustRightInd w:val="0"/>
        <w:snapToGrid w:val="0"/>
        <w:spacing w:before="156" w:beforeLines="50" w:line="360" w:lineRule="auto"/>
        <w:jc w:val="left"/>
        <w:rPr>
          <w:rFonts w:ascii="宋体" w:hAnsi="宋体" w:eastAsia="宋体"/>
          <w:b/>
          <w:bCs/>
          <w:color w:val="auto"/>
          <w:sz w:val="24"/>
          <w:highlight w:val="none"/>
        </w:rPr>
      </w:pPr>
      <w:r>
        <w:rPr>
          <w:rFonts w:hint="eastAsia" w:ascii="宋体" w:hAnsi="宋体" w:eastAsia="宋体"/>
          <w:b/>
          <w:bCs/>
          <w:color w:val="auto"/>
          <w:sz w:val="24"/>
          <w:highlight w:val="none"/>
        </w:rPr>
        <w:t>10. 投标语言</w:t>
      </w:r>
    </w:p>
    <w:p w14:paraId="1EFAB06C">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10.1除专用术语外，投标人提交的投标文件及投标人与采购人、采购代理机构就有关投标的所有来往函电均使用中文。投标人可以提交其它语言的资料，但应附有中文注释，有差异时以中文为准。</w:t>
      </w:r>
    </w:p>
    <w:p w14:paraId="506E7A90">
      <w:pPr>
        <w:adjustRightInd w:val="0"/>
        <w:snapToGrid w:val="0"/>
        <w:spacing w:before="156" w:beforeLines="50" w:line="360" w:lineRule="auto"/>
        <w:jc w:val="left"/>
        <w:rPr>
          <w:rFonts w:ascii="宋体" w:hAnsi="宋体" w:eastAsia="宋体"/>
          <w:b/>
          <w:color w:val="auto"/>
          <w:sz w:val="24"/>
          <w:highlight w:val="none"/>
        </w:rPr>
      </w:pPr>
      <w:r>
        <w:rPr>
          <w:rFonts w:hint="eastAsia" w:ascii="宋体" w:hAnsi="宋体" w:eastAsia="宋体"/>
          <w:b/>
          <w:bCs/>
          <w:color w:val="auto"/>
          <w:sz w:val="24"/>
          <w:highlight w:val="none"/>
        </w:rPr>
        <w:t xml:space="preserve">11. </w:t>
      </w:r>
      <w:r>
        <w:rPr>
          <w:rFonts w:hint="eastAsia" w:ascii="宋体" w:hAnsi="宋体" w:eastAsia="宋体"/>
          <w:b/>
          <w:color w:val="auto"/>
          <w:sz w:val="24"/>
          <w:highlight w:val="none"/>
        </w:rPr>
        <w:t>计量单位</w:t>
      </w:r>
    </w:p>
    <w:p w14:paraId="29D0BFF8">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11.1所有计量均采用中华人民共和国法定计量单位。</w:t>
      </w:r>
    </w:p>
    <w:p w14:paraId="4BF3ADE1">
      <w:pPr>
        <w:adjustRightInd w:val="0"/>
        <w:snapToGrid w:val="0"/>
        <w:spacing w:before="156" w:beforeLines="50" w:line="360" w:lineRule="auto"/>
        <w:jc w:val="left"/>
        <w:rPr>
          <w:rFonts w:ascii="宋体" w:hAnsi="宋体" w:eastAsia="宋体"/>
          <w:b/>
          <w:bCs/>
          <w:color w:val="auto"/>
          <w:sz w:val="24"/>
          <w:highlight w:val="none"/>
        </w:rPr>
      </w:pPr>
      <w:r>
        <w:rPr>
          <w:rFonts w:hint="eastAsia" w:ascii="宋体" w:hAnsi="宋体" w:eastAsia="宋体"/>
          <w:b/>
          <w:color w:val="auto"/>
          <w:sz w:val="24"/>
          <w:highlight w:val="none"/>
        </w:rPr>
        <w:t xml:space="preserve">12. </w:t>
      </w:r>
      <w:r>
        <w:rPr>
          <w:rFonts w:hint="eastAsia" w:ascii="宋体" w:hAnsi="宋体" w:eastAsia="宋体"/>
          <w:b/>
          <w:bCs/>
          <w:color w:val="auto"/>
          <w:sz w:val="24"/>
          <w:highlight w:val="none"/>
        </w:rPr>
        <w:t>投标文件的组成</w:t>
      </w:r>
    </w:p>
    <w:p w14:paraId="13CB096D">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12.1投标文件由如下内容组成：</w:t>
      </w:r>
    </w:p>
    <w:p w14:paraId="3164EAFA">
      <w:pPr>
        <w:adjustRightInd w:val="0"/>
        <w:snapToGrid w:val="0"/>
        <w:spacing w:before="156" w:beforeLines="50" w:line="360" w:lineRule="auto"/>
        <w:ind w:firstLine="422" w:firstLineChars="200"/>
        <w:jc w:val="left"/>
        <w:rPr>
          <w:rFonts w:ascii="宋体" w:hAnsi="宋体" w:eastAsia="宋体"/>
          <w:b/>
          <w:color w:val="auto"/>
          <w:szCs w:val="21"/>
          <w:highlight w:val="none"/>
        </w:rPr>
      </w:pPr>
      <w:r>
        <w:rPr>
          <w:rFonts w:hint="eastAsia" w:ascii="宋体" w:hAnsi="宋体" w:eastAsia="宋体"/>
          <w:b/>
          <w:color w:val="auto"/>
          <w:szCs w:val="21"/>
          <w:highlight w:val="none"/>
        </w:rPr>
        <w:t>第一部分 资格证明文件</w:t>
      </w:r>
    </w:p>
    <w:p w14:paraId="39E9F9B6">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（1）开标一览表</w:t>
      </w:r>
    </w:p>
    <w:p w14:paraId="546DEEBD">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（2）投标保</w:t>
      </w:r>
      <w:r>
        <w:rPr>
          <w:rFonts w:hint="eastAsia" w:ascii="宋体" w:hAnsi="宋体" w:eastAsia="宋体"/>
          <w:bCs/>
          <w:color w:val="auto"/>
          <w:szCs w:val="21"/>
          <w:highlight w:val="none"/>
        </w:rPr>
        <w:t>证金</w:t>
      </w:r>
    </w:p>
    <w:p w14:paraId="06077045">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（3）授权委托书</w:t>
      </w:r>
    </w:p>
    <w:p w14:paraId="0AF024B5">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（4）投标人提供的资格证明文件</w:t>
      </w:r>
    </w:p>
    <w:p w14:paraId="72C7A256">
      <w:pPr>
        <w:adjustRightInd w:val="0"/>
        <w:snapToGrid w:val="0"/>
        <w:spacing w:before="156" w:beforeLines="50" w:line="360" w:lineRule="auto"/>
        <w:ind w:firstLine="422" w:firstLineChars="200"/>
        <w:jc w:val="left"/>
        <w:rPr>
          <w:rFonts w:ascii="宋体" w:hAnsi="宋体" w:eastAsia="宋体"/>
          <w:b/>
          <w:color w:val="auto"/>
          <w:szCs w:val="21"/>
          <w:highlight w:val="none"/>
        </w:rPr>
      </w:pPr>
      <w:r>
        <w:rPr>
          <w:rFonts w:hint="eastAsia" w:ascii="宋体" w:hAnsi="宋体" w:eastAsia="宋体"/>
          <w:b/>
          <w:color w:val="auto"/>
          <w:szCs w:val="21"/>
          <w:highlight w:val="none"/>
        </w:rPr>
        <w:t>第二部分 商务和技术文件</w:t>
      </w:r>
    </w:p>
    <w:p w14:paraId="02C40689">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（5）投标函</w:t>
      </w:r>
    </w:p>
    <w:p w14:paraId="355FD27B">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（6）分项报价</w:t>
      </w:r>
    </w:p>
    <w:p w14:paraId="67CD474B">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（7）采购需求响应</w:t>
      </w:r>
    </w:p>
    <w:p w14:paraId="7D2E6E79">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（8）合同条款偏离表</w:t>
      </w:r>
    </w:p>
    <w:p w14:paraId="6925EA01">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（9）采购需求偏离表</w:t>
      </w:r>
    </w:p>
    <w:p w14:paraId="52012B20">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（10）享受政府采购政策优惠的证明资料</w:t>
      </w:r>
    </w:p>
    <w:p w14:paraId="6039815F">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（11）投标货物符合招标文件规定的证明文件</w:t>
      </w:r>
    </w:p>
    <w:p w14:paraId="4DBD015C">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（12）投标人认为需提供的其他资料</w:t>
      </w:r>
    </w:p>
    <w:p w14:paraId="3D0F852D">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12.2投标人可以编制资格审查索引表、符合性审查索引表、评审索引表，以方便采购人、采购代理机构、评标委员会在资格审查及评审时查阅。</w:t>
      </w:r>
    </w:p>
    <w:p w14:paraId="674E84BA">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12.3根据《政府采购法》第四十二条的规定，投标人无论中标与否，其投标文件不予退还。</w:t>
      </w:r>
    </w:p>
    <w:p w14:paraId="1C891703">
      <w:pPr>
        <w:adjustRightInd w:val="0"/>
        <w:snapToGrid w:val="0"/>
        <w:spacing w:before="156" w:beforeLines="50" w:line="360" w:lineRule="auto"/>
        <w:jc w:val="left"/>
        <w:rPr>
          <w:rFonts w:ascii="宋体" w:hAnsi="宋体" w:eastAsia="宋体"/>
          <w:b/>
          <w:bCs/>
          <w:color w:val="auto"/>
          <w:sz w:val="24"/>
          <w:highlight w:val="none"/>
        </w:rPr>
      </w:pPr>
      <w:r>
        <w:rPr>
          <w:rFonts w:hint="eastAsia" w:ascii="宋体" w:hAnsi="宋体" w:eastAsia="宋体"/>
          <w:b/>
          <w:bCs/>
          <w:color w:val="auto"/>
          <w:sz w:val="24"/>
          <w:highlight w:val="none"/>
        </w:rPr>
        <w:t>13. 投标报价</w:t>
      </w:r>
    </w:p>
    <w:p w14:paraId="7A9DAD79">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13.1投标人应以招标文件规定的供货及服务要求、责任范围和合同条件为基础，按第七章“投标文件的组成”的有关规定进行报价。投标人的报价应包括为完成本项目所要求的全部内容可能发生的全部费用和税费、规费、保险费（如果有）等，采购人将不再支付报价以外的任何费用。</w:t>
      </w:r>
    </w:p>
    <w:p w14:paraId="08BE316C">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ascii="宋体" w:hAnsi="宋体" w:eastAsia="宋体"/>
          <w:color w:val="auto"/>
          <w:szCs w:val="21"/>
          <w:highlight w:val="none"/>
        </w:rPr>
        <w:t>1</w:t>
      </w:r>
      <w:r>
        <w:rPr>
          <w:rFonts w:hint="eastAsia" w:ascii="宋体" w:hAnsi="宋体" w:eastAsia="宋体"/>
          <w:color w:val="auto"/>
          <w:szCs w:val="21"/>
          <w:highlight w:val="none"/>
        </w:rPr>
        <w:t>3</w:t>
      </w:r>
      <w:r>
        <w:rPr>
          <w:rFonts w:ascii="宋体" w:hAnsi="宋体" w:eastAsia="宋体"/>
          <w:color w:val="auto"/>
          <w:szCs w:val="21"/>
          <w:highlight w:val="none"/>
        </w:rPr>
        <w:t>.</w:t>
      </w:r>
      <w:r>
        <w:rPr>
          <w:rFonts w:hint="eastAsia" w:ascii="宋体" w:hAnsi="宋体" w:eastAsia="宋体"/>
          <w:color w:val="auto"/>
          <w:szCs w:val="21"/>
          <w:highlight w:val="none"/>
        </w:rPr>
        <w:t>2投标人的投标报价不得超过采购</w:t>
      </w:r>
      <w:r>
        <w:rPr>
          <w:rFonts w:hint="eastAsia" w:ascii="宋体" w:hAnsi="宋体"/>
          <w:color w:val="auto"/>
          <w:szCs w:val="21"/>
          <w:highlight w:val="none"/>
          <w:lang w:val="en-US" w:eastAsia="zh-CN"/>
        </w:rPr>
        <w:t>项目</w:t>
      </w:r>
      <w:r>
        <w:rPr>
          <w:rFonts w:hint="eastAsia" w:ascii="宋体" w:hAnsi="宋体" w:eastAsia="宋体"/>
          <w:color w:val="auto"/>
          <w:szCs w:val="21"/>
          <w:highlight w:val="none"/>
        </w:rPr>
        <w:t>预算，也不得超过最高限价(如果设定)，否则其</w:t>
      </w:r>
      <w:r>
        <w:rPr>
          <w:rFonts w:hint="eastAsia" w:ascii="宋体" w:hAnsi="宋体" w:eastAsia="宋体"/>
          <w:b/>
          <w:color w:val="auto"/>
          <w:szCs w:val="21"/>
          <w:highlight w:val="none"/>
        </w:rPr>
        <w:t>投标无效</w:t>
      </w:r>
      <w:r>
        <w:rPr>
          <w:rFonts w:hint="eastAsia" w:ascii="宋体" w:hAnsi="宋体" w:eastAsia="宋体"/>
          <w:color w:val="auto"/>
          <w:szCs w:val="21"/>
          <w:highlight w:val="none"/>
        </w:rPr>
        <w:t>。采购项目预算、最高限价见</w:t>
      </w:r>
      <w:r>
        <w:rPr>
          <w:rFonts w:hint="eastAsia" w:ascii="宋体" w:hAnsi="宋体" w:eastAsia="宋体"/>
          <w:b/>
          <w:color w:val="auto"/>
          <w:szCs w:val="21"/>
          <w:highlight w:val="none"/>
        </w:rPr>
        <w:t>【投标须知前附表】</w:t>
      </w:r>
      <w:r>
        <w:rPr>
          <w:rFonts w:hint="eastAsia" w:ascii="宋体" w:hAnsi="宋体" w:eastAsia="宋体"/>
          <w:color w:val="auto"/>
          <w:szCs w:val="21"/>
          <w:highlight w:val="none"/>
        </w:rPr>
        <w:t>。</w:t>
      </w:r>
    </w:p>
    <w:p w14:paraId="3FCCE6DE">
      <w:pPr>
        <w:adjustRightInd w:val="0"/>
        <w:snapToGrid w:val="0"/>
        <w:spacing w:before="156" w:beforeLines="50" w:line="360" w:lineRule="auto"/>
        <w:ind w:firstLine="420" w:firstLineChars="200"/>
        <w:jc w:val="left"/>
        <w:rPr>
          <w:rFonts w:ascii="宋体" w:hAnsi="宋体" w:eastAsia="宋体"/>
          <w:color w:val="auto"/>
          <w:highlight w:val="none"/>
        </w:rPr>
      </w:pPr>
      <w:r>
        <w:rPr>
          <w:rFonts w:hint="eastAsia" w:ascii="宋体" w:hAnsi="宋体" w:eastAsia="宋体"/>
          <w:color w:val="auto"/>
          <w:szCs w:val="21"/>
          <w:highlight w:val="none"/>
        </w:rPr>
        <w:t>13.3 投标人应在分项报价明细表中对每项内容给予详细分项</w:t>
      </w:r>
      <w:r>
        <w:rPr>
          <w:rFonts w:hint="eastAsia" w:ascii="宋体" w:hAnsi="宋体" w:eastAsia="宋体"/>
          <w:color w:val="auto"/>
          <w:highlight w:val="none"/>
        </w:rPr>
        <w:t>报价。</w:t>
      </w:r>
    </w:p>
    <w:p w14:paraId="5EA9F402">
      <w:pPr>
        <w:adjustRightInd w:val="0"/>
        <w:snapToGrid w:val="0"/>
        <w:spacing w:before="156" w:beforeLines="50" w:line="360" w:lineRule="auto"/>
        <w:ind w:firstLine="420" w:firstLineChars="200"/>
        <w:jc w:val="left"/>
        <w:rPr>
          <w:rFonts w:ascii="宋体" w:hAnsi="宋体" w:eastAsia="宋体"/>
          <w:color w:val="auto"/>
          <w:highlight w:val="none"/>
        </w:rPr>
      </w:pPr>
      <w:r>
        <w:rPr>
          <w:rFonts w:hint="eastAsia" w:ascii="宋体" w:hAnsi="宋体" w:eastAsia="宋体"/>
          <w:color w:val="auto"/>
          <w:highlight w:val="none"/>
        </w:rPr>
        <w:t>13.4投标人对采购项目内容只允许有一个投标报价，否则其</w:t>
      </w:r>
      <w:r>
        <w:rPr>
          <w:rFonts w:hint="eastAsia" w:ascii="宋体" w:hAnsi="宋体" w:eastAsia="宋体"/>
          <w:b/>
          <w:color w:val="auto"/>
          <w:highlight w:val="none"/>
        </w:rPr>
        <w:t>投标无效</w:t>
      </w:r>
      <w:r>
        <w:rPr>
          <w:rFonts w:hint="eastAsia" w:ascii="宋体" w:hAnsi="宋体" w:eastAsia="宋体"/>
          <w:color w:val="auto"/>
          <w:highlight w:val="none"/>
        </w:rPr>
        <w:t>。</w:t>
      </w:r>
    </w:p>
    <w:p w14:paraId="47500033">
      <w:pPr>
        <w:adjustRightInd w:val="0"/>
        <w:snapToGrid w:val="0"/>
        <w:spacing w:before="156" w:beforeLines="50" w:line="360" w:lineRule="auto"/>
        <w:ind w:firstLine="420" w:firstLineChars="200"/>
        <w:jc w:val="left"/>
        <w:rPr>
          <w:rFonts w:ascii="宋体" w:hAnsi="宋体" w:eastAsia="宋体"/>
          <w:color w:val="auto"/>
          <w:highlight w:val="none"/>
        </w:rPr>
      </w:pPr>
      <w:r>
        <w:rPr>
          <w:rFonts w:hint="eastAsia" w:ascii="宋体" w:hAnsi="宋体" w:eastAsia="宋体"/>
          <w:color w:val="auto"/>
          <w:highlight w:val="none"/>
        </w:rPr>
        <w:t>13.5采购人不接受投标人给予的赠品、回扣或者与采购无关的其他商品、服务。如有赠与行为，其</w:t>
      </w:r>
      <w:r>
        <w:rPr>
          <w:rFonts w:hint="eastAsia" w:ascii="宋体" w:hAnsi="宋体" w:eastAsia="宋体"/>
          <w:b/>
          <w:color w:val="auto"/>
          <w:highlight w:val="none"/>
        </w:rPr>
        <w:t>投标无效</w:t>
      </w:r>
      <w:r>
        <w:rPr>
          <w:rFonts w:hint="eastAsia" w:ascii="宋体" w:hAnsi="宋体" w:eastAsia="宋体"/>
          <w:color w:val="auto"/>
          <w:highlight w:val="none"/>
        </w:rPr>
        <w:t>。</w:t>
      </w:r>
    </w:p>
    <w:p w14:paraId="279E936B">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13.6</w:t>
      </w:r>
      <w:r>
        <w:rPr>
          <w:rFonts w:hint="eastAsia" w:ascii="宋体" w:hAnsi="宋体" w:eastAsia="宋体"/>
          <w:color w:val="auto"/>
          <w:szCs w:val="21"/>
          <w:highlight w:val="none"/>
          <w:lang w:val="en-US" w:eastAsia="zh-CN"/>
        </w:rPr>
        <w:t>采用固定价格定价方式的采购项目，</w:t>
      </w:r>
      <w:r>
        <w:rPr>
          <w:rFonts w:hint="eastAsia" w:ascii="宋体" w:hAnsi="宋体" w:eastAsia="宋体"/>
          <w:color w:val="auto"/>
          <w:highlight w:val="none"/>
        </w:rPr>
        <w:t>投标文件中标明的价格在合同执行过程中是固定不变的，不得以任何理由予以变更。任何包含价格调整要求和条件的投标，其</w:t>
      </w:r>
      <w:r>
        <w:rPr>
          <w:rFonts w:hint="eastAsia" w:ascii="宋体" w:hAnsi="宋体" w:eastAsia="宋体"/>
          <w:b/>
          <w:color w:val="auto"/>
          <w:highlight w:val="none"/>
        </w:rPr>
        <w:t>投标无效</w:t>
      </w:r>
      <w:r>
        <w:rPr>
          <w:rFonts w:hint="eastAsia" w:ascii="宋体" w:hAnsi="宋体" w:eastAsia="宋体"/>
          <w:color w:val="auto"/>
          <w:highlight w:val="none"/>
        </w:rPr>
        <w:t>。</w:t>
      </w:r>
    </w:p>
    <w:p w14:paraId="7F7D9149">
      <w:pPr>
        <w:adjustRightInd w:val="0"/>
        <w:snapToGrid w:val="0"/>
        <w:spacing w:before="156" w:beforeLines="50" w:line="360" w:lineRule="auto"/>
        <w:ind w:firstLine="420" w:firstLineChars="200"/>
        <w:jc w:val="left"/>
        <w:rPr>
          <w:rFonts w:hint="eastAsia" w:ascii="宋体" w:hAnsi="宋体" w:eastAsia="宋体"/>
          <w:color w:val="auto"/>
          <w:highlight w:val="none"/>
        </w:rPr>
      </w:pPr>
      <w:r>
        <w:rPr>
          <w:rFonts w:hint="eastAsia" w:ascii="宋体" w:hAnsi="宋体" w:eastAsia="宋体"/>
          <w:color w:val="auto"/>
          <w:highlight w:val="none"/>
        </w:rPr>
        <w:t>13.7投标人在投标截止时间前修改“开标一览表”中的投标报价的，应同时修改投标文件“分项报价明细表”“享受政府采购政策优惠的证明资料”以及“联合体协议书”（如果影响）等相关内容。此修改须符合本章第22.1款的有关要求。</w:t>
      </w:r>
    </w:p>
    <w:p w14:paraId="329CD5C9">
      <w:pPr>
        <w:adjustRightInd w:val="0"/>
        <w:snapToGrid w:val="0"/>
        <w:spacing w:before="158" w:beforeLines="50" w:line="360" w:lineRule="auto"/>
        <w:ind w:firstLine="422" w:firstLineChars="200"/>
        <w:jc w:val="left"/>
        <w:rPr>
          <w:rFonts w:hint="eastAsia" w:ascii="宋体" w:hAnsi="宋体" w:cs="宋体"/>
          <w:b/>
          <w:bCs/>
          <w:color w:val="auto"/>
          <w:szCs w:val="21"/>
          <w:highlight w:val="none"/>
        </w:rPr>
      </w:pPr>
      <w:r>
        <w:rPr>
          <w:rFonts w:hint="eastAsia" w:ascii="宋体" w:hAnsi="宋体" w:cs="宋体"/>
          <w:b/>
          <w:bCs/>
          <w:color w:val="auto"/>
          <w:szCs w:val="21"/>
          <w:highlight w:val="none"/>
        </w:rPr>
        <w:t>13.8异常低价投标（响应）审查程序</w:t>
      </w:r>
    </w:p>
    <w:p w14:paraId="0C10F64D">
      <w:pPr>
        <w:adjustRightInd w:val="0"/>
        <w:snapToGrid w:val="0"/>
        <w:spacing w:before="156" w:beforeLines="50" w:line="360" w:lineRule="auto"/>
        <w:ind w:firstLine="422" w:firstLineChars="200"/>
        <w:jc w:val="left"/>
        <w:rPr>
          <w:rFonts w:hint="eastAsia" w:ascii="宋体" w:hAnsi="宋体" w:cs="宋体"/>
          <w:b/>
          <w:bCs/>
          <w:color w:val="auto"/>
          <w:szCs w:val="21"/>
          <w:highlight w:val="none"/>
        </w:rPr>
      </w:pPr>
      <w:r>
        <w:rPr>
          <w:rFonts w:hint="eastAsia" w:ascii="宋体" w:hAnsi="宋体" w:cs="宋体"/>
          <w:b/>
          <w:bCs/>
          <w:color w:val="auto"/>
          <w:szCs w:val="21"/>
          <w:highlight w:val="none"/>
        </w:rPr>
        <w:t>（1）算术平均值比较：投标报价低于全部通过符合性审查供应商投标报价算术平均值50%的（即：投标报价&lt;全部有效报价算术平均值×50%）；</w:t>
      </w:r>
    </w:p>
    <w:p w14:paraId="282170FB">
      <w:pPr>
        <w:adjustRightInd w:val="0"/>
        <w:snapToGrid w:val="0"/>
        <w:spacing w:before="156" w:beforeLines="50" w:line="360" w:lineRule="auto"/>
        <w:ind w:firstLine="422" w:firstLineChars="200"/>
        <w:jc w:val="left"/>
        <w:rPr>
          <w:rFonts w:hint="eastAsia" w:ascii="宋体" w:hAnsi="宋体" w:cs="宋体"/>
          <w:b/>
          <w:bCs/>
          <w:color w:val="auto"/>
          <w:szCs w:val="21"/>
          <w:highlight w:val="none"/>
        </w:rPr>
      </w:pPr>
      <w:r>
        <w:rPr>
          <w:rFonts w:hint="eastAsia" w:ascii="宋体" w:hAnsi="宋体" w:cs="宋体"/>
          <w:b/>
          <w:bCs/>
          <w:color w:val="auto"/>
          <w:szCs w:val="21"/>
          <w:highlight w:val="none"/>
        </w:rPr>
        <w:t>（2）次低报价比较：投标报价低于通过符合性审查的次低报价50%的（即：投标报价 &lt;评标委员会次低报价评标委员会×评标委员会50%）；</w:t>
      </w:r>
    </w:p>
    <w:p w14:paraId="363B8018">
      <w:pPr>
        <w:adjustRightInd w:val="0"/>
        <w:snapToGrid w:val="0"/>
        <w:spacing w:before="156" w:beforeLines="50" w:line="360" w:lineRule="auto"/>
        <w:ind w:firstLine="422" w:firstLineChars="200"/>
        <w:jc w:val="left"/>
        <w:rPr>
          <w:rFonts w:hint="eastAsia" w:ascii="宋体" w:hAnsi="宋体" w:cs="宋体"/>
          <w:b/>
          <w:bCs/>
          <w:color w:val="auto"/>
          <w:szCs w:val="21"/>
          <w:highlight w:val="none"/>
        </w:rPr>
      </w:pPr>
      <w:r>
        <w:rPr>
          <w:rFonts w:hint="eastAsia" w:ascii="宋体" w:hAnsi="宋体" w:cs="宋体"/>
          <w:b/>
          <w:bCs/>
          <w:color w:val="auto"/>
          <w:szCs w:val="21"/>
          <w:highlight w:val="none"/>
        </w:rPr>
        <w:t>（3）最高限价比较：投标报价低于采购项目最高限价45%的（即：投标报价评标委员会&lt;评标委员会最高限价评标委员会×评标委员会45%）；</w:t>
      </w:r>
    </w:p>
    <w:p w14:paraId="53C3B057">
      <w:pPr>
        <w:adjustRightInd w:val="0"/>
        <w:snapToGrid w:val="0"/>
        <w:spacing w:before="156" w:beforeLines="50" w:line="360" w:lineRule="auto"/>
        <w:ind w:firstLine="422" w:firstLineChars="200"/>
        <w:jc w:val="left"/>
        <w:rPr>
          <w:rFonts w:hint="eastAsia" w:ascii="宋体" w:hAnsi="宋体" w:cs="宋体"/>
          <w:b/>
          <w:bCs/>
          <w:color w:val="auto"/>
          <w:szCs w:val="21"/>
          <w:highlight w:val="none"/>
        </w:rPr>
      </w:pPr>
      <w:r>
        <w:rPr>
          <w:rFonts w:hint="eastAsia" w:ascii="宋体" w:hAnsi="宋体" w:cs="宋体"/>
          <w:b/>
          <w:bCs/>
          <w:color w:val="auto"/>
          <w:szCs w:val="21"/>
          <w:highlight w:val="none"/>
        </w:rPr>
        <w:t>（4）专业判断：评标委员会基于专业经验判断，认为供应商报价明显低于市场合理价格，有可能影响产品质量或者不能诚信履约的其他情形。</w:t>
      </w:r>
    </w:p>
    <w:p w14:paraId="482B7AAA">
      <w:pPr>
        <w:adjustRightInd w:val="0"/>
        <w:snapToGrid w:val="0"/>
        <w:spacing w:before="156" w:beforeLines="50" w:line="360" w:lineRule="auto"/>
        <w:ind w:firstLine="422" w:firstLineChars="200"/>
        <w:jc w:val="left"/>
        <w:rPr>
          <w:rFonts w:hint="eastAsia" w:ascii="宋体" w:hAnsi="宋体" w:cs="宋体"/>
          <w:b/>
          <w:bCs/>
          <w:color w:val="auto"/>
          <w:szCs w:val="21"/>
          <w:highlight w:val="none"/>
        </w:rPr>
      </w:pPr>
      <w:r>
        <w:rPr>
          <w:rFonts w:hint="eastAsia" w:ascii="宋体" w:hAnsi="宋体" w:cs="宋体"/>
          <w:b/>
          <w:bCs/>
          <w:color w:val="auto"/>
          <w:szCs w:val="21"/>
          <w:highlight w:val="none"/>
        </w:rPr>
        <w:t>评标委员会启动异常低价投标审查后，属于前述第（1）项至第（4）项情形的，应当要求相关投标人在合理的时间内对投标价格作出解释，提供项目具体成本测算等与报价合理性相关的书面说明及必要的证明材料，包括但不限于原材料成本、人工成本、制造费用等，供应商提交证明材料的时间不得超过60分钟。其中，属于第（3）项情形，投标人已随投标文件一并提交相关书面说明及必要的证明材料的，可不再重复提交。 </w:t>
      </w:r>
    </w:p>
    <w:p w14:paraId="56AA5C5C">
      <w:pPr>
        <w:adjustRightInd w:val="0"/>
        <w:snapToGrid w:val="0"/>
        <w:spacing w:line="360" w:lineRule="auto"/>
        <w:ind w:firstLine="422" w:firstLineChars="200"/>
        <w:jc w:val="left"/>
        <w:rPr>
          <w:rFonts w:hint="eastAsia" w:ascii="宋体" w:hAnsi="宋体" w:cs="宋体"/>
          <w:b/>
          <w:bCs/>
          <w:color w:val="auto"/>
          <w:szCs w:val="21"/>
          <w:highlight w:val="none"/>
        </w:rPr>
      </w:pPr>
      <w:r>
        <w:rPr>
          <w:rFonts w:hint="eastAsia" w:ascii="宋体" w:hAnsi="宋体" w:cs="宋体"/>
          <w:b/>
          <w:bCs/>
          <w:color w:val="auto"/>
          <w:szCs w:val="21"/>
          <w:highlight w:val="none"/>
        </w:rPr>
        <w:t>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p>
    <w:p w14:paraId="46E1A8F0">
      <w:pPr>
        <w:adjustRightInd w:val="0"/>
        <w:snapToGrid w:val="0"/>
        <w:spacing w:line="360" w:lineRule="auto"/>
        <w:ind w:firstLine="422" w:firstLineChars="200"/>
        <w:jc w:val="left"/>
        <w:rPr>
          <w:rFonts w:ascii="宋体" w:hAnsi="宋体" w:eastAsia="宋体"/>
          <w:b/>
          <w:bCs/>
          <w:color w:val="auto"/>
          <w:szCs w:val="21"/>
          <w:highlight w:val="none"/>
        </w:rPr>
      </w:pPr>
      <w:r>
        <w:rPr>
          <w:rFonts w:hint="eastAsia" w:ascii="宋体" w:hAnsi="宋体" w:cs="宋体"/>
          <w:b/>
          <w:bCs/>
          <w:color w:val="auto"/>
          <w:szCs w:val="21"/>
          <w:highlight w:val="none"/>
        </w:rPr>
        <w:t>本项目采用全流程电子交易系统，投标报价的澄清由评标委员会通过电子交易系统发起，投标人应及时关注电子交易系统的信息提示，采购人或采购代理机构不再另行通知。因投标人自身原因未能在规定时限内提交澄清材料的，由此带来的不利后果，由投标人自行承担。</w:t>
      </w:r>
    </w:p>
    <w:p w14:paraId="46CB7988">
      <w:pPr>
        <w:adjustRightInd w:val="0"/>
        <w:snapToGrid w:val="0"/>
        <w:spacing w:before="156" w:beforeLines="50" w:line="360" w:lineRule="auto"/>
        <w:ind w:firstLine="420" w:firstLineChars="200"/>
        <w:jc w:val="left"/>
        <w:rPr>
          <w:rFonts w:ascii="宋体" w:hAnsi="宋体" w:eastAsia="宋体"/>
          <w:color w:val="auto"/>
          <w:highlight w:val="none"/>
        </w:rPr>
      </w:pPr>
      <w:r>
        <w:rPr>
          <w:rFonts w:hint="eastAsia" w:ascii="宋体" w:hAnsi="宋体" w:eastAsia="宋体"/>
          <w:color w:val="auto"/>
          <w:highlight w:val="none"/>
        </w:rPr>
        <w:t>13.</w:t>
      </w:r>
      <w:r>
        <w:rPr>
          <w:rFonts w:hint="eastAsia" w:ascii="宋体" w:hAnsi="宋体"/>
          <w:color w:val="auto"/>
          <w:highlight w:val="none"/>
          <w:lang w:val="en-US" w:eastAsia="zh-CN"/>
        </w:rPr>
        <w:t>9</w:t>
      </w:r>
      <w:r>
        <w:rPr>
          <w:rFonts w:hint="eastAsia" w:ascii="宋体" w:hAnsi="宋体" w:eastAsia="宋体"/>
          <w:color w:val="auto"/>
          <w:highlight w:val="none"/>
        </w:rPr>
        <w:t>投标报价的其他要求见</w:t>
      </w:r>
      <w:r>
        <w:rPr>
          <w:rFonts w:hint="eastAsia" w:ascii="宋体" w:hAnsi="宋体"/>
          <w:b/>
          <w:color w:val="auto"/>
          <w:szCs w:val="21"/>
          <w:highlight w:val="none"/>
        </w:rPr>
        <w:t>【投标须知前附表】</w:t>
      </w:r>
      <w:r>
        <w:rPr>
          <w:rFonts w:hint="eastAsia" w:ascii="宋体" w:hAnsi="宋体" w:eastAsia="宋体"/>
          <w:color w:val="auto"/>
          <w:highlight w:val="none"/>
        </w:rPr>
        <w:t xml:space="preserve">。 </w:t>
      </w:r>
    </w:p>
    <w:p w14:paraId="1C9EEC1D">
      <w:pPr>
        <w:adjustRightInd w:val="0"/>
        <w:snapToGrid w:val="0"/>
        <w:spacing w:before="156" w:beforeLines="50" w:line="360" w:lineRule="auto"/>
        <w:jc w:val="left"/>
        <w:rPr>
          <w:rFonts w:ascii="宋体" w:hAnsi="宋体" w:eastAsia="宋体"/>
          <w:b/>
          <w:bCs/>
          <w:color w:val="auto"/>
          <w:sz w:val="24"/>
          <w:highlight w:val="none"/>
        </w:rPr>
      </w:pPr>
      <w:r>
        <w:rPr>
          <w:rFonts w:hint="eastAsia" w:ascii="宋体" w:hAnsi="宋体" w:eastAsia="宋体"/>
          <w:b/>
          <w:color w:val="auto"/>
          <w:sz w:val="24"/>
          <w:highlight w:val="none"/>
        </w:rPr>
        <w:t xml:space="preserve">14. </w:t>
      </w:r>
      <w:r>
        <w:rPr>
          <w:rFonts w:hint="eastAsia" w:ascii="宋体" w:hAnsi="宋体" w:eastAsia="宋体"/>
          <w:b/>
          <w:bCs/>
          <w:color w:val="auto"/>
          <w:sz w:val="24"/>
          <w:highlight w:val="none"/>
        </w:rPr>
        <w:t>投标人的资格证明文件（未进行资格预审的）</w:t>
      </w:r>
    </w:p>
    <w:p w14:paraId="41C1CCD5">
      <w:pPr>
        <w:adjustRightInd w:val="0"/>
        <w:snapToGrid w:val="0"/>
        <w:spacing w:before="156" w:beforeLines="50" w:line="360" w:lineRule="auto"/>
        <w:ind w:firstLine="420" w:firstLineChars="200"/>
        <w:rPr>
          <w:rFonts w:ascii="宋体" w:hAnsi="宋体" w:eastAsia="宋体"/>
          <w:color w:val="auto"/>
          <w:highlight w:val="none"/>
        </w:rPr>
      </w:pPr>
      <w:r>
        <w:rPr>
          <w:rFonts w:hint="eastAsia" w:ascii="宋体" w:hAnsi="宋体"/>
          <w:color w:val="auto"/>
          <w:highlight w:val="none"/>
        </w:rPr>
        <w:t>14.1</w:t>
      </w:r>
      <w:r>
        <w:rPr>
          <w:rFonts w:hint="eastAsia" w:ascii="宋体" w:hAnsi="宋体" w:eastAsia="宋体"/>
          <w:color w:val="auto"/>
          <w:szCs w:val="21"/>
          <w:highlight w:val="none"/>
        </w:rPr>
        <w:t>除</w:t>
      </w:r>
      <w:r>
        <w:rPr>
          <w:rFonts w:hint="eastAsia" w:ascii="宋体" w:hAnsi="宋体"/>
          <w:b/>
          <w:color w:val="auto"/>
          <w:szCs w:val="21"/>
          <w:highlight w:val="none"/>
        </w:rPr>
        <w:t>【投标须知前附表】</w:t>
      </w:r>
      <w:r>
        <w:rPr>
          <w:rFonts w:hint="eastAsia" w:ascii="宋体" w:hAnsi="宋体" w:eastAsia="宋体"/>
          <w:color w:val="auto"/>
          <w:szCs w:val="21"/>
          <w:highlight w:val="none"/>
        </w:rPr>
        <w:t>另有规</w:t>
      </w:r>
      <w:r>
        <w:rPr>
          <w:rFonts w:hint="eastAsia" w:ascii="宋体" w:hAnsi="宋体" w:eastAsia="宋体"/>
          <w:color w:val="auto"/>
          <w:highlight w:val="none"/>
        </w:rPr>
        <w:t>定外，投标人应按下列规定提供资格证明文件。</w:t>
      </w:r>
    </w:p>
    <w:p w14:paraId="480C278A">
      <w:pPr>
        <w:adjustRightInd w:val="0"/>
        <w:snapToGrid w:val="0"/>
        <w:spacing w:before="156" w:beforeLines="50" w:line="360" w:lineRule="auto"/>
        <w:ind w:firstLine="420" w:firstLineChars="200"/>
        <w:rPr>
          <w:rFonts w:ascii="宋体" w:hAnsi="宋体"/>
          <w:color w:val="auto"/>
          <w:highlight w:val="none"/>
        </w:rPr>
      </w:pPr>
      <w:r>
        <w:rPr>
          <w:rFonts w:hint="eastAsia" w:ascii="宋体" w:hAnsi="宋体"/>
          <w:color w:val="auto"/>
          <w:highlight w:val="none"/>
        </w:rPr>
        <w:t>（1）</w:t>
      </w:r>
      <w:r>
        <w:rPr>
          <w:rFonts w:hint="eastAsia" w:ascii="宋体" w:hAnsi="宋体"/>
          <w:b/>
          <w:color w:val="auto"/>
          <w:highlight w:val="none"/>
        </w:rPr>
        <w:t>法人或者其他组织的营业执照等主体资格证明文件，自然人的身份证明</w:t>
      </w:r>
      <w:r>
        <w:rPr>
          <w:rFonts w:hint="eastAsia" w:ascii="宋体" w:hAnsi="宋体"/>
          <w:color w:val="auto"/>
          <w:highlight w:val="none"/>
        </w:rPr>
        <w:t>：投标人为法人的，应提交营业执照或法人登记证书的复印件；投标人为非法人组织的，应提交依法登记证书复印件；投标人为个体工商户的，应提交个体工商户营业执照复印件；投标人为自然人的，应提交自然人的身份证明复印件。</w:t>
      </w:r>
    </w:p>
    <w:p w14:paraId="4DFB0C4E">
      <w:pPr>
        <w:adjustRightInd w:val="0"/>
        <w:snapToGrid w:val="0"/>
        <w:spacing w:before="156" w:beforeLines="50" w:line="360" w:lineRule="auto"/>
        <w:ind w:firstLine="422" w:firstLineChars="200"/>
        <w:rPr>
          <w:rFonts w:ascii="宋体" w:hAnsi="宋体" w:eastAsia="宋体"/>
          <w:b/>
          <w:color w:val="auto"/>
          <w:highlight w:val="none"/>
        </w:rPr>
      </w:pPr>
      <w:r>
        <w:rPr>
          <w:rFonts w:hint="eastAsia" w:ascii="宋体" w:hAnsi="宋体" w:eastAsia="宋体"/>
          <w:b/>
          <w:color w:val="auto"/>
          <w:highlight w:val="none"/>
        </w:rPr>
        <w:t>（2）湖南省政府采购供应商资格承诺函(格式)</w:t>
      </w:r>
    </w:p>
    <w:p w14:paraId="0ECEE4DA">
      <w:pPr>
        <w:adjustRightInd w:val="0"/>
        <w:snapToGrid w:val="0"/>
        <w:spacing w:before="156" w:beforeLines="50" w:line="360" w:lineRule="auto"/>
        <w:ind w:firstLine="422" w:firstLineChars="200"/>
        <w:rPr>
          <w:rFonts w:ascii="宋体" w:hAnsi="宋体" w:eastAsia="宋体"/>
          <w:b/>
          <w:color w:val="auto"/>
          <w:highlight w:val="none"/>
        </w:rPr>
      </w:pPr>
      <w:r>
        <w:rPr>
          <w:rFonts w:hint="eastAsia" w:ascii="宋体" w:hAnsi="宋体" w:eastAsia="宋体"/>
          <w:b/>
          <w:color w:val="auto"/>
          <w:highlight w:val="none"/>
        </w:rPr>
        <w:t>（3）符合特定资格条件证明材料或者情况说明。</w:t>
      </w:r>
    </w:p>
    <w:p w14:paraId="5CEE5321">
      <w:pPr>
        <w:adjustRightInd w:val="0"/>
        <w:snapToGrid w:val="0"/>
        <w:spacing w:before="156" w:beforeLines="50" w:line="360" w:lineRule="auto"/>
        <w:ind w:firstLine="420" w:firstLineChars="200"/>
        <w:rPr>
          <w:rFonts w:ascii="宋体" w:hAnsi="宋体"/>
          <w:color w:val="auto"/>
          <w:highlight w:val="none"/>
        </w:rPr>
      </w:pPr>
      <w:r>
        <w:rPr>
          <w:rFonts w:hint="eastAsia" w:ascii="宋体" w:hAnsi="宋体"/>
          <w:color w:val="auto"/>
          <w:highlight w:val="none"/>
        </w:rPr>
        <w:t>14.2投标人以联合体形式投标的，除应提交联合协议(格式)外，参加联合体的各方均应提交上款资格证明材料。</w:t>
      </w:r>
    </w:p>
    <w:p w14:paraId="749D64CF">
      <w:pPr>
        <w:adjustRightInd w:val="0"/>
        <w:snapToGrid w:val="0"/>
        <w:spacing w:before="156" w:beforeLines="50" w:line="360" w:lineRule="auto"/>
        <w:ind w:firstLine="420" w:firstLineChars="200"/>
        <w:rPr>
          <w:rFonts w:ascii="宋体" w:hAnsi="宋体"/>
          <w:color w:val="auto"/>
          <w:highlight w:val="none"/>
        </w:rPr>
      </w:pPr>
      <w:r>
        <w:rPr>
          <w:rFonts w:hint="eastAsia" w:ascii="宋体" w:hAnsi="宋体"/>
          <w:color w:val="auto"/>
          <w:highlight w:val="none"/>
        </w:rPr>
        <w:t>14.3投标人的资格证明文件均应为有效文件并加盖投标人单位章，并按招标文件规定签署。</w:t>
      </w:r>
    </w:p>
    <w:p w14:paraId="3A5DE795">
      <w:pPr>
        <w:adjustRightInd w:val="0"/>
        <w:snapToGrid w:val="0"/>
        <w:spacing w:before="156" w:beforeLines="50" w:line="360" w:lineRule="auto"/>
        <w:jc w:val="left"/>
        <w:rPr>
          <w:rFonts w:ascii="宋体" w:hAnsi="宋体" w:eastAsia="宋体"/>
          <w:b/>
          <w:bCs/>
          <w:color w:val="auto"/>
          <w:sz w:val="24"/>
          <w:highlight w:val="none"/>
        </w:rPr>
      </w:pPr>
      <w:bookmarkStart w:id="22" w:name="_Toc62206130"/>
      <w:bookmarkStart w:id="23" w:name="_Toc82155360"/>
      <w:bookmarkStart w:id="24" w:name="_Toc38786717"/>
      <w:r>
        <w:rPr>
          <w:rFonts w:hint="eastAsia" w:ascii="宋体" w:hAnsi="宋体" w:eastAsia="宋体"/>
          <w:b/>
          <w:bCs/>
          <w:color w:val="auto"/>
          <w:sz w:val="24"/>
          <w:highlight w:val="none"/>
        </w:rPr>
        <w:t>14.供应商的资格证明文件（已进行资格预审的）</w:t>
      </w:r>
      <w:bookmarkEnd w:id="22"/>
      <w:bookmarkEnd w:id="23"/>
      <w:bookmarkEnd w:id="24"/>
    </w:p>
    <w:p w14:paraId="43D351F4">
      <w:pPr>
        <w:adjustRightInd w:val="0"/>
        <w:snapToGrid w:val="0"/>
        <w:spacing w:before="156" w:beforeLines="50" w:line="360" w:lineRule="auto"/>
        <w:ind w:firstLine="420" w:firstLineChars="200"/>
        <w:jc w:val="left"/>
        <w:rPr>
          <w:rFonts w:ascii="宋体" w:hAnsi="宋体"/>
          <w:color w:val="auto"/>
          <w:highlight w:val="none"/>
        </w:rPr>
      </w:pPr>
      <w:r>
        <w:rPr>
          <w:rFonts w:hint="eastAsia" w:ascii="宋体" w:hAnsi="宋体"/>
          <w:color w:val="auto"/>
          <w:highlight w:val="none"/>
        </w:rPr>
        <w:t>14.1被邀请的供应商在提交投标文件前，其资格条件发生变化，影响或者可能影响资格条件的，应随投标文件提供更新或者补充的资格证明资料，以证实其各项条件仍能继续满足本章第3.1款规定的供应商资格条件要求。</w:t>
      </w:r>
    </w:p>
    <w:p w14:paraId="0F9C0C44">
      <w:pPr>
        <w:adjustRightInd w:val="0"/>
        <w:snapToGrid w:val="0"/>
        <w:spacing w:before="156" w:beforeLines="50" w:line="360" w:lineRule="auto"/>
        <w:jc w:val="left"/>
        <w:rPr>
          <w:rFonts w:ascii="宋体" w:hAnsi="宋体" w:eastAsia="宋体"/>
          <w:b/>
          <w:bCs/>
          <w:color w:val="auto"/>
          <w:sz w:val="24"/>
          <w:highlight w:val="none"/>
        </w:rPr>
      </w:pPr>
      <w:r>
        <w:rPr>
          <w:rFonts w:hint="eastAsia" w:ascii="宋体" w:hAnsi="宋体" w:eastAsia="宋体"/>
          <w:b/>
          <w:bCs/>
          <w:color w:val="auto"/>
          <w:sz w:val="24"/>
          <w:highlight w:val="none"/>
        </w:rPr>
        <w:t>15. 投标货物及服务符合招标文件规定的证明文件</w:t>
      </w:r>
    </w:p>
    <w:p w14:paraId="0B2D8DB8">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15.1投标人应当提交其拟供的合同项下货物及其服务符合招标文件规定的证明文件,该证明文件作为投标文件的一部分。</w:t>
      </w:r>
    </w:p>
    <w:p w14:paraId="500CCF91">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15.2上述证明文件可以是文字资料、图表、数据、证书等资料，包括但不限于：</w:t>
      </w:r>
    </w:p>
    <w:p w14:paraId="77B38265">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（1）货物主要技术指标和性能的详细说明。对有具体参数要求的指标，投标人应提供具体参数值；</w:t>
      </w:r>
    </w:p>
    <w:p w14:paraId="3D0AC4A5">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（2）货物的品牌型号、制造商及原产地等说明；</w:t>
      </w:r>
    </w:p>
    <w:p w14:paraId="4966E8C4">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（3）招标文件第五章“采购需求”要求的其它文件。</w:t>
      </w:r>
    </w:p>
    <w:p w14:paraId="61E5B7DD">
      <w:pPr>
        <w:adjustRightInd w:val="0"/>
        <w:snapToGrid w:val="0"/>
        <w:spacing w:before="156" w:beforeLines="50" w:line="360" w:lineRule="auto"/>
        <w:jc w:val="left"/>
        <w:rPr>
          <w:rFonts w:ascii="宋体" w:hAnsi="宋体" w:eastAsia="宋体"/>
          <w:b/>
          <w:bCs/>
          <w:color w:val="auto"/>
          <w:sz w:val="24"/>
          <w:highlight w:val="none"/>
        </w:rPr>
      </w:pPr>
      <w:r>
        <w:rPr>
          <w:rFonts w:hint="eastAsia" w:ascii="宋体" w:hAnsi="宋体" w:eastAsia="宋体"/>
          <w:b/>
          <w:bCs/>
          <w:color w:val="auto"/>
          <w:sz w:val="24"/>
          <w:highlight w:val="none"/>
        </w:rPr>
        <w:t>16. 投标有效期</w:t>
      </w:r>
    </w:p>
    <w:p w14:paraId="0EBED343">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16.1投标有效期从提交投标文件的截止之日起算。投标文件中承诺的投标有效期应当不少于</w:t>
      </w:r>
      <w:r>
        <w:rPr>
          <w:rFonts w:hint="eastAsia" w:ascii="宋体" w:hAnsi="宋体" w:eastAsia="宋体"/>
          <w:b/>
          <w:color w:val="auto"/>
          <w:szCs w:val="21"/>
          <w:highlight w:val="none"/>
        </w:rPr>
        <w:t>【投标须知前附表】</w:t>
      </w:r>
      <w:r>
        <w:rPr>
          <w:rFonts w:hint="eastAsia" w:ascii="宋体" w:hAnsi="宋体" w:eastAsia="宋体"/>
          <w:color w:val="auto"/>
          <w:szCs w:val="21"/>
          <w:highlight w:val="none"/>
        </w:rPr>
        <w:t>中载明的投标有效期。投标有效期不满足要求的，其</w:t>
      </w:r>
      <w:r>
        <w:rPr>
          <w:rFonts w:hint="eastAsia" w:ascii="宋体" w:hAnsi="宋体" w:eastAsia="宋体"/>
          <w:b/>
          <w:color w:val="auto"/>
          <w:szCs w:val="21"/>
          <w:highlight w:val="none"/>
        </w:rPr>
        <w:t>投标无效</w:t>
      </w:r>
      <w:r>
        <w:rPr>
          <w:rFonts w:hint="eastAsia" w:ascii="宋体" w:hAnsi="宋体" w:eastAsia="宋体"/>
          <w:color w:val="auto"/>
          <w:szCs w:val="21"/>
          <w:highlight w:val="none"/>
        </w:rPr>
        <w:t>。</w:t>
      </w:r>
    </w:p>
    <w:p w14:paraId="6D7B2807">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16.2投标有效期内投标人撤销投标文件的，投标人应承担招标文件和法律规定的责任。</w:t>
      </w:r>
    </w:p>
    <w:p w14:paraId="072D3257">
      <w:pPr>
        <w:adjustRightInd w:val="0"/>
        <w:snapToGrid w:val="0"/>
        <w:spacing w:before="156" w:beforeLines="50" w:line="360" w:lineRule="auto"/>
        <w:jc w:val="left"/>
        <w:rPr>
          <w:rFonts w:ascii="宋体" w:hAnsi="宋体" w:eastAsia="宋体"/>
          <w:b/>
          <w:bCs/>
          <w:color w:val="auto"/>
          <w:sz w:val="24"/>
          <w:highlight w:val="none"/>
        </w:rPr>
      </w:pPr>
      <w:r>
        <w:rPr>
          <w:rFonts w:hint="eastAsia" w:ascii="宋体" w:hAnsi="宋体" w:eastAsia="宋体"/>
          <w:b/>
          <w:bCs/>
          <w:color w:val="auto"/>
          <w:sz w:val="24"/>
          <w:highlight w:val="none"/>
        </w:rPr>
        <w:t>17. 投标保证金</w:t>
      </w:r>
    </w:p>
    <w:p w14:paraId="6D9EF83B">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17.1招标文件要求投标人提交投标保证金的，</w:t>
      </w:r>
      <w:r>
        <w:rPr>
          <w:rFonts w:hint="eastAsia" w:ascii="宋体" w:hAnsi="宋体" w:eastAsia="宋体"/>
          <w:bCs/>
          <w:color w:val="auto"/>
          <w:szCs w:val="21"/>
          <w:highlight w:val="none"/>
        </w:rPr>
        <w:t>投标人</w:t>
      </w:r>
      <w:r>
        <w:rPr>
          <w:rFonts w:hint="eastAsia" w:ascii="宋体" w:hAnsi="宋体" w:eastAsia="宋体"/>
          <w:color w:val="auto"/>
          <w:szCs w:val="21"/>
          <w:highlight w:val="none"/>
        </w:rPr>
        <w:t>应按</w:t>
      </w:r>
      <w:r>
        <w:rPr>
          <w:rFonts w:hint="eastAsia" w:ascii="宋体" w:hAnsi="宋体" w:eastAsia="宋体"/>
          <w:b/>
          <w:color w:val="auto"/>
          <w:szCs w:val="21"/>
          <w:highlight w:val="none"/>
        </w:rPr>
        <w:t>【投标须知前附表】</w:t>
      </w:r>
      <w:r>
        <w:rPr>
          <w:rFonts w:hint="eastAsia" w:ascii="宋体" w:hAnsi="宋体" w:eastAsia="宋体"/>
          <w:color w:val="auto"/>
          <w:szCs w:val="21"/>
          <w:highlight w:val="none"/>
        </w:rPr>
        <w:t>规定，</w:t>
      </w:r>
      <w:r>
        <w:rPr>
          <w:rFonts w:hint="eastAsia" w:ascii="宋体" w:hAnsi="宋体" w:eastAsia="宋体"/>
          <w:bCs/>
          <w:color w:val="auto"/>
          <w:szCs w:val="21"/>
          <w:highlight w:val="none"/>
        </w:rPr>
        <w:t>在</w:t>
      </w:r>
      <w:r>
        <w:rPr>
          <w:rFonts w:hint="eastAsia" w:ascii="宋体" w:hAnsi="宋体" w:eastAsia="宋体"/>
          <w:color w:val="auto"/>
          <w:szCs w:val="21"/>
          <w:highlight w:val="none"/>
        </w:rPr>
        <w:t>提交投标文件的截止时间</w:t>
      </w:r>
      <w:r>
        <w:rPr>
          <w:rFonts w:hint="eastAsia" w:ascii="宋体" w:hAnsi="宋体" w:eastAsia="宋体"/>
          <w:bCs/>
          <w:color w:val="auto"/>
          <w:szCs w:val="21"/>
          <w:highlight w:val="none"/>
        </w:rPr>
        <w:t>前提交投标保证金</w:t>
      </w:r>
      <w:r>
        <w:rPr>
          <w:rFonts w:hint="eastAsia" w:ascii="宋体" w:hAnsi="宋体" w:eastAsia="宋体"/>
          <w:color w:val="auto"/>
          <w:szCs w:val="21"/>
          <w:highlight w:val="none"/>
        </w:rPr>
        <w:t>。</w:t>
      </w:r>
      <w:r>
        <w:rPr>
          <w:rFonts w:hint="eastAsia" w:ascii="宋体" w:hAnsi="宋体" w:eastAsia="宋体"/>
          <w:bCs/>
          <w:color w:val="auto"/>
          <w:szCs w:val="21"/>
          <w:highlight w:val="none"/>
        </w:rPr>
        <w:t>投标人可以保函替代投标保证金。</w:t>
      </w:r>
    </w:p>
    <w:p w14:paraId="6CAEF073">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17.2联合体投标的，可以由联合体中的一方或者共同提交投标保证金。以一方名义提交投标保证金的，对联合体各方均具有约束力。</w:t>
      </w:r>
    </w:p>
    <w:p w14:paraId="4CBF2734">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17.3投标保证金的退还按以下规定办理：</w:t>
      </w:r>
    </w:p>
    <w:p w14:paraId="451AC237">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（1）中标投标人的投标保证金，将在政府采购合同签订后5个工作日内退还。</w:t>
      </w:r>
    </w:p>
    <w:p w14:paraId="4E7A5C61">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（2）未中标的投标人的投标保证金，将在中标通知书发出后5个工作日内退还。</w:t>
      </w:r>
    </w:p>
    <w:p w14:paraId="74F9C9F5">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（3）终止招标的。对于已递交投标保证金的，采购人、采购代理机构在终止招标公告发布后5个工作日内退还。</w:t>
      </w:r>
    </w:p>
    <w:p w14:paraId="6D0A309D">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（4）在投标截止日前撤回投标的，对于已递交投标保证金的，采购人、采购代理机构在收到投标人书面撤回投标通知之日起5个工作日内退还。</w:t>
      </w:r>
    </w:p>
    <w:p w14:paraId="42E642FC">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17.4有以下情形之一的，投标保证金将不予退还，上</w:t>
      </w:r>
      <w:r>
        <w:rPr>
          <w:rFonts w:hint="eastAsia" w:ascii="宋体" w:hAnsi="宋体" w:eastAsia="宋体"/>
          <w:color w:val="auto"/>
          <w:szCs w:val="21"/>
          <w:highlight w:val="none"/>
          <w:lang w:eastAsia="zh-CN"/>
        </w:rPr>
        <w:t>缴</w:t>
      </w:r>
      <w:r>
        <w:rPr>
          <w:rFonts w:hint="eastAsia" w:ascii="宋体" w:hAnsi="宋体" w:eastAsia="宋体"/>
          <w:color w:val="auto"/>
          <w:szCs w:val="21"/>
          <w:highlight w:val="none"/>
        </w:rPr>
        <w:t>国库：</w:t>
      </w:r>
      <w:r>
        <w:rPr>
          <w:rFonts w:ascii="宋体" w:hAnsi="宋体" w:eastAsia="宋体"/>
          <w:color w:val="auto"/>
          <w:szCs w:val="21"/>
          <w:highlight w:val="none"/>
        </w:rPr>
        <w:t xml:space="preserve"> </w:t>
      </w:r>
    </w:p>
    <w:p w14:paraId="2D71CE99">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（1）投标人在招标文件中规定的投标有效期内撤销其投标；</w:t>
      </w:r>
    </w:p>
    <w:p w14:paraId="705E685A">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（2）中标人无正当理由不与</w:t>
      </w:r>
      <w:r>
        <w:rPr>
          <w:rFonts w:hint="eastAsia" w:ascii="宋体" w:hAnsi="宋体"/>
          <w:color w:val="auto"/>
          <w:szCs w:val="21"/>
          <w:highlight w:val="none"/>
          <w:lang w:eastAsia="zh-CN"/>
        </w:rPr>
        <w:t>采购人</w:t>
      </w:r>
      <w:r>
        <w:rPr>
          <w:rFonts w:hint="eastAsia" w:ascii="宋体" w:hAnsi="宋体" w:eastAsia="宋体"/>
          <w:color w:val="auto"/>
          <w:szCs w:val="21"/>
          <w:highlight w:val="none"/>
        </w:rPr>
        <w:t>订立合同，在签订合同时向</w:t>
      </w:r>
      <w:r>
        <w:rPr>
          <w:rFonts w:hint="eastAsia" w:ascii="宋体" w:hAnsi="宋体"/>
          <w:color w:val="auto"/>
          <w:szCs w:val="21"/>
          <w:highlight w:val="none"/>
          <w:lang w:eastAsia="zh-CN"/>
        </w:rPr>
        <w:t>采购人</w:t>
      </w:r>
      <w:r>
        <w:rPr>
          <w:rFonts w:hint="eastAsia" w:ascii="宋体" w:hAnsi="宋体" w:eastAsia="宋体"/>
          <w:color w:val="auto"/>
          <w:szCs w:val="21"/>
          <w:highlight w:val="none"/>
        </w:rPr>
        <w:t>提出附加条件，或者不按照招标文件要求提交履约保证金。</w:t>
      </w:r>
    </w:p>
    <w:p w14:paraId="778E75DA">
      <w:pPr>
        <w:adjustRightInd w:val="0"/>
        <w:snapToGrid w:val="0"/>
        <w:spacing w:before="156" w:beforeLines="50" w:line="360" w:lineRule="auto"/>
        <w:jc w:val="left"/>
        <w:rPr>
          <w:rFonts w:ascii="宋体" w:hAnsi="宋体" w:eastAsia="宋体"/>
          <w:b/>
          <w:color w:val="auto"/>
          <w:sz w:val="24"/>
          <w:highlight w:val="none"/>
        </w:rPr>
      </w:pPr>
      <w:r>
        <w:rPr>
          <w:rFonts w:hint="eastAsia" w:ascii="宋体" w:hAnsi="宋体" w:eastAsia="宋体"/>
          <w:b/>
          <w:color w:val="auto"/>
          <w:sz w:val="24"/>
          <w:highlight w:val="none"/>
        </w:rPr>
        <w:t>18.分包</w:t>
      </w:r>
    </w:p>
    <w:p w14:paraId="110B909E">
      <w:pPr>
        <w:adjustRightInd w:val="0"/>
        <w:snapToGrid w:val="0"/>
        <w:spacing w:before="156" w:beforeLines="50" w:line="360" w:lineRule="auto"/>
        <w:ind w:firstLine="420" w:firstLineChars="200"/>
        <w:jc w:val="left"/>
        <w:rPr>
          <w:rFonts w:ascii="宋体" w:hAnsi="宋体"/>
          <w:color w:val="auto"/>
          <w:highlight w:val="none"/>
        </w:rPr>
      </w:pPr>
      <w:r>
        <w:rPr>
          <w:rFonts w:hint="eastAsia" w:ascii="宋体" w:hAnsi="宋体"/>
          <w:color w:val="auto"/>
          <w:highlight w:val="none"/>
        </w:rPr>
        <w:t>18.1</w:t>
      </w:r>
      <w:r>
        <w:rPr>
          <w:rFonts w:hint="eastAsia" w:hAnsi="宋体"/>
          <w:b/>
          <w:bCs/>
          <w:color w:val="auto"/>
          <w:highlight w:val="none"/>
        </w:rPr>
        <w:t>【投标须知前附表】</w:t>
      </w:r>
      <w:r>
        <w:rPr>
          <w:rFonts w:hint="eastAsia" w:ascii="宋体" w:hAnsi="宋体"/>
          <w:color w:val="auto"/>
          <w:highlight w:val="none"/>
        </w:rPr>
        <w:t>规定投标人分包的，投标人分包承诺不符合招标文件中有关分包规定的，其</w:t>
      </w:r>
      <w:r>
        <w:rPr>
          <w:rFonts w:hint="eastAsia" w:ascii="宋体" w:hAnsi="宋体"/>
          <w:b/>
          <w:bCs/>
          <w:color w:val="auto"/>
          <w:highlight w:val="none"/>
        </w:rPr>
        <w:t>投标无效</w:t>
      </w:r>
      <w:r>
        <w:rPr>
          <w:rFonts w:hint="eastAsia" w:ascii="宋体" w:hAnsi="宋体"/>
          <w:color w:val="auto"/>
          <w:highlight w:val="none"/>
        </w:rPr>
        <w:t>。</w:t>
      </w:r>
    </w:p>
    <w:p w14:paraId="192E32DB">
      <w:pPr>
        <w:adjustRightInd w:val="0"/>
        <w:snapToGrid w:val="0"/>
        <w:spacing w:before="156" w:beforeLines="50" w:line="360" w:lineRule="auto"/>
        <w:ind w:firstLine="420" w:firstLineChars="200"/>
        <w:jc w:val="left"/>
        <w:rPr>
          <w:rFonts w:ascii="宋体" w:hAnsi="宋体"/>
          <w:color w:val="auto"/>
          <w:highlight w:val="none"/>
        </w:rPr>
      </w:pPr>
      <w:r>
        <w:rPr>
          <w:rFonts w:hint="eastAsia" w:ascii="宋体" w:hAnsi="宋体"/>
          <w:color w:val="auto"/>
          <w:highlight w:val="none"/>
        </w:rPr>
        <w:t>18.2投标人应在签订政府采购合同前向采购人提供分包合同，否则，采购人有权拒绝签订采购合同。</w:t>
      </w:r>
    </w:p>
    <w:p w14:paraId="6250525C">
      <w:pPr>
        <w:adjustRightInd w:val="0"/>
        <w:snapToGrid w:val="0"/>
        <w:spacing w:before="156" w:beforeLines="50" w:line="360" w:lineRule="auto"/>
        <w:ind w:firstLine="420" w:firstLineChars="200"/>
        <w:jc w:val="left"/>
        <w:rPr>
          <w:rFonts w:ascii="宋体" w:hAnsi="宋体"/>
          <w:color w:val="auto"/>
          <w:highlight w:val="none"/>
        </w:rPr>
      </w:pPr>
      <w:r>
        <w:rPr>
          <w:rFonts w:hint="eastAsia" w:ascii="宋体" w:hAnsi="宋体"/>
          <w:color w:val="auto"/>
          <w:highlight w:val="none"/>
        </w:rPr>
        <w:t>18.3享受中小企业扶持政策获得政府采购合同的，小微企业不得将合同分包给大中型企业，中型企业不得将合同分包给大型企业。</w:t>
      </w:r>
    </w:p>
    <w:p w14:paraId="1EE97E31">
      <w:pPr>
        <w:adjustRightInd w:val="0"/>
        <w:snapToGrid w:val="0"/>
        <w:spacing w:before="156" w:beforeLines="50" w:line="360" w:lineRule="auto"/>
        <w:ind w:firstLine="420" w:firstLineChars="200"/>
        <w:jc w:val="left"/>
        <w:rPr>
          <w:rFonts w:ascii="宋体" w:hAnsi="宋体"/>
          <w:color w:val="auto"/>
          <w:highlight w:val="none"/>
        </w:rPr>
      </w:pPr>
      <w:r>
        <w:rPr>
          <w:rFonts w:hint="eastAsia" w:ascii="宋体" w:hAnsi="宋体"/>
          <w:color w:val="auto"/>
          <w:highlight w:val="none"/>
        </w:rPr>
        <w:t>18.4分包供应商不得再次分包。</w:t>
      </w:r>
    </w:p>
    <w:p w14:paraId="7177201E">
      <w:pPr>
        <w:adjustRightInd w:val="0"/>
        <w:snapToGrid w:val="0"/>
        <w:spacing w:before="156" w:beforeLines="50" w:line="360" w:lineRule="auto"/>
        <w:jc w:val="left"/>
        <w:rPr>
          <w:rFonts w:ascii="宋体" w:hAnsi="宋体" w:eastAsia="宋体"/>
          <w:b/>
          <w:bCs/>
          <w:color w:val="auto"/>
          <w:sz w:val="24"/>
          <w:highlight w:val="none"/>
        </w:rPr>
      </w:pPr>
      <w:r>
        <w:rPr>
          <w:rFonts w:hint="eastAsia" w:ascii="宋体" w:hAnsi="宋体" w:eastAsia="宋体"/>
          <w:b/>
          <w:bCs/>
          <w:color w:val="auto"/>
          <w:sz w:val="24"/>
          <w:highlight w:val="none"/>
        </w:rPr>
        <w:t>19. 投标文件的签署</w:t>
      </w:r>
    </w:p>
    <w:p w14:paraId="4C745227">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19.1投标文件正本一份，副本份数见</w:t>
      </w:r>
      <w:r>
        <w:rPr>
          <w:rFonts w:hint="eastAsia" w:ascii="宋体" w:hAnsi="宋体" w:eastAsia="宋体"/>
          <w:b/>
          <w:color w:val="auto"/>
          <w:szCs w:val="21"/>
          <w:highlight w:val="none"/>
        </w:rPr>
        <w:t>【投标须知前附表】</w:t>
      </w:r>
      <w:r>
        <w:rPr>
          <w:rFonts w:hint="eastAsia" w:ascii="宋体" w:hAnsi="宋体" w:eastAsia="宋体"/>
          <w:color w:val="auto"/>
          <w:szCs w:val="21"/>
          <w:highlight w:val="none"/>
        </w:rPr>
        <w:t>；投标文件电子文档（U盘或光盘形式）：一份</w:t>
      </w:r>
      <w:r>
        <w:rPr>
          <w:rFonts w:hint="eastAsia" w:ascii="宋体" w:hAnsi="宋体" w:eastAsia="宋体"/>
          <w:bCs/>
          <w:color w:val="auto"/>
          <w:szCs w:val="21"/>
          <w:highlight w:val="none"/>
        </w:rPr>
        <w:t>。</w:t>
      </w:r>
      <w:r>
        <w:rPr>
          <w:rFonts w:hint="eastAsia" w:ascii="宋体" w:hAnsi="宋体" w:eastAsia="宋体"/>
          <w:color w:val="auto"/>
          <w:szCs w:val="21"/>
          <w:highlight w:val="none"/>
        </w:rPr>
        <w:t>纸质投标文件须清楚地注明“正本”或“副本”的字样。若副本和正本不一致或电子版文件和纸质正本文件不一致时，以纸质正本文件为准。</w:t>
      </w:r>
    </w:p>
    <w:p w14:paraId="73224D0A">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19.2投标文件正本应打印或用不褪色的材料书写，并由投标人和投标人代表按照招标文件规定在投标文件需要签署的位置签署、盖章。投标人代表可为投标人法定代表人(非法人组织为负责人、个体工商户为负责人，以下统称单位负责人)；投标人代表不是投标人的法定代表人（单位负责人）的，应提供授权委托书。投标文件的副本可以是正本文件的复印件。投标文件的正本与副本应分别装订成册，并编制目录。</w:t>
      </w:r>
    </w:p>
    <w:p w14:paraId="713E2AFF">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19.3投标文件中的任何行间插字、涂改和增删，改动的地方应加盖单位章或由投标人代表签字确认。不按上述要求签署的，</w:t>
      </w:r>
      <w:r>
        <w:rPr>
          <w:rFonts w:hint="eastAsia" w:ascii="宋体" w:hAnsi="宋体" w:eastAsia="宋体"/>
          <w:b/>
          <w:color w:val="auto"/>
          <w:szCs w:val="21"/>
          <w:highlight w:val="none"/>
        </w:rPr>
        <w:t>其投标无效</w:t>
      </w:r>
      <w:r>
        <w:rPr>
          <w:rFonts w:hint="eastAsia" w:ascii="宋体" w:hAnsi="宋体" w:eastAsia="宋体"/>
          <w:color w:val="auto"/>
          <w:szCs w:val="21"/>
          <w:highlight w:val="none"/>
        </w:rPr>
        <w:t>。</w:t>
      </w:r>
    </w:p>
    <w:p w14:paraId="04F72CBB">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19.4为便于采购文件保存，投标文件电子文档建议为PDF格式，内容与纸质投标文件正本一致。</w:t>
      </w:r>
    </w:p>
    <w:p w14:paraId="0931A4FA">
      <w:pPr>
        <w:pStyle w:val="4"/>
        <w:keepNext w:val="0"/>
        <w:keepLines w:val="0"/>
        <w:adjustRightInd w:val="0"/>
        <w:snapToGrid w:val="0"/>
        <w:spacing w:before="156" w:beforeLines="50" w:after="0" w:line="360" w:lineRule="auto"/>
        <w:jc w:val="center"/>
        <w:rPr>
          <w:rFonts w:ascii="黑体" w:hAnsi="黑体" w:eastAsia="黑体"/>
          <w:color w:val="auto"/>
          <w:sz w:val="28"/>
          <w:szCs w:val="28"/>
          <w:highlight w:val="none"/>
        </w:rPr>
      </w:pPr>
      <w:bookmarkStart w:id="25" w:name="_Toc3567"/>
      <w:r>
        <w:rPr>
          <w:rFonts w:hint="eastAsia" w:ascii="黑体" w:hAnsi="黑体" w:eastAsia="黑体"/>
          <w:color w:val="auto"/>
          <w:sz w:val="28"/>
          <w:szCs w:val="28"/>
          <w:highlight w:val="none"/>
        </w:rPr>
        <w:t>四、投标</w:t>
      </w:r>
      <w:bookmarkEnd w:id="25"/>
    </w:p>
    <w:p w14:paraId="74DA0411">
      <w:pPr>
        <w:adjustRightInd w:val="0"/>
        <w:snapToGrid w:val="0"/>
        <w:spacing w:before="156" w:beforeLines="50" w:line="360" w:lineRule="auto"/>
        <w:jc w:val="left"/>
        <w:rPr>
          <w:rFonts w:ascii="宋体" w:hAnsi="宋体" w:eastAsia="宋体"/>
          <w:b/>
          <w:bCs/>
          <w:color w:val="auto"/>
          <w:sz w:val="24"/>
          <w:highlight w:val="none"/>
        </w:rPr>
      </w:pPr>
      <w:r>
        <w:rPr>
          <w:rFonts w:hint="eastAsia" w:ascii="宋体" w:hAnsi="宋体" w:eastAsia="宋体"/>
          <w:b/>
          <w:color w:val="auto"/>
          <w:sz w:val="24"/>
          <w:highlight w:val="none"/>
        </w:rPr>
        <w:t>20.</w:t>
      </w:r>
      <w:r>
        <w:rPr>
          <w:rFonts w:hint="eastAsia" w:ascii="宋体" w:hAnsi="宋体" w:eastAsia="宋体"/>
          <w:b/>
          <w:bCs/>
          <w:color w:val="auto"/>
          <w:sz w:val="24"/>
          <w:highlight w:val="none"/>
        </w:rPr>
        <w:t xml:space="preserve"> 投标文件的密封和标记</w:t>
      </w:r>
    </w:p>
    <w:p w14:paraId="01C68A9E">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20.1投标人应将投标文件密封包装以保证自己的投标信息在开标前不被透露。</w:t>
      </w:r>
    </w:p>
    <w:p w14:paraId="1B6D3A3A">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20</w:t>
      </w:r>
      <w:r>
        <w:rPr>
          <w:rFonts w:ascii="宋体" w:hAnsi="宋体" w:eastAsia="宋体"/>
          <w:color w:val="auto"/>
          <w:szCs w:val="21"/>
          <w:highlight w:val="none"/>
        </w:rPr>
        <w:t>.2</w:t>
      </w:r>
      <w:r>
        <w:rPr>
          <w:rFonts w:hint="eastAsia" w:ascii="宋体" w:hAnsi="宋体" w:eastAsia="宋体"/>
          <w:color w:val="auto"/>
          <w:szCs w:val="21"/>
          <w:highlight w:val="none"/>
        </w:rPr>
        <w:t>投标文件密封袋上应标明“投标项目名称”、“</w:t>
      </w:r>
      <w:r>
        <w:rPr>
          <w:rFonts w:hint="eastAsia" w:ascii="宋体" w:hAnsi="宋体"/>
          <w:color w:val="auto"/>
          <w:szCs w:val="21"/>
          <w:highlight w:val="none"/>
          <w:lang w:eastAsia="zh-CN"/>
        </w:rPr>
        <w:t>政府采购</w:t>
      </w:r>
      <w:r>
        <w:rPr>
          <w:rFonts w:hint="eastAsia" w:ascii="宋体" w:hAnsi="宋体"/>
          <w:color w:val="auto"/>
          <w:szCs w:val="21"/>
          <w:highlight w:val="none"/>
          <w:lang w:val="en-US" w:eastAsia="zh-CN"/>
        </w:rPr>
        <w:t>计划</w:t>
      </w:r>
      <w:r>
        <w:rPr>
          <w:rFonts w:hint="eastAsia" w:ascii="宋体" w:hAnsi="宋体"/>
          <w:color w:val="auto"/>
          <w:szCs w:val="21"/>
          <w:highlight w:val="none"/>
          <w:lang w:eastAsia="zh-CN"/>
        </w:rPr>
        <w:t>编号</w:t>
      </w:r>
      <w:r>
        <w:rPr>
          <w:rFonts w:hint="eastAsia" w:ascii="宋体" w:hAnsi="宋体" w:eastAsia="宋体"/>
          <w:color w:val="auto"/>
          <w:szCs w:val="21"/>
          <w:highlight w:val="none"/>
        </w:rPr>
        <w:t>”、“正本”或“副本”和“于（开标时间） 之前不得开启”的字样。如果采购项目分包招标的，还应注明投标的包号。</w:t>
      </w:r>
    </w:p>
    <w:p w14:paraId="2775FCF2">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20</w:t>
      </w:r>
      <w:r>
        <w:rPr>
          <w:rFonts w:ascii="宋体" w:hAnsi="宋体" w:eastAsia="宋体"/>
          <w:color w:val="auto"/>
          <w:szCs w:val="21"/>
          <w:highlight w:val="none"/>
        </w:rPr>
        <w:t>.</w:t>
      </w:r>
      <w:r>
        <w:rPr>
          <w:rFonts w:hint="eastAsia" w:ascii="宋体" w:hAnsi="宋体" w:eastAsia="宋体"/>
          <w:color w:val="auto"/>
          <w:szCs w:val="21"/>
          <w:highlight w:val="none"/>
        </w:rPr>
        <w:t>3为方便开标及进行资格审查，建议投标人将第一部分资格证明文件单独密封，并在投标文件密封袋上标明“资格证明文件”字样，在投标时单独递交。</w:t>
      </w:r>
    </w:p>
    <w:p w14:paraId="5F142010">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20</w:t>
      </w:r>
      <w:r>
        <w:rPr>
          <w:rFonts w:ascii="宋体" w:hAnsi="宋体" w:eastAsia="宋体"/>
          <w:color w:val="auto"/>
          <w:szCs w:val="21"/>
          <w:highlight w:val="none"/>
        </w:rPr>
        <w:t>.</w:t>
      </w:r>
      <w:r>
        <w:rPr>
          <w:rFonts w:hint="eastAsia" w:ascii="宋体" w:hAnsi="宋体" w:eastAsia="宋体"/>
          <w:color w:val="auto"/>
          <w:szCs w:val="21"/>
          <w:highlight w:val="none"/>
        </w:rPr>
        <w:t>4未按本章第 20.1 款要求密封的投标文件，采购人、采购代理机构</w:t>
      </w:r>
      <w:r>
        <w:rPr>
          <w:rFonts w:hint="eastAsia" w:ascii="宋体" w:hAnsi="宋体" w:eastAsia="宋体"/>
          <w:b/>
          <w:color w:val="auto"/>
          <w:szCs w:val="21"/>
          <w:highlight w:val="none"/>
        </w:rPr>
        <w:t>应当拒收</w:t>
      </w:r>
      <w:r>
        <w:rPr>
          <w:rFonts w:hint="eastAsia" w:ascii="宋体" w:hAnsi="宋体" w:eastAsia="宋体"/>
          <w:color w:val="auto"/>
          <w:szCs w:val="21"/>
          <w:highlight w:val="none"/>
        </w:rPr>
        <w:t>。</w:t>
      </w:r>
    </w:p>
    <w:p w14:paraId="477CC056">
      <w:pPr>
        <w:adjustRightInd w:val="0"/>
        <w:snapToGrid w:val="0"/>
        <w:spacing w:before="156" w:beforeLines="50" w:line="360" w:lineRule="auto"/>
        <w:jc w:val="left"/>
        <w:rPr>
          <w:rFonts w:ascii="宋体" w:hAnsi="宋体" w:eastAsia="宋体"/>
          <w:b/>
          <w:bCs/>
          <w:color w:val="auto"/>
          <w:sz w:val="24"/>
          <w:highlight w:val="none"/>
        </w:rPr>
      </w:pPr>
      <w:r>
        <w:rPr>
          <w:rFonts w:hint="eastAsia" w:ascii="宋体" w:hAnsi="宋体" w:eastAsia="宋体"/>
          <w:b/>
          <w:bCs/>
          <w:color w:val="auto"/>
          <w:sz w:val="24"/>
          <w:highlight w:val="none"/>
        </w:rPr>
        <w:t>21.投标截止期</w:t>
      </w:r>
    </w:p>
    <w:p w14:paraId="1C8A278E">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21.1投标人应在</w:t>
      </w:r>
      <w:r>
        <w:rPr>
          <w:rFonts w:hint="eastAsia" w:ascii="宋体" w:hAnsi="宋体" w:eastAsia="宋体"/>
          <w:b/>
          <w:color w:val="auto"/>
          <w:szCs w:val="21"/>
          <w:highlight w:val="none"/>
        </w:rPr>
        <w:t>【投标须知前附表】</w:t>
      </w:r>
      <w:r>
        <w:rPr>
          <w:rFonts w:hint="eastAsia" w:ascii="宋体" w:hAnsi="宋体" w:eastAsia="宋体"/>
          <w:color w:val="auto"/>
          <w:szCs w:val="21"/>
          <w:highlight w:val="none"/>
        </w:rPr>
        <w:t>规定的投标截止时间前将投标文件</w:t>
      </w:r>
      <w:r>
        <w:rPr>
          <w:rFonts w:hint="eastAsia" w:ascii="宋体" w:hAnsi="宋体" w:eastAsia="宋体"/>
          <w:bCs/>
          <w:color w:val="auto"/>
          <w:szCs w:val="21"/>
          <w:highlight w:val="none"/>
        </w:rPr>
        <w:t>密封送达</w:t>
      </w:r>
      <w:r>
        <w:rPr>
          <w:rFonts w:hint="eastAsia" w:ascii="宋体" w:hAnsi="宋体" w:eastAsia="宋体"/>
          <w:b/>
          <w:color w:val="auto"/>
          <w:szCs w:val="21"/>
          <w:highlight w:val="none"/>
        </w:rPr>
        <w:t>【投标须知前附表】</w:t>
      </w:r>
      <w:r>
        <w:rPr>
          <w:rFonts w:hint="eastAsia" w:ascii="宋体" w:hAnsi="宋体" w:eastAsia="宋体"/>
          <w:color w:val="auto"/>
          <w:szCs w:val="21"/>
          <w:highlight w:val="none"/>
        </w:rPr>
        <w:t>指定的投标地点。</w:t>
      </w:r>
    </w:p>
    <w:p w14:paraId="18ED0D5A">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21.2逾期送达的投标文件，以及未通过资格预审的申请人提交的投标文件（实行资格预审的），采购人、采购代理机构</w:t>
      </w:r>
      <w:r>
        <w:rPr>
          <w:rFonts w:hint="eastAsia" w:ascii="宋体" w:hAnsi="宋体" w:eastAsia="宋体"/>
          <w:b/>
          <w:color w:val="auto"/>
          <w:szCs w:val="21"/>
          <w:highlight w:val="none"/>
        </w:rPr>
        <w:t>应当拒收</w:t>
      </w:r>
      <w:r>
        <w:rPr>
          <w:rFonts w:hint="eastAsia" w:ascii="宋体" w:hAnsi="宋体" w:eastAsia="宋体"/>
          <w:color w:val="auto"/>
          <w:szCs w:val="21"/>
          <w:highlight w:val="none"/>
        </w:rPr>
        <w:t>。</w:t>
      </w:r>
    </w:p>
    <w:p w14:paraId="31AE00DE">
      <w:pPr>
        <w:adjustRightInd w:val="0"/>
        <w:snapToGrid w:val="0"/>
        <w:spacing w:before="156" w:beforeLines="50" w:line="360" w:lineRule="auto"/>
        <w:ind w:firstLine="420" w:firstLineChars="200"/>
        <w:jc w:val="left"/>
        <w:rPr>
          <w:rFonts w:ascii="宋体" w:hAnsi="宋体" w:eastAsia="宋体"/>
          <w:bCs/>
          <w:color w:val="auto"/>
          <w:szCs w:val="21"/>
          <w:highlight w:val="none"/>
        </w:rPr>
      </w:pPr>
      <w:r>
        <w:rPr>
          <w:rFonts w:hint="eastAsia" w:ascii="宋体" w:hAnsi="宋体" w:eastAsia="宋体"/>
          <w:color w:val="auto"/>
          <w:szCs w:val="21"/>
          <w:highlight w:val="none"/>
        </w:rPr>
        <w:t>21.3</w:t>
      </w:r>
      <w:r>
        <w:rPr>
          <w:rFonts w:hint="eastAsia" w:ascii="宋体" w:hAnsi="宋体" w:eastAsia="宋体"/>
          <w:bCs/>
          <w:color w:val="auto"/>
          <w:szCs w:val="21"/>
          <w:highlight w:val="none"/>
        </w:rPr>
        <w:t>采购人、采购代理机构收到投标文件后，应当如实记载投标文件的送达时间和密封情况，签收保存，并向投标人出具包括</w:t>
      </w:r>
      <w:r>
        <w:rPr>
          <w:rFonts w:ascii="宋体" w:hAnsi="宋体" w:cs="宋体"/>
          <w:color w:val="auto"/>
          <w:kern w:val="0"/>
          <w:sz w:val="22"/>
          <w:szCs w:val="22"/>
          <w:highlight w:val="none"/>
        </w:rPr>
        <w:t>以下</w:t>
      </w:r>
      <w:r>
        <w:rPr>
          <w:rFonts w:hint="eastAsia" w:ascii="宋体" w:hAnsi="宋体" w:cs="宋体"/>
          <w:color w:val="auto"/>
          <w:kern w:val="0"/>
          <w:sz w:val="22"/>
          <w:szCs w:val="22"/>
          <w:highlight w:val="none"/>
        </w:rPr>
        <w:t>信息的</w:t>
      </w:r>
      <w:r>
        <w:rPr>
          <w:rFonts w:hint="eastAsia" w:ascii="宋体" w:hAnsi="宋体" w:eastAsia="宋体"/>
          <w:bCs/>
          <w:color w:val="auto"/>
          <w:szCs w:val="21"/>
          <w:highlight w:val="none"/>
        </w:rPr>
        <w:t>签收回执。任何单位和个人不得在开标前开启投标文件。</w:t>
      </w:r>
    </w:p>
    <w:p w14:paraId="67124C6B">
      <w:pPr>
        <w:adjustRightInd w:val="0"/>
        <w:snapToGrid w:val="0"/>
        <w:spacing w:before="156" w:beforeLines="50" w:line="360" w:lineRule="auto"/>
        <w:ind w:firstLine="420" w:firstLineChars="200"/>
        <w:jc w:val="left"/>
        <w:rPr>
          <w:rFonts w:ascii="宋体" w:hAnsi="宋体" w:eastAsia="宋体"/>
          <w:bCs/>
          <w:color w:val="auto"/>
          <w:szCs w:val="21"/>
          <w:highlight w:val="none"/>
        </w:rPr>
      </w:pPr>
      <w:r>
        <w:rPr>
          <w:rFonts w:hint="eastAsia" w:ascii="宋体" w:hAnsi="宋体" w:eastAsia="宋体"/>
          <w:bCs/>
          <w:color w:val="auto"/>
          <w:szCs w:val="21"/>
          <w:highlight w:val="none"/>
        </w:rPr>
        <w:t>（1）项目名称、</w:t>
      </w:r>
      <w:r>
        <w:rPr>
          <w:rFonts w:hint="eastAsia" w:ascii="宋体" w:hAnsi="宋体"/>
          <w:bCs/>
          <w:color w:val="auto"/>
          <w:szCs w:val="21"/>
          <w:highlight w:val="none"/>
          <w:lang w:eastAsia="zh-CN"/>
        </w:rPr>
        <w:t>政府采购</w:t>
      </w:r>
      <w:r>
        <w:rPr>
          <w:rFonts w:hint="eastAsia" w:ascii="宋体" w:hAnsi="宋体"/>
          <w:bCs/>
          <w:color w:val="auto"/>
          <w:szCs w:val="21"/>
          <w:highlight w:val="none"/>
          <w:lang w:val="en-US" w:eastAsia="zh-CN"/>
        </w:rPr>
        <w:t>计划</w:t>
      </w:r>
      <w:r>
        <w:rPr>
          <w:rFonts w:hint="eastAsia" w:ascii="宋体" w:hAnsi="宋体"/>
          <w:bCs/>
          <w:color w:val="auto"/>
          <w:szCs w:val="21"/>
          <w:highlight w:val="none"/>
          <w:lang w:eastAsia="zh-CN"/>
        </w:rPr>
        <w:t>编号</w:t>
      </w:r>
      <w:r>
        <w:rPr>
          <w:rFonts w:hint="eastAsia" w:ascii="宋体" w:hAnsi="宋体" w:eastAsia="宋体"/>
          <w:bCs/>
          <w:color w:val="auto"/>
          <w:szCs w:val="21"/>
          <w:highlight w:val="none"/>
        </w:rPr>
        <w:t>；</w:t>
      </w:r>
    </w:p>
    <w:p w14:paraId="7AD8D7FC">
      <w:pPr>
        <w:adjustRightInd w:val="0"/>
        <w:snapToGrid w:val="0"/>
        <w:spacing w:before="156" w:beforeLines="50" w:line="360" w:lineRule="auto"/>
        <w:ind w:firstLine="420" w:firstLineChars="200"/>
        <w:jc w:val="left"/>
        <w:rPr>
          <w:rFonts w:ascii="宋体" w:hAnsi="宋体" w:eastAsia="宋体"/>
          <w:bCs/>
          <w:color w:val="auto"/>
          <w:szCs w:val="21"/>
          <w:highlight w:val="none"/>
        </w:rPr>
      </w:pPr>
      <w:r>
        <w:rPr>
          <w:rFonts w:hint="eastAsia" w:ascii="宋体" w:hAnsi="宋体" w:eastAsia="宋体"/>
          <w:bCs/>
          <w:color w:val="auto"/>
          <w:szCs w:val="21"/>
          <w:highlight w:val="none"/>
        </w:rPr>
        <w:t>（2）投标人名称；</w:t>
      </w:r>
    </w:p>
    <w:p w14:paraId="722F767D">
      <w:pPr>
        <w:adjustRightInd w:val="0"/>
        <w:snapToGrid w:val="0"/>
        <w:spacing w:before="156" w:beforeLines="50" w:line="360" w:lineRule="auto"/>
        <w:ind w:firstLine="420" w:firstLineChars="200"/>
        <w:jc w:val="left"/>
        <w:rPr>
          <w:rFonts w:ascii="宋体" w:hAnsi="宋体" w:eastAsia="宋体"/>
          <w:bCs/>
          <w:color w:val="auto"/>
          <w:szCs w:val="21"/>
          <w:highlight w:val="none"/>
        </w:rPr>
      </w:pPr>
      <w:r>
        <w:rPr>
          <w:rFonts w:hint="eastAsia" w:ascii="宋体" w:hAnsi="宋体" w:eastAsia="宋体"/>
          <w:bCs/>
          <w:color w:val="auto"/>
          <w:szCs w:val="21"/>
          <w:highlight w:val="none"/>
        </w:rPr>
        <w:t>（3）投标文件送达时间、地址；</w:t>
      </w:r>
    </w:p>
    <w:p w14:paraId="243D4246">
      <w:pPr>
        <w:adjustRightInd w:val="0"/>
        <w:snapToGrid w:val="0"/>
        <w:spacing w:before="156" w:beforeLines="50" w:line="360" w:lineRule="auto"/>
        <w:ind w:firstLine="420" w:firstLineChars="200"/>
        <w:jc w:val="left"/>
        <w:rPr>
          <w:rFonts w:ascii="宋体" w:hAnsi="宋体" w:eastAsia="宋体"/>
          <w:bCs/>
          <w:color w:val="auto"/>
          <w:szCs w:val="21"/>
          <w:highlight w:val="none"/>
        </w:rPr>
      </w:pPr>
      <w:r>
        <w:rPr>
          <w:rFonts w:hint="eastAsia" w:ascii="宋体" w:hAnsi="宋体" w:eastAsia="宋体"/>
          <w:bCs/>
          <w:color w:val="auto"/>
          <w:szCs w:val="21"/>
          <w:highlight w:val="none"/>
        </w:rPr>
        <w:t>（4）投标文件密封情况；</w:t>
      </w:r>
    </w:p>
    <w:p w14:paraId="07AB34B7">
      <w:pPr>
        <w:adjustRightInd w:val="0"/>
        <w:snapToGrid w:val="0"/>
        <w:spacing w:before="156" w:beforeLines="50" w:line="360" w:lineRule="auto"/>
        <w:ind w:firstLine="420" w:firstLineChars="200"/>
        <w:jc w:val="left"/>
        <w:rPr>
          <w:rFonts w:ascii="宋体" w:hAnsi="宋体" w:eastAsia="宋体"/>
          <w:bCs/>
          <w:color w:val="auto"/>
          <w:szCs w:val="21"/>
          <w:highlight w:val="none"/>
        </w:rPr>
      </w:pPr>
      <w:r>
        <w:rPr>
          <w:rFonts w:hint="eastAsia" w:ascii="宋体" w:hAnsi="宋体" w:eastAsia="宋体"/>
          <w:bCs/>
          <w:color w:val="auto"/>
          <w:szCs w:val="21"/>
          <w:highlight w:val="none"/>
        </w:rPr>
        <w:t>（5）采购代理机构名称；</w:t>
      </w:r>
    </w:p>
    <w:p w14:paraId="2F5D3425">
      <w:pPr>
        <w:adjustRightInd w:val="0"/>
        <w:snapToGrid w:val="0"/>
        <w:spacing w:before="156" w:beforeLines="50" w:line="360" w:lineRule="auto"/>
        <w:ind w:firstLine="420" w:firstLineChars="200"/>
        <w:jc w:val="left"/>
        <w:rPr>
          <w:rFonts w:ascii="宋体" w:hAnsi="宋体" w:eastAsia="宋体"/>
          <w:bCs/>
          <w:color w:val="auto"/>
          <w:szCs w:val="21"/>
          <w:highlight w:val="none"/>
        </w:rPr>
      </w:pPr>
      <w:r>
        <w:rPr>
          <w:rFonts w:hint="eastAsia" w:ascii="宋体" w:hAnsi="宋体" w:eastAsia="宋体"/>
          <w:bCs/>
          <w:color w:val="auto"/>
          <w:szCs w:val="21"/>
          <w:highlight w:val="none"/>
        </w:rPr>
        <w:t>（6）采购代理机构接收人签字。</w:t>
      </w:r>
    </w:p>
    <w:p w14:paraId="2CB20AA2">
      <w:pPr>
        <w:adjustRightInd w:val="0"/>
        <w:snapToGrid w:val="0"/>
        <w:spacing w:before="156" w:beforeLines="50" w:line="360" w:lineRule="auto"/>
        <w:jc w:val="left"/>
        <w:rPr>
          <w:rFonts w:ascii="宋体" w:hAnsi="宋体" w:eastAsia="宋体"/>
          <w:b/>
          <w:bCs/>
          <w:color w:val="auto"/>
          <w:sz w:val="24"/>
          <w:highlight w:val="none"/>
        </w:rPr>
      </w:pPr>
      <w:r>
        <w:rPr>
          <w:rFonts w:hint="eastAsia" w:ascii="宋体" w:hAnsi="宋体" w:eastAsia="宋体"/>
          <w:b/>
          <w:bCs/>
          <w:color w:val="auto"/>
          <w:sz w:val="24"/>
          <w:highlight w:val="none"/>
        </w:rPr>
        <w:t>22. 投标文件的修改和撤回</w:t>
      </w:r>
    </w:p>
    <w:p w14:paraId="56305D3C">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22.1投标人在投标截止时间前，可以对所提交的投标文件进行修改或者撤回，并书面通知采购人或者采购代理机构。修改或撤回通知应当按招标文件规定编制、签署、密封和标记（在密封袋上注明“修改”字样，以及修改的时间），作为投标文件的组成部分，且只需提供一份，并在提交投标文件的截止时间前递交。</w:t>
      </w:r>
    </w:p>
    <w:p w14:paraId="6950580B">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22.2采购人、采购代理机构对投标人提交的投标文件修改或者撤回的书面通知，按照本章第21.3款规定如实记载、签收保存，并向投标人出具签收回执。</w:t>
      </w:r>
    </w:p>
    <w:p w14:paraId="733F8DEB">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22.3投标人在</w:t>
      </w:r>
      <w:r>
        <w:rPr>
          <w:rFonts w:hint="eastAsia" w:ascii="宋体" w:hAnsi="宋体" w:eastAsia="宋体"/>
          <w:bCs/>
          <w:color w:val="auto"/>
          <w:szCs w:val="21"/>
          <w:highlight w:val="none"/>
        </w:rPr>
        <w:t>提交投标文件的</w:t>
      </w:r>
      <w:r>
        <w:rPr>
          <w:rFonts w:hint="eastAsia" w:ascii="宋体" w:hAnsi="宋体" w:eastAsia="宋体"/>
          <w:color w:val="auto"/>
          <w:szCs w:val="21"/>
          <w:highlight w:val="none"/>
        </w:rPr>
        <w:t>截止时间前撤回已提交的投标文件的，采购人、采购代理机构应当自收到投标人书面撤回通知之日</w:t>
      </w:r>
      <w:r>
        <w:rPr>
          <w:rFonts w:hint="eastAsia" w:ascii="宋体" w:hAnsi="宋体" w:eastAsia="宋体"/>
          <w:bCs/>
          <w:color w:val="auto"/>
          <w:szCs w:val="21"/>
          <w:highlight w:val="none"/>
        </w:rPr>
        <w:t>起</w:t>
      </w:r>
      <w:r>
        <w:rPr>
          <w:rFonts w:hint="eastAsia" w:eastAsia="宋体"/>
          <w:color w:val="auto"/>
          <w:highlight w:val="none"/>
        </w:rPr>
        <w:t>5</w:t>
      </w:r>
      <w:r>
        <w:rPr>
          <w:rFonts w:hint="eastAsia" w:ascii="宋体" w:hAnsi="宋体" w:eastAsia="宋体"/>
          <w:bCs/>
          <w:color w:val="auto"/>
          <w:szCs w:val="21"/>
          <w:highlight w:val="none"/>
        </w:rPr>
        <w:t>个</w:t>
      </w:r>
      <w:r>
        <w:rPr>
          <w:rFonts w:hint="eastAsia" w:ascii="宋体" w:hAnsi="宋体" w:eastAsia="宋体"/>
          <w:color w:val="auto"/>
          <w:szCs w:val="21"/>
          <w:highlight w:val="none"/>
        </w:rPr>
        <w:t>工作日内，退还已收取的投标保证金，但因投标人自身原因导致无法及时退还的除外。</w:t>
      </w:r>
    </w:p>
    <w:p w14:paraId="35B1C763">
      <w:pPr>
        <w:adjustRightInd w:val="0"/>
        <w:snapToGrid w:val="0"/>
        <w:spacing w:before="156" w:beforeLines="50" w:line="360" w:lineRule="auto"/>
        <w:jc w:val="left"/>
        <w:rPr>
          <w:rFonts w:ascii="宋体" w:hAnsi="宋体" w:eastAsia="宋体" w:cs="Arial"/>
          <w:b/>
          <w:color w:val="auto"/>
          <w:sz w:val="24"/>
          <w:highlight w:val="none"/>
        </w:rPr>
      </w:pPr>
      <w:r>
        <w:rPr>
          <w:rFonts w:hint="eastAsia" w:ascii="宋体" w:hAnsi="宋体" w:eastAsia="宋体"/>
          <w:b/>
          <w:bCs/>
          <w:color w:val="auto"/>
          <w:sz w:val="24"/>
          <w:highlight w:val="none"/>
        </w:rPr>
        <w:t>23.</w:t>
      </w:r>
      <w:r>
        <w:rPr>
          <w:rFonts w:hint="eastAsia" w:ascii="宋体" w:hAnsi="宋体" w:eastAsia="宋体" w:cs="Arial"/>
          <w:b/>
          <w:color w:val="auto"/>
          <w:sz w:val="24"/>
          <w:highlight w:val="none"/>
        </w:rPr>
        <w:t xml:space="preserve"> 串通</w:t>
      </w:r>
      <w:r>
        <w:rPr>
          <w:rFonts w:hint="eastAsia" w:ascii="宋体" w:hAnsi="宋体" w:eastAsia="宋体"/>
          <w:b/>
          <w:color w:val="auto"/>
          <w:sz w:val="24"/>
          <w:highlight w:val="none"/>
        </w:rPr>
        <w:t>投标行为</w:t>
      </w:r>
    </w:p>
    <w:p w14:paraId="2A24928C">
      <w:pPr>
        <w:adjustRightInd w:val="0"/>
        <w:snapToGrid w:val="0"/>
        <w:spacing w:before="156" w:beforeLines="50" w:line="360"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23.1有下列情形之一的，属于恶意串通，对投标人依照政府采购法第七十七条第一款的规定追究法律责任：</w:t>
      </w:r>
    </w:p>
    <w:p w14:paraId="7DAC1B91">
      <w:pPr>
        <w:adjustRightInd w:val="0"/>
        <w:snapToGrid w:val="0"/>
        <w:spacing w:before="156" w:beforeLines="50" w:line="360"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（1）投标人直接或者间接从采购人或者采购代理机构处获得其他投标人的相关情况并修改其投标文件；</w:t>
      </w:r>
    </w:p>
    <w:p w14:paraId="145131E9">
      <w:pPr>
        <w:adjustRightInd w:val="0"/>
        <w:snapToGrid w:val="0"/>
        <w:spacing w:before="156" w:beforeLines="50" w:line="360"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（2）投标人按照采购人或者采购代理机构的授意撤换、修改投标文件；</w:t>
      </w:r>
    </w:p>
    <w:p w14:paraId="0281F82D">
      <w:pPr>
        <w:adjustRightInd w:val="0"/>
        <w:snapToGrid w:val="0"/>
        <w:spacing w:before="156" w:beforeLines="50" w:line="360"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（3）投标人之间协商报价、技术方案等投标文件的实质性内容；</w:t>
      </w:r>
    </w:p>
    <w:p w14:paraId="6535FA02">
      <w:pPr>
        <w:adjustRightInd w:val="0"/>
        <w:snapToGrid w:val="0"/>
        <w:spacing w:before="156" w:beforeLines="50" w:line="360"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（4）属于同一集团、协会、商会等组织成员的投标人按照该组织要求协同参加政府采购活动；</w:t>
      </w:r>
    </w:p>
    <w:p w14:paraId="25E54581">
      <w:pPr>
        <w:adjustRightInd w:val="0"/>
        <w:snapToGrid w:val="0"/>
        <w:spacing w:before="156" w:beforeLines="50" w:line="360"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（5）投标人之间事先约定由某一特定投标人中标；</w:t>
      </w:r>
    </w:p>
    <w:p w14:paraId="3C1B07CE">
      <w:pPr>
        <w:adjustRightInd w:val="0"/>
        <w:snapToGrid w:val="0"/>
        <w:spacing w:before="156" w:beforeLines="50" w:line="360"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（6）投标人之间商定部分投标人放弃参加政府采购活动或者放弃中标；</w:t>
      </w:r>
    </w:p>
    <w:p w14:paraId="7779170D">
      <w:pPr>
        <w:adjustRightInd w:val="0"/>
        <w:snapToGrid w:val="0"/>
        <w:spacing w:before="156" w:beforeLines="50" w:line="360"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（7）投标人与采购人或者采购代理机构之间、投标人相互之间，为谋求特定投标人中标或者排斥其他投标人的其他串通行为。</w:t>
      </w:r>
    </w:p>
    <w:p w14:paraId="69FC6FAF">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23.2有下列情形之一的，视为投标人串通投标，其</w:t>
      </w:r>
      <w:r>
        <w:rPr>
          <w:rFonts w:hint="eastAsia" w:ascii="宋体" w:hAnsi="宋体" w:eastAsia="宋体"/>
          <w:b/>
          <w:color w:val="auto"/>
          <w:szCs w:val="21"/>
          <w:highlight w:val="none"/>
        </w:rPr>
        <w:t>投标无效</w:t>
      </w:r>
      <w:r>
        <w:rPr>
          <w:rFonts w:hint="eastAsia" w:ascii="宋体" w:hAnsi="宋体" w:eastAsia="宋体"/>
          <w:color w:val="auto"/>
          <w:szCs w:val="21"/>
          <w:highlight w:val="none"/>
        </w:rPr>
        <w:t>：</w:t>
      </w:r>
    </w:p>
    <w:p w14:paraId="23111A68">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（1）不同投标人的投标文件由同一单位或者个人编制；</w:t>
      </w:r>
    </w:p>
    <w:p w14:paraId="7176206E">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（2）不同投标人委托同一单位或者个人办理投标事宜；</w:t>
      </w:r>
    </w:p>
    <w:p w14:paraId="697D3D47">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（3）不同投标人的投标文件载明的项目管理成员或者联系人员为同一人；</w:t>
      </w:r>
    </w:p>
    <w:p w14:paraId="1B888A4B">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（4）不同投标人的投标文件异常一致或者投标报价呈规律性差异；</w:t>
      </w:r>
    </w:p>
    <w:p w14:paraId="1BF37C78">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（5）不同投标人的投标文件相互混装；</w:t>
      </w:r>
    </w:p>
    <w:p w14:paraId="0D149146">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（6）不同投标人的投标保证金从同一单位或者个人的账户转出。</w:t>
      </w:r>
    </w:p>
    <w:p w14:paraId="6BC74190">
      <w:pPr>
        <w:pStyle w:val="4"/>
        <w:adjustRightInd w:val="0"/>
        <w:snapToGrid w:val="0"/>
        <w:spacing w:before="156" w:beforeLines="50" w:after="0" w:line="360" w:lineRule="auto"/>
        <w:jc w:val="center"/>
        <w:rPr>
          <w:rFonts w:ascii="黑体" w:hAnsi="黑体" w:eastAsia="黑体"/>
          <w:color w:val="auto"/>
          <w:sz w:val="28"/>
          <w:szCs w:val="28"/>
          <w:highlight w:val="none"/>
        </w:rPr>
      </w:pPr>
      <w:bookmarkStart w:id="26" w:name="_Toc18563"/>
      <w:r>
        <w:rPr>
          <w:rFonts w:hint="eastAsia" w:ascii="黑体" w:hAnsi="黑体" w:eastAsia="黑体"/>
          <w:color w:val="auto"/>
          <w:sz w:val="28"/>
          <w:szCs w:val="28"/>
          <w:highlight w:val="none"/>
        </w:rPr>
        <w:t>五、开标，资格审查和评标</w:t>
      </w:r>
      <w:bookmarkEnd w:id="26"/>
    </w:p>
    <w:p w14:paraId="486CF278">
      <w:pPr>
        <w:adjustRightInd w:val="0"/>
        <w:snapToGrid w:val="0"/>
        <w:spacing w:before="156" w:beforeLines="50" w:line="360" w:lineRule="auto"/>
        <w:jc w:val="left"/>
        <w:rPr>
          <w:rFonts w:ascii="宋体" w:hAnsi="宋体" w:eastAsia="宋体"/>
          <w:b/>
          <w:bCs/>
          <w:color w:val="auto"/>
          <w:sz w:val="24"/>
          <w:highlight w:val="none"/>
        </w:rPr>
      </w:pPr>
      <w:r>
        <w:rPr>
          <w:rFonts w:hint="eastAsia" w:ascii="宋体" w:hAnsi="宋体" w:eastAsia="宋体"/>
          <w:b/>
          <w:bCs/>
          <w:color w:val="auto"/>
          <w:sz w:val="24"/>
          <w:highlight w:val="none"/>
        </w:rPr>
        <w:t>24. 开标</w:t>
      </w:r>
    </w:p>
    <w:p w14:paraId="52DDB11A">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24.1采购人、采购代理机构在</w:t>
      </w:r>
      <w:r>
        <w:rPr>
          <w:rFonts w:hint="eastAsia" w:ascii="宋体" w:hAnsi="宋体" w:eastAsia="宋体"/>
          <w:b/>
          <w:color w:val="auto"/>
          <w:szCs w:val="21"/>
          <w:highlight w:val="none"/>
        </w:rPr>
        <w:t>【投标须知前附表】</w:t>
      </w:r>
      <w:r>
        <w:rPr>
          <w:rFonts w:hint="eastAsia" w:ascii="宋体" w:hAnsi="宋体" w:eastAsia="宋体"/>
          <w:color w:val="auto"/>
          <w:szCs w:val="21"/>
          <w:highlight w:val="none"/>
        </w:rPr>
        <w:t>规定的开标地点组织开标，并邀请投标人参加。投标人未参加开标的，视同认可开标结果。</w:t>
      </w:r>
    </w:p>
    <w:p w14:paraId="30563410">
      <w:pPr>
        <w:adjustRightInd w:val="0"/>
        <w:snapToGrid w:val="0"/>
        <w:spacing w:before="156" w:beforeLines="50" w:line="360" w:lineRule="auto"/>
        <w:ind w:firstLine="422" w:firstLineChars="200"/>
        <w:jc w:val="left"/>
        <w:rPr>
          <w:rFonts w:ascii="宋体" w:hAnsi="宋体" w:eastAsia="宋体" w:cs="宋体"/>
          <w:b/>
          <w:bCs/>
          <w:color w:val="auto"/>
          <w:spacing w:val="-4"/>
          <w:sz w:val="21"/>
          <w:szCs w:val="21"/>
          <w:highlight w:val="none"/>
        </w:rPr>
      </w:pPr>
      <w:r>
        <w:rPr>
          <w:rFonts w:hint="eastAsia" w:ascii="宋体" w:hAnsi="宋体" w:eastAsia="宋体"/>
          <w:b/>
          <w:bCs/>
          <w:color w:val="auto"/>
          <w:szCs w:val="21"/>
          <w:highlight w:val="none"/>
        </w:rPr>
        <w:t>24.2</w:t>
      </w:r>
      <w:r>
        <w:rPr>
          <w:rFonts w:ascii="宋体" w:hAnsi="宋体" w:eastAsia="宋体" w:cs="宋体"/>
          <w:b/>
          <w:bCs/>
          <w:color w:val="auto"/>
          <w:spacing w:val="-8"/>
          <w:sz w:val="21"/>
          <w:szCs w:val="21"/>
          <w:highlight w:val="none"/>
        </w:rPr>
        <w:t>开标</w:t>
      </w:r>
      <w:r>
        <w:rPr>
          <w:rFonts w:ascii="宋体" w:hAnsi="宋体" w:eastAsia="宋体" w:cs="宋体"/>
          <w:b/>
          <w:bCs/>
          <w:color w:val="auto"/>
          <w:spacing w:val="-6"/>
          <w:sz w:val="21"/>
          <w:szCs w:val="21"/>
          <w:highlight w:val="none"/>
        </w:rPr>
        <w:t>时</w:t>
      </w:r>
      <w:r>
        <w:rPr>
          <w:rFonts w:ascii="宋体" w:hAnsi="宋体" w:eastAsia="宋体" w:cs="宋体"/>
          <w:b/>
          <w:bCs/>
          <w:color w:val="auto"/>
          <w:spacing w:val="-4"/>
          <w:sz w:val="21"/>
          <w:szCs w:val="21"/>
          <w:highlight w:val="none"/>
        </w:rPr>
        <w:t>， 出现下列情形之一的，采购代理机构不予受理，不得进入评标：</w:t>
      </w:r>
    </w:p>
    <w:p w14:paraId="6E46808A">
      <w:pPr>
        <w:numPr>
          <w:ilvl w:val="0"/>
          <w:numId w:val="4"/>
        </w:numPr>
        <w:spacing w:before="207" w:line="217" w:lineRule="auto"/>
        <w:ind w:left="465"/>
        <w:rPr>
          <w:rFonts w:ascii="宋体" w:hAnsi="宋体" w:eastAsia="宋体" w:cs="宋体"/>
          <w:color w:val="auto"/>
          <w:spacing w:val="5"/>
          <w:sz w:val="21"/>
          <w:szCs w:val="21"/>
          <w:highlight w:val="none"/>
        </w:rPr>
      </w:pPr>
      <w:r>
        <w:rPr>
          <w:rFonts w:ascii="宋体" w:hAnsi="宋体" w:eastAsia="宋体" w:cs="宋体"/>
          <w:color w:val="auto"/>
          <w:spacing w:val="9"/>
          <w:sz w:val="21"/>
          <w:szCs w:val="21"/>
          <w:highlight w:val="none"/>
        </w:rPr>
        <w:t>经检查数字证书无效的电子投标文件</w:t>
      </w:r>
      <w:r>
        <w:rPr>
          <w:rFonts w:ascii="宋体" w:hAnsi="宋体" w:eastAsia="宋体" w:cs="宋体"/>
          <w:color w:val="auto"/>
          <w:spacing w:val="5"/>
          <w:sz w:val="21"/>
          <w:szCs w:val="21"/>
          <w:highlight w:val="none"/>
        </w:rPr>
        <w:t>；</w:t>
      </w:r>
    </w:p>
    <w:p w14:paraId="1998C5E7">
      <w:pPr>
        <w:numPr>
          <w:ilvl w:val="0"/>
          <w:numId w:val="4"/>
        </w:numPr>
        <w:spacing w:before="68" w:line="221" w:lineRule="auto"/>
        <w:ind w:left="465" w:leftChars="0" w:firstLine="0" w:firstLineChars="0"/>
        <w:rPr>
          <w:rFonts w:ascii="宋体" w:hAnsi="宋体" w:eastAsia="宋体" w:cs="宋体"/>
          <w:color w:val="auto"/>
          <w:spacing w:val="9"/>
          <w:sz w:val="21"/>
          <w:szCs w:val="21"/>
          <w:highlight w:val="none"/>
        </w:rPr>
      </w:pPr>
      <w:r>
        <w:rPr>
          <w:rFonts w:ascii="宋体" w:hAnsi="宋体" w:eastAsia="宋体" w:cs="宋体"/>
          <w:color w:val="auto"/>
          <w:spacing w:val="9"/>
          <w:sz w:val="21"/>
          <w:szCs w:val="21"/>
          <w:highlight w:val="none"/>
        </w:rPr>
        <w:t>电子投标文件未按要求上传至交易平台的；</w:t>
      </w:r>
    </w:p>
    <w:p w14:paraId="24BA72EB">
      <w:pPr>
        <w:numPr>
          <w:ilvl w:val="0"/>
          <w:numId w:val="4"/>
        </w:numPr>
        <w:spacing w:before="68" w:line="221" w:lineRule="auto"/>
        <w:ind w:left="465" w:leftChars="0" w:firstLine="0" w:firstLineChars="0"/>
        <w:rPr>
          <w:rFonts w:ascii="宋体" w:hAnsi="宋体" w:eastAsia="宋体" w:cs="宋体"/>
          <w:color w:val="auto"/>
          <w:spacing w:val="8"/>
          <w:sz w:val="21"/>
          <w:szCs w:val="21"/>
          <w:highlight w:val="none"/>
        </w:rPr>
      </w:pPr>
      <w:r>
        <w:rPr>
          <w:rFonts w:ascii="宋体" w:hAnsi="宋体" w:eastAsia="宋体" w:cs="宋体"/>
          <w:color w:val="auto"/>
          <w:spacing w:val="8"/>
          <w:sz w:val="21"/>
          <w:szCs w:val="21"/>
          <w:highlight w:val="none"/>
        </w:rPr>
        <w:t>投标人未按照规定的时间解密电子投标文件的；</w:t>
      </w:r>
    </w:p>
    <w:p w14:paraId="01759441">
      <w:pPr>
        <w:numPr>
          <w:ilvl w:val="0"/>
          <w:numId w:val="0"/>
        </w:numPr>
        <w:spacing w:before="68" w:line="221" w:lineRule="auto"/>
        <w:ind w:left="465" w:leftChars="0"/>
        <w:rPr>
          <w:rFonts w:ascii="宋体" w:hAnsi="宋体" w:eastAsia="宋体" w:cs="宋体"/>
          <w:color w:val="auto"/>
          <w:sz w:val="21"/>
          <w:szCs w:val="21"/>
          <w:highlight w:val="none"/>
        </w:rPr>
      </w:pPr>
      <w:r>
        <w:rPr>
          <w:rFonts w:ascii="宋体" w:hAnsi="宋体" w:eastAsia="宋体" w:cs="宋体"/>
          <w:color w:val="auto"/>
          <w:spacing w:val="20"/>
          <w:sz w:val="21"/>
          <w:szCs w:val="21"/>
          <w:highlight w:val="none"/>
        </w:rPr>
        <w:t>(</w:t>
      </w:r>
      <w:r>
        <w:rPr>
          <w:rFonts w:ascii="宋体" w:hAnsi="宋体" w:eastAsia="宋体" w:cs="宋体"/>
          <w:color w:val="auto"/>
          <w:spacing w:val="11"/>
          <w:sz w:val="21"/>
          <w:szCs w:val="21"/>
          <w:highlight w:val="none"/>
        </w:rPr>
        <w:t>4)其它违反法律、法规的情形。</w:t>
      </w:r>
    </w:p>
    <w:p w14:paraId="61DE24D9">
      <w:pPr>
        <w:pStyle w:val="10"/>
        <w:rPr>
          <w:b/>
          <w:bCs/>
          <w:color w:val="auto"/>
          <w:highlight w:val="none"/>
        </w:rPr>
      </w:pPr>
    </w:p>
    <w:p w14:paraId="31C245E7">
      <w:pPr>
        <w:spacing w:before="68" w:line="220" w:lineRule="auto"/>
        <w:ind w:left="465"/>
        <w:rPr>
          <w:rFonts w:ascii="宋体" w:hAnsi="宋体" w:eastAsia="宋体" w:cs="宋体"/>
          <w:b/>
          <w:bCs/>
          <w:color w:val="auto"/>
          <w:spacing w:val="-5"/>
          <w:sz w:val="21"/>
          <w:szCs w:val="21"/>
          <w:highlight w:val="none"/>
        </w:rPr>
      </w:pPr>
      <w:r>
        <w:rPr>
          <w:rFonts w:hint="eastAsia" w:ascii="宋体" w:hAnsi="宋体" w:eastAsia="宋体"/>
          <w:b/>
          <w:bCs/>
          <w:color w:val="auto"/>
          <w:szCs w:val="21"/>
          <w:highlight w:val="none"/>
        </w:rPr>
        <w:t>24.3</w:t>
      </w:r>
      <w:r>
        <w:rPr>
          <w:rFonts w:ascii="宋体" w:hAnsi="宋体" w:eastAsia="宋体" w:cs="宋体"/>
          <w:b/>
          <w:bCs/>
          <w:color w:val="auto"/>
          <w:spacing w:val="-5"/>
          <w:sz w:val="21"/>
          <w:szCs w:val="21"/>
          <w:highlight w:val="none"/>
        </w:rPr>
        <w:t>开标程序。采购代理机构在规定的时间内， 按下列程序进行开标：</w:t>
      </w:r>
    </w:p>
    <w:p w14:paraId="7B65DD7A">
      <w:pPr>
        <w:spacing w:before="68" w:line="220" w:lineRule="auto"/>
        <w:ind w:left="465"/>
        <w:rPr>
          <w:rFonts w:ascii="宋体" w:hAnsi="宋体" w:eastAsia="宋体" w:cs="宋体"/>
          <w:color w:val="auto"/>
          <w:sz w:val="21"/>
          <w:szCs w:val="21"/>
          <w:highlight w:val="none"/>
        </w:rPr>
      </w:pPr>
      <w:r>
        <w:rPr>
          <w:rFonts w:ascii="宋体" w:hAnsi="宋体" w:eastAsia="宋体" w:cs="宋体"/>
          <w:color w:val="auto"/>
          <w:spacing w:val="22"/>
          <w:sz w:val="21"/>
          <w:szCs w:val="21"/>
          <w:highlight w:val="none"/>
        </w:rPr>
        <w:t>(</w:t>
      </w:r>
      <w:r>
        <w:rPr>
          <w:rFonts w:ascii="宋体" w:hAnsi="宋体" w:eastAsia="宋体" w:cs="宋体"/>
          <w:color w:val="auto"/>
          <w:spacing w:val="18"/>
          <w:sz w:val="21"/>
          <w:szCs w:val="21"/>
          <w:highlight w:val="none"/>
        </w:rPr>
        <w:t>1)公布投标人名称；</w:t>
      </w:r>
    </w:p>
    <w:p w14:paraId="7A280100">
      <w:pPr>
        <w:spacing w:line="294" w:lineRule="auto"/>
        <w:rPr>
          <w:rFonts w:ascii="Arial"/>
          <w:color w:val="auto"/>
          <w:sz w:val="21"/>
          <w:highlight w:val="none"/>
        </w:rPr>
      </w:pPr>
    </w:p>
    <w:p w14:paraId="649D0499">
      <w:pPr>
        <w:spacing w:before="68" w:line="221" w:lineRule="auto"/>
        <w:ind w:left="465"/>
        <w:rPr>
          <w:rFonts w:ascii="宋体" w:hAnsi="宋体" w:eastAsia="宋体" w:cs="宋体"/>
          <w:color w:val="auto"/>
          <w:sz w:val="21"/>
          <w:szCs w:val="21"/>
          <w:highlight w:val="none"/>
        </w:rPr>
      </w:pPr>
      <w:r>
        <w:rPr>
          <w:rFonts w:ascii="宋体" w:hAnsi="宋体" w:eastAsia="宋体" w:cs="宋体"/>
          <w:color w:val="auto"/>
          <w:spacing w:val="20"/>
          <w:sz w:val="21"/>
          <w:szCs w:val="21"/>
          <w:highlight w:val="none"/>
        </w:rPr>
        <w:t>(</w:t>
      </w:r>
      <w:r>
        <w:rPr>
          <w:rFonts w:ascii="宋体" w:hAnsi="宋体" w:eastAsia="宋体" w:cs="宋体"/>
          <w:color w:val="auto"/>
          <w:spacing w:val="13"/>
          <w:sz w:val="21"/>
          <w:szCs w:val="21"/>
          <w:highlight w:val="none"/>
        </w:rPr>
        <w:t>2)检查投标保证金缴纳情况；</w:t>
      </w:r>
    </w:p>
    <w:p w14:paraId="008FA306">
      <w:pPr>
        <w:spacing w:before="224" w:line="221" w:lineRule="auto"/>
        <w:ind w:left="465"/>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(3)解密投标文件</w:t>
      </w:r>
      <w:r>
        <w:rPr>
          <w:rFonts w:ascii="宋体" w:hAnsi="宋体" w:eastAsia="宋体" w:cs="宋体"/>
          <w:color w:val="auto"/>
          <w:sz w:val="21"/>
          <w:szCs w:val="21"/>
          <w:highlight w:val="none"/>
        </w:rPr>
        <w:t xml:space="preserve">： 从投标截止时间起 </w:t>
      </w:r>
      <w:r>
        <w:rPr>
          <w:rFonts w:hint="eastAsia" w:ascii="宋体" w:hAnsi="宋体" w:cs="宋体"/>
          <w:color w:val="auto"/>
          <w:sz w:val="21"/>
          <w:szCs w:val="21"/>
          <w:highlight w:val="none"/>
          <w:lang w:val="en-US" w:eastAsia="zh-CN"/>
        </w:rPr>
        <w:t>30</w:t>
      </w:r>
      <w:r>
        <w:rPr>
          <w:rFonts w:ascii="宋体" w:hAnsi="宋体" w:eastAsia="宋体" w:cs="宋体"/>
          <w:color w:val="auto"/>
          <w:sz w:val="21"/>
          <w:szCs w:val="21"/>
          <w:highlight w:val="none"/>
        </w:rPr>
        <w:t xml:space="preserve"> 分钟内完成。由于投标人自身原因导致投标文件在</w:t>
      </w:r>
    </w:p>
    <w:p w14:paraId="6E7CF495">
      <w:pPr>
        <w:spacing w:before="65" w:line="296" w:lineRule="auto"/>
        <w:ind w:left="37" w:right="75" w:hanging="1"/>
        <w:rPr>
          <w:rFonts w:ascii="宋体" w:hAnsi="宋体" w:eastAsia="宋体" w:cs="宋体"/>
          <w:color w:val="auto"/>
          <w:sz w:val="21"/>
          <w:szCs w:val="21"/>
          <w:highlight w:val="none"/>
        </w:rPr>
      </w:pPr>
      <w:r>
        <w:rPr>
          <w:rFonts w:ascii="宋体" w:hAnsi="宋体" w:eastAsia="宋体" w:cs="宋体"/>
          <w:color w:val="auto"/>
          <w:spacing w:val="-4"/>
          <w:sz w:val="21"/>
          <w:szCs w:val="21"/>
          <w:highlight w:val="none"/>
        </w:rPr>
        <w:t>解密时限内未解密或解密失</w:t>
      </w:r>
      <w:r>
        <w:rPr>
          <w:rFonts w:ascii="宋体" w:hAnsi="宋体" w:eastAsia="宋体" w:cs="宋体"/>
          <w:color w:val="auto"/>
          <w:spacing w:val="-3"/>
          <w:sz w:val="21"/>
          <w:szCs w:val="21"/>
          <w:highlight w:val="none"/>
        </w:rPr>
        <w:t>败</w:t>
      </w:r>
      <w:r>
        <w:rPr>
          <w:rFonts w:ascii="宋体" w:hAnsi="宋体" w:eastAsia="宋体" w:cs="宋体"/>
          <w:color w:val="auto"/>
          <w:spacing w:val="-2"/>
          <w:sz w:val="21"/>
          <w:szCs w:val="21"/>
          <w:highlight w:val="none"/>
        </w:rPr>
        <w:t>的，视为撤销其投标文件，开标继续进行。投标人不足 3 家的，不得</w:t>
      </w:r>
      <w:r>
        <w:rPr>
          <w:rFonts w:ascii="宋体" w:hAnsi="宋体" w:eastAsia="宋体" w:cs="宋体"/>
          <w:color w:val="auto"/>
          <w:spacing w:val="-9"/>
          <w:sz w:val="21"/>
          <w:szCs w:val="21"/>
          <w:highlight w:val="none"/>
        </w:rPr>
        <w:t>开</w:t>
      </w:r>
      <w:r>
        <w:rPr>
          <w:rFonts w:ascii="宋体" w:hAnsi="宋体" w:eastAsia="宋体" w:cs="宋体"/>
          <w:color w:val="auto"/>
          <w:spacing w:val="-8"/>
          <w:sz w:val="21"/>
          <w:szCs w:val="21"/>
          <w:highlight w:val="none"/>
        </w:rPr>
        <w:t>标。</w:t>
      </w:r>
    </w:p>
    <w:p w14:paraId="40AC2B24">
      <w:pPr>
        <w:spacing w:before="125" w:line="221" w:lineRule="auto"/>
        <w:ind w:left="465"/>
        <w:rPr>
          <w:rFonts w:ascii="宋体" w:hAnsi="宋体" w:eastAsia="宋体" w:cs="宋体"/>
          <w:color w:val="auto"/>
          <w:sz w:val="21"/>
          <w:szCs w:val="21"/>
          <w:highlight w:val="none"/>
        </w:rPr>
      </w:pPr>
      <w:r>
        <w:rPr>
          <w:rFonts w:ascii="宋体" w:hAnsi="宋体" w:eastAsia="宋体" w:cs="宋体"/>
          <w:color w:val="auto"/>
          <w:spacing w:val="27"/>
          <w:sz w:val="21"/>
          <w:szCs w:val="21"/>
          <w:highlight w:val="none"/>
        </w:rPr>
        <w:t>(</w:t>
      </w:r>
      <w:r>
        <w:rPr>
          <w:rFonts w:ascii="宋体" w:hAnsi="宋体" w:eastAsia="宋体" w:cs="宋体"/>
          <w:color w:val="auto"/>
          <w:spacing w:val="25"/>
          <w:sz w:val="21"/>
          <w:szCs w:val="21"/>
          <w:highlight w:val="none"/>
        </w:rPr>
        <w:t>4)唱标；</w:t>
      </w:r>
    </w:p>
    <w:p w14:paraId="7B2CB287">
      <w:pPr>
        <w:spacing w:before="229" w:line="221" w:lineRule="auto"/>
        <w:ind w:left="465"/>
        <w:rPr>
          <w:rFonts w:ascii="宋体" w:hAnsi="宋体" w:eastAsia="宋体" w:cs="宋体"/>
          <w:color w:val="auto"/>
          <w:sz w:val="21"/>
          <w:szCs w:val="21"/>
          <w:highlight w:val="none"/>
        </w:rPr>
      </w:pPr>
      <w:r>
        <w:rPr>
          <w:rFonts w:ascii="宋体" w:hAnsi="宋体" w:eastAsia="宋体" w:cs="宋体"/>
          <w:color w:val="auto"/>
          <w:spacing w:val="12"/>
          <w:sz w:val="21"/>
          <w:szCs w:val="21"/>
          <w:highlight w:val="none"/>
        </w:rPr>
        <w:t>(</w:t>
      </w:r>
      <w:r>
        <w:rPr>
          <w:rFonts w:ascii="宋体" w:hAnsi="宋体" w:eastAsia="宋体" w:cs="宋体"/>
          <w:color w:val="auto"/>
          <w:spacing w:val="9"/>
          <w:sz w:val="21"/>
          <w:szCs w:val="21"/>
          <w:highlight w:val="none"/>
        </w:rPr>
        <w:t>5)投标人通过电子开标系统在开标记录上确认</w:t>
      </w:r>
    </w:p>
    <w:p w14:paraId="2D481BAC">
      <w:pPr>
        <w:spacing w:before="175" w:line="220" w:lineRule="auto"/>
        <w:ind w:left="461"/>
        <w:rPr>
          <w:rFonts w:ascii="宋体" w:hAnsi="宋体" w:eastAsia="宋体" w:cs="宋体"/>
          <w:b/>
          <w:bCs/>
          <w:color w:val="auto"/>
          <w:sz w:val="21"/>
          <w:szCs w:val="21"/>
          <w:highlight w:val="none"/>
        </w:rPr>
      </w:pPr>
      <w:r>
        <w:rPr>
          <w:rFonts w:ascii="宋体" w:hAnsi="宋体" w:eastAsia="宋体" w:cs="宋体"/>
          <w:color w:val="auto"/>
          <w:spacing w:val="-8"/>
          <w:sz w:val="21"/>
          <w:szCs w:val="21"/>
          <w:highlight w:val="none"/>
        </w:rPr>
        <w:t>2</w:t>
      </w:r>
      <w:r>
        <w:rPr>
          <w:rFonts w:ascii="宋体" w:hAnsi="宋体" w:eastAsia="宋体" w:cs="宋体"/>
          <w:color w:val="auto"/>
          <w:spacing w:val="-6"/>
          <w:sz w:val="21"/>
          <w:szCs w:val="21"/>
          <w:highlight w:val="none"/>
        </w:rPr>
        <w:t xml:space="preserve">4.4 开标时， 通过电子开标系统解密投标文件，宣读投标人名称、投标价格和 </w:t>
      </w:r>
      <w:r>
        <w:rPr>
          <w:rFonts w:ascii="宋体" w:hAnsi="宋体" w:eastAsia="宋体" w:cs="宋体"/>
          <w:b/>
          <w:bCs/>
          <w:color w:val="auto"/>
          <w:spacing w:val="-6"/>
          <w:sz w:val="21"/>
          <w:szCs w:val="21"/>
          <w:highlight w:val="none"/>
        </w:rPr>
        <w:t>【投标须知前附</w:t>
      </w:r>
    </w:p>
    <w:p w14:paraId="507B59A4">
      <w:pPr>
        <w:adjustRightInd w:val="0"/>
        <w:snapToGrid w:val="0"/>
        <w:spacing w:before="156" w:beforeLines="50" w:line="360" w:lineRule="auto"/>
        <w:ind w:firstLine="366" w:firstLineChars="200"/>
        <w:jc w:val="left"/>
        <w:rPr>
          <w:rFonts w:ascii="宋体" w:hAnsi="宋体" w:eastAsia="宋体"/>
          <w:b/>
          <w:bCs/>
          <w:color w:val="auto"/>
          <w:szCs w:val="21"/>
          <w:highlight w:val="none"/>
        </w:rPr>
      </w:pPr>
      <w:r>
        <w:rPr>
          <w:rFonts w:ascii="宋体" w:hAnsi="宋体" w:eastAsia="宋体" w:cs="宋体"/>
          <w:b/>
          <w:bCs/>
          <w:color w:val="auto"/>
          <w:spacing w:val="-14"/>
          <w:sz w:val="21"/>
          <w:szCs w:val="21"/>
          <w:highlight w:val="none"/>
        </w:rPr>
        <w:t>表】</w:t>
      </w:r>
      <w:r>
        <w:rPr>
          <w:rFonts w:ascii="宋体" w:hAnsi="宋体" w:eastAsia="宋体" w:cs="宋体"/>
          <w:color w:val="auto"/>
          <w:spacing w:val="-12"/>
          <w:sz w:val="21"/>
          <w:szCs w:val="21"/>
          <w:highlight w:val="none"/>
        </w:rPr>
        <w:t xml:space="preserve"> </w:t>
      </w:r>
      <w:r>
        <w:rPr>
          <w:rFonts w:ascii="宋体" w:hAnsi="宋体" w:eastAsia="宋体" w:cs="宋体"/>
          <w:color w:val="auto"/>
          <w:spacing w:val="-7"/>
          <w:sz w:val="21"/>
          <w:szCs w:val="21"/>
          <w:highlight w:val="none"/>
        </w:rPr>
        <w:t>规定需要宣布的其他内容。投标人不足 3 家的，不得开标。</w:t>
      </w:r>
    </w:p>
    <w:p w14:paraId="371C840A">
      <w:pPr>
        <w:spacing w:before="68" w:line="371" w:lineRule="auto"/>
        <w:ind w:left="38" w:right="27" w:firstLine="423"/>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24.5 开标过程应当由采购人、采购代理机构负责记录，由</w:t>
      </w:r>
      <w:r>
        <w:rPr>
          <w:rFonts w:ascii="宋体" w:hAnsi="宋体" w:eastAsia="宋体" w:cs="宋体"/>
          <w:color w:val="auto"/>
          <w:spacing w:val="-1"/>
          <w:sz w:val="21"/>
          <w:szCs w:val="21"/>
          <w:highlight w:val="none"/>
        </w:rPr>
        <w:t>参加开标的各投标人代表和相关工作</w:t>
      </w:r>
      <w:r>
        <w:rPr>
          <w:rFonts w:ascii="宋体" w:hAnsi="宋体" w:eastAsia="宋体" w:cs="宋体"/>
          <w:color w:val="auto"/>
          <w:sz w:val="21"/>
          <w:szCs w:val="21"/>
          <w:highlight w:val="none"/>
        </w:rPr>
        <w:t xml:space="preserve"> </w:t>
      </w:r>
      <w:r>
        <w:rPr>
          <w:rFonts w:ascii="宋体" w:hAnsi="宋体" w:eastAsia="宋体" w:cs="宋体"/>
          <w:color w:val="auto"/>
          <w:spacing w:val="-2"/>
          <w:sz w:val="21"/>
          <w:szCs w:val="21"/>
          <w:highlight w:val="none"/>
        </w:rPr>
        <w:t>人员签字确认后随采购文</w:t>
      </w:r>
      <w:r>
        <w:rPr>
          <w:rFonts w:ascii="宋体" w:hAnsi="宋体" w:eastAsia="宋体" w:cs="宋体"/>
          <w:color w:val="auto"/>
          <w:spacing w:val="-1"/>
          <w:sz w:val="21"/>
          <w:szCs w:val="21"/>
          <w:highlight w:val="none"/>
        </w:rPr>
        <w:t>件一并存档。</w:t>
      </w:r>
    </w:p>
    <w:p w14:paraId="620C687F">
      <w:pPr>
        <w:spacing w:before="129" w:line="370" w:lineRule="auto"/>
        <w:ind w:left="37" w:right="27" w:firstLine="424"/>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24.6 投标人代表对开标过程和开标记录有疑义，以及认为</w:t>
      </w:r>
      <w:r>
        <w:rPr>
          <w:rFonts w:ascii="宋体" w:hAnsi="宋体" w:eastAsia="宋体" w:cs="宋体"/>
          <w:color w:val="auto"/>
          <w:spacing w:val="-1"/>
          <w:sz w:val="21"/>
          <w:szCs w:val="21"/>
          <w:highlight w:val="none"/>
        </w:rPr>
        <w:t>采购人、采购代理机构相关工作人员</w:t>
      </w:r>
      <w:r>
        <w:rPr>
          <w:rFonts w:ascii="宋体" w:hAnsi="宋体" w:eastAsia="宋体" w:cs="宋体"/>
          <w:color w:val="auto"/>
          <w:sz w:val="21"/>
          <w:szCs w:val="21"/>
          <w:highlight w:val="none"/>
        </w:rPr>
        <w:t xml:space="preserve"> </w:t>
      </w:r>
      <w:r>
        <w:rPr>
          <w:rFonts w:ascii="宋体" w:hAnsi="宋体" w:eastAsia="宋体" w:cs="宋体"/>
          <w:color w:val="auto"/>
          <w:spacing w:val="-1"/>
          <w:sz w:val="21"/>
          <w:szCs w:val="21"/>
          <w:highlight w:val="none"/>
        </w:rPr>
        <w:t>有《政府采</w:t>
      </w:r>
      <w:r>
        <w:rPr>
          <w:rFonts w:ascii="宋体" w:hAnsi="宋体" w:eastAsia="宋体" w:cs="宋体"/>
          <w:color w:val="auto"/>
          <w:sz w:val="21"/>
          <w:szCs w:val="21"/>
          <w:highlight w:val="none"/>
        </w:rPr>
        <w:t>购法实施条例》第九条第一款需要回避的情形的，应当场提出询问或者回避申请。</w:t>
      </w:r>
    </w:p>
    <w:p w14:paraId="5E78137F">
      <w:pPr>
        <w:spacing w:before="68" w:line="371" w:lineRule="auto"/>
        <w:ind w:left="38" w:right="27" w:firstLine="423"/>
        <w:rPr>
          <w:rFonts w:ascii="宋体" w:hAnsi="宋体" w:eastAsia="宋体" w:cs="宋体"/>
          <w:color w:val="auto"/>
          <w:spacing w:val="-2"/>
          <w:sz w:val="21"/>
          <w:szCs w:val="21"/>
          <w:highlight w:val="none"/>
        </w:rPr>
      </w:pPr>
      <w:r>
        <w:rPr>
          <w:rFonts w:ascii="宋体" w:hAnsi="宋体" w:eastAsia="宋体" w:cs="宋体"/>
          <w:color w:val="auto"/>
          <w:spacing w:val="-2"/>
          <w:sz w:val="21"/>
          <w:szCs w:val="21"/>
          <w:highlight w:val="none"/>
        </w:rPr>
        <w:t>24.7 采购人、采购代理机构对投标人代表当场提出的询问或者回避申请， 按《政府采购法实施条例》有关规定及时处理。</w:t>
      </w:r>
    </w:p>
    <w:p w14:paraId="6BC365B6">
      <w:pPr>
        <w:spacing w:before="68" w:line="371" w:lineRule="auto"/>
        <w:ind w:left="38" w:right="27" w:firstLine="423"/>
        <w:rPr>
          <w:rFonts w:ascii="宋体" w:hAnsi="宋体" w:eastAsia="宋体" w:cs="宋体"/>
          <w:b/>
          <w:bCs/>
          <w:color w:val="auto"/>
          <w:spacing w:val="-2"/>
          <w:sz w:val="21"/>
          <w:szCs w:val="21"/>
          <w:highlight w:val="none"/>
        </w:rPr>
      </w:pPr>
      <w:r>
        <w:rPr>
          <w:rFonts w:ascii="宋体" w:hAnsi="宋体" w:eastAsia="宋体" w:cs="宋体"/>
          <w:b/>
          <w:bCs/>
          <w:color w:val="auto"/>
          <w:spacing w:val="-2"/>
          <w:sz w:val="21"/>
          <w:szCs w:val="21"/>
          <w:highlight w:val="none"/>
        </w:rPr>
        <w:t>24.8 电子招投标的应急措施</w:t>
      </w:r>
    </w:p>
    <w:p w14:paraId="592C4960">
      <w:pPr>
        <w:spacing w:before="68" w:line="371" w:lineRule="auto"/>
        <w:ind w:left="38" w:right="27" w:firstLine="423"/>
        <w:rPr>
          <w:rFonts w:hint="eastAsia" w:ascii="宋体" w:hAnsi="宋体" w:eastAsia="宋体" w:cs="宋体"/>
          <w:color w:val="auto"/>
          <w:sz w:val="21"/>
          <w:szCs w:val="21"/>
          <w:highlight w:val="none"/>
          <w:lang w:val="en-US" w:eastAsia="zh-CN"/>
        </w:rPr>
      </w:pPr>
      <w:r>
        <w:rPr>
          <w:rFonts w:ascii="宋体" w:hAnsi="宋体" w:eastAsia="宋体" w:cs="宋体"/>
          <w:color w:val="auto"/>
          <w:spacing w:val="-2"/>
          <w:sz w:val="21"/>
          <w:szCs w:val="21"/>
          <w:highlight w:val="none"/>
        </w:rPr>
        <w:t>电</w:t>
      </w:r>
      <w:r>
        <w:rPr>
          <w:rFonts w:ascii="宋体" w:hAnsi="宋体" w:eastAsia="宋体" w:cs="宋体"/>
          <w:color w:val="auto"/>
          <w:spacing w:val="1"/>
          <w:sz w:val="21"/>
          <w:szCs w:val="21"/>
          <w:highlight w:val="none"/>
        </w:rPr>
        <w:t>子开标、</w:t>
      </w:r>
      <w:r>
        <w:rPr>
          <w:rFonts w:ascii="宋体" w:hAnsi="宋体" w:eastAsia="宋体" w:cs="宋体"/>
          <w:color w:val="auto"/>
          <w:sz w:val="21"/>
          <w:szCs w:val="21"/>
          <w:highlight w:val="none"/>
        </w:rPr>
        <w:t>评标如出现下列情形，导致系统无法正常运行时，按交易中心应急预案措施执行</w:t>
      </w:r>
      <w:r>
        <w:rPr>
          <w:rFonts w:hint="eastAsia" w:ascii="宋体" w:hAnsi="宋体" w:eastAsia="宋体" w:cs="宋体"/>
          <w:color w:val="auto"/>
          <w:sz w:val="21"/>
          <w:szCs w:val="21"/>
          <w:highlight w:val="none"/>
          <w:lang w:val="en-US" w:eastAsia="zh-CN"/>
        </w:rPr>
        <w:t xml:space="preserve"> :</w:t>
      </w:r>
    </w:p>
    <w:p w14:paraId="2C2AAD4A">
      <w:pPr>
        <w:spacing w:before="147" w:line="221" w:lineRule="auto"/>
        <w:ind w:left="465"/>
        <w:rPr>
          <w:rFonts w:ascii="宋体" w:hAnsi="宋体" w:eastAsia="宋体" w:cs="宋体"/>
          <w:color w:val="auto"/>
          <w:spacing w:val="11"/>
          <w:sz w:val="21"/>
          <w:szCs w:val="21"/>
          <w:highlight w:val="none"/>
        </w:rPr>
      </w:pPr>
      <w:r>
        <w:rPr>
          <w:rFonts w:ascii="宋体" w:hAnsi="宋体" w:eastAsia="宋体" w:cs="宋体"/>
          <w:color w:val="auto"/>
          <w:spacing w:val="11"/>
          <w:sz w:val="21"/>
          <w:szCs w:val="21"/>
          <w:highlight w:val="none"/>
        </w:rPr>
        <w:t>(1)系统服务器发生故障，无法访问或无法使用系统；</w:t>
      </w:r>
    </w:p>
    <w:p w14:paraId="4589C5B5">
      <w:pPr>
        <w:spacing w:before="147" w:line="221" w:lineRule="auto"/>
        <w:ind w:left="465"/>
        <w:rPr>
          <w:rFonts w:ascii="宋体" w:hAnsi="宋体" w:eastAsia="宋体" w:cs="宋体"/>
          <w:color w:val="auto"/>
          <w:spacing w:val="11"/>
          <w:sz w:val="21"/>
          <w:szCs w:val="21"/>
          <w:highlight w:val="none"/>
        </w:rPr>
      </w:pPr>
      <w:r>
        <w:rPr>
          <w:rFonts w:ascii="宋体" w:hAnsi="宋体" w:eastAsia="宋体" w:cs="宋体"/>
          <w:color w:val="auto"/>
          <w:spacing w:val="11"/>
          <w:sz w:val="21"/>
          <w:szCs w:val="21"/>
          <w:highlight w:val="none"/>
        </w:rPr>
        <w:t>(2)系统的软件或数据库出现错误，不能进行正常操作；</w:t>
      </w:r>
    </w:p>
    <w:p w14:paraId="5D528754">
      <w:pPr>
        <w:spacing w:before="147" w:line="221" w:lineRule="auto"/>
        <w:ind w:left="465"/>
        <w:rPr>
          <w:rFonts w:ascii="宋体" w:hAnsi="宋体" w:eastAsia="宋体" w:cs="宋体"/>
          <w:color w:val="auto"/>
          <w:sz w:val="21"/>
          <w:szCs w:val="21"/>
          <w:highlight w:val="none"/>
        </w:rPr>
      </w:pPr>
      <w:r>
        <w:rPr>
          <w:rFonts w:ascii="宋体" w:hAnsi="宋体" w:eastAsia="宋体" w:cs="宋体"/>
          <w:color w:val="auto"/>
          <w:spacing w:val="11"/>
          <w:sz w:val="21"/>
          <w:szCs w:val="21"/>
          <w:highlight w:val="none"/>
        </w:rPr>
        <w:t>(3)系统发现有安全漏洞，有潜在的泄密危险；</w:t>
      </w:r>
    </w:p>
    <w:p w14:paraId="682ABDE2">
      <w:pPr>
        <w:spacing w:before="147" w:line="221" w:lineRule="auto"/>
        <w:ind w:left="465"/>
        <w:rPr>
          <w:rFonts w:ascii="宋体" w:hAnsi="宋体" w:eastAsia="宋体" w:cs="宋体"/>
          <w:color w:val="auto"/>
          <w:sz w:val="21"/>
          <w:szCs w:val="21"/>
          <w:highlight w:val="none"/>
        </w:rPr>
      </w:pPr>
      <w:r>
        <w:rPr>
          <w:rFonts w:ascii="宋体" w:hAnsi="宋体" w:eastAsia="宋体" w:cs="宋体"/>
          <w:color w:val="auto"/>
          <w:spacing w:val="11"/>
          <w:sz w:val="21"/>
          <w:szCs w:val="21"/>
          <w:highlight w:val="none"/>
        </w:rPr>
        <w:t>(</w:t>
      </w:r>
      <w:r>
        <w:rPr>
          <w:rFonts w:ascii="宋体" w:hAnsi="宋体" w:eastAsia="宋体" w:cs="宋体"/>
          <w:color w:val="auto"/>
          <w:spacing w:val="9"/>
          <w:sz w:val="21"/>
          <w:szCs w:val="21"/>
          <w:highlight w:val="none"/>
        </w:rPr>
        <w:t>4)病毒发作或受到外来病毒的攻击；</w:t>
      </w:r>
    </w:p>
    <w:p w14:paraId="48D4EB38">
      <w:pPr>
        <w:spacing w:before="153" w:line="218" w:lineRule="auto"/>
        <w:ind w:left="465"/>
        <w:rPr>
          <w:rFonts w:ascii="宋体" w:hAnsi="宋体" w:eastAsia="宋体" w:cs="宋体"/>
          <w:color w:val="auto"/>
          <w:sz w:val="21"/>
          <w:szCs w:val="21"/>
          <w:highlight w:val="none"/>
        </w:rPr>
      </w:pPr>
      <w:r>
        <w:rPr>
          <w:rFonts w:ascii="宋体" w:hAnsi="宋体" w:eastAsia="宋体" w:cs="宋体"/>
          <w:color w:val="auto"/>
          <w:spacing w:val="24"/>
          <w:sz w:val="21"/>
          <w:szCs w:val="21"/>
          <w:highlight w:val="none"/>
        </w:rPr>
        <w:t>(</w:t>
      </w:r>
      <w:r>
        <w:rPr>
          <w:rFonts w:ascii="宋体" w:hAnsi="宋体" w:eastAsia="宋体" w:cs="宋体"/>
          <w:color w:val="auto"/>
          <w:spacing w:val="17"/>
          <w:sz w:val="21"/>
          <w:szCs w:val="21"/>
          <w:highlight w:val="none"/>
        </w:rPr>
        <w:t>5)其他特殊情况。</w:t>
      </w:r>
    </w:p>
    <w:p w14:paraId="78A64031">
      <w:pPr>
        <w:spacing w:before="149" w:line="359" w:lineRule="auto"/>
        <w:ind w:left="35" w:right="27" w:firstLine="442"/>
        <w:rPr>
          <w:rFonts w:ascii="宋体" w:hAnsi="宋体" w:eastAsia="宋体" w:cs="宋体"/>
          <w:color w:val="auto"/>
          <w:spacing w:val="-2"/>
          <w:sz w:val="21"/>
          <w:szCs w:val="21"/>
          <w:highlight w:val="none"/>
        </w:rPr>
      </w:pPr>
      <w:r>
        <w:rPr>
          <w:rFonts w:ascii="宋体" w:hAnsi="宋体" w:eastAsia="宋体" w:cs="宋体"/>
          <w:b/>
          <w:bCs/>
          <w:color w:val="auto"/>
          <w:spacing w:val="1"/>
          <w:sz w:val="21"/>
          <w:szCs w:val="21"/>
          <w:highlight w:val="none"/>
        </w:rPr>
        <w:t>出现上述情况之一时，经交易中心相关</w:t>
      </w:r>
      <w:r>
        <w:rPr>
          <w:rFonts w:ascii="宋体" w:hAnsi="宋体" w:eastAsia="宋体" w:cs="宋体"/>
          <w:b/>
          <w:bCs/>
          <w:color w:val="auto"/>
          <w:sz w:val="21"/>
          <w:szCs w:val="21"/>
          <w:highlight w:val="none"/>
        </w:rPr>
        <w:t xml:space="preserve">部门确认：对未开标的暂停开标或作延期开标处理，待 </w:t>
      </w:r>
      <w:r>
        <w:rPr>
          <w:rFonts w:ascii="宋体" w:hAnsi="宋体" w:eastAsia="宋体" w:cs="宋体"/>
          <w:b/>
          <w:bCs/>
          <w:color w:val="auto"/>
          <w:spacing w:val="1"/>
          <w:sz w:val="21"/>
          <w:szCs w:val="21"/>
          <w:highlight w:val="none"/>
        </w:rPr>
        <w:t>系统恢复后再进行开标活动；已在系统内评标的，评标委员会酌情延期进行评审，待系统恢</w:t>
      </w:r>
      <w:r>
        <w:rPr>
          <w:rFonts w:ascii="宋体" w:hAnsi="宋体" w:eastAsia="宋体" w:cs="宋体"/>
          <w:b/>
          <w:bCs/>
          <w:color w:val="auto"/>
          <w:sz w:val="21"/>
          <w:szCs w:val="21"/>
          <w:highlight w:val="none"/>
        </w:rPr>
        <w:t xml:space="preserve">复后再 </w:t>
      </w:r>
      <w:r>
        <w:rPr>
          <w:rFonts w:ascii="宋体" w:hAnsi="宋体" w:eastAsia="宋体" w:cs="宋体"/>
          <w:b/>
          <w:bCs/>
          <w:color w:val="auto"/>
          <w:spacing w:val="-6"/>
          <w:sz w:val="21"/>
          <w:szCs w:val="21"/>
          <w:highlight w:val="none"/>
        </w:rPr>
        <w:t>进</w:t>
      </w:r>
      <w:r>
        <w:rPr>
          <w:rFonts w:ascii="宋体" w:hAnsi="宋体" w:eastAsia="宋体" w:cs="宋体"/>
          <w:b/>
          <w:bCs/>
          <w:color w:val="auto"/>
          <w:spacing w:val="-5"/>
          <w:sz w:val="21"/>
          <w:szCs w:val="21"/>
          <w:highlight w:val="none"/>
        </w:rPr>
        <w:t>行</w:t>
      </w:r>
      <w:r>
        <w:rPr>
          <w:rFonts w:ascii="宋体" w:hAnsi="宋体" w:eastAsia="宋体" w:cs="宋体"/>
          <w:b/>
          <w:bCs/>
          <w:color w:val="auto"/>
          <w:spacing w:val="-3"/>
          <w:sz w:val="21"/>
          <w:szCs w:val="21"/>
          <w:highlight w:val="none"/>
        </w:rPr>
        <w:t>评审工作。</w:t>
      </w:r>
    </w:p>
    <w:p w14:paraId="70497E2B">
      <w:pPr>
        <w:adjustRightInd w:val="0"/>
        <w:snapToGrid w:val="0"/>
        <w:spacing w:before="156" w:beforeLines="50" w:line="360" w:lineRule="auto"/>
        <w:jc w:val="left"/>
        <w:rPr>
          <w:rFonts w:ascii="宋体" w:hAnsi="宋体" w:eastAsia="宋体"/>
          <w:b/>
          <w:color w:val="auto"/>
          <w:sz w:val="24"/>
          <w:highlight w:val="none"/>
        </w:rPr>
      </w:pPr>
      <w:r>
        <w:rPr>
          <w:rStyle w:val="28"/>
          <w:rFonts w:hint="eastAsia" w:ascii="宋体" w:hAnsi="宋体" w:eastAsia="宋体" w:cs="Arial"/>
          <w:color w:val="auto"/>
          <w:sz w:val="24"/>
          <w:highlight w:val="none"/>
        </w:rPr>
        <w:t>25.</w:t>
      </w:r>
      <w:r>
        <w:rPr>
          <w:rFonts w:hint="eastAsia" w:ascii="宋体" w:hAnsi="宋体" w:eastAsia="宋体"/>
          <w:b/>
          <w:color w:val="auto"/>
          <w:sz w:val="24"/>
          <w:highlight w:val="none"/>
        </w:rPr>
        <w:t xml:space="preserve"> 资格审查</w:t>
      </w:r>
    </w:p>
    <w:p w14:paraId="04180851">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25.1开标结束后，采购人、采购代理机构依法按照第三章</w:t>
      </w:r>
      <w:r>
        <w:rPr>
          <w:rFonts w:hint="eastAsia" w:ascii="华文宋体" w:hAnsi="华文宋体" w:eastAsia="华文宋体"/>
          <w:color w:val="auto"/>
          <w:szCs w:val="21"/>
          <w:highlight w:val="none"/>
        </w:rPr>
        <w:t>“</w:t>
      </w:r>
      <w:r>
        <w:rPr>
          <w:rFonts w:hint="eastAsia" w:ascii="宋体" w:hAnsi="宋体" w:eastAsia="宋体"/>
          <w:color w:val="auto"/>
          <w:szCs w:val="21"/>
          <w:highlight w:val="none"/>
        </w:rPr>
        <w:t>资格审查</w:t>
      </w:r>
      <w:r>
        <w:rPr>
          <w:rFonts w:hint="eastAsia" w:ascii="华文宋体" w:hAnsi="华文宋体" w:eastAsia="华文宋体"/>
          <w:color w:val="auto"/>
          <w:szCs w:val="21"/>
          <w:highlight w:val="none"/>
        </w:rPr>
        <w:t>”</w:t>
      </w:r>
      <w:r>
        <w:rPr>
          <w:rFonts w:hint="eastAsia" w:ascii="宋体" w:hAnsi="宋体" w:eastAsia="宋体"/>
          <w:color w:val="auto"/>
          <w:szCs w:val="21"/>
          <w:highlight w:val="none"/>
        </w:rPr>
        <w:t>规定组织资格审查。</w:t>
      </w:r>
    </w:p>
    <w:p w14:paraId="54CC0125">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25.2资格审查结束后，采购人、采购代理机构应将资格审查结果告知评标委员会。资格审查不合格投标人不进入评标；资格审查合格投标人少于3家的，不得评标。</w:t>
      </w:r>
    </w:p>
    <w:p w14:paraId="06FE4030">
      <w:pPr>
        <w:adjustRightInd w:val="0"/>
        <w:snapToGrid w:val="0"/>
        <w:spacing w:before="156" w:beforeLines="50" w:line="360" w:lineRule="auto"/>
        <w:jc w:val="left"/>
        <w:rPr>
          <w:rFonts w:ascii="宋体" w:hAnsi="宋体" w:eastAsia="宋体"/>
          <w:b/>
          <w:color w:val="auto"/>
          <w:sz w:val="24"/>
          <w:highlight w:val="none"/>
        </w:rPr>
      </w:pPr>
      <w:r>
        <w:rPr>
          <w:rFonts w:hint="eastAsia" w:ascii="宋体" w:hAnsi="宋体" w:eastAsia="宋体"/>
          <w:b/>
          <w:bCs/>
          <w:color w:val="auto"/>
          <w:sz w:val="24"/>
          <w:highlight w:val="none"/>
        </w:rPr>
        <w:t>26.</w:t>
      </w:r>
      <w:r>
        <w:rPr>
          <w:rFonts w:hint="eastAsia" w:ascii="宋体" w:hAnsi="宋体" w:eastAsia="宋体"/>
          <w:b/>
          <w:color w:val="auto"/>
          <w:sz w:val="24"/>
          <w:highlight w:val="none"/>
        </w:rPr>
        <w:t xml:space="preserve"> 评标委员会</w:t>
      </w:r>
    </w:p>
    <w:p w14:paraId="0ECD0F8F">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26.1评标由依法组建的评标委员会负责，评标委员会由采购人代表和评审专家组成。</w:t>
      </w:r>
    </w:p>
    <w:p w14:paraId="45F470D9">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26.2评标委员会成员有下列情形之一的，应当回避：</w:t>
      </w:r>
    </w:p>
    <w:p w14:paraId="7EC06B80">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（1）参加采购活动前三年内,与投标人存在劳动关系,或者担任过投标人的董事、监事,或者是投标人的控股股东或实际控制人；</w:t>
      </w:r>
    </w:p>
    <w:p w14:paraId="41C17414">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（2）与投标人的法定代表人或者负责人有夫妻、直系血亲、三代以内旁系血亲或者近姻亲关系；</w:t>
      </w:r>
    </w:p>
    <w:p w14:paraId="0742BAF2">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（3）与投标人有其他可能影响政府采购活动公平、公正进行的关系。</w:t>
      </w:r>
    </w:p>
    <w:p w14:paraId="7F46D4F8">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26.3评标委员会负责具体评标事务，并独立履行下列职责：</w:t>
      </w:r>
    </w:p>
    <w:p w14:paraId="7F6B9437">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（1）审查、评价投标文件是否符合招标文件的商务、技术等实质性要求；</w:t>
      </w:r>
    </w:p>
    <w:p w14:paraId="0ABE0F55">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（2）要求投标人对投标文件有关事项作出澄清或者说明；</w:t>
      </w:r>
    </w:p>
    <w:p w14:paraId="1B80D2C6">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（3）对投标文件进行比较和评价；</w:t>
      </w:r>
    </w:p>
    <w:p w14:paraId="62468F61">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（4）确定中标候选人名单，以及根据采购人委托直接确定中标人。</w:t>
      </w:r>
    </w:p>
    <w:p w14:paraId="109801B0">
      <w:pPr>
        <w:adjustRightInd w:val="0"/>
        <w:snapToGrid w:val="0"/>
        <w:spacing w:before="156" w:beforeLines="50" w:line="360" w:lineRule="auto"/>
        <w:jc w:val="left"/>
        <w:rPr>
          <w:rFonts w:ascii="宋体" w:hAnsi="宋体" w:eastAsia="宋体"/>
          <w:b/>
          <w:bCs/>
          <w:color w:val="auto"/>
          <w:sz w:val="24"/>
          <w:highlight w:val="none"/>
        </w:rPr>
      </w:pPr>
      <w:r>
        <w:rPr>
          <w:rFonts w:hint="eastAsia" w:ascii="宋体" w:hAnsi="宋体" w:eastAsia="宋体"/>
          <w:b/>
          <w:color w:val="auto"/>
          <w:sz w:val="24"/>
          <w:highlight w:val="none"/>
        </w:rPr>
        <w:t>27.</w:t>
      </w:r>
      <w:r>
        <w:rPr>
          <w:rFonts w:hint="eastAsia" w:ascii="宋体" w:hAnsi="宋体" w:eastAsia="宋体"/>
          <w:b/>
          <w:bCs/>
          <w:color w:val="auto"/>
          <w:sz w:val="24"/>
          <w:highlight w:val="none"/>
        </w:rPr>
        <w:t xml:space="preserve"> 评标</w:t>
      </w:r>
    </w:p>
    <w:p w14:paraId="40F33D53">
      <w:pPr>
        <w:adjustRightInd w:val="0"/>
        <w:snapToGrid w:val="0"/>
        <w:spacing w:before="156" w:beforeLines="50" w:line="360" w:lineRule="auto"/>
        <w:ind w:firstLine="420" w:firstLineChars="200"/>
        <w:jc w:val="left"/>
        <w:rPr>
          <w:rFonts w:ascii="宋体" w:hAnsi="宋体" w:eastAsia="宋体"/>
          <w:color w:val="auto"/>
          <w:highlight w:val="none"/>
        </w:rPr>
      </w:pPr>
      <w:r>
        <w:rPr>
          <w:rFonts w:hint="eastAsia" w:ascii="宋体" w:hAnsi="宋体" w:eastAsia="宋体"/>
          <w:color w:val="auto"/>
          <w:highlight w:val="none"/>
        </w:rPr>
        <w:t>27.1评标委员会按照</w:t>
      </w:r>
      <w:r>
        <w:rPr>
          <w:rFonts w:hint="eastAsia" w:ascii="宋体" w:hAnsi="宋体" w:eastAsia="宋体"/>
          <w:bCs/>
          <w:color w:val="auto"/>
          <w:highlight w:val="none"/>
        </w:rPr>
        <w:t>第四章</w:t>
      </w:r>
      <w:r>
        <w:rPr>
          <w:rFonts w:hint="eastAsia" w:ascii="华文宋体" w:hAnsi="华文宋体" w:eastAsia="华文宋体"/>
          <w:bCs/>
          <w:color w:val="auto"/>
          <w:highlight w:val="none"/>
        </w:rPr>
        <w:t>“</w:t>
      </w:r>
      <w:r>
        <w:rPr>
          <w:rFonts w:hint="eastAsia" w:ascii="宋体" w:hAnsi="宋体" w:eastAsia="宋体"/>
          <w:bCs/>
          <w:color w:val="auto"/>
          <w:highlight w:val="none"/>
        </w:rPr>
        <w:t>评标方法及标准</w:t>
      </w:r>
      <w:r>
        <w:rPr>
          <w:rFonts w:hint="eastAsia" w:ascii="华文宋体" w:hAnsi="华文宋体" w:eastAsia="华文宋体"/>
          <w:bCs/>
          <w:color w:val="auto"/>
          <w:highlight w:val="none"/>
        </w:rPr>
        <w:t>”</w:t>
      </w:r>
      <w:r>
        <w:rPr>
          <w:rFonts w:hint="eastAsia" w:ascii="宋体" w:hAnsi="宋体" w:eastAsia="宋体"/>
          <w:color w:val="auto"/>
          <w:highlight w:val="none"/>
        </w:rPr>
        <w:t>规定的评标方法、评审因素、标准和程序以及有关法律、法规及规章对投标文件进行评审。</w:t>
      </w:r>
    </w:p>
    <w:p w14:paraId="28DFF876">
      <w:pPr>
        <w:pStyle w:val="4"/>
        <w:adjustRightInd w:val="0"/>
        <w:snapToGrid w:val="0"/>
        <w:spacing w:before="156" w:beforeLines="50" w:after="0" w:line="360" w:lineRule="auto"/>
        <w:jc w:val="center"/>
        <w:rPr>
          <w:rFonts w:ascii="黑体" w:hAnsi="黑体" w:eastAsia="黑体"/>
          <w:color w:val="auto"/>
          <w:sz w:val="28"/>
          <w:szCs w:val="28"/>
          <w:highlight w:val="none"/>
        </w:rPr>
      </w:pPr>
      <w:bookmarkStart w:id="27" w:name="_Toc24526"/>
      <w:r>
        <w:rPr>
          <w:rFonts w:hint="eastAsia" w:ascii="黑体" w:hAnsi="黑体" w:eastAsia="黑体"/>
          <w:color w:val="auto"/>
          <w:sz w:val="28"/>
          <w:szCs w:val="28"/>
          <w:highlight w:val="none"/>
        </w:rPr>
        <w:t>六、中标信息公布</w:t>
      </w:r>
      <w:bookmarkEnd w:id="27"/>
    </w:p>
    <w:p w14:paraId="0E615023">
      <w:pPr>
        <w:adjustRightInd w:val="0"/>
        <w:snapToGrid w:val="0"/>
        <w:spacing w:before="156" w:beforeLines="50" w:line="360" w:lineRule="auto"/>
        <w:jc w:val="left"/>
        <w:rPr>
          <w:rFonts w:ascii="宋体" w:hAnsi="宋体" w:eastAsia="宋体"/>
          <w:b/>
          <w:bCs/>
          <w:color w:val="auto"/>
          <w:sz w:val="24"/>
          <w:highlight w:val="none"/>
        </w:rPr>
      </w:pPr>
      <w:r>
        <w:rPr>
          <w:rFonts w:hint="eastAsia" w:ascii="宋体" w:hAnsi="宋体" w:eastAsia="宋体"/>
          <w:b/>
          <w:color w:val="auto"/>
          <w:sz w:val="24"/>
          <w:highlight w:val="none"/>
        </w:rPr>
        <w:t>28.</w:t>
      </w:r>
      <w:r>
        <w:rPr>
          <w:rFonts w:hint="eastAsia" w:ascii="宋体" w:hAnsi="宋体" w:eastAsia="宋体"/>
          <w:color w:val="auto"/>
          <w:sz w:val="24"/>
          <w:highlight w:val="none"/>
        </w:rPr>
        <w:t xml:space="preserve"> </w:t>
      </w:r>
      <w:r>
        <w:rPr>
          <w:rFonts w:hint="eastAsia" w:ascii="宋体" w:hAnsi="宋体" w:eastAsia="宋体"/>
          <w:b/>
          <w:bCs/>
          <w:color w:val="auto"/>
          <w:sz w:val="24"/>
          <w:highlight w:val="none"/>
        </w:rPr>
        <w:t>中标通知书与中标信息公布</w:t>
      </w:r>
    </w:p>
    <w:p w14:paraId="0BDBEEFF">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28.1采购代理机构应当在评标结束后2个工作日内将评标报告送采购人。</w:t>
      </w:r>
    </w:p>
    <w:p w14:paraId="5428AC42">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28.2采购人应当自收到评标报告之日起5个工作日内，在评标报告确定的中标候选人名单中按顺序确定中标人。中标候选人并列的，按照</w:t>
      </w:r>
      <w:r>
        <w:rPr>
          <w:rFonts w:hint="eastAsia" w:ascii="宋体" w:hAnsi="宋体" w:eastAsia="宋体"/>
          <w:b/>
          <w:color w:val="auto"/>
          <w:szCs w:val="21"/>
          <w:highlight w:val="none"/>
        </w:rPr>
        <w:t>【投标须知前附表】</w:t>
      </w:r>
      <w:r>
        <w:rPr>
          <w:rFonts w:hint="eastAsia" w:ascii="宋体" w:hAnsi="宋体" w:eastAsia="宋体"/>
          <w:color w:val="auto"/>
          <w:szCs w:val="21"/>
          <w:highlight w:val="none"/>
        </w:rPr>
        <w:t>规定的方式确定中标人；招标文件未规定的，采取随机抽取的方式确定。</w:t>
      </w:r>
    </w:p>
    <w:p w14:paraId="2EBC140E">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28.3采购人、采购代理机构应当自采购人确定中标供应商之日起2个工作日内，发出中标通知书，并在招标公告指定媒体上公告中标结果，招标文件随中标结果同时公告，中标结果公告期限为1个工作日。</w:t>
      </w:r>
    </w:p>
    <w:p w14:paraId="5794C285">
      <w:pPr>
        <w:adjustRightInd w:val="0"/>
        <w:snapToGrid w:val="0"/>
        <w:spacing w:before="156" w:beforeLines="50" w:line="360" w:lineRule="auto"/>
        <w:jc w:val="left"/>
        <w:rPr>
          <w:rFonts w:ascii="宋体" w:hAnsi="宋体" w:eastAsia="宋体"/>
          <w:b/>
          <w:bCs/>
          <w:color w:val="auto"/>
          <w:sz w:val="24"/>
          <w:highlight w:val="none"/>
        </w:rPr>
      </w:pPr>
      <w:r>
        <w:rPr>
          <w:rFonts w:hint="eastAsia" w:ascii="宋体" w:hAnsi="宋体" w:eastAsia="宋体"/>
          <w:b/>
          <w:bCs/>
          <w:color w:val="auto"/>
          <w:sz w:val="24"/>
          <w:highlight w:val="none"/>
        </w:rPr>
        <w:t>29.</w:t>
      </w:r>
      <w:r>
        <w:rPr>
          <w:rFonts w:hint="eastAsia" w:ascii="宋体" w:hAnsi="宋体" w:eastAsia="宋体"/>
          <w:b/>
          <w:color w:val="auto"/>
          <w:sz w:val="24"/>
          <w:highlight w:val="none"/>
        </w:rPr>
        <w:t xml:space="preserve"> 投标人询问及</w:t>
      </w:r>
      <w:r>
        <w:rPr>
          <w:rFonts w:hint="eastAsia" w:ascii="宋体" w:hAnsi="宋体" w:eastAsia="宋体"/>
          <w:b/>
          <w:bCs/>
          <w:color w:val="auto"/>
          <w:sz w:val="24"/>
          <w:highlight w:val="none"/>
        </w:rPr>
        <w:t>质疑</w:t>
      </w:r>
    </w:p>
    <w:p w14:paraId="6872B610">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29.1投标人对政府采购活动事项有疑问的，可以向采购人、采购代理机构提出询问。采购人或采购代理机构将在3个工作日内作出答复。</w:t>
      </w:r>
    </w:p>
    <w:p w14:paraId="7407A81A">
      <w:pPr>
        <w:adjustRightInd w:val="0"/>
        <w:snapToGrid w:val="0"/>
        <w:spacing w:before="156" w:beforeLines="50" w:line="360" w:lineRule="auto"/>
        <w:ind w:firstLine="420" w:firstLineChars="200"/>
        <w:jc w:val="left"/>
        <w:rPr>
          <w:rFonts w:hint="default" w:ascii="宋体" w:hAnsi="宋体" w:eastAsia="宋体"/>
          <w:color w:val="auto"/>
          <w:szCs w:val="21"/>
          <w:highlight w:val="none"/>
          <w:lang w:val="en-US" w:eastAsia="zh-CN"/>
        </w:rPr>
      </w:pPr>
      <w:r>
        <w:rPr>
          <w:rFonts w:hint="eastAsia" w:ascii="宋体" w:hAnsi="宋体" w:eastAsia="宋体"/>
          <w:color w:val="auto"/>
          <w:szCs w:val="21"/>
          <w:highlight w:val="none"/>
        </w:rPr>
        <w:t>29.2投标人认为招标文件、采购过程和中标结果使自己的权益受到损害的，可以在知道或者应知其权益受到损害之日起7个工作日内，按照《湖南省财政厅关于印发＜政府采购质疑答复和投诉处理操作规程＞的通知》(湘财购〔</w:t>
      </w:r>
      <w:r>
        <w:rPr>
          <w:rFonts w:hint="eastAsia" w:ascii="宋体" w:hAnsi="宋体"/>
          <w:color w:val="auto"/>
          <w:szCs w:val="21"/>
          <w:highlight w:val="none"/>
          <w:lang w:val="en-US" w:eastAsia="zh-CN"/>
        </w:rPr>
        <w:t>2024</w:t>
      </w:r>
      <w:r>
        <w:rPr>
          <w:rFonts w:hint="eastAsia" w:ascii="宋体" w:hAnsi="宋体" w:eastAsia="宋体"/>
          <w:color w:val="auto"/>
          <w:szCs w:val="21"/>
          <w:highlight w:val="none"/>
        </w:rPr>
        <w:t>〕</w:t>
      </w:r>
      <w:r>
        <w:rPr>
          <w:rFonts w:hint="eastAsia" w:ascii="宋体" w:hAnsi="宋体"/>
          <w:color w:val="auto"/>
          <w:szCs w:val="21"/>
          <w:highlight w:val="none"/>
          <w:lang w:val="en-US" w:eastAsia="zh-CN"/>
        </w:rPr>
        <w:t>67</w:t>
      </w:r>
      <w:r>
        <w:rPr>
          <w:rFonts w:hint="eastAsia" w:ascii="宋体" w:hAnsi="宋体" w:eastAsia="宋体"/>
          <w:color w:val="auto"/>
          <w:szCs w:val="21"/>
          <w:highlight w:val="none"/>
        </w:rPr>
        <w:t>号)规定，以纸质书面形式向采购人、采购代理机构提出质疑。</w:t>
      </w:r>
      <w:r>
        <w:rPr>
          <w:rFonts w:hint="eastAsia" w:ascii="宋体" w:hAnsi="宋体" w:eastAsia="宋体"/>
          <w:color w:val="auto"/>
          <w:szCs w:val="21"/>
          <w:highlight w:val="none"/>
          <w:lang w:val="en-US" w:eastAsia="zh-CN"/>
        </w:rPr>
        <w:t>投标人应当在法定质疑期内一次性提出针对同一采购程序环节的质疑。</w:t>
      </w:r>
    </w:p>
    <w:p w14:paraId="2133A701">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29.3投标人提出质疑的，应按照《湖南省财政厅关于印发＜政府采购质疑答复和投诉处理操作规程＞的通知》规定制作、签署、送达。采购人、采购代理机构接收质疑函的联系部门、联系电话和通讯地址见</w:t>
      </w:r>
      <w:r>
        <w:rPr>
          <w:rFonts w:hint="eastAsia" w:ascii="宋体" w:hAnsi="宋体" w:eastAsia="宋体"/>
          <w:b/>
          <w:color w:val="auto"/>
          <w:szCs w:val="21"/>
          <w:highlight w:val="none"/>
        </w:rPr>
        <w:t>【</w:t>
      </w:r>
      <w:r>
        <w:rPr>
          <w:rFonts w:hint="eastAsia" w:ascii="宋体" w:hAnsi="宋体"/>
          <w:b/>
          <w:color w:val="auto"/>
          <w:szCs w:val="21"/>
          <w:highlight w:val="none"/>
          <w:lang w:val="en-US" w:eastAsia="zh-CN"/>
        </w:rPr>
        <w:t>投标</w:t>
      </w:r>
      <w:r>
        <w:rPr>
          <w:rFonts w:hint="eastAsia" w:ascii="宋体" w:hAnsi="宋体" w:eastAsia="宋体"/>
          <w:b/>
          <w:color w:val="auto"/>
          <w:szCs w:val="21"/>
          <w:highlight w:val="none"/>
        </w:rPr>
        <w:t>须知前附表】</w:t>
      </w:r>
      <w:r>
        <w:rPr>
          <w:rFonts w:hint="eastAsia" w:ascii="宋体" w:hAnsi="宋体" w:eastAsia="宋体"/>
          <w:color w:val="auto"/>
          <w:szCs w:val="21"/>
          <w:highlight w:val="none"/>
        </w:rPr>
        <w:t xml:space="preserve">。  </w:t>
      </w:r>
    </w:p>
    <w:p w14:paraId="5BBA421D">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29.4采购人、采购代理机构按照《湖南省财政厅关于印发＜政府采购质疑答复和投诉处理操作规程＞的通知》规定进行质疑答复。</w:t>
      </w:r>
    </w:p>
    <w:p w14:paraId="741256AA">
      <w:pPr>
        <w:adjustRightInd w:val="0"/>
        <w:snapToGrid w:val="0"/>
        <w:spacing w:before="156" w:beforeLines="50" w:line="360" w:lineRule="auto"/>
        <w:ind w:firstLine="420" w:firstLineChars="200"/>
        <w:jc w:val="left"/>
        <w:rPr>
          <w:rFonts w:ascii="宋体" w:hAnsi="宋体" w:eastAsia="宋体"/>
          <w:b/>
          <w:bCs/>
          <w:color w:val="auto"/>
          <w:highlight w:val="none"/>
        </w:rPr>
      </w:pPr>
      <w:r>
        <w:rPr>
          <w:rFonts w:hint="eastAsia" w:ascii="宋体" w:hAnsi="宋体" w:eastAsia="宋体"/>
          <w:color w:val="auto"/>
          <w:szCs w:val="21"/>
          <w:highlight w:val="none"/>
        </w:rPr>
        <w:t>29</w:t>
      </w:r>
      <w:r>
        <w:rPr>
          <w:rFonts w:ascii="宋体" w:hAnsi="宋体" w:eastAsia="宋体"/>
          <w:color w:val="auto"/>
          <w:szCs w:val="21"/>
          <w:highlight w:val="none"/>
        </w:rPr>
        <w:t>.</w:t>
      </w:r>
      <w:r>
        <w:rPr>
          <w:rFonts w:hint="eastAsia" w:ascii="宋体" w:hAnsi="宋体" w:eastAsia="宋体"/>
          <w:color w:val="auto"/>
          <w:szCs w:val="21"/>
          <w:highlight w:val="none"/>
        </w:rPr>
        <w:t>5投标人对采购人、采购代理机构的答复不满意，或采购人或采购代理机构未在规定的期限作出答复的，可在答复期满后15个工作日内，按照《湖南省财政厅关于印发＜政府采购质疑答复和投诉处理操作规程＞的通知》规定向采购人同级财政部门提出投诉。</w:t>
      </w:r>
    </w:p>
    <w:p w14:paraId="470F02CE">
      <w:pPr>
        <w:pStyle w:val="4"/>
        <w:adjustRightInd w:val="0"/>
        <w:snapToGrid w:val="0"/>
        <w:spacing w:before="156" w:beforeLines="50" w:after="0" w:line="360" w:lineRule="auto"/>
        <w:jc w:val="center"/>
        <w:rPr>
          <w:rFonts w:ascii="黑体" w:hAnsi="黑体" w:eastAsia="黑体"/>
          <w:color w:val="auto"/>
          <w:sz w:val="28"/>
          <w:szCs w:val="28"/>
          <w:highlight w:val="none"/>
        </w:rPr>
      </w:pPr>
      <w:bookmarkStart w:id="28" w:name="_Toc27142"/>
      <w:r>
        <w:rPr>
          <w:rFonts w:hint="eastAsia" w:ascii="黑体" w:hAnsi="黑体" w:eastAsia="黑体"/>
          <w:color w:val="auto"/>
          <w:sz w:val="28"/>
          <w:szCs w:val="28"/>
          <w:highlight w:val="none"/>
        </w:rPr>
        <w:t>七、合同签订</w:t>
      </w:r>
      <w:bookmarkEnd w:id="28"/>
    </w:p>
    <w:p w14:paraId="1504DB5C">
      <w:pPr>
        <w:adjustRightInd w:val="0"/>
        <w:snapToGrid w:val="0"/>
        <w:spacing w:before="156" w:beforeLines="50" w:line="360" w:lineRule="auto"/>
        <w:jc w:val="left"/>
        <w:rPr>
          <w:rFonts w:ascii="宋体" w:hAnsi="宋体" w:eastAsia="宋体"/>
          <w:b/>
          <w:bCs/>
          <w:color w:val="auto"/>
          <w:sz w:val="24"/>
          <w:highlight w:val="none"/>
        </w:rPr>
      </w:pPr>
      <w:r>
        <w:rPr>
          <w:rFonts w:hint="eastAsia" w:ascii="宋体" w:hAnsi="宋体" w:eastAsia="宋体"/>
          <w:b/>
          <w:bCs/>
          <w:color w:val="auto"/>
          <w:sz w:val="24"/>
          <w:highlight w:val="none"/>
        </w:rPr>
        <w:t>30. 签订合同</w:t>
      </w:r>
    </w:p>
    <w:p w14:paraId="48AD2027">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30.1采购人应自中标通知书发出之日起30日内，按中标通知书指定的时间、地点与中标人签订政府采购合同。所签订的合同不得对招标文件确定的事项和中标人投标文件作实质性修改。</w:t>
      </w:r>
    </w:p>
    <w:p w14:paraId="0026E789">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30.2招标文件、中标人的投标文件均为签订合同的依据。</w:t>
      </w:r>
    </w:p>
    <w:p w14:paraId="3CD6D545">
      <w:pPr>
        <w:adjustRightInd w:val="0"/>
        <w:snapToGrid w:val="0"/>
        <w:spacing w:before="156" w:beforeLines="50" w:line="360" w:lineRule="auto"/>
        <w:ind w:firstLine="420" w:firstLineChars="200"/>
        <w:jc w:val="left"/>
        <w:rPr>
          <w:rFonts w:ascii="宋体" w:hAnsi="宋体" w:eastAsia="宋体" w:cs="微软雅黑"/>
          <w:color w:val="auto"/>
          <w:kern w:val="0"/>
          <w:szCs w:val="21"/>
          <w:highlight w:val="none"/>
        </w:rPr>
      </w:pPr>
      <w:r>
        <w:rPr>
          <w:rFonts w:hint="eastAsia" w:ascii="宋体" w:hAnsi="宋体" w:eastAsia="宋体" w:cs="微软雅黑"/>
          <w:color w:val="auto"/>
          <w:kern w:val="0"/>
          <w:szCs w:val="21"/>
          <w:highlight w:val="none"/>
        </w:rPr>
        <w:t>30.3联</w:t>
      </w:r>
      <w:r>
        <w:rPr>
          <w:rFonts w:hint="eastAsia" w:ascii="宋体" w:hAnsi="宋体" w:eastAsia="宋体" w:cs="微软雅黑"/>
          <w:color w:val="auto"/>
          <w:spacing w:val="-2"/>
          <w:kern w:val="0"/>
          <w:szCs w:val="21"/>
          <w:highlight w:val="none"/>
        </w:rPr>
        <w:t>合</w:t>
      </w:r>
      <w:r>
        <w:rPr>
          <w:rFonts w:hint="eastAsia" w:ascii="宋体" w:hAnsi="宋体" w:eastAsia="宋体" w:cs="微软雅黑"/>
          <w:color w:val="auto"/>
          <w:kern w:val="0"/>
          <w:szCs w:val="21"/>
          <w:highlight w:val="none"/>
        </w:rPr>
        <w:t>体</w:t>
      </w:r>
      <w:r>
        <w:rPr>
          <w:rFonts w:hint="eastAsia" w:ascii="宋体" w:hAnsi="宋体" w:eastAsia="宋体" w:cs="微软雅黑"/>
          <w:color w:val="auto"/>
          <w:spacing w:val="-2"/>
          <w:kern w:val="0"/>
          <w:szCs w:val="21"/>
          <w:highlight w:val="none"/>
        </w:rPr>
        <w:t>中</w:t>
      </w:r>
      <w:r>
        <w:rPr>
          <w:rFonts w:hint="eastAsia" w:ascii="宋体" w:hAnsi="宋体" w:eastAsia="宋体" w:cs="微软雅黑"/>
          <w:color w:val="auto"/>
          <w:kern w:val="0"/>
          <w:szCs w:val="21"/>
          <w:highlight w:val="none"/>
        </w:rPr>
        <w:t>标的</w:t>
      </w:r>
      <w:r>
        <w:rPr>
          <w:rFonts w:hint="eastAsia" w:ascii="宋体" w:hAnsi="宋体" w:eastAsia="宋体" w:cs="微软雅黑"/>
          <w:color w:val="auto"/>
          <w:spacing w:val="-14"/>
          <w:kern w:val="0"/>
          <w:szCs w:val="21"/>
          <w:highlight w:val="none"/>
        </w:rPr>
        <w:t>，</w:t>
      </w:r>
      <w:r>
        <w:rPr>
          <w:rFonts w:hint="eastAsia" w:ascii="宋体" w:hAnsi="宋体" w:eastAsia="宋体" w:cs="微软雅黑"/>
          <w:color w:val="auto"/>
          <w:kern w:val="0"/>
          <w:szCs w:val="21"/>
          <w:highlight w:val="none"/>
        </w:rPr>
        <w:t>联</w:t>
      </w:r>
      <w:r>
        <w:rPr>
          <w:rFonts w:hint="eastAsia" w:ascii="宋体" w:hAnsi="宋体" w:eastAsia="宋体" w:cs="微软雅黑"/>
          <w:color w:val="auto"/>
          <w:spacing w:val="-2"/>
          <w:kern w:val="0"/>
          <w:szCs w:val="21"/>
          <w:highlight w:val="none"/>
        </w:rPr>
        <w:t>合</w:t>
      </w:r>
      <w:r>
        <w:rPr>
          <w:rFonts w:hint="eastAsia" w:ascii="宋体" w:hAnsi="宋体" w:eastAsia="宋体" w:cs="微软雅黑"/>
          <w:color w:val="auto"/>
          <w:kern w:val="0"/>
          <w:szCs w:val="21"/>
          <w:highlight w:val="none"/>
        </w:rPr>
        <w:t>体各</w:t>
      </w:r>
      <w:r>
        <w:rPr>
          <w:rFonts w:hint="eastAsia" w:ascii="宋体" w:hAnsi="宋体" w:eastAsia="宋体" w:cs="微软雅黑"/>
          <w:color w:val="auto"/>
          <w:spacing w:val="-2"/>
          <w:kern w:val="0"/>
          <w:szCs w:val="21"/>
          <w:highlight w:val="none"/>
        </w:rPr>
        <w:t>方</w:t>
      </w:r>
      <w:r>
        <w:rPr>
          <w:rFonts w:hint="eastAsia" w:ascii="宋体" w:hAnsi="宋体" w:eastAsia="宋体" w:cs="微软雅黑"/>
          <w:color w:val="auto"/>
          <w:kern w:val="0"/>
          <w:szCs w:val="21"/>
          <w:highlight w:val="none"/>
        </w:rPr>
        <w:t>应</w:t>
      </w:r>
      <w:r>
        <w:rPr>
          <w:rFonts w:hint="eastAsia" w:ascii="宋体" w:hAnsi="宋体" w:eastAsia="宋体" w:cs="微软雅黑"/>
          <w:color w:val="auto"/>
          <w:spacing w:val="-2"/>
          <w:kern w:val="0"/>
          <w:szCs w:val="21"/>
          <w:highlight w:val="none"/>
        </w:rPr>
        <w:t>当</w:t>
      </w:r>
      <w:r>
        <w:rPr>
          <w:rFonts w:hint="eastAsia" w:ascii="宋体" w:hAnsi="宋体" w:eastAsia="宋体" w:cs="微软雅黑"/>
          <w:color w:val="auto"/>
          <w:kern w:val="0"/>
          <w:szCs w:val="21"/>
          <w:highlight w:val="none"/>
        </w:rPr>
        <w:t>共</w:t>
      </w:r>
      <w:r>
        <w:rPr>
          <w:rFonts w:hint="eastAsia" w:ascii="宋体" w:hAnsi="宋体" w:eastAsia="宋体" w:cs="微软雅黑"/>
          <w:color w:val="auto"/>
          <w:spacing w:val="-2"/>
          <w:kern w:val="0"/>
          <w:szCs w:val="21"/>
          <w:highlight w:val="none"/>
        </w:rPr>
        <w:t>同</w:t>
      </w:r>
      <w:r>
        <w:rPr>
          <w:rFonts w:hint="eastAsia" w:ascii="宋体" w:hAnsi="宋体" w:eastAsia="宋体" w:cs="微软雅黑"/>
          <w:color w:val="auto"/>
          <w:kern w:val="0"/>
          <w:szCs w:val="21"/>
          <w:highlight w:val="none"/>
        </w:rPr>
        <w:t>与</w:t>
      </w:r>
      <w:r>
        <w:rPr>
          <w:rFonts w:hint="eastAsia" w:ascii="宋体" w:hAnsi="宋体" w:eastAsia="宋体" w:cs="微软雅黑"/>
          <w:color w:val="auto"/>
          <w:spacing w:val="-2"/>
          <w:kern w:val="0"/>
          <w:szCs w:val="21"/>
          <w:highlight w:val="none"/>
        </w:rPr>
        <w:t>采购人</w:t>
      </w:r>
      <w:r>
        <w:rPr>
          <w:rFonts w:hint="eastAsia" w:ascii="宋体" w:hAnsi="宋体" w:eastAsia="宋体" w:cs="微软雅黑"/>
          <w:color w:val="auto"/>
          <w:kern w:val="0"/>
          <w:szCs w:val="21"/>
          <w:highlight w:val="none"/>
        </w:rPr>
        <w:t>签订</w:t>
      </w:r>
      <w:r>
        <w:rPr>
          <w:rFonts w:hint="eastAsia" w:ascii="宋体" w:hAnsi="宋体" w:eastAsia="宋体" w:cs="微软雅黑"/>
          <w:color w:val="auto"/>
          <w:spacing w:val="-2"/>
          <w:kern w:val="0"/>
          <w:szCs w:val="21"/>
          <w:highlight w:val="none"/>
        </w:rPr>
        <w:t>合</w:t>
      </w:r>
      <w:r>
        <w:rPr>
          <w:rFonts w:hint="eastAsia" w:ascii="宋体" w:hAnsi="宋体" w:eastAsia="宋体" w:cs="微软雅黑"/>
          <w:color w:val="auto"/>
          <w:kern w:val="0"/>
          <w:szCs w:val="21"/>
          <w:highlight w:val="none"/>
        </w:rPr>
        <w:t>同</w:t>
      </w:r>
      <w:r>
        <w:rPr>
          <w:rFonts w:hint="eastAsia" w:ascii="宋体" w:hAnsi="宋体" w:eastAsia="宋体" w:cs="微软雅黑"/>
          <w:color w:val="auto"/>
          <w:spacing w:val="-14"/>
          <w:kern w:val="0"/>
          <w:szCs w:val="21"/>
          <w:highlight w:val="none"/>
        </w:rPr>
        <w:t>，</w:t>
      </w:r>
      <w:r>
        <w:rPr>
          <w:rFonts w:hint="eastAsia" w:ascii="宋体" w:hAnsi="宋体" w:eastAsia="宋体" w:cs="微软雅黑"/>
          <w:color w:val="auto"/>
          <w:kern w:val="0"/>
          <w:szCs w:val="21"/>
          <w:highlight w:val="none"/>
        </w:rPr>
        <w:t>就</w:t>
      </w:r>
      <w:r>
        <w:rPr>
          <w:rFonts w:hint="eastAsia" w:ascii="宋体" w:hAnsi="宋体" w:eastAsia="宋体" w:cs="微软雅黑"/>
          <w:color w:val="auto"/>
          <w:spacing w:val="-2"/>
          <w:kern w:val="0"/>
          <w:szCs w:val="21"/>
          <w:highlight w:val="none"/>
        </w:rPr>
        <w:t>中</w:t>
      </w:r>
      <w:r>
        <w:rPr>
          <w:rFonts w:hint="eastAsia" w:ascii="宋体" w:hAnsi="宋体" w:eastAsia="宋体" w:cs="微软雅黑"/>
          <w:color w:val="auto"/>
          <w:kern w:val="0"/>
          <w:szCs w:val="21"/>
          <w:highlight w:val="none"/>
        </w:rPr>
        <w:t>标</w:t>
      </w:r>
      <w:r>
        <w:rPr>
          <w:rFonts w:hint="eastAsia" w:ascii="宋体" w:hAnsi="宋体" w:eastAsia="宋体" w:cs="微软雅黑"/>
          <w:color w:val="auto"/>
          <w:spacing w:val="-2"/>
          <w:kern w:val="0"/>
          <w:szCs w:val="21"/>
          <w:highlight w:val="none"/>
        </w:rPr>
        <w:t>项</w:t>
      </w:r>
      <w:r>
        <w:rPr>
          <w:rFonts w:hint="eastAsia" w:ascii="宋体" w:hAnsi="宋体" w:eastAsia="宋体" w:cs="微软雅黑"/>
          <w:color w:val="auto"/>
          <w:kern w:val="0"/>
          <w:szCs w:val="21"/>
          <w:highlight w:val="none"/>
        </w:rPr>
        <w:t>目</w:t>
      </w:r>
      <w:r>
        <w:rPr>
          <w:rFonts w:hint="eastAsia" w:ascii="宋体" w:hAnsi="宋体" w:eastAsia="宋体" w:cs="微软雅黑"/>
          <w:color w:val="auto"/>
          <w:spacing w:val="-2"/>
          <w:kern w:val="0"/>
          <w:szCs w:val="21"/>
          <w:highlight w:val="none"/>
        </w:rPr>
        <w:t>向</w:t>
      </w:r>
      <w:r>
        <w:rPr>
          <w:rFonts w:hint="eastAsia" w:ascii="宋体" w:hAnsi="宋体" w:eastAsia="宋体" w:cs="微软雅黑"/>
          <w:color w:val="auto"/>
          <w:kern w:val="0"/>
          <w:szCs w:val="21"/>
          <w:highlight w:val="none"/>
        </w:rPr>
        <w:t>采购人承</w:t>
      </w:r>
      <w:r>
        <w:rPr>
          <w:rFonts w:hint="eastAsia" w:ascii="宋体" w:hAnsi="宋体" w:eastAsia="宋体" w:cs="微软雅黑"/>
          <w:color w:val="auto"/>
          <w:spacing w:val="-2"/>
          <w:kern w:val="0"/>
          <w:szCs w:val="21"/>
          <w:highlight w:val="none"/>
        </w:rPr>
        <w:t>担</w:t>
      </w:r>
      <w:r>
        <w:rPr>
          <w:rFonts w:hint="eastAsia" w:ascii="宋体" w:hAnsi="宋体" w:eastAsia="宋体" w:cs="微软雅黑"/>
          <w:color w:val="auto"/>
          <w:kern w:val="0"/>
          <w:szCs w:val="21"/>
          <w:highlight w:val="none"/>
        </w:rPr>
        <w:t>连带责</w:t>
      </w:r>
      <w:r>
        <w:rPr>
          <w:rFonts w:hint="eastAsia" w:ascii="宋体" w:hAnsi="宋体" w:eastAsia="宋体" w:cs="微软雅黑"/>
          <w:color w:val="auto"/>
          <w:spacing w:val="-2"/>
          <w:kern w:val="0"/>
          <w:szCs w:val="21"/>
          <w:highlight w:val="none"/>
        </w:rPr>
        <w:t>任</w:t>
      </w:r>
      <w:r>
        <w:rPr>
          <w:rFonts w:hint="eastAsia" w:ascii="宋体" w:hAnsi="宋体" w:eastAsia="宋体" w:cs="微软雅黑"/>
          <w:color w:val="auto"/>
          <w:kern w:val="0"/>
          <w:szCs w:val="21"/>
          <w:highlight w:val="none"/>
        </w:rPr>
        <w:t>。</w:t>
      </w:r>
    </w:p>
    <w:p w14:paraId="33DACEAD">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ascii="宋体" w:hAnsi="宋体" w:eastAsia="宋体"/>
          <w:color w:val="auto"/>
          <w:szCs w:val="21"/>
          <w:highlight w:val="none"/>
        </w:rPr>
        <w:t>3</w:t>
      </w:r>
      <w:r>
        <w:rPr>
          <w:rFonts w:hint="eastAsia" w:ascii="宋体" w:hAnsi="宋体" w:eastAsia="宋体"/>
          <w:color w:val="auto"/>
          <w:szCs w:val="21"/>
          <w:highlight w:val="none"/>
        </w:rPr>
        <w:t>0</w:t>
      </w:r>
      <w:r>
        <w:rPr>
          <w:rFonts w:ascii="宋体" w:hAnsi="宋体" w:eastAsia="宋体"/>
          <w:color w:val="auto"/>
          <w:szCs w:val="21"/>
          <w:highlight w:val="none"/>
        </w:rPr>
        <w:t>.4</w:t>
      </w:r>
      <w:r>
        <w:rPr>
          <w:rFonts w:hint="eastAsia" w:ascii="宋体" w:hAnsi="宋体" w:eastAsia="宋体"/>
          <w:color w:val="auto"/>
          <w:szCs w:val="21"/>
          <w:highlight w:val="none"/>
        </w:rPr>
        <w:t>中标合同将在招标公告指定媒体上公告，但合同中涉及国家秘密、商业秘密的内容除外。</w:t>
      </w:r>
    </w:p>
    <w:p w14:paraId="608BC704">
      <w:pPr>
        <w:adjustRightInd w:val="0"/>
        <w:snapToGrid w:val="0"/>
        <w:spacing w:before="156" w:beforeLines="50" w:line="360" w:lineRule="auto"/>
        <w:ind w:firstLine="420" w:firstLineChars="200"/>
        <w:jc w:val="left"/>
        <w:rPr>
          <w:rFonts w:ascii="宋体" w:hAnsi="宋体" w:eastAsia="宋体"/>
          <w:bCs/>
          <w:color w:val="auto"/>
          <w:szCs w:val="21"/>
          <w:highlight w:val="none"/>
        </w:rPr>
      </w:pPr>
      <w:r>
        <w:rPr>
          <w:rFonts w:hint="eastAsia" w:ascii="宋体" w:hAnsi="宋体" w:eastAsia="宋体"/>
          <w:color w:val="auto"/>
          <w:szCs w:val="21"/>
          <w:highlight w:val="none"/>
        </w:rPr>
        <w:t>30.5中标人</w:t>
      </w:r>
      <w:r>
        <w:rPr>
          <w:rFonts w:hint="eastAsia" w:ascii="宋体" w:hAnsi="宋体" w:eastAsia="宋体"/>
          <w:bCs/>
          <w:color w:val="auto"/>
          <w:szCs w:val="21"/>
          <w:highlight w:val="none"/>
        </w:rPr>
        <w:t>应当按照合同约定依法履行合同义务。政府采购合同的履行、违约责任和解决争议的方法等适用《中华人民共和国民法典》。</w:t>
      </w:r>
    </w:p>
    <w:p w14:paraId="4AE40E6C">
      <w:pPr>
        <w:adjustRightInd w:val="0"/>
        <w:snapToGrid w:val="0"/>
        <w:spacing w:before="156" w:beforeLines="50" w:line="360" w:lineRule="auto"/>
        <w:jc w:val="left"/>
        <w:rPr>
          <w:rFonts w:ascii="宋体" w:hAnsi="宋体" w:eastAsia="宋体" w:cs="宋体"/>
          <w:b/>
          <w:color w:val="auto"/>
          <w:kern w:val="0"/>
          <w:sz w:val="24"/>
          <w:highlight w:val="none"/>
        </w:rPr>
      </w:pPr>
      <w:r>
        <w:rPr>
          <w:rFonts w:hint="eastAsia" w:ascii="宋体" w:hAnsi="宋体" w:eastAsia="宋体"/>
          <w:b/>
          <w:bCs/>
          <w:color w:val="auto"/>
          <w:sz w:val="24"/>
          <w:highlight w:val="none"/>
        </w:rPr>
        <w:t>31.</w:t>
      </w:r>
      <w:r>
        <w:rPr>
          <w:rFonts w:hint="eastAsia" w:ascii="宋体" w:hAnsi="宋体" w:eastAsia="宋体" w:cs="宋体"/>
          <w:b/>
          <w:color w:val="auto"/>
          <w:kern w:val="0"/>
          <w:sz w:val="24"/>
          <w:highlight w:val="none"/>
        </w:rPr>
        <w:t xml:space="preserve"> 履约担保</w:t>
      </w:r>
    </w:p>
    <w:p w14:paraId="430C15F2">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s="宋体"/>
          <w:color w:val="auto"/>
          <w:kern w:val="0"/>
          <w:szCs w:val="21"/>
          <w:highlight w:val="none"/>
        </w:rPr>
        <w:t>31.1</w:t>
      </w:r>
      <w:r>
        <w:rPr>
          <w:rFonts w:hint="eastAsia" w:ascii="宋体" w:hAnsi="宋体" w:eastAsia="宋体"/>
          <w:color w:val="auto"/>
          <w:szCs w:val="21"/>
          <w:highlight w:val="none"/>
        </w:rPr>
        <w:t>招标文件要求中标人向采购人提交履约担保的，中标人应按照</w:t>
      </w:r>
      <w:r>
        <w:rPr>
          <w:rFonts w:hint="eastAsia" w:ascii="宋体" w:hAnsi="宋体" w:eastAsia="宋体"/>
          <w:b/>
          <w:color w:val="auto"/>
          <w:szCs w:val="21"/>
          <w:highlight w:val="none"/>
        </w:rPr>
        <w:t>【投标须知前附表】</w:t>
      </w:r>
      <w:r>
        <w:rPr>
          <w:rFonts w:hint="eastAsia" w:ascii="宋体" w:hAnsi="宋体" w:eastAsia="宋体"/>
          <w:color w:val="auto"/>
          <w:szCs w:val="21"/>
          <w:highlight w:val="none"/>
        </w:rPr>
        <w:t>的规定提交，</w:t>
      </w:r>
      <w:r>
        <w:rPr>
          <w:rFonts w:hint="eastAsia" w:ascii="宋体" w:hAnsi="宋体" w:eastAsia="宋体"/>
          <w:bCs/>
          <w:color w:val="auto"/>
          <w:szCs w:val="21"/>
          <w:highlight w:val="none"/>
        </w:rPr>
        <w:t>投标人可以保函替代履约担保。</w:t>
      </w:r>
      <w:r>
        <w:rPr>
          <w:rFonts w:hint="eastAsia" w:ascii="宋体" w:hAnsi="宋体" w:eastAsia="宋体"/>
          <w:color w:val="auto"/>
          <w:szCs w:val="21"/>
          <w:highlight w:val="none"/>
        </w:rPr>
        <w:t>联合体中标的，履约担保由联合体各方或联合体中牵头人的名义提交。</w:t>
      </w:r>
    </w:p>
    <w:p w14:paraId="03FF17F0">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31.2中标人</w:t>
      </w:r>
      <w:r>
        <w:rPr>
          <w:rFonts w:hint="eastAsia" w:ascii="宋体" w:hAnsi="宋体" w:eastAsia="宋体"/>
          <w:color w:val="auto"/>
          <w:spacing w:val="4"/>
          <w:szCs w:val="21"/>
          <w:highlight w:val="none"/>
        </w:rPr>
        <w:t>没有按照本章第31.1</w:t>
      </w:r>
      <w:r>
        <w:rPr>
          <w:rFonts w:hint="eastAsia" w:ascii="宋体" w:hAnsi="宋体" w:eastAsia="宋体" w:cs="宋体"/>
          <w:color w:val="auto"/>
          <w:kern w:val="0"/>
          <w:szCs w:val="21"/>
          <w:highlight w:val="none"/>
          <w:lang w:val="zh-CN"/>
        </w:rPr>
        <w:t>款</w:t>
      </w:r>
      <w:r>
        <w:rPr>
          <w:rFonts w:hint="eastAsia" w:ascii="宋体" w:hAnsi="宋体" w:eastAsia="宋体"/>
          <w:color w:val="auto"/>
          <w:spacing w:val="4"/>
          <w:szCs w:val="21"/>
          <w:highlight w:val="none"/>
        </w:rPr>
        <w:t>规定</w:t>
      </w:r>
      <w:r>
        <w:rPr>
          <w:rFonts w:hint="eastAsia" w:ascii="宋体" w:hAnsi="宋体" w:eastAsia="宋体"/>
          <w:color w:val="auto"/>
          <w:szCs w:val="21"/>
          <w:highlight w:val="none"/>
        </w:rPr>
        <w:t>提交履约担保的</w:t>
      </w:r>
      <w:r>
        <w:rPr>
          <w:rFonts w:hint="eastAsia" w:ascii="宋体" w:hAnsi="宋体" w:eastAsia="宋体"/>
          <w:color w:val="auto"/>
          <w:spacing w:val="4"/>
          <w:szCs w:val="21"/>
          <w:highlight w:val="none"/>
        </w:rPr>
        <w:t>，视为</w:t>
      </w:r>
      <w:r>
        <w:rPr>
          <w:rFonts w:hint="eastAsia" w:ascii="宋体" w:hAnsi="宋体" w:eastAsia="宋体"/>
          <w:b/>
          <w:color w:val="auto"/>
          <w:spacing w:val="4"/>
          <w:szCs w:val="21"/>
          <w:highlight w:val="none"/>
        </w:rPr>
        <w:t>放弃中标</w:t>
      </w:r>
      <w:r>
        <w:rPr>
          <w:rFonts w:hint="eastAsia" w:ascii="宋体" w:hAnsi="宋体" w:eastAsia="宋体"/>
          <w:color w:val="auto"/>
          <w:spacing w:val="4"/>
          <w:szCs w:val="21"/>
          <w:highlight w:val="none"/>
        </w:rPr>
        <w:t>，</w:t>
      </w:r>
      <w:r>
        <w:rPr>
          <w:rFonts w:hint="eastAsia" w:ascii="宋体" w:hAnsi="宋体" w:eastAsia="宋体"/>
          <w:color w:val="auto"/>
          <w:spacing w:val="2"/>
          <w:szCs w:val="21"/>
          <w:highlight w:val="none"/>
        </w:rPr>
        <w:t>其投标保证金不予退还。</w:t>
      </w:r>
    </w:p>
    <w:p w14:paraId="0BB1D3D3">
      <w:pPr>
        <w:adjustRightInd w:val="0"/>
        <w:snapToGrid w:val="0"/>
        <w:spacing w:before="156" w:beforeLines="50" w:line="360" w:lineRule="auto"/>
        <w:jc w:val="left"/>
        <w:rPr>
          <w:rFonts w:ascii="宋体" w:hAnsi="宋体" w:eastAsia="宋体"/>
          <w:b/>
          <w:bCs/>
          <w:color w:val="auto"/>
          <w:sz w:val="24"/>
          <w:highlight w:val="none"/>
        </w:rPr>
      </w:pPr>
      <w:r>
        <w:rPr>
          <w:rFonts w:hint="eastAsia" w:ascii="宋体" w:hAnsi="宋体" w:eastAsia="宋体"/>
          <w:b/>
          <w:bCs/>
          <w:color w:val="auto"/>
          <w:sz w:val="24"/>
          <w:highlight w:val="none"/>
        </w:rPr>
        <w:t>32.</w:t>
      </w:r>
      <w:r>
        <w:rPr>
          <w:rFonts w:hint="eastAsia" w:ascii="宋体" w:hAnsi="宋体" w:eastAsia="宋体"/>
          <w:b/>
          <w:color w:val="auto"/>
          <w:sz w:val="24"/>
          <w:highlight w:val="none"/>
        </w:rPr>
        <w:t xml:space="preserve"> 政府采购合同履行中</w:t>
      </w:r>
      <w:r>
        <w:rPr>
          <w:rFonts w:hint="eastAsia" w:ascii="宋体" w:hAnsi="宋体" w:eastAsia="宋体"/>
          <w:b/>
          <w:bCs/>
          <w:color w:val="auto"/>
          <w:sz w:val="24"/>
          <w:highlight w:val="none"/>
        </w:rPr>
        <w:t>数量的变更</w:t>
      </w:r>
    </w:p>
    <w:p w14:paraId="33BEEEDA">
      <w:pPr>
        <w:adjustRightInd w:val="0"/>
        <w:snapToGrid w:val="0"/>
        <w:spacing w:before="156" w:beforeLines="50" w:line="360" w:lineRule="auto"/>
        <w:ind w:firstLine="420" w:firstLineChars="200"/>
        <w:jc w:val="left"/>
        <w:rPr>
          <w:rFonts w:ascii="宋体" w:hAnsi="宋体" w:eastAsia="宋体"/>
          <w:color w:val="auto"/>
          <w:sz w:val="28"/>
          <w:szCs w:val="28"/>
          <w:highlight w:val="none"/>
        </w:rPr>
      </w:pPr>
      <w:r>
        <w:rPr>
          <w:rFonts w:hint="eastAsia" w:ascii="宋体" w:hAnsi="宋体" w:eastAsia="宋体"/>
          <w:color w:val="auto"/>
          <w:highlight w:val="none"/>
        </w:rPr>
        <w:t>32.1政府采购合同履行中，采购人需追加与合同标的相同的货物服务的，在不改变合同其他条款的前提下，可以与中标人协商签订补充合同，但所有补充合同的采购金额不得超过原合同采购金额的百分之十。</w:t>
      </w:r>
    </w:p>
    <w:p w14:paraId="5EF31653">
      <w:pPr>
        <w:pStyle w:val="4"/>
        <w:adjustRightInd w:val="0"/>
        <w:snapToGrid w:val="0"/>
        <w:spacing w:before="156" w:beforeLines="50" w:after="0" w:line="360" w:lineRule="auto"/>
        <w:jc w:val="center"/>
        <w:rPr>
          <w:rFonts w:ascii="黑体" w:hAnsi="黑体" w:eastAsia="黑体"/>
          <w:color w:val="auto"/>
          <w:sz w:val="28"/>
          <w:szCs w:val="28"/>
          <w:highlight w:val="none"/>
        </w:rPr>
      </w:pPr>
      <w:bookmarkStart w:id="29" w:name="_Toc11138"/>
      <w:r>
        <w:rPr>
          <w:rFonts w:hint="eastAsia" w:ascii="黑体" w:hAnsi="黑体" w:eastAsia="黑体"/>
          <w:color w:val="auto"/>
          <w:sz w:val="28"/>
          <w:szCs w:val="28"/>
          <w:highlight w:val="none"/>
        </w:rPr>
        <w:t>八、政府采购政策</w:t>
      </w:r>
      <w:bookmarkEnd w:id="29"/>
    </w:p>
    <w:p w14:paraId="3AF31707">
      <w:pPr>
        <w:adjustRightInd w:val="0"/>
        <w:snapToGrid w:val="0"/>
        <w:spacing w:before="156" w:beforeLines="50" w:line="360" w:lineRule="auto"/>
        <w:jc w:val="left"/>
        <w:rPr>
          <w:rFonts w:ascii="宋体" w:hAnsi="宋体" w:eastAsia="宋体"/>
          <w:b/>
          <w:color w:val="auto"/>
          <w:sz w:val="24"/>
          <w:highlight w:val="none"/>
        </w:rPr>
      </w:pPr>
      <w:r>
        <w:rPr>
          <w:rFonts w:hint="eastAsia" w:ascii="宋体" w:hAnsi="宋体" w:eastAsia="宋体"/>
          <w:b/>
          <w:bCs/>
          <w:color w:val="auto"/>
          <w:sz w:val="24"/>
          <w:highlight w:val="none"/>
        </w:rPr>
        <w:t>33.</w:t>
      </w:r>
      <w:r>
        <w:rPr>
          <w:rFonts w:hint="eastAsia" w:ascii="宋体" w:hAnsi="宋体" w:eastAsia="宋体"/>
          <w:color w:val="auto"/>
          <w:sz w:val="24"/>
          <w:highlight w:val="none"/>
        </w:rPr>
        <w:t xml:space="preserve"> </w:t>
      </w:r>
      <w:r>
        <w:rPr>
          <w:rFonts w:hint="eastAsia" w:ascii="宋体" w:hAnsi="宋体" w:eastAsia="宋体"/>
          <w:b/>
          <w:color w:val="auto"/>
          <w:sz w:val="24"/>
          <w:highlight w:val="none"/>
        </w:rPr>
        <w:t>政府采购政策</w:t>
      </w:r>
    </w:p>
    <w:p w14:paraId="0726F2D0">
      <w:pPr>
        <w:adjustRightInd w:val="0"/>
        <w:snapToGrid w:val="0"/>
        <w:spacing w:before="156" w:beforeLines="50" w:line="360" w:lineRule="auto"/>
        <w:ind w:firstLine="420" w:firstLineChars="200"/>
        <w:jc w:val="left"/>
        <w:rPr>
          <w:rFonts w:ascii="宋体" w:hAnsi="宋体" w:cs="宋体"/>
          <w:color w:val="auto"/>
          <w:kern w:val="0"/>
          <w:highlight w:val="none"/>
        </w:rPr>
      </w:pPr>
      <w:r>
        <w:rPr>
          <w:rFonts w:hint="eastAsia" w:ascii="宋体" w:hAnsi="宋体" w:cs="宋体"/>
          <w:color w:val="auto"/>
          <w:kern w:val="0"/>
          <w:highlight w:val="none"/>
        </w:rPr>
        <w:t>33.1优先采购：</w:t>
      </w:r>
    </w:p>
    <w:p w14:paraId="21E05CBC">
      <w:pPr>
        <w:adjustRightInd w:val="0"/>
        <w:snapToGrid w:val="0"/>
        <w:spacing w:before="156" w:beforeLines="50" w:line="360" w:lineRule="auto"/>
        <w:ind w:firstLine="420" w:firstLineChars="200"/>
        <w:jc w:val="left"/>
        <w:rPr>
          <w:rFonts w:ascii="宋体" w:hAnsi="宋体"/>
          <w:color w:val="auto"/>
          <w:highlight w:val="none"/>
        </w:rPr>
      </w:pPr>
      <w:r>
        <w:rPr>
          <w:rFonts w:hint="eastAsia" w:ascii="宋体" w:hAnsi="宋体"/>
          <w:color w:val="auto"/>
          <w:highlight w:val="none"/>
        </w:rPr>
        <w:t>（1）</w:t>
      </w:r>
      <w:r>
        <w:rPr>
          <w:rFonts w:hint="eastAsia" w:ascii="宋体" w:hAnsi="宋体"/>
          <w:color w:val="auto"/>
          <w:szCs w:val="21"/>
          <w:highlight w:val="none"/>
        </w:rPr>
        <w:t>纳入财政部会同国务院有关部门发布的节能产品、环境标志产品政府采购品目清单，实施政府优先采购的，评审时按招标文件第四章第一节有关规定对该部分产品给予一定比例的价格折扣或者加分；</w:t>
      </w:r>
      <w:r>
        <w:rPr>
          <w:rFonts w:ascii="宋体" w:hAnsi="宋体"/>
          <w:color w:val="auto"/>
          <w:highlight w:val="none"/>
        </w:rPr>
        <w:t xml:space="preserve"> </w:t>
      </w:r>
    </w:p>
    <w:p w14:paraId="6B1DEA6F">
      <w:pPr>
        <w:adjustRightInd w:val="0"/>
        <w:snapToGrid w:val="0"/>
        <w:spacing w:before="156" w:beforeLines="50" w:line="360" w:lineRule="auto"/>
        <w:ind w:firstLine="420" w:firstLineChars="200"/>
        <w:jc w:val="left"/>
        <w:rPr>
          <w:rFonts w:ascii="宋体" w:hAnsi="宋体"/>
          <w:color w:val="auto"/>
          <w:highlight w:val="none"/>
        </w:rPr>
      </w:pPr>
      <w:r>
        <w:rPr>
          <w:rFonts w:hint="eastAsia" w:ascii="宋体" w:hAnsi="宋体"/>
          <w:color w:val="auto"/>
          <w:highlight w:val="none"/>
        </w:rPr>
        <w:t>（2）纳入湖南省财政厅等有关部门发布的湖南省两型产品政府采购目录的，实施政府优先采购，评审时按</w:t>
      </w:r>
      <w:r>
        <w:rPr>
          <w:rFonts w:hint="eastAsia" w:ascii="宋体" w:hAnsi="宋体"/>
          <w:color w:val="auto"/>
          <w:szCs w:val="21"/>
          <w:highlight w:val="none"/>
        </w:rPr>
        <w:t>招标文件第四章第一节有关规定对该部分产品</w:t>
      </w:r>
      <w:r>
        <w:rPr>
          <w:rFonts w:hint="eastAsia" w:ascii="宋体" w:hAnsi="宋体"/>
          <w:color w:val="auto"/>
          <w:highlight w:val="none"/>
        </w:rPr>
        <w:t>给予一定比例的价格折扣或者加分。</w:t>
      </w:r>
    </w:p>
    <w:p w14:paraId="6767B256">
      <w:pPr>
        <w:adjustRightInd w:val="0"/>
        <w:snapToGrid w:val="0"/>
        <w:spacing w:before="156" w:beforeLines="50" w:line="360" w:lineRule="auto"/>
        <w:ind w:firstLine="420" w:firstLineChars="200"/>
        <w:jc w:val="left"/>
        <w:rPr>
          <w:rFonts w:ascii="宋体" w:hAnsi="宋体" w:cs="宋体"/>
          <w:color w:val="auto"/>
          <w:kern w:val="0"/>
          <w:highlight w:val="none"/>
        </w:rPr>
      </w:pPr>
      <w:r>
        <w:rPr>
          <w:rFonts w:hint="eastAsia" w:ascii="宋体" w:hAnsi="宋体" w:cs="宋体"/>
          <w:color w:val="auto"/>
          <w:kern w:val="0"/>
          <w:highlight w:val="none"/>
        </w:rPr>
        <w:t>33.2强制采购：</w:t>
      </w:r>
    </w:p>
    <w:p w14:paraId="7C48D4B4">
      <w:pPr>
        <w:adjustRightInd w:val="0"/>
        <w:snapToGrid w:val="0"/>
        <w:spacing w:before="156" w:beforeLines="50" w:line="360" w:lineRule="auto"/>
        <w:ind w:firstLine="420" w:firstLineChars="200"/>
        <w:jc w:val="left"/>
        <w:rPr>
          <w:rFonts w:ascii="宋体" w:hAnsi="宋体" w:cs="宋体"/>
          <w:color w:val="auto"/>
          <w:kern w:val="0"/>
          <w:highlight w:val="none"/>
        </w:rPr>
      </w:pPr>
      <w:r>
        <w:rPr>
          <w:rFonts w:hint="eastAsia" w:ascii="宋体" w:hAnsi="宋体" w:cs="宋体"/>
          <w:color w:val="auto"/>
          <w:kern w:val="0"/>
          <w:highlight w:val="none"/>
        </w:rPr>
        <w:t>（1）纳入财政部会同国务院有关部门发布的节能产品政府采购品目清单，实施政府强制采购的（品目清单标注</w:t>
      </w:r>
      <w:r>
        <w:rPr>
          <w:rFonts w:hint="eastAsia" w:ascii="宋体" w:hAnsi="宋体" w:cs="宋体"/>
          <w:color w:val="auto"/>
          <w:kern w:val="0"/>
          <w:highlight w:val="none"/>
        </w:rPr>
        <w:sym w:font="Wingdings" w:char="F0AB"/>
      </w:r>
      <w:r>
        <w:rPr>
          <w:rFonts w:hint="eastAsia" w:ascii="宋体" w:hAnsi="宋体" w:cs="宋体"/>
          <w:color w:val="auto"/>
          <w:kern w:val="0"/>
          <w:highlight w:val="none"/>
        </w:rPr>
        <w:t>符号产品），投标人投标产品应当取得国家确定的认证机构出具的、处于有效期之内的节能产品认证证书，否则其</w:t>
      </w:r>
      <w:r>
        <w:rPr>
          <w:rFonts w:hint="eastAsia" w:ascii="宋体" w:hAnsi="宋体" w:cs="宋体"/>
          <w:b/>
          <w:color w:val="auto"/>
          <w:kern w:val="0"/>
          <w:szCs w:val="21"/>
          <w:highlight w:val="none"/>
        </w:rPr>
        <w:t>投标无效</w:t>
      </w:r>
      <w:r>
        <w:rPr>
          <w:rFonts w:hint="eastAsia" w:ascii="宋体" w:hAnsi="宋体" w:cs="宋体"/>
          <w:color w:val="auto"/>
          <w:kern w:val="0"/>
          <w:highlight w:val="none"/>
        </w:rPr>
        <w:t>。</w:t>
      </w:r>
    </w:p>
    <w:p w14:paraId="5EAEEDAC">
      <w:pPr>
        <w:adjustRightInd w:val="0"/>
        <w:snapToGrid w:val="0"/>
        <w:spacing w:before="156" w:beforeLines="50" w:line="360" w:lineRule="auto"/>
        <w:ind w:firstLine="420" w:firstLineChars="200"/>
        <w:jc w:val="left"/>
        <w:rPr>
          <w:rFonts w:ascii="宋体" w:hAnsi="宋体"/>
          <w:color w:val="auto"/>
          <w:highlight w:val="none"/>
        </w:rPr>
      </w:pPr>
      <w:r>
        <w:rPr>
          <w:rFonts w:hint="eastAsia" w:ascii="宋体" w:hAnsi="宋体"/>
          <w:color w:val="auto"/>
          <w:highlight w:val="none"/>
        </w:rPr>
        <w:t>33.3价格评审优惠：</w:t>
      </w:r>
    </w:p>
    <w:p w14:paraId="39959EFF">
      <w:pPr>
        <w:adjustRightInd w:val="0"/>
        <w:snapToGrid w:val="0"/>
        <w:spacing w:before="156" w:beforeLines="50" w:line="360" w:lineRule="auto"/>
        <w:ind w:firstLine="420" w:firstLineChars="200"/>
        <w:jc w:val="left"/>
        <w:rPr>
          <w:rFonts w:ascii="宋体" w:hAnsi="宋体"/>
          <w:color w:val="auto"/>
          <w:highlight w:val="none"/>
        </w:rPr>
      </w:pPr>
      <w:r>
        <w:rPr>
          <w:rFonts w:hint="eastAsia" w:ascii="宋体" w:hAnsi="宋体"/>
          <w:color w:val="auto"/>
          <w:highlight w:val="none"/>
        </w:rPr>
        <w:t>（1）在政府采购活动中，供应商提供的货物、工程或者服务符合下列情形的：</w:t>
      </w:r>
      <w:r>
        <w:rPr>
          <w:rFonts w:hint="eastAsia" w:ascii="宋体" w:hAnsi="宋体"/>
          <w:color w:val="auto"/>
          <w:highlight w:val="none"/>
          <w:lang w:eastAsia="zh-CN"/>
        </w:rPr>
        <w:t>（</w:t>
      </w:r>
      <w:r>
        <w:rPr>
          <w:rFonts w:hint="eastAsia" w:ascii="宋体" w:hAnsi="宋体"/>
          <w:color w:val="auto"/>
          <w:highlight w:val="none"/>
          <w:lang w:val="en-US" w:eastAsia="zh-CN"/>
        </w:rPr>
        <w:t>一</w:t>
      </w:r>
      <w:r>
        <w:rPr>
          <w:rFonts w:hint="eastAsia" w:ascii="宋体" w:hAnsi="宋体"/>
          <w:color w:val="auto"/>
          <w:highlight w:val="none"/>
          <w:lang w:eastAsia="zh-CN"/>
        </w:rPr>
        <w:t>）</w:t>
      </w:r>
      <w:r>
        <w:rPr>
          <w:rFonts w:hint="eastAsia" w:ascii="宋体" w:hAnsi="宋体"/>
          <w:color w:val="auto"/>
          <w:highlight w:val="none"/>
        </w:rPr>
        <w:t>在货物采购项目中，货物由中小企业制造，即货物由中小企业生产且使用该中小企业商号或者注册商标；（二）在工程采购项目中，工程由中小企业承建，即工程施工单位为中小企业；（三）在服务采购项目中，服务由中小企业承接，即提供服务的人员为中小企业依照《中华人民共和国</w:t>
      </w:r>
      <w:r>
        <w:rPr>
          <w:rFonts w:hint="eastAsia" w:ascii="宋体" w:hAnsi="宋体"/>
          <w:color w:val="auto"/>
          <w:highlight w:val="none"/>
          <w:lang w:val="en-US" w:eastAsia="zh-CN"/>
        </w:rPr>
        <w:t>劳动合同法</w:t>
      </w:r>
      <w:r>
        <w:rPr>
          <w:rFonts w:hint="eastAsia" w:ascii="宋体" w:hAnsi="宋体"/>
          <w:color w:val="auto"/>
          <w:highlight w:val="none"/>
        </w:rPr>
        <w:t>》订立劳动合同的从业人员</w:t>
      </w:r>
      <w:r>
        <w:rPr>
          <w:rFonts w:hint="eastAsia" w:ascii="宋体" w:hAnsi="宋体"/>
          <w:color w:val="auto"/>
          <w:highlight w:val="none"/>
          <w:lang w:eastAsia="zh-CN"/>
        </w:rPr>
        <w:t>；</w:t>
      </w:r>
      <w:r>
        <w:rPr>
          <w:rFonts w:hint="eastAsia" w:ascii="宋体" w:hAnsi="宋体"/>
          <w:color w:val="auto"/>
          <w:highlight w:val="none"/>
        </w:rPr>
        <w:t>给予一定比例的价格折扣，用扣除后的价格参与评审；</w:t>
      </w:r>
    </w:p>
    <w:p w14:paraId="1EB9F286">
      <w:pPr>
        <w:adjustRightInd w:val="0"/>
        <w:snapToGrid w:val="0"/>
        <w:spacing w:before="156" w:beforeLines="50" w:line="360" w:lineRule="auto"/>
        <w:ind w:firstLine="420" w:firstLineChars="200"/>
        <w:jc w:val="left"/>
        <w:rPr>
          <w:rFonts w:ascii="宋体" w:hAnsi="宋体"/>
          <w:color w:val="auto"/>
          <w:highlight w:val="none"/>
        </w:rPr>
      </w:pPr>
      <w:r>
        <w:rPr>
          <w:rFonts w:hint="eastAsia" w:ascii="宋体" w:hAnsi="宋体"/>
          <w:color w:val="auto"/>
          <w:highlight w:val="none"/>
        </w:rPr>
        <w:t>（2）对于经主管预算单位统筹后未预留份额专门面向中小企业采购的采购项目，以及预留份额项目中的非预留部分采购包，符合小微企业生产的货物或者提供的服务、工程情形的，给予一定比例的价格折扣，用扣除后的价格参与评审。</w:t>
      </w:r>
    </w:p>
    <w:p w14:paraId="23F9842A">
      <w:pPr>
        <w:adjustRightInd w:val="0"/>
        <w:snapToGrid w:val="0"/>
        <w:spacing w:before="156" w:beforeLines="50" w:line="360" w:lineRule="auto"/>
        <w:ind w:firstLine="420" w:firstLineChars="200"/>
        <w:jc w:val="left"/>
        <w:rPr>
          <w:rFonts w:ascii="宋体" w:hAnsi="宋体"/>
          <w:color w:val="auto"/>
          <w:highlight w:val="none"/>
        </w:rPr>
      </w:pPr>
      <w:r>
        <w:rPr>
          <w:rFonts w:hint="eastAsia" w:ascii="宋体" w:hAnsi="宋体"/>
          <w:color w:val="auto"/>
          <w:highlight w:val="none"/>
        </w:rPr>
        <w:t xml:space="preserve">接受大中型企业与小微企业组成联合体或者允许大中型企业向一家或者多家小微企业分包的采购项目，对于联合协议或者分包意向协议约定小微企业的合同份额占到合同总金额30%以上的，给予一定比例的价格折扣，用扣除后的价格参与评审。以联合体形式参加政府采购活动，联合体各方均为中小企业的，联合体视同中小企业。其中，联合体各方均为小微企业的，联合体视同小微企业； </w:t>
      </w:r>
    </w:p>
    <w:p w14:paraId="6E23EE2F">
      <w:pPr>
        <w:adjustRightInd w:val="0"/>
        <w:snapToGrid w:val="0"/>
        <w:spacing w:before="156" w:beforeLines="50" w:line="360" w:lineRule="auto"/>
        <w:ind w:firstLine="420" w:firstLineChars="200"/>
        <w:jc w:val="left"/>
        <w:rPr>
          <w:rFonts w:ascii="宋体" w:hAnsi="宋体"/>
          <w:color w:val="auto"/>
          <w:highlight w:val="none"/>
        </w:rPr>
      </w:pPr>
      <w:r>
        <w:rPr>
          <w:rFonts w:hint="eastAsia" w:ascii="宋体" w:hAnsi="宋体"/>
          <w:color w:val="auto"/>
          <w:highlight w:val="none"/>
        </w:rPr>
        <w:t>（3）符合中小企业划分标准的个体工商户视同中小企业，享受评审中价格扣除等促进中小企业发展的政府采购政策。</w:t>
      </w:r>
    </w:p>
    <w:p w14:paraId="303AA45B">
      <w:pPr>
        <w:adjustRightInd w:val="0"/>
        <w:snapToGrid w:val="0"/>
        <w:spacing w:before="156" w:beforeLines="50" w:line="360" w:lineRule="auto"/>
        <w:ind w:firstLine="420" w:firstLineChars="200"/>
        <w:jc w:val="left"/>
        <w:rPr>
          <w:rFonts w:ascii="宋体" w:hAnsi="宋体"/>
          <w:color w:val="auto"/>
          <w:highlight w:val="none"/>
        </w:rPr>
      </w:pPr>
      <w:r>
        <w:rPr>
          <w:rFonts w:hint="eastAsia" w:ascii="宋体" w:hAnsi="宋体"/>
          <w:color w:val="auto"/>
          <w:highlight w:val="none"/>
        </w:rPr>
        <w:t>（4）监狱企业、残疾人福利性单位视同小型、微型企业，享受评审中价格扣除等促进中小企业发展的政府采购政策。</w:t>
      </w:r>
    </w:p>
    <w:p w14:paraId="0B119D59">
      <w:pPr>
        <w:adjustRightInd w:val="0"/>
        <w:snapToGrid w:val="0"/>
        <w:spacing w:before="156" w:beforeLines="50" w:line="360" w:lineRule="auto"/>
        <w:ind w:firstLine="420" w:firstLineChars="200"/>
        <w:jc w:val="left"/>
        <w:rPr>
          <w:rFonts w:ascii="宋体" w:hAnsi="宋体"/>
          <w:color w:val="auto"/>
          <w:highlight w:val="none"/>
        </w:rPr>
      </w:pPr>
      <w:r>
        <w:rPr>
          <w:rFonts w:hint="eastAsia" w:ascii="宋体" w:hAnsi="宋体"/>
          <w:color w:val="auto"/>
          <w:highlight w:val="none"/>
        </w:rPr>
        <w:t xml:space="preserve">（5）与大企业的负责人为同一人，或者与大企业存在直接控股、管理关系的中小企业，不享受评审中价格扣除等促进中小企业发展的政府采购政策。 </w:t>
      </w:r>
    </w:p>
    <w:p w14:paraId="30895D01">
      <w:pPr>
        <w:adjustRightInd w:val="0"/>
        <w:snapToGrid w:val="0"/>
        <w:spacing w:before="156" w:beforeLines="50" w:line="360" w:lineRule="auto"/>
        <w:ind w:firstLine="420" w:firstLineChars="200"/>
        <w:jc w:val="left"/>
        <w:rPr>
          <w:rFonts w:ascii="宋体" w:hAnsi="宋体"/>
          <w:color w:val="auto"/>
          <w:highlight w:val="none"/>
        </w:rPr>
      </w:pPr>
      <w:r>
        <w:rPr>
          <w:rFonts w:hint="eastAsia" w:ascii="宋体" w:hAnsi="宋体"/>
          <w:color w:val="auto"/>
          <w:highlight w:val="none"/>
        </w:rPr>
        <w:t>（6）本章第1.2款规定采购项目或者采购包属于“预留采购份额”的，预留部分不再享受本款“价格评审优惠”的小微企业扶持政策。</w:t>
      </w:r>
    </w:p>
    <w:p w14:paraId="05F1EA50">
      <w:pPr>
        <w:adjustRightInd w:val="0"/>
        <w:snapToGrid w:val="0"/>
        <w:spacing w:before="156" w:beforeLines="50" w:line="360" w:lineRule="auto"/>
        <w:ind w:firstLine="420" w:firstLineChars="200"/>
        <w:jc w:val="left"/>
        <w:rPr>
          <w:rFonts w:ascii="宋体" w:hAnsi="宋体"/>
          <w:color w:val="auto"/>
          <w:highlight w:val="none"/>
        </w:rPr>
      </w:pPr>
      <w:r>
        <w:rPr>
          <w:rFonts w:hint="eastAsia" w:ascii="宋体" w:hAnsi="宋体"/>
          <w:color w:val="auto"/>
          <w:highlight w:val="none"/>
        </w:rPr>
        <w:t>33.4政府采购政策交叉与叠加</w:t>
      </w:r>
    </w:p>
    <w:p w14:paraId="25F90335">
      <w:pPr>
        <w:adjustRightInd w:val="0"/>
        <w:snapToGrid w:val="0"/>
        <w:spacing w:before="156" w:beforeLines="50" w:line="360" w:lineRule="auto"/>
        <w:ind w:firstLine="420" w:firstLineChars="200"/>
        <w:jc w:val="left"/>
        <w:rPr>
          <w:rFonts w:ascii="宋体" w:hAnsi="宋体"/>
          <w:color w:val="auto"/>
          <w:highlight w:val="none"/>
        </w:rPr>
      </w:pPr>
      <w:r>
        <w:rPr>
          <w:rFonts w:hint="eastAsia" w:ascii="宋体" w:hAnsi="宋体"/>
          <w:color w:val="auto"/>
          <w:highlight w:val="none"/>
        </w:rPr>
        <w:t>（1）投标产品取得两个及以上优先采购产品认证的，评审时只有其中一项产品能享受优先采购优惠（投标人自行选择，并在投标文件中并填报相关信息及数据）</w:t>
      </w:r>
    </w:p>
    <w:p w14:paraId="44F561AC">
      <w:pPr>
        <w:adjustRightInd w:val="0"/>
        <w:snapToGrid w:val="0"/>
        <w:spacing w:before="156" w:beforeLines="50" w:line="360" w:lineRule="auto"/>
        <w:ind w:firstLine="420" w:firstLineChars="200"/>
        <w:jc w:val="left"/>
        <w:rPr>
          <w:rFonts w:ascii="宋体" w:hAnsi="宋体"/>
          <w:color w:val="auto"/>
          <w:highlight w:val="none"/>
        </w:rPr>
      </w:pPr>
      <w:r>
        <w:rPr>
          <w:rFonts w:hint="eastAsia" w:ascii="宋体" w:hAnsi="宋体"/>
          <w:color w:val="auto"/>
          <w:highlight w:val="none"/>
        </w:rPr>
        <w:t>（2）投标人同时符合小型、微型企业及监狱企业、残疾人福利性单位要求的，评审时只有一种类型享受价格评审优惠政策；</w:t>
      </w:r>
    </w:p>
    <w:p w14:paraId="3EB2D6D3">
      <w:pPr>
        <w:adjustRightInd w:val="0"/>
        <w:snapToGrid w:val="0"/>
        <w:spacing w:before="156" w:beforeLines="50" w:line="360" w:lineRule="auto"/>
        <w:ind w:firstLine="420" w:firstLineChars="200"/>
        <w:jc w:val="left"/>
        <w:rPr>
          <w:rFonts w:ascii="宋体" w:hAnsi="宋体"/>
          <w:color w:val="auto"/>
          <w:highlight w:val="none"/>
        </w:rPr>
      </w:pPr>
      <w:r>
        <w:rPr>
          <w:rFonts w:hint="eastAsia" w:ascii="宋体" w:hAnsi="宋体"/>
          <w:color w:val="auto"/>
          <w:highlight w:val="none"/>
        </w:rPr>
        <w:t>（3）小型和微型企业的价格评审优惠可以与同时属于“节能产品”、“环境标志产品”及“两型产品”中的一项优先采购优惠累加计算。</w:t>
      </w:r>
    </w:p>
    <w:p w14:paraId="0EE824F8">
      <w:pPr>
        <w:adjustRightInd w:val="0"/>
        <w:snapToGrid w:val="0"/>
        <w:spacing w:before="156" w:beforeLines="50" w:line="360" w:lineRule="auto"/>
        <w:ind w:firstLine="420" w:firstLineChars="200"/>
        <w:jc w:val="left"/>
        <w:rPr>
          <w:rFonts w:ascii="宋体" w:hAnsi="宋体"/>
          <w:color w:val="auto"/>
          <w:highlight w:val="none"/>
        </w:rPr>
      </w:pPr>
      <w:r>
        <w:rPr>
          <w:rFonts w:hint="eastAsia" w:ascii="宋体" w:hAnsi="宋体"/>
          <w:color w:val="auto"/>
          <w:highlight w:val="none"/>
        </w:rPr>
        <w:t>33.5在货物采购项目中，供应商提供的货物既有中小企业制造货物，也有大型企业制造货物的，不享受政府采购中小企业扶持政策。</w:t>
      </w:r>
    </w:p>
    <w:p w14:paraId="450B12F1">
      <w:pPr>
        <w:adjustRightInd w:val="0"/>
        <w:snapToGrid w:val="0"/>
        <w:spacing w:before="156" w:beforeLines="50" w:line="360" w:lineRule="auto"/>
        <w:ind w:firstLine="420" w:firstLineChars="200"/>
        <w:jc w:val="left"/>
        <w:rPr>
          <w:rFonts w:ascii="宋体" w:hAnsi="宋体"/>
          <w:color w:val="auto"/>
          <w:highlight w:val="none"/>
        </w:rPr>
      </w:pPr>
      <w:r>
        <w:rPr>
          <w:rFonts w:hint="eastAsia" w:ascii="宋体" w:hAnsi="宋体"/>
          <w:color w:val="auto"/>
          <w:highlight w:val="none"/>
        </w:rPr>
        <w:t>33.6投标人符合本章第33.1款、第33.2款、第33.3款规定的，应提供相关证明资料。</w:t>
      </w:r>
    </w:p>
    <w:p w14:paraId="504963B0">
      <w:pPr>
        <w:adjustRightInd w:val="0"/>
        <w:snapToGrid w:val="0"/>
        <w:spacing w:before="156" w:beforeLines="50" w:line="360" w:lineRule="auto"/>
        <w:ind w:firstLine="420" w:firstLineChars="200"/>
        <w:jc w:val="left"/>
        <w:rPr>
          <w:rFonts w:ascii="宋体" w:hAnsi="宋体"/>
          <w:color w:val="auto"/>
          <w:highlight w:val="none"/>
        </w:rPr>
      </w:pPr>
      <w:r>
        <w:rPr>
          <w:rFonts w:hint="eastAsia" w:ascii="宋体" w:hAnsi="宋体"/>
          <w:color w:val="auto"/>
          <w:highlight w:val="none"/>
        </w:rPr>
        <w:t>（1）节能产品、环境标志产品：提供国家确定的认证机构出具的、处于有效期之内的节能产品、环境标志产品认证证书。</w:t>
      </w:r>
    </w:p>
    <w:p w14:paraId="79DD2175">
      <w:pPr>
        <w:adjustRightInd w:val="0"/>
        <w:snapToGrid w:val="0"/>
        <w:spacing w:before="156" w:beforeLines="50" w:line="360" w:lineRule="auto"/>
        <w:ind w:firstLine="420" w:firstLineChars="200"/>
        <w:jc w:val="left"/>
        <w:rPr>
          <w:rFonts w:ascii="宋体" w:hAnsi="宋体"/>
          <w:color w:val="auto"/>
          <w:highlight w:val="none"/>
        </w:rPr>
      </w:pPr>
      <w:r>
        <w:rPr>
          <w:rFonts w:hint="eastAsia" w:ascii="宋体" w:hAnsi="宋体"/>
          <w:color w:val="auto"/>
          <w:highlight w:val="none"/>
        </w:rPr>
        <w:t>（2）两型产品：提供《湖南省两型产品政府采购目录》（最新一期）文件首页和投标产品所在页（截图）。</w:t>
      </w:r>
    </w:p>
    <w:p w14:paraId="1F1A452C">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highlight w:val="none"/>
        </w:rPr>
        <w:t>（3）中小企业：</w:t>
      </w:r>
      <w:r>
        <w:rPr>
          <w:rFonts w:hint="eastAsia" w:ascii="宋体" w:hAnsi="宋体"/>
          <w:color w:val="auto"/>
          <w:highlight w:val="none"/>
          <w:lang w:val="en-US" w:eastAsia="zh-CN"/>
        </w:rPr>
        <w:t>货物类采购项目，</w:t>
      </w:r>
      <w:r>
        <w:rPr>
          <w:rFonts w:hint="eastAsia" w:ascii="宋体" w:hAnsi="宋体"/>
          <w:color w:val="auto"/>
          <w:highlight w:val="none"/>
        </w:rPr>
        <w:t>按《关于印发＜政府采购促进中小企业发展办法＞的通知》(财库[2020]46号) 和《关于印发中小企业划型标准规定的通知》（工信部联企业〔2011〕300号）文件规定提供中小企业声明函（格式）</w:t>
      </w:r>
      <w:r>
        <w:rPr>
          <w:rFonts w:hint="eastAsia" w:ascii="宋体" w:hAnsi="宋体"/>
          <w:color w:val="auto"/>
          <w:highlight w:val="none"/>
          <w:lang w:eastAsia="zh-CN"/>
        </w:rPr>
        <w:t>；</w:t>
      </w:r>
      <w:r>
        <w:rPr>
          <w:rFonts w:hint="eastAsia" w:ascii="宋体" w:hAnsi="宋体"/>
          <w:color w:val="auto"/>
          <w:highlight w:val="none"/>
          <w:lang w:val="en-US" w:eastAsia="zh-CN"/>
        </w:rPr>
        <w:t>服务类采购项目，按《湖南省财政厅关于政府采购促进中小企业发展的有关措施的通知》（湘财购[2022]17号）文件规定提供湖南省政府采购供应商资格承诺函（格式）</w:t>
      </w:r>
      <w:r>
        <w:rPr>
          <w:rFonts w:hint="eastAsia" w:ascii="宋体" w:hAnsi="宋体"/>
          <w:color w:val="auto"/>
          <w:szCs w:val="21"/>
          <w:highlight w:val="none"/>
        </w:rPr>
        <w:t>。</w:t>
      </w:r>
    </w:p>
    <w:p w14:paraId="73C8592E">
      <w:pPr>
        <w:pStyle w:val="30"/>
        <w:spacing w:line="360" w:lineRule="auto"/>
        <w:rPr>
          <w:rFonts w:ascii="宋体" w:hAnsi="宋体"/>
          <w:color w:val="auto"/>
          <w:szCs w:val="24"/>
          <w:highlight w:val="none"/>
        </w:rPr>
      </w:pPr>
      <w:r>
        <w:rPr>
          <w:rFonts w:hint="eastAsia" w:ascii="宋体" w:hAnsi="宋体"/>
          <w:color w:val="auto"/>
          <w:szCs w:val="24"/>
          <w:highlight w:val="none"/>
        </w:rPr>
        <w:t>（4）监狱企业：按《关于政府采购支持监狱企业发展有关问题的通知》(财库〔2014〕68号)文件规定提供证明文件。</w:t>
      </w:r>
    </w:p>
    <w:p w14:paraId="4299BE51">
      <w:pPr>
        <w:pStyle w:val="30"/>
        <w:spacing w:line="360" w:lineRule="auto"/>
        <w:rPr>
          <w:rFonts w:ascii="宋体" w:hAnsi="宋体"/>
          <w:color w:val="auto"/>
          <w:szCs w:val="24"/>
          <w:highlight w:val="none"/>
        </w:rPr>
      </w:pPr>
      <w:r>
        <w:rPr>
          <w:rFonts w:hint="eastAsia" w:ascii="宋体" w:hAnsi="宋体"/>
          <w:color w:val="auto"/>
          <w:szCs w:val="24"/>
          <w:highlight w:val="none"/>
        </w:rPr>
        <w:t>（5）残疾人福利性单位：按《关于促进残疾人就业政府采购政策的通知》(财库〔2017〕141号)文件规定提供《残疾人福利性单位声明函》（格式）。</w:t>
      </w:r>
    </w:p>
    <w:p w14:paraId="4F4CE91F">
      <w:pPr>
        <w:adjustRightInd w:val="0"/>
        <w:snapToGrid w:val="0"/>
        <w:spacing w:before="156" w:beforeLines="50" w:line="360" w:lineRule="auto"/>
        <w:ind w:firstLine="420" w:firstLineChars="200"/>
        <w:jc w:val="left"/>
        <w:rPr>
          <w:rFonts w:ascii="宋体" w:hAnsi="宋体" w:eastAsia="宋体"/>
          <w:color w:val="auto"/>
          <w:highlight w:val="none"/>
        </w:rPr>
      </w:pPr>
      <w:r>
        <w:rPr>
          <w:rFonts w:hint="eastAsia" w:ascii="宋体" w:hAnsi="宋体" w:eastAsia="宋体"/>
          <w:color w:val="auto"/>
          <w:highlight w:val="none"/>
        </w:rPr>
        <w:t>33.7执行中小企业预留采购份额政策的规定：</w:t>
      </w:r>
    </w:p>
    <w:p w14:paraId="75ED6610">
      <w:pPr>
        <w:adjustRightInd w:val="0"/>
        <w:snapToGrid w:val="0"/>
        <w:spacing w:before="156" w:beforeLines="50" w:line="360" w:lineRule="auto"/>
        <w:ind w:firstLine="420" w:firstLineChars="200"/>
        <w:jc w:val="left"/>
        <w:rPr>
          <w:rFonts w:ascii="宋体" w:hAnsi="宋体" w:eastAsia="宋体"/>
          <w:color w:val="auto"/>
          <w:highlight w:val="none"/>
        </w:rPr>
      </w:pPr>
      <w:r>
        <w:rPr>
          <w:rFonts w:hint="eastAsia" w:ascii="宋体" w:hAnsi="宋体" w:eastAsia="宋体"/>
          <w:color w:val="auto"/>
          <w:highlight w:val="none"/>
        </w:rPr>
        <w:t>（1）预留份额的采购项目或者采购包，应明确该项目或相关采购包专门面向中小企业采购，并作为供应商资格条件。</w:t>
      </w:r>
    </w:p>
    <w:p w14:paraId="3211C260">
      <w:pPr>
        <w:adjustRightInd w:val="0"/>
        <w:snapToGrid w:val="0"/>
        <w:spacing w:before="156" w:beforeLines="50" w:line="360" w:lineRule="auto"/>
        <w:ind w:firstLine="420" w:firstLineChars="200"/>
        <w:jc w:val="left"/>
        <w:rPr>
          <w:rFonts w:ascii="宋体" w:hAnsi="宋体" w:eastAsia="宋体"/>
          <w:color w:val="auto"/>
          <w:highlight w:val="none"/>
        </w:rPr>
      </w:pPr>
      <w:r>
        <w:rPr>
          <w:rFonts w:hint="eastAsia" w:ascii="宋体" w:hAnsi="宋体" w:eastAsia="宋体"/>
          <w:color w:val="auto"/>
          <w:highlight w:val="none"/>
        </w:rPr>
        <w:t>（2）要求以联合体形式参加或者合同分包的，应明确联合协议或者分包意向协议中中小企业合同金额应当达到的比例，并作为供应商资格条件。</w:t>
      </w:r>
    </w:p>
    <w:p w14:paraId="075C024F">
      <w:pPr>
        <w:adjustRightInd w:val="0"/>
        <w:snapToGrid w:val="0"/>
        <w:spacing w:before="156" w:beforeLines="50" w:line="360" w:lineRule="auto"/>
        <w:ind w:firstLine="420" w:firstLineChars="200"/>
        <w:jc w:val="left"/>
        <w:rPr>
          <w:rFonts w:ascii="宋体" w:hAnsi="宋体" w:eastAsia="宋体"/>
          <w:color w:val="auto"/>
          <w:highlight w:val="none"/>
        </w:rPr>
      </w:pPr>
      <w:r>
        <w:rPr>
          <w:rFonts w:hint="eastAsia" w:ascii="宋体" w:hAnsi="宋体" w:eastAsia="宋体"/>
          <w:color w:val="auto"/>
          <w:highlight w:val="none"/>
        </w:rPr>
        <w:t>（3）组成联合体或者接受分包合同的中小企业与联合体内其他企业(成员)、分包企业(投标人)之间不得存在直接控股、管理关系。</w:t>
      </w:r>
    </w:p>
    <w:p w14:paraId="2D56AB7B">
      <w:pPr>
        <w:adjustRightInd w:val="0"/>
        <w:snapToGrid w:val="0"/>
        <w:spacing w:before="156" w:beforeLines="50" w:line="360" w:lineRule="auto"/>
        <w:ind w:firstLine="420" w:firstLineChars="200"/>
        <w:jc w:val="left"/>
        <w:rPr>
          <w:rFonts w:hint="eastAsia" w:ascii="宋体" w:hAnsi="宋体" w:eastAsia="宋体"/>
          <w:color w:val="auto"/>
          <w:highlight w:val="none"/>
          <w:lang w:val="en-US" w:eastAsia="zh-CN"/>
        </w:rPr>
      </w:pPr>
      <w:r>
        <w:rPr>
          <w:rFonts w:hint="eastAsia" w:ascii="宋体" w:hAnsi="宋体" w:eastAsia="宋体"/>
          <w:color w:val="auto"/>
          <w:highlight w:val="none"/>
        </w:rPr>
        <w:t>33.8</w:t>
      </w:r>
      <w:r>
        <w:rPr>
          <w:rFonts w:hint="eastAsia" w:ascii="宋体" w:hAnsi="宋体"/>
          <w:color w:val="auto"/>
          <w:highlight w:val="none"/>
          <w:lang w:val="en-US" w:eastAsia="zh-CN"/>
        </w:rPr>
        <w:t>采购进口产品</w:t>
      </w:r>
    </w:p>
    <w:p w14:paraId="1FE00D1E">
      <w:pPr>
        <w:adjustRightInd w:val="0"/>
        <w:snapToGrid w:val="0"/>
        <w:spacing w:before="156" w:beforeLines="50" w:line="360" w:lineRule="auto"/>
        <w:ind w:firstLine="420" w:firstLineChars="200"/>
        <w:jc w:val="left"/>
        <w:rPr>
          <w:rFonts w:hint="eastAsia" w:ascii="宋体" w:hAnsi="宋体" w:eastAsia="宋体"/>
          <w:color w:val="auto"/>
          <w:highlight w:val="none"/>
        </w:rPr>
      </w:pPr>
      <w:r>
        <w:rPr>
          <w:rFonts w:hint="eastAsia" w:ascii="宋体" w:hAnsi="宋体" w:eastAsia="宋体" w:cs="宋体"/>
          <w:color w:val="auto"/>
          <w:kern w:val="0"/>
          <w:szCs w:val="21"/>
          <w:highlight w:val="none"/>
        </w:rPr>
        <w:t>进口产品是指符合《政府采购进口产品管理办法》（财库〔2007〕119号）和《关于政府采购进口产品管理有关问题的通知》（财办库〔2008〕248号）文件规定的产品。除</w:t>
      </w:r>
      <w:r>
        <w:rPr>
          <w:rFonts w:hint="eastAsia" w:ascii="宋体" w:hAnsi="宋体" w:eastAsia="宋体"/>
          <w:b/>
          <w:color w:val="auto"/>
          <w:szCs w:val="21"/>
          <w:highlight w:val="none"/>
        </w:rPr>
        <w:t>【投标须知前附表】</w:t>
      </w:r>
      <w:r>
        <w:rPr>
          <w:rFonts w:hint="eastAsia" w:ascii="宋体" w:hAnsi="宋体" w:eastAsia="宋体" w:cs="宋体"/>
          <w:color w:val="auto"/>
          <w:kern w:val="0"/>
          <w:szCs w:val="21"/>
          <w:highlight w:val="none"/>
        </w:rPr>
        <w:t>另有规定外，采购项目</w:t>
      </w:r>
      <w:r>
        <w:rPr>
          <w:rFonts w:hint="eastAsia" w:ascii="宋体" w:hAnsi="宋体" w:eastAsia="宋体" w:cs="宋体"/>
          <w:b/>
          <w:color w:val="auto"/>
          <w:kern w:val="0"/>
          <w:szCs w:val="21"/>
          <w:highlight w:val="none"/>
        </w:rPr>
        <w:t>拒绝进口产品参加投标</w:t>
      </w:r>
      <w:r>
        <w:rPr>
          <w:rFonts w:hint="eastAsia" w:ascii="宋体" w:hAnsi="宋体" w:eastAsia="宋体" w:cs="宋体"/>
          <w:color w:val="auto"/>
          <w:kern w:val="0"/>
          <w:szCs w:val="21"/>
          <w:highlight w:val="none"/>
        </w:rPr>
        <w:t>。本款规定同意购买进口产品的，不限制满足招标文件要求的国内产品参与投标竞争。</w:t>
      </w:r>
    </w:p>
    <w:p w14:paraId="3EE349F0">
      <w:pPr>
        <w:adjustRightInd w:val="0"/>
        <w:snapToGrid w:val="0"/>
        <w:spacing w:before="156" w:beforeLines="50" w:line="360" w:lineRule="auto"/>
        <w:ind w:firstLine="420" w:firstLineChars="200"/>
        <w:jc w:val="left"/>
        <w:rPr>
          <w:rFonts w:ascii="宋体" w:hAnsi="宋体" w:eastAsia="宋体"/>
          <w:color w:val="auto"/>
          <w:highlight w:val="none"/>
        </w:rPr>
      </w:pPr>
      <w:r>
        <w:rPr>
          <w:rFonts w:hint="eastAsia" w:ascii="宋体" w:hAnsi="宋体"/>
          <w:color w:val="auto"/>
          <w:highlight w:val="none"/>
          <w:lang w:val="en-US" w:eastAsia="zh-CN"/>
        </w:rPr>
        <w:t>33.9</w:t>
      </w:r>
      <w:r>
        <w:rPr>
          <w:rFonts w:hint="eastAsia" w:ascii="宋体" w:hAnsi="宋体" w:eastAsia="宋体"/>
          <w:color w:val="auto"/>
          <w:highlight w:val="none"/>
        </w:rPr>
        <w:t>投标人有融资、担保需求的，可登陆中国湖南政府采购网查询相关银行、担保机构业务。</w:t>
      </w:r>
    </w:p>
    <w:p w14:paraId="584287FD">
      <w:pPr>
        <w:pStyle w:val="4"/>
        <w:adjustRightInd w:val="0"/>
        <w:snapToGrid w:val="0"/>
        <w:spacing w:before="156" w:beforeLines="50" w:after="0" w:line="360" w:lineRule="auto"/>
        <w:jc w:val="center"/>
        <w:rPr>
          <w:rFonts w:ascii="黑体" w:hAnsi="黑体" w:eastAsia="黑体"/>
          <w:color w:val="auto"/>
          <w:sz w:val="28"/>
          <w:szCs w:val="28"/>
          <w:highlight w:val="none"/>
        </w:rPr>
      </w:pPr>
      <w:bookmarkStart w:id="30" w:name="_Toc5459"/>
      <w:r>
        <w:rPr>
          <w:rFonts w:hint="eastAsia" w:ascii="黑体" w:hAnsi="黑体" w:eastAsia="黑体"/>
          <w:color w:val="auto"/>
          <w:sz w:val="28"/>
          <w:szCs w:val="28"/>
          <w:highlight w:val="none"/>
        </w:rPr>
        <w:t>九、其他规定</w:t>
      </w:r>
      <w:bookmarkEnd w:id="30"/>
    </w:p>
    <w:p w14:paraId="42AD697B">
      <w:pPr>
        <w:adjustRightInd w:val="0"/>
        <w:snapToGrid w:val="0"/>
        <w:spacing w:before="156" w:beforeLines="50" w:line="360" w:lineRule="auto"/>
        <w:jc w:val="left"/>
        <w:rPr>
          <w:rFonts w:ascii="宋体" w:hAnsi="宋体" w:eastAsia="宋体"/>
          <w:b/>
          <w:color w:val="auto"/>
          <w:sz w:val="24"/>
          <w:highlight w:val="none"/>
        </w:rPr>
      </w:pPr>
      <w:r>
        <w:rPr>
          <w:rFonts w:hint="eastAsia" w:ascii="宋体" w:hAnsi="宋体" w:eastAsia="宋体"/>
          <w:b/>
          <w:bCs/>
          <w:color w:val="auto"/>
          <w:sz w:val="24"/>
          <w:highlight w:val="none"/>
        </w:rPr>
        <w:t>34.</w:t>
      </w:r>
      <w:r>
        <w:rPr>
          <w:rFonts w:hint="eastAsia" w:ascii="宋体" w:hAnsi="宋体" w:eastAsia="宋体"/>
          <w:color w:val="auto"/>
          <w:sz w:val="24"/>
          <w:highlight w:val="none"/>
        </w:rPr>
        <w:t xml:space="preserve"> </w:t>
      </w:r>
      <w:r>
        <w:rPr>
          <w:rFonts w:hint="eastAsia" w:ascii="宋体" w:hAnsi="宋体" w:eastAsia="宋体"/>
          <w:b/>
          <w:color w:val="auto"/>
          <w:sz w:val="24"/>
          <w:highlight w:val="none"/>
        </w:rPr>
        <w:t>招标不足三家处理</w:t>
      </w:r>
    </w:p>
    <w:p w14:paraId="3C65FC14">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34.1公开招标数额标准以上的采购项目，投标截止后投标人不足3家或者通过资格审查或符合性审查的投标人不足3家的，除采购任务取消情形外，按照以下方式处理：</w:t>
      </w:r>
    </w:p>
    <w:p w14:paraId="213C8386">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（1）招标文件存在不合理条款或者招标程序不符合规定的，采购人、采购代理机构改正后依法重新招标；</w:t>
      </w:r>
    </w:p>
    <w:p w14:paraId="126B7E71">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（2）招标文件没有不合理条款、招标程序符合规定，需要采用其他采购方式采购的，采购人应当依法报财政部门批准。</w:t>
      </w:r>
    </w:p>
    <w:p w14:paraId="5CACC34F">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34.2属上款第（2）项情形的，评标委员会应出具的招标文件没有不合理条款的论证意见。</w:t>
      </w:r>
    </w:p>
    <w:p w14:paraId="1300B588">
      <w:pPr>
        <w:adjustRightInd w:val="0"/>
        <w:snapToGrid w:val="0"/>
        <w:spacing w:before="156" w:beforeLines="50" w:line="360" w:lineRule="auto"/>
        <w:jc w:val="left"/>
        <w:rPr>
          <w:rFonts w:ascii="宋体" w:hAnsi="宋体"/>
          <w:b/>
          <w:color w:val="auto"/>
          <w:sz w:val="24"/>
          <w:highlight w:val="none"/>
        </w:rPr>
      </w:pPr>
      <w:r>
        <w:rPr>
          <w:rFonts w:hint="eastAsia" w:ascii="宋体" w:hAnsi="宋体"/>
          <w:b/>
          <w:bCs/>
          <w:color w:val="auto"/>
          <w:sz w:val="24"/>
          <w:highlight w:val="none"/>
        </w:rPr>
        <w:t>35.</w:t>
      </w:r>
      <w:r>
        <w:rPr>
          <w:rFonts w:hint="eastAsia" w:ascii="宋体" w:hAnsi="宋体"/>
          <w:b/>
          <w:color w:val="auto"/>
          <w:sz w:val="24"/>
          <w:highlight w:val="none"/>
        </w:rPr>
        <w:t xml:space="preserve"> 需要补充的其他内容</w:t>
      </w:r>
    </w:p>
    <w:p w14:paraId="4737752C">
      <w:pPr>
        <w:adjustRightInd w:val="0"/>
        <w:snapToGrid w:val="0"/>
        <w:spacing w:before="156" w:beforeLines="50" w:line="360" w:lineRule="auto"/>
        <w:ind w:firstLine="420" w:firstLineChars="200"/>
        <w:jc w:val="left"/>
        <w:rPr>
          <w:rFonts w:ascii="宋体" w:hAnsi="宋体"/>
          <w:color w:val="auto"/>
          <w:highlight w:val="none"/>
        </w:rPr>
      </w:pPr>
      <w:r>
        <w:rPr>
          <w:rFonts w:hint="eastAsia" w:ascii="宋体" w:hAnsi="宋体"/>
          <w:color w:val="auto"/>
          <w:highlight w:val="none"/>
        </w:rPr>
        <w:t>35.1合同价款支付</w:t>
      </w:r>
    </w:p>
    <w:p w14:paraId="11C0B08F">
      <w:pPr>
        <w:adjustRightInd w:val="0"/>
        <w:snapToGrid w:val="0"/>
        <w:spacing w:before="156" w:beforeLines="50" w:line="360" w:lineRule="auto"/>
        <w:ind w:firstLine="420" w:firstLineChars="200"/>
        <w:jc w:val="left"/>
        <w:rPr>
          <w:rFonts w:ascii="宋体" w:hAnsi="宋体"/>
          <w:color w:val="auto"/>
          <w:highlight w:val="none"/>
        </w:rPr>
      </w:pPr>
      <w:r>
        <w:rPr>
          <w:rFonts w:hint="eastAsia" w:ascii="宋体" w:hAnsi="宋体"/>
          <w:color w:val="auto"/>
          <w:highlight w:val="none"/>
        </w:rPr>
        <w:t>（1）招标文件</w:t>
      </w:r>
      <w:r>
        <w:rPr>
          <w:rFonts w:hint="eastAsia" w:ascii="宋体" w:hAnsi="宋体"/>
          <w:bCs/>
          <w:color w:val="auto"/>
          <w:szCs w:val="21"/>
          <w:highlight w:val="none"/>
        </w:rPr>
        <w:t>规定支付合同预付款的，采购人应按</w:t>
      </w:r>
      <w:r>
        <w:rPr>
          <w:rFonts w:hint="eastAsia" w:ascii="宋体" w:hAnsi="宋体"/>
          <w:b/>
          <w:color w:val="auto"/>
          <w:szCs w:val="21"/>
          <w:highlight w:val="none"/>
        </w:rPr>
        <w:t>【投标须知前附表】</w:t>
      </w:r>
      <w:r>
        <w:rPr>
          <w:rFonts w:hint="eastAsia" w:ascii="宋体" w:hAnsi="宋体"/>
          <w:bCs/>
          <w:color w:val="auto"/>
          <w:szCs w:val="21"/>
          <w:highlight w:val="none"/>
        </w:rPr>
        <w:t>规定的支付比例和支付条件向符合要求的中标供应商及时支付相应款项，并在政府采购合同中进行明确。</w:t>
      </w:r>
    </w:p>
    <w:p w14:paraId="162CE8A0">
      <w:pPr>
        <w:pStyle w:val="30"/>
        <w:spacing w:line="360" w:lineRule="auto"/>
        <w:rPr>
          <w:rFonts w:ascii="宋体" w:hAnsi="宋体"/>
          <w:bCs/>
          <w:color w:val="auto"/>
          <w:highlight w:val="none"/>
        </w:rPr>
      </w:pPr>
      <w:r>
        <w:rPr>
          <w:rFonts w:hint="eastAsia" w:ascii="宋体" w:hAnsi="宋体"/>
          <w:color w:val="auto"/>
          <w:highlight w:val="none"/>
        </w:rPr>
        <w:t>（2）招标文件</w:t>
      </w:r>
      <w:r>
        <w:rPr>
          <w:rFonts w:hint="eastAsia" w:ascii="宋体" w:hAnsi="宋体"/>
          <w:bCs/>
          <w:color w:val="auto"/>
          <w:highlight w:val="none"/>
        </w:rPr>
        <w:t>规定需提交质量保证金的，采购人可以按</w:t>
      </w:r>
      <w:r>
        <w:rPr>
          <w:rFonts w:hint="eastAsia" w:ascii="宋体" w:hAnsi="宋体"/>
          <w:b/>
          <w:color w:val="auto"/>
          <w:highlight w:val="none"/>
        </w:rPr>
        <w:t>【投标须知前附表】</w:t>
      </w:r>
      <w:r>
        <w:rPr>
          <w:rFonts w:hint="eastAsia" w:ascii="宋体" w:hAnsi="宋体"/>
          <w:bCs/>
          <w:color w:val="auto"/>
          <w:highlight w:val="none"/>
        </w:rPr>
        <w:t>规定要求中标供应商提交质量保证金，并在政府采购合同中进行明确。</w:t>
      </w:r>
    </w:p>
    <w:p w14:paraId="5A61FB7F">
      <w:pPr>
        <w:pStyle w:val="30"/>
        <w:spacing w:line="360" w:lineRule="auto"/>
        <w:rPr>
          <w:rFonts w:ascii="宋体" w:hAnsi="宋体"/>
          <w:bCs/>
          <w:color w:val="auto"/>
          <w:highlight w:val="none"/>
        </w:rPr>
      </w:pPr>
      <w:r>
        <w:rPr>
          <w:rFonts w:hint="eastAsia" w:ascii="宋体" w:hAnsi="宋体"/>
          <w:bCs/>
          <w:color w:val="auto"/>
          <w:highlight w:val="none"/>
        </w:rPr>
        <w:t>（3）投标人可以保函替代预付款担保、质量保证金。</w:t>
      </w:r>
    </w:p>
    <w:p w14:paraId="45B097CE">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highlight w:val="none"/>
        </w:rPr>
        <w:t>35.2招标文件需要补充的其</w:t>
      </w:r>
      <w:r>
        <w:rPr>
          <w:rFonts w:hint="eastAsia" w:ascii="宋体" w:hAnsi="宋体"/>
          <w:color w:val="auto"/>
          <w:szCs w:val="21"/>
          <w:highlight w:val="none"/>
        </w:rPr>
        <w:t>他内容见</w:t>
      </w:r>
      <w:r>
        <w:rPr>
          <w:rFonts w:hint="eastAsia" w:ascii="宋体" w:hAnsi="宋体"/>
          <w:b/>
          <w:color w:val="auto"/>
          <w:szCs w:val="21"/>
          <w:highlight w:val="none"/>
        </w:rPr>
        <w:t>【投标须知前附表】</w:t>
      </w:r>
      <w:r>
        <w:rPr>
          <w:rFonts w:hint="eastAsia" w:ascii="宋体" w:hAnsi="宋体"/>
          <w:color w:val="auto"/>
          <w:szCs w:val="21"/>
          <w:highlight w:val="none"/>
        </w:rPr>
        <w:t>。</w:t>
      </w:r>
    </w:p>
    <w:p w14:paraId="3F8DAAEE">
      <w:pPr>
        <w:adjustRightInd w:val="0"/>
        <w:snapToGrid w:val="0"/>
        <w:spacing w:beforeLines="50" w:line="360" w:lineRule="auto"/>
        <w:jc w:val="left"/>
        <w:rPr>
          <w:rFonts w:ascii="宋体" w:hAnsi="宋体" w:eastAsia="宋体"/>
          <w:b/>
          <w:color w:val="auto"/>
          <w:sz w:val="24"/>
          <w:highlight w:val="none"/>
        </w:rPr>
      </w:pPr>
      <w:r>
        <w:rPr>
          <w:rFonts w:hint="eastAsia" w:ascii="宋体" w:hAnsi="宋体" w:eastAsia="宋体" w:cs="宋体"/>
          <w:b/>
          <w:color w:val="auto"/>
          <w:kern w:val="0"/>
          <w:sz w:val="24"/>
          <w:highlight w:val="none"/>
        </w:rPr>
        <w:t>36.</w:t>
      </w:r>
      <w:r>
        <w:rPr>
          <w:rFonts w:hint="eastAsia" w:ascii="宋体" w:hAnsi="宋体" w:eastAsia="宋体"/>
          <w:b/>
          <w:color w:val="auto"/>
          <w:sz w:val="24"/>
          <w:highlight w:val="none"/>
        </w:rPr>
        <w:t xml:space="preserve"> 需要补充的其他内容</w:t>
      </w:r>
    </w:p>
    <w:p w14:paraId="145FC348">
      <w:pPr>
        <w:adjustRightInd w:val="0"/>
        <w:snapToGrid w:val="0"/>
        <w:spacing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highlight w:val="none"/>
        </w:rPr>
        <w:t>36.1招标文件需要补充的其</w:t>
      </w:r>
      <w:r>
        <w:rPr>
          <w:rFonts w:hint="eastAsia" w:ascii="宋体" w:hAnsi="宋体" w:eastAsia="宋体"/>
          <w:color w:val="auto"/>
          <w:szCs w:val="21"/>
          <w:highlight w:val="none"/>
        </w:rPr>
        <w:t>他内容见</w:t>
      </w:r>
      <w:r>
        <w:rPr>
          <w:rFonts w:hint="eastAsia" w:ascii="宋体" w:hAnsi="宋体" w:eastAsia="宋体"/>
          <w:b/>
          <w:color w:val="auto"/>
          <w:szCs w:val="21"/>
          <w:highlight w:val="none"/>
        </w:rPr>
        <w:t>【投标须知前附表】</w:t>
      </w:r>
      <w:r>
        <w:rPr>
          <w:rFonts w:hint="eastAsia" w:ascii="宋体" w:hAnsi="宋体" w:eastAsia="宋体"/>
          <w:color w:val="auto"/>
          <w:szCs w:val="21"/>
          <w:highlight w:val="none"/>
        </w:rPr>
        <w:t>。</w:t>
      </w:r>
    </w:p>
    <w:p w14:paraId="3BF6416F">
      <w:pPr>
        <w:pStyle w:val="15"/>
        <w:ind w:left="0" w:leftChars="0" w:firstLine="0" w:firstLineChars="0"/>
        <w:rPr>
          <w:color w:val="auto"/>
          <w:highlight w:val="none"/>
        </w:rPr>
      </w:pPr>
    </w:p>
    <w:p w14:paraId="1DA6869D">
      <w:pPr>
        <w:pStyle w:val="2"/>
        <w:jc w:val="center"/>
        <w:rPr>
          <w:rFonts w:ascii="黑体" w:hAnsi="黑体" w:eastAsia="黑体"/>
          <w:color w:val="auto"/>
          <w:sz w:val="32"/>
          <w:szCs w:val="32"/>
          <w:highlight w:val="none"/>
        </w:rPr>
      </w:pPr>
      <w:bookmarkStart w:id="31" w:name="_Toc8452"/>
      <w:r>
        <w:rPr>
          <w:rFonts w:hint="eastAsia" w:ascii="黑体" w:hAnsi="黑体" w:eastAsia="黑体"/>
          <w:color w:val="auto"/>
          <w:sz w:val="32"/>
          <w:szCs w:val="32"/>
          <w:highlight w:val="none"/>
        </w:rPr>
        <w:t>第三章 资格审查</w:t>
      </w:r>
      <w:bookmarkEnd w:id="31"/>
    </w:p>
    <w:p w14:paraId="2C6B9CD1">
      <w:pPr>
        <w:pStyle w:val="4"/>
        <w:adjustRightInd w:val="0"/>
        <w:snapToGrid w:val="0"/>
        <w:spacing w:before="156" w:beforeLines="50" w:after="0" w:line="360" w:lineRule="auto"/>
        <w:rPr>
          <w:rFonts w:ascii="黑体" w:hAnsi="黑体" w:eastAsia="黑体"/>
          <w:color w:val="auto"/>
          <w:sz w:val="24"/>
          <w:szCs w:val="24"/>
          <w:highlight w:val="none"/>
        </w:rPr>
      </w:pPr>
      <w:bookmarkStart w:id="32" w:name="_Toc26293"/>
      <w:r>
        <w:rPr>
          <w:rFonts w:hint="eastAsia" w:ascii="黑体" w:hAnsi="黑体" w:eastAsia="黑体"/>
          <w:color w:val="auto"/>
          <w:sz w:val="24"/>
          <w:szCs w:val="24"/>
          <w:highlight w:val="none"/>
        </w:rPr>
        <w:t>1．资格审查主体</w:t>
      </w:r>
      <w:bookmarkEnd w:id="32"/>
    </w:p>
    <w:p w14:paraId="65EA8397">
      <w:pPr>
        <w:adjustRightInd w:val="0"/>
        <w:snapToGrid w:val="0"/>
        <w:spacing w:before="156" w:beforeLines="50" w:line="360" w:lineRule="auto"/>
        <w:ind w:firstLine="417" w:firstLineChars="199"/>
        <w:jc w:val="left"/>
        <w:rPr>
          <w:rFonts w:ascii="宋体" w:hAnsi="宋体" w:eastAsia="宋体"/>
          <w:color w:val="auto"/>
          <w:szCs w:val="21"/>
          <w:highlight w:val="none"/>
        </w:rPr>
      </w:pPr>
      <w:r>
        <w:rPr>
          <w:rFonts w:hint="eastAsia" w:ascii="宋体" w:hAnsi="宋体" w:eastAsia="宋体"/>
          <w:color w:val="auto"/>
          <w:szCs w:val="21"/>
          <w:highlight w:val="none"/>
        </w:rPr>
        <w:t>1.1资格审查主体：采购人、采购代理机构负责资格审查。</w:t>
      </w:r>
    </w:p>
    <w:p w14:paraId="555BF784">
      <w:pPr>
        <w:pStyle w:val="4"/>
        <w:adjustRightInd w:val="0"/>
        <w:snapToGrid w:val="0"/>
        <w:spacing w:before="156" w:beforeLines="50" w:after="0" w:line="360" w:lineRule="auto"/>
        <w:rPr>
          <w:rFonts w:ascii="黑体" w:hAnsi="黑体" w:eastAsia="黑体"/>
          <w:color w:val="auto"/>
          <w:sz w:val="24"/>
          <w:szCs w:val="24"/>
          <w:highlight w:val="none"/>
        </w:rPr>
      </w:pPr>
      <w:bookmarkStart w:id="33" w:name="_Toc20161"/>
      <w:r>
        <w:rPr>
          <w:rFonts w:hint="eastAsia" w:ascii="黑体" w:hAnsi="黑体" w:eastAsia="黑体"/>
          <w:color w:val="auto"/>
          <w:sz w:val="24"/>
          <w:szCs w:val="24"/>
          <w:highlight w:val="none"/>
        </w:rPr>
        <w:t>2．资格审查</w:t>
      </w:r>
      <w:bookmarkEnd w:id="33"/>
    </w:p>
    <w:p w14:paraId="728ED18F">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2.1资格审查依据法律法规和招标文件的规定，对投标文件中的资格证明文件、投标保证金、投标报价等进行审查，以确定投标供应商是否具备投标资格。</w:t>
      </w:r>
    </w:p>
    <w:p w14:paraId="39317158">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2.2采购人、采购代理机构按本章附表1“资格审查表”所列审查项目及审查标准，对投标人资格进行审查。</w:t>
      </w:r>
    </w:p>
    <w:p w14:paraId="14E2CA0B">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2.3在资格审查时，投标人存在下列情况之一的，资格审查不合格，其投标无效：</w:t>
      </w:r>
    </w:p>
    <w:p w14:paraId="2472A8C3">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（1）不具备招标文件中规定的资格要求的，或提交的资格证明文件不符合招标文件要求的；</w:t>
      </w:r>
    </w:p>
    <w:p w14:paraId="09E703E7">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（2）联合体投标未提交联合体协议书，或未提交联合体各方资格证明文件的；</w:t>
      </w:r>
    </w:p>
    <w:p w14:paraId="6B30CC43">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（3）投标文件的资格证明文件未按照招标文件要求签署、盖章的；</w:t>
      </w:r>
    </w:p>
    <w:p w14:paraId="05A8B7B8">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（4）未按照招标文件的规定提交投标保证金的。</w:t>
      </w:r>
    </w:p>
    <w:p w14:paraId="5F6E4CC2">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（5）投标报价超过招标文件中规定的预算金额或者最高限价的；</w:t>
      </w:r>
    </w:p>
    <w:p w14:paraId="08730E1F">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（6）法律、法规和招标文件规定的其他投标无效情形的。</w:t>
      </w:r>
    </w:p>
    <w:p w14:paraId="610E4EDB">
      <w:pPr>
        <w:adjustRightInd w:val="0"/>
        <w:snapToGrid w:val="0"/>
        <w:spacing w:before="156" w:beforeLines="50" w:line="360" w:lineRule="auto"/>
        <w:ind w:firstLine="420" w:firstLineChars="200"/>
        <w:jc w:val="left"/>
        <w:rPr>
          <w:rFonts w:ascii="宋体" w:hAnsi="宋体" w:eastAsia="宋体"/>
          <w:b/>
          <w:color w:val="auto"/>
          <w:sz w:val="32"/>
          <w:szCs w:val="32"/>
          <w:highlight w:val="none"/>
        </w:rPr>
      </w:pPr>
      <w:r>
        <w:rPr>
          <w:rFonts w:hint="eastAsia" w:ascii="宋体" w:hAnsi="宋体" w:eastAsia="宋体"/>
          <w:color w:val="auto"/>
          <w:highlight w:val="none"/>
        </w:rPr>
        <w:t>2.4信用记录。开标结束后</w:t>
      </w:r>
      <w:r>
        <w:rPr>
          <w:rFonts w:hint="eastAsia" w:ascii="宋体" w:hAnsi="宋体" w:eastAsia="宋体"/>
          <w:color w:val="auto"/>
          <w:szCs w:val="21"/>
          <w:highlight w:val="none"/>
        </w:rPr>
        <w:t>资格审查时，采购人、采购代理机构将对投标人信用记录进行甄别。</w:t>
      </w:r>
    </w:p>
    <w:p w14:paraId="3B6A198A">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（1）信用信息查询的查询渠道：信用中国网（www.creditchina.gov.cn）、中国政府采购网（www.ccgp.gov.cn）；</w:t>
      </w:r>
    </w:p>
    <w:p w14:paraId="6D4DBB29">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2）不良信用记录是指：投标人在“信用中国”网站被列入失信被执行人和重大税收违法失信主体名单，或在“中国政府采购网”网站被列入政府采购严重违法失信行为记录名单。投标人有上述不良信用记录的，其投标无效，其中，列入政府采购严重违法失信行为记录名单的，按处罚结果执行。</w:t>
      </w:r>
    </w:p>
    <w:p w14:paraId="722B8F6F">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（3）联合体形式投标的，联合体成员存在不良信用记录的，视同联合体存在不良信用记录。</w:t>
      </w:r>
    </w:p>
    <w:p w14:paraId="1113C5D8">
      <w:pPr>
        <w:adjustRightInd w:val="0"/>
        <w:snapToGrid w:val="0"/>
        <w:spacing w:before="156" w:beforeLines="50" w:afterAutospacing="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（4）信用信息查询记录和证据留存具体方式：</w:t>
      </w:r>
      <w:r>
        <w:rPr>
          <w:rFonts w:hint="eastAsia" w:ascii="宋体" w:hAnsi="宋体"/>
          <w:color w:val="auto"/>
          <w:szCs w:val="21"/>
          <w:highlight w:val="none"/>
        </w:rPr>
        <w:t>采购人、采购代理机构</w:t>
      </w:r>
      <w:r>
        <w:rPr>
          <w:rFonts w:ascii="宋体" w:hAnsi="宋体"/>
          <w:color w:val="auto"/>
          <w:szCs w:val="21"/>
          <w:highlight w:val="none"/>
        </w:rPr>
        <w:t>经办人将查询网页</w:t>
      </w:r>
      <w:r>
        <w:rPr>
          <w:rFonts w:hint="eastAsia" w:ascii="宋体" w:hAnsi="宋体"/>
          <w:color w:val="auto"/>
          <w:szCs w:val="21"/>
          <w:highlight w:val="none"/>
        </w:rPr>
        <w:t>截图、</w:t>
      </w:r>
      <w:r>
        <w:rPr>
          <w:rFonts w:ascii="宋体" w:hAnsi="宋体"/>
          <w:color w:val="auto"/>
          <w:szCs w:val="21"/>
          <w:highlight w:val="none"/>
        </w:rPr>
        <w:t>打印、签字</w:t>
      </w:r>
      <w:r>
        <w:rPr>
          <w:rFonts w:hint="eastAsia" w:ascii="宋体" w:hAnsi="宋体"/>
          <w:color w:val="auto"/>
          <w:szCs w:val="21"/>
          <w:highlight w:val="none"/>
        </w:rPr>
        <w:t>，作为查询记录和证据，与其他采购文件一并保存。</w:t>
      </w:r>
      <w:r>
        <w:rPr>
          <w:rFonts w:ascii="宋体" w:hAnsi="宋体"/>
          <w:color w:val="auto"/>
          <w:szCs w:val="21"/>
          <w:highlight w:val="none"/>
        </w:rPr>
        <w:t>投标人不良信用记录以</w:t>
      </w:r>
      <w:r>
        <w:rPr>
          <w:rFonts w:hint="eastAsia" w:ascii="宋体" w:hAnsi="宋体"/>
          <w:color w:val="auto"/>
          <w:szCs w:val="21"/>
          <w:highlight w:val="none"/>
        </w:rPr>
        <w:t>采购人、采购代理机构</w:t>
      </w:r>
      <w:r>
        <w:rPr>
          <w:rFonts w:ascii="宋体" w:hAnsi="宋体"/>
          <w:color w:val="auto"/>
          <w:szCs w:val="21"/>
          <w:highlight w:val="none"/>
        </w:rPr>
        <w:t>查询结果为准</w:t>
      </w:r>
      <w:r>
        <w:rPr>
          <w:rFonts w:hint="eastAsia" w:ascii="宋体" w:hAnsi="宋体"/>
          <w:color w:val="auto"/>
          <w:szCs w:val="21"/>
          <w:highlight w:val="none"/>
        </w:rPr>
        <w:t>。</w:t>
      </w:r>
    </w:p>
    <w:p w14:paraId="7B512A7F">
      <w:pPr>
        <w:pStyle w:val="4"/>
        <w:adjustRightInd w:val="0"/>
        <w:snapToGrid w:val="0"/>
        <w:spacing w:before="156" w:beforeLines="50" w:after="0" w:line="360" w:lineRule="auto"/>
        <w:rPr>
          <w:rFonts w:ascii="黑体" w:hAnsi="黑体" w:eastAsia="黑体"/>
          <w:color w:val="auto"/>
          <w:sz w:val="24"/>
          <w:szCs w:val="24"/>
          <w:highlight w:val="none"/>
        </w:rPr>
      </w:pPr>
      <w:bookmarkStart w:id="34" w:name="_Toc20723"/>
      <w:r>
        <w:rPr>
          <w:rFonts w:hint="eastAsia" w:ascii="黑体" w:hAnsi="黑体" w:eastAsia="黑体"/>
          <w:color w:val="auto"/>
          <w:sz w:val="24"/>
          <w:szCs w:val="24"/>
          <w:highlight w:val="none"/>
        </w:rPr>
        <w:t>3．资格审查结果</w:t>
      </w:r>
      <w:bookmarkEnd w:id="34"/>
    </w:p>
    <w:p w14:paraId="7A999AF8">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3.1未通过资格审查的投标人，采购人、采购代理机构应当告知其未通过的原因。</w:t>
      </w:r>
    </w:p>
    <w:p w14:paraId="56BACE96">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3.2资格审查结束后，采购人、采购代理机构应将资格审查结果告知评标委员会。</w:t>
      </w:r>
    </w:p>
    <w:p w14:paraId="3EDB823D">
      <w:pPr>
        <w:adjustRightInd w:val="0"/>
        <w:snapToGrid w:val="0"/>
        <w:spacing w:before="156" w:beforeLines="50" w:line="360" w:lineRule="auto"/>
        <w:jc w:val="left"/>
        <w:rPr>
          <w:rFonts w:ascii="华文中宋" w:hAnsi="华文中宋" w:eastAsia="华文中宋"/>
          <w:b/>
          <w:bCs/>
          <w:color w:val="auto"/>
          <w:sz w:val="10"/>
          <w:szCs w:val="10"/>
          <w:highlight w:val="none"/>
        </w:rPr>
      </w:pPr>
      <w:r>
        <w:rPr>
          <w:rFonts w:ascii="华文中宋" w:hAnsi="华文中宋" w:eastAsia="华文中宋"/>
          <w:color w:val="auto"/>
          <w:highlight w:val="none"/>
        </w:rPr>
        <w:br w:type="page"/>
      </w:r>
    </w:p>
    <w:p w14:paraId="38232C6C">
      <w:pPr>
        <w:pStyle w:val="5"/>
        <w:adjustRightInd w:val="0"/>
        <w:snapToGrid w:val="0"/>
        <w:spacing w:before="0" w:after="0" w:line="360" w:lineRule="auto"/>
        <w:ind w:left="218" w:leftChars="0" w:hanging="218" w:hangingChars="104"/>
        <w:rPr>
          <w:rFonts w:hint="eastAsia" w:ascii="黑体" w:hAnsi="黑体" w:eastAsia="黑体" w:cs="黑体"/>
          <w:b w:val="0"/>
          <w:bCs w:val="0"/>
          <w:color w:val="auto"/>
          <w:sz w:val="21"/>
          <w:szCs w:val="21"/>
          <w:highlight w:val="none"/>
        </w:rPr>
      </w:pPr>
      <w:bookmarkStart w:id="35" w:name="_Toc23718"/>
      <w:bookmarkStart w:id="36" w:name="_Toc10824"/>
      <w:bookmarkStart w:id="37" w:name="_Toc24792"/>
      <w:bookmarkStart w:id="38" w:name="_Toc14281"/>
      <w:r>
        <w:rPr>
          <w:rFonts w:hint="eastAsia" w:ascii="黑体" w:hAnsi="黑体" w:eastAsia="黑体" w:cs="黑体"/>
          <w:b w:val="0"/>
          <w:bCs w:val="0"/>
          <w:color w:val="auto"/>
          <w:sz w:val="21"/>
          <w:szCs w:val="21"/>
          <w:highlight w:val="none"/>
        </w:rPr>
        <w:t>附表1资格审查表</w:t>
      </w:r>
      <w:bookmarkEnd w:id="35"/>
      <w:bookmarkEnd w:id="36"/>
      <w:bookmarkEnd w:id="37"/>
      <w:bookmarkEnd w:id="38"/>
    </w:p>
    <w:p w14:paraId="1DB8E713">
      <w:pPr>
        <w:adjustRightInd w:val="0"/>
        <w:snapToGrid w:val="0"/>
        <w:spacing w:line="360" w:lineRule="auto"/>
        <w:jc w:val="center"/>
        <w:rPr>
          <w:rFonts w:ascii="黑体" w:hAnsi="黑体" w:eastAsia="黑体"/>
          <w:b/>
          <w:color w:val="auto"/>
          <w:sz w:val="28"/>
          <w:szCs w:val="28"/>
          <w:highlight w:val="none"/>
        </w:rPr>
      </w:pPr>
      <w:r>
        <w:rPr>
          <w:rFonts w:ascii="黑体" w:hAnsi="黑体" w:eastAsia="黑体"/>
          <w:b/>
          <w:color w:val="auto"/>
          <w:sz w:val="28"/>
          <w:szCs w:val="28"/>
          <w:highlight w:val="none"/>
        </w:rPr>
        <w:t>资格审查表</w:t>
      </w:r>
    </w:p>
    <w:p w14:paraId="17269753">
      <w:pPr>
        <w:adjustRightInd w:val="0"/>
        <w:snapToGrid w:val="0"/>
        <w:spacing w:line="360" w:lineRule="auto"/>
        <w:rPr>
          <w:rFonts w:ascii="黑体" w:hAnsi="黑体" w:eastAsia="黑体"/>
          <w:color w:val="auto"/>
          <w:sz w:val="28"/>
          <w:szCs w:val="28"/>
          <w:highlight w:val="none"/>
        </w:rPr>
      </w:pPr>
      <w:r>
        <w:rPr>
          <w:rFonts w:hint="eastAsia" w:ascii="宋体" w:hAnsi="宋体" w:eastAsia="宋体"/>
          <w:color w:val="auto"/>
          <w:szCs w:val="21"/>
          <w:highlight w:val="none"/>
        </w:rPr>
        <w:t>项目名称：</w:t>
      </w:r>
      <w:r>
        <w:rPr>
          <w:rFonts w:hint="eastAsia" w:ascii="宋体" w:hAnsi="宋体" w:eastAsia="宋体"/>
          <w:color w:val="auto"/>
          <w:szCs w:val="21"/>
          <w:highlight w:val="none"/>
          <w:u w:val="single"/>
        </w:rPr>
        <w:t xml:space="preserve">       </w:t>
      </w:r>
      <w:r>
        <w:rPr>
          <w:rFonts w:hint="eastAsia" w:ascii="宋体" w:hAnsi="宋体" w:eastAsia="宋体"/>
          <w:color w:val="auto"/>
          <w:szCs w:val="21"/>
          <w:highlight w:val="none"/>
        </w:rPr>
        <w:t xml:space="preserve">                                          </w:t>
      </w:r>
      <w:r>
        <w:rPr>
          <w:rFonts w:hint="eastAsia" w:ascii="宋体" w:hAnsi="宋体"/>
          <w:color w:val="auto"/>
          <w:szCs w:val="21"/>
          <w:highlight w:val="none"/>
          <w:lang w:eastAsia="zh-CN"/>
        </w:rPr>
        <w:t>政府采购</w:t>
      </w:r>
      <w:r>
        <w:rPr>
          <w:rFonts w:hint="eastAsia" w:ascii="宋体" w:hAnsi="宋体"/>
          <w:color w:val="auto"/>
          <w:szCs w:val="21"/>
          <w:highlight w:val="none"/>
          <w:lang w:val="en-US" w:eastAsia="zh-CN"/>
        </w:rPr>
        <w:t>计划</w:t>
      </w:r>
      <w:r>
        <w:rPr>
          <w:rFonts w:hint="eastAsia" w:ascii="宋体" w:hAnsi="宋体"/>
          <w:color w:val="auto"/>
          <w:szCs w:val="21"/>
          <w:highlight w:val="none"/>
          <w:lang w:eastAsia="zh-CN"/>
        </w:rPr>
        <w:t>编号</w:t>
      </w:r>
      <w:r>
        <w:rPr>
          <w:rFonts w:hint="eastAsia" w:ascii="宋体" w:hAnsi="宋体" w:eastAsia="宋体"/>
          <w:color w:val="auto"/>
          <w:szCs w:val="21"/>
          <w:highlight w:val="none"/>
        </w:rPr>
        <w:t>：</w:t>
      </w:r>
      <w:r>
        <w:rPr>
          <w:rFonts w:hint="eastAsia" w:ascii="宋体" w:hAnsi="宋体" w:eastAsia="宋体"/>
          <w:color w:val="auto"/>
          <w:szCs w:val="21"/>
          <w:highlight w:val="none"/>
          <w:u w:val="single"/>
        </w:rPr>
        <w:t xml:space="preserve">       </w:t>
      </w:r>
    </w:p>
    <w:tbl>
      <w:tblPr>
        <w:tblStyle w:val="25"/>
        <w:tblW w:w="9060"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83"/>
        <w:gridCol w:w="2793"/>
        <w:gridCol w:w="5584"/>
      </w:tblGrid>
      <w:tr w14:paraId="428166B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PrEx>
        <w:trPr>
          <w:trHeight w:val="532" w:hRule="atLeast"/>
        </w:trPr>
        <w:tc>
          <w:tcPr>
            <w:tcW w:w="683" w:type="dxa"/>
            <w:noWrap w:val="0"/>
            <w:vAlign w:val="center"/>
          </w:tcPr>
          <w:p w14:paraId="548E5C34">
            <w:pPr>
              <w:adjustRightInd w:val="0"/>
              <w:snapToGrid w:val="0"/>
              <w:spacing w:before="156" w:beforeLines="50" w:line="360" w:lineRule="auto"/>
              <w:jc w:val="center"/>
              <w:rPr>
                <w:rFonts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序号</w:t>
            </w:r>
          </w:p>
        </w:tc>
        <w:tc>
          <w:tcPr>
            <w:tcW w:w="2793" w:type="dxa"/>
            <w:noWrap w:val="0"/>
            <w:vAlign w:val="center"/>
          </w:tcPr>
          <w:p w14:paraId="743C3721">
            <w:pPr>
              <w:adjustRightInd w:val="0"/>
              <w:snapToGrid w:val="0"/>
              <w:spacing w:before="156" w:beforeLines="50" w:line="360" w:lineRule="auto"/>
              <w:jc w:val="center"/>
              <w:rPr>
                <w:rFonts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审查项目</w:t>
            </w:r>
          </w:p>
        </w:tc>
        <w:tc>
          <w:tcPr>
            <w:tcW w:w="5584" w:type="dxa"/>
            <w:noWrap w:val="0"/>
            <w:vAlign w:val="center"/>
          </w:tcPr>
          <w:p w14:paraId="09795B77">
            <w:pPr>
              <w:adjustRightInd w:val="0"/>
              <w:snapToGrid w:val="0"/>
              <w:spacing w:before="156" w:beforeLines="50" w:line="360" w:lineRule="auto"/>
              <w:jc w:val="center"/>
              <w:rPr>
                <w:rFonts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审查标准</w:t>
            </w:r>
          </w:p>
        </w:tc>
      </w:tr>
      <w:tr w14:paraId="430D9C0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noWrap w:val="0"/>
            <w:vAlign w:val="center"/>
          </w:tcPr>
          <w:p w14:paraId="381E10E1">
            <w:pPr>
              <w:adjustRightInd w:val="0"/>
              <w:snapToGrid w:val="0"/>
              <w:spacing w:before="156" w:beforeLines="50" w:line="360" w:lineRule="auto"/>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2793" w:type="dxa"/>
            <w:noWrap w:val="0"/>
            <w:vAlign w:val="center"/>
          </w:tcPr>
          <w:p w14:paraId="04F81FF1">
            <w:pPr>
              <w:adjustRightInd w:val="0"/>
              <w:snapToGrid w:val="0"/>
              <w:spacing w:before="156" w:beforeLines="50"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资格证明文件的签署、盖章</w:t>
            </w:r>
          </w:p>
        </w:tc>
        <w:tc>
          <w:tcPr>
            <w:tcW w:w="5584" w:type="dxa"/>
            <w:noWrap w:val="0"/>
            <w:vAlign w:val="center"/>
          </w:tcPr>
          <w:p w14:paraId="32110BDA">
            <w:pPr>
              <w:adjustRightInd w:val="0"/>
              <w:snapToGrid w:val="0"/>
              <w:spacing w:before="156" w:beforeLines="50"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未按招标文件格式及要求签署或盖章的，审查结果为不合格。</w:t>
            </w:r>
          </w:p>
        </w:tc>
      </w:tr>
      <w:tr w14:paraId="530C412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noWrap w:val="0"/>
            <w:vAlign w:val="center"/>
          </w:tcPr>
          <w:p w14:paraId="6098CD89">
            <w:pPr>
              <w:adjustRightInd w:val="0"/>
              <w:snapToGrid w:val="0"/>
              <w:spacing w:before="156" w:beforeLines="50" w:line="360" w:lineRule="auto"/>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p>
        </w:tc>
        <w:tc>
          <w:tcPr>
            <w:tcW w:w="2793" w:type="dxa"/>
            <w:noWrap w:val="0"/>
            <w:vAlign w:val="center"/>
          </w:tcPr>
          <w:p w14:paraId="05109C41">
            <w:pPr>
              <w:adjustRightInd w:val="0"/>
              <w:snapToGrid w:val="0"/>
              <w:spacing w:before="156" w:beforeLines="50"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投标保证金</w:t>
            </w:r>
          </w:p>
        </w:tc>
        <w:tc>
          <w:tcPr>
            <w:tcW w:w="5584" w:type="dxa"/>
            <w:noWrap w:val="0"/>
            <w:vAlign w:val="center"/>
          </w:tcPr>
          <w:p w14:paraId="31351B3E">
            <w:pPr>
              <w:adjustRightInd w:val="0"/>
              <w:snapToGrid w:val="0"/>
              <w:spacing w:before="156" w:beforeLines="50"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未按招标文件要求将投标保证金提交至指定保证金专户或保证金交纳金额不足的，审查结果为不合格。</w:t>
            </w:r>
          </w:p>
        </w:tc>
      </w:tr>
      <w:tr w14:paraId="53859BE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noWrap w:val="0"/>
            <w:vAlign w:val="center"/>
          </w:tcPr>
          <w:p w14:paraId="15394917">
            <w:pPr>
              <w:adjustRightInd w:val="0"/>
              <w:snapToGrid w:val="0"/>
              <w:spacing w:before="156" w:beforeLines="50" w:line="360" w:lineRule="auto"/>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3</w:t>
            </w:r>
          </w:p>
        </w:tc>
        <w:tc>
          <w:tcPr>
            <w:tcW w:w="2793" w:type="dxa"/>
            <w:noWrap w:val="0"/>
            <w:vAlign w:val="center"/>
          </w:tcPr>
          <w:p w14:paraId="4B4FECF3">
            <w:pPr>
              <w:adjustRightInd w:val="0"/>
              <w:snapToGrid w:val="0"/>
              <w:spacing w:before="156" w:beforeLines="50"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投标报价 </w:t>
            </w:r>
          </w:p>
        </w:tc>
        <w:tc>
          <w:tcPr>
            <w:tcW w:w="5584" w:type="dxa"/>
            <w:noWrap w:val="0"/>
            <w:vAlign w:val="center"/>
          </w:tcPr>
          <w:p w14:paraId="76D32AEB">
            <w:pPr>
              <w:adjustRightInd w:val="0"/>
              <w:snapToGrid w:val="0"/>
              <w:spacing w:before="156" w:beforeLines="50"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投标人投标报价超过采购预算或最高限价的（如果设定了最高限价），审查结果为不合格。</w:t>
            </w:r>
          </w:p>
        </w:tc>
      </w:tr>
      <w:tr w14:paraId="784ED70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noWrap w:val="0"/>
            <w:vAlign w:val="center"/>
          </w:tcPr>
          <w:p w14:paraId="5E02F41C">
            <w:pPr>
              <w:adjustRightInd w:val="0"/>
              <w:snapToGrid w:val="0"/>
              <w:spacing w:before="156" w:beforeLines="50" w:line="360" w:lineRule="auto"/>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4</w:t>
            </w:r>
          </w:p>
        </w:tc>
        <w:tc>
          <w:tcPr>
            <w:tcW w:w="2793" w:type="dxa"/>
            <w:noWrap w:val="0"/>
            <w:vAlign w:val="center"/>
          </w:tcPr>
          <w:p w14:paraId="0F75B7A5">
            <w:pPr>
              <w:adjustRightInd w:val="0"/>
              <w:snapToGrid w:val="0"/>
              <w:spacing w:before="156" w:beforeLines="50"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投标代表参与投标的授权书或身份证明</w:t>
            </w:r>
          </w:p>
        </w:tc>
        <w:tc>
          <w:tcPr>
            <w:tcW w:w="5584" w:type="dxa"/>
            <w:noWrap w:val="0"/>
            <w:vAlign w:val="center"/>
          </w:tcPr>
          <w:p w14:paraId="2DF57C7B">
            <w:pPr>
              <w:adjustRightInd w:val="0"/>
              <w:snapToGrid w:val="0"/>
              <w:spacing w:before="156" w:beforeLines="50"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法定代表人（单位负责人）身份证明（代理人投标须提供授权委托书并附法定代表人（单位负责人）身份证明（原件），未按要求提供的，审查结果为不合格。</w:t>
            </w:r>
          </w:p>
        </w:tc>
      </w:tr>
      <w:tr w14:paraId="734F9AC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noWrap w:val="0"/>
            <w:vAlign w:val="center"/>
          </w:tcPr>
          <w:p w14:paraId="1C336323">
            <w:pPr>
              <w:adjustRightInd w:val="0"/>
              <w:snapToGrid w:val="0"/>
              <w:spacing w:before="156" w:beforeLines="50" w:line="360" w:lineRule="auto"/>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5</w:t>
            </w:r>
          </w:p>
        </w:tc>
        <w:tc>
          <w:tcPr>
            <w:tcW w:w="2793" w:type="dxa"/>
            <w:noWrap w:val="0"/>
            <w:vAlign w:val="center"/>
          </w:tcPr>
          <w:p w14:paraId="5AA20FD7">
            <w:pPr>
              <w:adjustRightInd w:val="0"/>
              <w:snapToGrid w:val="0"/>
              <w:spacing w:before="156" w:beforeLines="50"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投标人资格声明、湖南省政府采购供应商资格承诺函</w:t>
            </w:r>
          </w:p>
        </w:tc>
        <w:tc>
          <w:tcPr>
            <w:tcW w:w="5584" w:type="dxa"/>
            <w:noWrap w:val="0"/>
            <w:vAlign w:val="center"/>
          </w:tcPr>
          <w:p w14:paraId="499082B2">
            <w:pPr>
              <w:adjustRightInd w:val="0"/>
              <w:snapToGrid w:val="0"/>
              <w:spacing w:before="156" w:beforeLines="50"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未按招标文件要求及格式提供投标人资格声明、湖南省政府采购供应商资格承诺函的，审查结果为不合格。</w:t>
            </w:r>
          </w:p>
        </w:tc>
      </w:tr>
      <w:tr w14:paraId="4747A7A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noWrap w:val="0"/>
            <w:vAlign w:val="center"/>
          </w:tcPr>
          <w:p w14:paraId="1E271010">
            <w:pPr>
              <w:adjustRightInd w:val="0"/>
              <w:snapToGrid w:val="0"/>
              <w:spacing w:before="156" w:beforeLines="50" w:line="360" w:lineRule="auto"/>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6</w:t>
            </w:r>
          </w:p>
        </w:tc>
        <w:tc>
          <w:tcPr>
            <w:tcW w:w="2793" w:type="dxa"/>
            <w:noWrap w:val="0"/>
            <w:vAlign w:val="center"/>
          </w:tcPr>
          <w:p w14:paraId="3A2ED685">
            <w:pPr>
              <w:adjustRightInd w:val="0"/>
              <w:snapToGrid w:val="0"/>
              <w:spacing w:before="156" w:beforeLines="50"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法人或者其他组织的营业执照等主体资格证明文件，自然人的身份证明</w:t>
            </w:r>
          </w:p>
        </w:tc>
        <w:tc>
          <w:tcPr>
            <w:tcW w:w="5584" w:type="dxa"/>
            <w:noWrap w:val="0"/>
            <w:vAlign w:val="center"/>
          </w:tcPr>
          <w:p w14:paraId="287121DC">
            <w:pPr>
              <w:adjustRightInd w:val="0"/>
              <w:snapToGrid w:val="0"/>
              <w:spacing w:before="156" w:beforeLines="50"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法人或者其他组织提供加盖单位公章的营业执照等主体资格证明文件复印件，自然人提供本人身份证，否则，审查结果为不合格。</w:t>
            </w:r>
          </w:p>
        </w:tc>
      </w:tr>
      <w:tr w14:paraId="010BF0D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noWrap w:val="0"/>
            <w:vAlign w:val="center"/>
          </w:tcPr>
          <w:p w14:paraId="4C5056D2">
            <w:pPr>
              <w:adjustRightInd w:val="0"/>
              <w:snapToGrid w:val="0"/>
              <w:spacing w:before="156" w:beforeLines="50" w:line="360" w:lineRule="auto"/>
              <w:jc w:val="center"/>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7</w:t>
            </w:r>
          </w:p>
        </w:tc>
        <w:tc>
          <w:tcPr>
            <w:tcW w:w="2793" w:type="dxa"/>
            <w:noWrap w:val="0"/>
            <w:vAlign w:val="center"/>
          </w:tcPr>
          <w:p w14:paraId="514936ED">
            <w:pPr>
              <w:adjustRightInd w:val="0"/>
              <w:snapToGrid w:val="0"/>
              <w:spacing w:before="156" w:beforeLines="50"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投标人信用查询记录</w:t>
            </w:r>
          </w:p>
        </w:tc>
        <w:tc>
          <w:tcPr>
            <w:tcW w:w="5584" w:type="dxa"/>
            <w:noWrap w:val="0"/>
            <w:vAlign w:val="center"/>
          </w:tcPr>
          <w:p w14:paraId="2BF08E29">
            <w:pPr>
              <w:adjustRightInd w:val="0"/>
              <w:snapToGrid w:val="0"/>
              <w:spacing w:before="156" w:beforeLines="50"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投标人在“信用中国”网站被列入失信被执行人和重大税收违法案件当事人名单，或在“中国政府采购网”网站被列入政府采购严重违法失信行为记录名单的，审查结果为不合格。</w:t>
            </w:r>
          </w:p>
        </w:tc>
      </w:tr>
      <w:tr w14:paraId="580CB5B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noWrap w:val="0"/>
            <w:vAlign w:val="center"/>
          </w:tcPr>
          <w:p w14:paraId="61B2646D">
            <w:pPr>
              <w:adjustRightInd w:val="0"/>
              <w:snapToGrid w:val="0"/>
              <w:spacing w:before="156" w:beforeLines="50" w:line="360" w:lineRule="auto"/>
              <w:jc w:val="center"/>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8</w:t>
            </w:r>
          </w:p>
        </w:tc>
        <w:tc>
          <w:tcPr>
            <w:tcW w:w="2793" w:type="dxa"/>
            <w:noWrap w:val="0"/>
            <w:vAlign w:val="center"/>
          </w:tcPr>
          <w:p w14:paraId="4E7AA058">
            <w:pPr>
              <w:adjustRightInd w:val="0"/>
              <w:snapToGrid w:val="0"/>
              <w:spacing w:before="156" w:beforeLines="50"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投标人特定资格证明材料</w:t>
            </w:r>
          </w:p>
        </w:tc>
        <w:tc>
          <w:tcPr>
            <w:tcW w:w="5584" w:type="dxa"/>
            <w:noWrap w:val="0"/>
            <w:vAlign w:val="center"/>
          </w:tcPr>
          <w:p w14:paraId="759C1387">
            <w:pPr>
              <w:adjustRightInd w:val="0"/>
              <w:snapToGrid w:val="0"/>
              <w:spacing w:before="156" w:beforeLines="50"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未按招标文件要求提供投标人特定资格证明材料的，审查结果为不合格。</w:t>
            </w:r>
          </w:p>
        </w:tc>
      </w:tr>
      <w:tr w14:paraId="2190329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92" w:hRule="atLeast"/>
        </w:trPr>
        <w:tc>
          <w:tcPr>
            <w:tcW w:w="683" w:type="dxa"/>
            <w:noWrap w:val="0"/>
            <w:vAlign w:val="center"/>
          </w:tcPr>
          <w:p w14:paraId="00356155">
            <w:pPr>
              <w:adjustRightInd w:val="0"/>
              <w:snapToGrid w:val="0"/>
              <w:spacing w:before="156" w:beforeLines="50" w:line="360" w:lineRule="auto"/>
              <w:jc w:val="center"/>
              <w:rPr>
                <w:rFonts w:ascii="宋体" w:hAnsi="宋体" w:eastAsia="宋体" w:cs="宋体"/>
                <w:color w:val="auto"/>
                <w:kern w:val="0"/>
                <w:sz w:val="20"/>
                <w:szCs w:val="21"/>
                <w:highlight w:val="none"/>
              </w:rPr>
            </w:pPr>
            <w:r>
              <w:rPr>
                <w:rFonts w:hint="eastAsia" w:ascii="宋体" w:hAnsi="宋体" w:eastAsia="宋体" w:cs="Times New Roman"/>
                <w:color w:val="auto"/>
                <w:kern w:val="0"/>
                <w:sz w:val="20"/>
                <w:szCs w:val="21"/>
                <w:highlight w:val="none"/>
              </w:rPr>
              <w:t>结论</w:t>
            </w:r>
          </w:p>
        </w:tc>
        <w:tc>
          <w:tcPr>
            <w:tcW w:w="8377" w:type="dxa"/>
            <w:gridSpan w:val="2"/>
            <w:noWrap w:val="0"/>
            <w:vAlign w:val="center"/>
          </w:tcPr>
          <w:p w14:paraId="1B0A3473">
            <w:pPr>
              <w:adjustRightInd w:val="0"/>
              <w:snapToGrid w:val="0"/>
              <w:spacing w:before="156" w:beforeLines="50" w:line="360" w:lineRule="auto"/>
              <w:jc w:val="center"/>
              <w:rPr>
                <w:rFonts w:ascii="宋体" w:hAnsi="宋体" w:eastAsia="宋体" w:cs="宋体"/>
                <w:color w:val="auto"/>
                <w:kern w:val="0"/>
                <w:szCs w:val="21"/>
                <w:highlight w:val="none"/>
              </w:rPr>
            </w:pPr>
          </w:p>
        </w:tc>
      </w:tr>
    </w:tbl>
    <w:p w14:paraId="1D33953F">
      <w:pPr>
        <w:widowControl/>
        <w:jc w:val="left"/>
        <w:rPr>
          <w:rFonts w:ascii="黑体" w:hAnsi="黑体" w:eastAsia="黑体"/>
          <w:bCs/>
          <w:color w:val="auto"/>
          <w:szCs w:val="21"/>
          <w:highlight w:val="none"/>
        </w:rPr>
      </w:pPr>
      <w:r>
        <w:rPr>
          <w:rFonts w:ascii="黑体" w:hAnsi="黑体"/>
          <w:b/>
          <w:color w:val="auto"/>
          <w:szCs w:val="21"/>
          <w:highlight w:val="none"/>
        </w:rPr>
        <w:br w:type="page"/>
      </w:r>
    </w:p>
    <w:p w14:paraId="4182E626">
      <w:pPr>
        <w:pStyle w:val="5"/>
        <w:adjustRightInd w:val="0"/>
        <w:snapToGrid w:val="0"/>
        <w:spacing w:before="0" w:after="0" w:line="360" w:lineRule="auto"/>
        <w:rPr>
          <w:rFonts w:ascii="黑体" w:hAnsi="黑体"/>
          <w:b w:val="0"/>
          <w:color w:val="auto"/>
          <w:sz w:val="21"/>
          <w:szCs w:val="21"/>
          <w:highlight w:val="none"/>
        </w:rPr>
      </w:pPr>
      <w:bookmarkStart w:id="39" w:name="_Toc24421"/>
      <w:bookmarkStart w:id="40" w:name="_Toc19467"/>
      <w:bookmarkStart w:id="41" w:name="_Toc2287"/>
      <w:bookmarkStart w:id="42" w:name="_Toc4536"/>
      <w:r>
        <w:rPr>
          <w:rFonts w:hint="eastAsia" w:ascii="黑体" w:hAnsi="黑体"/>
          <w:b w:val="0"/>
          <w:color w:val="auto"/>
          <w:sz w:val="21"/>
          <w:szCs w:val="21"/>
          <w:highlight w:val="none"/>
        </w:rPr>
        <w:t>附表2 资格审查结果一览表</w:t>
      </w:r>
      <w:bookmarkEnd w:id="39"/>
      <w:bookmarkEnd w:id="40"/>
      <w:bookmarkEnd w:id="41"/>
      <w:bookmarkEnd w:id="42"/>
    </w:p>
    <w:p w14:paraId="278EF59B">
      <w:pPr>
        <w:adjustRightInd w:val="0"/>
        <w:snapToGrid w:val="0"/>
        <w:spacing w:line="360" w:lineRule="auto"/>
        <w:jc w:val="center"/>
        <w:rPr>
          <w:rFonts w:ascii="黑体" w:hAnsi="黑体" w:eastAsia="黑体"/>
          <w:b/>
          <w:color w:val="auto"/>
          <w:sz w:val="28"/>
          <w:szCs w:val="28"/>
          <w:highlight w:val="none"/>
        </w:rPr>
      </w:pPr>
      <w:r>
        <w:rPr>
          <w:rFonts w:hint="eastAsia" w:ascii="黑体" w:hAnsi="黑体" w:eastAsia="黑体"/>
          <w:b/>
          <w:color w:val="auto"/>
          <w:sz w:val="28"/>
          <w:szCs w:val="28"/>
          <w:highlight w:val="none"/>
        </w:rPr>
        <w:t>资格审查结果一览表</w:t>
      </w:r>
    </w:p>
    <w:p w14:paraId="60AC5FED">
      <w:pPr>
        <w:adjustRightInd w:val="0"/>
        <w:snapToGrid w:val="0"/>
        <w:spacing w:line="360" w:lineRule="auto"/>
        <w:rPr>
          <w:rFonts w:ascii="宋体" w:hAnsi="宋体" w:eastAsia="宋体"/>
          <w:color w:val="auto"/>
          <w:szCs w:val="21"/>
          <w:highlight w:val="none"/>
        </w:rPr>
      </w:pPr>
      <w:r>
        <w:rPr>
          <w:rFonts w:hint="eastAsia" w:ascii="宋体" w:hAnsi="宋体" w:eastAsia="宋体"/>
          <w:color w:val="auto"/>
          <w:szCs w:val="21"/>
          <w:highlight w:val="none"/>
        </w:rPr>
        <w:t>项目名称：</w:t>
      </w:r>
      <w:r>
        <w:rPr>
          <w:rFonts w:hint="eastAsia" w:ascii="宋体" w:hAnsi="宋体" w:eastAsia="宋体"/>
          <w:color w:val="auto"/>
          <w:szCs w:val="21"/>
          <w:highlight w:val="none"/>
          <w:u w:val="single"/>
        </w:rPr>
        <w:t xml:space="preserve">       </w:t>
      </w:r>
      <w:r>
        <w:rPr>
          <w:rFonts w:hint="eastAsia" w:ascii="宋体" w:hAnsi="宋体" w:eastAsia="宋体"/>
          <w:color w:val="auto"/>
          <w:szCs w:val="21"/>
          <w:highlight w:val="none"/>
        </w:rPr>
        <w:t xml:space="preserve">                                           </w:t>
      </w:r>
      <w:r>
        <w:rPr>
          <w:rFonts w:hint="eastAsia" w:ascii="宋体" w:hAnsi="宋体"/>
          <w:color w:val="auto"/>
          <w:szCs w:val="21"/>
          <w:highlight w:val="none"/>
          <w:lang w:eastAsia="zh-CN"/>
        </w:rPr>
        <w:t>政府采购</w:t>
      </w:r>
      <w:r>
        <w:rPr>
          <w:rFonts w:hint="eastAsia" w:ascii="宋体" w:hAnsi="宋体"/>
          <w:color w:val="auto"/>
          <w:szCs w:val="21"/>
          <w:highlight w:val="none"/>
          <w:lang w:val="en-US" w:eastAsia="zh-CN"/>
        </w:rPr>
        <w:t>计划</w:t>
      </w:r>
      <w:r>
        <w:rPr>
          <w:rFonts w:hint="eastAsia" w:ascii="宋体" w:hAnsi="宋体"/>
          <w:color w:val="auto"/>
          <w:szCs w:val="21"/>
          <w:highlight w:val="none"/>
          <w:lang w:eastAsia="zh-CN"/>
        </w:rPr>
        <w:t>编号</w:t>
      </w:r>
      <w:r>
        <w:rPr>
          <w:rFonts w:hint="eastAsia" w:ascii="宋体" w:hAnsi="宋体" w:eastAsia="宋体"/>
          <w:color w:val="auto"/>
          <w:szCs w:val="21"/>
          <w:highlight w:val="none"/>
        </w:rPr>
        <w:t>：</w:t>
      </w:r>
      <w:r>
        <w:rPr>
          <w:rFonts w:hint="eastAsia" w:ascii="宋体" w:hAnsi="宋体" w:eastAsia="宋体"/>
          <w:color w:val="auto"/>
          <w:szCs w:val="21"/>
          <w:highlight w:val="none"/>
          <w:u w:val="single"/>
        </w:rPr>
        <w:t xml:space="preserve">         </w:t>
      </w:r>
    </w:p>
    <w:tbl>
      <w:tblPr>
        <w:tblStyle w:val="26"/>
        <w:tblW w:w="0" w:type="auto"/>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97"/>
        <w:gridCol w:w="2963"/>
        <w:gridCol w:w="2439"/>
        <w:gridCol w:w="2961"/>
      </w:tblGrid>
      <w:tr w14:paraId="5A357EF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noWrap w:val="0"/>
            <w:vAlign w:val="center"/>
          </w:tcPr>
          <w:p w14:paraId="6C88AC2B">
            <w:pPr>
              <w:jc w:val="center"/>
              <w:rPr>
                <w:rFonts w:ascii="宋体" w:hAnsi="宋体" w:eastAsia="宋体"/>
                <w:b/>
                <w:color w:val="auto"/>
                <w:kern w:val="0"/>
                <w:szCs w:val="21"/>
                <w:highlight w:val="none"/>
              </w:rPr>
            </w:pPr>
            <w:r>
              <w:rPr>
                <w:rFonts w:hint="eastAsia" w:ascii="宋体" w:hAnsi="宋体" w:eastAsia="宋体"/>
                <w:b/>
                <w:color w:val="auto"/>
                <w:kern w:val="0"/>
                <w:szCs w:val="21"/>
                <w:highlight w:val="none"/>
              </w:rPr>
              <w:t>序号</w:t>
            </w:r>
          </w:p>
        </w:tc>
        <w:tc>
          <w:tcPr>
            <w:tcW w:w="2963" w:type="dxa"/>
            <w:noWrap w:val="0"/>
            <w:vAlign w:val="center"/>
          </w:tcPr>
          <w:p w14:paraId="100366A8">
            <w:pPr>
              <w:jc w:val="center"/>
              <w:rPr>
                <w:rFonts w:ascii="宋体" w:hAnsi="宋体" w:eastAsia="宋体"/>
                <w:b/>
                <w:color w:val="auto"/>
                <w:kern w:val="0"/>
                <w:szCs w:val="21"/>
                <w:highlight w:val="none"/>
              </w:rPr>
            </w:pPr>
            <w:r>
              <w:rPr>
                <w:rFonts w:hint="eastAsia" w:ascii="宋体" w:hAnsi="宋体" w:eastAsia="宋体"/>
                <w:b/>
                <w:color w:val="auto"/>
                <w:kern w:val="0"/>
                <w:szCs w:val="21"/>
                <w:highlight w:val="none"/>
              </w:rPr>
              <w:t>投标人名称</w:t>
            </w:r>
          </w:p>
        </w:tc>
        <w:tc>
          <w:tcPr>
            <w:tcW w:w="2439" w:type="dxa"/>
            <w:noWrap w:val="0"/>
            <w:vAlign w:val="center"/>
          </w:tcPr>
          <w:p w14:paraId="7BF3C8FB">
            <w:pPr>
              <w:jc w:val="center"/>
              <w:rPr>
                <w:rFonts w:ascii="宋体" w:hAnsi="宋体" w:eastAsia="宋体"/>
                <w:b/>
                <w:color w:val="auto"/>
                <w:kern w:val="0"/>
                <w:szCs w:val="21"/>
                <w:highlight w:val="none"/>
              </w:rPr>
            </w:pPr>
            <w:r>
              <w:rPr>
                <w:rFonts w:hint="eastAsia" w:ascii="宋体" w:hAnsi="宋体" w:eastAsia="宋体"/>
                <w:b/>
                <w:color w:val="auto"/>
                <w:kern w:val="0"/>
                <w:szCs w:val="21"/>
                <w:highlight w:val="none"/>
              </w:rPr>
              <w:t>资格审查结果</w:t>
            </w:r>
          </w:p>
          <w:p w14:paraId="358E458C">
            <w:pPr>
              <w:jc w:val="center"/>
              <w:rPr>
                <w:rFonts w:ascii="宋体" w:hAnsi="宋体" w:eastAsia="宋体"/>
                <w:b/>
                <w:color w:val="auto"/>
                <w:kern w:val="0"/>
                <w:szCs w:val="21"/>
                <w:highlight w:val="none"/>
              </w:rPr>
            </w:pPr>
            <w:r>
              <w:rPr>
                <w:rFonts w:hint="eastAsia" w:ascii="宋体" w:hAnsi="宋体" w:eastAsia="宋体"/>
                <w:b/>
                <w:color w:val="auto"/>
                <w:kern w:val="0"/>
                <w:szCs w:val="21"/>
                <w:highlight w:val="none"/>
              </w:rPr>
              <w:t>（合格/不合格）</w:t>
            </w:r>
          </w:p>
        </w:tc>
        <w:tc>
          <w:tcPr>
            <w:tcW w:w="2961" w:type="dxa"/>
            <w:noWrap w:val="0"/>
            <w:vAlign w:val="center"/>
          </w:tcPr>
          <w:p w14:paraId="4A182EAA">
            <w:pPr>
              <w:jc w:val="center"/>
              <w:rPr>
                <w:rFonts w:ascii="宋体" w:hAnsi="宋体" w:eastAsia="宋体"/>
                <w:b/>
                <w:color w:val="auto"/>
                <w:kern w:val="0"/>
                <w:szCs w:val="21"/>
                <w:highlight w:val="none"/>
              </w:rPr>
            </w:pPr>
            <w:r>
              <w:rPr>
                <w:rFonts w:hint="eastAsia" w:ascii="宋体" w:hAnsi="宋体" w:eastAsia="宋体"/>
                <w:b/>
                <w:color w:val="auto"/>
                <w:kern w:val="0"/>
                <w:szCs w:val="21"/>
                <w:highlight w:val="none"/>
              </w:rPr>
              <w:t>资格审查不合格原因</w:t>
            </w:r>
          </w:p>
        </w:tc>
      </w:tr>
      <w:tr w14:paraId="481AA87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noWrap w:val="0"/>
            <w:vAlign w:val="top"/>
          </w:tcPr>
          <w:p w14:paraId="21EF94C0">
            <w:pPr>
              <w:adjustRightInd w:val="0"/>
              <w:snapToGrid w:val="0"/>
              <w:spacing w:line="360" w:lineRule="auto"/>
              <w:rPr>
                <w:rFonts w:ascii="宋体" w:hAnsi="宋体" w:eastAsia="宋体"/>
                <w:color w:val="auto"/>
                <w:kern w:val="0"/>
                <w:sz w:val="24"/>
                <w:highlight w:val="none"/>
              </w:rPr>
            </w:pPr>
          </w:p>
        </w:tc>
        <w:tc>
          <w:tcPr>
            <w:tcW w:w="2963" w:type="dxa"/>
            <w:noWrap w:val="0"/>
            <w:vAlign w:val="top"/>
          </w:tcPr>
          <w:p w14:paraId="0A96083E">
            <w:pPr>
              <w:adjustRightInd w:val="0"/>
              <w:snapToGrid w:val="0"/>
              <w:spacing w:line="360" w:lineRule="auto"/>
              <w:rPr>
                <w:rFonts w:ascii="宋体" w:hAnsi="宋体" w:eastAsia="宋体"/>
                <w:color w:val="auto"/>
                <w:kern w:val="0"/>
                <w:sz w:val="24"/>
                <w:highlight w:val="none"/>
              </w:rPr>
            </w:pPr>
          </w:p>
        </w:tc>
        <w:tc>
          <w:tcPr>
            <w:tcW w:w="2439" w:type="dxa"/>
            <w:noWrap w:val="0"/>
            <w:vAlign w:val="top"/>
          </w:tcPr>
          <w:p w14:paraId="11A62E14">
            <w:pPr>
              <w:adjustRightInd w:val="0"/>
              <w:snapToGrid w:val="0"/>
              <w:spacing w:line="360" w:lineRule="auto"/>
              <w:rPr>
                <w:rFonts w:ascii="宋体" w:hAnsi="宋体" w:eastAsia="宋体"/>
                <w:color w:val="auto"/>
                <w:kern w:val="0"/>
                <w:sz w:val="24"/>
                <w:highlight w:val="none"/>
              </w:rPr>
            </w:pPr>
          </w:p>
        </w:tc>
        <w:tc>
          <w:tcPr>
            <w:tcW w:w="2961" w:type="dxa"/>
            <w:noWrap w:val="0"/>
            <w:vAlign w:val="top"/>
          </w:tcPr>
          <w:p w14:paraId="3DD30AFB">
            <w:pPr>
              <w:adjustRightInd w:val="0"/>
              <w:snapToGrid w:val="0"/>
              <w:spacing w:line="360" w:lineRule="auto"/>
              <w:rPr>
                <w:rFonts w:ascii="宋体" w:hAnsi="宋体" w:eastAsia="宋体"/>
                <w:color w:val="auto"/>
                <w:kern w:val="0"/>
                <w:sz w:val="24"/>
                <w:highlight w:val="none"/>
              </w:rPr>
            </w:pPr>
          </w:p>
        </w:tc>
      </w:tr>
      <w:tr w14:paraId="7DBFF08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noWrap w:val="0"/>
            <w:vAlign w:val="top"/>
          </w:tcPr>
          <w:p w14:paraId="12BDCFC2">
            <w:pPr>
              <w:adjustRightInd w:val="0"/>
              <w:snapToGrid w:val="0"/>
              <w:spacing w:line="360" w:lineRule="auto"/>
              <w:rPr>
                <w:rFonts w:ascii="宋体" w:hAnsi="宋体" w:eastAsia="宋体"/>
                <w:color w:val="auto"/>
                <w:kern w:val="0"/>
                <w:sz w:val="24"/>
                <w:highlight w:val="none"/>
              </w:rPr>
            </w:pPr>
          </w:p>
        </w:tc>
        <w:tc>
          <w:tcPr>
            <w:tcW w:w="2963" w:type="dxa"/>
            <w:noWrap w:val="0"/>
            <w:vAlign w:val="top"/>
          </w:tcPr>
          <w:p w14:paraId="2ABC9E5E">
            <w:pPr>
              <w:adjustRightInd w:val="0"/>
              <w:snapToGrid w:val="0"/>
              <w:spacing w:line="360" w:lineRule="auto"/>
              <w:rPr>
                <w:rFonts w:ascii="宋体" w:hAnsi="宋体" w:eastAsia="宋体"/>
                <w:color w:val="auto"/>
                <w:kern w:val="0"/>
                <w:sz w:val="24"/>
                <w:highlight w:val="none"/>
              </w:rPr>
            </w:pPr>
          </w:p>
        </w:tc>
        <w:tc>
          <w:tcPr>
            <w:tcW w:w="2439" w:type="dxa"/>
            <w:noWrap w:val="0"/>
            <w:vAlign w:val="top"/>
          </w:tcPr>
          <w:p w14:paraId="35BB4400">
            <w:pPr>
              <w:adjustRightInd w:val="0"/>
              <w:snapToGrid w:val="0"/>
              <w:spacing w:line="360" w:lineRule="auto"/>
              <w:rPr>
                <w:rFonts w:ascii="宋体" w:hAnsi="宋体" w:eastAsia="宋体"/>
                <w:color w:val="auto"/>
                <w:kern w:val="0"/>
                <w:sz w:val="24"/>
                <w:highlight w:val="none"/>
              </w:rPr>
            </w:pPr>
          </w:p>
        </w:tc>
        <w:tc>
          <w:tcPr>
            <w:tcW w:w="2961" w:type="dxa"/>
            <w:noWrap w:val="0"/>
            <w:vAlign w:val="top"/>
          </w:tcPr>
          <w:p w14:paraId="4B4787EF">
            <w:pPr>
              <w:adjustRightInd w:val="0"/>
              <w:snapToGrid w:val="0"/>
              <w:spacing w:line="360" w:lineRule="auto"/>
              <w:rPr>
                <w:rFonts w:ascii="宋体" w:hAnsi="宋体" w:eastAsia="宋体"/>
                <w:color w:val="auto"/>
                <w:kern w:val="0"/>
                <w:sz w:val="24"/>
                <w:highlight w:val="none"/>
              </w:rPr>
            </w:pPr>
          </w:p>
        </w:tc>
      </w:tr>
      <w:tr w14:paraId="32AA7C9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noWrap w:val="0"/>
            <w:vAlign w:val="top"/>
          </w:tcPr>
          <w:p w14:paraId="6BE45FDA">
            <w:pPr>
              <w:adjustRightInd w:val="0"/>
              <w:snapToGrid w:val="0"/>
              <w:spacing w:line="360" w:lineRule="auto"/>
              <w:rPr>
                <w:rFonts w:ascii="宋体" w:hAnsi="宋体" w:eastAsia="宋体"/>
                <w:color w:val="auto"/>
                <w:kern w:val="0"/>
                <w:sz w:val="24"/>
                <w:highlight w:val="none"/>
              </w:rPr>
            </w:pPr>
          </w:p>
        </w:tc>
        <w:tc>
          <w:tcPr>
            <w:tcW w:w="2963" w:type="dxa"/>
            <w:noWrap w:val="0"/>
            <w:vAlign w:val="top"/>
          </w:tcPr>
          <w:p w14:paraId="1CDA73B9">
            <w:pPr>
              <w:adjustRightInd w:val="0"/>
              <w:snapToGrid w:val="0"/>
              <w:spacing w:line="360" w:lineRule="auto"/>
              <w:rPr>
                <w:rFonts w:ascii="宋体" w:hAnsi="宋体" w:eastAsia="宋体"/>
                <w:color w:val="auto"/>
                <w:kern w:val="0"/>
                <w:sz w:val="24"/>
                <w:highlight w:val="none"/>
              </w:rPr>
            </w:pPr>
          </w:p>
        </w:tc>
        <w:tc>
          <w:tcPr>
            <w:tcW w:w="2439" w:type="dxa"/>
            <w:noWrap w:val="0"/>
            <w:vAlign w:val="top"/>
          </w:tcPr>
          <w:p w14:paraId="360190E4">
            <w:pPr>
              <w:adjustRightInd w:val="0"/>
              <w:snapToGrid w:val="0"/>
              <w:spacing w:line="360" w:lineRule="auto"/>
              <w:rPr>
                <w:rFonts w:ascii="宋体" w:hAnsi="宋体" w:eastAsia="宋体"/>
                <w:color w:val="auto"/>
                <w:kern w:val="0"/>
                <w:sz w:val="24"/>
                <w:highlight w:val="none"/>
              </w:rPr>
            </w:pPr>
          </w:p>
        </w:tc>
        <w:tc>
          <w:tcPr>
            <w:tcW w:w="2961" w:type="dxa"/>
            <w:noWrap w:val="0"/>
            <w:vAlign w:val="top"/>
          </w:tcPr>
          <w:p w14:paraId="0F91DFE0">
            <w:pPr>
              <w:adjustRightInd w:val="0"/>
              <w:snapToGrid w:val="0"/>
              <w:spacing w:line="360" w:lineRule="auto"/>
              <w:rPr>
                <w:rFonts w:ascii="宋体" w:hAnsi="宋体" w:eastAsia="宋体"/>
                <w:color w:val="auto"/>
                <w:kern w:val="0"/>
                <w:sz w:val="24"/>
                <w:highlight w:val="none"/>
              </w:rPr>
            </w:pPr>
          </w:p>
        </w:tc>
      </w:tr>
      <w:tr w14:paraId="1F02C9B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noWrap w:val="0"/>
            <w:vAlign w:val="top"/>
          </w:tcPr>
          <w:p w14:paraId="042ABBBF">
            <w:pPr>
              <w:adjustRightInd w:val="0"/>
              <w:snapToGrid w:val="0"/>
              <w:spacing w:line="360" w:lineRule="auto"/>
              <w:rPr>
                <w:rFonts w:ascii="宋体" w:hAnsi="宋体" w:eastAsia="宋体"/>
                <w:color w:val="auto"/>
                <w:kern w:val="0"/>
                <w:sz w:val="24"/>
                <w:highlight w:val="none"/>
              </w:rPr>
            </w:pPr>
          </w:p>
        </w:tc>
        <w:tc>
          <w:tcPr>
            <w:tcW w:w="2963" w:type="dxa"/>
            <w:noWrap w:val="0"/>
            <w:vAlign w:val="top"/>
          </w:tcPr>
          <w:p w14:paraId="0CFF53C8">
            <w:pPr>
              <w:adjustRightInd w:val="0"/>
              <w:snapToGrid w:val="0"/>
              <w:spacing w:line="360" w:lineRule="auto"/>
              <w:rPr>
                <w:rFonts w:ascii="宋体" w:hAnsi="宋体" w:eastAsia="宋体"/>
                <w:color w:val="auto"/>
                <w:kern w:val="0"/>
                <w:sz w:val="24"/>
                <w:highlight w:val="none"/>
              </w:rPr>
            </w:pPr>
          </w:p>
        </w:tc>
        <w:tc>
          <w:tcPr>
            <w:tcW w:w="2439" w:type="dxa"/>
            <w:noWrap w:val="0"/>
            <w:vAlign w:val="top"/>
          </w:tcPr>
          <w:p w14:paraId="24D1FE0D">
            <w:pPr>
              <w:adjustRightInd w:val="0"/>
              <w:snapToGrid w:val="0"/>
              <w:spacing w:line="360" w:lineRule="auto"/>
              <w:rPr>
                <w:rFonts w:ascii="宋体" w:hAnsi="宋体" w:eastAsia="宋体"/>
                <w:color w:val="auto"/>
                <w:kern w:val="0"/>
                <w:sz w:val="24"/>
                <w:highlight w:val="none"/>
              </w:rPr>
            </w:pPr>
          </w:p>
        </w:tc>
        <w:tc>
          <w:tcPr>
            <w:tcW w:w="2961" w:type="dxa"/>
            <w:noWrap w:val="0"/>
            <w:vAlign w:val="top"/>
          </w:tcPr>
          <w:p w14:paraId="0EF4424C">
            <w:pPr>
              <w:adjustRightInd w:val="0"/>
              <w:snapToGrid w:val="0"/>
              <w:spacing w:line="360" w:lineRule="auto"/>
              <w:rPr>
                <w:rFonts w:ascii="宋体" w:hAnsi="宋体" w:eastAsia="宋体"/>
                <w:color w:val="auto"/>
                <w:kern w:val="0"/>
                <w:sz w:val="24"/>
                <w:highlight w:val="none"/>
              </w:rPr>
            </w:pPr>
          </w:p>
        </w:tc>
      </w:tr>
      <w:tr w14:paraId="0AB584A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noWrap w:val="0"/>
            <w:vAlign w:val="top"/>
          </w:tcPr>
          <w:p w14:paraId="7A013239">
            <w:pPr>
              <w:adjustRightInd w:val="0"/>
              <w:snapToGrid w:val="0"/>
              <w:spacing w:line="360" w:lineRule="auto"/>
              <w:rPr>
                <w:rFonts w:ascii="宋体" w:hAnsi="宋体" w:eastAsia="宋体"/>
                <w:color w:val="auto"/>
                <w:kern w:val="0"/>
                <w:sz w:val="24"/>
                <w:highlight w:val="none"/>
              </w:rPr>
            </w:pPr>
          </w:p>
        </w:tc>
        <w:tc>
          <w:tcPr>
            <w:tcW w:w="2963" w:type="dxa"/>
            <w:noWrap w:val="0"/>
            <w:vAlign w:val="top"/>
          </w:tcPr>
          <w:p w14:paraId="4D8ED343">
            <w:pPr>
              <w:adjustRightInd w:val="0"/>
              <w:snapToGrid w:val="0"/>
              <w:spacing w:line="360" w:lineRule="auto"/>
              <w:rPr>
                <w:rFonts w:ascii="宋体" w:hAnsi="宋体" w:eastAsia="宋体"/>
                <w:color w:val="auto"/>
                <w:kern w:val="0"/>
                <w:sz w:val="24"/>
                <w:highlight w:val="none"/>
              </w:rPr>
            </w:pPr>
          </w:p>
        </w:tc>
        <w:tc>
          <w:tcPr>
            <w:tcW w:w="2439" w:type="dxa"/>
            <w:noWrap w:val="0"/>
            <w:vAlign w:val="top"/>
          </w:tcPr>
          <w:p w14:paraId="07B48A05">
            <w:pPr>
              <w:adjustRightInd w:val="0"/>
              <w:snapToGrid w:val="0"/>
              <w:spacing w:line="360" w:lineRule="auto"/>
              <w:rPr>
                <w:rFonts w:ascii="宋体" w:hAnsi="宋体" w:eastAsia="宋体"/>
                <w:color w:val="auto"/>
                <w:kern w:val="0"/>
                <w:sz w:val="24"/>
                <w:highlight w:val="none"/>
              </w:rPr>
            </w:pPr>
          </w:p>
        </w:tc>
        <w:tc>
          <w:tcPr>
            <w:tcW w:w="2961" w:type="dxa"/>
            <w:noWrap w:val="0"/>
            <w:vAlign w:val="top"/>
          </w:tcPr>
          <w:p w14:paraId="003758C7">
            <w:pPr>
              <w:adjustRightInd w:val="0"/>
              <w:snapToGrid w:val="0"/>
              <w:spacing w:line="360" w:lineRule="auto"/>
              <w:rPr>
                <w:rFonts w:ascii="宋体" w:hAnsi="宋体" w:eastAsia="宋体"/>
                <w:color w:val="auto"/>
                <w:kern w:val="0"/>
                <w:sz w:val="24"/>
                <w:highlight w:val="none"/>
              </w:rPr>
            </w:pPr>
          </w:p>
        </w:tc>
      </w:tr>
      <w:tr w14:paraId="027D0C5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noWrap w:val="0"/>
            <w:vAlign w:val="top"/>
          </w:tcPr>
          <w:p w14:paraId="647B0FB2">
            <w:pPr>
              <w:adjustRightInd w:val="0"/>
              <w:snapToGrid w:val="0"/>
              <w:spacing w:line="360" w:lineRule="auto"/>
              <w:rPr>
                <w:rFonts w:ascii="宋体" w:hAnsi="宋体" w:eastAsia="宋体"/>
                <w:color w:val="auto"/>
                <w:kern w:val="0"/>
                <w:sz w:val="24"/>
                <w:highlight w:val="none"/>
              </w:rPr>
            </w:pPr>
          </w:p>
        </w:tc>
        <w:tc>
          <w:tcPr>
            <w:tcW w:w="2963" w:type="dxa"/>
            <w:noWrap w:val="0"/>
            <w:vAlign w:val="top"/>
          </w:tcPr>
          <w:p w14:paraId="7545E0F2">
            <w:pPr>
              <w:adjustRightInd w:val="0"/>
              <w:snapToGrid w:val="0"/>
              <w:spacing w:line="360" w:lineRule="auto"/>
              <w:rPr>
                <w:rFonts w:ascii="宋体" w:hAnsi="宋体" w:eastAsia="宋体"/>
                <w:color w:val="auto"/>
                <w:kern w:val="0"/>
                <w:sz w:val="24"/>
                <w:highlight w:val="none"/>
              </w:rPr>
            </w:pPr>
          </w:p>
        </w:tc>
        <w:tc>
          <w:tcPr>
            <w:tcW w:w="2439" w:type="dxa"/>
            <w:noWrap w:val="0"/>
            <w:vAlign w:val="top"/>
          </w:tcPr>
          <w:p w14:paraId="094473C6">
            <w:pPr>
              <w:adjustRightInd w:val="0"/>
              <w:snapToGrid w:val="0"/>
              <w:spacing w:line="360" w:lineRule="auto"/>
              <w:rPr>
                <w:rFonts w:ascii="宋体" w:hAnsi="宋体" w:eastAsia="宋体"/>
                <w:color w:val="auto"/>
                <w:kern w:val="0"/>
                <w:sz w:val="24"/>
                <w:highlight w:val="none"/>
              </w:rPr>
            </w:pPr>
          </w:p>
        </w:tc>
        <w:tc>
          <w:tcPr>
            <w:tcW w:w="2961" w:type="dxa"/>
            <w:noWrap w:val="0"/>
            <w:vAlign w:val="top"/>
          </w:tcPr>
          <w:p w14:paraId="72E35B4C">
            <w:pPr>
              <w:adjustRightInd w:val="0"/>
              <w:snapToGrid w:val="0"/>
              <w:spacing w:line="360" w:lineRule="auto"/>
              <w:rPr>
                <w:rFonts w:ascii="宋体" w:hAnsi="宋体" w:eastAsia="宋体"/>
                <w:color w:val="auto"/>
                <w:kern w:val="0"/>
                <w:sz w:val="24"/>
                <w:highlight w:val="none"/>
              </w:rPr>
            </w:pPr>
          </w:p>
        </w:tc>
      </w:tr>
      <w:tr w14:paraId="40362B6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noWrap w:val="0"/>
            <w:vAlign w:val="top"/>
          </w:tcPr>
          <w:p w14:paraId="6B66E404">
            <w:pPr>
              <w:adjustRightInd w:val="0"/>
              <w:snapToGrid w:val="0"/>
              <w:spacing w:line="360" w:lineRule="auto"/>
              <w:rPr>
                <w:rFonts w:ascii="宋体" w:hAnsi="宋体" w:eastAsia="宋体"/>
                <w:color w:val="auto"/>
                <w:kern w:val="0"/>
                <w:sz w:val="24"/>
                <w:highlight w:val="none"/>
              </w:rPr>
            </w:pPr>
          </w:p>
        </w:tc>
        <w:tc>
          <w:tcPr>
            <w:tcW w:w="2963" w:type="dxa"/>
            <w:noWrap w:val="0"/>
            <w:vAlign w:val="top"/>
          </w:tcPr>
          <w:p w14:paraId="5A71686C">
            <w:pPr>
              <w:adjustRightInd w:val="0"/>
              <w:snapToGrid w:val="0"/>
              <w:spacing w:line="360" w:lineRule="auto"/>
              <w:rPr>
                <w:rFonts w:ascii="宋体" w:hAnsi="宋体" w:eastAsia="宋体"/>
                <w:color w:val="auto"/>
                <w:kern w:val="0"/>
                <w:sz w:val="24"/>
                <w:highlight w:val="none"/>
              </w:rPr>
            </w:pPr>
          </w:p>
        </w:tc>
        <w:tc>
          <w:tcPr>
            <w:tcW w:w="2439" w:type="dxa"/>
            <w:noWrap w:val="0"/>
            <w:vAlign w:val="top"/>
          </w:tcPr>
          <w:p w14:paraId="5FEB0804">
            <w:pPr>
              <w:adjustRightInd w:val="0"/>
              <w:snapToGrid w:val="0"/>
              <w:spacing w:line="360" w:lineRule="auto"/>
              <w:rPr>
                <w:rFonts w:ascii="宋体" w:hAnsi="宋体" w:eastAsia="宋体"/>
                <w:color w:val="auto"/>
                <w:kern w:val="0"/>
                <w:sz w:val="24"/>
                <w:highlight w:val="none"/>
              </w:rPr>
            </w:pPr>
          </w:p>
        </w:tc>
        <w:tc>
          <w:tcPr>
            <w:tcW w:w="2961" w:type="dxa"/>
            <w:noWrap w:val="0"/>
            <w:vAlign w:val="top"/>
          </w:tcPr>
          <w:p w14:paraId="74267AF3">
            <w:pPr>
              <w:adjustRightInd w:val="0"/>
              <w:snapToGrid w:val="0"/>
              <w:spacing w:line="360" w:lineRule="auto"/>
              <w:rPr>
                <w:rFonts w:ascii="宋体" w:hAnsi="宋体" w:eastAsia="宋体"/>
                <w:color w:val="auto"/>
                <w:kern w:val="0"/>
                <w:sz w:val="24"/>
                <w:highlight w:val="none"/>
              </w:rPr>
            </w:pPr>
          </w:p>
        </w:tc>
      </w:tr>
      <w:tr w14:paraId="1BD6274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noWrap w:val="0"/>
            <w:vAlign w:val="top"/>
          </w:tcPr>
          <w:p w14:paraId="1CA72CF9">
            <w:pPr>
              <w:adjustRightInd w:val="0"/>
              <w:snapToGrid w:val="0"/>
              <w:spacing w:line="360" w:lineRule="auto"/>
              <w:rPr>
                <w:rFonts w:ascii="宋体" w:hAnsi="宋体" w:eastAsia="宋体"/>
                <w:color w:val="auto"/>
                <w:kern w:val="0"/>
                <w:sz w:val="24"/>
                <w:highlight w:val="none"/>
              </w:rPr>
            </w:pPr>
          </w:p>
        </w:tc>
        <w:tc>
          <w:tcPr>
            <w:tcW w:w="2963" w:type="dxa"/>
            <w:noWrap w:val="0"/>
            <w:vAlign w:val="top"/>
          </w:tcPr>
          <w:p w14:paraId="63B8E44B">
            <w:pPr>
              <w:adjustRightInd w:val="0"/>
              <w:snapToGrid w:val="0"/>
              <w:spacing w:line="360" w:lineRule="auto"/>
              <w:rPr>
                <w:rFonts w:ascii="宋体" w:hAnsi="宋体" w:eastAsia="宋体"/>
                <w:color w:val="auto"/>
                <w:kern w:val="0"/>
                <w:sz w:val="24"/>
                <w:highlight w:val="none"/>
              </w:rPr>
            </w:pPr>
          </w:p>
        </w:tc>
        <w:tc>
          <w:tcPr>
            <w:tcW w:w="2439" w:type="dxa"/>
            <w:noWrap w:val="0"/>
            <w:vAlign w:val="top"/>
          </w:tcPr>
          <w:p w14:paraId="0DAFB162">
            <w:pPr>
              <w:adjustRightInd w:val="0"/>
              <w:snapToGrid w:val="0"/>
              <w:spacing w:line="360" w:lineRule="auto"/>
              <w:rPr>
                <w:rFonts w:ascii="宋体" w:hAnsi="宋体" w:eastAsia="宋体"/>
                <w:color w:val="auto"/>
                <w:kern w:val="0"/>
                <w:sz w:val="24"/>
                <w:highlight w:val="none"/>
              </w:rPr>
            </w:pPr>
          </w:p>
        </w:tc>
        <w:tc>
          <w:tcPr>
            <w:tcW w:w="2961" w:type="dxa"/>
            <w:noWrap w:val="0"/>
            <w:vAlign w:val="top"/>
          </w:tcPr>
          <w:p w14:paraId="603EFEA0">
            <w:pPr>
              <w:adjustRightInd w:val="0"/>
              <w:snapToGrid w:val="0"/>
              <w:spacing w:line="360" w:lineRule="auto"/>
              <w:rPr>
                <w:rFonts w:ascii="宋体" w:hAnsi="宋体" w:eastAsia="宋体"/>
                <w:color w:val="auto"/>
                <w:kern w:val="0"/>
                <w:sz w:val="24"/>
                <w:highlight w:val="none"/>
              </w:rPr>
            </w:pPr>
          </w:p>
        </w:tc>
      </w:tr>
      <w:tr w14:paraId="34FAE4F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noWrap w:val="0"/>
            <w:vAlign w:val="top"/>
          </w:tcPr>
          <w:p w14:paraId="1584AB13">
            <w:pPr>
              <w:adjustRightInd w:val="0"/>
              <w:snapToGrid w:val="0"/>
              <w:spacing w:line="360" w:lineRule="auto"/>
              <w:rPr>
                <w:rFonts w:ascii="宋体" w:hAnsi="宋体" w:eastAsia="宋体"/>
                <w:color w:val="auto"/>
                <w:kern w:val="0"/>
                <w:sz w:val="24"/>
                <w:highlight w:val="none"/>
              </w:rPr>
            </w:pPr>
          </w:p>
        </w:tc>
        <w:tc>
          <w:tcPr>
            <w:tcW w:w="2963" w:type="dxa"/>
            <w:noWrap w:val="0"/>
            <w:vAlign w:val="top"/>
          </w:tcPr>
          <w:p w14:paraId="26F4C8A1">
            <w:pPr>
              <w:adjustRightInd w:val="0"/>
              <w:snapToGrid w:val="0"/>
              <w:spacing w:line="360" w:lineRule="auto"/>
              <w:rPr>
                <w:rFonts w:ascii="宋体" w:hAnsi="宋体" w:eastAsia="宋体"/>
                <w:color w:val="auto"/>
                <w:kern w:val="0"/>
                <w:sz w:val="24"/>
                <w:highlight w:val="none"/>
              </w:rPr>
            </w:pPr>
          </w:p>
        </w:tc>
        <w:tc>
          <w:tcPr>
            <w:tcW w:w="2439" w:type="dxa"/>
            <w:noWrap w:val="0"/>
            <w:vAlign w:val="top"/>
          </w:tcPr>
          <w:p w14:paraId="35510006">
            <w:pPr>
              <w:adjustRightInd w:val="0"/>
              <w:snapToGrid w:val="0"/>
              <w:spacing w:line="360" w:lineRule="auto"/>
              <w:rPr>
                <w:rFonts w:ascii="宋体" w:hAnsi="宋体" w:eastAsia="宋体"/>
                <w:color w:val="auto"/>
                <w:kern w:val="0"/>
                <w:sz w:val="24"/>
                <w:highlight w:val="none"/>
              </w:rPr>
            </w:pPr>
          </w:p>
        </w:tc>
        <w:tc>
          <w:tcPr>
            <w:tcW w:w="2961" w:type="dxa"/>
            <w:noWrap w:val="0"/>
            <w:vAlign w:val="top"/>
          </w:tcPr>
          <w:p w14:paraId="5163CE2B">
            <w:pPr>
              <w:adjustRightInd w:val="0"/>
              <w:snapToGrid w:val="0"/>
              <w:spacing w:line="360" w:lineRule="auto"/>
              <w:rPr>
                <w:rFonts w:ascii="宋体" w:hAnsi="宋体" w:eastAsia="宋体"/>
                <w:color w:val="auto"/>
                <w:kern w:val="0"/>
                <w:sz w:val="24"/>
                <w:highlight w:val="none"/>
              </w:rPr>
            </w:pPr>
          </w:p>
        </w:tc>
      </w:tr>
    </w:tbl>
    <w:p w14:paraId="6F7DDFD6">
      <w:pPr>
        <w:adjustRightInd w:val="0"/>
        <w:snapToGrid w:val="0"/>
        <w:spacing w:line="360" w:lineRule="auto"/>
        <w:rPr>
          <w:rFonts w:ascii="宋体" w:hAnsi="宋体" w:eastAsia="宋体"/>
          <w:color w:val="auto"/>
          <w:szCs w:val="21"/>
          <w:highlight w:val="none"/>
        </w:rPr>
      </w:pPr>
      <w:r>
        <w:rPr>
          <w:rFonts w:hint="eastAsia" w:ascii="宋体" w:hAnsi="宋体" w:eastAsia="宋体"/>
          <w:color w:val="auto"/>
          <w:szCs w:val="21"/>
          <w:highlight w:val="none"/>
        </w:rPr>
        <w:t>采购人（签字）：</w:t>
      </w:r>
      <w:r>
        <w:rPr>
          <w:rFonts w:hint="eastAsia" w:ascii="宋体" w:hAnsi="宋体" w:eastAsia="宋体"/>
          <w:color w:val="auto"/>
          <w:szCs w:val="21"/>
          <w:highlight w:val="none"/>
          <w:u w:val="single"/>
        </w:rPr>
        <w:t xml:space="preserve">       </w:t>
      </w:r>
      <w:r>
        <w:rPr>
          <w:rFonts w:hint="eastAsia" w:ascii="宋体" w:hAnsi="宋体" w:eastAsia="宋体"/>
          <w:color w:val="auto"/>
          <w:szCs w:val="21"/>
          <w:highlight w:val="none"/>
        </w:rPr>
        <w:t xml:space="preserve">                       </w:t>
      </w:r>
    </w:p>
    <w:p w14:paraId="546E6AD8">
      <w:pPr>
        <w:adjustRightInd w:val="0"/>
        <w:snapToGrid w:val="0"/>
        <w:spacing w:line="360" w:lineRule="auto"/>
        <w:rPr>
          <w:rFonts w:ascii="宋体" w:hAnsi="宋体" w:eastAsia="宋体"/>
          <w:color w:val="auto"/>
          <w:szCs w:val="21"/>
          <w:highlight w:val="none"/>
        </w:rPr>
      </w:pPr>
      <w:r>
        <w:rPr>
          <w:rFonts w:hint="eastAsia" w:ascii="宋体" w:hAnsi="宋体" w:eastAsia="宋体"/>
          <w:color w:val="auto"/>
          <w:szCs w:val="21"/>
          <w:highlight w:val="none"/>
        </w:rPr>
        <w:t>采购代理机构（签字）：</w:t>
      </w:r>
      <w:r>
        <w:rPr>
          <w:rFonts w:hint="eastAsia" w:ascii="宋体" w:hAnsi="宋体" w:eastAsia="宋体"/>
          <w:color w:val="auto"/>
          <w:szCs w:val="21"/>
          <w:highlight w:val="none"/>
          <w:u w:val="single"/>
        </w:rPr>
        <w:t xml:space="preserve">       </w:t>
      </w:r>
      <w:r>
        <w:rPr>
          <w:rFonts w:hint="eastAsia" w:ascii="宋体" w:hAnsi="宋体" w:eastAsia="宋体"/>
          <w:color w:val="auto"/>
          <w:szCs w:val="21"/>
          <w:highlight w:val="none"/>
        </w:rPr>
        <w:t xml:space="preserve">                               </w:t>
      </w:r>
    </w:p>
    <w:p w14:paraId="391574BD">
      <w:pPr>
        <w:adjustRightInd w:val="0"/>
        <w:snapToGrid w:val="0"/>
        <w:spacing w:line="360" w:lineRule="auto"/>
        <w:rPr>
          <w:rFonts w:ascii="宋体" w:hAnsi="宋体" w:eastAsia="宋体"/>
          <w:color w:val="auto"/>
          <w:szCs w:val="21"/>
          <w:highlight w:val="none"/>
        </w:rPr>
      </w:pPr>
      <w:r>
        <w:rPr>
          <w:rFonts w:hint="eastAsia" w:ascii="宋体" w:hAnsi="宋体" w:eastAsia="宋体"/>
          <w:color w:val="auto"/>
          <w:szCs w:val="21"/>
          <w:highlight w:val="none"/>
        </w:rPr>
        <w:t>日期：</w:t>
      </w:r>
      <w:r>
        <w:rPr>
          <w:rFonts w:hint="eastAsia" w:ascii="宋体" w:hAnsi="宋体" w:eastAsia="宋体"/>
          <w:color w:val="auto"/>
          <w:szCs w:val="21"/>
          <w:highlight w:val="none"/>
          <w:u w:val="single"/>
        </w:rPr>
        <w:t xml:space="preserve">       </w:t>
      </w:r>
      <w:r>
        <w:rPr>
          <w:rFonts w:hint="eastAsia" w:ascii="宋体" w:hAnsi="宋体" w:eastAsia="宋体"/>
          <w:color w:val="auto"/>
          <w:szCs w:val="21"/>
          <w:highlight w:val="none"/>
        </w:rPr>
        <w:t>年</w:t>
      </w:r>
      <w:r>
        <w:rPr>
          <w:rFonts w:hint="eastAsia" w:ascii="宋体" w:hAnsi="宋体" w:eastAsia="宋体"/>
          <w:color w:val="auto"/>
          <w:szCs w:val="21"/>
          <w:highlight w:val="none"/>
          <w:u w:val="single"/>
        </w:rPr>
        <w:t xml:space="preserve">   </w:t>
      </w:r>
      <w:r>
        <w:rPr>
          <w:rFonts w:hint="eastAsia" w:ascii="宋体" w:hAnsi="宋体" w:eastAsia="宋体"/>
          <w:color w:val="auto"/>
          <w:szCs w:val="21"/>
          <w:highlight w:val="none"/>
        </w:rPr>
        <w:t>月</w:t>
      </w:r>
      <w:r>
        <w:rPr>
          <w:rFonts w:hint="eastAsia" w:ascii="宋体" w:hAnsi="宋体" w:eastAsia="宋体"/>
          <w:color w:val="auto"/>
          <w:szCs w:val="21"/>
          <w:highlight w:val="none"/>
          <w:u w:val="single"/>
        </w:rPr>
        <w:t xml:space="preserve">   </w:t>
      </w:r>
      <w:r>
        <w:rPr>
          <w:rFonts w:hint="eastAsia" w:ascii="宋体" w:hAnsi="宋体" w:eastAsia="宋体"/>
          <w:color w:val="auto"/>
          <w:szCs w:val="21"/>
          <w:highlight w:val="none"/>
        </w:rPr>
        <w:t>日</w:t>
      </w:r>
    </w:p>
    <w:p w14:paraId="5E3078C3">
      <w:pPr>
        <w:widowControl/>
        <w:jc w:val="left"/>
        <w:rPr>
          <w:rFonts w:ascii="宋体" w:hAnsi="宋体" w:eastAsia="宋体"/>
          <w:color w:val="auto"/>
          <w:sz w:val="24"/>
          <w:highlight w:val="none"/>
        </w:rPr>
      </w:pPr>
      <w:r>
        <w:rPr>
          <w:rFonts w:ascii="宋体" w:hAnsi="宋体" w:eastAsia="宋体"/>
          <w:color w:val="auto"/>
          <w:sz w:val="24"/>
          <w:highlight w:val="none"/>
        </w:rPr>
        <w:br w:type="page"/>
      </w:r>
    </w:p>
    <w:p w14:paraId="39DDDD94">
      <w:pPr>
        <w:pStyle w:val="5"/>
        <w:adjustRightInd w:val="0"/>
        <w:snapToGrid w:val="0"/>
        <w:spacing w:before="0" w:after="0" w:line="360" w:lineRule="auto"/>
        <w:rPr>
          <w:rFonts w:ascii="黑体" w:hAnsi="黑体"/>
          <w:b w:val="0"/>
          <w:color w:val="auto"/>
          <w:sz w:val="21"/>
          <w:szCs w:val="21"/>
          <w:highlight w:val="none"/>
        </w:rPr>
      </w:pPr>
      <w:bookmarkStart w:id="43" w:name="_Toc1932"/>
      <w:bookmarkStart w:id="44" w:name="_Toc30390"/>
      <w:bookmarkStart w:id="45" w:name="_Toc17375"/>
      <w:bookmarkStart w:id="46" w:name="_Toc4025"/>
      <w:r>
        <w:rPr>
          <w:rFonts w:hint="eastAsia" w:ascii="黑体" w:hAnsi="黑体"/>
          <w:b w:val="0"/>
          <w:color w:val="auto"/>
          <w:sz w:val="21"/>
          <w:szCs w:val="21"/>
          <w:highlight w:val="none"/>
        </w:rPr>
        <w:t>附表3 资格审查合格投标人名单</w:t>
      </w:r>
      <w:bookmarkEnd w:id="43"/>
      <w:bookmarkEnd w:id="44"/>
      <w:bookmarkEnd w:id="45"/>
      <w:bookmarkEnd w:id="46"/>
    </w:p>
    <w:p w14:paraId="28615BAE">
      <w:pPr>
        <w:adjustRightInd w:val="0"/>
        <w:snapToGrid w:val="0"/>
        <w:spacing w:line="360" w:lineRule="auto"/>
        <w:jc w:val="center"/>
        <w:rPr>
          <w:rFonts w:ascii="黑体" w:hAnsi="黑体" w:eastAsia="黑体"/>
          <w:b/>
          <w:color w:val="auto"/>
          <w:sz w:val="28"/>
          <w:szCs w:val="28"/>
          <w:highlight w:val="none"/>
        </w:rPr>
      </w:pPr>
      <w:r>
        <w:rPr>
          <w:rFonts w:hint="eastAsia" w:ascii="黑体" w:hAnsi="黑体" w:eastAsia="黑体"/>
          <w:b/>
          <w:color w:val="auto"/>
          <w:sz w:val="28"/>
          <w:szCs w:val="28"/>
          <w:highlight w:val="none"/>
        </w:rPr>
        <w:t>资格审查合格投标人名单</w:t>
      </w:r>
    </w:p>
    <w:p w14:paraId="70589AE9">
      <w:pPr>
        <w:adjustRightInd w:val="0"/>
        <w:snapToGrid w:val="0"/>
        <w:spacing w:line="360" w:lineRule="auto"/>
        <w:rPr>
          <w:rFonts w:ascii="华文中宋" w:hAnsi="华文中宋" w:eastAsia="华文中宋"/>
          <w:color w:val="auto"/>
          <w:sz w:val="32"/>
          <w:szCs w:val="32"/>
          <w:highlight w:val="none"/>
        </w:rPr>
      </w:pPr>
      <w:r>
        <w:rPr>
          <w:rFonts w:hint="eastAsia" w:ascii="宋体" w:hAnsi="宋体" w:eastAsia="宋体"/>
          <w:color w:val="auto"/>
          <w:szCs w:val="21"/>
          <w:highlight w:val="none"/>
        </w:rPr>
        <w:t>项目名称：</w:t>
      </w:r>
      <w:r>
        <w:rPr>
          <w:rFonts w:hint="eastAsia" w:ascii="宋体" w:hAnsi="宋体" w:eastAsia="宋体"/>
          <w:color w:val="auto"/>
          <w:szCs w:val="21"/>
          <w:highlight w:val="none"/>
          <w:u w:val="single"/>
        </w:rPr>
        <w:t xml:space="preserve">       </w:t>
      </w:r>
      <w:r>
        <w:rPr>
          <w:rFonts w:hint="eastAsia" w:ascii="宋体" w:hAnsi="宋体" w:eastAsia="宋体"/>
          <w:color w:val="auto"/>
          <w:szCs w:val="21"/>
          <w:highlight w:val="none"/>
        </w:rPr>
        <w:t xml:space="preserve">                                        </w:t>
      </w:r>
      <w:r>
        <w:rPr>
          <w:rFonts w:hint="eastAsia" w:ascii="宋体" w:hAnsi="宋体"/>
          <w:color w:val="auto"/>
          <w:szCs w:val="21"/>
          <w:highlight w:val="none"/>
          <w:lang w:eastAsia="zh-CN"/>
        </w:rPr>
        <w:t>政府采购</w:t>
      </w:r>
      <w:r>
        <w:rPr>
          <w:rFonts w:hint="eastAsia" w:ascii="宋体" w:hAnsi="宋体"/>
          <w:color w:val="auto"/>
          <w:szCs w:val="21"/>
          <w:highlight w:val="none"/>
          <w:lang w:val="en-US" w:eastAsia="zh-CN"/>
        </w:rPr>
        <w:t>计划</w:t>
      </w:r>
      <w:r>
        <w:rPr>
          <w:rFonts w:hint="eastAsia" w:ascii="宋体" w:hAnsi="宋体"/>
          <w:color w:val="auto"/>
          <w:szCs w:val="21"/>
          <w:highlight w:val="none"/>
          <w:lang w:eastAsia="zh-CN"/>
        </w:rPr>
        <w:t>编号</w:t>
      </w:r>
      <w:r>
        <w:rPr>
          <w:rFonts w:hint="eastAsia" w:ascii="宋体" w:hAnsi="宋体" w:eastAsia="宋体"/>
          <w:color w:val="auto"/>
          <w:szCs w:val="21"/>
          <w:highlight w:val="none"/>
        </w:rPr>
        <w:t>：</w:t>
      </w:r>
      <w:r>
        <w:rPr>
          <w:rFonts w:hint="eastAsia" w:ascii="宋体" w:hAnsi="宋体" w:eastAsia="宋体"/>
          <w:color w:val="auto"/>
          <w:szCs w:val="21"/>
          <w:highlight w:val="none"/>
          <w:u w:val="single"/>
        </w:rPr>
        <w:t xml:space="preserve">           </w:t>
      </w:r>
    </w:p>
    <w:tbl>
      <w:tblPr>
        <w:tblStyle w:val="26"/>
        <w:tblW w:w="0" w:type="auto"/>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007"/>
        <w:gridCol w:w="7912"/>
      </w:tblGrid>
      <w:tr w14:paraId="6CBDFA5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19" w:hRule="atLeast"/>
        </w:trPr>
        <w:tc>
          <w:tcPr>
            <w:tcW w:w="1007" w:type="dxa"/>
            <w:noWrap w:val="0"/>
            <w:vAlign w:val="center"/>
          </w:tcPr>
          <w:p w14:paraId="0775F4BE">
            <w:pPr>
              <w:jc w:val="center"/>
              <w:rPr>
                <w:b/>
                <w:color w:val="auto"/>
                <w:kern w:val="0"/>
                <w:szCs w:val="21"/>
                <w:highlight w:val="none"/>
              </w:rPr>
            </w:pPr>
            <w:r>
              <w:rPr>
                <w:rFonts w:hint="eastAsia"/>
                <w:b/>
                <w:color w:val="auto"/>
                <w:kern w:val="0"/>
                <w:szCs w:val="21"/>
                <w:highlight w:val="none"/>
              </w:rPr>
              <w:t>序号</w:t>
            </w:r>
          </w:p>
        </w:tc>
        <w:tc>
          <w:tcPr>
            <w:tcW w:w="7912" w:type="dxa"/>
            <w:noWrap w:val="0"/>
            <w:vAlign w:val="center"/>
          </w:tcPr>
          <w:p w14:paraId="24C0008E">
            <w:pPr>
              <w:jc w:val="center"/>
              <w:rPr>
                <w:b/>
                <w:color w:val="auto"/>
                <w:kern w:val="0"/>
                <w:szCs w:val="21"/>
                <w:highlight w:val="none"/>
              </w:rPr>
            </w:pPr>
            <w:r>
              <w:rPr>
                <w:rFonts w:hint="eastAsia"/>
                <w:b/>
                <w:color w:val="auto"/>
                <w:kern w:val="0"/>
                <w:szCs w:val="21"/>
                <w:highlight w:val="none"/>
              </w:rPr>
              <w:t>合格投标人名称</w:t>
            </w:r>
          </w:p>
        </w:tc>
      </w:tr>
      <w:tr w14:paraId="25A3AFB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1007" w:type="dxa"/>
            <w:noWrap w:val="0"/>
            <w:vAlign w:val="top"/>
          </w:tcPr>
          <w:p w14:paraId="2DBA7C72">
            <w:pPr>
              <w:adjustRightInd w:val="0"/>
              <w:snapToGrid w:val="0"/>
              <w:spacing w:line="360" w:lineRule="auto"/>
              <w:rPr>
                <w:rFonts w:ascii="宋体" w:hAnsi="宋体" w:eastAsia="宋体"/>
                <w:color w:val="auto"/>
                <w:kern w:val="0"/>
                <w:szCs w:val="21"/>
                <w:highlight w:val="none"/>
              </w:rPr>
            </w:pPr>
          </w:p>
        </w:tc>
        <w:tc>
          <w:tcPr>
            <w:tcW w:w="7912" w:type="dxa"/>
            <w:noWrap w:val="0"/>
            <w:vAlign w:val="top"/>
          </w:tcPr>
          <w:p w14:paraId="78056B3B">
            <w:pPr>
              <w:adjustRightInd w:val="0"/>
              <w:snapToGrid w:val="0"/>
              <w:spacing w:line="360" w:lineRule="auto"/>
              <w:rPr>
                <w:rFonts w:ascii="宋体" w:hAnsi="宋体" w:eastAsia="宋体"/>
                <w:color w:val="auto"/>
                <w:kern w:val="0"/>
                <w:szCs w:val="21"/>
                <w:highlight w:val="none"/>
              </w:rPr>
            </w:pPr>
          </w:p>
        </w:tc>
      </w:tr>
      <w:tr w14:paraId="363CD6C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22" w:hRule="atLeast"/>
        </w:trPr>
        <w:tc>
          <w:tcPr>
            <w:tcW w:w="1007" w:type="dxa"/>
            <w:noWrap w:val="0"/>
            <w:vAlign w:val="top"/>
          </w:tcPr>
          <w:p w14:paraId="66359FB8">
            <w:pPr>
              <w:adjustRightInd w:val="0"/>
              <w:snapToGrid w:val="0"/>
              <w:spacing w:line="360" w:lineRule="auto"/>
              <w:rPr>
                <w:rFonts w:ascii="宋体" w:hAnsi="宋体" w:eastAsia="宋体"/>
                <w:color w:val="auto"/>
                <w:kern w:val="0"/>
                <w:sz w:val="24"/>
                <w:highlight w:val="none"/>
              </w:rPr>
            </w:pPr>
          </w:p>
        </w:tc>
        <w:tc>
          <w:tcPr>
            <w:tcW w:w="7912" w:type="dxa"/>
            <w:noWrap w:val="0"/>
            <w:vAlign w:val="top"/>
          </w:tcPr>
          <w:p w14:paraId="68C99CD4">
            <w:pPr>
              <w:adjustRightInd w:val="0"/>
              <w:snapToGrid w:val="0"/>
              <w:spacing w:line="360" w:lineRule="auto"/>
              <w:rPr>
                <w:rFonts w:ascii="宋体" w:hAnsi="宋体" w:eastAsia="宋体"/>
                <w:color w:val="auto"/>
                <w:kern w:val="0"/>
                <w:sz w:val="24"/>
                <w:highlight w:val="none"/>
              </w:rPr>
            </w:pPr>
          </w:p>
        </w:tc>
      </w:tr>
      <w:tr w14:paraId="5EAAE2E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22" w:hRule="atLeast"/>
        </w:trPr>
        <w:tc>
          <w:tcPr>
            <w:tcW w:w="1007" w:type="dxa"/>
            <w:noWrap w:val="0"/>
            <w:vAlign w:val="top"/>
          </w:tcPr>
          <w:p w14:paraId="17E11529">
            <w:pPr>
              <w:adjustRightInd w:val="0"/>
              <w:snapToGrid w:val="0"/>
              <w:spacing w:line="360" w:lineRule="auto"/>
              <w:rPr>
                <w:rFonts w:ascii="宋体" w:hAnsi="宋体" w:eastAsia="宋体"/>
                <w:color w:val="auto"/>
                <w:kern w:val="0"/>
                <w:sz w:val="24"/>
                <w:highlight w:val="none"/>
              </w:rPr>
            </w:pPr>
          </w:p>
        </w:tc>
        <w:tc>
          <w:tcPr>
            <w:tcW w:w="7912" w:type="dxa"/>
            <w:noWrap w:val="0"/>
            <w:vAlign w:val="top"/>
          </w:tcPr>
          <w:p w14:paraId="153EE9CD">
            <w:pPr>
              <w:adjustRightInd w:val="0"/>
              <w:snapToGrid w:val="0"/>
              <w:spacing w:line="360" w:lineRule="auto"/>
              <w:rPr>
                <w:rFonts w:ascii="宋体" w:hAnsi="宋体" w:eastAsia="宋体"/>
                <w:color w:val="auto"/>
                <w:kern w:val="0"/>
                <w:sz w:val="24"/>
                <w:highlight w:val="none"/>
              </w:rPr>
            </w:pPr>
          </w:p>
        </w:tc>
      </w:tr>
      <w:tr w14:paraId="237D2C3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22" w:hRule="atLeast"/>
        </w:trPr>
        <w:tc>
          <w:tcPr>
            <w:tcW w:w="1007" w:type="dxa"/>
            <w:noWrap w:val="0"/>
            <w:vAlign w:val="top"/>
          </w:tcPr>
          <w:p w14:paraId="4A4FC80A">
            <w:pPr>
              <w:adjustRightInd w:val="0"/>
              <w:snapToGrid w:val="0"/>
              <w:spacing w:line="360" w:lineRule="auto"/>
              <w:rPr>
                <w:rFonts w:ascii="宋体" w:hAnsi="宋体" w:eastAsia="宋体"/>
                <w:color w:val="auto"/>
                <w:kern w:val="0"/>
                <w:sz w:val="24"/>
                <w:highlight w:val="none"/>
              </w:rPr>
            </w:pPr>
          </w:p>
        </w:tc>
        <w:tc>
          <w:tcPr>
            <w:tcW w:w="7912" w:type="dxa"/>
            <w:noWrap w:val="0"/>
            <w:vAlign w:val="top"/>
          </w:tcPr>
          <w:p w14:paraId="2ACA9332">
            <w:pPr>
              <w:adjustRightInd w:val="0"/>
              <w:snapToGrid w:val="0"/>
              <w:spacing w:line="360" w:lineRule="auto"/>
              <w:rPr>
                <w:rFonts w:ascii="宋体" w:hAnsi="宋体" w:eastAsia="宋体"/>
                <w:color w:val="auto"/>
                <w:kern w:val="0"/>
                <w:sz w:val="24"/>
                <w:highlight w:val="none"/>
              </w:rPr>
            </w:pPr>
          </w:p>
        </w:tc>
      </w:tr>
      <w:tr w14:paraId="6E7C28E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22" w:hRule="atLeast"/>
        </w:trPr>
        <w:tc>
          <w:tcPr>
            <w:tcW w:w="1007" w:type="dxa"/>
            <w:noWrap w:val="0"/>
            <w:vAlign w:val="top"/>
          </w:tcPr>
          <w:p w14:paraId="1C7223B6">
            <w:pPr>
              <w:adjustRightInd w:val="0"/>
              <w:snapToGrid w:val="0"/>
              <w:spacing w:line="360" w:lineRule="auto"/>
              <w:rPr>
                <w:rFonts w:ascii="宋体" w:hAnsi="宋体" w:eastAsia="宋体"/>
                <w:color w:val="auto"/>
                <w:kern w:val="0"/>
                <w:sz w:val="24"/>
                <w:highlight w:val="none"/>
              </w:rPr>
            </w:pPr>
          </w:p>
        </w:tc>
        <w:tc>
          <w:tcPr>
            <w:tcW w:w="7912" w:type="dxa"/>
            <w:noWrap w:val="0"/>
            <w:vAlign w:val="top"/>
          </w:tcPr>
          <w:p w14:paraId="6B048AD3">
            <w:pPr>
              <w:adjustRightInd w:val="0"/>
              <w:snapToGrid w:val="0"/>
              <w:spacing w:line="360" w:lineRule="auto"/>
              <w:rPr>
                <w:rFonts w:ascii="宋体" w:hAnsi="宋体" w:eastAsia="宋体"/>
                <w:color w:val="auto"/>
                <w:kern w:val="0"/>
                <w:sz w:val="24"/>
                <w:highlight w:val="none"/>
              </w:rPr>
            </w:pPr>
          </w:p>
        </w:tc>
      </w:tr>
      <w:tr w14:paraId="2066092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5" w:hRule="atLeast"/>
        </w:trPr>
        <w:tc>
          <w:tcPr>
            <w:tcW w:w="1007" w:type="dxa"/>
            <w:noWrap w:val="0"/>
            <w:vAlign w:val="top"/>
          </w:tcPr>
          <w:p w14:paraId="10EC8724">
            <w:pPr>
              <w:adjustRightInd w:val="0"/>
              <w:snapToGrid w:val="0"/>
              <w:spacing w:line="360" w:lineRule="auto"/>
              <w:rPr>
                <w:rFonts w:ascii="宋体" w:hAnsi="宋体" w:eastAsia="宋体"/>
                <w:color w:val="auto"/>
                <w:kern w:val="0"/>
                <w:sz w:val="24"/>
                <w:highlight w:val="none"/>
              </w:rPr>
            </w:pPr>
          </w:p>
        </w:tc>
        <w:tc>
          <w:tcPr>
            <w:tcW w:w="7912" w:type="dxa"/>
            <w:noWrap w:val="0"/>
            <w:vAlign w:val="top"/>
          </w:tcPr>
          <w:p w14:paraId="406A7400">
            <w:pPr>
              <w:adjustRightInd w:val="0"/>
              <w:snapToGrid w:val="0"/>
              <w:spacing w:line="360" w:lineRule="auto"/>
              <w:rPr>
                <w:rFonts w:ascii="宋体" w:hAnsi="宋体" w:eastAsia="宋体"/>
                <w:color w:val="auto"/>
                <w:kern w:val="0"/>
                <w:sz w:val="24"/>
                <w:highlight w:val="none"/>
              </w:rPr>
            </w:pPr>
          </w:p>
        </w:tc>
      </w:tr>
    </w:tbl>
    <w:p w14:paraId="247E795B">
      <w:pPr>
        <w:adjustRightInd w:val="0"/>
        <w:snapToGrid w:val="0"/>
        <w:spacing w:line="360" w:lineRule="auto"/>
        <w:rPr>
          <w:rFonts w:ascii="宋体" w:hAnsi="宋体" w:eastAsia="宋体"/>
          <w:color w:val="auto"/>
          <w:szCs w:val="21"/>
          <w:highlight w:val="none"/>
        </w:rPr>
      </w:pPr>
      <w:r>
        <w:rPr>
          <w:rFonts w:hint="eastAsia" w:ascii="宋体" w:hAnsi="宋体" w:eastAsia="宋体"/>
          <w:color w:val="auto"/>
          <w:szCs w:val="21"/>
          <w:highlight w:val="none"/>
        </w:rPr>
        <w:t>采购人（签字）：</w:t>
      </w:r>
      <w:r>
        <w:rPr>
          <w:rFonts w:hint="eastAsia" w:ascii="宋体" w:hAnsi="宋体" w:eastAsia="宋体"/>
          <w:color w:val="auto"/>
          <w:szCs w:val="21"/>
          <w:highlight w:val="none"/>
          <w:u w:val="single"/>
        </w:rPr>
        <w:t xml:space="preserve">       </w:t>
      </w:r>
      <w:r>
        <w:rPr>
          <w:rFonts w:hint="eastAsia" w:ascii="宋体" w:hAnsi="宋体" w:eastAsia="宋体"/>
          <w:color w:val="auto"/>
          <w:szCs w:val="21"/>
          <w:highlight w:val="none"/>
        </w:rPr>
        <w:t xml:space="preserve">                       </w:t>
      </w:r>
    </w:p>
    <w:p w14:paraId="7B692111">
      <w:pPr>
        <w:adjustRightInd w:val="0"/>
        <w:snapToGrid w:val="0"/>
        <w:spacing w:line="360" w:lineRule="auto"/>
        <w:rPr>
          <w:rFonts w:ascii="宋体" w:hAnsi="宋体" w:eastAsia="宋体"/>
          <w:color w:val="auto"/>
          <w:szCs w:val="21"/>
          <w:highlight w:val="none"/>
        </w:rPr>
      </w:pPr>
      <w:r>
        <w:rPr>
          <w:rFonts w:hint="eastAsia" w:ascii="宋体" w:hAnsi="宋体" w:eastAsia="宋体"/>
          <w:color w:val="auto"/>
          <w:szCs w:val="21"/>
          <w:highlight w:val="none"/>
        </w:rPr>
        <w:t>采购代理机构（签字）：</w:t>
      </w:r>
      <w:r>
        <w:rPr>
          <w:rFonts w:hint="eastAsia" w:ascii="宋体" w:hAnsi="宋体" w:eastAsia="宋体"/>
          <w:color w:val="auto"/>
          <w:szCs w:val="21"/>
          <w:highlight w:val="none"/>
          <w:u w:val="single"/>
        </w:rPr>
        <w:t xml:space="preserve">       </w:t>
      </w:r>
      <w:r>
        <w:rPr>
          <w:rFonts w:hint="eastAsia" w:ascii="宋体" w:hAnsi="宋体" w:eastAsia="宋体"/>
          <w:color w:val="auto"/>
          <w:szCs w:val="21"/>
          <w:highlight w:val="none"/>
        </w:rPr>
        <w:t xml:space="preserve">                               </w:t>
      </w:r>
    </w:p>
    <w:p w14:paraId="18019958">
      <w:pPr>
        <w:rPr>
          <w:rFonts w:ascii="黑体" w:hAnsi="华文中宋" w:eastAsia="黑体"/>
          <w:b/>
          <w:color w:val="auto"/>
          <w:sz w:val="10"/>
          <w:szCs w:val="10"/>
          <w:highlight w:val="none"/>
        </w:rPr>
      </w:pPr>
      <w:r>
        <w:rPr>
          <w:rFonts w:hint="eastAsia" w:ascii="宋体" w:hAnsi="宋体" w:eastAsia="宋体"/>
          <w:color w:val="auto"/>
          <w:szCs w:val="21"/>
          <w:highlight w:val="none"/>
        </w:rPr>
        <w:t>日期：</w:t>
      </w:r>
      <w:r>
        <w:rPr>
          <w:rFonts w:hint="eastAsia" w:ascii="宋体" w:hAnsi="宋体" w:eastAsia="宋体"/>
          <w:color w:val="auto"/>
          <w:szCs w:val="21"/>
          <w:highlight w:val="none"/>
          <w:u w:val="single"/>
        </w:rPr>
        <w:t xml:space="preserve">       </w:t>
      </w:r>
      <w:r>
        <w:rPr>
          <w:rFonts w:hint="eastAsia" w:ascii="宋体" w:hAnsi="宋体" w:eastAsia="宋体"/>
          <w:color w:val="auto"/>
          <w:szCs w:val="21"/>
          <w:highlight w:val="none"/>
        </w:rPr>
        <w:t>年</w:t>
      </w:r>
      <w:r>
        <w:rPr>
          <w:rFonts w:hint="eastAsia" w:ascii="宋体" w:hAnsi="宋体" w:eastAsia="宋体"/>
          <w:color w:val="auto"/>
          <w:szCs w:val="21"/>
          <w:highlight w:val="none"/>
          <w:u w:val="single"/>
        </w:rPr>
        <w:t xml:space="preserve">   </w:t>
      </w:r>
      <w:r>
        <w:rPr>
          <w:rFonts w:hint="eastAsia" w:ascii="宋体" w:hAnsi="宋体" w:eastAsia="宋体"/>
          <w:color w:val="auto"/>
          <w:szCs w:val="21"/>
          <w:highlight w:val="none"/>
        </w:rPr>
        <w:t>月</w:t>
      </w:r>
      <w:r>
        <w:rPr>
          <w:rFonts w:hint="eastAsia" w:ascii="宋体" w:hAnsi="宋体" w:eastAsia="宋体"/>
          <w:color w:val="auto"/>
          <w:szCs w:val="21"/>
          <w:highlight w:val="none"/>
          <w:u w:val="single"/>
        </w:rPr>
        <w:t xml:space="preserve">   </w:t>
      </w:r>
      <w:r>
        <w:rPr>
          <w:rFonts w:hint="eastAsia" w:ascii="宋体" w:hAnsi="宋体" w:eastAsia="宋体"/>
          <w:color w:val="auto"/>
          <w:szCs w:val="21"/>
          <w:highlight w:val="none"/>
        </w:rPr>
        <w:t>日</w:t>
      </w:r>
      <w:r>
        <w:rPr>
          <w:rFonts w:ascii="宋体" w:hAnsi="宋体"/>
          <w:color w:val="auto"/>
          <w:highlight w:val="none"/>
        </w:rPr>
        <w:br w:type="page"/>
      </w:r>
    </w:p>
    <w:p w14:paraId="6AB43439">
      <w:pPr>
        <w:pStyle w:val="13"/>
        <w:adjustRightInd w:val="0"/>
        <w:snapToGrid w:val="0"/>
        <w:spacing w:line="360" w:lineRule="auto"/>
        <w:jc w:val="center"/>
        <w:outlineLvl w:val="0"/>
        <w:rPr>
          <w:rFonts w:ascii="黑体" w:hAnsi="华文中宋" w:eastAsia="黑体"/>
          <w:b/>
          <w:color w:val="auto"/>
          <w:sz w:val="28"/>
          <w:szCs w:val="28"/>
          <w:highlight w:val="none"/>
        </w:rPr>
      </w:pPr>
      <w:bookmarkStart w:id="47" w:name="_Toc20055"/>
      <w:r>
        <w:rPr>
          <w:rFonts w:hint="eastAsia" w:ascii="黑体" w:hAnsi="华文中宋" w:eastAsia="黑体"/>
          <w:b/>
          <w:color w:val="auto"/>
          <w:sz w:val="32"/>
          <w:szCs w:val="32"/>
          <w:highlight w:val="none"/>
        </w:rPr>
        <w:t>第四章 评标方法及标准</w:t>
      </w:r>
      <w:bookmarkEnd w:id="47"/>
    </w:p>
    <w:p w14:paraId="7C0DC226">
      <w:pPr>
        <w:pStyle w:val="3"/>
        <w:adjustRightInd w:val="0"/>
        <w:snapToGrid w:val="0"/>
        <w:jc w:val="center"/>
        <w:rPr>
          <w:rFonts w:ascii="黑体" w:hAnsi="华文中宋" w:eastAsia="黑体"/>
          <w:color w:val="auto"/>
          <w:sz w:val="28"/>
          <w:szCs w:val="28"/>
          <w:highlight w:val="none"/>
        </w:rPr>
      </w:pPr>
      <w:bookmarkStart w:id="48" w:name="_Toc15124"/>
      <w:r>
        <w:rPr>
          <w:rFonts w:hint="eastAsia" w:ascii="黑体" w:hAnsi="华文中宋" w:eastAsia="黑体"/>
          <w:color w:val="auto"/>
          <w:sz w:val="28"/>
          <w:szCs w:val="28"/>
          <w:highlight w:val="none"/>
        </w:rPr>
        <w:t>第一节 评标方法及标准前附表</w:t>
      </w:r>
      <w:bookmarkEnd w:id="48"/>
    </w:p>
    <w:p w14:paraId="4527B3C1">
      <w:pPr>
        <w:widowControl/>
        <w:kinsoku w:val="0"/>
        <w:autoSpaceDE w:val="0"/>
        <w:autoSpaceDN w:val="0"/>
        <w:adjustRightInd w:val="0"/>
        <w:snapToGrid w:val="0"/>
        <w:spacing w:before="206" w:line="220" w:lineRule="auto"/>
        <w:ind w:right="407"/>
        <w:jc w:val="right"/>
        <w:textAlignment w:val="baseline"/>
        <w:rPr>
          <w:rFonts w:ascii="宋体" w:hAnsi="宋体" w:eastAsia="宋体" w:cs="宋体"/>
          <w:snapToGrid w:val="0"/>
          <w:color w:val="auto"/>
          <w:spacing w:val="-2"/>
          <w:kern w:val="0"/>
          <w:sz w:val="21"/>
          <w:szCs w:val="21"/>
          <w:highlight w:val="none"/>
        </w:rPr>
      </w:pPr>
      <w:r>
        <w:rPr>
          <w:rFonts w:hint="eastAsia" w:ascii="宋体" w:hAnsi="宋体" w:eastAsia="宋体" w:cs="宋体"/>
          <w:snapToGrid w:val="0"/>
          <w:color w:val="auto"/>
          <w:spacing w:val="-2"/>
          <w:kern w:val="0"/>
          <w:sz w:val="21"/>
          <w:szCs w:val="21"/>
          <w:highlight w:val="none"/>
        </w:rPr>
        <w:t>注：本项目启用的条款在“编列内容规定”栏内以“</w:t>
      </w:r>
      <w:r>
        <w:rPr>
          <w:rFonts w:ascii="宋体" w:hAnsi="宋体" w:eastAsia="宋体" w:cs="宋体"/>
          <w:color w:val="auto"/>
          <w:spacing w:val="-1"/>
          <w:sz w:val="21"/>
          <w:szCs w:val="21"/>
          <w:highlight w:val="none"/>
        </w:rPr>
        <w:t>■</w:t>
      </w:r>
      <w:r>
        <w:rPr>
          <w:rFonts w:hint="eastAsia" w:ascii="宋体" w:hAnsi="宋体" w:eastAsia="宋体" w:cs="宋体"/>
          <w:snapToGrid w:val="0"/>
          <w:color w:val="auto"/>
          <w:spacing w:val="-2"/>
          <w:kern w:val="0"/>
          <w:sz w:val="21"/>
          <w:szCs w:val="21"/>
          <w:highlight w:val="none"/>
        </w:rPr>
        <w:t>”标注。</w:t>
      </w:r>
    </w:p>
    <w:tbl>
      <w:tblPr>
        <w:tblStyle w:val="25"/>
        <w:tblW w:w="0" w:type="auto"/>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28"/>
        <w:gridCol w:w="806"/>
        <w:gridCol w:w="1144"/>
        <w:gridCol w:w="5300"/>
      </w:tblGrid>
      <w:tr w14:paraId="55CEF2C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14" w:hRule="atLeast"/>
        </w:trPr>
        <w:tc>
          <w:tcPr>
            <w:tcW w:w="1628" w:type="dxa"/>
            <w:tcBorders>
              <w:top w:val="double" w:color="auto" w:sz="4" w:space="0"/>
              <w:bottom w:val="single" w:color="auto" w:sz="6" w:space="0"/>
            </w:tcBorders>
            <w:noWrap w:val="0"/>
            <w:vAlign w:val="top"/>
          </w:tcPr>
          <w:p w14:paraId="50DB2E0D">
            <w:pPr>
              <w:adjustRightInd w:val="0"/>
              <w:snapToGrid w:val="0"/>
              <w:spacing w:before="156" w:beforeLines="50" w:line="360" w:lineRule="auto"/>
              <w:jc w:val="center"/>
              <w:rPr>
                <w:b/>
                <w:color w:val="auto"/>
                <w:highlight w:val="none"/>
              </w:rPr>
            </w:pPr>
            <w:r>
              <w:rPr>
                <w:rFonts w:hint="eastAsia"/>
                <w:b/>
                <w:color w:val="auto"/>
                <w:highlight w:val="none"/>
              </w:rPr>
              <w:t>条款号</w:t>
            </w:r>
          </w:p>
        </w:tc>
        <w:tc>
          <w:tcPr>
            <w:tcW w:w="1950" w:type="dxa"/>
            <w:gridSpan w:val="2"/>
            <w:tcBorders>
              <w:top w:val="double" w:color="auto" w:sz="4" w:space="0"/>
              <w:bottom w:val="single" w:color="auto" w:sz="6" w:space="0"/>
            </w:tcBorders>
            <w:noWrap w:val="0"/>
            <w:vAlign w:val="top"/>
          </w:tcPr>
          <w:p w14:paraId="4F5FBC7D">
            <w:pPr>
              <w:adjustRightInd w:val="0"/>
              <w:snapToGrid w:val="0"/>
              <w:spacing w:before="156" w:beforeLines="50" w:line="360" w:lineRule="auto"/>
              <w:jc w:val="center"/>
              <w:rPr>
                <w:b/>
                <w:color w:val="auto"/>
                <w:highlight w:val="none"/>
              </w:rPr>
            </w:pPr>
            <w:r>
              <w:rPr>
                <w:rFonts w:hint="eastAsia"/>
                <w:b/>
                <w:color w:val="auto"/>
                <w:highlight w:val="none"/>
              </w:rPr>
              <w:t>条款名称</w:t>
            </w:r>
          </w:p>
        </w:tc>
        <w:tc>
          <w:tcPr>
            <w:tcW w:w="5300" w:type="dxa"/>
            <w:tcBorders>
              <w:top w:val="double" w:color="auto" w:sz="4" w:space="0"/>
              <w:bottom w:val="single" w:color="auto" w:sz="6" w:space="0"/>
            </w:tcBorders>
            <w:noWrap w:val="0"/>
            <w:vAlign w:val="top"/>
          </w:tcPr>
          <w:p w14:paraId="712FAD2A">
            <w:pPr>
              <w:adjustRightInd w:val="0"/>
              <w:snapToGrid w:val="0"/>
              <w:spacing w:before="156" w:beforeLines="50" w:line="360" w:lineRule="auto"/>
              <w:jc w:val="center"/>
              <w:rPr>
                <w:b/>
                <w:color w:val="auto"/>
                <w:highlight w:val="none"/>
              </w:rPr>
            </w:pPr>
            <w:r>
              <w:rPr>
                <w:rFonts w:hint="eastAsia"/>
                <w:b/>
                <w:color w:val="auto"/>
                <w:highlight w:val="none"/>
              </w:rPr>
              <w:t>编列内容规定</w:t>
            </w:r>
          </w:p>
        </w:tc>
      </w:tr>
      <w:tr w14:paraId="0012BF6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7" w:hRule="atLeast"/>
        </w:trPr>
        <w:tc>
          <w:tcPr>
            <w:tcW w:w="1628" w:type="dxa"/>
            <w:tcBorders>
              <w:top w:val="single" w:color="auto" w:sz="6" w:space="0"/>
              <w:bottom w:val="single" w:color="auto" w:sz="6" w:space="0"/>
            </w:tcBorders>
            <w:noWrap w:val="0"/>
            <w:vAlign w:val="center"/>
          </w:tcPr>
          <w:p w14:paraId="4EADE913">
            <w:pPr>
              <w:adjustRightInd w:val="0"/>
              <w:snapToGrid w:val="0"/>
              <w:spacing w:before="156" w:beforeLines="50" w:line="360" w:lineRule="auto"/>
              <w:jc w:val="center"/>
              <w:rPr>
                <w:rFonts w:ascii="宋体" w:hAnsi="宋体" w:eastAsia="宋体"/>
                <w:color w:val="auto"/>
                <w:szCs w:val="21"/>
                <w:highlight w:val="none"/>
              </w:rPr>
            </w:pPr>
            <w:r>
              <w:rPr>
                <w:rFonts w:hint="eastAsia" w:ascii="宋体" w:hAnsi="宋体" w:eastAsia="宋体"/>
                <w:color w:val="auto"/>
                <w:szCs w:val="21"/>
                <w:highlight w:val="none"/>
              </w:rPr>
              <w:t>第1.3</w:t>
            </w:r>
            <w:r>
              <w:rPr>
                <w:rFonts w:hint="eastAsia" w:ascii="宋体" w:hAnsi="宋体" w:eastAsia="宋体" w:cs="宋体"/>
                <w:color w:val="auto"/>
                <w:kern w:val="0"/>
                <w:szCs w:val="21"/>
                <w:highlight w:val="none"/>
                <w:lang w:val="zh-CN"/>
              </w:rPr>
              <w:t>款</w:t>
            </w:r>
          </w:p>
        </w:tc>
        <w:tc>
          <w:tcPr>
            <w:tcW w:w="1950" w:type="dxa"/>
            <w:gridSpan w:val="2"/>
            <w:tcBorders>
              <w:top w:val="single" w:color="auto" w:sz="6" w:space="0"/>
              <w:bottom w:val="single" w:color="auto" w:sz="6" w:space="0"/>
            </w:tcBorders>
            <w:noWrap w:val="0"/>
            <w:vAlign w:val="center"/>
          </w:tcPr>
          <w:p w14:paraId="18C0954E">
            <w:pPr>
              <w:adjustRightInd w:val="0"/>
              <w:snapToGrid w:val="0"/>
              <w:spacing w:before="156" w:beforeLines="50" w:line="360" w:lineRule="auto"/>
              <w:jc w:val="center"/>
              <w:rPr>
                <w:rFonts w:ascii="宋体" w:hAnsi="宋体" w:eastAsia="宋体"/>
                <w:color w:val="auto"/>
                <w:szCs w:val="21"/>
                <w:highlight w:val="none"/>
              </w:rPr>
            </w:pPr>
            <w:r>
              <w:rPr>
                <w:rFonts w:hint="eastAsia" w:ascii="宋体" w:hAnsi="宋体" w:eastAsia="宋体"/>
                <w:color w:val="auto"/>
                <w:szCs w:val="21"/>
                <w:highlight w:val="none"/>
              </w:rPr>
              <w:t>评标方法</w:t>
            </w:r>
          </w:p>
        </w:tc>
        <w:tc>
          <w:tcPr>
            <w:tcW w:w="5300" w:type="dxa"/>
            <w:tcBorders>
              <w:top w:val="single" w:color="auto" w:sz="6" w:space="0"/>
              <w:bottom w:val="single" w:color="auto" w:sz="6" w:space="0"/>
            </w:tcBorders>
            <w:noWrap w:val="0"/>
            <w:vAlign w:val="center"/>
          </w:tcPr>
          <w:p w14:paraId="15751999">
            <w:pPr>
              <w:spacing w:before="143" w:line="221" w:lineRule="auto"/>
              <w:rPr>
                <w:rFonts w:ascii="宋体" w:hAnsi="宋体" w:eastAsia="宋体" w:cs="宋体"/>
                <w:color w:val="auto"/>
                <w:sz w:val="21"/>
                <w:szCs w:val="21"/>
                <w:highlight w:val="none"/>
              </w:rPr>
            </w:pPr>
            <w:r>
              <w:rPr>
                <w:rFonts w:ascii="宋体" w:hAnsi="宋体" w:eastAsia="宋体" w:cs="宋体"/>
                <w:color w:val="auto"/>
                <w:spacing w:val="-6"/>
                <w:sz w:val="21"/>
                <w:szCs w:val="21"/>
                <w:highlight w:val="none"/>
              </w:rPr>
              <w:t>■</w:t>
            </w:r>
            <w:r>
              <w:rPr>
                <w:rFonts w:ascii="宋体" w:hAnsi="宋体" w:eastAsia="宋体" w:cs="宋体"/>
                <w:color w:val="auto"/>
                <w:spacing w:val="-3"/>
                <w:sz w:val="21"/>
                <w:szCs w:val="21"/>
                <w:highlight w:val="none"/>
              </w:rPr>
              <w:t xml:space="preserve"> 综合评分法</w:t>
            </w:r>
          </w:p>
          <w:p w14:paraId="0E56B29C">
            <w:pPr>
              <w:adjustRightInd w:val="0"/>
              <w:snapToGrid w:val="0"/>
              <w:spacing w:before="156" w:beforeLines="50" w:line="360" w:lineRule="auto"/>
              <w:rPr>
                <w:rFonts w:ascii="宋体" w:hAnsi="宋体" w:eastAsia="宋体"/>
                <w:color w:val="auto"/>
                <w:szCs w:val="21"/>
                <w:highlight w:val="none"/>
              </w:rPr>
            </w:pPr>
            <w:r>
              <w:rPr>
                <w:rFonts w:ascii="宋体" w:hAnsi="宋体" w:eastAsia="宋体" w:cs="宋体"/>
                <w:color w:val="auto"/>
                <w:spacing w:val="-4"/>
                <w:sz w:val="21"/>
                <w:szCs w:val="21"/>
                <w:highlight w:val="none"/>
              </w:rPr>
              <w:t>□</w:t>
            </w:r>
            <w:r>
              <w:rPr>
                <w:rFonts w:ascii="宋体" w:hAnsi="宋体" w:eastAsia="宋体" w:cs="宋体"/>
                <w:color w:val="auto"/>
                <w:spacing w:val="-3"/>
                <w:sz w:val="21"/>
                <w:szCs w:val="21"/>
                <w:highlight w:val="none"/>
              </w:rPr>
              <w:t xml:space="preserve"> 最低评标价法</w:t>
            </w:r>
          </w:p>
        </w:tc>
      </w:tr>
      <w:tr w14:paraId="4E26912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65" w:hRule="atLeast"/>
        </w:trPr>
        <w:tc>
          <w:tcPr>
            <w:tcW w:w="1628" w:type="dxa"/>
            <w:tcBorders>
              <w:top w:val="single" w:color="auto" w:sz="6" w:space="0"/>
              <w:bottom w:val="single" w:color="auto" w:sz="6" w:space="0"/>
            </w:tcBorders>
            <w:noWrap w:val="0"/>
            <w:vAlign w:val="center"/>
          </w:tcPr>
          <w:p w14:paraId="5EC8A5DA">
            <w:pPr>
              <w:adjustRightInd w:val="0"/>
              <w:snapToGrid w:val="0"/>
              <w:spacing w:before="156" w:beforeLines="50" w:line="360" w:lineRule="auto"/>
              <w:jc w:val="center"/>
              <w:rPr>
                <w:rFonts w:ascii="宋体" w:hAnsi="宋体" w:eastAsia="宋体"/>
                <w:color w:val="auto"/>
                <w:szCs w:val="21"/>
                <w:highlight w:val="none"/>
              </w:rPr>
            </w:pPr>
            <w:r>
              <w:rPr>
                <w:rFonts w:hint="eastAsia" w:ascii="宋体" w:hAnsi="宋体" w:eastAsia="宋体"/>
                <w:color w:val="auto"/>
                <w:szCs w:val="21"/>
                <w:highlight w:val="none"/>
              </w:rPr>
              <w:t>第3.4</w:t>
            </w:r>
            <w:r>
              <w:rPr>
                <w:rFonts w:hint="eastAsia" w:ascii="宋体" w:hAnsi="宋体" w:eastAsia="宋体" w:cs="宋体"/>
                <w:color w:val="auto"/>
                <w:kern w:val="0"/>
                <w:szCs w:val="21"/>
                <w:highlight w:val="none"/>
                <w:lang w:val="zh-CN"/>
              </w:rPr>
              <w:t>款</w:t>
            </w:r>
          </w:p>
        </w:tc>
        <w:tc>
          <w:tcPr>
            <w:tcW w:w="1950" w:type="dxa"/>
            <w:gridSpan w:val="2"/>
            <w:tcBorders>
              <w:top w:val="single" w:color="auto" w:sz="6" w:space="0"/>
              <w:bottom w:val="single" w:color="auto" w:sz="6" w:space="0"/>
            </w:tcBorders>
            <w:noWrap w:val="0"/>
            <w:vAlign w:val="center"/>
          </w:tcPr>
          <w:p w14:paraId="11B89929">
            <w:pPr>
              <w:adjustRightInd w:val="0"/>
              <w:snapToGrid w:val="0"/>
              <w:spacing w:before="156" w:beforeLines="50" w:line="360" w:lineRule="auto"/>
              <w:jc w:val="center"/>
              <w:rPr>
                <w:rFonts w:ascii="宋体" w:hAnsi="宋体" w:eastAsia="宋体"/>
                <w:bCs/>
                <w:color w:val="auto"/>
                <w:szCs w:val="21"/>
                <w:highlight w:val="none"/>
              </w:rPr>
            </w:pPr>
            <w:r>
              <w:rPr>
                <w:rFonts w:hint="eastAsia" w:ascii="宋体" w:hAnsi="宋体" w:eastAsia="宋体"/>
                <w:bCs/>
                <w:color w:val="auto"/>
                <w:szCs w:val="21"/>
                <w:highlight w:val="none"/>
              </w:rPr>
              <w:t>非单一产品采购项目的核心产品</w:t>
            </w:r>
          </w:p>
        </w:tc>
        <w:tc>
          <w:tcPr>
            <w:tcW w:w="5300" w:type="dxa"/>
            <w:tcBorders>
              <w:top w:val="single" w:color="auto" w:sz="6" w:space="0"/>
              <w:bottom w:val="single" w:color="auto" w:sz="6" w:space="0"/>
            </w:tcBorders>
            <w:noWrap w:val="0"/>
            <w:vAlign w:val="center"/>
          </w:tcPr>
          <w:p w14:paraId="380EF9C6">
            <w:pPr>
              <w:adjustRightInd w:val="0"/>
              <w:snapToGrid w:val="0"/>
              <w:spacing w:before="156" w:beforeLines="50" w:line="360" w:lineRule="auto"/>
              <w:rPr>
                <w:rFonts w:hint="default" w:ascii="宋体" w:hAnsi="宋体" w:eastAsia="宋体"/>
                <w:color w:val="auto"/>
                <w:szCs w:val="21"/>
                <w:highlight w:val="none"/>
                <w:lang w:val="en-US" w:eastAsia="zh-CN"/>
              </w:rPr>
            </w:pPr>
            <w:r>
              <w:rPr>
                <w:rFonts w:ascii="宋体" w:hAnsi="宋体" w:eastAsia="宋体" w:cs="宋体"/>
                <w:color w:val="auto"/>
                <w:spacing w:val="-15"/>
                <w:sz w:val="21"/>
                <w:szCs w:val="21"/>
                <w:highlight w:val="none"/>
              </w:rPr>
              <w:t>本</w:t>
            </w:r>
            <w:r>
              <w:rPr>
                <w:rFonts w:ascii="宋体" w:hAnsi="宋体" w:eastAsia="宋体" w:cs="宋体"/>
                <w:color w:val="auto"/>
                <w:spacing w:val="-9"/>
                <w:sz w:val="21"/>
                <w:szCs w:val="21"/>
                <w:highlight w:val="none"/>
              </w:rPr>
              <w:t>项目核心产品为</w:t>
            </w:r>
            <w:r>
              <w:rPr>
                <w:rFonts w:hint="eastAsia" w:ascii="宋体" w:hAnsi="宋体" w:cs="宋体"/>
                <w:color w:val="auto"/>
                <w:spacing w:val="-9"/>
                <w:sz w:val="21"/>
                <w:szCs w:val="21"/>
                <w:highlight w:val="none"/>
                <w:lang w:val="en-US" w:eastAsia="zh-CN"/>
              </w:rPr>
              <w:t>：</w:t>
            </w:r>
            <w:r>
              <w:rPr>
                <w:rFonts w:ascii="Times New Roman" w:hAnsi="Times New Roman" w:eastAsia="Times New Roman" w:cs="Times New Roman"/>
                <w:color w:val="auto"/>
                <w:spacing w:val="2"/>
                <w:sz w:val="21"/>
                <w:szCs w:val="21"/>
                <w:highlight w:val="none"/>
                <w:u w:val="single" w:color="auto"/>
              </w:rPr>
              <w:t>/</w:t>
            </w:r>
          </w:p>
        </w:tc>
      </w:tr>
      <w:tr w14:paraId="7576216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84" w:hRule="atLeast"/>
        </w:trPr>
        <w:tc>
          <w:tcPr>
            <w:tcW w:w="1628" w:type="dxa"/>
            <w:tcBorders>
              <w:top w:val="single" w:color="auto" w:sz="6" w:space="0"/>
              <w:bottom w:val="single" w:color="auto" w:sz="6" w:space="0"/>
            </w:tcBorders>
            <w:noWrap w:val="0"/>
            <w:vAlign w:val="center"/>
          </w:tcPr>
          <w:p w14:paraId="3EA4E705">
            <w:pPr>
              <w:adjustRightInd w:val="0"/>
              <w:snapToGrid w:val="0"/>
              <w:spacing w:before="156" w:beforeLines="50" w:line="360" w:lineRule="auto"/>
              <w:jc w:val="center"/>
              <w:rPr>
                <w:rFonts w:ascii="宋体" w:hAnsi="宋体" w:eastAsia="宋体"/>
                <w:color w:val="auto"/>
                <w:szCs w:val="21"/>
                <w:highlight w:val="none"/>
              </w:rPr>
            </w:pPr>
            <w:r>
              <w:rPr>
                <w:rFonts w:hint="eastAsia" w:ascii="宋体" w:hAnsi="宋体" w:eastAsia="宋体"/>
                <w:color w:val="auto"/>
                <w:szCs w:val="21"/>
                <w:highlight w:val="none"/>
              </w:rPr>
              <w:t>第4.2</w:t>
            </w:r>
            <w:r>
              <w:rPr>
                <w:rFonts w:hint="eastAsia" w:ascii="宋体" w:hAnsi="宋体" w:eastAsia="宋体" w:cs="宋体"/>
                <w:color w:val="auto"/>
                <w:kern w:val="0"/>
                <w:szCs w:val="21"/>
                <w:highlight w:val="none"/>
                <w:lang w:val="zh-CN"/>
              </w:rPr>
              <w:t>款</w:t>
            </w:r>
          </w:p>
        </w:tc>
        <w:tc>
          <w:tcPr>
            <w:tcW w:w="1950" w:type="dxa"/>
            <w:gridSpan w:val="2"/>
            <w:tcBorders>
              <w:top w:val="single" w:color="auto" w:sz="6" w:space="0"/>
              <w:bottom w:val="single" w:color="auto" w:sz="6" w:space="0"/>
            </w:tcBorders>
            <w:noWrap w:val="0"/>
            <w:vAlign w:val="center"/>
          </w:tcPr>
          <w:p w14:paraId="08405D9E">
            <w:pPr>
              <w:adjustRightInd w:val="0"/>
              <w:snapToGrid w:val="0"/>
              <w:spacing w:before="156" w:beforeLines="50" w:line="360" w:lineRule="auto"/>
              <w:jc w:val="center"/>
              <w:rPr>
                <w:rFonts w:ascii="宋体" w:hAnsi="宋体" w:eastAsia="宋体"/>
                <w:color w:val="auto"/>
                <w:szCs w:val="21"/>
                <w:highlight w:val="none"/>
              </w:rPr>
            </w:pPr>
            <w:r>
              <w:rPr>
                <w:rFonts w:hint="eastAsia" w:ascii="宋体" w:hAnsi="宋体" w:eastAsia="宋体"/>
                <w:color w:val="auto"/>
                <w:szCs w:val="21"/>
                <w:highlight w:val="none"/>
              </w:rPr>
              <w:t>投标文件报价出现前后不一致的修正</w:t>
            </w:r>
          </w:p>
        </w:tc>
        <w:tc>
          <w:tcPr>
            <w:tcW w:w="5300" w:type="dxa"/>
            <w:tcBorders>
              <w:top w:val="single" w:color="auto" w:sz="6" w:space="0"/>
              <w:bottom w:val="single" w:color="auto" w:sz="6" w:space="0"/>
            </w:tcBorders>
            <w:noWrap w:val="0"/>
            <w:vAlign w:val="center"/>
          </w:tcPr>
          <w:p w14:paraId="10D6F134">
            <w:pPr>
              <w:adjustRightInd w:val="0"/>
              <w:snapToGrid w:val="0"/>
              <w:spacing w:line="420" w:lineRule="exact"/>
              <w:rPr>
                <w:color w:val="auto"/>
                <w:szCs w:val="21"/>
                <w:highlight w:val="none"/>
              </w:rPr>
            </w:pPr>
            <w:r>
              <w:rPr>
                <w:rFonts w:ascii="宋体" w:hAnsi="宋体" w:eastAsia="宋体" w:cs="宋体"/>
                <w:color w:val="auto"/>
                <w:spacing w:val="-1"/>
                <w:sz w:val="21"/>
                <w:szCs w:val="21"/>
                <w:highlight w:val="none"/>
              </w:rPr>
              <w:t>按本章第</w:t>
            </w:r>
            <w:r>
              <w:rPr>
                <w:rFonts w:ascii="宋体" w:hAnsi="宋体" w:eastAsia="宋体" w:cs="宋体"/>
                <w:color w:val="auto"/>
                <w:sz w:val="21"/>
                <w:szCs w:val="21"/>
                <w:highlight w:val="none"/>
              </w:rPr>
              <w:t>二节规定修正</w:t>
            </w:r>
          </w:p>
        </w:tc>
      </w:tr>
      <w:tr w14:paraId="0A54C31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89" w:hRule="atLeast"/>
        </w:trPr>
        <w:tc>
          <w:tcPr>
            <w:tcW w:w="1628" w:type="dxa"/>
            <w:tcBorders>
              <w:top w:val="single" w:color="auto" w:sz="6" w:space="0"/>
              <w:bottom w:val="single" w:color="auto" w:sz="6" w:space="0"/>
            </w:tcBorders>
            <w:noWrap w:val="0"/>
            <w:vAlign w:val="center"/>
          </w:tcPr>
          <w:p w14:paraId="4B331321">
            <w:pPr>
              <w:adjustRightInd w:val="0"/>
              <w:snapToGrid w:val="0"/>
              <w:spacing w:before="156" w:beforeLines="50" w:line="360" w:lineRule="auto"/>
              <w:jc w:val="center"/>
              <w:rPr>
                <w:rFonts w:ascii="宋体" w:hAnsi="宋体" w:eastAsia="宋体"/>
                <w:color w:val="auto"/>
                <w:szCs w:val="21"/>
                <w:highlight w:val="none"/>
              </w:rPr>
            </w:pPr>
            <w:r>
              <w:rPr>
                <w:rFonts w:hint="eastAsia" w:ascii="宋体" w:hAnsi="宋体" w:eastAsia="宋体"/>
                <w:color w:val="auto"/>
                <w:szCs w:val="21"/>
                <w:highlight w:val="none"/>
              </w:rPr>
              <w:t>第5.2（</w:t>
            </w:r>
            <w:r>
              <w:rPr>
                <w:rFonts w:hint="eastAsia" w:ascii="宋体" w:hAnsi="宋体"/>
                <w:color w:val="auto"/>
                <w:szCs w:val="21"/>
                <w:highlight w:val="none"/>
                <w:lang w:val="en-US" w:eastAsia="zh-CN"/>
              </w:rPr>
              <w:t>1</w:t>
            </w:r>
            <w:r>
              <w:rPr>
                <w:rFonts w:hint="eastAsia" w:ascii="宋体" w:hAnsi="宋体" w:eastAsia="宋体"/>
                <w:color w:val="auto"/>
                <w:szCs w:val="21"/>
                <w:highlight w:val="none"/>
              </w:rPr>
              <w:t>）</w:t>
            </w:r>
            <w:r>
              <w:rPr>
                <w:rFonts w:hint="eastAsia" w:ascii="宋体" w:hAnsi="宋体" w:eastAsia="宋体" w:cs="宋体"/>
                <w:color w:val="auto"/>
                <w:kern w:val="0"/>
                <w:szCs w:val="21"/>
                <w:highlight w:val="none"/>
                <w:lang w:val="zh-CN"/>
              </w:rPr>
              <w:t>项</w:t>
            </w:r>
          </w:p>
        </w:tc>
        <w:tc>
          <w:tcPr>
            <w:tcW w:w="1950" w:type="dxa"/>
            <w:gridSpan w:val="2"/>
            <w:tcBorders>
              <w:top w:val="single" w:color="auto" w:sz="6" w:space="0"/>
              <w:bottom w:val="single" w:color="auto" w:sz="6" w:space="0"/>
            </w:tcBorders>
            <w:noWrap w:val="0"/>
            <w:vAlign w:val="center"/>
          </w:tcPr>
          <w:p w14:paraId="4C1CF72C">
            <w:pPr>
              <w:adjustRightInd w:val="0"/>
              <w:snapToGrid w:val="0"/>
              <w:spacing w:before="156" w:beforeLines="50" w:line="360" w:lineRule="auto"/>
              <w:jc w:val="center"/>
              <w:rPr>
                <w:rFonts w:ascii="宋体" w:hAnsi="宋体" w:eastAsia="宋体"/>
                <w:bCs/>
                <w:color w:val="auto"/>
                <w:szCs w:val="21"/>
                <w:highlight w:val="none"/>
              </w:rPr>
            </w:pPr>
            <w:r>
              <w:rPr>
                <w:rFonts w:hint="eastAsia" w:ascii="宋体" w:hAnsi="宋体" w:eastAsia="宋体"/>
                <w:bCs/>
                <w:color w:val="auto"/>
                <w:szCs w:val="21"/>
                <w:highlight w:val="none"/>
              </w:rPr>
              <w:t>相同品牌产品评审得分相同的规定</w:t>
            </w:r>
          </w:p>
        </w:tc>
        <w:tc>
          <w:tcPr>
            <w:tcW w:w="5300" w:type="dxa"/>
            <w:tcBorders>
              <w:top w:val="single" w:color="auto" w:sz="6" w:space="0"/>
              <w:bottom w:val="single" w:color="auto" w:sz="6" w:space="0"/>
            </w:tcBorders>
            <w:noWrap w:val="0"/>
            <w:vAlign w:val="center"/>
          </w:tcPr>
          <w:p w14:paraId="41351907">
            <w:pPr>
              <w:adjustRightInd w:val="0"/>
              <w:snapToGrid w:val="0"/>
              <w:spacing w:line="420" w:lineRule="exact"/>
              <w:rPr>
                <w:color w:val="auto"/>
                <w:szCs w:val="21"/>
                <w:highlight w:val="none"/>
              </w:rPr>
            </w:pPr>
            <w:r>
              <w:rPr>
                <w:rFonts w:ascii="宋体" w:hAnsi="宋体" w:eastAsia="宋体" w:cs="宋体"/>
                <w:color w:val="auto"/>
                <w:spacing w:val="1"/>
                <w:sz w:val="21"/>
                <w:szCs w:val="21"/>
                <w:highlight w:val="none"/>
              </w:rPr>
              <w:t>评审得</w:t>
            </w:r>
            <w:r>
              <w:rPr>
                <w:rFonts w:ascii="宋体" w:hAnsi="宋体" w:eastAsia="宋体" w:cs="宋体"/>
                <w:color w:val="auto"/>
                <w:sz w:val="21"/>
                <w:szCs w:val="21"/>
                <w:highlight w:val="none"/>
              </w:rPr>
              <w:t>分相同的，投标报价最低的同品牌投标人获得中标</w:t>
            </w:r>
            <w:r>
              <w:rPr>
                <w:rFonts w:ascii="宋体" w:hAnsi="宋体" w:eastAsia="宋体" w:cs="宋体"/>
                <w:color w:val="auto"/>
                <w:spacing w:val="1"/>
                <w:sz w:val="21"/>
                <w:szCs w:val="21"/>
                <w:highlight w:val="none"/>
              </w:rPr>
              <w:t>人推</w:t>
            </w:r>
            <w:r>
              <w:rPr>
                <w:rFonts w:ascii="宋体" w:hAnsi="宋体" w:eastAsia="宋体" w:cs="宋体"/>
                <w:color w:val="auto"/>
                <w:sz w:val="21"/>
                <w:szCs w:val="21"/>
                <w:highlight w:val="none"/>
              </w:rPr>
              <w:t>荐资格。评审得分且投标报价相同的，按技术指标优劣</w:t>
            </w:r>
            <w:r>
              <w:rPr>
                <w:rFonts w:ascii="宋体" w:hAnsi="宋体" w:eastAsia="宋体" w:cs="宋体"/>
                <w:color w:val="auto"/>
                <w:spacing w:val="-8"/>
                <w:sz w:val="21"/>
                <w:szCs w:val="21"/>
                <w:highlight w:val="none"/>
              </w:rPr>
              <w:t>顺</w:t>
            </w:r>
            <w:r>
              <w:rPr>
                <w:rFonts w:ascii="宋体" w:hAnsi="宋体" w:eastAsia="宋体" w:cs="宋体"/>
                <w:color w:val="auto"/>
                <w:spacing w:val="-5"/>
                <w:sz w:val="21"/>
                <w:szCs w:val="21"/>
                <w:highlight w:val="none"/>
              </w:rPr>
              <w:t>序排列。</w:t>
            </w:r>
          </w:p>
        </w:tc>
      </w:tr>
      <w:tr w14:paraId="7BDA3E1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074" w:hRule="atLeast"/>
        </w:trPr>
        <w:tc>
          <w:tcPr>
            <w:tcW w:w="1628" w:type="dxa"/>
            <w:tcBorders>
              <w:top w:val="single" w:color="auto" w:sz="6" w:space="0"/>
            </w:tcBorders>
            <w:noWrap w:val="0"/>
            <w:vAlign w:val="center"/>
          </w:tcPr>
          <w:p w14:paraId="306884DD">
            <w:pPr>
              <w:adjustRightInd w:val="0"/>
              <w:snapToGrid w:val="0"/>
              <w:spacing w:before="156" w:beforeLines="50" w:line="360" w:lineRule="auto"/>
              <w:jc w:val="center"/>
              <w:rPr>
                <w:rFonts w:ascii="宋体" w:hAnsi="宋体" w:eastAsia="宋体"/>
                <w:color w:val="auto"/>
                <w:szCs w:val="21"/>
                <w:highlight w:val="none"/>
              </w:rPr>
            </w:pPr>
            <w:r>
              <w:rPr>
                <w:rFonts w:hint="eastAsia" w:ascii="宋体" w:hAnsi="宋体" w:eastAsia="宋体"/>
                <w:color w:val="auto"/>
                <w:szCs w:val="21"/>
                <w:highlight w:val="none"/>
              </w:rPr>
              <w:t>第5.</w:t>
            </w:r>
            <w:r>
              <w:rPr>
                <w:rFonts w:hint="eastAsia" w:ascii="宋体" w:hAnsi="宋体"/>
                <w:color w:val="auto"/>
                <w:szCs w:val="21"/>
                <w:highlight w:val="none"/>
                <w:lang w:val="en-US" w:eastAsia="zh-CN"/>
              </w:rPr>
              <w:t>4</w:t>
            </w:r>
            <w:r>
              <w:rPr>
                <w:rFonts w:hint="eastAsia" w:ascii="宋体" w:hAnsi="宋体" w:eastAsia="宋体"/>
                <w:color w:val="auto"/>
                <w:szCs w:val="21"/>
                <w:highlight w:val="none"/>
              </w:rPr>
              <w:t>（1）</w:t>
            </w:r>
            <w:r>
              <w:rPr>
                <w:rFonts w:hint="eastAsia" w:ascii="宋体" w:hAnsi="宋体" w:eastAsia="宋体" w:cs="宋体"/>
                <w:color w:val="auto"/>
                <w:kern w:val="0"/>
                <w:szCs w:val="21"/>
                <w:highlight w:val="none"/>
                <w:lang w:val="zh-CN"/>
              </w:rPr>
              <w:t>项</w:t>
            </w:r>
          </w:p>
        </w:tc>
        <w:tc>
          <w:tcPr>
            <w:tcW w:w="1950" w:type="dxa"/>
            <w:gridSpan w:val="2"/>
            <w:tcBorders>
              <w:top w:val="single" w:color="auto" w:sz="6" w:space="0"/>
            </w:tcBorders>
            <w:noWrap w:val="0"/>
            <w:vAlign w:val="center"/>
          </w:tcPr>
          <w:p w14:paraId="2236B46B">
            <w:pPr>
              <w:adjustRightInd w:val="0"/>
              <w:snapToGrid w:val="0"/>
              <w:spacing w:before="156" w:beforeLines="50" w:line="360" w:lineRule="auto"/>
              <w:jc w:val="center"/>
              <w:rPr>
                <w:rFonts w:ascii="宋体" w:hAnsi="宋体" w:eastAsia="宋体"/>
                <w:color w:val="auto"/>
                <w:szCs w:val="21"/>
                <w:highlight w:val="none"/>
              </w:rPr>
            </w:pPr>
            <w:r>
              <w:rPr>
                <w:rFonts w:hint="eastAsia" w:ascii="宋体" w:hAnsi="宋体" w:eastAsia="宋体"/>
                <w:color w:val="auto"/>
                <w:szCs w:val="21"/>
                <w:highlight w:val="none"/>
              </w:rPr>
              <w:t>价格评审优惠</w:t>
            </w:r>
          </w:p>
        </w:tc>
        <w:tc>
          <w:tcPr>
            <w:tcW w:w="5300" w:type="dxa"/>
            <w:tcBorders>
              <w:top w:val="single" w:color="auto" w:sz="6" w:space="0"/>
              <w:bottom w:val="single" w:color="auto" w:sz="6" w:space="0"/>
            </w:tcBorders>
            <w:noWrap w:val="0"/>
            <w:vAlign w:val="center"/>
          </w:tcPr>
          <w:p w14:paraId="7C4103D5">
            <w:pPr>
              <w:spacing w:before="80" w:line="281" w:lineRule="auto"/>
              <w:ind w:left="114" w:right="116" w:firstLine="211"/>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①对于</w:t>
            </w:r>
            <w:r>
              <w:rPr>
                <w:rFonts w:ascii="宋体" w:hAnsi="宋体" w:eastAsia="宋体" w:cs="宋体"/>
                <w:color w:val="auto"/>
                <w:sz w:val="21"/>
                <w:szCs w:val="21"/>
                <w:highlight w:val="none"/>
              </w:rPr>
              <w:t>经主管预算单位统筹后未预留份额专门面向中小企</w:t>
            </w:r>
            <w:r>
              <w:rPr>
                <w:rFonts w:ascii="宋体" w:hAnsi="宋体" w:eastAsia="宋体" w:cs="宋体"/>
                <w:color w:val="auto"/>
                <w:spacing w:val="-6"/>
                <w:sz w:val="21"/>
                <w:szCs w:val="21"/>
                <w:highlight w:val="none"/>
              </w:rPr>
              <w:t>业采购的采购</w:t>
            </w:r>
            <w:r>
              <w:rPr>
                <w:rFonts w:ascii="宋体" w:hAnsi="宋体" w:eastAsia="宋体" w:cs="宋体"/>
                <w:color w:val="auto"/>
                <w:spacing w:val="-5"/>
                <w:sz w:val="21"/>
                <w:szCs w:val="21"/>
                <w:highlight w:val="none"/>
              </w:rPr>
              <w:t>项</w:t>
            </w:r>
            <w:r>
              <w:rPr>
                <w:rFonts w:ascii="宋体" w:hAnsi="宋体" w:eastAsia="宋体" w:cs="宋体"/>
                <w:color w:val="auto"/>
                <w:spacing w:val="-3"/>
                <w:sz w:val="21"/>
                <w:szCs w:val="21"/>
                <w:highlight w:val="none"/>
              </w:rPr>
              <w:t>目， 以及预留份额项目中的非预留部分采购</w:t>
            </w:r>
            <w:r>
              <w:rPr>
                <w:rFonts w:ascii="宋体" w:hAnsi="宋体" w:eastAsia="宋体" w:cs="宋体"/>
                <w:color w:val="auto"/>
                <w:spacing w:val="1"/>
                <w:sz w:val="21"/>
                <w:szCs w:val="21"/>
                <w:highlight w:val="none"/>
              </w:rPr>
              <w:t>包，采购</w:t>
            </w:r>
            <w:r>
              <w:rPr>
                <w:rFonts w:ascii="宋体" w:hAnsi="宋体" w:eastAsia="宋体" w:cs="宋体"/>
                <w:color w:val="auto"/>
                <w:sz w:val="21"/>
                <w:szCs w:val="21"/>
                <w:highlight w:val="none"/>
              </w:rPr>
              <w:t>人、采购代理机构应当对符合《政府采购促进中小</w:t>
            </w:r>
            <w:r>
              <w:rPr>
                <w:rFonts w:ascii="宋体" w:hAnsi="宋体" w:eastAsia="宋体" w:cs="宋体"/>
                <w:color w:val="auto"/>
                <w:spacing w:val="-12"/>
                <w:sz w:val="21"/>
                <w:szCs w:val="21"/>
                <w:highlight w:val="none"/>
              </w:rPr>
              <w:t>企</w:t>
            </w:r>
            <w:r>
              <w:rPr>
                <w:rFonts w:ascii="宋体" w:hAnsi="宋体" w:eastAsia="宋体" w:cs="宋体"/>
                <w:color w:val="auto"/>
                <w:spacing w:val="-7"/>
                <w:sz w:val="21"/>
                <w:szCs w:val="21"/>
                <w:highlight w:val="none"/>
              </w:rPr>
              <w:t>业</w:t>
            </w:r>
            <w:r>
              <w:rPr>
                <w:rFonts w:ascii="宋体" w:hAnsi="宋体" w:eastAsia="宋体" w:cs="宋体"/>
                <w:color w:val="auto"/>
                <w:spacing w:val="-6"/>
                <w:sz w:val="21"/>
                <w:szCs w:val="21"/>
                <w:highlight w:val="none"/>
              </w:rPr>
              <w:t xml:space="preserve">发展管理办法》规定的小微企业报价给予 </w:t>
            </w:r>
            <w:r>
              <w:rPr>
                <w:rFonts w:hint="eastAsia" w:ascii="宋体" w:hAnsi="宋体" w:eastAsia="宋体" w:cs="宋体"/>
                <w:color w:val="auto"/>
                <w:spacing w:val="-6"/>
                <w:sz w:val="21"/>
                <w:szCs w:val="21"/>
                <w:highlight w:val="none"/>
                <w:lang w:val="en-US" w:eastAsia="zh-CN"/>
              </w:rPr>
              <w:t>10</w:t>
            </w:r>
            <w:r>
              <w:rPr>
                <w:rFonts w:ascii="Times New Roman" w:hAnsi="Times New Roman" w:eastAsia="Times New Roman" w:cs="Times New Roman"/>
                <w:color w:val="auto"/>
                <w:spacing w:val="-6"/>
                <w:sz w:val="21"/>
                <w:szCs w:val="21"/>
                <w:highlight w:val="none"/>
              </w:rPr>
              <w:t>%</w:t>
            </w:r>
            <w:r>
              <w:rPr>
                <w:rFonts w:ascii="宋体" w:hAnsi="宋体" w:eastAsia="宋体" w:cs="宋体"/>
                <w:color w:val="auto"/>
                <w:spacing w:val="-6"/>
                <w:sz w:val="21"/>
                <w:szCs w:val="21"/>
                <w:highlight w:val="none"/>
              </w:rPr>
              <w:t xml:space="preserve">— </w:t>
            </w:r>
            <w:r>
              <w:rPr>
                <w:rFonts w:hint="eastAsia" w:ascii="宋体" w:hAnsi="宋体" w:eastAsia="宋体" w:cs="宋体"/>
                <w:color w:val="auto"/>
                <w:spacing w:val="-6"/>
                <w:sz w:val="21"/>
                <w:szCs w:val="21"/>
                <w:highlight w:val="none"/>
                <w:lang w:val="en-US" w:eastAsia="zh-CN"/>
              </w:rPr>
              <w:t>2</w:t>
            </w:r>
            <w:r>
              <w:rPr>
                <w:rFonts w:ascii="Times New Roman" w:hAnsi="Times New Roman" w:eastAsia="Times New Roman" w:cs="Times New Roman"/>
                <w:color w:val="auto"/>
                <w:spacing w:val="-6"/>
                <w:sz w:val="21"/>
                <w:szCs w:val="21"/>
                <w:highlight w:val="none"/>
              </w:rPr>
              <w:t xml:space="preserve">0% </w:t>
            </w:r>
            <w:r>
              <w:rPr>
                <w:rFonts w:ascii="宋体" w:hAnsi="宋体" w:eastAsia="宋体" w:cs="宋体"/>
                <w:color w:val="auto"/>
                <w:spacing w:val="-6"/>
                <w:sz w:val="21"/>
                <w:szCs w:val="21"/>
                <w:highlight w:val="none"/>
              </w:rPr>
              <w:t>(工</w:t>
            </w:r>
            <w:r>
              <w:rPr>
                <w:rFonts w:ascii="宋体" w:hAnsi="宋体" w:eastAsia="宋体" w:cs="宋体"/>
                <w:color w:val="auto"/>
                <w:spacing w:val="-8"/>
                <w:sz w:val="21"/>
                <w:szCs w:val="21"/>
                <w:highlight w:val="none"/>
              </w:rPr>
              <w:t>程项目</w:t>
            </w:r>
            <w:r>
              <w:rPr>
                <w:rFonts w:ascii="宋体" w:hAnsi="宋体" w:eastAsia="宋体" w:cs="宋体"/>
                <w:color w:val="auto"/>
                <w:spacing w:val="-7"/>
                <w:sz w:val="21"/>
                <w:szCs w:val="21"/>
                <w:highlight w:val="none"/>
              </w:rPr>
              <w:t>为</w:t>
            </w:r>
            <w:r>
              <w:rPr>
                <w:rFonts w:ascii="宋体" w:hAnsi="宋体" w:eastAsia="宋体" w:cs="宋体"/>
                <w:color w:val="auto"/>
                <w:spacing w:val="-4"/>
                <w:sz w:val="21"/>
                <w:szCs w:val="21"/>
                <w:highlight w:val="none"/>
              </w:rPr>
              <w:t xml:space="preserve"> </w:t>
            </w:r>
            <w:r>
              <w:rPr>
                <w:rFonts w:hint="eastAsia" w:ascii="宋体" w:hAnsi="宋体" w:eastAsia="宋体" w:cs="宋体"/>
                <w:color w:val="auto"/>
                <w:spacing w:val="-4"/>
                <w:sz w:val="21"/>
                <w:szCs w:val="21"/>
                <w:highlight w:val="none"/>
                <w:lang w:val="en-US" w:eastAsia="zh-CN"/>
              </w:rPr>
              <w:t>6</w:t>
            </w:r>
            <w:r>
              <w:rPr>
                <w:rFonts w:ascii="Times New Roman" w:hAnsi="Times New Roman" w:eastAsia="Times New Roman" w:cs="Times New Roman"/>
                <w:color w:val="auto"/>
                <w:spacing w:val="-4"/>
                <w:sz w:val="21"/>
                <w:szCs w:val="21"/>
                <w:highlight w:val="none"/>
              </w:rPr>
              <w:t>%</w:t>
            </w:r>
            <w:r>
              <w:rPr>
                <w:rFonts w:ascii="宋体" w:hAnsi="宋体" w:eastAsia="宋体" w:cs="宋体"/>
                <w:color w:val="auto"/>
                <w:spacing w:val="-4"/>
                <w:sz w:val="21"/>
                <w:szCs w:val="21"/>
                <w:highlight w:val="none"/>
              </w:rPr>
              <w:t>—</w:t>
            </w:r>
            <w:r>
              <w:rPr>
                <w:rFonts w:hint="eastAsia" w:ascii="宋体" w:hAnsi="宋体" w:eastAsia="宋体" w:cs="宋体"/>
                <w:color w:val="auto"/>
                <w:spacing w:val="-4"/>
                <w:sz w:val="21"/>
                <w:szCs w:val="21"/>
                <w:highlight w:val="none"/>
                <w:lang w:val="en-US" w:eastAsia="zh-CN"/>
              </w:rPr>
              <w:t>10</w:t>
            </w:r>
            <w:r>
              <w:rPr>
                <w:rFonts w:ascii="Times New Roman" w:hAnsi="Times New Roman" w:eastAsia="Times New Roman" w:cs="Times New Roman"/>
                <w:color w:val="auto"/>
                <w:spacing w:val="-4"/>
                <w:sz w:val="21"/>
                <w:szCs w:val="21"/>
                <w:highlight w:val="none"/>
              </w:rPr>
              <w:t>%</w:t>
            </w:r>
            <w:r>
              <w:rPr>
                <w:rFonts w:ascii="宋体" w:hAnsi="宋体" w:eastAsia="宋体" w:cs="宋体"/>
                <w:color w:val="auto"/>
                <w:spacing w:val="-4"/>
                <w:sz w:val="21"/>
                <w:szCs w:val="21"/>
                <w:highlight w:val="none"/>
              </w:rPr>
              <w:t>)的扣除， 用扣除后的价格参加评审。具</w:t>
            </w:r>
            <w:r>
              <w:rPr>
                <w:rFonts w:ascii="宋体" w:hAnsi="宋体" w:eastAsia="宋体" w:cs="宋体"/>
                <w:color w:val="auto"/>
                <w:spacing w:val="-8"/>
                <w:sz w:val="21"/>
                <w:szCs w:val="21"/>
                <w:highlight w:val="none"/>
              </w:rPr>
              <w:t>体</w:t>
            </w:r>
            <w:r>
              <w:rPr>
                <w:rFonts w:ascii="宋体" w:hAnsi="宋体" w:eastAsia="宋体" w:cs="宋体"/>
                <w:color w:val="auto"/>
                <w:spacing w:val="-4"/>
                <w:sz w:val="21"/>
                <w:szCs w:val="21"/>
                <w:highlight w:val="none"/>
              </w:rPr>
              <w:t>扣除比例如下：</w:t>
            </w:r>
          </w:p>
          <w:p w14:paraId="7C0051AE">
            <w:pPr>
              <w:spacing w:before="2" w:line="266" w:lineRule="auto"/>
              <w:ind w:left="114" w:right="112" w:firstLine="233"/>
              <w:rPr>
                <w:rFonts w:ascii="宋体" w:hAnsi="宋体" w:eastAsia="宋体" w:cs="宋体"/>
                <w:color w:val="auto"/>
                <w:sz w:val="21"/>
                <w:szCs w:val="21"/>
                <w:highlight w:val="none"/>
              </w:rPr>
            </w:pPr>
            <w:r>
              <w:rPr>
                <w:rFonts w:ascii="宋体" w:hAnsi="宋体" w:eastAsia="宋体" w:cs="宋体"/>
                <w:color w:val="auto"/>
                <w:spacing w:val="-6"/>
                <w:sz w:val="21"/>
                <w:szCs w:val="21"/>
                <w:highlight w:val="none"/>
              </w:rPr>
              <w:t>■</w:t>
            </w:r>
            <w:r>
              <w:rPr>
                <w:rFonts w:ascii="宋体" w:hAnsi="宋体" w:eastAsia="宋体" w:cs="宋体"/>
                <w:color w:val="auto"/>
                <w:spacing w:val="-11"/>
                <w:sz w:val="21"/>
                <w:szCs w:val="21"/>
                <w:highlight w:val="none"/>
              </w:rPr>
              <w:t>货物采购： 货物由中小企业制造， 即货物由中小企业生</w:t>
            </w:r>
            <w:r>
              <w:rPr>
                <w:rFonts w:ascii="宋体" w:hAnsi="宋体" w:eastAsia="宋体" w:cs="宋体"/>
                <w:color w:val="auto"/>
                <w:spacing w:val="1"/>
                <w:sz w:val="21"/>
                <w:szCs w:val="21"/>
                <w:highlight w:val="none"/>
              </w:rPr>
              <w:t>产且使用</w:t>
            </w:r>
            <w:r>
              <w:rPr>
                <w:rFonts w:ascii="宋体" w:hAnsi="宋体" w:eastAsia="宋体" w:cs="宋体"/>
                <w:color w:val="auto"/>
                <w:sz w:val="21"/>
                <w:szCs w:val="21"/>
                <w:highlight w:val="none"/>
              </w:rPr>
              <w:t>该中小企业商号或者注册商标。本项目给予小微企</w:t>
            </w:r>
            <w:r>
              <w:rPr>
                <w:rFonts w:ascii="宋体" w:hAnsi="宋体" w:eastAsia="宋体" w:cs="宋体"/>
                <w:color w:val="auto"/>
                <w:spacing w:val="-7"/>
                <w:sz w:val="21"/>
                <w:szCs w:val="21"/>
                <w:highlight w:val="none"/>
              </w:rPr>
              <w:t>业</w:t>
            </w:r>
            <w:r>
              <w:rPr>
                <w:rFonts w:ascii="Times New Roman" w:hAnsi="Times New Roman" w:eastAsia="Times New Roman" w:cs="Times New Roman"/>
                <w:color w:val="auto"/>
                <w:spacing w:val="-4"/>
                <w:sz w:val="21"/>
                <w:szCs w:val="21"/>
                <w:highlight w:val="none"/>
                <w:u w:val="single" w:color="auto"/>
              </w:rPr>
              <w:t xml:space="preserve"> </w:t>
            </w:r>
            <w:r>
              <w:rPr>
                <w:rFonts w:hint="eastAsia" w:ascii="Times New Roman" w:hAnsi="Times New Roman" w:cs="Times New Roman"/>
                <w:color w:val="auto"/>
                <w:spacing w:val="-4"/>
                <w:sz w:val="21"/>
                <w:szCs w:val="21"/>
                <w:highlight w:val="none"/>
                <w:u w:val="single" w:color="auto"/>
                <w:lang w:val="en-US" w:eastAsia="zh-CN"/>
              </w:rPr>
              <w:t>10%</w:t>
            </w:r>
            <w:r>
              <w:rPr>
                <w:rFonts w:ascii="宋体" w:hAnsi="宋体" w:eastAsia="宋体" w:cs="宋体"/>
                <w:color w:val="auto"/>
                <w:spacing w:val="-11"/>
                <w:sz w:val="21"/>
                <w:szCs w:val="21"/>
                <w:highlight w:val="none"/>
                <w:u w:val="single"/>
              </w:rPr>
              <w:t xml:space="preserve">  </w:t>
            </w:r>
            <w:r>
              <w:rPr>
                <w:rFonts w:ascii="宋体" w:hAnsi="宋体" w:eastAsia="宋体" w:cs="宋体"/>
                <w:color w:val="auto"/>
                <w:spacing w:val="-11"/>
                <w:sz w:val="21"/>
                <w:szCs w:val="21"/>
                <w:highlight w:val="none"/>
              </w:rPr>
              <w:t xml:space="preserve"> </w:t>
            </w:r>
            <w:r>
              <w:rPr>
                <w:rFonts w:ascii="宋体" w:hAnsi="宋体" w:eastAsia="宋体" w:cs="宋体"/>
                <w:color w:val="auto"/>
                <w:spacing w:val="-4"/>
                <w:sz w:val="21"/>
                <w:szCs w:val="21"/>
                <w:highlight w:val="none"/>
              </w:rPr>
              <w:t>的扣除。</w:t>
            </w:r>
          </w:p>
          <w:p w14:paraId="2D647575">
            <w:pPr>
              <w:spacing w:before="49" w:line="283" w:lineRule="auto"/>
              <w:ind w:left="120" w:right="40" w:firstLine="205"/>
              <w:rPr>
                <w:rFonts w:ascii="宋体" w:hAnsi="宋体" w:eastAsia="宋体" w:cs="宋体"/>
                <w:b/>
                <w:bCs/>
                <w:color w:val="auto"/>
                <w:spacing w:val="-10"/>
                <w:sz w:val="21"/>
                <w:szCs w:val="21"/>
                <w:highlight w:val="none"/>
              </w:rPr>
            </w:pPr>
            <w:r>
              <w:rPr>
                <w:rFonts w:ascii="宋体" w:hAnsi="宋体" w:eastAsia="宋体" w:cs="宋体"/>
                <w:b/>
                <w:bCs/>
                <w:color w:val="auto"/>
                <w:spacing w:val="-4"/>
                <w:sz w:val="21"/>
                <w:szCs w:val="21"/>
                <w:highlight w:val="none"/>
              </w:rPr>
              <w:t>在货物采购项目中， 供应商提供的货物既有中小企业制</w:t>
            </w:r>
            <w:r>
              <w:rPr>
                <w:rFonts w:ascii="宋体" w:hAnsi="宋体" w:eastAsia="宋体" w:cs="宋体"/>
                <w:b/>
                <w:bCs/>
                <w:color w:val="auto"/>
                <w:spacing w:val="-2"/>
                <w:sz w:val="21"/>
                <w:szCs w:val="21"/>
                <w:highlight w:val="none"/>
              </w:rPr>
              <w:t>造</w:t>
            </w:r>
            <w:r>
              <w:rPr>
                <w:rFonts w:ascii="宋体" w:hAnsi="宋体" w:eastAsia="宋体" w:cs="宋体"/>
                <w:b/>
                <w:bCs/>
                <w:color w:val="auto"/>
                <w:spacing w:val="-12"/>
                <w:sz w:val="21"/>
                <w:szCs w:val="21"/>
                <w:highlight w:val="none"/>
              </w:rPr>
              <w:t>货物， 也有大型企业制造货物的， 不享受中小企业扶持政策</w:t>
            </w:r>
            <w:r>
              <w:rPr>
                <w:rFonts w:ascii="宋体" w:hAnsi="宋体" w:eastAsia="宋体" w:cs="宋体"/>
                <w:b/>
                <w:bCs/>
                <w:color w:val="auto"/>
                <w:spacing w:val="-10"/>
                <w:sz w:val="21"/>
                <w:szCs w:val="21"/>
                <w:highlight w:val="none"/>
              </w:rPr>
              <w:t>。</w:t>
            </w:r>
          </w:p>
          <w:p w14:paraId="6B61166B">
            <w:pPr>
              <w:spacing w:before="49" w:line="283" w:lineRule="auto"/>
              <w:ind w:left="120" w:right="40" w:firstLine="205"/>
              <w:rPr>
                <w:rFonts w:ascii="宋体" w:hAnsi="宋体" w:eastAsia="宋体" w:cs="宋体"/>
                <w:b/>
                <w:bCs/>
                <w:color w:val="auto"/>
                <w:spacing w:val="-10"/>
                <w:sz w:val="21"/>
                <w:szCs w:val="21"/>
                <w:highlight w:val="none"/>
              </w:rPr>
            </w:pPr>
            <w:r>
              <w:rPr>
                <w:rFonts w:hint="eastAsia" w:ascii="Times New Roman" w:hAnsi="Times New Roman" w:eastAsia="宋体" w:cs="Times New Roman"/>
                <w:b/>
                <w:bCs/>
                <w:color w:val="auto"/>
                <w:kern w:val="2"/>
                <w:sz w:val="21"/>
                <w:szCs w:val="21"/>
                <w:highlight w:val="none"/>
                <w:lang w:val="en-US" w:eastAsia="zh-CN" w:bidi="ar-SA"/>
              </w:rPr>
              <w:t>注：本项目所属行业为</w:t>
            </w:r>
            <w:r>
              <w:rPr>
                <w:rFonts w:hint="eastAsia" w:ascii="Times New Roman" w:hAnsi="Times New Roman" w:eastAsia="宋体" w:cs="Times New Roman"/>
                <w:b/>
                <w:bCs/>
                <w:color w:val="auto"/>
                <w:kern w:val="2"/>
                <w:sz w:val="21"/>
                <w:szCs w:val="21"/>
                <w:highlight w:val="none"/>
                <w:u w:val="single"/>
                <w:lang w:val="en-US" w:eastAsia="zh-CN" w:bidi="ar-SA"/>
              </w:rPr>
              <w:t xml:space="preserve"> 工业</w:t>
            </w:r>
            <w:r>
              <w:rPr>
                <w:rFonts w:hint="eastAsia" w:ascii="Times New Roman" w:hAnsi="Times New Roman" w:eastAsia="宋体" w:cs="Times New Roman"/>
                <w:b/>
                <w:bCs/>
                <w:color w:val="auto"/>
                <w:kern w:val="2"/>
                <w:sz w:val="21"/>
                <w:szCs w:val="21"/>
                <w:highlight w:val="none"/>
                <w:lang w:val="en-US" w:eastAsia="zh-CN" w:bidi="ar-SA"/>
              </w:rPr>
              <w:t xml:space="preserve"> ，其中投标人企业规模认定按照《关于印发中小企业划型标准规定的通知》（工信部联企业〔2011〕300号）执行；投标文件必须按招标文件要求提供中小企业声明函、湖南省政府采购供应商资格承诺函，具体格式详见附件。</w:t>
            </w:r>
          </w:p>
          <w:p w14:paraId="4F9888EC">
            <w:pPr>
              <w:spacing w:line="256" w:lineRule="auto"/>
              <w:ind w:left="121" w:right="112" w:firstLine="227"/>
              <w:rPr>
                <w:rFonts w:ascii="宋体" w:hAnsi="宋体" w:eastAsia="宋体" w:cs="宋体"/>
                <w:color w:val="auto"/>
                <w:sz w:val="21"/>
                <w:szCs w:val="21"/>
                <w:highlight w:val="none"/>
              </w:rPr>
            </w:pPr>
            <w:r>
              <w:rPr>
                <w:rFonts w:ascii="宋体" w:hAnsi="宋体" w:eastAsia="宋体" w:cs="宋体"/>
                <w:color w:val="auto"/>
                <w:spacing w:val="-22"/>
                <w:sz w:val="21"/>
                <w:szCs w:val="21"/>
                <w:highlight w:val="none"/>
              </w:rPr>
              <w:t>□</w:t>
            </w:r>
            <w:r>
              <w:rPr>
                <w:rFonts w:ascii="宋体" w:hAnsi="宋体" w:eastAsia="宋体" w:cs="宋体"/>
                <w:color w:val="auto"/>
                <w:spacing w:val="-21"/>
                <w:sz w:val="21"/>
                <w:szCs w:val="21"/>
                <w:highlight w:val="none"/>
              </w:rPr>
              <w:t xml:space="preserve"> </w:t>
            </w:r>
            <w:r>
              <w:rPr>
                <w:rFonts w:ascii="宋体" w:hAnsi="宋体" w:eastAsia="宋体" w:cs="宋体"/>
                <w:color w:val="auto"/>
                <w:spacing w:val="-11"/>
                <w:sz w:val="21"/>
                <w:szCs w:val="21"/>
                <w:highlight w:val="none"/>
              </w:rPr>
              <w:t>工程采购： 工程由中小企业承建， 即工程施工单位为中</w:t>
            </w:r>
            <w:r>
              <w:rPr>
                <w:rFonts w:ascii="宋体" w:hAnsi="宋体" w:eastAsia="宋体" w:cs="宋体"/>
                <w:color w:val="auto"/>
                <w:sz w:val="21"/>
                <w:szCs w:val="21"/>
                <w:highlight w:val="none"/>
              </w:rPr>
              <w:t xml:space="preserve"> </w:t>
            </w:r>
            <w:r>
              <w:rPr>
                <w:rFonts w:ascii="宋体" w:hAnsi="宋体" w:eastAsia="宋体" w:cs="宋体"/>
                <w:color w:val="auto"/>
                <w:spacing w:val="2"/>
                <w:sz w:val="21"/>
                <w:szCs w:val="21"/>
                <w:highlight w:val="none"/>
              </w:rPr>
              <w:t>小企业。本项目小微企业给予</w:t>
            </w:r>
            <w:r>
              <w:rPr>
                <w:rFonts w:ascii="Times New Roman" w:hAnsi="Times New Roman" w:eastAsia="Times New Roman" w:cs="Times New Roman"/>
                <w:color w:val="auto"/>
                <w:spacing w:val="2"/>
                <w:sz w:val="21"/>
                <w:szCs w:val="21"/>
                <w:highlight w:val="none"/>
                <w:u w:val="single" w:color="auto"/>
              </w:rPr>
              <w:t xml:space="preserve">   /  </w:t>
            </w:r>
            <w:r>
              <w:rPr>
                <w:rFonts w:ascii="宋体" w:hAnsi="宋体" w:eastAsia="宋体" w:cs="宋体"/>
                <w:color w:val="auto"/>
                <w:spacing w:val="2"/>
                <w:sz w:val="21"/>
                <w:szCs w:val="21"/>
                <w:highlight w:val="none"/>
              </w:rPr>
              <w:t>的扣除</w:t>
            </w:r>
            <w:r>
              <w:rPr>
                <w:rFonts w:ascii="宋体" w:hAnsi="宋体" w:eastAsia="宋体" w:cs="宋体"/>
                <w:color w:val="auto"/>
                <w:spacing w:val="1"/>
                <w:sz w:val="21"/>
                <w:szCs w:val="21"/>
                <w:highlight w:val="none"/>
              </w:rPr>
              <w:t>。</w:t>
            </w:r>
          </w:p>
          <w:p w14:paraId="3214FFC1">
            <w:pPr>
              <w:spacing w:before="56" w:line="265" w:lineRule="auto"/>
              <w:ind w:left="132" w:right="112" w:firstLine="215"/>
              <w:rPr>
                <w:rFonts w:ascii="宋体" w:hAnsi="宋体" w:eastAsia="宋体" w:cs="宋体"/>
                <w:color w:val="auto"/>
                <w:sz w:val="21"/>
                <w:szCs w:val="21"/>
                <w:highlight w:val="none"/>
              </w:rPr>
            </w:pPr>
            <w:r>
              <w:rPr>
                <w:rFonts w:ascii="宋体" w:hAnsi="宋体" w:eastAsia="宋体" w:cs="宋体"/>
                <w:color w:val="auto"/>
                <w:spacing w:val="-22"/>
                <w:sz w:val="21"/>
                <w:szCs w:val="21"/>
                <w:highlight w:val="none"/>
              </w:rPr>
              <w:t>□</w:t>
            </w:r>
            <w:r>
              <w:rPr>
                <w:rFonts w:ascii="宋体" w:hAnsi="宋体" w:eastAsia="宋体" w:cs="宋体"/>
                <w:color w:val="auto"/>
                <w:spacing w:val="-21"/>
                <w:sz w:val="21"/>
                <w:szCs w:val="21"/>
                <w:highlight w:val="none"/>
              </w:rPr>
              <w:t xml:space="preserve"> </w:t>
            </w:r>
            <w:r>
              <w:rPr>
                <w:rFonts w:ascii="宋体" w:hAnsi="宋体" w:eastAsia="宋体" w:cs="宋体"/>
                <w:color w:val="auto"/>
                <w:spacing w:val="-11"/>
                <w:sz w:val="21"/>
                <w:szCs w:val="21"/>
                <w:highlight w:val="none"/>
              </w:rPr>
              <w:t>服务采购： 服务由中小企业承接， 即提供服务的人员为</w:t>
            </w:r>
            <w:r>
              <w:rPr>
                <w:rFonts w:ascii="宋体" w:hAnsi="宋体" w:eastAsia="宋体" w:cs="宋体"/>
                <w:color w:val="auto"/>
                <w:sz w:val="21"/>
                <w:szCs w:val="21"/>
                <w:highlight w:val="none"/>
              </w:rPr>
              <w:t xml:space="preserve"> </w:t>
            </w:r>
            <w:r>
              <w:rPr>
                <w:rFonts w:ascii="宋体" w:hAnsi="宋体" w:eastAsia="宋体" w:cs="宋体"/>
                <w:color w:val="auto"/>
                <w:spacing w:val="-1"/>
                <w:sz w:val="21"/>
                <w:szCs w:val="21"/>
                <w:highlight w:val="none"/>
              </w:rPr>
              <w:t>中小企业依照《中华人民共和国</w:t>
            </w:r>
            <w:r>
              <w:rPr>
                <w:rFonts w:ascii="宋体" w:hAnsi="宋体" w:eastAsia="宋体" w:cs="宋体"/>
                <w:color w:val="auto"/>
                <w:sz w:val="21"/>
                <w:szCs w:val="21"/>
                <w:highlight w:val="none"/>
              </w:rPr>
              <w:t xml:space="preserve">劳动合同法》订立劳动合同 </w:t>
            </w:r>
            <w:r>
              <w:rPr>
                <w:rFonts w:ascii="宋体" w:hAnsi="宋体" w:eastAsia="宋体" w:cs="宋体"/>
                <w:color w:val="auto"/>
                <w:spacing w:val="-2"/>
                <w:sz w:val="21"/>
                <w:szCs w:val="21"/>
                <w:highlight w:val="none"/>
              </w:rPr>
              <w:t>的从业人员。本项目小微</w:t>
            </w:r>
            <w:r>
              <w:rPr>
                <w:rFonts w:ascii="宋体" w:hAnsi="宋体" w:eastAsia="宋体" w:cs="宋体"/>
                <w:color w:val="auto"/>
                <w:spacing w:val="-1"/>
                <w:sz w:val="21"/>
                <w:szCs w:val="21"/>
                <w:highlight w:val="none"/>
              </w:rPr>
              <w:t>企业给予</w:t>
            </w:r>
            <w:r>
              <w:rPr>
                <w:rFonts w:ascii="Times New Roman" w:hAnsi="Times New Roman" w:eastAsia="Times New Roman" w:cs="Times New Roman"/>
                <w:color w:val="auto"/>
                <w:spacing w:val="-1"/>
                <w:sz w:val="21"/>
                <w:szCs w:val="21"/>
                <w:highlight w:val="none"/>
                <w:u w:val="single" w:color="auto"/>
              </w:rPr>
              <w:t xml:space="preserve">  /  </w:t>
            </w:r>
            <w:r>
              <w:rPr>
                <w:rFonts w:ascii="宋体" w:hAnsi="宋体" w:eastAsia="宋体" w:cs="宋体"/>
                <w:color w:val="auto"/>
                <w:spacing w:val="-1"/>
                <w:sz w:val="21"/>
                <w:szCs w:val="21"/>
                <w:highlight w:val="none"/>
              </w:rPr>
              <w:t>的扣除。</w:t>
            </w:r>
          </w:p>
          <w:p w14:paraId="34C0EC7B">
            <w:pPr>
              <w:spacing w:before="58" w:line="281" w:lineRule="auto"/>
              <w:ind w:left="115" w:right="112" w:firstLine="209"/>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②接受大</w:t>
            </w:r>
            <w:r>
              <w:rPr>
                <w:rFonts w:ascii="宋体" w:hAnsi="宋体" w:eastAsia="宋体" w:cs="宋体"/>
                <w:color w:val="auto"/>
                <w:sz w:val="21"/>
                <w:szCs w:val="21"/>
                <w:highlight w:val="none"/>
              </w:rPr>
              <w:t xml:space="preserve">中型企业与小微企业组成联合体或者允许大中型 </w:t>
            </w:r>
            <w:r>
              <w:rPr>
                <w:rFonts w:ascii="宋体" w:hAnsi="宋体" w:eastAsia="宋体" w:cs="宋体"/>
                <w:color w:val="auto"/>
                <w:spacing w:val="1"/>
                <w:sz w:val="21"/>
                <w:szCs w:val="21"/>
                <w:highlight w:val="none"/>
              </w:rPr>
              <w:t>企业向</w:t>
            </w:r>
            <w:r>
              <w:rPr>
                <w:rFonts w:ascii="宋体" w:hAnsi="宋体" w:eastAsia="宋体" w:cs="宋体"/>
                <w:color w:val="auto"/>
                <w:sz w:val="21"/>
                <w:szCs w:val="21"/>
                <w:highlight w:val="none"/>
              </w:rPr>
              <w:t xml:space="preserve">一家或者多家小微企业分包的采购项目，对于联合协 </w:t>
            </w:r>
            <w:r>
              <w:rPr>
                <w:rFonts w:ascii="宋体" w:hAnsi="宋体" w:eastAsia="宋体" w:cs="宋体"/>
                <w:color w:val="auto"/>
                <w:spacing w:val="1"/>
                <w:sz w:val="21"/>
                <w:szCs w:val="21"/>
                <w:highlight w:val="none"/>
              </w:rPr>
              <w:t>议或者</w:t>
            </w:r>
            <w:r>
              <w:rPr>
                <w:rFonts w:ascii="宋体" w:hAnsi="宋体" w:eastAsia="宋体" w:cs="宋体"/>
                <w:color w:val="auto"/>
                <w:sz w:val="21"/>
                <w:szCs w:val="21"/>
                <w:highlight w:val="none"/>
              </w:rPr>
              <w:t xml:space="preserve">分包意向协议约定小微企业的合同份额占到合同总金 </w:t>
            </w:r>
            <w:r>
              <w:rPr>
                <w:rFonts w:ascii="宋体" w:hAnsi="宋体" w:eastAsia="宋体" w:cs="宋体"/>
                <w:color w:val="auto"/>
                <w:spacing w:val="-10"/>
                <w:sz w:val="21"/>
                <w:szCs w:val="21"/>
                <w:highlight w:val="none"/>
              </w:rPr>
              <w:t xml:space="preserve">额 </w:t>
            </w:r>
            <w:r>
              <w:rPr>
                <w:rFonts w:ascii="Times New Roman" w:hAnsi="Times New Roman" w:eastAsia="Times New Roman" w:cs="Times New Roman"/>
                <w:color w:val="auto"/>
                <w:spacing w:val="-10"/>
                <w:sz w:val="21"/>
                <w:szCs w:val="21"/>
                <w:highlight w:val="none"/>
              </w:rPr>
              <w:t>30</w:t>
            </w:r>
            <w:r>
              <w:rPr>
                <w:rFonts w:ascii="Times New Roman" w:hAnsi="Times New Roman" w:eastAsia="Times New Roman" w:cs="Times New Roman"/>
                <w:color w:val="auto"/>
                <w:spacing w:val="-7"/>
                <w:sz w:val="21"/>
                <w:szCs w:val="21"/>
                <w:highlight w:val="none"/>
              </w:rPr>
              <w:t>%</w:t>
            </w:r>
            <w:r>
              <w:rPr>
                <w:rFonts w:ascii="宋体" w:hAnsi="宋体" w:eastAsia="宋体" w:cs="宋体"/>
                <w:color w:val="auto"/>
                <w:spacing w:val="-5"/>
                <w:sz w:val="21"/>
                <w:szCs w:val="21"/>
                <w:highlight w:val="none"/>
              </w:rPr>
              <w:t>以上的， 采购人、采购代理机构应当对联合体或者大</w:t>
            </w:r>
            <w:r>
              <w:rPr>
                <w:rFonts w:ascii="宋体" w:hAnsi="宋体" w:eastAsia="宋体" w:cs="宋体"/>
                <w:color w:val="auto"/>
                <w:sz w:val="21"/>
                <w:szCs w:val="21"/>
                <w:highlight w:val="none"/>
              </w:rPr>
              <w:t xml:space="preserve"> </w:t>
            </w:r>
            <w:r>
              <w:rPr>
                <w:rFonts w:ascii="宋体" w:hAnsi="宋体" w:eastAsia="宋体" w:cs="宋体"/>
                <w:color w:val="auto"/>
                <w:spacing w:val="10"/>
                <w:sz w:val="21"/>
                <w:szCs w:val="21"/>
                <w:highlight w:val="none"/>
              </w:rPr>
              <w:t>中</w:t>
            </w:r>
            <w:r>
              <w:rPr>
                <w:rFonts w:ascii="宋体" w:hAnsi="宋体" w:eastAsia="宋体" w:cs="宋体"/>
                <w:color w:val="auto"/>
                <w:spacing w:val="7"/>
                <w:sz w:val="21"/>
                <w:szCs w:val="21"/>
                <w:highlight w:val="none"/>
              </w:rPr>
              <w:t>型</w:t>
            </w:r>
            <w:r>
              <w:rPr>
                <w:rFonts w:ascii="宋体" w:hAnsi="宋体" w:eastAsia="宋体" w:cs="宋体"/>
                <w:color w:val="auto"/>
                <w:spacing w:val="5"/>
                <w:sz w:val="21"/>
                <w:szCs w:val="21"/>
                <w:highlight w:val="none"/>
              </w:rPr>
              <w:t xml:space="preserve">企业的报价给予 </w:t>
            </w:r>
            <w:r>
              <w:rPr>
                <w:rFonts w:ascii="Times New Roman" w:hAnsi="Times New Roman" w:eastAsia="Times New Roman" w:cs="Times New Roman"/>
                <w:color w:val="auto"/>
                <w:spacing w:val="5"/>
                <w:sz w:val="21"/>
                <w:szCs w:val="21"/>
                <w:highlight w:val="none"/>
              </w:rPr>
              <w:t xml:space="preserve">2%-3%  </w:t>
            </w:r>
            <w:r>
              <w:rPr>
                <w:rFonts w:ascii="宋体" w:hAnsi="宋体" w:eastAsia="宋体" w:cs="宋体"/>
                <w:color w:val="auto"/>
                <w:spacing w:val="5"/>
                <w:sz w:val="21"/>
                <w:szCs w:val="21"/>
                <w:highlight w:val="none"/>
              </w:rPr>
              <w:t xml:space="preserve">(工程项目为 </w:t>
            </w:r>
            <w:r>
              <w:rPr>
                <w:rFonts w:ascii="Times New Roman" w:hAnsi="Times New Roman" w:eastAsia="Times New Roman" w:cs="Times New Roman"/>
                <w:color w:val="auto"/>
                <w:spacing w:val="5"/>
                <w:sz w:val="21"/>
                <w:szCs w:val="21"/>
                <w:highlight w:val="none"/>
              </w:rPr>
              <w:t>1%</w:t>
            </w:r>
            <w:r>
              <w:rPr>
                <w:rFonts w:ascii="宋体" w:hAnsi="宋体" w:eastAsia="宋体" w:cs="宋体"/>
                <w:color w:val="auto"/>
                <w:spacing w:val="5"/>
                <w:sz w:val="21"/>
                <w:szCs w:val="21"/>
                <w:highlight w:val="none"/>
              </w:rPr>
              <w:t>—</w:t>
            </w:r>
            <w:r>
              <w:rPr>
                <w:rFonts w:ascii="Times New Roman" w:hAnsi="Times New Roman" w:eastAsia="Times New Roman" w:cs="Times New Roman"/>
                <w:color w:val="auto"/>
                <w:spacing w:val="5"/>
                <w:sz w:val="21"/>
                <w:szCs w:val="21"/>
                <w:highlight w:val="none"/>
              </w:rPr>
              <w:t>2%</w:t>
            </w:r>
            <w:r>
              <w:rPr>
                <w:rFonts w:ascii="宋体" w:hAnsi="宋体" w:eastAsia="宋体" w:cs="宋体"/>
                <w:color w:val="auto"/>
                <w:spacing w:val="5"/>
                <w:sz w:val="21"/>
                <w:szCs w:val="21"/>
                <w:highlight w:val="none"/>
              </w:rPr>
              <w:t>)的扣</w:t>
            </w:r>
            <w:r>
              <w:rPr>
                <w:rFonts w:ascii="宋体" w:hAnsi="宋体" w:eastAsia="宋体" w:cs="宋体"/>
                <w:color w:val="auto"/>
                <w:sz w:val="21"/>
                <w:szCs w:val="21"/>
                <w:highlight w:val="none"/>
              </w:rPr>
              <w:t xml:space="preserve"> </w:t>
            </w:r>
            <w:r>
              <w:rPr>
                <w:rFonts w:ascii="宋体" w:hAnsi="宋体" w:eastAsia="宋体" w:cs="宋体"/>
                <w:color w:val="auto"/>
                <w:spacing w:val="-2"/>
                <w:sz w:val="21"/>
                <w:szCs w:val="21"/>
                <w:highlight w:val="none"/>
              </w:rPr>
              <w:t>除，用扣除后</w:t>
            </w:r>
            <w:r>
              <w:rPr>
                <w:rFonts w:ascii="宋体" w:hAnsi="宋体" w:eastAsia="宋体" w:cs="宋体"/>
                <w:color w:val="auto"/>
                <w:spacing w:val="-1"/>
                <w:sz w:val="21"/>
                <w:szCs w:val="21"/>
                <w:highlight w:val="none"/>
              </w:rPr>
              <w:t>的价格参加评审。具体扣除比例如下：</w:t>
            </w:r>
          </w:p>
          <w:p w14:paraId="4BECA9C9">
            <w:pPr>
              <w:spacing w:before="1" w:line="233" w:lineRule="auto"/>
              <w:ind w:left="348"/>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 货物采购：本项目扣除比例为</w:t>
            </w:r>
            <w:r>
              <w:rPr>
                <w:rFonts w:ascii="Times New Roman" w:hAnsi="Times New Roman" w:eastAsia="Times New Roman" w:cs="Times New Roman"/>
                <w:color w:val="auto"/>
                <w:spacing w:val="-1"/>
                <w:sz w:val="21"/>
                <w:szCs w:val="21"/>
                <w:highlight w:val="none"/>
                <w:u w:val="single" w:color="auto"/>
              </w:rPr>
              <w:t xml:space="preserve">    /    </w:t>
            </w:r>
            <w:r>
              <w:rPr>
                <w:rFonts w:ascii="Times New Roman" w:hAnsi="Times New Roman" w:eastAsia="Times New Roman" w:cs="Times New Roman"/>
                <w:color w:val="auto"/>
                <w:sz w:val="21"/>
                <w:szCs w:val="21"/>
                <w:highlight w:val="none"/>
                <w:u w:val="single" w:color="auto"/>
              </w:rPr>
              <w:t xml:space="preserve">  </w:t>
            </w:r>
            <w:r>
              <w:rPr>
                <w:rFonts w:ascii="宋体" w:hAnsi="宋体" w:eastAsia="宋体" w:cs="宋体"/>
                <w:color w:val="auto"/>
                <w:sz w:val="21"/>
                <w:szCs w:val="21"/>
                <w:highlight w:val="none"/>
              </w:rPr>
              <w:t>。</w:t>
            </w:r>
          </w:p>
          <w:p w14:paraId="38311482">
            <w:pPr>
              <w:spacing w:before="55" w:line="234" w:lineRule="auto"/>
              <w:ind w:left="348"/>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 工程</w:t>
            </w:r>
            <w:r>
              <w:rPr>
                <w:rFonts w:ascii="宋体" w:hAnsi="宋体" w:eastAsia="宋体" w:cs="宋体"/>
                <w:color w:val="auto"/>
                <w:spacing w:val="1"/>
                <w:sz w:val="21"/>
                <w:szCs w:val="21"/>
                <w:highlight w:val="none"/>
              </w:rPr>
              <w:t>采购：本项目扣除比例为</w:t>
            </w:r>
            <w:r>
              <w:rPr>
                <w:rFonts w:ascii="Times New Roman" w:hAnsi="Times New Roman" w:eastAsia="Times New Roman" w:cs="Times New Roman"/>
                <w:color w:val="auto"/>
                <w:spacing w:val="1"/>
                <w:sz w:val="21"/>
                <w:szCs w:val="21"/>
                <w:highlight w:val="none"/>
                <w:u w:val="single" w:color="auto"/>
              </w:rPr>
              <w:t xml:space="preserve">    /   </w:t>
            </w:r>
            <w:r>
              <w:rPr>
                <w:rFonts w:ascii="宋体" w:hAnsi="宋体" w:eastAsia="宋体" w:cs="宋体"/>
                <w:color w:val="auto"/>
                <w:spacing w:val="1"/>
                <w:sz w:val="21"/>
                <w:szCs w:val="21"/>
                <w:highlight w:val="none"/>
              </w:rPr>
              <w:t>。</w:t>
            </w:r>
          </w:p>
          <w:p w14:paraId="4C472EBF">
            <w:pPr>
              <w:spacing w:before="51" w:line="234" w:lineRule="auto"/>
              <w:ind w:left="348"/>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 服务采购：本项目扣除比例为</w:t>
            </w:r>
            <w:r>
              <w:rPr>
                <w:rFonts w:ascii="Times New Roman" w:hAnsi="Times New Roman" w:eastAsia="Times New Roman" w:cs="Times New Roman"/>
                <w:color w:val="auto"/>
                <w:spacing w:val="-1"/>
                <w:sz w:val="21"/>
                <w:szCs w:val="21"/>
                <w:highlight w:val="none"/>
                <w:u w:val="single" w:color="auto"/>
              </w:rPr>
              <w:t xml:space="preserve">    /    </w:t>
            </w:r>
            <w:r>
              <w:rPr>
                <w:rFonts w:ascii="Times New Roman" w:hAnsi="Times New Roman" w:eastAsia="Times New Roman" w:cs="Times New Roman"/>
                <w:color w:val="auto"/>
                <w:sz w:val="21"/>
                <w:szCs w:val="21"/>
                <w:highlight w:val="none"/>
                <w:u w:val="single" w:color="auto"/>
              </w:rPr>
              <w:t xml:space="preserve">  </w:t>
            </w:r>
            <w:r>
              <w:rPr>
                <w:rFonts w:ascii="宋体" w:hAnsi="宋体" w:eastAsia="宋体" w:cs="宋体"/>
                <w:color w:val="auto"/>
                <w:sz w:val="21"/>
                <w:szCs w:val="21"/>
                <w:highlight w:val="none"/>
              </w:rPr>
              <w:t>。</w:t>
            </w:r>
          </w:p>
          <w:p w14:paraId="39469DE3">
            <w:pPr>
              <w:spacing w:before="83" w:line="291" w:lineRule="auto"/>
              <w:ind w:left="118" w:right="117"/>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(以联</w:t>
            </w:r>
            <w:r>
              <w:rPr>
                <w:rFonts w:ascii="宋体" w:hAnsi="宋体" w:eastAsia="宋体" w:cs="宋体"/>
                <w:color w:val="auto"/>
                <w:sz w:val="21"/>
                <w:szCs w:val="21"/>
                <w:highlight w:val="none"/>
              </w:rPr>
              <w:t>合体形式参加政府采购活动， 联合体各方均为中小</w:t>
            </w:r>
            <w:r>
              <w:rPr>
                <w:rFonts w:ascii="宋体" w:hAnsi="宋体" w:eastAsia="宋体" w:cs="宋体"/>
                <w:color w:val="auto"/>
                <w:spacing w:val="-14"/>
                <w:sz w:val="21"/>
                <w:szCs w:val="21"/>
                <w:highlight w:val="none"/>
              </w:rPr>
              <w:t>企业</w:t>
            </w:r>
            <w:r>
              <w:rPr>
                <w:rFonts w:ascii="宋体" w:hAnsi="宋体" w:eastAsia="宋体" w:cs="宋体"/>
                <w:color w:val="auto"/>
                <w:spacing w:val="-7"/>
                <w:sz w:val="21"/>
                <w:szCs w:val="21"/>
                <w:highlight w:val="none"/>
              </w:rPr>
              <w:t>的， 联合体视同中小企业。其中， 联合体各方均为小微</w:t>
            </w:r>
            <w:r>
              <w:rPr>
                <w:rFonts w:ascii="宋体" w:hAnsi="宋体" w:eastAsia="宋体" w:cs="宋体"/>
                <w:color w:val="auto"/>
                <w:sz w:val="21"/>
                <w:szCs w:val="21"/>
                <w:highlight w:val="none"/>
              </w:rPr>
              <w:t xml:space="preserve"> </w:t>
            </w:r>
            <w:r>
              <w:rPr>
                <w:rFonts w:ascii="宋体" w:hAnsi="宋体" w:eastAsia="宋体" w:cs="宋体"/>
                <w:color w:val="auto"/>
                <w:spacing w:val="-1"/>
                <w:sz w:val="21"/>
                <w:szCs w:val="21"/>
                <w:highlight w:val="none"/>
              </w:rPr>
              <w:t>企业的，联合体视</w:t>
            </w:r>
            <w:r>
              <w:rPr>
                <w:rFonts w:ascii="宋体" w:hAnsi="宋体" w:eastAsia="宋体" w:cs="宋体"/>
                <w:color w:val="auto"/>
                <w:sz w:val="21"/>
                <w:szCs w:val="21"/>
                <w:highlight w:val="none"/>
              </w:rPr>
              <w:t>同小微企业。)</w:t>
            </w:r>
          </w:p>
          <w:p w14:paraId="141F282C">
            <w:pPr>
              <w:spacing w:before="8" w:line="317" w:lineRule="auto"/>
              <w:ind w:left="115" w:right="148" w:firstLine="419"/>
              <w:rPr>
                <w:rFonts w:ascii="宋体" w:hAnsi="宋体" w:eastAsia="宋体" w:cs="宋体"/>
                <w:b/>
                <w:bCs/>
                <w:color w:val="auto"/>
                <w:sz w:val="21"/>
                <w:szCs w:val="21"/>
                <w:highlight w:val="none"/>
              </w:rPr>
            </w:pPr>
            <w:r>
              <w:rPr>
                <w:rFonts w:ascii="宋体" w:hAnsi="宋体" w:eastAsia="宋体" w:cs="宋体"/>
                <w:color w:val="auto"/>
                <w:spacing w:val="-2"/>
                <w:sz w:val="21"/>
                <w:szCs w:val="21"/>
                <w:highlight w:val="none"/>
              </w:rPr>
              <w:t>③监狱企业</w:t>
            </w:r>
            <w:r>
              <w:rPr>
                <w:rFonts w:ascii="宋体" w:hAnsi="宋体" w:eastAsia="宋体" w:cs="宋体"/>
                <w:color w:val="auto"/>
                <w:spacing w:val="-1"/>
                <w:sz w:val="21"/>
                <w:szCs w:val="21"/>
                <w:highlight w:val="none"/>
              </w:rPr>
              <w:t>、残疾人福利性单位视同小型、微型企业，</w:t>
            </w:r>
            <w:r>
              <w:rPr>
                <w:rFonts w:ascii="宋体" w:hAnsi="宋体" w:eastAsia="宋体" w:cs="宋体"/>
                <w:color w:val="auto"/>
                <w:sz w:val="21"/>
                <w:szCs w:val="21"/>
                <w:highlight w:val="none"/>
              </w:rPr>
              <w:t xml:space="preserve"> </w:t>
            </w:r>
            <w:r>
              <w:rPr>
                <w:rFonts w:ascii="宋体" w:hAnsi="宋体" w:eastAsia="宋体" w:cs="宋体"/>
                <w:color w:val="auto"/>
                <w:spacing w:val="-2"/>
                <w:sz w:val="21"/>
                <w:szCs w:val="21"/>
                <w:highlight w:val="none"/>
              </w:rPr>
              <w:t>享受评</w:t>
            </w:r>
            <w:r>
              <w:rPr>
                <w:rFonts w:ascii="宋体" w:hAnsi="宋体" w:eastAsia="宋体" w:cs="宋体"/>
                <w:color w:val="auto"/>
                <w:spacing w:val="-1"/>
                <w:sz w:val="21"/>
                <w:szCs w:val="21"/>
                <w:highlight w:val="none"/>
              </w:rPr>
              <w:t>审中价格扣除等促进中小企业发展的政府采购政策。</w:t>
            </w:r>
            <w:r>
              <w:rPr>
                <w:rFonts w:ascii="宋体" w:hAnsi="宋体" w:eastAsia="宋体" w:cs="宋体"/>
                <w:color w:val="auto"/>
                <w:sz w:val="21"/>
                <w:szCs w:val="21"/>
                <w:highlight w:val="none"/>
              </w:rPr>
              <w:t xml:space="preserve"> </w:t>
            </w:r>
            <w:r>
              <w:rPr>
                <w:rFonts w:ascii="宋体" w:hAnsi="宋体" w:eastAsia="宋体" w:cs="宋体"/>
                <w:color w:val="auto"/>
                <w:spacing w:val="-1"/>
                <w:sz w:val="21"/>
                <w:szCs w:val="21"/>
                <w:highlight w:val="none"/>
              </w:rPr>
              <w:t>用扣除后的价格</w:t>
            </w:r>
            <w:r>
              <w:rPr>
                <w:rFonts w:ascii="宋体" w:hAnsi="宋体" w:eastAsia="宋体" w:cs="宋体"/>
                <w:color w:val="auto"/>
                <w:sz w:val="21"/>
                <w:szCs w:val="21"/>
                <w:highlight w:val="none"/>
              </w:rPr>
              <w:t>参与评审，本项目具体扣除比例为</w:t>
            </w:r>
            <w:r>
              <w:rPr>
                <w:rFonts w:ascii="Times New Roman" w:hAnsi="Times New Roman" w:eastAsia="Times New Roman" w:cs="Times New Roman"/>
                <w:b/>
                <w:bCs/>
                <w:color w:val="auto"/>
                <w:sz w:val="21"/>
                <w:szCs w:val="21"/>
                <w:highlight w:val="none"/>
                <w:u w:val="single" w:color="auto"/>
              </w:rPr>
              <w:t xml:space="preserve"> </w:t>
            </w:r>
            <w:r>
              <w:rPr>
                <w:rFonts w:hint="eastAsia" w:eastAsia="宋体" w:cs="Times New Roman"/>
                <w:b/>
                <w:bCs/>
                <w:color w:val="auto"/>
                <w:sz w:val="21"/>
                <w:szCs w:val="21"/>
                <w:highlight w:val="none"/>
                <w:u w:val="single" w:color="auto"/>
                <w:lang w:val="en-US" w:eastAsia="zh-CN"/>
              </w:rPr>
              <w:t>10</w:t>
            </w:r>
            <w:r>
              <w:rPr>
                <w:rFonts w:ascii="宋体" w:hAnsi="宋体" w:eastAsia="宋体" w:cs="宋体"/>
                <w:b/>
                <w:bCs/>
                <w:color w:val="auto"/>
                <w:sz w:val="21"/>
                <w:szCs w:val="21"/>
                <w:highlight w:val="none"/>
              </w:rPr>
              <w:t>％。</w:t>
            </w:r>
          </w:p>
          <w:p w14:paraId="25EC6B6F">
            <w:pPr>
              <w:adjustRightInd w:val="0"/>
              <w:snapToGrid w:val="0"/>
              <w:spacing w:line="420" w:lineRule="exact"/>
              <w:rPr>
                <w:color w:val="auto"/>
                <w:szCs w:val="21"/>
                <w:highlight w:val="none"/>
              </w:rPr>
            </w:pPr>
            <w:r>
              <w:rPr>
                <w:rFonts w:ascii="宋体" w:hAnsi="宋体" w:eastAsia="宋体" w:cs="宋体"/>
                <w:b/>
                <w:bCs/>
                <w:color w:val="auto"/>
                <w:spacing w:val="-2"/>
                <w:sz w:val="21"/>
                <w:szCs w:val="21"/>
                <w:highlight w:val="none"/>
              </w:rPr>
              <w:t>(监狱企业、残疾人福利性单位同时属于小型、微型企业</w:t>
            </w:r>
            <w:r>
              <w:rPr>
                <w:rFonts w:ascii="宋体" w:hAnsi="宋体" w:eastAsia="宋体" w:cs="宋体"/>
                <w:b/>
                <w:bCs/>
                <w:color w:val="auto"/>
                <w:sz w:val="21"/>
                <w:szCs w:val="21"/>
                <w:highlight w:val="none"/>
              </w:rPr>
              <w:t xml:space="preserve">的， </w:t>
            </w:r>
            <w:r>
              <w:rPr>
                <w:rFonts w:ascii="宋体" w:hAnsi="宋体" w:eastAsia="宋体" w:cs="宋体"/>
                <w:b/>
                <w:bCs/>
                <w:color w:val="auto"/>
                <w:spacing w:val="1"/>
                <w:sz w:val="21"/>
                <w:szCs w:val="21"/>
                <w:highlight w:val="none"/>
              </w:rPr>
              <w:t>不重复</w:t>
            </w:r>
            <w:r>
              <w:rPr>
                <w:rFonts w:ascii="宋体" w:hAnsi="宋体" w:eastAsia="宋体" w:cs="宋体"/>
                <w:b/>
                <w:bCs/>
                <w:color w:val="auto"/>
                <w:sz w:val="21"/>
                <w:szCs w:val="21"/>
                <w:highlight w:val="none"/>
              </w:rPr>
              <w:t>享受价格评审优惠政策)</w:t>
            </w:r>
          </w:p>
        </w:tc>
      </w:tr>
      <w:tr w14:paraId="5023255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trPr>
        <w:tc>
          <w:tcPr>
            <w:tcW w:w="1628" w:type="dxa"/>
            <w:vMerge w:val="restart"/>
            <w:tcBorders>
              <w:top w:val="single" w:color="auto" w:sz="6" w:space="0"/>
              <w:bottom w:val="single" w:color="auto" w:sz="6" w:space="0"/>
              <w:right w:val="single" w:color="auto" w:sz="6" w:space="0"/>
            </w:tcBorders>
            <w:noWrap w:val="0"/>
            <w:vAlign w:val="center"/>
          </w:tcPr>
          <w:p w14:paraId="19327137">
            <w:pPr>
              <w:adjustRightInd w:val="0"/>
              <w:snapToGrid w:val="0"/>
              <w:spacing w:before="156" w:beforeLines="50" w:line="360" w:lineRule="auto"/>
              <w:jc w:val="center"/>
              <w:rPr>
                <w:rFonts w:ascii="宋体" w:hAnsi="宋体" w:eastAsia="宋体"/>
                <w:color w:val="auto"/>
                <w:szCs w:val="21"/>
                <w:highlight w:val="none"/>
              </w:rPr>
            </w:pPr>
            <w:r>
              <w:rPr>
                <w:rFonts w:hint="eastAsia" w:ascii="宋体" w:hAnsi="宋体" w:eastAsia="宋体"/>
                <w:color w:val="auto"/>
                <w:szCs w:val="21"/>
                <w:highlight w:val="none"/>
              </w:rPr>
              <w:t>第5.</w:t>
            </w:r>
            <w:r>
              <w:rPr>
                <w:rFonts w:hint="eastAsia" w:ascii="宋体" w:hAnsi="宋体"/>
                <w:color w:val="auto"/>
                <w:szCs w:val="21"/>
                <w:highlight w:val="none"/>
                <w:lang w:val="en-US" w:eastAsia="zh-CN"/>
              </w:rPr>
              <w:t>4</w:t>
            </w:r>
            <w:r>
              <w:rPr>
                <w:rFonts w:hint="eastAsia" w:ascii="宋体" w:hAnsi="宋体" w:eastAsia="宋体"/>
                <w:color w:val="auto"/>
                <w:szCs w:val="21"/>
                <w:highlight w:val="none"/>
              </w:rPr>
              <w:t>（2）</w:t>
            </w:r>
            <w:r>
              <w:rPr>
                <w:rFonts w:hint="eastAsia" w:ascii="宋体" w:hAnsi="宋体" w:eastAsia="宋体" w:cs="宋体"/>
                <w:color w:val="auto"/>
                <w:kern w:val="0"/>
                <w:szCs w:val="21"/>
                <w:highlight w:val="none"/>
                <w:lang w:val="zh-CN"/>
              </w:rPr>
              <w:t>项</w:t>
            </w:r>
          </w:p>
        </w:tc>
        <w:tc>
          <w:tcPr>
            <w:tcW w:w="806" w:type="dxa"/>
            <w:vMerge w:val="restart"/>
            <w:tcBorders>
              <w:top w:val="single" w:color="auto" w:sz="6" w:space="0"/>
              <w:left w:val="single" w:color="auto" w:sz="6" w:space="0"/>
              <w:bottom w:val="single" w:color="auto" w:sz="6" w:space="0"/>
              <w:right w:val="single" w:color="auto" w:sz="6" w:space="0"/>
            </w:tcBorders>
            <w:noWrap w:val="0"/>
            <w:vAlign w:val="center"/>
          </w:tcPr>
          <w:p w14:paraId="36895048">
            <w:pPr>
              <w:adjustRightInd w:val="0"/>
              <w:snapToGrid w:val="0"/>
              <w:spacing w:before="156" w:beforeLines="50" w:line="360" w:lineRule="auto"/>
              <w:jc w:val="center"/>
              <w:rPr>
                <w:rFonts w:ascii="宋体" w:hAnsi="宋体" w:eastAsia="宋体"/>
                <w:color w:val="auto"/>
                <w:szCs w:val="21"/>
                <w:highlight w:val="none"/>
              </w:rPr>
            </w:pPr>
            <w:r>
              <w:rPr>
                <w:rFonts w:hint="eastAsia" w:ascii="宋体" w:hAnsi="宋体" w:eastAsia="宋体"/>
                <w:color w:val="auto"/>
                <w:szCs w:val="21"/>
                <w:highlight w:val="none"/>
              </w:rPr>
              <w:t>优先采购</w:t>
            </w:r>
          </w:p>
        </w:tc>
        <w:tc>
          <w:tcPr>
            <w:tcW w:w="1144" w:type="dxa"/>
            <w:vMerge w:val="restart"/>
            <w:tcBorders>
              <w:top w:val="single" w:color="auto" w:sz="6" w:space="0"/>
              <w:left w:val="single" w:color="auto" w:sz="6" w:space="0"/>
              <w:right w:val="single" w:color="auto" w:sz="6" w:space="0"/>
            </w:tcBorders>
            <w:noWrap w:val="0"/>
            <w:vAlign w:val="center"/>
          </w:tcPr>
          <w:p w14:paraId="48172EC7">
            <w:pPr>
              <w:adjustRightInd w:val="0"/>
              <w:snapToGrid w:val="0"/>
              <w:spacing w:before="156" w:beforeLines="50" w:line="360" w:lineRule="auto"/>
              <w:jc w:val="center"/>
              <w:rPr>
                <w:rFonts w:ascii="宋体" w:hAnsi="宋体" w:eastAsia="宋体"/>
                <w:color w:val="auto"/>
                <w:szCs w:val="21"/>
                <w:highlight w:val="none"/>
              </w:rPr>
            </w:pPr>
            <w:r>
              <w:rPr>
                <w:rFonts w:hint="eastAsia" w:ascii="宋体" w:hAnsi="宋体" w:eastAsia="宋体"/>
                <w:color w:val="auto"/>
                <w:szCs w:val="21"/>
                <w:highlight w:val="none"/>
              </w:rPr>
              <w:t>节能产品或环境标志产品</w:t>
            </w:r>
          </w:p>
        </w:tc>
        <w:tc>
          <w:tcPr>
            <w:tcW w:w="5300" w:type="dxa"/>
            <w:tcBorders>
              <w:top w:val="single" w:color="auto" w:sz="6" w:space="0"/>
              <w:left w:val="single" w:color="auto" w:sz="6" w:space="0"/>
              <w:bottom w:val="single" w:color="auto" w:sz="6" w:space="0"/>
            </w:tcBorders>
            <w:noWrap w:val="0"/>
            <w:vAlign w:val="center"/>
          </w:tcPr>
          <w:p w14:paraId="0FFBA181">
            <w:pPr>
              <w:spacing w:before="107" w:line="317" w:lineRule="auto"/>
              <w:ind w:left="117" w:right="111" w:firstLine="210"/>
              <w:rPr>
                <w:rFonts w:ascii="宋体" w:hAnsi="宋体" w:eastAsia="宋体" w:cs="宋体"/>
                <w:color w:val="auto"/>
                <w:sz w:val="21"/>
                <w:szCs w:val="21"/>
                <w:highlight w:val="none"/>
              </w:rPr>
            </w:pPr>
            <w:r>
              <w:rPr>
                <w:rFonts w:ascii="宋体" w:hAnsi="宋体" w:eastAsia="宋体" w:cs="宋体"/>
                <w:color w:val="auto"/>
                <w:spacing w:val="-10"/>
                <w:sz w:val="21"/>
                <w:szCs w:val="21"/>
                <w:highlight w:val="none"/>
              </w:rPr>
              <w:t>①非强制</w:t>
            </w:r>
            <w:r>
              <w:rPr>
                <w:rFonts w:ascii="宋体" w:hAnsi="宋体" w:eastAsia="宋体" w:cs="宋体"/>
                <w:color w:val="auto"/>
                <w:spacing w:val="-5"/>
                <w:sz w:val="21"/>
                <w:szCs w:val="21"/>
                <w:highlight w:val="none"/>
              </w:rPr>
              <w:t>采购节能产品</w:t>
            </w:r>
            <w:r>
              <w:rPr>
                <w:rFonts w:ascii="Times New Roman" w:hAnsi="Times New Roman" w:eastAsia="Times New Roman" w:cs="Times New Roman"/>
                <w:color w:val="auto"/>
                <w:spacing w:val="-5"/>
                <w:sz w:val="21"/>
                <w:szCs w:val="21"/>
                <w:highlight w:val="none"/>
              </w:rPr>
              <w:t>:</w:t>
            </w:r>
            <w:r>
              <w:rPr>
                <w:rFonts w:ascii="宋体" w:hAnsi="宋体" w:eastAsia="宋体" w:cs="宋体"/>
                <w:color w:val="auto"/>
                <w:spacing w:val="-5"/>
                <w:sz w:val="21"/>
                <w:szCs w:val="21"/>
                <w:highlight w:val="none"/>
              </w:rPr>
              <w:t>采用综合评分法时， 对于技术和价</w:t>
            </w:r>
            <w:r>
              <w:rPr>
                <w:rFonts w:ascii="宋体" w:hAnsi="宋体" w:eastAsia="宋体" w:cs="宋体"/>
                <w:color w:val="auto"/>
                <w:spacing w:val="-12"/>
                <w:sz w:val="21"/>
                <w:szCs w:val="21"/>
                <w:highlight w:val="none"/>
              </w:rPr>
              <w:t>格分，</w:t>
            </w:r>
            <w:r>
              <w:rPr>
                <w:rFonts w:ascii="宋体" w:hAnsi="宋体" w:eastAsia="宋体" w:cs="宋体"/>
                <w:color w:val="auto"/>
                <w:spacing w:val="-9"/>
                <w:sz w:val="21"/>
                <w:szCs w:val="21"/>
                <w:highlight w:val="none"/>
              </w:rPr>
              <w:t xml:space="preserve"> </w:t>
            </w:r>
            <w:r>
              <w:rPr>
                <w:rFonts w:ascii="宋体" w:hAnsi="宋体" w:eastAsia="宋体" w:cs="宋体"/>
                <w:color w:val="auto"/>
                <w:spacing w:val="-6"/>
                <w:sz w:val="21"/>
                <w:szCs w:val="21"/>
                <w:highlight w:val="none"/>
              </w:rPr>
              <w:t xml:space="preserve">应分别给予总分值 </w:t>
            </w:r>
            <w:r>
              <w:rPr>
                <w:rFonts w:ascii="Times New Roman" w:hAnsi="Times New Roman" w:eastAsia="Times New Roman" w:cs="Times New Roman"/>
                <w:color w:val="auto"/>
                <w:spacing w:val="-6"/>
                <w:sz w:val="21"/>
                <w:szCs w:val="21"/>
                <w:highlight w:val="none"/>
              </w:rPr>
              <w:t>4%-8%</w:t>
            </w:r>
            <w:r>
              <w:rPr>
                <w:rFonts w:ascii="宋体" w:hAnsi="宋体" w:eastAsia="宋体" w:cs="宋体"/>
                <w:color w:val="auto"/>
                <w:spacing w:val="-6"/>
                <w:sz w:val="21"/>
                <w:szCs w:val="21"/>
                <w:highlight w:val="none"/>
              </w:rPr>
              <w:t>的加分。本项目具体加分比</w:t>
            </w:r>
            <w:r>
              <w:rPr>
                <w:rFonts w:ascii="宋体" w:hAnsi="宋体" w:eastAsia="宋体" w:cs="宋体"/>
                <w:color w:val="auto"/>
                <w:sz w:val="21"/>
                <w:szCs w:val="21"/>
                <w:highlight w:val="none"/>
              </w:rPr>
              <w:t xml:space="preserve"> </w:t>
            </w:r>
            <w:r>
              <w:rPr>
                <w:rFonts w:ascii="宋体" w:hAnsi="宋体" w:eastAsia="宋体" w:cs="宋体"/>
                <w:color w:val="auto"/>
                <w:spacing w:val="-20"/>
                <w:sz w:val="21"/>
                <w:szCs w:val="21"/>
                <w:highlight w:val="none"/>
              </w:rPr>
              <w:t>例</w:t>
            </w:r>
            <w:r>
              <w:rPr>
                <w:rFonts w:ascii="宋体" w:hAnsi="宋体" w:eastAsia="宋体" w:cs="宋体"/>
                <w:color w:val="auto"/>
                <w:spacing w:val="-14"/>
                <w:sz w:val="21"/>
                <w:szCs w:val="21"/>
                <w:highlight w:val="none"/>
              </w:rPr>
              <w:t>分</w:t>
            </w:r>
            <w:r>
              <w:rPr>
                <w:rFonts w:ascii="宋体" w:hAnsi="宋体" w:eastAsia="宋体" w:cs="宋体"/>
                <w:color w:val="auto"/>
                <w:spacing w:val="-10"/>
                <w:sz w:val="21"/>
                <w:szCs w:val="21"/>
                <w:highlight w:val="none"/>
              </w:rPr>
              <w:t xml:space="preserve">别为： </w:t>
            </w:r>
            <w:r>
              <w:rPr>
                <w:rFonts w:ascii="宋体" w:hAnsi="宋体" w:eastAsia="宋体" w:cs="宋体"/>
                <w:color w:val="auto"/>
                <w:spacing w:val="-10"/>
                <w:sz w:val="21"/>
                <w:szCs w:val="21"/>
                <w:highlight w:val="none"/>
                <w:u w:val="single" w:color="auto"/>
              </w:rPr>
              <w:t xml:space="preserve">技术 </w:t>
            </w:r>
            <w:r>
              <w:rPr>
                <w:rFonts w:ascii="Times New Roman" w:hAnsi="Times New Roman" w:eastAsia="Times New Roman" w:cs="Times New Roman"/>
                <w:color w:val="auto"/>
                <w:spacing w:val="-10"/>
                <w:sz w:val="21"/>
                <w:szCs w:val="21"/>
                <w:highlight w:val="none"/>
                <w:u w:val="single" w:color="auto"/>
              </w:rPr>
              <w:t>4 %</w:t>
            </w:r>
            <w:r>
              <w:rPr>
                <w:rFonts w:ascii="宋体" w:hAnsi="宋体" w:eastAsia="宋体" w:cs="宋体"/>
                <w:color w:val="auto"/>
                <w:spacing w:val="-10"/>
                <w:sz w:val="21"/>
                <w:szCs w:val="21"/>
                <w:highlight w:val="none"/>
                <w:u w:val="single" w:color="auto"/>
              </w:rPr>
              <w:t xml:space="preserve">、价格 </w:t>
            </w:r>
            <w:r>
              <w:rPr>
                <w:rFonts w:ascii="Times New Roman" w:hAnsi="Times New Roman" w:eastAsia="Times New Roman" w:cs="Times New Roman"/>
                <w:color w:val="auto"/>
                <w:spacing w:val="-10"/>
                <w:sz w:val="21"/>
                <w:szCs w:val="21"/>
                <w:highlight w:val="none"/>
                <w:u w:val="single" w:color="auto"/>
              </w:rPr>
              <w:t>4 %</w:t>
            </w:r>
            <w:r>
              <w:rPr>
                <w:rFonts w:ascii="宋体" w:hAnsi="宋体" w:eastAsia="宋体" w:cs="宋体"/>
                <w:color w:val="auto"/>
                <w:spacing w:val="-10"/>
                <w:sz w:val="21"/>
                <w:szCs w:val="21"/>
                <w:highlight w:val="none"/>
              </w:rPr>
              <w:t>。</w:t>
            </w:r>
          </w:p>
          <w:p w14:paraId="31B0B87A">
            <w:pPr>
              <w:spacing w:before="1" w:line="316" w:lineRule="auto"/>
              <w:ind w:left="117" w:right="111" w:firstLine="209"/>
              <w:rPr>
                <w:rFonts w:ascii="宋体" w:hAnsi="宋体" w:eastAsia="宋体"/>
                <w:color w:val="auto"/>
                <w:szCs w:val="21"/>
                <w:highlight w:val="none"/>
              </w:rPr>
            </w:pPr>
            <w:r>
              <w:rPr>
                <w:rFonts w:ascii="宋体" w:hAnsi="宋体" w:eastAsia="宋体" w:cs="宋体"/>
                <w:color w:val="auto"/>
                <w:spacing w:val="-4"/>
                <w:sz w:val="21"/>
                <w:szCs w:val="21"/>
                <w:highlight w:val="none"/>
              </w:rPr>
              <w:t>②</w:t>
            </w:r>
            <w:r>
              <w:rPr>
                <w:rFonts w:ascii="宋体" w:hAnsi="宋体" w:eastAsia="宋体" w:cs="宋体"/>
                <w:color w:val="auto"/>
                <w:spacing w:val="-2"/>
                <w:sz w:val="21"/>
                <w:szCs w:val="21"/>
                <w:highlight w:val="none"/>
              </w:rPr>
              <w:t>环境标志产品</w:t>
            </w:r>
            <w:r>
              <w:rPr>
                <w:rFonts w:ascii="Times New Roman" w:hAnsi="Times New Roman" w:eastAsia="Times New Roman" w:cs="Times New Roman"/>
                <w:color w:val="auto"/>
                <w:spacing w:val="-2"/>
                <w:sz w:val="21"/>
                <w:szCs w:val="21"/>
                <w:highlight w:val="none"/>
              </w:rPr>
              <w:t>:</w:t>
            </w:r>
            <w:r>
              <w:rPr>
                <w:rFonts w:ascii="宋体" w:hAnsi="宋体" w:eastAsia="宋体" w:cs="宋体"/>
                <w:color w:val="auto"/>
                <w:spacing w:val="-2"/>
                <w:sz w:val="21"/>
                <w:szCs w:val="21"/>
                <w:highlight w:val="none"/>
              </w:rPr>
              <w:t>采用综合评分法时，对于技术和价格分，</w:t>
            </w:r>
            <w:r>
              <w:rPr>
                <w:rFonts w:ascii="宋体" w:hAnsi="宋体" w:eastAsia="宋体" w:cs="宋体"/>
                <w:color w:val="auto"/>
                <w:sz w:val="21"/>
                <w:szCs w:val="21"/>
                <w:highlight w:val="none"/>
              </w:rPr>
              <w:t xml:space="preserve"> </w:t>
            </w:r>
            <w:r>
              <w:rPr>
                <w:rFonts w:ascii="宋体" w:hAnsi="宋体" w:eastAsia="宋体" w:cs="宋体"/>
                <w:color w:val="auto"/>
                <w:spacing w:val="-6"/>
                <w:sz w:val="21"/>
                <w:szCs w:val="21"/>
                <w:highlight w:val="none"/>
              </w:rPr>
              <w:t>应分别</w:t>
            </w:r>
            <w:r>
              <w:rPr>
                <w:rFonts w:ascii="宋体" w:hAnsi="宋体" w:eastAsia="宋体" w:cs="宋体"/>
                <w:color w:val="auto"/>
                <w:spacing w:val="-3"/>
                <w:sz w:val="21"/>
                <w:szCs w:val="21"/>
                <w:highlight w:val="none"/>
              </w:rPr>
              <w:t xml:space="preserve">给予总分值 </w:t>
            </w:r>
            <w:r>
              <w:rPr>
                <w:rFonts w:ascii="Times New Roman" w:hAnsi="Times New Roman" w:eastAsia="Times New Roman" w:cs="Times New Roman"/>
                <w:color w:val="auto"/>
                <w:spacing w:val="-3"/>
                <w:sz w:val="21"/>
                <w:szCs w:val="21"/>
                <w:highlight w:val="none"/>
              </w:rPr>
              <w:t>4%-8%</w:t>
            </w:r>
            <w:r>
              <w:rPr>
                <w:rFonts w:ascii="宋体" w:hAnsi="宋体" w:eastAsia="宋体" w:cs="宋体"/>
                <w:color w:val="auto"/>
                <w:spacing w:val="-3"/>
                <w:sz w:val="21"/>
                <w:szCs w:val="21"/>
                <w:highlight w:val="none"/>
              </w:rPr>
              <w:t>的加分。本项目具体加分比例分别</w:t>
            </w:r>
            <w:r>
              <w:rPr>
                <w:rFonts w:ascii="宋体" w:hAnsi="宋体" w:eastAsia="宋体" w:cs="宋体"/>
                <w:color w:val="auto"/>
                <w:sz w:val="21"/>
                <w:szCs w:val="21"/>
                <w:highlight w:val="none"/>
              </w:rPr>
              <w:t xml:space="preserve"> </w:t>
            </w:r>
            <w:r>
              <w:rPr>
                <w:rFonts w:ascii="宋体" w:hAnsi="宋体" w:eastAsia="宋体" w:cs="宋体"/>
                <w:color w:val="auto"/>
                <w:spacing w:val="-12"/>
                <w:sz w:val="21"/>
                <w:szCs w:val="21"/>
                <w:highlight w:val="none"/>
              </w:rPr>
              <w:t xml:space="preserve">为： </w:t>
            </w:r>
            <w:r>
              <w:rPr>
                <w:rFonts w:ascii="宋体" w:hAnsi="宋体" w:eastAsia="宋体" w:cs="宋体"/>
                <w:color w:val="auto"/>
                <w:spacing w:val="-12"/>
                <w:sz w:val="21"/>
                <w:szCs w:val="21"/>
                <w:highlight w:val="none"/>
                <w:u w:val="single" w:color="auto"/>
              </w:rPr>
              <w:t xml:space="preserve">技术 </w:t>
            </w:r>
            <w:r>
              <w:rPr>
                <w:rFonts w:ascii="Times New Roman" w:hAnsi="Times New Roman" w:eastAsia="Times New Roman" w:cs="Times New Roman"/>
                <w:color w:val="auto"/>
                <w:spacing w:val="-12"/>
                <w:sz w:val="21"/>
                <w:szCs w:val="21"/>
                <w:highlight w:val="none"/>
                <w:u w:val="single" w:color="auto"/>
              </w:rPr>
              <w:t>4 %</w:t>
            </w:r>
            <w:r>
              <w:rPr>
                <w:rFonts w:ascii="宋体" w:hAnsi="宋体" w:eastAsia="宋体" w:cs="宋体"/>
                <w:color w:val="auto"/>
                <w:spacing w:val="-12"/>
                <w:sz w:val="21"/>
                <w:szCs w:val="21"/>
                <w:highlight w:val="none"/>
                <w:u w:val="single" w:color="auto"/>
              </w:rPr>
              <w:t xml:space="preserve">、价格 </w:t>
            </w:r>
            <w:r>
              <w:rPr>
                <w:rFonts w:ascii="Times New Roman" w:hAnsi="Times New Roman" w:eastAsia="Times New Roman" w:cs="Times New Roman"/>
                <w:color w:val="auto"/>
                <w:spacing w:val="-12"/>
                <w:sz w:val="21"/>
                <w:szCs w:val="21"/>
                <w:highlight w:val="none"/>
                <w:u w:val="single" w:color="auto"/>
              </w:rPr>
              <w:t>4%</w:t>
            </w:r>
            <w:r>
              <w:rPr>
                <w:rFonts w:ascii="Times New Roman" w:hAnsi="Times New Roman" w:eastAsia="Times New Roman" w:cs="Times New Roman"/>
                <w:color w:val="auto"/>
                <w:spacing w:val="-12"/>
                <w:sz w:val="21"/>
                <w:szCs w:val="21"/>
                <w:highlight w:val="none"/>
              </w:rPr>
              <w:t xml:space="preserve">  </w:t>
            </w:r>
            <w:r>
              <w:rPr>
                <w:rFonts w:ascii="宋体" w:hAnsi="宋体" w:eastAsia="宋体" w:cs="宋体"/>
                <w:color w:val="auto"/>
                <w:spacing w:val="-12"/>
                <w:sz w:val="21"/>
                <w:szCs w:val="21"/>
                <w:highlight w:val="none"/>
              </w:rPr>
              <w:t>。</w:t>
            </w:r>
          </w:p>
        </w:tc>
      </w:tr>
      <w:tr w14:paraId="1923A81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919" w:hRule="atLeast"/>
        </w:trPr>
        <w:tc>
          <w:tcPr>
            <w:tcW w:w="1628" w:type="dxa"/>
            <w:vMerge w:val="continue"/>
            <w:tcBorders>
              <w:top w:val="single" w:color="auto" w:sz="6" w:space="0"/>
              <w:bottom w:val="single" w:color="auto" w:sz="6" w:space="0"/>
              <w:right w:val="single" w:color="auto" w:sz="6" w:space="0"/>
            </w:tcBorders>
            <w:noWrap w:val="0"/>
            <w:vAlign w:val="center"/>
          </w:tcPr>
          <w:p w14:paraId="7946780D">
            <w:pPr>
              <w:adjustRightInd w:val="0"/>
              <w:snapToGrid w:val="0"/>
              <w:spacing w:before="156" w:beforeLines="50" w:line="360" w:lineRule="auto"/>
              <w:jc w:val="center"/>
              <w:rPr>
                <w:rFonts w:ascii="宋体" w:hAnsi="宋体" w:eastAsia="宋体"/>
                <w:color w:val="auto"/>
                <w:szCs w:val="21"/>
                <w:highlight w:val="none"/>
              </w:rPr>
            </w:pPr>
          </w:p>
        </w:tc>
        <w:tc>
          <w:tcPr>
            <w:tcW w:w="806" w:type="dxa"/>
            <w:vMerge w:val="continue"/>
            <w:tcBorders>
              <w:top w:val="single" w:color="auto" w:sz="6" w:space="0"/>
              <w:left w:val="single" w:color="auto" w:sz="6" w:space="0"/>
              <w:bottom w:val="single" w:color="auto" w:sz="6" w:space="0"/>
              <w:right w:val="single" w:color="auto" w:sz="6" w:space="0"/>
            </w:tcBorders>
            <w:noWrap w:val="0"/>
            <w:vAlign w:val="center"/>
          </w:tcPr>
          <w:p w14:paraId="039C88CC">
            <w:pPr>
              <w:adjustRightInd w:val="0"/>
              <w:snapToGrid w:val="0"/>
              <w:spacing w:before="156" w:beforeLines="50" w:line="360" w:lineRule="auto"/>
              <w:jc w:val="center"/>
              <w:rPr>
                <w:rFonts w:ascii="宋体" w:hAnsi="宋体" w:eastAsia="宋体"/>
                <w:color w:val="auto"/>
                <w:szCs w:val="21"/>
                <w:highlight w:val="none"/>
              </w:rPr>
            </w:pPr>
          </w:p>
        </w:tc>
        <w:tc>
          <w:tcPr>
            <w:tcW w:w="1144" w:type="dxa"/>
            <w:vMerge w:val="continue"/>
            <w:tcBorders>
              <w:left w:val="single" w:color="auto" w:sz="6" w:space="0"/>
              <w:bottom w:val="single" w:color="auto" w:sz="6" w:space="0"/>
              <w:right w:val="single" w:color="auto" w:sz="6" w:space="0"/>
            </w:tcBorders>
            <w:noWrap w:val="0"/>
            <w:vAlign w:val="center"/>
          </w:tcPr>
          <w:p w14:paraId="52CBDFD2">
            <w:pPr>
              <w:adjustRightInd w:val="0"/>
              <w:snapToGrid w:val="0"/>
              <w:spacing w:before="156" w:beforeLines="50" w:line="360" w:lineRule="auto"/>
              <w:jc w:val="center"/>
              <w:rPr>
                <w:rFonts w:ascii="宋体" w:hAnsi="宋体" w:eastAsia="宋体"/>
                <w:color w:val="auto"/>
                <w:szCs w:val="21"/>
                <w:highlight w:val="none"/>
              </w:rPr>
            </w:pPr>
          </w:p>
        </w:tc>
        <w:tc>
          <w:tcPr>
            <w:tcW w:w="5300" w:type="dxa"/>
            <w:tcBorders>
              <w:top w:val="single" w:color="auto" w:sz="6" w:space="0"/>
              <w:left w:val="single" w:color="auto" w:sz="6" w:space="0"/>
              <w:bottom w:val="single" w:color="auto" w:sz="6" w:space="0"/>
              <w:right w:val="double" w:color="auto" w:sz="4" w:space="0"/>
            </w:tcBorders>
            <w:noWrap w:val="0"/>
            <w:vAlign w:val="center"/>
          </w:tcPr>
          <w:p w14:paraId="37F0EA3E">
            <w:pPr>
              <w:widowControl/>
              <w:kinsoku w:val="0"/>
              <w:autoSpaceDE w:val="0"/>
              <w:autoSpaceDN w:val="0"/>
              <w:adjustRightInd w:val="0"/>
              <w:snapToGrid w:val="0"/>
              <w:spacing w:before="139" w:line="316" w:lineRule="auto"/>
              <w:ind w:left="117" w:right="117" w:firstLine="424"/>
              <w:jc w:val="left"/>
              <w:textAlignment w:val="baseline"/>
              <w:rPr>
                <w:rFonts w:ascii="宋体" w:hAnsi="宋体" w:eastAsia="宋体" w:cs="宋体"/>
                <w:snapToGrid w:val="0"/>
                <w:color w:val="auto"/>
                <w:kern w:val="0"/>
                <w:sz w:val="21"/>
                <w:szCs w:val="21"/>
                <w:highlight w:val="none"/>
              </w:rPr>
            </w:pPr>
            <w:r>
              <w:rPr>
                <w:rFonts w:ascii="宋体" w:hAnsi="宋体" w:eastAsia="宋体" w:cs="宋体"/>
                <w:snapToGrid w:val="0"/>
                <w:color w:val="auto"/>
                <w:spacing w:val="15"/>
                <w:kern w:val="0"/>
                <w:sz w:val="21"/>
                <w:szCs w:val="21"/>
                <w:highlight w:val="none"/>
              </w:rPr>
              <w:t>备</w:t>
            </w:r>
            <w:r>
              <w:rPr>
                <w:rFonts w:ascii="宋体" w:hAnsi="宋体" w:eastAsia="宋体" w:cs="宋体"/>
                <w:snapToGrid w:val="0"/>
                <w:color w:val="auto"/>
                <w:spacing w:val="8"/>
                <w:kern w:val="0"/>
                <w:sz w:val="21"/>
                <w:szCs w:val="21"/>
                <w:highlight w:val="none"/>
              </w:rPr>
              <w:t>注：(</w:t>
            </w:r>
            <w:r>
              <w:rPr>
                <w:rFonts w:ascii="Times New Roman" w:hAnsi="Times New Roman" w:eastAsia="Times New Roman" w:cs="Times New Roman"/>
                <w:b/>
                <w:bCs/>
                <w:snapToGrid w:val="0"/>
                <w:color w:val="auto"/>
                <w:spacing w:val="8"/>
                <w:kern w:val="0"/>
                <w:sz w:val="21"/>
                <w:szCs w:val="21"/>
                <w:highlight w:val="none"/>
              </w:rPr>
              <w:t>1</w:t>
            </w:r>
            <w:r>
              <w:rPr>
                <w:rFonts w:ascii="宋体" w:hAnsi="宋体" w:eastAsia="宋体" w:cs="宋体"/>
                <w:snapToGrid w:val="0"/>
                <w:color w:val="auto"/>
                <w:spacing w:val="8"/>
                <w:kern w:val="0"/>
                <w:sz w:val="21"/>
                <w:szCs w:val="21"/>
                <w:highlight w:val="none"/>
              </w:rPr>
              <w:t>) 优先采购同时属于“节能产品”、“环境</w:t>
            </w:r>
            <w:r>
              <w:rPr>
                <w:rFonts w:ascii="宋体" w:hAnsi="宋体" w:eastAsia="宋体" w:cs="宋体"/>
                <w:snapToGrid w:val="0"/>
                <w:color w:val="auto"/>
                <w:spacing w:val="1"/>
                <w:kern w:val="0"/>
                <w:sz w:val="21"/>
                <w:szCs w:val="21"/>
                <w:highlight w:val="none"/>
              </w:rPr>
              <w:t>标志产</w:t>
            </w:r>
            <w:r>
              <w:rPr>
                <w:rFonts w:ascii="宋体" w:hAnsi="宋体" w:eastAsia="宋体" w:cs="宋体"/>
                <w:snapToGrid w:val="0"/>
                <w:color w:val="auto"/>
                <w:kern w:val="0"/>
                <w:sz w:val="21"/>
                <w:szCs w:val="21"/>
                <w:highlight w:val="none"/>
              </w:rPr>
              <w:t>品”的，评审时只有其中一项产品能</w:t>
            </w:r>
            <w:r>
              <w:rPr>
                <w:rFonts w:ascii="宋体" w:hAnsi="宋体" w:eastAsia="宋体" w:cs="宋体"/>
                <w:snapToGrid w:val="0"/>
                <w:color w:val="auto"/>
                <w:spacing w:val="1"/>
                <w:kern w:val="0"/>
                <w:sz w:val="21"/>
                <w:szCs w:val="21"/>
                <w:highlight w:val="none"/>
              </w:rPr>
              <w:t>享受优</w:t>
            </w:r>
            <w:r>
              <w:rPr>
                <w:rFonts w:ascii="宋体" w:hAnsi="宋体" w:eastAsia="宋体" w:cs="宋体"/>
                <w:snapToGrid w:val="0"/>
                <w:color w:val="auto"/>
                <w:kern w:val="0"/>
                <w:sz w:val="21"/>
                <w:szCs w:val="21"/>
                <w:highlight w:val="none"/>
              </w:rPr>
              <w:t>先采购优惠(投标人自行选择， 并在投标文件中填报</w:t>
            </w:r>
            <w:r>
              <w:rPr>
                <w:rFonts w:ascii="宋体" w:hAnsi="宋体" w:eastAsia="宋体" w:cs="宋体"/>
                <w:snapToGrid w:val="0"/>
                <w:color w:val="auto"/>
                <w:spacing w:val="12"/>
                <w:kern w:val="0"/>
                <w:sz w:val="21"/>
                <w:szCs w:val="21"/>
                <w:highlight w:val="none"/>
              </w:rPr>
              <w:t>相</w:t>
            </w:r>
            <w:r>
              <w:rPr>
                <w:rFonts w:ascii="宋体" w:hAnsi="宋体" w:eastAsia="宋体" w:cs="宋体"/>
                <w:snapToGrid w:val="0"/>
                <w:color w:val="auto"/>
                <w:spacing w:val="8"/>
                <w:kern w:val="0"/>
                <w:sz w:val="21"/>
                <w:szCs w:val="21"/>
                <w:highlight w:val="none"/>
              </w:rPr>
              <w:t>关信息及数据)。</w:t>
            </w:r>
          </w:p>
          <w:p w14:paraId="1A6E9E54">
            <w:pPr>
              <w:widowControl/>
              <w:numPr>
                <w:ilvl w:val="0"/>
                <w:numId w:val="5"/>
              </w:numPr>
              <w:kinsoku w:val="0"/>
              <w:autoSpaceDE w:val="0"/>
              <w:autoSpaceDN w:val="0"/>
              <w:adjustRightInd w:val="0"/>
              <w:snapToGrid w:val="0"/>
              <w:spacing w:before="2" w:line="284" w:lineRule="auto"/>
              <w:ind w:left="116" w:right="117" w:firstLine="7"/>
              <w:jc w:val="left"/>
              <w:textAlignment w:val="baseline"/>
              <w:rPr>
                <w:rFonts w:ascii="宋体" w:hAnsi="宋体" w:eastAsia="宋体" w:cs="宋体"/>
                <w:snapToGrid w:val="0"/>
                <w:color w:val="auto"/>
                <w:spacing w:val="-7"/>
                <w:kern w:val="0"/>
                <w:sz w:val="21"/>
                <w:szCs w:val="21"/>
                <w:highlight w:val="none"/>
              </w:rPr>
            </w:pPr>
            <w:r>
              <w:rPr>
                <w:rFonts w:ascii="宋体" w:hAnsi="宋体" w:eastAsia="宋体" w:cs="宋体"/>
                <w:snapToGrid w:val="0"/>
                <w:color w:val="auto"/>
                <w:spacing w:val="7"/>
                <w:kern w:val="0"/>
                <w:sz w:val="21"/>
                <w:szCs w:val="21"/>
                <w:highlight w:val="none"/>
              </w:rPr>
              <w:t>在货物采购项目中，供应商提供的货物既有中小企业</w:t>
            </w:r>
            <w:r>
              <w:rPr>
                <w:rFonts w:ascii="宋体" w:hAnsi="宋体" w:eastAsia="宋体" w:cs="宋体"/>
                <w:snapToGrid w:val="0"/>
                <w:color w:val="auto"/>
                <w:kern w:val="0"/>
                <w:sz w:val="21"/>
                <w:szCs w:val="21"/>
                <w:highlight w:val="none"/>
              </w:rPr>
              <w:t xml:space="preserve"> </w:t>
            </w:r>
            <w:r>
              <w:rPr>
                <w:rFonts w:ascii="宋体" w:hAnsi="宋体" w:eastAsia="宋体" w:cs="宋体"/>
                <w:snapToGrid w:val="0"/>
                <w:color w:val="auto"/>
                <w:spacing w:val="-14"/>
                <w:kern w:val="0"/>
                <w:sz w:val="21"/>
                <w:szCs w:val="21"/>
                <w:highlight w:val="none"/>
              </w:rPr>
              <w:t>制</w:t>
            </w:r>
            <w:r>
              <w:rPr>
                <w:rFonts w:ascii="宋体" w:hAnsi="宋体" w:eastAsia="宋体" w:cs="宋体"/>
                <w:snapToGrid w:val="0"/>
                <w:color w:val="auto"/>
                <w:spacing w:val="-10"/>
                <w:kern w:val="0"/>
                <w:sz w:val="21"/>
                <w:szCs w:val="21"/>
                <w:highlight w:val="none"/>
              </w:rPr>
              <w:t>造</w:t>
            </w:r>
            <w:r>
              <w:rPr>
                <w:rFonts w:ascii="宋体" w:hAnsi="宋体" w:eastAsia="宋体" w:cs="宋体"/>
                <w:snapToGrid w:val="0"/>
                <w:color w:val="auto"/>
                <w:spacing w:val="-7"/>
                <w:kern w:val="0"/>
                <w:sz w:val="21"/>
                <w:szCs w:val="21"/>
                <w:highlight w:val="none"/>
              </w:rPr>
              <w:t>货物， 也有大型企业制造货物的， 不享受中小企业扶持</w:t>
            </w:r>
            <w:r>
              <w:rPr>
                <w:rFonts w:ascii="宋体" w:hAnsi="宋体" w:eastAsia="宋体" w:cs="宋体"/>
                <w:snapToGrid w:val="0"/>
                <w:color w:val="auto"/>
                <w:kern w:val="0"/>
                <w:sz w:val="21"/>
                <w:szCs w:val="21"/>
                <w:highlight w:val="none"/>
              </w:rPr>
              <w:t xml:space="preserve"> </w:t>
            </w:r>
            <w:r>
              <w:rPr>
                <w:rFonts w:ascii="宋体" w:hAnsi="宋体" w:eastAsia="宋体" w:cs="宋体"/>
                <w:snapToGrid w:val="0"/>
                <w:color w:val="auto"/>
                <w:spacing w:val="-10"/>
                <w:kern w:val="0"/>
                <w:sz w:val="21"/>
                <w:szCs w:val="21"/>
                <w:highlight w:val="none"/>
              </w:rPr>
              <w:t>政</w:t>
            </w:r>
            <w:r>
              <w:rPr>
                <w:rFonts w:ascii="宋体" w:hAnsi="宋体" w:eastAsia="宋体" w:cs="宋体"/>
                <w:snapToGrid w:val="0"/>
                <w:color w:val="auto"/>
                <w:spacing w:val="-7"/>
                <w:kern w:val="0"/>
                <w:sz w:val="21"/>
                <w:szCs w:val="21"/>
                <w:highlight w:val="none"/>
              </w:rPr>
              <w:t>策。</w:t>
            </w:r>
          </w:p>
          <w:p w14:paraId="54830B5C">
            <w:pPr>
              <w:widowControl/>
              <w:numPr>
                <w:ilvl w:val="0"/>
                <w:numId w:val="5"/>
              </w:numPr>
              <w:kinsoku w:val="0"/>
              <w:autoSpaceDE w:val="0"/>
              <w:autoSpaceDN w:val="0"/>
              <w:adjustRightInd w:val="0"/>
              <w:snapToGrid w:val="0"/>
              <w:spacing w:before="2" w:line="284" w:lineRule="auto"/>
              <w:ind w:left="116" w:right="117" w:firstLine="7"/>
              <w:jc w:val="left"/>
              <w:textAlignment w:val="baseline"/>
              <w:rPr>
                <w:rFonts w:ascii="宋体" w:hAnsi="宋体" w:eastAsia="宋体" w:cs="宋体"/>
                <w:snapToGrid w:val="0"/>
                <w:color w:val="auto"/>
                <w:kern w:val="0"/>
                <w:sz w:val="21"/>
                <w:szCs w:val="21"/>
                <w:highlight w:val="none"/>
              </w:rPr>
            </w:pPr>
            <w:r>
              <w:rPr>
                <w:rFonts w:ascii="宋体" w:hAnsi="宋体" w:eastAsia="宋体" w:cs="宋体"/>
                <w:snapToGrid w:val="0"/>
                <w:color w:val="auto"/>
                <w:spacing w:val="7"/>
                <w:kern w:val="0"/>
                <w:sz w:val="21"/>
                <w:szCs w:val="21"/>
                <w:highlight w:val="none"/>
              </w:rPr>
              <w:t>小型和微型企业的价格评审优惠可以与同时属于“节</w:t>
            </w:r>
            <w:r>
              <w:rPr>
                <w:rFonts w:ascii="宋体" w:hAnsi="宋体" w:eastAsia="宋体" w:cs="宋体"/>
                <w:snapToGrid w:val="0"/>
                <w:color w:val="auto"/>
                <w:spacing w:val="1"/>
                <w:kern w:val="0"/>
                <w:sz w:val="21"/>
                <w:szCs w:val="21"/>
                <w:highlight w:val="none"/>
              </w:rPr>
              <w:t>能产品”</w:t>
            </w:r>
            <w:r>
              <w:rPr>
                <w:rFonts w:ascii="宋体" w:hAnsi="宋体" w:eastAsia="宋体" w:cs="宋体"/>
                <w:snapToGrid w:val="0"/>
                <w:color w:val="auto"/>
                <w:kern w:val="0"/>
                <w:sz w:val="21"/>
                <w:szCs w:val="21"/>
                <w:highlight w:val="none"/>
              </w:rPr>
              <w:t>、“环境标志产品”中的一项优先</w:t>
            </w:r>
            <w:r>
              <w:rPr>
                <w:rFonts w:ascii="宋体" w:hAnsi="宋体" w:eastAsia="宋体" w:cs="宋体"/>
                <w:snapToGrid w:val="0"/>
                <w:color w:val="auto"/>
                <w:spacing w:val="-4"/>
                <w:kern w:val="0"/>
                <w:sz w:val="21"/>
                <w:szCs w:val="21"/>
                <w:highlight w:val="none"/>
              </w:rPr>
              <w:t>采购优</w:t>
            </w:r>
            <w:r>
              <w:rPr>
                <w:rFonts w:ascii="宋体" w:hAnsi="宋体" w:eastAsia="宋体" w:cs="宋体"/>
                <w:snapToGrid w:val="0"/>
                <w:color w:val="auto"/>
                <w:spacing w:val="-3"/>
                <w:kern w:val="0"/>
                <w:sz w:val="21"/>
                <w:szCs w:val="21"/>
                <w:highlight w:val="none"/>
              </w:rPr>
              <w:t>惠</w:t>
            </w:r>
            <w:r>
              <w:rPr>
                <w:rFonts w:ascii="宋体" w:hAnsi="宋体" w:eastAsia="宋体" w:cs="宋体"/>
                <w:snapToGrid w:val="0"/>
                <w:color w:val="auto"/>
                <w:spacing w:val="-2"/>
                <w:kern w:val="0"/>
                <w:sz w:val="21"/>
                <w:szCs w:val="21"/>
                <w:highlight w:val="none"/>
              </w:rPr>
              <w:t>累加计算。</w:t>
            </w:r>
          </w:p>
          <w:p w14:paraId="21298F42">
            <w:pPr>
              <w:adjustRightInd w:val="0"/>
              <w:snapToGrid w:val="0"/>
              <w:spacing w:line="420" w:lineRule="exact"/>
              <w:rPr>
                <w:rFonts w:ascii="宋体" w:hAnsi="宋体" w:eastAsia="宋体"/>
                <w:color w:val="auto"/>
                <w:szCs w:val="21"/>
                <w:highlight w:val="none"/>
              </w:rPr>
            </w:pPr>
            <w:r>
              <w:rPr>
                <w:rFonts w:ascii="宋体" w:hAnsi="宋体" w:eastAsia="宋体" w:cs="宋体"/>
                <w:snapToGrid w:val="0"/>
                <w:color w:val="auto"/>
                <w:spacing w:val="-3"/>
                <w:kern w:val="0"/>
                <w:sz w:val="21"/>
                <w:szCs w:val="21"/>
                <w:highlight w:val="none"/>
              </w:rPr>
              <w:t xml:space="preserve">投标人符合第二章第 </w:t>
            </w:r>
            <w:r>
              <w:rPr>
                <w:rFonts w:ascii="Times New Roman" w:hAnsi="Times New Roman" w:eastAsia="Times New Roman" w:cs="Times New Roman"/>
                <w:b/>
                <w:bCs/>
                <w:snapToGrid w:val="0"/>
                <w:color w:val="auto"/>
                <w:spacing w:val="-3"/>
                <w:kern w:val="0"/>
                <w:sz w:val="21"/>
                <w:szCs w:val="21"/>
                <w:highlight w:val="none"/>
              </w:rPr>
              <w:t>33.1</w:t>
            </w:r>
            <w:r>
              <w:rPr>
                <w:rFonts w:ascii="Times New Roman" w:hAnsi="Times New Roman" w:eastAsia="Times New Roman" w:cs="Times New Roman"/>
                <w:snapToGrid w:val="0"/>
                <w:color w:val="auto"/>
                <w:spacing w:val="-3"/>
                <w:kern w:val="0"/>
                <w:sz w:val="21"/>
                <w:szCs w:val="21"/>
                <w:highlight w:val="none"/>
              </w:rPr>
              <w:t xml:space="preserve"> </w:t>
            </w:r>
            <w:r>
              <w:rPr>
                <w:rFonts w:ascii="宋体" w:hAnsi="宋体" w:eastAsia="宋体" w:cs="宋体"/>
                <w:snapToGrid w:val="0"/>
                <w:color w:val="auto"/>
                <w:spacing w:val="-3"/>
                <w:kern w:val="0"/>
                <w:sz w:val="21"/>
                <w:szCs w:val="21"/>
                <w:highlight w:val="none"/>
              </w:rPr>
              <w:t xml:space="preserve">款、第 </w:t>
            </w:r>
            <w:r>
              <w:rPr>
                <w:rFonts w:ascii="Times New Roman" w:hAnsi="Times New Roman" w:eastAsia="Times New Roman" w:cs="Times New Roman"/>
                <w:b/>
                <w:bCs/>
                <w:snapToGrid w:val="0"/>
                <w:color w:val="auto"/>
                <w:spacing w:val="-3"/>
                <w:kern w:val="0"/>
                <w:sz w:val="21"/>
                <w:szCs w:val="21"/>
                <w:highlight w:val="none"/>
              </w:rPr>
              <w:t>33.2</w:t>
            </w:r>
            <w:r>
              <w:rPr>
                <w:rFonts w:ascii="Times New Roman" w:hAnsi="Times New Roman" w:eastAsia="Times New Roman" w:cs="Times New Roman"/>
                <w:snapToGrid w:val="0"/>
                <w:color w:val="auto"/>
                <w:spacing w:val="-3"/>
                <w:kern w:val="0"/>
                <w:sz w:val="21"/>
                <w:szCs w:val="21"/>
                <w:highlight w:val="none"/>
              </w:rPr>
              <w:t xml:space="preserve"> </w:t>
            </w:r>
            <w:r>
              <w:rPr>
                <w:rFonts w:ascii="宋体" w:hAnsi="宋体" w:eastAsia="宋体" w:cs="宋体"/>
                <w:snapToGrid w:val="0"/>
                <w:color w:val="auto"/>
                <w:spacing w:val="-3"/>
                <w:kern w:val="0"/>
                <w:sz w:val="21"/>
                <w:szCs w:val="21"/>
                <w:highlight w:val="none"/>
              </w:rPr>
              <w:t xml:space="preserve">款、第 </w:t>
            </w:r>
            <w:r>
              <w:rPr>
                <w:rFonts w:ascii="Times New Roman" w:hAnsi="Times New Roman" w:eastAsia="Times New Roman" w:cs="Times New Roman"/>
                <w:b/>
                <w:bCs/>
                <w:snapToGrid w:val="0"/>
                <w:color w:val="auto"/>
                <w:spacing w:val="-3"/>
                <w:kern w:val="0"/>
                <w:sz w:val="21"/>
                <w:szCs w:val="21"/>
                <w:highlight w:val="none"/>
              </w:rPr>
              <w:t>33.3</w:t>
            </w:r>
            <w:r>
              <w:rPr>
                <w:rFonts w:ascii="Times New Roman" w:hAnsi="Times New Roman" w:eastAsia="Times New Roman" w:cs="Times New Roman"/>
                <w:snapToGrid w:val="0"/>
                <w:color w:val="auto"/>
                <w:spacing w:val="-3"/>
                <w:kern w:val="0"/>
                <w:sz w:val="21"/>
                <w:szCs w:val="21"/>
                <w:highlight w:val="none"/>
              </w:rPr>
              <w:t xml:space="preserve"> </w:t>
            </w:r>
            <w:r>
              <w:rPr>
                <w:rFonts w:ascii="宋体" w:hAnsi="宋体" w:eastAsia="宋体" w:cs="宋体"/>
                <w:snapToGrid w:val="0"/>
                <w:color w:val="auto"/>
                <w:spacing w:val="-3"/>
                <w:kern w:val="0"/>
                <w:sz w:val="21"/>
                <w:szCs w:val="21"/>
                <w:highlight w:val="none"/>
              </w:rPr>
              <w:t>款规</w:t>
            </w:r>
            <w:r>
              <w:rPr>
                <w:rFonts w:ascii="宋体" w:hAnsi="宋体" w:eastAsia="宋体" w:cs="宋体"/>
                <w:snapToGrid w:val="0"/>
                <w:color w:val="auto"/>
                <w:spacing w:val="-4"/>
                <w:kern w:val="0"/>
                <w:sz w:val="21"/>
                <w:szCs w:val="21"/>
                <w:highlight w:val="none"/>
              </w:rPr>
              <w:t>定的，应按第二章</w:t>
            </w:r>
            <w:r>
              <w:rPr>
                <w:rFonts w:ascii="宋体" w:hAnsi="宋体" w:eastAsia="宋体" w:cs="宋体"/>
                <w:snapToGrid w:val="0"/>
                <w:color w:val="auto"/>
                <w:spacing w:val="-3"/>
                <w:kern w:val="0"/>
                <w:sz w:val="21"/>
                <w:szCs w:val="21"/>
                <w:highlight w:val="none"/>
              </w:rPr>
              <w:t>第</w:t>
            </w:r>
            <w:r>
              <w:rPr>
                <w:rFonts w:ascii="宋体" w:hAnsi="宋体" w:eastAsia="宋体" w:cs="宋体"/>
                <w:snapToGrid w:val="0"/>
                <w:color w:val="auto"/>
                <w:spacing w:val="-2"/>
                <w:kern w:val="0"/>
                <w:sz w:val="21"/>
                <w:szCs w:val="21"/>
                <w:highlight w:val="none"/>
              </w:rPr>
              <w:t xml:space="preserve"> </w:t>
            </w:r>
            <w:r>
              <w:rPr>
                <w:rFonts w:ascii="Times New Roman" w:hAnsi="Times New Roman" w:eastAsia="Times New Roman" w:cs="Times New Roman"/>
                <w:b/>
                <w:bCs/>
                <w:snapToGrid w:val="0"/>
                <w:color w:val="auto"/>
                <w:spacing w:val="-2"/>
                <w:kern w:val="0"/>
                <w:sz w:val="21"/>
                <w:szCs w:val="21"/>
                <w:highlight w:val="none"/>
              </w:rPr>
              <w:t>33.6</w:t>
            </w:r>
            <w:r>
              <w:rPr>
                <w:rFonts w:ascii="Times New Roman" w:hAnsi="Times New Roman" w:eastAsia="Times New Roman" w:cs="Times New Roman"/>
                <w:snapToGrid w:val="0"/>
                <w:color w:val="auto"/>
                <w:spacing w:val="-2"/>
                <w:kern w:val="0"/>
                <w:sz w:val="21"/>
                <w:szCs w:val="21"/>
                <w:highlight w:val="none"/>
              </w:rPr>
              <w:t xml:space="preserve"> </w:t>
            </w:r>
            <w:r>
              <w:rPr>
                <w:rFonts w:ascii="宋体" w:hAnsi="宋体" w:eastAsia="宋体" w:cs="宋体"/>
                <w:snapToGrid w:val="0"/>
                <w:color w:val="auto"/>
                <w:spacing w:val="-2"/>
                <w:kern w:val="0"/>
                <w:sz w:val="21"/>
                <w:szCs w:val="21"/>
                <w:highlight w:val="none"/>
              </w:rPr>
              <w:t>款规定提供相关证明资料。</w:t>
            </w:r>
          </w:p>
        </w:tc>
      </w:tr>
      <w:tr w14:paraId="7DF1E3D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89" w:hRule="atLeast"/>
        </w:trPr>
        <w:tc>
          <w:tcPr>
            <w:tcW w:w="1628" w:type="dxa"/>
            <w:tcBorders>
              <w:top w:val="single" w:color="auto" w:sz="6" w:space="0"/>
              <w:bottom w:val="single" w:color="auto" w:sz="6" w:space="0"/>
            </w:tcBorders>
            <w:noWrap w:val="0"/>
            <w:vAlign w:val="center"/>
          </w:tcPr>
          <w:p w14:paraId="64DBB099">
            <w:pPr>
              <w:adjustRightInd w:val="0"/>
              <w:snapToGrid w:val="0"/>
              <w:spacing w:before="156" w:beforeLines="50" w:line="360" w:lineRule="auto"/>
              <w:jc w:val="center"/>
              <w:rPr>
                <w:rFonts w:ascii="宋体" w:hAnsi="宋体" w:eastAsia="宋体"/>
                <w:color w:val="auto"/>
                <w:szCs w:val="21"/>
                <w:highlight w:val="none"/>
              </w:rPr>
            </w:pPr>
            <w:r>
              <w:rPr>
                <w:rFonts w:hint="eastAsia" w:ascii="宋体" w:hAnsi="宋体" w:eastAsia="宋体"/>
                <w:color w:val="auto"/>
                <w:szCs w:val="21"/>
                <w:highlight w:val="none"/>
              </w:rPr>
              <w:t>第6.2</w:t>
            </w:r>
            <w:r>
              <w:rPr>
                <w:rFonts w:hint="eastAsia" w:ascii="宋体" w:hAnsi="宋体" w:eastAsia="宋体" w:cs="宋体"/>
                <w:color w:val="auto"/>
                <w:kern w:val="0"/>
                <w:szCs w:val="21"/>
                <w:highlight w:val="none"/>
                <w:lang w:val="zh-CN"/>
              </w:rPr>
              <w:t>款</w:t>
            </w:r>
          </w:p>
        </w:tc>
        <w:tc>
          <w:tcPr>
            <w:tcW w:w="1950" w:type="dxa"/>
            <w:gridSpan w:val="2"/>
            <w:tcBorders>
              <w:top w:val="single" w:color="auto" w:sz="6" w:space="0"/>
              <w:bottom w:val="single" w:color="auto" w:sz="6" w:space="0"/>
              <w:right w:val="single" w:color="auto" w:sz="6" w:space="0"/>
            </w:tcBorders>
            <w:noWrap w:val="0"/>
            <w:vAlign w:val="center"/>
          </w:tcPr>
          <w:p w14:paraId="1FA7315C">
            <w:pPr>
              <w:adjustRightInd w:val="0"/>
              <w:snapToGrid w:val="0"/>
              <w:spacing w:before="156" w:beforeLines="50" w:line="360" w:lineRule="auto"/>
              <w:jc w:val="center"/>
              <w:rPr>
                <w:rFonts w:ascii="宋体" w:hAnsi="宋体" w:eastAsia="宋体"/>
                <w:color w:val="auto"/>
                <w:szCs w:val="21"/>
                <w:highlight w:val="none"/>
              </w:rPr>
            </w:pPr>
            <w:r>
              <w:rPr>
                <w:rFonts w:hint="eastAsia" w:ascii="宋体" w:hAnsi="宋体" w:eastAsia="宋体"/>
                <w:color w:val="auto"/>
                <w:szCs w:val="21"/>
                <w:highlight w:val="none"/>
              </w:rPr>
              <w:t>中标候选人并列的确定中标人的方式</w:t>
            </w:r>
          </w:p>
        </w:tc>
        <w:tc>
          <w:tcPr>
            <w:tcW w:w="5300" w:type="dxa"/>
            <w:tcBorders>
              <w:top w:val="single" w:color="auto" w:sz="6" w:space="0"/>
              <w:left w:val="single" w:color="auto" w:sz="6" w:space="0"/>
              <w:bottom w:val="single" w:color="auto" w:sz="6" w:space="0"/>
              <w:right w:val="double" w:color="auto" w:sz="4" w:space="0"/>
            </w:tcBorders>
            <w:noWrap w:val="0"/>
            <w:vAlign w:val="center"/>
          </w:tcPr>
          <w:p w14:paraId="082868E6">
            <w:pPr>
              <w:adjustRightInd w:val="0"/>
              <w:snapToGrid w:val="0"/>
              <w:spacing w:line="420" w:lineRule="exact"/>
              <w:rPr>
                <w:rFonts w:ascii="宋体" w:hAnsi="宋体" w:eastAsia="宋体"/>
                <w:color w:val="auto"/>
                <w:szCs w:val="21"/>
                <w:highlight w:val="none"/>
              </w:rPr>
            </w:pPr>
            <w:r>
              <w:rPr>
                <w:rFonts w:ascii="宋体" w:hAnsi="宋体" w:eastAsia="宋体" w:cs="宋体"/>
                <w:color w:val="auto"/>
                <w:spacing w:val="1"/>
                <w:sz w:val="21"/>
                <w:szCs w:val="21"/>
                <w:highlight w:val="none"/>
              </w:rPr>
              <w:t>得分</w:t>
            </w:r>
            <w:r>
              <w:rPr>
                <w:rFonts w:ascii="宋体" w:hAnsi="宋体" w:eastAsia="宋体" w:cs="宋体"/>
                <w:color w:val="auto"/>
                <w:sz w:val="21"/>
                <w:szCs w:val="21"/>
                <w:highlight w:val="none"/>
              </w:rPr>
              <w:t>相同的，按投标报价由低到高顺序排列。得分且投标报</w:t>
            </w:r>
            <w:r>
              <w:rPr>
                <w:rFonts w:ascii="宋体" w:hAnsi="宋体" w:eastAsia="宋体" w:cs="宋体"/>
                <w:color w:val="auto"/>
                <w:spacing w:val="1"/>
                <w:sz w:val="21"/>
                <w:szCs w:val="21"/>
                <w:highlight w:val="none"/>
              </w:rPr>
              <w:t>价相</w:t>
            </w:r>
            <w:r>
              <w:rPr>
                <w:rFonts w:ascii="宋体" w:hAnsi="宋体" w:eastAsia="宋体" w:cs="宋体"/>
                <w:color w:val="auto"/>
                <w:sz w:val="21"/>
                <w:szCs w:val="21"/>
                <w:highlight w:val="none"/>
              </w:rPr>
              <w:t>同的，按照技术评价项评审因素的量化指标评审得分由</w:t>
            </w:r>
            <w:r>
              <w:rPr>
                <w:rFonts w:ascii="宋体" w:hAnsi="宋体" w:eastAsia="宋体" w:cs="宋体"/>
                <w:color w:val="auto"/>
                <w:spacing w:val="-1"/>
                <w:sz w:val="21"/>
                <w:szCs w:val="21"/>
                <w:highlight w:val="none"/>
              </w:rPr>
              <w:t>高到低排</w:t>
            </w:r>
            <w:r>
              <w:rPr>
                <w:rFonts w:ascii="宋体" w:hAnsi="宋体" w:eastAsia="宋体" w:cs="宋体"/>
                <w:color w:val="auto"/>
                <w:sz w:val="21"/>
                <w:szCs w:val="21"/>
                <w:highlight w:val="none"/>
              </w:rPr>
              <w:t>序。</w:t>
            </w:r>
          </w:p>
        </w:tc>
      </w:tr>
      <w:tr w14:paraId="283B6F4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67" w:hRule="atLeast"/>
        </w:trPr>
        <w:tc>
          <w:tcPr>
            <w:tcW w:w="1628" w:type="dxa"/>
            <w:tcBorders>
              <w:top w:val="single" w:color="auto" w:sz="6" w:space="0"/>
              <w:bottom w:val="double" w:color="auto" w:sz="4" w:space="0"/>
            </w:tcBorders>
            <w:noWrap w:val="0"/>
            <w:vAlign w:val="center"/>
          </w:tcPr>
          <w:p w14:paraId="20F0909E">
            <w:pPr>
              <w:adjustRightInd w:val="0"/>
              <w:snapToGrid w:val="0"/>
              <w:spacing w:before="156" w:beforeLines="50" w:line="360" w:lineRule="auto"/>
              <w:jc w:val="center"/>
              <w:rPr>
                <w:rFonts w:ascii="宋体" w:hAnsi="宋体" w:eastAsia="宋体"/>
                <w:color w:val="auto"/>
                <w:szCs w:val="21"/>
                <w:highlight w:val="none"/>
              </w:rPr>
            </w:pPr>
            <w:r>
              <w:rPr>
                <w:rFonts w:ascii="宋体" w:hAnsi="宋体" w:eastAsia="宋体" w:cs="宋体"/>
                <w:color w:val="auto"/>
                <w:spacing w:val="4"/>
                <w:sz w:val="21"/>
                <w:szCs w:val="21"/>
                <w:highlight w:val="none"/>
              </w:rPr>
              <w:t>其他</w:t>
            </w:r>
          </w:p>
        </w:tc>
        <w:tc>
          <w:tcPr>
            <w:tcW w:w="1950" w:type="dxa"/>
            <w:gridSpan w:val="2"/>
            <w:tcBorders>
              <w:top w:val="single" w:color="auto" w:sz="6" w:space="0"/>
              <w:bottom w:val="double" w:color="auto" w:sz="4" w:space="0"/>
              <w:right w:val="single" w:color="auto" w:sz="6" w:space="0"/>
            </w:tcBorders>
            <w:noWrap w:val="0"/>
            <w:vAlign w:val="center"/>
          </w:tcPr>
          <w:p w14:paraId="0910A236">
            <w:pPr>
              <w:adjustRightInd w:val="0"/>
              <w:snapToGrid w:val="0"/>
              <w:spacing w:line="42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t>推荐中标候选人数量</w:t>
            </w:r>
          </w:p>
        </w:tc>
        <w:tc>
          <w:tcPr>
            <w:tcW w:w="5300" w:type="dxa"/>
            <w:tcBorders>
              <w:top w:val="single" w:color="auto" w:sz="6" w:space="0"/>
              <w:left w:val="single" w:color="auto" w:sz="6" w:space="0"/>
              <w:bottom w:val="double" w:color="auto" w:sz="4" w:space="0"/>
              <w:right w:val="double" w:color="auto" w:sz="4" w:space="0"/>
            </w:tcBorders>
            <w:noWrap w:val="0"/>
            <w:vAlign w:val="center"/>
          </w:tcPr>
          <w:p w14:paraId="62129B02">
            <w:pPr>
              <w:adjustRightInd w:val="0"/>
              <w:snapToGrid w:val="0"/>
              <w:spacing w:line="420" w:lineRule="exact"/>
              <w:rPr>
                <w:rFonts w:hint="default" w:ascii="宋体" w:hAnsi="宋体" w:eastAsia="宋体" w:cs="宋体"/>
                <w:color w:val="auto"/>
                <w:sz w:val="21"/>
                <w:szCs w:val="21"/>
                <w:highlight w:val="none"/>
                <w:lang w:val="en-US" w:eastAsia="zh-CN"/>
              </w:rPr>
            </w:pPr>
            <w:r>
              <w:rPr>
                <w:rFonts w:ascii="宋体" w:hAnsi="宋体" w:eastAsia="宋体" w:cs="宋体"/>
                <w:color w:val="auto"/>
                <w:sz w:val="21"/>
                <w:szCs w:val="21"/>
                <w:highlight w:val="none"/>
              </w:rPr>
              <w:t>推荐中标候选人数量为 3 家；最终确定中标人数量为 1 家。</w:t>
            </w:r>
          </w:p>
        </w:tc>
      </w:tr>
    </w:tbl>
    <w:p w14:paraId="11D26F6F">
      <w:pPr>
        <w:pStyle w:val="3"/>
        <w:keepNext w:val="0"/>
        <w:keepLines w:val="0"/>
        <w:adjustRightInd w:val="0"/>
        <w:snapToGrid w:val="0"/>
        <w:spacing w:before="156" w:beforeLines="50"/>
        <w:jc w:val="center"/>
        <w:rPr>
          <w:rFonts w:hint="eastAsia" w:ascii="黑体" w:hAnsi="华文中宋" w:eastAsia="黑体"/>
          <w:color w:val="auto"/>
          <w:sz w:val="28"/>
          <w:szCs w:val="28"/>
          <w:highlight w:val="none"/>
        </w:rPr>
      </w:pPr>
    </w:p>
    <w:p w14:paraId="5C2F735B">
      <w:pPr>
        <w:pStyle w:val="3"/>
        <w:keepNext w:val="0"/>
        <w:keepLines w:val="0"/>
        <w:adjustRightInd w:val="0"/>
        <w:snapToGrid w:val="0"/>
        <w:spacing w:before="156" w:beforeLines="50"/>
        <w:jc w:val="center"/>
        <w:rPr>
          <w:rFonts w:hint="eastAsia" w:ascii="黑体" w:hAnsi="华文中宋" w:eastAsia="黑体"/>
          <w:color w:val="auto"/>
          <w:sz w:val="28"/>
          <w:szCs w:val="28"/>
          <w:highlight w:val="none"/>
        </w:rPr>
        <w:sectPr>
          <w:pgSz w:w="11905" w:h="16839"/>
          <w:pgMar w:top="1115" w:right="1134" w:bottom="1146" w:left="1247" w:header="0" w:footer="984" w:gutter="0"/>
          <w:pgBorders>
            <w:top w:val="none" w:sz="0" w:space="0"/>
            <w:left w:val="none" w:sz="0" w:space="0"/>
            <w:bottom w:val="none" w:sz="0" w:space="0"/>
            <w:right w:val="none" w:sz="0" w:space="0"/>
          </w:pgBorders>
          <w:pgNumType w:fmt="decimal"/>
          <w:cols w:space="720" w:num="1"/>
        </w:sectPr>
      </w:pPr>
    </w:p>
    <w:p w14:paraId="7D9AABD4">
      <w:pPr>
        <w:pStyle w:val="3"/>
        <w:keepNext w:val="0"/>
        <w:keepLines w:val="0"/>
        <w:adjustRightInd w:val="0"/>
        <w:snapToGrid w:val="0"/>
        <w:spacing w:before="156" w:beforeLines="50"/>
        <w:jc w:val="center"/>
        <w:rPr>
          <w:rFonts w:ascii="黑体" w:hAnsi="华文中宋" w:eastAsia="黑体"/>
          <w:color w:val="auto"/>
          <w:sz w:val="28"/>
          <w:szCs w:val="28"/>
          <w:highlight w:val="none"/>
        </w:rPr>
      </w:pPr>
      <w:bookmarkStart w:id="49" w:name="_Toc17329"/>
      <w:r>
        <w:rPr>
          <w:rFonts w:hint="eastAsia" w:ascii="黑体" w:hAnsi="华文中宋" w:eastAsia="黑体"/>
          <w:color w:val="auto"/>
          <w:sz w:val="28"/>
          <w:szCs w:val="28"/>
          <w:highlight w:val="none"/>
        </w:rPr>
        <w:t>第二节 评标方法及标准</w:t>
      </w:r>
      <w:bookmarkEnd w:id="49"/>
    </w:p>
    <w:p w14:paraId="605F2F73">
      <w:pPr>
        <w:pStyle w:val="4"/>
        <w:keepNext w:val="0"/>
        <w:keepLines w:val="0"/>
        <w:adjustRightInd w:val="0"/>
        <w:snapToGrid w:val="0"/>
        <w:spacing w:before="156" w:beforeLines="50" w:after="0" w:line="360" w:lineRule="auto"/>
        <w:rPr>
          <w:rFonts w:ascii="黑体" w:hAnsi="黑体" w:eastAsia="黑体"/>
          <w:color w:val="auto"/>
          <w:sz w:val="24"/>
          <w:szCs w:val="24"/>
          <w:highlight w:val="none"/>
        </w:rPr>
      </w:pPr>
      <w:bookmarkStart w:id="50" w:name="_Toc18128"/>
      <w:bookmarkStart w:id="51" w:name="_Toc31064"/>
      <w:r>
        <w:rPr>
          <w:rFonts w:hint="eastAsia" w:ascii="黑体" w:hAnsi="黑体" w:eastAsia="黑体"/>
          <w:color w:val="auto"/>
          <w:sz w:val="24"/>
          <w:szCs w:val="24"/>
          <w:highlight w:val="none"/>
        </w:rPr>
        <w:t>1．评标方法</w:t>
      </w:r>
      <w:bookmarkEnd w:id="50"/>
      <w:bookmarkEnd w:id="51"/>
    </w:p>
    <w:p w14:paraId="5FD42690">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1.1综合评分法，指投标文件满足招标文件全部实质性要求，且按照评审因素的量化指标评审得分最高的投标人为中标候选人的评标方法。</w:t>
      </w:r>
    </w:p>
    <w:p w14:paraId="08B5313E">
      <w:pPr>
        <w:adjustRightInd w:val="0"/>
        <w:snapToGrid w:val="0"/>
        <w:spacing w:before="156" w:beforeLines="50" w:line="360" w:lineRule="auto"/>
        <w:ind w:firstLine="420" w:firstLineChars="200"/>
        <w:jc w:val="left"/>
        <w:rPr>
          <w:rFonts w:ascii="宋体" w:hAnsi="宋体" w:eastAsia="宋体"/>
          <w:bCs/>
          <w:color w:val="auto"/>
          <w:szCs w:val="21"/>
          <w:highlight w:val="none"/>
        </w:rPr>
      </w:pPr>
      <w:r>
        <w:rPr>
          <w:rFonts w:hint="eastAsia" w:ascii="宋体" w:hAnsi="宋体" w:eastAsia="宋体"/>
          <w:bCs/>
          <w:color w:val="auto"/>
          <w:szCs w:val="21"/>
          <w:highlight w:val="none"/>
        </w:rPr>
        <w:t>1.2最低评标价，是指投标文件满足招标文件全部实质性要求，且投标报价最低的投标人为中标候选人的评标方法。</w:t>
      </w:r>
    </w:p>
    <w:p w14:paraId="2D0B8AF2">
      <w:pPr>
        <w:adjustRightInd w:val="0"/>
        <w:snapToGrid w:val="0"/>
        <w:spacing w:before="156" w:beforeLines="50" w:line="360" w:lineRule="auto"/>
        <w:ind w:firstLine="420" w:firstLineChars="200"/>
        <w:jc w:val="left"/>
        <w:rPr>
          <w:rFonts w:ascii="宋体" w:hAnsi="宋体" w:eastAsia="宋体"/>
          <w:bCs/>
          <w:color w:val="auto"/>
          <w:szCs w:val="21"/>
          <w:highlight w:val="none"/>
        </w:rPr>
      </w:pPr>
      <w:r>
        <w:rPr>
          <w:rFonts w:hint="eastAsia" w:ascii="宋体" w:hAnsi="宋体" w:eastAsia="宋体"/>
          <w:bCs/>
          <w:color w:val="auto"/>
          <w:szCs w:val="21"/>
          <w:highlight w:val="none"/>
        </w:rPr>
        <w:t>1.3本采购项目评标方法见本章第一节</w:t>
      </w:r>
      <w:r>
        <w:rPr>
          <w:rFonts w:hint="eastAsia" w:ascii="宋体" w:hAnsi="宋体" w:eastAsia="宋体"/>
          <w:b/>
          <w:color w:val="auto"/>
          <w:szCs w:val="21"/>
          <w:highlight w:val="none"/>
        </w:rPr>
        <w:t>【评标方法及标准前附表】</w:t>
      </w:r>
      <w:r>
        <w:rPr>
          <w:rFonts w:hint="eastAsia" w:ascii="宋体" w:hAnsi="宋体" w:eastAsia="宋体"/>
          <w:color w:val="auto"/>
          <w:szCs w:val="21"/>
          <w:highlight w:val="none"/>
        </w:rPr>
        <w:t>。</w:t>
      </w:r>
    </w:p>
    <w:p w14:paraId="073A900A">
      <w:pPr>
        <w:pStyle w:val="4"/>
        <w:keepNext w:val="0"/>
        <w:keepLines w:val="0"/>
        <w:adjustRightInd w:val="0"/>
        <w:snapToGrid w:val="0"/>
        <w:spacing w:before="156" w:beforeLines="50" w:after="0" w:line="360" w:lineRule="auto"/>
        <w:rPr>
          <w:rFonts w:ascii="黑体" w:hAnsi="黑体" w:eastAsia="黑体"/>
          <w:bCs w:val="0"/>
          <w:color w:val="auto"/>
          <w:sz w:val="24"/>
          <w:szCs w:val="24"/>
          <w:highlight w:val="none"/>
        </w:rPr>
      </w:pPr>
      <w:bookmarkStart w:id="52" w:name="_Toc2626"/>
      <w:bookmarkStart w:id="53" w:name="_Toc8731"/>
      <w:r>
        <w:rPr>
          <w:rFonts w:hint="eastAsia" w:ascii="黑体" w:hAnsi="黑体" w:eastAsia="黑体"/>
          <w:bCs w:val="0"/>
          <w:color w:val="auto"/>
          <w:sz w:val="24"/>
          <w:szCs w:val="24"/>
          <w:highlight w:val="none"/>
        </w:rPr>
        <w:t>2．评标程序</w:t>
      </w:r>
      <w:bookmarkEnd w:id="52"/>
      <w:bookmarkEnd w:id="53"/>
    </w:p>
    <w:p w14:paraId="64E06515">
      <w:pPr>
        <w:adjustRightInd w:val="0"/>
        <w:snapToGrid w:val="0"/>
        <w:spacing w:before="156" w:beforeLines="50" w:line="360" w:lineRule="auto"/>
        <w:ind w:firstLine="420" w:firstLineChars="200"/>
        <w:jc w:val="left"/>
        <w:rPr>
          <w:rFonts w:ascii="宋体" w:hAnsi="宋体" w:eastAsia="宋体"/>
          <w:bCs/>
          <w:color w:val="auto"/>
          <w:szCs w:val="21"/>
          <w:highlight w:val="none"/>
        </w:rPr>
      </w:pPr>
      <w:r>
        <w:rPr>
          <w:rFonts w:hint="eastAsia" w:ascii="宋体" w:hAnsi="宋体" w:eastAsia="宋体"/>
          <w:bCs/>
          <w:color w:val="auto"/>
          <w:szCs w:val="21"/>
          <w:highlight w:val="none"/>
        </w:rPr>
        <w:t>2.1评标程序分为投标文件符合性审查、澄清有关问题、比较和评价、推荐中标候选人。</w:t>
      </w:r>
    </w:p>
    <w:p w14:paraId="01A0D0E1">
      <w:pPr>
        <w:pStyle w:val="4"/>
        <w:keepNext w:val="0"/>
        <w:keepLines w:val="0"/>
        <w:adjustRightInd w:val="0"/>
        <w:snapToGrid w:val="0"/>
        <w:spacing w:before="156" w:beforeLines="50" w:after="0" w:line="360" w:lineRule="auto"/>
        <w:rPr>
          <w:rFonts w:ascii="黑体" w:hAnsi="黑体" w:eastAsia="黑体"/>
          <w:bCs w:val="0"/>
          <w:color w:val="auto"/>
          <w:sz w:val="24"/>
          <w:szCs w:val="24"/>
          <w:highlight w:val="none"/>
        </w:rPr>
      </w:pPr>
      <w:bookmarkStart w:id="54" w:name="_Toc11884"/>
      <w:bookmarkStart w:id="55" w:name="_Toc31065"/>
      <w:r>
        <w:rPr>
          <w:rFonts w:hint="eastAsia" w:ascii="黑体" w:hAnsi="黑体" w:eastAsia="黑体"/>
          <w:bCs w:val="0"/>
          <w:color w:val="auto"/>
          <w:sz w:val="24"/>
          <w:szCs w:val="24"/>
          <w:highlight w:val="none"/>
        </w:rPr>
        <w:t>3．投标文件的符合性审查</w:t>
      </w:r>
      <w:bookmarkEnd w:id="54"/>
      <w:bookmarkEnd w:id="55"/>
    </w:p>
    <w:p w14:paraId="0B1080A5">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3.1资格审查结束后，评标委员会依法按照本章第三节“投标文件的符合性审查”规定进行投标文件符合性审查。</w:t>
      </w:r>
    </w:p>
    <w:p w14:paraId="2B13C577">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3.2符合性审查合格投标人少于3家的，应予废标。</w:t>
      </w:r>
    </w:p>
    <w:p w14:paraId="332798FC">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3.3单一产品采购项目：提供相同品牌产品的不同投标人参加同一合同项下投标的，按一家投标人计算。提供不同品牌产品的投标人不足三家的，应予废标。</w:t>
      </w:r>
    </w:p>
    <w:p w14:paraId="06D99DC4">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3.4非单一产品采购项目：采购人或者采购代理机构将在</w:t>
      </w:r>
      <w:r>
        <w:rPr>
          <w:rFonts w:hint="eastAsia" w:ascii="宋体" w:hAnsi="宋体" w:eastAsia="宋体"/>
          <w:b/>
          <w:color w:val="auto"/>
          <w:szCs w:val="21"/>
          <w:highlight w:val="none"/>
        </w:rPr>
        <w:t>【评标方法及标准前附表】</w:t>
      </w:r>
      <w:r>
        <w:rPr>
          <w:rFonts w:hint="eastAsia" w:ascii="宋体" w:hAnsi="宋体" w:eastAsia="宋体"/>
          <w:color w:val="auto"/>
          <w:szCs w:val="21"/>
          <w:highlight w:val="none"/>
        </w:rPr>
        <w:t>中载明核心产品。多家投标人提供的核心产品品牌相同的，视为相同品牌，按本章本节第3.3款规定处理。</w:t>
      </w:r>
    </w:p>
    <w:p w14:paraId="2259FA6C">
      <w:pPr>
        <w:pStyle w:val="4"/>
        <w:keepNext w:val="0"/>
        <w:keepLines w:val="0"/>
        <w:adjustRightInd w:val="0"/>
        <w:snapToGrid w:val="0"/>
        <w:spacing w:before="156" w:beforeLines="50" w:after="0" w:line="360" w:lineRule="auto"/>
        <w:rPr>
          <w:rFonts w:ascii="黑体" w:hAnsi="黑体" w:eastAsia="黑体"/>
          <w:bCs w:val="0"/>
          <w:color w:val="auto"/>
          <w:sz w:val="24"/>
          <w:szCs w:val="24"/>
          <w:highlight w:val="none"/>
        </w:rPr>
      </w:pPr>
      <w:bookmarkStart w:id="56" w:name="_Toc31995"/>
      <w:bookmarkStart w:id="57" w:name="_Toc14243"/>
      <w:r>
        <w:rPr>
          <w:rFonts w:hint="eastAsia" w:ascii="黑体" w:hAnsi="黑体" w:eastAsia="黑体"/>
          <w:bCs w:val="0"/>
          <w:color w:val="auto"/>
          <w:sz w:val="24"/>
          <w:szCs w:val="24"/>
          <w:highlight w:val="none"/>
        </w:rPr>
        <w:t>4．投标文件的澄清</w:t>
      </w:r>
      <w:bookmarkEnd w:id="56"/>
      <w:bookmarkEnd w:id="57"/>
    </w:p>
    <w:p w14:paraId="2290C976">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4.1对于投标文件中含义不明确、同类问题表述不一致或者有明显文字和计算错误的内容，评标委员会应当以书面形式要求投标人作出必要的澄清、说明或者补正。</w:t>
      </w:r>
    </w:p>
    <w:p w14:paraId="4A026240">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4.2投标文件的投标报价出现前后不一致的，除</w:t>
      </w:r>
      <w:r>
        <w:rPr>
          <w:rFonts w:hint="eastAsia" w:ascii="宋体" w:hAnsi="宋体" w:eastAsia="宋体"/>
          <w:b/>
          <w:color w:val="auto"/>
          <w:szCs w:val="21"/>
          <w:highlight w:val="none"/>
        </w:rPr>
        <w:t>【评标方法及标准前附表】</w:t>
      </w:r>
      <w:r>
        <w:rPr>
          <w:rFonts w:hint="eastAsia" w:ascii="宋体" w:hAnsi="宋体" w:eastAsia="宋体"/>
          <w:color w:val="auto"/>
          <w:szCs w:val="21"/>
          <w:highlight w:val="none"/>
        </w:rPr>
        <w:t>另有规定外，按照下列规定修正：</w:t>
      </w:r>
    </w:p>
    <w:p w14:paraId="5F55989D">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（1）投标文件中开标一览表内容与投标文件中相应内容不一致的，以开标一览表为准；</w:t>
      </w:r>
    </w:p>
    <w:p w14:paraId="49E58C29">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（2）大写金额和小写金额不一致的，以大写金额为准；</w:t>
      </w:r>
    </w:p>
    <w:p w14:paraId="624CA926">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（3）单价金额小数点或者百分比有明显错位的，以开标一览表的总价为准，并修改单价；</w:t>
      </w:r>
    </w:p>
    <w:p w14:paraId="5FA23AAC">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（4）总价金额与按单价汇总金额不一致的，以单价金额计算结果为准。</w:t>
      </w:r>
    </w:p>
    <w:p w14:paraId="7E77ECD7">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4.3投标文件报价同时出现两种以上不一致的，按照前款规定的顺序修正。修正后的报价由投标人代表签字或者加盖单位章确认后产生约束力，投标人不确认的，其投标无效。</w:t>
      </w:r>
    </w:p>
    <w:p w14:paraId="000CE202">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4.4投标人的澄清、说明或者补正应当采用书面形式，并加盖公章，或者由法定代表人或其授权的代表签字，并按评标委员会的通知要求递交。投标人的澄清、说明或者补正不得超出投标文件的范围或者改变投标文件的实质性内容。</w:t>
      </w:r>
    </w:p>
    <w:p w14:paraId="16B6D9DF">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4.5有效的书面澄清材料，是投标文件的补充材料，成为投标文件的组成部分。</w:t>
      </w:r>
    </w:p>
    <w:p w14:paraId="1BBBC5A3">
      <w:pPr>
        <w:adjustRightInd w:val="0"/>
        <w:snapToGrid w:val="0"/>
        <w:spacing w:before="156" w:beforeLines="50"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4.6投标人的报价符合下列情形之一的，评标委员会应当启动异常低价投标审查程序：</w:t>
      </w:r>
    </w:p>
    <w:p w14:paraId="75861FB2">
      <w:pPr>
        <w:adjustRightInd w:val="0"/>
        <w:snapToGrid w:val="0"/>
        <w:spacing w:before="156" w:beforeLines="50"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（1）算术平均值比较：投标报价低于全部通过符合性审查供应商投标报价算术平均值50%的（即：投标报价&lt;全部有效报价算术平均值×50%）；</w:t>
      </w:r>
    </w:p>
    <w:p w14:paraId="0A5D7243">
      <w:pPr>
        <w:adjustRightInd w:val="0"/>
        <w:snapToGrid w:val="0"/>
        <w:spacing w:before="156" w:beforeLines="50"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（2）次低报价比较：投标报价低于通过符合性审查的次低报价50%的（即：投标报价 &lt;评标委员会次低报价评标委员会×评标委员会50%）；</w:t>
      </w:r>
    </w:p>
    <w:p w14:paraId="6DDCB0FC">
      <w:pPr>
        <w:adjustRightInd w:val="0"/>
        <w:snapToGrid w:val="0"/>
        <w:spacing w:before="156" w:beforeLines="50"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（3）最高限价比较：投标报价低于采购项目最高限价45%的（即：投标报价评标委员会&lt;评标委员会最高限价评标委员会×评标委员会45%）；</w:t>
      </w:r>
    </w:p>
    <w:p w14:paraId="4C75E190">
      <w:pPr>
        <w:adjustRightInd w:val="0"/>
        <w:snapToGrid w:val="0"/>
        <w:spacing w:before="156" w:beforeLines="50"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（4）专业判断：评标委员会基于专业经验判断，认为供应商报价明显低于市场合理价格，有可能影响产品质量或者不能诚信履约的其他情形。</w:t>
      </w:r>
    </w:p>
    <w:p w14:paraId="4E213C64">
      <w:pPr>
        <w:adjustRightInd w:val="0"/>
        <w:snapToGrid w:val="0"/>
        <w:spacing w:before="156" w:beforeLines="50"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评标委员会启动异常低价投标审查后，属于前述第（1）项至第（4）项情形的，应当要求相关投标人在合理的时间内对投标价格作出解释，提供项目具体成本测算等与报价合理性相关的书面说明及必要的证明材料，包括但不限于原材料成本、人工成本、制造费用等，供应商提交证明材料的时间不得超过60分钟。其中，属于第（3）项情形，投标人已随投标文件一并提交相关书面说明及必要的证明材料的，可不再重复提交。 </w:t>
      </w:r>
    </w:p>
    <w:p w14:paraId="594EFA6E">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p>
    <w:p w14:paraId="159B48D5">
      <w:pPr>
        <w:adjustRightInd w:val="0"/>
        <w:snapToGrid w:val="0"/>
        <w:spacing w:line="360" w:lineRule="auto"/>
        <w:ind w:firstLine="420" w:firstLineChars="200"/>
        <w:jc w:val="left"/>
        <w:rPr>
          <w:rFonts w:ascii="宋体" w:hAnsi="宋体" w:eastAsia="宋体"/>
          <w:color w:val="auto"/>
          <w:szCs w:val="21"/>
          <w:highlight w:val="none"/>
        </w:rPr>
      </w:pPr>
      <w:r>
        <w:rPr>
          <w:rFonts w:hint="eastAsia" w:ascii="宋体" w:hAnsi="宋体" w:cs="宋体"/>
          <w:color w:val="auto"/>
          <w:szCs w:val="21"/>
          <w:highlight w:val="none"/>
        </w:rPr>
        <w:t>本项目采用全流程电子交易系统，投标报价的澄清由评标委员会通过电子交易系统发起，投标人应及时关注电子交易系统的信息提示，采购人或采购代理机构不再另行通知。因投标人自身原因未能在规定时限内提交澄清材料的，由此带来的不利后果，由投标人自行承担。</w:t>
      </w:r>
    </w:p>
    <w:p w14:paraId="27610983">
      <w:pPr>
        <w:pStyle w:val="4"/>
        <w:keepNext w:val="0"/>
        <w:keepLines w:val="0"/>
        <w:adjustRightInd w:val="0"/>
        <w:snapToGrid w:val="0"/>
        <w:spacing w:before="156" w:beforeLines="50" w:after="0" w:line="360" w:lineRule="auto"/>
        <w:rPr>
          <w:rFonts w:ascii="黑体" w:hAnsi="黑体" w:eastAsia="黑体"/>
          <w:bCs w:val="0"/>
          <w:color w:val="auto"/>
          <w:sz w:val="24"/>
          <w:szCs w:val="24"/>
          <w:highlight w:val="none"/>
        </w:rPr>
      </w:pPr>
      <w:bookmarkStart w:id="58" w:name="_Toc7219"/>
      <w:bookmarkStart w:id="59" w:name="_Toc14160"/>
      <w:r>
        <w:rPr>
          <w:rFonts w:hint="eastAsia" w:ascii="黑体" w:hAnsi="黑体" w:eastAsia="黑体"/>
          <w:bCs w:val="0"/>
          <w:color w:val="auto"/>
          <w:sz w:val="24"/>
          <w:szCs w:val="24"/>
          <w:highlight w:val="none"/>
        </w:rPr>
        <w:t>5．投标文件的比较与评价</w:t>
      </w:r>
      <w:bookmarkEnd w:id="58"/>
      <w:bookmarkEnd w:id="59"/>
    </w:p>
    <w:p w14:paraId="7DB7F3AD">
      <w:pPr>
        <w:adjustRightInd w:val="0"/>
        <w:snapToGrid w:val="0"/>
        <w:spacing w:before="156" w:beforeLines="50" w:line="360" w:lineRule="auto"/>
        <w:ind w:firstLine="420" w:firstLineChars="200"/>
        <w:jc w:val="left"/>
        <w:rPr>
          <w:rFonts w:ascii="宋体" w:hAnsi="宋体" w:eastAsia="宋体"/>
          <w:bCs/>
          <w:color w:val="auto"/>
          <w:szCs w:val="21"/>
          <w:highlight w:val="none"/>
        </w:rPr>
      </w:pPr>
      <w:r>
        <w:rPr>
          <w:rFonts w:hint="eastAsia" w:ascii="宋体" w:hAnsi="宋体" w:eastAsia="宋体"/>
          <w:bCs/>
          <w:color w:val="auto"/>
          <w:szCs w:val="21"/>
          <w:highlight w:val="none"/>
        </w:rPr>
        <w:t>5.1评标委员会依法按照本章第三节“投标文件的比较与评价”规定，对资格性检查和符合性检查合格的投标文件进行比较和评价。</w:t>
      </w:r>
    </w:p>
    <w:p w14:paraId="22BAA529">
      <w:pPr>
        <w:adjustRightInd w:val="0"/>
        <w:snapToGrid w:val="0"/>
        <w:spacing w:before="156" w:beforeLines="50" w:line="360" w:lineRule="auto"/>
        <w:ind w:firstLine="420" w:firstLineChars="200"/>
        <w:jc w:val="left"/>
        <w:rPr>
          <w:rFonts w:ascii="宋体" w:hAnsi="宋体" w:eastAsia="宋体"/>
          <w:bCs/>
          <w:color w:val="auto"/>
          <w:szCs w:val="21"/>
          <w:highlight w:val="none"/>
        </w:rPr>
      </w:pPr>
      <w:r>
        <w:rPr>
          <w:rFonts w:hint="eastAsia" w:ascii="宋体" w:hAnsi="宋体" w:eastAsia="宋体"/>
          <w:bCs/>
          <w:color w:val="auto"/>
          <w:szCs w:val="21"/>
          <w:highlight w:val="none"/>
        </w:rPr>
        <w:t>5.2单一产品采购项目：</w:t>
      </w:r>
    </w:p>
    <w:p w14:paraId="0AB6335F">
      <w:pPr>
        <w:adjustRightInd w:val="0"/>
        <w:snapToGrid w:val="0"/>
        <w:spacing w:before="156" w:beforeLines="50" w:line="360" w:lineRule="auto"/>
        <w:ind w:firstLine="420" w:firstLineChars="200"/>
        <w:jc w:val="left"/>
        <w:rPr>
          <w:rFonts w:ascii="宋体" w:hAnsi="宋体" w:eastAsia="宋体"/>
          <w:bCs/>
          <w:color w:val="auto"/>
          <w:szCs w:val="21"/>
          <w:highlight w:val="none"/>
        </w:rPr>
      </w:pPr>
      <w:r>
        <w:rPr>
          <w:rFonts w:hint="eastAsia" w:ascii="宋体" w:hAnsi="宋体" w:eastAsia="宋体"/>
          <w:color w:val="auto"/>
          <w:szCs w:val="21"/>
          <w:highlight w:val="none"/>
        </w:rPr>
        <w:t>（1）最低评标价法：</w:t>
      </w:r>
      <w:r>
        <w:rPr>
          <w:rFonts w:hint="eastAsia" w:ascii="宋体" w:hAnsi="宋体" w:eastAsia="宋体"/>
          <w:bCs/>
          <w:color w:val="auto"/>
          <w:szCs w:val="21"/>
          <w:highlight w:val="none"/>
        </w:rPr>
        <w:t>提供相同品牌产品的不同投标人参加同一合同项下投标的，以其中通过资格审查、符合性审查且报价最低的参加评标，其他投标无效；报价相同的，按照</w:t>
      </w:r>
      <w:r>
        <w:rPr>
          <w:rFonts w:hint="eastAsia" w:ascii="宋体" w:hAnsi="宋体" w:eastAsia="宋体"/>
          <w:b/>
          <w:bCs/>
          <w:color w:val="auto"/>
          <w:szCs w:val="21"/>
          <w:highlight w:val="none"/>
        </w:rPr>
        <w:t>【评标方法及标准前附表】</w:t>
      </w:r>
      <w:r>
        <w:rPr>
          <w:rFonts w:hint="eastAsia" w:ascii="宋体" w:hAnsi="宋体" w:eastAsia="宋体"/>
          <w:bCs/>
          <w:color w:val="auto"/>
          <w:szCs w:val="21"/>
          <w:highlight w:val="none"/>
        </w:rPr>
        <w:t>规定的方式确定一个参加评标的投标人，招标文件未规定的采取随机抽取方式确定，其他</w:t>
      </w:r>
      <w:r>
        <w:rPr>
          <w:rFonts w:hint="eastAsia" w:ascii="宋体" w:hAnsi="宋体" w:eastAsia="宋体"/>
          <w:b/>
          <w:bCs/>
          <w:color w:val="auto"/>
          <w:szCs w:val="21"/>
          <w:highlight w:val="none"/>
        </w:rPr>
        <w:t>投标无效</w:t>
      </w:r>
      <w:r>
        <w:rPr>
          <w:rFonts w:hint="eastAsia" w:ascii="宋体" w:hAnsi="宋体" w:eastAsia="宋体"/>
          <w:bCs/>
          <w:color w:val="auto"/>
          <w:szCs w:val="21"/>
          <w:highlight w:val="none"/>
        </w:rPr>
        <w:t>。</w:t>
      </w:r>
    </w:p>
    <w:p w14:paraId="371B419D">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（2）综合评分法：提供相同品牌产品且通过资格审查、符合性审查的不同投标人参加同一合同项下投标的，评审后得分最高的同品牌投标人获得中标人推荐资格；评审得分相同的，按照</w:t>
      </w:r>
      <w:r>
        <w:rPr>
          <w:rFonts w:hint="eastAsia" w:ascii="宋体" w:hAnsi="宋体" w:eastAsia="宋体"/>
          <w:b/>
          <w:color w:val="auto"/>
          <w:szCs w:val="21"/>
          <w:highlight w:val="none"/>
        </w:rPr>
        <w:t>【评标方法及标准前附表】</w:t>
      </w:r>
      <w:r>
        <w:rPr>
          <w:rFonts w:hint="eastAsia" w:ascii="宋体" w:hAnsi="宋体" w:eastAsia="宋体"/>
          <w:color w:val="auto"/>
          <w:szCs w:val="21"/>
          <w:highlight w:val="none"/>
        </w:rPr>
        <w:t>规定的方式确定一个投标人获得中标人推荐资格，招标文件未规定的采取随机抽取方式确定，其他同品牌投标人</w:t>
      </w:r>
      <w:r>
        <w:rPr>
          <w:rFonts w:hint="eastAsia" w:ascii="宋体" w:hAnsi="宋体" w:eastAsia="宋体"/>
          <w:b/>
          <w:color w:val="auto"/>
          <w:szCs w:val="21"/>
          <w:highlight w:val="none"/>
        </w:rPr>
        <w:t>不作为中标候选人</w:t>
      </w:r>
      <w:r>
        <w:rPr>
          <w:rFonts w:hint="eastAsia" w:ascii="宋体" w:hAnsi="宋体" w:eastAsia="宋体"/>
          <w:color w:val="auto"/>
          <w:szCs w:val="21"/>
          <w:highlight w:val="none"/>
        </w:rPr>
        <w:t>。</w:t>
      </w:r>
    </w:p>
    <w:p w14:paraId="3AB8CE01">
      <w:pPr>
        <w:adjustRightInd w:val="0"/>
        <w:snapToGrid w:val="0"/>
        <w:spacing w:before="156" w:beforeLines="50" w:line="360" w:lineRule="auto"/>
        <w:ind w:firstLine="420" w:firstLineChars="200"/>
        <w:jc w:val="left"/>
        <w:rPr>
          <w:rFonts w:ascii="宋体" w:hAnsi="宋体" w:eastAsia="宋体"/>
          <w:bCs/>
          <w:color w:val="auto"/>
          <w:szCs w:val="21"/>
          <w:highlight w:val="none"/>
        </w:rPr>
      </w:pPr>
      <w:r>
        <w:rPr>
          <w:rFonts w:hint="eastAsia" w:ascii="宋体" w:hAnsi="宋体" w:eastAsia="宋体"/>
          <w:bCs/>
          <w:color w:val="auto"/>
          <w:szCs w:val="21"/>
          <w:highlight w:val="none"/>
        </w:rPr>
        <w:t>5.3非单一产品采购项目：多家投标人提供的核心产品品牌相同的，视为相同品牌，按本章本节第 5.2 款规定处理。</w:t>
      </w:r>
    </w:p>
    <w:p w14:paraId="4BE6528D">
      <w:pPr>
        <w:adjustRightInd w:val="0"/>
        <w:snapToGrid w:val="0"/>
        <w:spacing w:before="156" w:beforeLines="50" w:line="360" w:lineRule="auto"/>
        <w:ind w:firstLine="420" w:firstLineChars="200"/>
        <w:jc w:val="left"/>
        <w:rPr>
          <w:rFonts w:ascii="宋体" w:hAnsi="宋体" w:eastAsia="宋体"/>
          <w:bCs/>
          <w:color w:val="auto"/>
          <w:szCs w:val="21"/>
          <w:highlight w:val="none"/>
        </w:rPr>
      </w:pPr>
      <w:r>
        <w:rPr>
          <w:rFonts w:hint="eastAsia" w:ascii="宋体" w:hAnsi="宋体" w:eastAsia="宋体"/>
          <w:bCs/>
          <w:color w:val="auto"/>
          <w:szCs w:val="21"/>
          <w:highlight w:val="none"/>
        </w:rPr>
        <w:t>5.</w:t>
      </w:r>
      <w:r>
        <w:rPr>
          <w:rFonts w:hint="eastAsia" w:ascii="宋体" w:hAnsi="宋体"/>
          <w:bCs/>
          <w:color w:val="auto"/>
          <w:szCs w:val="21"/>
          <w:highlight w:val="none"/>
          <w:lang w:val="en-US" w:eastAsia="zh-CN"/>
        </w:rPr>
        <w:t>4</w:t>
      </w:r>
      <w:r>
        <w:rPr>
          <w:rFonts w:hint="eastAsia" w:ascii="宋体" w:hAnsi="宋体" w:eastAsia="宋体"/>
          <w:bCs/>
          <w:color w:val="auto"/>
          <w:szCs w:val="21"/>
          <w:highlight w:val="none"/>
        </w:rPr>
        <w:t>政府采购政策：</w:t>
      </w:r>
    </w:p>
    <w:p w14:paraId="62FE68EB">
      <w:pPr>
        <w:adjustRightInd w:val="0"/>
        <w:snapToGrid w:val="0"/>
        <w:spacing w:before="156" w:beforeLines="50" w:line="360" w:lineRule="auto"/>
        <w:ind w:firstLine="420" w:firstLineChars="200"/>
        <w:jc w:val="left"/>
        <w:rPr>
          <w:rFonts w:ascii="宋体" w:hAnsi="宋体" w:eastAsia="宋体"/>
          <w:bCs/>
          <w:color w:val="auto"/>
          <w:szCs w:val="21"/>
          <w:highlight w:val="none"/>
        </w:rPr>
      </w:pPr>
      <w:r>
        <w:rPr>
          <w:rFonts w:hint="eastAsia" w:ascii="宋体" w:hAnsi="宋体" w:eastAsia="宋体"/>
          <w:color w:val="auto"/>
          <w:szCs w:val="21"/>
          <w:highlight w:val="none"/>
        </w:rPr>
        <w:t>（1）</w:t>
      </w:r>
      <w:r>
        <w:rPr>
          <w:rFonts w:hint="eastAsia" w:ascii="宋体" w:hAnsi="宋体" w:eastAsia="宋体"/>
          <w:bCs/>
          <w:color w:val="auto"/>
          <w:szCs w:val="21"/>
          <w:highlight w:val="none"/>
        </w:rPr>
        <w:t>价格评审优惠：</w:t>
      </w:r>
      <w:r>
        <w:rPr>
          <w:rFonts w:hint="eastAsia" w:ascii="宋体" w:hAnsi="宋体" w:eastAsia="宋体"/>
          <w:bCs/>
          <w:color w:val="auto"/>
          <w:szCs w:val="21"/>
          <w:highlight w:val="none"/>
          <w:lang w:val="en-US" w:eastAsia="zh-CN"/>
        </w:rPr>
        <w:t>评审时</w:t>
      </w:r>
      <w:r>
        <w:rPr>
          <w:rFonts w:hint="eastAsia" w:ascii="宋体" w:hAnsi="宋体" w:eastAsia="宋体"/>
          <w:color w:val="auto"/>
          <w:szCs w:val="21"/>
          <w:highlight w:val="none"/>
        </w:rPr>
        <w:t>按</w:t>
      </w:r>
      <w:r>
        <w:rPr>
          <w:rFonts w:hint="eastAsia" w:ascii="宋体" w:hAnsi="宋体" w:eastAsia="宋体"/>
          <w:b/>
          <w:color w:val="auto"/>
          <w:szCs w:val="21"/>
          <w:highlight w:val="none"/>
        </w:rPr>
        <w:t>【评标方法及标准前附表】</w:t>
      </w:r>
      <w:r>
        <w:rPr>
          <w:rFonts w:hint="eastAsia" w:ascii="宋体" w:hAnsi="宋体" w:eastAsia="宋体"/>
          <w:color w:val="auto"/>
          <w:szCs w:val="21"/>
          <w:highlight w:val="none"/>
        </w:rPr>
        <w:t>及第二章“投标须知”的相关规定给予相应比例的价格折扣。</w:t>
      </w:r>
    </w:p>
    <w:p w14:paraId="33055F0C">
      <w:pPr>
        <w:adjustRightInd w:val="0"/>
        <w:snapToGrid w:val="0"/>
        <w:spacing w:before="156" w:beforeLines="50" w:line="360" w:lineRule="auto"/>
        <w:ind w:firstLine="420" w:firstLineChars="200"/>
        <w:jc w:val="left"/>
        <w:rPr>
          <w:rFonts w:ascii="宋体" w:hAnsi="宋体" w:eastAsia="宋体"/>
          <w:bCs/>
          <w:color w:val="auto"/>
          <w:szCs w:val="21"/>
          <w:highlight w:val="none"/>
        </w:rPr>
      </w:pPr>
      <w:r>
        <w:rPr>
          <w:rFonts w:hint="eastAsia" w:ascii="宋体" w:hAnsi="宋体" w:eastAsia="宋体"/>
          <w:color w:val="auto"/>
          <w:szCs w:val="21"/>
          <w:highlight w:val="none"/>
        </w:rPr>
        <w:t>（2）优先采购：</w:t>
      </w:r>
      <w:r>
        <w:rPr>
          <w:rFonts w:hint="eastAsia" w:ascii="宋体" w:hAnsi="宋体" w:eastAsia="宋体"/>
          <w:bCs/>
          <w:color w:val="auto"/>
          <w:szCs w:val="21"/>
          <w:highlight w:val="none"/>
        </w:rPr>
        <w:t>评审时按</w:t>
      </w:r>
      <w:r>
        <w:rPr>
          <w:rFonts w:hint="eastAsia" w:ascii="宋体" w:hAnsi="宋体" w:eastAsia="宋体"/>
          <w:b/>
          <w:color w:val="auto"/>
          <w:szCs w:val="21"/>
          <w:highlight w:val="none"/>
        </w:rPr>
        <w:t>【评标方法及标准前附表】</w:t>
      </w:r>
      <w:r>
        <w:rPr>
          <w:rFonts w:hint="eastAsia" w:ascii="宋体" w:hAnsi="宋体" w:eastAsia="宋体"/>
          <w:bCs/>
          <w:color w:val="auto"/>
          <w:szCs w:val="21"/>
          <w:highlight w:val="none"/>
        </w:rPr>
        <w:t>及第二章</w:t>
      </w:r>
      <w:r>
        <w:rPr>
          <w:rFonts w:hint="eastAsia" w:ascii="宋体" w:hAnsi="宋体" w:eastAsia="宋体"/>
          <w:color w:val="auto"/>
          <w:szCs w:val="21"/>
          <w:highlight w:val="none"/>
        </w:rPr>
        <w:t>“投标须知”</w:t>
      </w:r>
      <w:r>
        <w:rPr>
          <w:rFonts w:hint="eastAsia" w:ascii="宋体" w:hAnsi="宋体" w:eastAsia="宋体"/>
          <w:bCs/>
          <w:color w:val="auto"/>
          <w:szCs w:val="21"/>
          <w:highlight w:val="none"/>
        </w:rPr>
        <w:t>的相关规定给予相应比例的价格折扣或者加分。</w:t>
      </w:r>
    </w:p>
    <w:p w14:paraId="4C65A66E">
      <w:pPr>
        <w:pStyle w:val="4"/>
        <w:keepNext w:val="0"/>
        <w:keepLines w:val="0"/>
        <w:adjustRightInd w:val="0"/>
        <w:snapToGrid w:val="0"/>
        <w:spacing w:before="156" w:beforeLines="50" w:after="0" w:line="360" w:lineRule="auto"/>
        <w:rPr>
          <w:rFonts w:ascii="黑体" w:hAnsi="黑体" w:eastAsia="黑体"/>
          <w:color w:val="auto"/>
          <w:sz w:val="24"/>
          <w:szCs w:val="24"/>
          <w:highlight w:val="none"/>
        </w:rPr>
      </w:pPr>
      <w:bookmarkStart w:id="60" w:name="_Toc11683"/>
      <w:bookmarkStart w:id="61" w:name="_Toc12542"/>
      <w:r>
        <w:rPr>
          <w:rFonts w:hint="eastAsia" w:ascii="黑体" w:hAnsi="黑体" w:eastAsia="黑体"/>
          <w:bCs w:val="0"/>
          <w:color w:val="auto"/>
          <w:sz w:val="24"/>
          <w:szCs w:val="24"/>
          <w:highlight w:val="none"/>
        </w:rPr>
        <w:t>6．</w:t>
      </w:r>
      <w:r>
        <w:rPr>
          <w:rFonts w:hint="eastAsia" w:ascii="黑体" w:hAnsi="黑体" w:eastAsia="黑体"/>
          <w:color w:val="auto"/>
          <w:sz w:val="24"/>
          <w:szCs w:val="24"/>
          <w:highlight w:val="none"/>
        </w:rPr>
        <w:t>推荐中标候选人</w:t>
      </w:r>
      <w:bookmarkEnd w:id="60"/>
      <w:bookmarkEnd w:id="61"/>
    </w:p>
    <w:p w14:paraId="76F2F033">
      <w:pPr>
        <w:adjustRightInd w:val="0"/>
        <w:snapToGrid w:val="0"/>
        <w:spacing w:before="156" w:beforeLines="50" w:line="360" w:lineRule="auto"/>
        <w:ind w:firstLine="420" w:firstLineChars="200"/>
        <w:jc w:val="left"/>
        <w:rPr>
          <w:rFonts w:ascii="宋体" w:hAnsi="宋体" w:eastAsia="宋体"/>
          <w:bCs/>
          <w:color w:val="auto"/>
          <w:szCs w:val="21"/>
          <w:highlight w:val="none"/>
        </w:rPr>
      </w:pPr>
      <w:r>
        <w:rPr>
          <w:rFonts w:hint="eastAsia" w:ascii="宋体" w:hAnsi="宋体" w:eastAsia="宋体"/>
          <w:color w:val="auto"/>
          <w:szCs w:val="21"/>
          <w:highlight w:val="none"/>
        </w:rPr>
        <w:t>6.1最低评标价法：</w:t>
      </w:r>
      <w:r>
        <w:rPr>
          <w:rFonts w:hint="eastAsia" w:ascii="宋体" w:hAnsi="宋体" w:eastAsia="宋体"/>
          <w:bCs/>
          <w:color w:val="auto"/>
          <w:szCs w:val="21"/>
          <w:highlight w:val="none"/>
        </w:rPr>
        <w:t>评标结果按算术修正和落实政府采购政策需进行的价格扣除后的投标报价由低到高顺序排列。报价相同的并列，按</w:t>
      </w:r>
      <w:r>
        <w:rPr>
          <w:rFonts w:hint="eastAsia" w:ascii="宋体" w:hAnsi="宋体" w:eastAsia="宋体"/>
          <w:b/>
          <w:color w:val="auto"/>
          <w:szCs w:val="21"/>
          <w:highlight w:val="none"/>
        </w:rPr>
        <w:t>【评标方法及标准前附表】</w:t>
      </w:r>
      <w:r>
        <w:rPr>
          <w:rFonts w:hint="eastAsia" w:ascii="宋体" w:hAnsi="宋体" w:eastAsia="宋体"/>
          <w:color w:val="auto"/>
          <w:szCs w:val="21"/>
          <w:highlight w:val="none"/>
        </w:rPr>
        <w:t>规定的方式确定中标人；</w:t>
      </w:r>
      <w:r>
        <w:rPr>
          <w:rFonts w:hint="eastAsia" w:ascii="宋体" w:hAnsi="宋体" w:eastAsia="宋体"/>
          <w:bCs/>
          <w:color w:val="auto"/>
          <w:szCs w:val="21"/>
          <w:highlight w:val="none"/>
        </w:rPr>
        <w:t>招标文件未规定的，采取随机抽取的方式确定。</w:t>
      </w:r>
    </w:p>
    <w:p w14:paraId="6DDD580E">
      <w:pPr>
        <w:adjustRightInd w:val="0"/>
        <w:snapToGrid w:val="0"/>
        <w:spacing w:before="156" w:beforeLines="50" w:line="360" w:lineRule="auto"/>
        <w:ind w:firstLine="420" w:firstLineChars="200"/>
        <w:jc w:val="left"/>
        <w:rPr>
          <w:rFonts w:ascii="宋体" w:hAnsi="宋体" w:eastAsia="宋体"/>
          <w:bCs/>
          <w:color w:val="auto"/>
          <w:szCs w:val="21"/>
          <w:highlight w:val="none"/>
        </w:rPr>
      </w:pPr>
      <w:r>
        <w:rPr>
          <w:rFonts w:hint="eastAsia" w:ascii="宋体" w:hAnsi="宋体" w:eastAsia="宋体"/>
          <w:bCs/>
          <w:color w:val="auto"/>
          <w:szCs w:val="21"/>
          <w:highlight w:val="none"/>
        </w:rPr>
        <w:t>6.2综合评分法：评标结果按评审后得分由高到低顺序排列。得分相同的，按投标报价由低到高顺序排列。得分且投标报价相同的并列，按</w:t>
      </w:r>
      <w:r>
        <w:rPr>
          <w:rFonts w:hint="eastAsia" w:ascii="宋体" w:hAnsi="宋体" w:eastAsia="宋体"/>
          <w:b/>
          <w:bCs/>
          <w:color w:val="auto"/>
          <w:szCs w:val="21"/>
          <w:highlight w:val="none"/>
        </w:rPr>
        <w:t>【评标方法及标准前附表】</w:t>
      </w:r>
      <w:r>
        <w:rPr>
          <w:rFonts w:hint="eastAsia" w:ascii="宋体" w:hAnsi="宋体" w:eastAsia="宋体"/>
          <w:bCs/>
          <w:color w:val="auto"/>
          <w:szCs w:val="21"/>
          <w:highlight w:val="none"/>
        </w:rPr>
        <w:t>规定的方式确定中标人；招标文件未规定的，采取随机抽取的方式确定。</w:t>
      </w:r>
    </w:p>
    <w:p w14:paraId="45B850D1">
      <w:pPr>
        <w:pStyle w:val="4"/>
        <w:keepNext w:val="0"/>
        <w:keepLines w:val="0"/>
        <w:adjustRightInd w:val="0"/>
        <w:snapToGrid w:val="0"/>
        <w:spacing w:before="156" w:beforeLines="50" w:after="0" w:line="360" w:lineRule="auto"/>
        <w:rPr>
          <w:rFonts w:ascii="黑体" w:hAnsi="黑体" w:eastAsia="黑体"/>
          <w:color w:val="auto"/>
          <w:sz w:val="24"/>
          <w:szCs w:val="24"/>
          <w:highlight w:val="none"/>
        </w:rPr>
      </w:pPr>
      <w:bookmarkStart w:id="62" w:name="_Toc14784"/>
      <w:bookmarkStart w:id="63" w:name="_Toc9141"/>
      <w:r>
        <w:rPr>
          <w:rFonts w:hint="eastAsia" w:ascii="黑体" w:hAnsi="黑体" w:eastAsia="黑体"/>
          <w:bCs w:val="0"/>
          <w:color w:val="auto"/>
          <w:sz w:val="24"/>
          <w:szCs w:val="24"/>
          <w:highlight w:val="none"/>
        </w:rPr>
        <w:t>7．</w:t>
      </w:r>
      <w:r>
        <w:rPr>
          <w:rFonts w:hint="eastAsia" w:ascii="黑体" w:hAnsi="黑体" w:eastAsia="黑体"/>
          <w:color w:val="auto"/>
          <w:sz w:val="24"/>
          <w:szCs w:val="24"/>
          <w:highlight w:val="none"/>
        </w:rPr>
        <w:t>编写评标报告</w:t>
      </w:r>
      <w:bookmarkEnd w:id="62"/>
      <w:bookmarkEnd w:id="63"/>
    </w:p>
    <w:p w14:paraId="2C4CF14A">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7.1评标</w:t>
      </w:r>
      <w:r>
        <w:rPr>
          <w:rFonts w:hint="eastAsia" w:ascii="宋体" w:hAnsi="宋体" w:eastAsia="宋体"/>
          <w:bCs/>
          <w:color w:val="auto"/>
          <w:szCs w:val="21"/>
          <w:highlight w:val="none"/>
        </w:rPr>
        <w:t>委员会</w:t>
      </w:r>
      <w:r>
        <w:rPr>
          <w:rFonts w:hint="eastAsia" w:ascii="宋体" w:hAnsi="宋体" w:eastAsia="宋体"/>
          <w:color w:val="auto"/>
          <w:szCs w:val="21"/>
          <w:highlight w:val="none"/>
        </w:rPr>
        <w:t>根据全体评标成员签字的原始评标记录和评标结果编写评标报告。</w:t>
      </w:r>
    </w:p>
    <w:p w14:paraId="75410D09">
      <w:pPr>
        <w:adjustRightInd w:val="0"/>
        <w:snapToGrid w:val="0"/>
        <w:spacing w:before="156" w:beforeLines="50" w:line="360" w:lineRule="auto"/>
        <w:ind w:firstLine="420" w:firstLineChars="200"/>
        <w:jc w:val="left"/>
        <w:rPr>
          <w:rFonts w:ascii="宋体" w:hAnsi="宋体" w:eastAsia="宋体"/>
          <w:bCs/>
          <w:color w:val="auto"/>
          <w:szCs w:val="21"/>
          <w:highlight w:val="none"/>
        </w:rPr>
      </w:pPr>
      <w:r>
        <w:rPr>
          <w:rFonts w:hint="eastAsia" w:ascii="宋体" w:hAnsi="宋体" w:eastAsia="宋体"/>
          <w:color w:val="auto"/>
          <w:szCs w:val="21"/>
          <w:highlight w:val="none"/>
        </w:rPr>
        <w:t>7.2</w:t>
      </w:r>
      <w:r>
        <w:rPr>
          <w:rFonts w:hint="eastAsia" w:ascii="宋体" w:hAnsi="宋体" w:eastAsia="宋体"/>
          <w:bCs/>
          <w:color w:val="auto"/>
          <w:szCs w:val="21"/>
          <w:highlight w:val="none"/>
        </w:rPr>
        <w:t>评标委员会成员对需要共同认定的事项存在争议的，应当按照少数服从多数的原则作出结论。持不同意见的评标委员会成员应当在评标报告上签署不同意见及理由，否则视为同意评标报告。</w:t>
      </w:r>
    </w:p>
    <w:p w14:paraId="29C9A096">
      <w:pPr>
        <w:pStyle w:val="4"/>
        <w:keepNext w:val="0"/>
        <w:keepLines w:val="0"/>
        <w:adjustRightInd w:val="0"/>
        <w:snapToGrid w:val="0"/>
        <w:spacing w:before="156" w:beforeLines="50" w:after="0" w:line="360" w:lineRule="auto"/>
        <w:rPr>
          <w:rFonts w:ascii="黑体" w:hAnsi="黑体" w:eastAsia="黑体"/>
          <w:bCs w:val="0"/>
          <w:color w:val="auto"/>
          <w:sz w:val="24"/>
          <w:szCs w:val="24"/>
          <w:highlight w:val="none"/>
        </w:rPr>
      </w:pPr>
      <w:bookmarkStart w:id="64" w:name="_Toc6987"/>
      <w:bookmarkStart w:id="65" w:name="_Toc24139"/>
      <w:r>
        <w:rPr>
          <w:rFonts w:hint="eastAsia" w:ascii="黑体" w:hAnsi="黑体" w:eastAsia="黑体"/>
          <w:bCs w:val="0"/>
          <w:color w:val="auto"/>
          <w:sz w:val="24"/>
          <w:szCs w:val="24"/>
          <w:highlight w:val="none"/>
        </w:rPr>
        <w:t>8．</w:t>
      </w:r>
      <w:r>
        <w:rPr>
          <w:rFonts w:hint="eastAsia" w:ascii="黑体" w:hAnsi="黑体" w:eastAsia="黑体"/>
          <w:color w:val="auto"/>
          <w:sz w:val="24"/>
          <w:szCs w:val="24"/>
          <w:highlight w:val="none"/>
        </w:rPr>
        <w:t>评标报告</w:t>
      </w:r>
      <w:r>
        <w:rPr>
          <w:rFonts w:hint="eastAsia" w:ascii="黑体" w:hAnsi="黑体" w:eastAsia="黑体"/>
          <w:bCs w:val="0"/>
          <w:color w:val="auto"/>
          <w:sz w:val="24"/>
          <w:szCs w:val="24"/>
          <w:highlight w:val="none"/>
        </w:rPr>
        <w:t>复核</w:t>
      </w:r>
      <w:bookmarkEnd w:id="64"/>
      <w:bookmarkEnd w:id="65"/>
    </w:p>
    <w:p w14:paraId="4B025185">
      <w:pPr>
        <w:adjustRightInd w:val="0"/>
        <w:snapToGrid w:val="0"/>
        <w:spacing w:before="156" w:beforeLines="50" w:line="360" w:lineRule="auto"/>
        <w:ind w:firstLine="420" w:firstLineChars="200"/>
        <w:jc w:val="left"/>
        <w:rPr>
          <w:rFonts w:ascii="宋体" w:hAnsi="宋体" w:eastAsia="宋体"/>
          <w:bCs/>
          <w:color w:val="auto"/>
          <w:szCs w:val="21"/>
          <w:highlight w:val="none"/>
        </w:rPr>
      </w:pPr>
      <w:r>
        <w:rPr>
          <w:rFonts w:hint="eastAsia" w:ascii="宋体" w:hAnsi="宋体" w:eastAsia="宋体"/>
          <w:bCs/>
          <w:color w:val="auto"/>
          <w:szCs w:val="21"/>
          <w:highlight w:val="none"/>
        </w:rPr>
        <w:t>8.1汇总结束后，评标委员会应当进行复核，特别要对拟推荐为中标候选供应商的、报价最低的、投标文件被认定为无效的进行重点复核。</w:t>
      </w:r>
    </w:p>
    <w:p w14:paraId="7CD1BE1E">
      <w:pPr>
        <w:adjustRightInd w:val="0"/>
        <w:snapToGrid w:val="0"/>
        <w:spacing w:before="156" w:beforeLines="50" w:line="360" w:lineRule="auto"/>
        <w:ind w:firstLine="420" w:firstLineChars="200"/>
        <w:jc w:val="left"/>
        <w:rPr>
          <w:rFonts w:ascii="宋体" w:hAnsi="宋体" w:eastAsia="宋体"/>
          <w:bCs/>
          <w:color w:val="auto"/>
          <w:szCs w:val="21"/>
          <w:highlight w:val="none"/>
        </w:rPr>
      </w:pPr>
      <w:r>
        <w:rPr>
          <w:rFonts w:hint="eastAsia" w:ascii="宋体" w:hAnsi="宋体" w:eastAsia="宋体"/>
          <w:bCs/>
          <w:color w:val="auto"/>
          <w:szCs w:val="21"/>
          <w:highlight w:val="none"/>
        </w:rPr>
        <w:t>8.2汇总完成后，除下列情形外，任何人不得修改评标结果：</w:t>
      </w:r>
    </w:p>
    <w:p w14:paraId="46DD07DC">
      <w:pPr>
        <w:adjustRightInd w:val="0"/>
        <w:snapToGrid w:val="0"/>
        <w:spacing w:before="156" w:beforeLines="50" w:line="360" w:lineRule="auto"/>
        <w:ind w:firstLine="420" w:firstLineChars="200"/>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（1）分值汇总计算错误的；</w:t>
      </w:r>
    </w:p>
    <w:p w14:paraId="3F962823">
      <w:pPr>
        <w:adjustRightInd w:val="0"/>
        <w:snapToGrid w:val="0"/>
        <w:spacing w:before="156" w:beforeLines="50" w:line="360" w:lineRule="auto"/>
        <w:ind w:firstLine="420" w:firstLineChars="200"/>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（2）分项评分超出评分标准范围的；</w:t>
      </w:r>
    </w:p>
    <w:p w14:paraId="22446A81">
      <w:pPr>
        <w:adjustRightInd w:val="0"/>
        <w:snapToGrid w:val="0"/>
        <w:spacing w:before="156" w:beforeLines="50" w:line="360" w:lineRule="auto"/>
        <w:ind w:firstLine="420" w:firstLineChars="200"/>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（3）评标委员会成员对客观评审因素评分不一致的；</w:t>
      </w:r>
    </w:p>
    <w:p w14:paraId="749DDD4F">
      <w:pPr>
        <w:adjustRightInd w:val="0"/>
        <w:snapToGrid w:val="0"/>
        <w:spacing w:before="156" w:beforeLines="50" w:line="360" w:lineRule="auto"/>
        <w:ind w:firstLine="420" w:firstLineChars="200"/>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（4）经评标委员会认定评分畸高、畸低的。</w:t>
      </w:r>
    </w:p>
    <w:p w14:paraId="5AB521DA">
      <w:pPr>
        <w:adjustRightInd w:val="0"/>
        <w:snapToGrid w:val="0"/>
        <w:spacing w:before="156" w:beforeLines="50" w:line="360" w:lineRule="auto"/>
        <w:ind w:firstLine="420" w:firstLineChars="200"/>
        <w:jc w:val="left"/>
        <w:rPr>
          <w:rFonts w:ascii="宋体" w:hAnsi="宋体" w:eastAsia="宋体"/>
          <w:b/>
          <w:bCs/>
          <w:color w:val="auto"/>
          <w:szCs w:val="21"/>
          <w:highlight w:val="none"/>
        </w:rPr>
      </w:pPr>
      <w:r>
        <w:rPr>
          <w:rFonts w:hint="eastAsia" w:ascii="宋体" w:hAnsi="宋体" w:eastAsia="宋体"/>
          <w:bCs/>
          <w:color w:val="auto"/>
          <w:szCs w:val="21"/>
          <w:highlight w:val="none"/>
        </w:rPr>
        <w:t>8.3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p>
    <w:p w14:paraId="55906134">
      <w:pPr>
        <w:pStyle w:val="4"/>
        <w:keepNext w:val="0"/>
        <w:keepLines w:val="0"/>
        <w:adjustRightInd w:val="0"/>
        <w:snapToGrid w:val="0"/>
        <w:spacing w:before="156" w:beforeLines="50" w:after="0" w:line="360" w:lineRule="auto"/>
        <w:rPr>
          <w:rFonts w:ascii="黑体" w:hAnsi="黑体" w:eastAsia="黑体"/>
          <w:bCs w:val="0"/>
          <w:color w:val="auto"/>
          <w:sz w:val="24"/>
          <w:szCs w:val="24"/>
          <w:highlight w:val="none"/>
        </w:rPr>
      </w:pPr>
      <w:bookmarkStart w:id="66" w:name="_Toc23640"/>
      <w:bookmarkStart w:id="67" w:name="_Toc5030"/>
      <w:r>
        <w:rPr>
          <w:rFonts w:hint="eastAsia" w:ascii="黑体" w:hAnsi="黑体" w:eastAsia="黑体"/>
          <w:color w:val="auto"/>
          <w:sz w:val="24"/>
          <w:szCs w:val="24"/>
          <w:highlight w:val="none"/>
        </w:rPr>
        <w:t>9．</w:t>
      </w:r>
      <w:r>
        <w:rPr>
          <w:rFonts w:hint="eastAsia" w:ascii="黑体" w:hAnsi="黑体" w:eastAsia="黑体"/>
          <w:bCs w:val="0"/>
          <w:color w:val="auto"/>
          <w:sz w:val="24"/>
          <w:szCs w:val="24"/>
          <w:highlight w:val="none"/>
        </w:rPr>
        <w:t>停止评标</w:t>
      </w:r>
      <w:bookmarkEnd w:id="66"/>
      <w:bookmarkEnd w:id="67"/>
    </w:p>
    <w:p w14:paraId="339364A9">
      <w:pPr>
        <w:adjustRightInd w:val="0"/>
        <w:snapToGrid w:val="0"/>
        <w:spacing w:before="156" w:beforeLines="50" w:line="360" w:lineRule="auto"/>
        <w:ind w:firstLine="420" w:firstLineChars="200"/>
        <w:jc w:val="left"/>
        <w:rPr>
          <w:rFonts w:ascii="宋体" w:hAnsi="宋体" w:eastAsia="宋体" w:cs="宋体"/>
          <w:color w:val="auto"/>
          <w:kern w:val="0"/>
          <w:szCs w:val="21"/>
          <w:highlight w:val="none"/>
        </w:rPr>
      </w:pPr>
      <w:r>
        <w:rPr>
          <w:rFonts w:hint="eastAsia" w:ascii="宋体" w:hAnsi="宋体" w:eastAsia="宋体"/>
          <w:bCs/>
          <w:color w:val="auto"/>
          <w:szCs w:val="21"/>
          <w:highlight w:val="none"/>
        </w:rPr>
        <w:t>9.1</w:t>
      </w:r>
      <w:r>
        <w:rPr>
          <w:rFonts w:hint="eastAsia" w:ascii="宋体" w:hAnsi="宋体" w:eastAsia="宋体" w:cs="宋体"/>
          <w:color w:val="auto"/>
          <w:kern w:val="0"/>
          <w:szCs w:val="21"/>
          <w:highlight w:val="none"/>
        </w:rPr>
        <w:t>评标委员会发现招标文件存在歧义、重大缺陷导致评标工作无法进行，或者招标文件内容违反国家有关强制性规定的，应当停止评标工作，与采购人、采购代理机构沟通并作书面记录。采购人、采购代理机构确认后，应当修改招标文件，重新组织采购活动。</w:t>
      </w:r>
    </w:p>
    <w:p w14:paraId="445D627B">
      <w:pPr>
        <w:pStyle w:val="4"/>
        <w:keepNext w:val="0"/>
        <w:keepLines w:val="0"/>
        <w:adjustRightInd w:val="0"/>
        <w:snapToGrid w:val="0"/>
        <w:spacing w:before="156" w:beforeLines="50" w:after="0" w:line="360" w:lineRule="auto"/>
        <w:rPr>
          <w:rFonts w:hint="eastAsia" w:ascii="黑体" w:hAnsi="黑体" w:eastAsia="黑体"/>
          <w:color w:val="auto"/>
          <w:sz w:val="24"/>
          <w:szCs w:val="24"/>
          <w:highlight w:val="none"/>
        </w:rPr>
      </w:pPr>
      <w:bookmarkStart w:id="68" w:name="_Toc11344"/>
      <w:bookmarkStart w:id="69" w:name="_Toc16953"/>
      <w:r>
        <w:rPr>
          <w:rFonts w:hint="eastAsia" w:ascii="黑体" w:hAnsi="黑体" w:eastAsia="黑体"/>
          <w:color w:val="auto"/>
          <w:sz w:val="24"/>
          <w:szCs w:val="24"/>
          <w:highlight w:val="none"/>
        </w:rPr>
        <w:t>10</w:t>
      </w:r>
      <w:r>
        <w:rPr>
          <w:rFonts w:hint="eastAsia" w:ascii="黑体" w:hAnsi="黑体" w:eastAsia="黑体" w:cs="宋体"/>
          <w:color w:val="auto"/>
          <w:kern w:val="0"/>
          <w:sz w:val="24"/>
          <w:szCs w:val="24"/>
          <w:highlight w:val="none"/>
        </w:rPr>
        <w:t>．</w:t>
      </w:r>
      <w:r>
        <w:rPr>
          <w:rFonts w:hint="eastAsia" w:ascii="黑体" w:hAnsi="黑体" w:eastAsia="黑体"/>
          <w:color w:val="auto"/>
          <w:sz w:val="24"/>
          <w:szCs w:val="24"/>
          <w:highlight w:val="none"/>
        </w:rPr>
        <w:t>废标</w:t>
      </w:r>
      <w:bookmarkEnd w:id="68"/>
      <w:bookmarkEnd w:id="69"/>
    </w:p>
    <w:p w14:paraId="5B6056E7">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10.1 根据有关法律法规和招标文件的有关规定，如出现下列情况之一的，应予以废标：</w:t>
      </w:r>
    </w:p>
    <w:p w14:paraId="66F271A0">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（1）符合专业条件的投标人或者对招标文件作实质响应的投标人不足三家的；</w:t>
      </w:r>
    </w:p>
    <w:p w14:paraId="46AB9F09">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（2）出现影响采购公正的违法、违规行为的；</w:t>
      </w:r>
    </w:p>
    <w:p w14:paraId="20BFF553">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（3）投标人的报价均超过采购项目预算，</w:t>
      </w:r>
      <w:r>
        <w:rPr>
          <w:rFonts w:hint="eastAsia" w:ascii="宋体" w:hAnsi="宋体"/>
          <w:color w:val="auto"/>
          <w:szCs w:val="21"/>
          <w:highlight w:val="none"/>
          <w:lang w:eastAsia="zh-CN"/>
        </w:rPr>
        <w:t>采购人</w:t>
      </w:r>
      <w:r>
        <w:rPr>
          <w:rFonts w:hint="eastAsia" w:ascii="宋体" w:hAnsi="宋体" w:eastAsia="宋体"/>
          <w:color w:val="auto"/>
          <w:szCs w:val="21"/>
          <w:highlight w:val="none"/>
        </w:rPr>
        <w:t>不能支付的；</w:t>
      </w:r>
    </w:p>
    <w:p w14:paraId="36B6766F">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（4）因重大变故，采购任务取消的。</w:t>
      </w:r>
    </w:p>
    <w:p w14:paraId="71AD3135">
      <w:pPr>
        <w:pStyle w:val="4"/>
        <w:keepNext w:val="0"/>
        <w:keepLines w:val="0"/>
        <w:adjustRightInd w:val="0"/>
        <w:snapToGrid w:val="0"/>
        <w:spacing w:before="156" w:beforeLines="50" w:after="0" w:line="360" w:lineRule="auto"/>
        <w:rPr>
          <w:rFonts w:ascii="黑体" w:hAnsi="黑体" w:eastAsia="黑体"/>
          <w:bCs w:val="0"/>
          <w:color w:val="auto"/>
          <w:sz w:val="24"/>
          <w:szCs w:val="24"/>
          <w:highlight w:val="none"/>
        </w:rPr>
      </w:pPr>
      <w:bookmarkStart w:id="70" w:name="_Toc4883"/>
      <w:bookmarkStart w:id="71" w:name="_Toc29741"/>
      <w:r>
        <w:rPr>
          <w:rFonts w:hint="eastAsia" w:ascii="黑体" w:hAnsi="黑体" w:eastAsia="黑体" w:cs="宋体"/>
          <w:color w:val="auto"/>
          <w:kern w:val="0"/>
          <w:sz w:val="24"/>
          <w:szCs w:val="24"/>
          <w:highlight w:val="none"/>
        </w:rPr>
        <w:t>11．重新组建评标委员会进行评标</w:t>
      </w:r>
      <w:bookmarkEnd w:id="70"/>
      <w:bookmarkEnd w:id="71"/>
    </w:p>
    <w:p w14:paraId="16941FB0">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11.1评标委员会或者其成员存在下列情形导致评标结果无效的，采购人、采购代理机构可以重新组建评标委员会进行评标，并书面报告本级财政部门，但采购合同已经履行的除外：</w:t>
      </w:r>
    </w:p>
    <w:p w14:paraId="5C219168">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（1）评标委员会组成不符合《政府采购货物和服务招标投标管理办法》规定的；</w:t>
      </w:r>
    </w:p>
    <w:p w14:paraId="15133CB2">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（2）有《政府采购货物和服务招标投标管理办法》第六十二条第一至五项情形的；</w:t>
      </w:r>
    </w:p>
    <w:p w14:paraId="1B6706EE">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（3）评标委员会及其成员独立评标受到非法干预的；</w:t>
      </w:r>
    </w:p>
    <w:p w14:paraId="6A53B6A0">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（4）有政府采购法实施条例第七十五条规定的违法行为的。</w:t>
      </w:r>
    </w:p>
    <w:p w14:paraId="48EA6840">
      <w:pPr>
        <w:adjustRightInd w:val="0"/>
        <w:snapToGrid w:val="0"/>
        <w:spacing w:before="156" w:beforeLines="50" w:line="360" w:lineRule="auto"/>
        <w:ind w:firstLine="420" w:firstLineChars="200"/>
        <w:jc w:val="left"/>
        <w:rPr>
          <w:rFonts w:ascii="黑体" w:hAnsi="华文中宋" w:eastAsia="黑体"/>
          <w:b/>
          <w:color w:val="auto"/>
          <w:sz w:val="13"/>
          <w:szCs w:val="13"/>
          <w:highlight w:val="none"/>
        </w:rPr>
      </w:pPr>
      <w:r>
        <w:rPr>
          <w:rFonts w:hint="eastAsia" w:ascii="宋体" w:hAnsi="宋体" w:eastAsia="宋体"/>
          <w:color w:val="auto"/>
          <w:szCs w:val="21"/>
          <w:highlight w:val="none"/>
        </w:rPr>
        <w:t>11.2有违法违规行为的原评标委员会成员不得参加重新组建的评标委员会。</w:t>
      </w:r>
      <w:r>
        <w:rPr>
          <w:rFonts w:ascii="黑体" w:hAnsi="华文中宋" w:eastAsia="黑体"/>
          <w:b/>
          <w:color w:val="auto"/>
          <w:sz w:val="32"/>
          <w:szCs w:val="32"/>
          <w:highlight w:val="none"/>
        </w:rPr>
        <w:br w:type="page"/>
      </w:r>
    </w:p>
    <w:p w14:paraId="55642C60">
      <w:pPr>
        <w:pStyle w:val="3"/>
        <w:adjustRightInd w:val="0"/>
        <w:snapToGrid w:val="0"/>
        <w:jc w:val="center"/>
        <w:rPr>
          <w:rFonts w:ascii="黑体" w:hAnsi="华文中宋" w:eastAsia="黑体"/>
          <w:color w:val="auto"/>
          <w:sz w:val="28"/>
          <w:szCs w:val="28"/>
          <w:highlight w:val="none"/>
        </w:rPr>
      </w:pPr>
      <w:bookmarkStart w:id="72" w:name="_Toc31668"/>
      <w:r>
        <w:rPr>
          <w:rFonts w:hint="eastAsia" w:ascii="黑体" w:hAnsi="华文中宋" w:eastAsia="黑体"/>
          <w:color w:val="auto"/>
          <w:sz w:val="28"/>
          <w:szCs w:val="28"/>
          <w:highlight w:val="none"/>
        </w:rPr>
        <w:t>第三节 投标文件的符合性审查</w:t>
      </w:r>
      <w:bookmarkEnd w:id="72"/>
    </w:p>
    <w:p w14:paraId="14DF77D7">
      <w:pPr>
        <w:adjustRightInd w:val="0"/>
        <w:snapToGrid w:val="0"/>
        <w:spacing w:before="156" w:beforeLines="50" w:line="360" w:lineRule="auto"/>
        <w:rPr>
          <w:rFonts w:ascii="黑体" w:hAnsi="黑体" w:eastAsia="黑体"/>
          <w:b/>
          <w:color w:val="auto"/>
          <w:sz w:val="24"/>
          <w:highlight w:val="none"/>
        </w:rPr>
      </w:pPr>
      <w:r>
        <w:rPr>
          <w:rFonts w:hint="eastAsia" w:ascii="黑体" w:hAnsi="黑体" w:eastAsia="黑体"/>
          <w:b/>
          <w:color w:val="auto"/>
          <w:sz w:val="24"/>
          <w:highlight w:val="none"/>
        </w:rPr>
        <w:t>1.符合性审查</w:t>
      </w:r>
    </w:p>
    <w:p w14:paraId="6435522D">
      <w:pPr>
        <w:adjustRightInd w:val="0"/>
        <w:snapToGrid w:val="0"/>
        <w:spacing w:before="156" w:beforeLines="50" w:line="360" w:lineRule="auto"/>
        <w:ind w:firstLine="420" w:firstLineChars="200"/>
        <w:rPr>
          <w:rFonts w:ascii="宋体" w:hAnsi="宋体" w:eastAsia="宋体"/>
          <w:color w:val="auto"/>
          <w:highlight w:val="none"/>
        </w:rPr>
      </w:pPr>
      <w:r>
        <w:rPr>
          <w:rFonts w:hint="eastAsia" w:ascii="宋体" w:hAnsi="宋体" w:eastAsia="宋体"/>
          <w:color w:val="auto"/>
          <w:highlight w:val="none"/>
        </w:rPr>
        <w:t>1.1</w:t>
      </w:r>
      <w:r>
        <w:rPr>
          <w:rFonts w:hint="eastAsia" w:ascii="宋体" w:hAnsi="宋体" w:eastAsia="宋体"/>
          <w:color w:val="auto"/>
          <w:szCs w:val="21"/>
          <w:highlight w:val="none"/>
        </w:rPr>
        <w:t>评标委员会应按本章本节附表1“符合性审查表”所列审查项目及审查标准，</w:t>
      </w:r>
      <w:r>
        <w:rPr>
          <w:rFonts w:hint="eastAsia" w:ascii="宋体" w:hAnsi="宋体" w:eastAsia="宋体"/>
          <w:color w:val="auto"/>
          <w:highlight w:val="none"/>
        </w:rPr>
        <w:t>对符合资格条件的投标人的投标文件进行符合性审查，以确定其是否满足招标文件的实质性要求。</w:t>
      </w:r>
    </w:p>
    <w:p w14:paraId="06C95675">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依据招标文件的规定，从投标文件的有效性、完整性和对招标文件的响应程度进行审查，以确定是否对招标文件的实质性要求作出响应。评标委员会判断投标文件的响应性只根据投标文件的内容，而不依据外部的证据。</w:t>
      </w:r>
    </w:p>
    <w:p w14:paraId="2B719520">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（2）投标人不得通过修正或撤销</w:t>
      </w:r>
      <w:r>
        <w:rPr>
          <w:rFonts w:hint="eastAsia" w:ascii="宋体" w:hAnsi="宋体"/>
          <w:color w:val="auto"/>
          <w:szCs w:val="21"/>
          <w:highlight w:val="none"/>
          <w:lang w:eastAsia="zh-CN"/>
        </w:rPr>
        <w:t>不符</w:t>
      </w:r>
      <w:r>
        <w:rPr>
          <w:rFonts w:hint="eastAsia" w:ascii="宋体" w:hAnsi="宋体" w:eastAsia="宋体"/>
          <w:color w:val="auto"/>
          <w:szCs w:val="21"/>
          <w:highlight w:val="none"/>
        </w:rPr>
        <w:t>合要求的偏离从而使其投标成为实质上响应的投标。</w:t>
      </w:r>
    </w:p>
    <w:p w14:paraId="3B05ED15">
      <w:pPr>
        <w:adjustRightInd w:val="0"/>
        <w:snapToGrid w:val="0"/>
        <w:spacing w:before="156" w:beforeLines="50" w:line="360" w:lineRule="auto"/>
        <w:ind w:firstLine="420" w:firstLineChars="200"/>
        <w:jc w:val="left"/>
        <w:rPr>
          <w:rFonts w:ascii="宋体" w:hAnsi="宋体" w:eastAsia="宋体"/>
          <w:color w:val="auto"/>
          <w:highlight w:val="none"/>
        </w:rPr>
      </w:pPr>
      <w:r>
        <w:rPr>
          <w:rFonts w:hint="eastAsia" w:ascii="宋体" w:hAnsi="宋体" w:eastAsia="宋体"/>
          <w:color w:val="auto"/>
          <w:kern w:val="0"/>
          <w:szCs w:val="21"/>
          <w:highlight w:val="none"/>
        </w:rPr>
        <w:t>1.2</w:t>
      </w:r>
      <w:r>
        <w:rPr>
          <w:rFonts w:hint="eastAsia" w:ascii="宋体" w:hAnsi="宋体" w:eastAsia="宋体"/>
          <w:color w:val="auto"/>
          <w:highlight w:val="none"/>
        </w:rPr>
        <w:t>未通过符合性审查的投标人，其投标将被认定为投标无效，不能进入下一阶段评审。通过符合性审查的投标人数量不足 3 家的，不得作进一步的比较和评价。</w:t>
      </w:r>
    </w:p>
    <w:p w14:paraId="7549B088">
      <w:pPr>
        <w:adjustRightInd w:val="0"/>
        <w:snapToGrid w:val="0"/>
        <w:spacing w:before="156" w:beforeLines="50" w:line="360" w:lineRule="auto"/>
        <w:jc w:val="left"/>
        <w:rPr>
          <w:rFonts w:ascii="黑体" w:hAnsi="黑体" w:eastAsia="黑体"/>
          <w:b/>
          <w:color w:val="auto"/>
          <w:sz w:val="24"/>
          <w:highlight w:val="none"/>
        </w:rPr>
      </w:pPr>
      <w:r>
        <w:rPr>
          <w:rFonts w:hint="eastAsia" w:ascii="黑体" w:hAnsi="黑体" w:eastAsia="黑体"/>
          <w:b/>
          <w:color w:val="auto"/>
          <w:sz w:val="24"/>
          <w:highlight w:val="none"/>
        </w:rPr>
        <w:t>2.投标无效</w:t>
      </w:r>
    </w:p>
    <w:p w14:paraId="56FD5AFA">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2.1投标人存在下列情况之一的，符合性审查不合格，投标无效：</w:t>
      </w:r>
    </w:p>
    <w:p w14:paraId="79EF3F7F">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（1）投标文件中商务技术文件未按照招标文件规定要求签署、盖章的；</w:t>
      </w:r>
    </w:p>
    <w:p w14:paraId="5B521933">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（2）投标文件没有对招标文件的实质性要求和条件作出响应，或者对招标文件的偏离超出招标文件规定的偏离</w:t>
      </w:r>
      <w:r>
        <w:rPr>
          <w:rFonts w:hint="eastAsia" w:ascii="宋体" w:hAnsi="宋体" w:eastAsia="宋体"/>
          <w:color w:val="auto"/>
          <w:highlight w:val="none"/>
        </w:rPr>
        <w:t>范围和幅度</w:t>
      </w:r>
      <w:r>
        <w:rPr>
          <w:rFonts w:hint="eastAsia" w:ascii="宋体" w:hAnsi="宋体" w:eastAsia="宋体"/>
          <w:color w:val="auto"/>
          <w:szCs w:val="21"/>
          <w:highlight w:val="none"/>
        </w:rPr>
        <w:t>；</w:t>
      </w:r>
    </w:p>
    <w:p w14:paraId="27A03480">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（3）投标有效期不足的；</w:t>
      </w:r>
    </w:p>
    <w:p w14:paraId="71382CDD">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（4）投标文件含有采购人不能接受的附加条件的；</w:t>
      </w:r>
    </w:p>
    <w:p w14:paraId="4D48D232">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（5）不符合本节第1.1款规定符合性审查标准的；</w:t>
      </w:r>
    </w:p>
    <w:p w14:paraId="0DBB818C">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（6）法律、法规和招标文件规定的其他投标无效情形的。</w:t>
      </w:r>
    </w:p>
    <w:p w14:paraId="2EF48CC0">
      <w:pPr>
        <w:adjustRightInd w:val="0"/>
        <w:snapToGrid w:val="0"/>
        <w:spacing w:before="156" w:beforeLines="50" w:line="360" w:lineRule="auto"/>
        <w:ind w:firstLine="420" w:firstLineChars="200"/>
        <w:jc w:val="left"/>
        <w:rPr>
          <w:rFonts w:ascii="宋体" w:hAnsi="宋体" w:eastAsia="宋体"/>
          <w:color w:val="auto"/>
          <w:kern w:val="0"/>
          <w:szCs w:val="21"/>
          <w:highlight w:val="none"/>
        </w:rPr>
      </w:pPr>
      <w:r>
        <w:rPr>
          <w:rFonts w:hint="eastAsia" w:ascii="宋体" w:hAnsi="宋体" w:eastAsia="宋体"/>
          <w:color w:val="auto"/>
          <w:kern w:val="0"/>
          <w:szCs w:val="21"/>
          <w:highlight w:val="none"/>
        </w:rPr>
        <w:t>2.2在评标过程中发现投标人有不遵循公平竞争的原则，恶意串通，妨碍其他投标人的竞争行为，损害采购人或者其他投标人的合法权益的，评标委员会应当认定其</w:t>
      </w:r>
      <w:r>
        <w:rPr>
          <w:rFonts w:hint="eastAsia" w:ascii="宋体" w:hAnsi="宋体" w:eastAsia="宋体"/>
          <w:b/>
          <w:color w:val="auto"/>
          <w:kern w:val="0"/>
          <w:szCs w:val="21"/>
          <w:highlight w:val="none"/>
        </w:rPr>
        <w:t>投标无效</w:t>
      </w:r>
      <w:r>
        <w:rPr>
          <w:rFonts w:hint="eastAsia" w:ascii="宋体" w:hAnsi="宋体" w:eastAsia="宋体"/>
          <w:color w:val="auto"/>
          <w:kern w:val="0"/>
          <w:szCs w:val="21"/>
          <w:highlight w:val="none"/>
        </w:rPr>
        <w:t>，并书面报告本级财政部门。</w:t>
      </w:r>
    </w:p>
    <w:p w14:paraId="14C2C0F0">
      <w:pPr>
        <w:rPr>
          <w:color w:val="auto"/>
          <w:highlight w:val="none"/>
        </w:rPr>
      </w:pPr>
    </w:p>
    <w:p w14:paraId="584DB734">
      <w:pPr>
        <w:rPr>
          <w:color w:val="auto"/>
          <w:highlight w:val="none"/>
        </w:rPr>
      </w:pPr>
    </w:p>
    <w:p w14:paraId="19154275">
      <w:pPr>
        <w:widowControl/>
        <w:jc w:val="left"/>
        <w:rPr>
          <w:rFonts w:ascii="黑体" w:hAnsi="黑体"/>
          <w:b/>
          <w:color w:val="auto"/>
          <w:sz w:val="10"/>
          <w:szCs w:val="10"/>
          <w:highlight w:val="none"/>
        </w:rPr>
      </w:pPr>
      <w:r>
        <w:rPr>
          <w:rFonts w:ascii="黑体" w:hAnsi="黑体"/>
          <w:b/>
          <w:color w:val="auto"/>
          <w:szCs w:val="21"/>
          <w:highlight w:val="none"/>
        </w:rPr>
        <w:br w:type="page"/>
      </w:r>
    </w:p>
    <w:p w14:paraId="12E1D771">
      <w:pPr>
        <w:pStyle w:val="4"/>
        <w:adjustRightInd w:val="0"/>
        <w:snapToGrid w:val="0"/>
        <w:spacing w:before="156" w:beforeLines="50" w:after="0" w:line="360" w:lineRule="auto"/>
        <w:rPr>
          <w:rFonts w:hint="eastAsia" w:ascii="黑体" w:hAnsi="黑体" w:eastAsia="黑体" w:cs="黑体"/>
          <w:b w:val="0"/>
          <w:bCs w:val="0"/>
          <w:color w:val="auto"/>
          <w:sz w:val="21"/>
          <w:szCs w:val="21"/>
          <w:highlight w:val="none"/>
        </w:rPr>
      </w:pPr>
      <w:bookmarkStart w:id="73" w:name="_Toc12740"/>
      <w:bookmarkStart w:id="74" w:name="_Toc7556"/>
      <w:r>
        <w:rPr>
          <w:rFonts w:hint="eastAsia" w:ascii="黑体" w:hAnsi="黑体" w:eastAsia="黑体" w:cs="黑体"/>
          <w:b w:val="0"/>
          <w:bCs w:val="0"/>
          <w:color w:val="auto"/>
          <w:sz w:val="21"/>
          <w:szCs w:val="21"/>
          <w:highlight w:val="none"/>
        </w:rPr>
        <w:t>附表1 符合性审查表</w:t>
      </w:r>
      <w:bookmarkEnd w:id="73"/>
      <w:bookmarkEnd w:id="74"/>
    </w:p>
    <w:p w14:paraId="4270CEC5">
      <w:pPr>
        <w:adjustRightInd w:val="0"/>
        <w:snapToGrid w:val="0"/>
        <w:spacing w:before="156" w:beforeLines="50" w:line="360" w:lineRule="auto"/>
        <w:jc w:val="center"/>
        <w:rPr>
          <w:rFonts w:ascii="黑体" w:hAnsi="黑体" w:eastAsia="黑体"/>
          <w:b/>
          <w:color w:val="auto"/>
          <w:sz w:val="28"/>
          <w:szCs w:val="28"/>
          <w:highlight w:val="none"/>
        </w:rPr>
      </w:pPr>
      <w:r>
        <w:rPr>
          <w:rFonts w:hint="eastAsia" w:ascii="黑体" w:hAnsi="黑体" w:eastAsia="黑体"/>
          <w:b/>
          <w:color w:val="auto"/>
          <w:sz w:val="28"/>
          <w:szCs w:val="28"/>
          <w:highlight w:val="none"/>
        </w:rPr>
        <w:t>符合性审查表</w:t>
      </w:r>
    </w:p>
    <w:p w14:paraId="052E0F9D">
      <w:pPr>
        <w:adjustRightInd w:val="0"/>
        <w:snapToGrid w:val="0"/>
        <w:spacing w:before="156" w:beforeLines="50"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项目名称：                                           </w:t>
      </w:r>
      <w:r>
        <w:rPr>
          <w:rFonts w:hint="eastAsia" w:ascii="宋体" w:hAnsi="宋体"/>
          <w:color w:val="auto"/>
          <w:szCs w:val="21"/>
          <w:highlight w:val="none"/>
          <w:lang w:eastAsia="zh-CN"/>
        </w:rPr>
        <w:t>政府采购</w:t>
      </w:r>
      <w:r>
        <w:rPr>
          <w:rFonts w:hint="eastAsia" w:ascii="宋体" w:hAnsi="宋体"/>
          <w:color w:val="auto"/>
          <w:szCs w:val="21"/>
          <w:highlight w:val="none"/>
          <w:lang w:val="en-US" w:eastAsia="zh-CN"/>
        </w:rPr>
        <w:t>计划</w:t>
      </w:r>
      <w:r>
        <w:rPr>
          <w:rFonts w:hint="eastAsia" w:ascii="宋体" w:hAnsi="宋体"/>
          <w:color w:val="auto"/>
          <w:szCs w:val="21"/>
          <w:highlight w:val="none"/>
          <w:lang w:eastAsia="zh-CN"/>
        </w:rPr>
        <w:t>编号</w:t>
      </w:r>
      <w:r>
        <w:rPr>
          <w:rFonts w:hint="eastAsia" w:ascii="宋体" w:hAnsi="宋体" w:eastAsia="宋体"/>
          <w:color w:val="auto"/>
          <w:szCs w:val="21"/>
          <w:highlight w:val="none"/>
        </w:rPr>
        <w:t xml:space="preserve">： </w:t>
      </w:r>
    </w:p>
    <w:tbl>
      <w:tblPr>
        <w:tblStyle w:val="26"/>
        <w:tblW w:w="9060"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83"/>
        <w:gridCol w:w="2686"/>
        <w:gridCol w:w="5691"/>
      </w:tblGrid>
      <w:tr w14:paraId="3052DBF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683" w:type="dxa"/>
            <w:tcBorders>
              <w:tl2br w:val="nil"/>
              <w:tr2bl w:val="nil"/>
            </w:tcBorders>
            <w:vAlign w:val="center"/>
          </w:tcPr>
          <w:p w14:paraId="3F0B0FF6">
            <w:pPr>
              <w:adjustRightInd w:val="0"/>
              <w:snapToGrid w:val="0"/>
              <w:spacing w:before="158" w:beforeLines="50" w:line="360" w:lineRule="auto"/>
              <w:jc w:val="center"/>
              <w:rPr>
                <w:rFonts w:ascii="宋体" w:hAnsi="宋体" w:cs="宋体"/>
                <w:b/>
                <w:color w:val="auto"/>
                <w:kern w:val="0"/>
                <w:szCs w:val="21"/>
                <w:highlight w:val="none"/>
              </w:rPr>
            </w:pPr>
            <w:r>
              <w:rPr>
                <w:rFonts w:hint="eastAsia" w:ascii="宋体" w:hAnsi="宋体" w:cs="宋体"/>
                <w:b/>
                <w:color w:val="auto"/>
                <w:kern w:val="0"/>
                <w:szCs w:val="21"/>
                <w:highlight w:val="none"/>
              </w:rPr>
              <w:t>序号</w:t>
            </w:r>
          </w:p>
        </w:tc>
        <w:tc>
          <w:tcPr>
            <w:tcW w:w="2686" w:type="dxa"/>
            <w:tcBorders>
              <w:tl2br w:val="nil"/>
              <w:tr2bl w:val="nil"/>
            </w:tcBorders>
            <w:vAlign w:val="center"/>
          </w:tcPr>
          <w:p w14:paraId="26702723">
            <w:pPr>
              <w:adjustRightInd w:val="0"/>
              <w:snapToGrid w:val="0"/>
              <w:spacing w:before="158" w:beforeLines="50" w:line="360" w:lineRule="auto"/>
              <w:jc w:val="center"/>
              <w:rPr>
                <w:rFonts w:ascii="宋体" w:hAnsi="宋体" w:cs="宋体"/>
                <w:b/>
                <w:color w:val="auto"/>
                <w:kern w:val="0"/>
                <w:szCs w:val="21"/>
                <w:highlight w:val="none"/>
              </w:rPr>
            </w:pPr>
            <w:r>
              <w:rPr>
                <w:rFonts w:hint="eastAsia" w:ascii="宋体" w:hAnsi="宋体" w:cs="宋体"/>
                <w:b/>
                <w:color w:val="auto"/>
                <w:kern w:val="0"/>
                <w:szCs w:val="21"/>
                <w:highlight w:val="none"/>
              </w:rPr>
              <w:t>审查项目</w:t>
            </w:r>
          </w:p>
        </w:tc>
        <w:tc>
          <w:tcPr>
            <w:tcW w:w="5691" w:type="dxa"/>
            <w:tcBorders>
              <w:tl2br w:val="nil"/>
              <w:tr2bl w:val="nil"/>
            </w:tcBorders>
            <w:vAlign w:val="center"/>
          </w:tcPr>
          <w:p w14:paraId="379A2A3B">
            <w:pPr>
              <w:adjustRightInd w:val="0"/>
              <w:snapToGrid w:val="0"/>
              <w:spacing w:before="158" w:beforeLines="50" w:line="360" w:lineRule="auto"/>
              <w:jc w:val="center"/>
              <w:rPr>
                <w:rFonts w:ascii="宋体" w:hAnsi="宋体" w:cs="宋体"/>
                <w:b/>
                <w:color w:val="auto"/>
                <w:kern w:val="0"/>
                <w:szCs w:val="21"/>
                <w:highlight w:val="none"/>
              </w:rPr>
            </w:pPr>
            <w:r>
              <w:rPr>
                <w:rFonts w:hint="eastAsia" w:ascii="宋体" w:hAnsi="宋体" w:cs="宋体"/>
                <w:b/>
                <w:color w:val="auto"/>
                <w:kern w:val="0"/>
                <w:szCs w:val="21"/>
                <w:highlight w:val="none"/>
              </w:rPr>
              <w:t>审查标准</w:t>
            </w:r>
          </w:p>
        </w:tc>
      </w:tr>
      <w:tr w14:paraId="024E30E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683" w:type="dxa"/>
            <w:tcBorders>
              <w:tl2br w:val="nil"/>
              <w:tr2bl w:val="nil"/>
            </w:tcBorders>
            <w:vAlign w:val="center"/>
          </w:tcPr>
          <w:p w14:paraId="75CD9E52">
            <w:pPr>
              <w:adjustRightInd w:val="0"/>
              <w:snapToGrid w:val="0"/>
              <w:spacing w:before="158" w:beforeLines="50" w:line="360"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1</w:t>
            </w:r>
          </w:p>
        </w:tc>
        <w:tc>
          <w:tcPr>
            <w:tcW w:w="2686" w:type="dxa"/>
            <w:tcBorders>
              <w:tl2br w:val="nil"/>
              <w:tr2bl w:val="nil"/>
            </w:tcBorders>
            <w:vAlign w:val="center"/>
          </w:tcPr>
          <w:p w14:paraId="6C3F98D6">
            <w:pPr>
              <w:spacing w:line="360" w:lineRule="auto"/>
              <w:rPr>
                <w:rFonts w:ascii="宋体" w:hAnsi="宋体" w:cs="宋体"/>
                <w:color w:val="auto"/>
                <w:kern w:val="0"/>
                <w:szCs w:val="21"/>
                <w:highlight w:val="none"/>
              </w:rPr>
            </w:pPr>
            <w:r>
              <w:rPr>
                <w:rFonts w:hint="eastAsia" w:ascii="宋体" w:hAnsi="宋体" w:cs="宋体"/>
                <w:color w:val="auto"/>
                <w:highlight w:val="none"/>
              </w:rPr>
              <w:t>投标文件的签署、盖章</w:t>
            </w:r>
          </w:p>
        </w:tc>
        <w:tc>
          <w:tcPr>
            <w:tcW w:w="5691" w:type="dxa"/>
            <w:tcBorders>
              <w:tl2br w:val="nil"/>
              <w:tr2bl w:val="nil"/>
            </w:tcBorders>
            <w:vAlign w:val="center"/>
          </w:tcPr>
          <w:p w14:paraId="5ED73D0E">
            <w:pPr>
              <w:spacing w:line="360" w:lineRule="auto"/>
              <w:rPr>
                <w:rFonts w:ascii="宋体" w:hAnsi="宋体" w:cs="宋体"/>
                <w:color w:val="auto"/>
                <w:kern w:val="0"/>
                <w:szCs w:val="21"/>
                <w:highlight w:val="none"/>
              </w:rPr>
            </w:pPr>
            <w:r>
              <w:rPr>
                <w:rFonts w:hint="eastAsia" w:ascii="宋体" w:hAnsi="宋体" w:cs="宋体"/>
                <w:color w:val="auto"/>
                <w:highlight w:val="none"/>
              </w:rPr>
              <w:t>投标文件中商务技术文件未按照招标文件规定要求签署、盖 章的，其符合性审查不合格。</w:t>
            </w:r>
          </w:p>
        </w:tc>
      </w:tr>
      <w:tr w14:paraId="5ED321C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683" w:type="dxa"/>
            <w:tcBorders>
              <w:tl2br w:val="nil"/>
              <w:tr2bl w:val="nil"/>
            </w:tcBorders>
            <w:vAlign w:val="center"/>
          </w:tcPr>
          <w:p w14:paraId="0CB70090">
            <w:pPr>
              <w:adjustRightInd w:val="0"/>
              <w:snapToGrid w:val="0"/>
              <w:spacing w:before="158" w:beforeLines="50" w:line="360"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2</w:t>
            </w:r>
          </w:p>
        </w:tc>
        <w:tc>
          <w:tcPr>
            <w:tcW w:w="2686" w:type="dxa"/>
            <w:tcBorders>
              <w:tl2br w:val="nil"/>
              <w:tr2bl w:val="nil"/>
            </w:tcBorders>
            <w:vAlign w:val="center"/>
          </w:tcPr>
          <w:p w14:paraId="639D4458">
            <w:pPr>
              <w:spacing w:line="360" w:lineRule="auto"/>
              <w:rPr>
                <w:rFonts w:ascii="宋体" w:hAnsi="宋体" w:cs="宋体"/>
                <w:color w:val="auto"/>
                <w:kern w:val="0"/>
                <w:szCs w:val="21"/>
                <w:highlight w:val="none"/>
              </w:rPr>
            </w:pPr>
            <w:r>
              <w:rPr>
                <w:rFonts w:hint="eastAsia" w:ascii="宋体" w:hAnsi="宋体" w:cs="宋体"/>
                <w:color w:val="auto"/>
                <w:highlight w:val="none"/>
              </w:rPr>
              <w:t>对招标文件条款的响应</w:t>
            </w:r>
          </w:p>
        </w:tc>
        <w:tc>
          <w:tcPr>
            <w:tcW w:w="5691" w:type="dxa"/>
            <w:tcBorders>
              <w:tl2br w:val="nil"/>
              <w:tr2bl w:val="nil"/>
            </w:tcBorders>
            <w:vAlign w:val="center"/>
          </w:tcPr>
          <w:p w14:paraId="2353BF00">
            <w:pPr>
              <w:spacing w:line="360" w:lineRule="auto"/>
              <w:rPr>
                <w:rFonts w:ascii="宋体" w:hAnsi="宋体" w:cs="宋体"/>
                <w:color w:val="auto"/>
                <w:kern w:val="0"/>
                <w:szCs w:val="21"/>
                <w:highlight w:val="none"/>
              </w:rPr>
            </w:pPr>
            <w:r>
              <w:rPr>
                <w:rFonts w:hint="eastAsia" w:ascii="宋体" w:hAnsi="宋体" w:cs="宋体"/>
                <w:color w:val="auto"/>
                <w:highlight w:val="none"/>
              </w:rPr>
              <w:t>投标文件没有对招标文件的实质性要求和条件作出响应，或 者对招标文件的偏离超出招标文件规定的偏离范围和幅度的，其符合性审查不合格。</w:t>
            </w:r>
          </w:p>
        </w:tc>
      </w:tr>
      <w:tr w14:paraId="5DD3C70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683" w:type="dxa"/>
            <w:tcBorders>
              <w:tl2br w:val="nil"/>
              <w:tr2bl w:val="nil"/>
            </w:tcBorders>
            <w:vAlign w:val="center"/>
          </w:tcPr>
          <w:p w14:paraId="64C42476">
            <w:pPr>
              <w:adjustRightInd w:val="0"/>
              <w:snapToGrid w:val="0"/>
              <w:spacing w:before="158" w:beforeLines="50" w:line="360"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3</w:t>
            </w:r>
          </w:p>
        </w:tc>
        <w:tc>
          <w:tcPr>
            <w:tcW w:w="2686" w:type="dxa"/>
            <w:tcBorders>
              <w:tl2br w:val="nil"/>
              <w:tr2bl w:val="nil"/>
            </w:tcBorders>
            <w:vAlign w:val="center"/>
          </w:tcPr>
          <w:p w14:paraId="53B7BA27">
            <w:pPr>
              <w:spacing w:line="360" w:lineRule="auto"/>
              <w:rPr>
                <w:rFonts w:ascii="宋体" w:hAnsi="宋体" w:cs="宋体"/>
                <w:color w:val="auto"/>
                <w:kern w:val="0"/>
                <w:szCs w:val="21"/>
                <w:highlight w:val="none"/>
              </w:rPr>
            </w:pPr>
            <w:r>
              <w:rPr>
                <w:rFonts w:hint="eastAsia" w:ascii="宋体" w:hAnsi="宋体" w:cs="宋体"/>
                <w:color w:val="auto"/>
                <w:highlight w:val="none"/>
              </w:rPr>
              <w:t>投标有效期</w:t>
            </w:r>
          </w:p>
        </w:tc>
        <w:tc>
          <w:tcPr>
            <w:tcW w:w="5691" w:type="dxa"/>
            <w:tcBorders>
              <w:tl2br w:val="nil"/>
              <w:tr2bl w:val="nil"/>
            </w:tcBorders>
            <w:vAlign w:val="center"/>
          </w:tcPr>
          <w:p w14:paraId="4A6D4A9A">
            <w:pPr>
              <w:spacing w:line="360" w:lineRule="auto"/>
              <w:rPr>
                <w:rFonts w:ascii="宋体" w:hAnsi="宋体" w:cs="宋体"/>
                <w:color w:val="auto"/>
                <w:kern w:val="0"/>
                <w:szCs w:val="21"/>
                <w:highlight w:val="none"/>
              </w:rPr>
            </w:pPr>
            <w:r>
              <w:rPr>
                <w:rFonts w:hint="eastAsia" w:ascii="宋体" w:hAnsi="宋体" w:cs="宋体"/>
                <w:color w:val="auto"/>
                <w:highlight w:val="none"/>
              </w:rPr>
              <w:t>投标有效期不足的，其符合性审查不合格。</w:t>
            </w:r>
          </w:p>
        </w:tc>
      </w:tr>
      <w:tr w14:paraId="20F862B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683" w:type="dxa"/>
            <w:tcBorders>
              <w:tl2br w:val="nil"/>
              <w:tr2bl w:val="nil"/>
            </w:tcBorders>
            <w:vAlign w:val="center"/>
          </w:tcPr>
          <w:p w14:paraId="2086D2D3">
            <w:pPr>
              <w:adjustRightInd w:val="0"/>
              <w:snapToGrid w:val="0"/>
              <w:spacing w:before="158" w:beforeLines="50" w:line="360"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4</w:t>
            </w:r>
          </w:p>
        </w:tc>
        <w:tc>
          <w:tcPr>
            <w:tcW w:w="2686" w:type="dxa"/>
            <w:tcBorders>
              <w:tl2br w:val="nil"/>
              <w:tr2bl w:val="nil"/>
            </w:tcBorders>
            <w:vAlign w:val="center"/>
          </w:tcPr>
          <w:p w14:paraId="6F52B17B">
            <w:pPr>
              <w:spacing w:line="360" w:lineRule="auto"/>
              <w:rPr>
                <w:rFonts w:ascii="宋体" w:hAnsi="宋体" w:cs="宋体"/>
                <w:color w:val="auto"/>
                <w:kern w:val="0"/>
                <w:szCs w:val="21"/>
                <w:highlight w:val="none"/>
              </w:rPr>
            </w:pPr>
            <w:r>
              <w:rPr>
                <w:rFonts w:hint="eastAsia" w:ascii="宋体" w:hAnsi="宋体" w:cs="宋体"/>
                <w:color w:val="auto"/>
                <w:highlight w:val="none"/>
              </w:rPr>
              <w:t>附加条件</w:t>
            </w:r>
          </w:p>
        </w:tc>
        <w:tc>
          <w:tcPr>
            <w:tcW w:w="5691" w:type="dxa"/>
            <w:tcBorders>
              <w:tl2br w:val="nil"/>
              <w:tr2bl w:val="nil"/>
            </w:tcBorders>
            <w:vAlign w:val="center"/>
          </w:tcPr>
          <w:p w14:paraId="526FAACD">
            <w:pPr>
              <w:spacing w:line="360" w:lineRule="auto"/>
              <w:rPr>
                <w:rFonts w:ascii="宋体" w:hAnsi="宋体" w:cs="宋体"/>
                <w:color w:val="auto"/>
                <w:kern w:val="0"/>
                <w:szCs w:val="21"/>
                <w:highlight w:val="none"/>
              </w:rPr>
            </w:pPr>
            <w:r>
              <w:rPr>
                <w:rFonts w:hint="eastAsia" w:ascii="宋体" w:hAnsi="宋体" w:cs="宋体"/>
                <w:color w:val="auto"/>
                <w:highlight w:val="none"/>
              </w:rPr>
              <w:t>投标文件含有采购人不能接受的附加条件的，其符合性审查 不合格。</w:t>
            </w:r>
          </w:p>
        </w:tc>
      </w:tr>
      <w:tr w14:paraId="006DD04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683" w:type="dxa"/>
            <w:tcBorders>
              <w:tl2br w:val="nil"/>
              <w:tr2bl w:val="nil"/>
            </w:tcBorders>
            <w:vAlign w:val="center"/>
          </w:tcPr>
          <w:p w14:paraId="2FEF998C">
            <w:pPr>
              <w:adjustRightInd w:val="0"/>
              <w:snapToGrid w:val="0"/>
              <w:spacing w:before="158" w:beforeLines="50" w:line="360" w:lineRule="auto"/>
              <w:jc w:val="center"/>
              <w:rPr>
                <w:rFonts w:hint="eastAsia" w:ascii="宋体" w:hAnsi="宋体" w:eastAsia="宋体" w:cs="宋体"/>
                <w:color w:val="auto"/>
                <w:kern w:val="0"/>
                <w:szCs w:val="21"/>
                <w:highlight w:val="none"/>
                <w:lang w:val="en-US" w:eastAsia="zh-CN"/>
              </w:rPr>
            </w:pPr>
            <w:r>
              <w:rPr>
                <w:rFonts w:hint="eastAsia" w:ascii="宋体" w:hAnsi="宋体" w:cs="宋体"/>
                <w:color w:val="auto"/>
                <w:kern w:val="0"/>
                <w:szCs w:val="21"/>
                <w:highlight w:val="none"/>
                <w:lang w:val="en-US" w:eastAsia="zh-CN"/>
              </w:rPr>
              <w:t>5</w:t>
            </w:r>
          </w:p>
        </w:tc>
        <w:tc>
          <w:tcPr>
            <w:tcW w:w="2686" w:type="dxa"/>
            <w:tcBorders>
              <w:tl2br w:val="nil"/>
              <w:tr2bl w:val="nil"/>
            </w:tcBorders>
            <w:vAlign w:val="center"/>
          </w:tcPr>
          <w:p w14:paraId="7D7D45A9">
            <w:pPr>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报价审查</w:t>
            </w:r>
          </w:p>
        </w:tc>
        <w:tc>
          <w:tcPr>
            <w:tcW w:w="5691" w:type="dxa"/>
            <w:tcBorders>
              <w:tl2br w:val="nil"/>
              <w:tr2bl w:val="nil"/>
            </w:tcBorders>
            <w:vAlign w:val="center"/>
          </w:tcPr>
          <w:p w14:paraId="4F2DE46F">
            <w:pPr>
              <w:spacing w:line="360" w:lineRule="auto"/>
              <w:rPr>
                <w:rFonts w:hint="eastAsia" w:ascii="宋体" w:hAnsi="宋体" w:cs="宋体"/>
                <w:color w:val="auto"/>
                <w:highlight w:val="none"/>
              </w:rPr>
            </w:pPr>
            <w:r>
              <w:rPr>
                <w:rFonts w:hint="eastAsia" w:ascii="宋体" w:hAnsi="宋体" w:eastAsia="宋体" w:cs="宋体"/>
                <w:color w:val="auto"/>
                <w:highlight w:val="none"/>
                <w:lang w:val="en-US" w:eastAsia="zh-CN"/>
              </w:rPr>
              <w:t>价格明显低于其他通过符合性检查单位的报价，且未作出合理说明并提供相关证明材料的，</w:t>
            </w:r>
            <w:r>
              <w:rPr>
                <w:rFonts w:hint="eastAsia" w:ascii="宋体" w:hAnsi="宋体" w:eastAsia="宋体" w:cs="宋体"/>
                <w:color w:val="auto"/>
                <w:highlight w:val="none"/>
                <w:lang w:val="en-US"/>
              </w:rPr>
              <w:t>其符合性审查不合格</w:t>
            </w:r>
            <w:r>
              <w:rPr>
                <w:rFonts w:hint="eastAsia" w:ascii="宋体" w:hAnsi="宋体" w:eastAsia="宋体" w:cs="宋体"/>
                <w:color w:val="auto"/>
                <w:highlight w:val="none"/>
                <w:lang w:val="en-US" w:eastAsia="zh-CN"/>
              </w:rPr>
              <w:t>。</w:t>
            </w:r>
          </w:p>
        </w:tc>
      </w:tr>
      <w:tr w14:paraId="1FA1BAB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683" w:type="dxa"/>
            <w:tcBorders>
              <w:tl2br w:val="nil"/>
              <w:tr2bl w:val="nil"/>
            </w:tcBorders>
            <w:vAlign w:val="center"/>
          </w:tcPr>
          <w:p w14:paraId="73EF39E7">
            <w:pPr>
              <w:adjustRightInd w:val="0"/>
              <w:snapToGrid w:val="0"/>
              <w:spacing w:before="158" w:beforeLines="50" w:line="360" w:lineRule="auto"/>
              <w:jc w:val="center"/>
              <w:rPr>
                <w:rFonts w:hint="eastAsia" w:ascii="宋体" w:hAnsi="宋体" w:eastAsia="宋体" w:cs="宋体"/>
                <w:color w:val="auto"/>
                <w:kern w:val="0"/>
                <w:szCs w:val="21"/>
                <w:highlight w:val="none"/>
                <w:lang w:eastAsia="zh-CN"/>
              </w:rPr>
            </w:pPr>
            <w:r>
              <w:rPr>
                <w:rFonts w:hint="eastAsia" w:ascii="宋体" w:hAnsi="宋体" w:cs="宋体"/>
                <w:color w:val="auto"/>
                <w:kern w:val="0"/>
                <w:szCs w:val="21"/>
                <w:highlight w:val="none"/>
                <w:lang w:val="en-US" w:eastAsia="zh-CN"/>
              </w:rPr>
              <w:t>6</w:t>
            </w:r>
          </w:p>
        </w:tc>
        <w:tc>
          <w:tcPr>
            <w:tcW w:w="2686" w:type="dxa"/>
            <w:tcBorders>
              <w:tl2br w:val="nil"/>
              <w:tr2bl w:val="nil"/>
            </w:tcBorders>
            <w:vAlign w:val="center"/>
          </w:tcPr>
          <w:p w14:paraId="3B8D3AB2">
            <w:pPr>
              <w:spacing w:line="360" w:lineRule="auto"/>
              <w:rPr>
                <w:rFonts w:ascii="宋体" w:hAnsi="宋体" w:cs="宋体"/>
                <w:color w:val="auto"/>
                <w:kern w:val="0"/>
                <w:szCs w:val="21"/>
                <w:highlight w:val="none"/>
              </w:rPr>
            </w:pPr>
            <w:r>
              <w:rPr>
                <w:rFonts w:hint="eastAsia" w:ascii="宋体" w:hAnsi="宋体" w:cs="宋体"/>
                <w:color w:val="auto"/>
                <w:highlight w:val="none"/>
              </w:rPr>
              <w:t>其他情形</w:t>
            </w:r>
          </w:p>
        </w:tc>
        <w:tc>
          <w:tcPr>
            <w:tcW w:w="5691" w:type="dxa"/>
            <w:tcBorders>
              <w:tl2br w:val="nil"/>
              <w:tr2bl w:val="nil"/>
            </w:tcBorders>
            <w:vAlign w:val="center"/>
          </w:tcPr>
          <w:p w14:paraId="3411882B">
            <w:pPr>
              <w:spacing w:line="360" w:lineRule="auto"/>
              <w:rPr>
                <w:rFonts w:ascii="宋体" w:hAnsi="宋体" w:cs="宋体"/>
                <w:color w:val="auto"/>
                <w:kern w:val="0"/>
                <w:szCs w:val="21"/>
                <w:highlight w:val="none"/>
              </w:rPr>
            </w:pPr>
            <w:r>
              <w:rPr>
                <w:rFonts w:hint="eastAsia" w:ascii="宋体" w:hAnsi="宋体" w:cs="宋体"/>
                <w:color w:val="auto"/>
                <w:highlight w:val="none"/>
              </w:rPr>
              <w:t>存在不符合本章第三节第 1.1 款规定符合性审查标准的，或者法律、法规和招标文件规定的其他投标无效情形的，其符 合性审查不合格。</w:t>
            </w:r>
          </w:p>
        </w:tc>
      </w:tr>
      <w:tr w14:paraId="7AB6509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683" w:type="dxa"/>
            <w:tcBorders>
              <w:tl2br w:val="nil"/>
              <w:tr2bl w:val="nil"/>
            </w:tcBorders>
            <w:vAlign w:val="center"/>
          </w:tcPr>
          <w:p w14:paraId="1A855AFF">
            <w:pPr>
              <w:adjustRightInd w:val="0"/>
              <w:snapToGrid w:val="0"/>
              <w:spacing w:before="158" w:beforeLines="50" w:line="360" w:lineRule="auto"/>
              <w:jc w:val="center"/>
              <w:rPr>
                <w:rFonts w:ascii="宋体" w:hAnsi="宋体" w:cs="宋体"/>
                <w:color w:val="auto"/>
                <w:kern w:val="0"/>
                <w:sz w:val="20"/>
                <w:szCs w:val="21"/>
                <w:highlight w:val="none"/>
              </w:rPr>
            </w:pPr>
            <w:r>
              <w:rPr>
                <w:rFonts w:hint="eastAsia" w:ascii="宋体" w:hAnsi="宋体" w:cs="宋体"/>
                <w:color w:val="auto"/>
                <w:kern w:val="0"/>
                <w:sz w:val="20"/>
                <w:szCs w:val="21"/>
                <w:highlight w:val="none"/>
              </w:rPr>
              <w:t>结论</w:t>
            </w:r>
          </w:p>
        </w:tc>
        <w:tc>
          <w:tcPr>
            <w:tcW w:w="8377" w:type="dxa"/>
            <w:gridSpan w:val="2"/>
            <w:tcBorders>
              <w:tl2br w:val="nil"/>
              <w:tr2bl w:val="nil"/>
            </w:tcBorders>
            <w:vAlign w:val="center"/>
          </w:tcPr>
          <w:p w14:paraId="0900B1EC">
            <w:pPr>
              <w:adjustRightInd w:val="0"/>
              <w:snapToGrid w:val="0"/>
              <w:spacing w:before="158" w:beforeLines="50" w:line="360" w:lineRule="auto"/>
              <w:jc w:val="center"/>
              <w:rPr>
                <w:rFonts w:hint="default" w:ascii="宋体" w:hAnsi="宋体" w:eastAsia="宋体" w:cs="宋体"/>
                <w:color w:val="auto"/>
                <w:kern w:val="0"/>
                <w:sz w:val="20"/>
                <w:szCs w:val="21"/>
                <w:highlight w:val="none"/>
                <w:lang w:val="en-US" w:eastAsia="zh-CN"/>
              </w:rPr>
            </w:pPr>
            <w:r>
              <w:rPr>
                <w:rFonts w:hint="eastAsia" w:ascii="宋体" w:hAnsi="宋体" w:cs="宋体"/>
                <w:color w:val="auto"/>
                <w:kern w:val="0"/>
                <w:sz w:val="20"/>
                <w:szCs w:val="21"/>
                <w:highlight w:val="none"/>
                <w:lang w:eastAsia="zh-CN"/>
              </w:rPr>
              <w:t>合格</w:t>
            </w:r>
            <w:r>
              <w:rPr>
                <w:rFonts w:hint="eastAsia" w:ascii="宋体" w:hAnsi="宋体" w:cs="宋体"/>
                <w:color w:val="auto"/>
                <w:kern w:val="0"/>
                <w:sz w:val="20"/>
                <w:szCs w:val="21"/>
                <w:highlight w:val="none"/>
                <w:lang w:val="en-US" w:eastAsia="zh-CN"/>
              </w:rPr>
              <w:t>/不合格</w:t>
            </w:r>
          </w:p>
        </w:tc>
      </w:tr>
    </w:tbl>
    <w:p w14:paraId="53C6895F">
      <w:pPr>
        <w:adjustRightInd w:val="0"/>
        <w:snapToGrid w:val="0"/>
        <w:spacing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 </w:t>
      </w:r>
    </w:p>
    <w:p w14:paraId="1DB4D3CA">
      <w:pPr>
        <w:widowControl/>
        <w:jc w:val="left"/>
        <w:rPr>
          <w:rFonts w:ascii="宋体" w:hAnsi="宋体" w:eastAsia="宋体"/>
          <w:color w:val="auto"/>
          <w:sz w:val="10"/>
          <w:szCs w:val="10"/>
          <w:highlight w:val="none"/>
        </w:rPr>
      </w:pPr>
      <w:r>
        <w:rPr>
          <w:rFonts w:ascii="宋体" w:hAnsi="宋体" w:eastAsia="宋体"/>
          <w:color w:val="auto"/>
          <w:szCs w:val="21"/>
          <w:highlight w:val="none"/>
        </w:rPr>
        <w:br w:type="page"/>
      </w:r>
    </w:p>
    <w:p w14:paraId="78081448">
      <w:pPr>
        <w:pStyle w:val="4"/>
        <w:adjustRightInd w:val="0"/>
        <w:snapToGrid w:val="0"/>
        <w:spacing w:before="156" w:beforeLines="50" w:after="0" w:line="360" w:lineRule="auto"/>
        <w:rPr>
          <w:rFonts w:hint="eastAsia" w:ascii="黑体" w:hAnsi="黑体" w:eastAsia="黑体" w:cs="黑体"/>
          <w:b w:val="0"/>
          <w:bCs w:val="0"/>
          <w:color w:val="auto"/>
          <w:sz w:val="21"/>
          <w:szCs w:val="21"/>
          <w:highlight w:val="none"/>
        </w:rPr>
      </w:pPr>
      <w:bookmarkStart w:id="75" w:name="_Toc4788"/>
      <w:bookmarkStart w:id="76" w:name="_Toc19883"/>
      <w:r>
        <w:rPr>
          <w:rFonts w:hint="eastAsia" w:ascii="黑体" w:hAnsi="黑体" w:eastAsia="黑体" w:cs="黑体"/>
          <w:b w:val="0"/>
          <w:bCs w:val="0"/>
          <w:color w:val="auto"/>
          <w:sz w:val="21"/>
          <w:szCs w:val="21"/>
          <w:highlight w:val="none"/>
        </w:rPr>
        <w:t>附表2 符合性审查结果一览表</w:t>
      </w:r>
      <w:bookmarkEnd w:id="75"/>
      <w:bookmarkEnd w:id="76"/>
    </w:p>
    <w:p w14:paraId="12B63989">
      <w:pPr>
        <w:adjustRightInd w:val="0"/>
        <w:snapToGrid w:val="0"/>
        <w:spacing w:before="156" w:beforeLines="50" w:line="360" w:lineRule="auto"/>
        <w:jc w:val="center"/>
        <w:rPr>
          <w:rFonts w:ascii="黑体" w:hAnsi="黑体" w:eastAsia="黑体"/>
          <w:b/>
          <w:color w:val="auto"/>
          <w:sz w:val="28"/>
          <w:szCs w:val="28"/>
          <w:highlight w:val="none"/>
        </w:rPr>
      </w:pPr>
      <w:r>
        <w:rPr>
          <w:rFonts w:hint="eastAsia" w:ascii="黑体" w:hAnsi="黑体" w:eastAsia="黑体"/>
          <w:b/>
          <w:color w:val="auto"/>
          <w:sz w:val="28"/>
          <w:szCs w:val="28"/>
          <w:highlight w:val="none"/>
        </w:rPr>
        <w:t>符合性审查结果一览表</w:t>
      </w:r>
    </w:p>
    <w:p w14:paraId="7B5297EE">
      <w:pPr>
        <w:adjustRightInd w:val="0"/>
        <w:snapToGrid w:val="0"/>
        <w:spacing w:before="156" w:beforeLines="50"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项目名称：                                           </w:t>
      </w:r>
      <w:r>
        <w:rPr>
          <w:rFonts w:hint="eastAsia" w:ascii="宋体" w:hAnsi="宋体"/>
          <w:color w:val="auto"/>
          <w:szCs w:val="21"/>
          <w:highlight w:val="none"/>
          <w:lang w:eastAsia="zh-CN"/>
        </w:rPr>
        <w:t>政府采购</w:t>
      </w:r>
      <w:r>
        <w:rPr>
          <w:rFonts w:hint="eastAsia" w:ascii="宋体" w:hAnsi="宋体"/>
          <w:color w:val="auto"/>
          <w:szCs w:val="21"/>
          <w:highlight w:val="none"/>
          <w:lang w:val="en-US" w:eastAsia="zh-CN"/>
        </w:rPr>
        <w:t>计划</w:t>
      </w:r>
      <w:r>
        <w:rPr>
          <w:rFonts w:hint="eastAsia" w:ascii="宋体" w:hAnsi="宋体"/>
          <w:color w:val="auto"/>
          <w:szCs w:val="21"/>
          <w:highlight w:val="none"/>
          <w:lang w:eastAsia="zh-CN"/>
        </w:rPr>
        <w:t>编号</w:t>
      </w:r>
      <w:r>
        <w:rPr>
          <w:rFonts w:hint="eastAsia" w:ascii="宋体" w:hAnsi="宋体" w:eastAsia="宋体"/>
          <w:color w:val="auto"/>
          <w:szCs w:val="21"/>
          <w:highlight w:val="none"/>
        </w:rPr>
        <w:t>：</w:t>
      </w:r>
    </w:p>
    <w:tbl>
      <w:tblPr>
        <w:tblStyle w:val="26"/>
        <w:tblW w:w="0" w:type="auto"/>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701"/>
        <w:gridCol w:w="2982"/>
        <w:gridCol w:w="2455"/>
        <w:gridCol w:w="2980"/>
      </w:tblGrid>
      <w:tr w14:paraId="19EC0CB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3" w:hRule="atLeast"/>
        </w:trPr>
        <w:tc>
          <w:tcPr>
            <w:tcW w:w="701" w:type="dxa"/>
            <w:noWrap w:val="0"/>
            <w:vAlign w:val="center"/>
          </w:tcPr>
          <w:p w14:paraId="3B01487D">
            <w:pPr>
              <w:jc w:val="center"/>
              <w:rPr>
                <w:rFonts w:ascii="宋体" w:hAnsi="宋体" w:eastAsia="宋体"/>
                <w:b/>
                <w:color w:val="auto"/>
                <w:kern w:val="0"/>
                <w:szCs w:val="21"/>
                <w:highlight w:val="none"/>
              </w:rPr>
            </w:pPr>
            <w:r>
              <w:rPr>
                <w:rFonts w:hint="eastAsia" w:ascii="宋体" w:hAnsi="宋体" w:eastAsia="宋体"/>
                <w:b/>
                <w:color w:val="auto"/>
                <w:kern w:val="0"/>
                <w:szCs w:val="21"/>
                <w:highlight w:val="none"/>
              </w:rPr>
              <w:t>序号</w:t>
            </w:r>
          </w:p>
        </w:tc>
        <w:tc>
          <w:tcPr>
            <w:tcW w:w="2982" w:type="dxa"/>
            <w:noWrap w:val="0"/>
            <w:vAlign w:val="center"/>
          </w:tcPr>
          <w:p w14:paraId="6A5944D6">
            <w:pPr>
              <w:jc w:val="center"/>
              <w:rPr>
                <w:rFonts w:ascii="宋体" w:hAnsi="宋体" w:eastAsia="宋体"/>
                <w:b/>
                <w:color w:val="auto"/>
                <w:kern w:val="0"/>
                <w:szCs w:val="21"/>
                <w:highlight w:val="none"/>
              </w:rPr>
            </w:pPr>
            <w:r>
              <w:rPr>
                <w:rFonts w:hint="eastAsia" w:ascii="宋体" w:hAnsi="宋体" w:eastAsia="宋体"/>
                <w:b/>
                <w:color w:val="auto"/>
                <w:kern w:val="0"/>
                <w:szCs w:val="21"/>
                <w:highlight w:val="none"/>
              </w:rPr>
              <w:t>投标人名称</w:t>
            </w:r>
          </w:p>
        </w:tc>
        <w:tc>
          <w:tcPr>
            <w:tcW w:w="2455" w:type="dxa"/>
            <w:noWrap w:val="0"/>
            <w:vAlign w:val="center"/>
          </w:tcPr>
          <w:p w14:paraId="5238607A">
            <w:pPr>
              <w:jc w:val="center"/>
              <w:rPr>
                <w:rFonts w:ascii="宋体" w:hAnsi="宋体" w:eastAsia="宋体"/>
                <w:b/>
                <w:color w:val="auto"/>
                <w:kern w:val="0"/>
                <w:szCs w:val="21"/>
                <w:highlight w:val="none"/>
              </w:rPr>
            </w:pPr>
            <w:r>
              <w:rPr>
                <w:rFonts w:hint="eastAsia" w:ascii="宋体" w:hAnsi="宋体" w:eastAsia="宋体"/>
                <w:b/>
                <w:color w:val="auto"/>
                <w:kern w:val="0"/>
                <w:szCs w:val="21"/>
                <w:highlight w:val="none"/>
              </w:rPr>
              <w:t>符合性审查结果</w:t>
            </w:r>
          </w:p>
          <w:p w14:paraId="73BBF389">
            <w:pPr>
              <w:jc w:val="center"/>
              <w:rPr>
                <w:rFonts w:ascii="宋体" w:hAnsi="宋体" w:eastAsia="宋体"/>
                <w:b/>
                <w:color w:val="auto"/>
                <w:kern w:val="0"/>
                <w:szCs w:val="21"/>
                <w:highlight w:val="none"/>
              </w:rPr>
            </w:pPr>
            <w:r>
              <w:rPr>
                <w:rFonts w:hint="eastAsia" w:ascii="宋体" w:hAnsi="宋体" w:eastAsia="宋体"/>
                <w:b/>
                <w:color w:val="auto"/>
                <w:kern w:val="0"/>
                <w:szCs w:val="21"/>
                <w:highlight w:val="none"/>
              </w:rPr>
              <w:t>（合格/不合格）</w:t>
            </w:r>
          </w:p>
        </w:tc>
        <w:tc>
          <w:tcPr>
            <w:tcW w:w="2980" w:type="dxa"/>
            <w:noWrap w:val="0"/>
            <w:vAlign w:val="center"/>
          </w:tcPr>
          <w:p w14:paraId="58465E6E">
            <w:pPr>
              <w:jc w:val="center"/>
              <w:rPr>
                <w:rFonts w:ascii="宋体" w:hAnsi="宋体" w:eastAsia="宋体"/>
                <w:b/>
                <w:color w:val="auto"/>
                <w:kern w:val="0"/>
                <w:szCs w:val="21"/>
                <w:highlight w:val="none"/>
              </w:rPr>
            </w:pPr>
            <w:r>
              <w:rPr>
                <w:rFonts w:hint="eastAsia" w:ascii="宋体" w:hAnsi="宋体" w:eastAsia="宋体"/>
                <w:b/>
                <w:color w:val="auto"/>
                <w:kern w:val="0"/>
                <w:szCs w:val="21"/>
                <w:highlight w:val="none"/>
              </w:rPr>
              <w:t>符合性审查不合格原因</w:t>
            </w:r>
          </w:p>
        </w:tc>
      </w:tr>
      <w:tr w14:paraId="539B433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5" w:hRule="atLeast"/>
        </w:trPr>
        <w:tc>
          <w:tcPr>
            <w:tcW w:w="701" w:type="dxa"/>
            <w:noWrap w:val="0"/>
            <w:vAlign w:val="top"/>
          </w:tcPr>
          <w:p w14:paraId="22220737">
            <w:pPr>
              <w:adjustRightInd w:val="0"/>
              <w:snapToGrid w:val="0"/>
              <w:spacing w:line="360" w:lineRule="auto"/>
              <w:rPr>
                <w:rFonts w:ascii="宋体" w:hAnsi="宋体" w:eastAsia="宋体"/>
                <w:color w:val="auto"/>
                <w:kern w:val="0"/>
                <w:sz w:val="24"/>
                <w:highlight w:val="none"/>
              </w:rPr>
            </w:pPr>
          </w:p>
        </w:tc>
        <w:tc>
          <w:tcPr>
            <w:tcW w:w="2982" w:type="dxa"/>
            <w:noWrap w:val="0"/>
            <w:vAlign w:val="top"/>
          </w:tcPr>
          <w:p w14:paraId="00148807">
            <w:pPr>
              <w:adjustRightInd w:val="0"/>
              <w:snapToGrid w:val="0"/>
              <w:spacing w:line="360" w:lineRule="auto"/>
              <w:rPr>
                <w:rFonts w:ascii="宋体" w:hAnsi="宋体" w:eastAsia="宋体"/>
                <w:color w:val="auto"/>
                <w:kern w:val="0"/>
                <w:sz w:val="24"/>
                <w:highlight w:val="none"/>
              </w:rPr>
            </w:pPr>
          </w:p>
        </w:tc>
        <w:tc>
          <w:tcPr>
            <w:tcW w:w="2455" w:type="dxa"/>
            <w:noWrap w:val="0"/>
            <w:vAlign w:val="top"/>
          </w:tcPr>
          <w:p w14:paraId="0EC4B2F1">
            <w:pPr>
              <w:adjustRightInd w:val="0"/>
              <w:snapToGrid w:val="0"/>
              <w:spacing w:line="360" w:lineRule="auto"/>
              <w:rPr>
                <w:rFonts w:ascii="宋体" w:hAnsi="宋体" w:eastAsia="宋体"/>
                <w:color w:val="auto"/>
                <w:kern w:val="0"/>
                <w:sz w:val="24"/>
                <w:highlight w:val="none"/>
              </w:rPr>
            </w:pPr>
          </w:p>
        </w:tc>
        <w:tc>
          <w:tcPr>
            <w:tcW w:w="2980" w:type="dxa"/>
            <w:noWrap w:val="0"/>
            <w:vAlign w:val="top"/>
          </w:tcPr>
          <w:p w14:paraId="56E5E5C4">
            <w:pPr>
              <w:adjustRightInd w:val="0"/>
              <w:snapToGrid w:val="0"/>
              <w:spacing w:line="360" w:lineRule="auto"/>
              <w:rPr>
                <w:rFonts w:ascii="宋体" w:hAnsi="宋体" w:eastAsia="宋体"/>
                <w:color w:val="auto"/>
                <w:kern w:val="0"/>
                <w:sz w:val="24"/>
                <w:highlight w:val="none"/>
              </w:rPr>
            </w:pPr>
          </w:p>
        </w:tc>
      </w:tr>
      <w:tr w14:paraId="46245F2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5" w:hRule="atLeast"/>
        </w:trPr>
        <w:tc>
          <w:tcPr>
            <w:tcW w:w="701" w:type="dxa"/>
            <w:noWrap w:val="0"/>
            <w:vAlign w:val="top"/>
          </w:tcPr>
          <w:p w14:paraId="6DBD176B">
            <w:pPr>
              <w:adjustRightInd w:val="0"/>
              <w:snapToGrid w:val="0"/>
              <w:spacing w:line="360" w:lineRule="auto"/>
              <w:rPr>
                <w:rFonts w:ascii="宋体" w:hAnsi="宋体" w:eastAsia="宋体"/>
                <w:color w:val="auto"/>
                <w:kern w:val="0"/>
                <w:sz w:val="24"/>
                <w:highlight w:val="none"/>
              </w:rPr>
            </w:pPr>
          </w:p>
        </w:tc>
        <w:tc>
          <w:tcPr>
            <w:tcW w:w="2982" w:type="dxa"/>
            <w:noWrap w:val="0"/>
            <w:vAlign w:val="top"/>
          </w:tcPr>
          <w:p w14:paraId="70A0C541">
            <w:pPr>
              <w:adjustRightInd w:val="0"/>
              <w:snapToGrid w:val="0"/>
              <w:spacing w:line="360" w:lineRule="auto"/>
              <w:rPr>
                <w:rFonts w:ascii="宋体" w:hAnsi="宋体" w:eastAsia="宋体"/>
                <w:color w:val="auto"/>
                <w:kern w:val="0"/>
                <w:sz w:val="24"/>
                <w:highlight w:val="none"/>
              </w:rPr>
            </w:pPr>
          </w:p>
        </w:tc>
        <w:tc>
          <w:tcPr>
            <w:tcW w:w="2455" w:type="dxa"/>
            <w:noWrap w:val="0"/>
            <w:vAlign w:val="top"/>
          </w:tcPr>
          <w:p w14:paraId="59A4746E">
            <w:pPr>
              <w:adjustRightInd w:val="0"/>
              <w:snapToGrid w:val="0"/>
              <w:spacing w:line="360" w:lineRule="auto"/>
              <w:rPr>
                <w:rFonts w:ascii="宋体" w:hAnsi="宋体" w:eastAsia="宋体"/>
                <w:color w:val="auto"/>
                <w:kern w:val="0"/>
                <w:sz w:val="24"/>
                <w:highlight w:val="none"/>
              </w:rPr>
            </w:pPr>
          </w:p>
        </w:tc>
        <w:tc>
          <w:tcPr>
            <w:tcW w:w="2980" w:type="dxa"/>
            <w:noWrap w:val="0"/>
            <w:vAlign w:val="top"/>
          </w:tcPr>
          <w:p w14:paraId="3CA0475A">
            <w:pPr>
              <w:adjustRightInd w:val="0"/>
              <w:snapToGrid w:val="0"/>
              <w:spacing w:line="360" w:lineRule="auto"/>
              <w:rPr>
                <w:rFonts w:ascii="宋体" w:hAnsi="宋体" w:eastAsia="宋体"/>
                <w:color w:val="auto"/>
                <w:kern w:val="0"/>
                <w:sz w:val="24"/>
                <w:highlight w:val="none"/>
              </w:rPr>
            </w:pPr>
          </w:p>
        </w:tc>
      </w:tr>
      <w:tr w14:paraId="6CAA472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5" w:hRule="atLeast"/>
        </w:trPr>
        <w:tc>
          <w:tcPr>
            <w:tcW w:w="701" w:type="dxa"/>
            <w:noWrap w:val="0"/>
            <w:vAlign w:val="top"/>
          </w:tcPr>
          <w:p w14:paraId="6325071B">
            <w:pPr>
              <w:adjustRightInd w:val="0"/>
              <w:snapToGrid w:val="0"/>
              <w:spacing w:line="360" w:lineRule="auto"/>
              <w:rPr>
                <w:rFonts w:ascii="宋体" w:hAnsi="宋体" w:eastAsia="宋体"/>
                <w:color w:val="auto"/>
                <w:kern w:val="0"/>
                <w:sz w:val="24"/>
                <w:highlight w:val="none"/>
              </w:rPr>
            </w:pPr>
          </w:p>
        </w:tc>
        <w:tc>
          <w:tcPr>
            <w:tcW w:w="2982" w:type="dxa"/>
            <w:noWrap w:val="0"/>
            <w:vAlign w:val="top"/>
          </w:tcPr>
          <w:p w14:paraId="35CEB0D9">
            <w:pPr>
              <w:adjustRightInd w:val="0"/>
              <w:snapToGrid w:val="0"/>
              <w:spacing w:line="360" w:lineRule="auto"/>
              <w:rPr>
                <w:rFonts w:ascii="宋体" w:hAnsi="宋体" w:eastAsia="宋体"/>
                <w:color w:val="auto"/>
                <w:kern w:val="0"/>
                <w:sz w:val="24"/>
                <w:highlight w:val="none"/>
              </w:rPr>
            </w:pPr>
          </w:p>
        </w:tc>
        <w:tc>
          <w:tcPr>
            <w:tcW w:w="2455" w:type="dxa"/>
            <w:noWrap w:val="0"/>
            <w:vAlign w:val="top"/>
          </w:tcPr>
          <w:p w14:paraId="4DF340A5">
            <w:pPr>
              <w:adjustRightInd w:val="0"/>
              <w:snapToGrid w:val="0"/>
              <w:spacing w:line="360" w:lineRule="auto"/>
              <w:rPr>
                <w:rFonts w:ascii="宋体" w:hAnsi="宋体" w:eastAsia="宋体"/>
                <w:color w:val="auto"/>
                <w:kern w:val="0"/>
                <w:sz w:val="24"/>
                <w:highlight w:val="none"/>
              </w:rPr>
            </w:pPr>
          </w:p>
        </w:tc>
        <w:tc>
          <w:tcPr>
            <w:tcW w:w="2980" w:type="dxa"/>
            <w:noWrap w:val="0"/>
            <w:vAlign w:val="top"/>
          </w:tcPr>
          <w:p w14:paraId="69F0720A">
            <w:pPr>
              <w:adjustRightInd w:val="0"/>
              <w:snapToGrid w:val="0"/>
              <w:spacing w:line="360" w:lineRule="auto"/>
              <w:rPr>
                <w:rFonts w:ascii="宋体" w:hAnsi="宋体" w:eastAsia="宋体"/>
                <w:color w:val="auto"/>
                <w:kern w:val="0"/>
                <w:sz w:val="24"/>
                <w:highlight w:val="none"/>
              </w:rPr>
            </w:pPr>
          </w:p>
        </w:tc>
      </w:tr>
      <w:tr w14:paraId="40726FF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5" w:hRule="atLeast"/>
        </w:trPr>
        <w:tc>
          <w:tcPr>
            <w:tcW w:w="701" w:type="dxa"/>
            <w:noWrap w:val="0"/>
            <w:vAlign w:val="top"/>
          </w:tcPr>
          <w:p w14:paraId="499D7B6E">
            <w:pPr>
              <w:adjustRightInd w:val="0"/>
              <w:snapToGrid w:val="0"/>
              <w:spacing w:line="360" w:lineRule="auto"/>
              <w:rPr>
                <w:rFonts w:ascii="宋体" w:hAnsi="宋体" w:eastAsia="宋体"/>
                <w:color w:val="auto"/>
                <w:kern w:val="0"/>
                <w:sz w:val="24"/>
                <w:highlight w:val="none"/>
              </w:rPr>
            </w:pPr>
          </w:p>
        </w:tc>
        <w:tc>
          <w:tcPr>
            <w:tcW w:w="2982" w:type="dxa"/>
            <w:noWrap w:val="0"/>
            <w:vAlign w:val="top"/>
          </w:tcPr>
          <w:p w14:paraId="462570A4">
            <w:pPr>
              <w:adjustRightInd w:val="0"/>
              <w:snapToGrid w:val="0"/>
              <w:spacing w:line="360" w:lineRule="auto"/>
              <w:rPr>
                <w:rFonts w:ascii="宋体" w:hAnsi="宋体" w:eastAsia="宋体"/>
                <w:color w:val="auto"/>
                <w:kern w:val="0"/>
                <w:sz w:val="24"/>
                <w:highlight w:val="none"/>
              </w:rPr>
            </w:pPr>
          </w:p>
        </w:tc>
        <w:tc>
          <w:tcPr>
            <w:tcW w:w="2455" w:type="dxa"/>
            <w:noWrap w:val="0"/>
            <w:vAlign w:val="top"/>
          </w:tcPr>
          <w:p w14:paraId="4831E088">
            <w:pPr>
              <w:adjustRightInd w:val="0"/>
              <w:snapToGrid w:val="0"/>
              <w:spacing w:line="360" w:lineRule="auto"/>
              <w:rPr>
                <w:rFonts w:ascii="宋体" w:hAnsi="宋体" w:eastAsia="宋体"/>
                <w:color w:val="auto"/>
                <w:kern w:val="0"/>
                <w:sz w:val="24"/>
                <w:highlight w:val="none"/>
              </w:rPr>
            </w:pPr>
          </w:p>
        </w:tc>
        <w:tc>
          <w:tcPr>
            <w:tcW w:w="2980" w:type="dxa"/>
            <w:noWrap w:val="0"/>
            <w:vAlign w:val="top"/>
          </w:tcPr>
          <w:p w14:paraId="5D73362A">
            <w:pPr>
              <w:adjustRightInd w:val="0"/>
              <w:snapToGrid w:val="0"/>
              <w:spacing w:line="360" w:lineRule="auto"/>
              <w:rPr>
                <w:rFonts w:ascii="宋体" w:hAnsi="宋体" w:eastAsia="宋体"/>
                <w:color w:val="auto"/>
                <w:kern w:val="0"/>
                <w:sz w:val="24"/>
                <w:highlight w:val="none"/>
              </w:rPr>
            </w:pPr>
          </w:p>
        </w:tc>
      </w:tr>
      <w:tr w14:paraId="544F22D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5" w:hRule="atLeast"/>
        </w:trPr>
        <w:tc>
          <w:tcPr>
            <w:tcW w:w="701" w:type="dxa"/>
            <w:noWrap w:val="0"/>
            <w:vAlign w:val="top"/>
          </w:tcPr>
          <w:p w14:paraId="567508E9">
            <w:pPr>
              <w:adjustRightInd w:val="0"/>
              <w:snapToGrid w:val="0"/>
              <w:spacing w:line="360" w:lineRule="auto"/>
              <w:rPr>
                <w:rFonts w:ascii="宋体" w:hAnsi="宋体" w:eastAsia="宋体"/>
                <w:color w:val="auto"/>
                <w:kern w:val="0"/>
                <w:sz w:val="24"/>
                <w:highlight w:val="none"/>
              </w:rPr>
            </w:pPr>
          </w:p>
        </w:tc>
        <w:tc>
          <w:tcPr>
            <w:tcW w:w="2982" w:type="dxa"/>
            <w:noWrap w:val="0"/>
            <w:vAlign w:val="top"/>
          </w:tcPr>
          <w:p w14:paraId="62996955">
            <w:pPr>
              <w:adjustRightInd w:val="0"/>
              <w:snapToGrid w:val="0"/>
              <w:spacing w:line="360" w:lineRule="auto"/>
              <w:rPr>
                <w:rFonts w:ascii="宋体" w:hAnsi="宋体" w:eastAsia="宋体"/>
                <w:color w:val="auto"/>
                <w:kern w:val="0"/>
                <w:sz w:val="24"/>
                <w:highlight w:val="none"/>
              </w:rPr>
            </w:pPr>
          </w:p>
        </w:tc>
        <w:tc>
          <w:tcPr>
            <w:tcW w:w="2455" w:type="dxa"/>
            <w:noWrap w:val="0"/>
            <w:vAlign w:val="top"/>
          </w:tcPr>
          <w:p w14:paraId="15AAB5E2">
            <w:pPr>
              <w:adjustRightInd w:val="0"/>
              <w:snapToGrid w:val="0"/>
              <w:spacing w:line="360" w:lineRule="auto"/>
              <w:rPr>
                <w:rFonts w:ascii="宋体" w:hAnsi="宋体" w:eastAsia="宋体"/>
                <w:color w:val="auto"/>
                <w:kern w:val="0"/>
                <w:sz w:val="24"/>
                <w:highlight w:val="none"/>
              </w:rPr>
            </w:pPr>
          </w:p>
        </w:tc>
        <w:tc>
          <w:tcPr>
            <w:tcW w:w="2980" w:type="dxa"/>
            <w:noWrap w:val="0"/>
            <w:vAlign w:val="top"/>
          </w:tcPr>
          <w:p w14:paraId="640B2217">
            <w:pPr>
              <w:adjustRightInd w:val="0"/>
              <w:snapToGrid w:val="0"/>
              <w:spacing w:line="360" w:lineRule="auto"/>
              <w:rPr>
                <w:rFonts w:ascii="宋体" w:hAnsi="宋体" w:eastAsia="宋体"/>
                <w:color w:val="auto"/>
                <w:kern w:val="0"/>
                <w:sz w:val="24"/>
                <w:highlight w:val="none"/>
              </w:rPr>
            </w:pPr>
          </w:p>
        </w:tc>
      </w:tr>
      <w:tr w14:paraId="78BA479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5" w:hRule="atLeast"/>
        </w:trPr>
        <w:tc>
          <w:tcPr>
            <w:tcW w:w="701" w:type="dxa"/>
            <w:noWrap w:val="0"/>
            <w:vAlign w:val="top"/>
          </w:tcPr>
          <w:p w14:paraId="26FDCF67">
            <w:pPr>
              <w:adjustRightInd w:val="0"/>
              <w:snapToGrid w:val="0"/>
              <w:spacing w:line="360" w:lineRule="auto"/>
              <w:rPr>
                <w:rFonts w:ascii="宋体" w:hAnsi="宋体" w:eastAsia="宋体"/>
                <w:color w:val="auto"/>
                <w:kern w:val="0"/>
                <w:sz w:val="24"/>
                <w:highlight w:val="none"/>
              </w:rPr>
            </w:pPr>
          </w:p>
        </w:tc>
        <w:tc>
          <w:tcPr>
            <w:tcW w:w="2982" w:type="dxa"/>
            <w:noWrap w:val="0"/>
            <w:vAlign w:val="top"/>
          </w:tcPr>
          <w:p w14:paraId="45549AFE">
            <w:pPr>
              <w:adjustRightInd w:val="0"/>
              <w:snapToGrid w:val="0"/>
              <w:spacing w:line="360" w:lineRule="auto"/>
              <w:rPr>
                <w:rFonts w:ascii="宋体" w:hAnsi="宋体" w:eastAsia="宋体"/>
                <w:color w:val="auto"/>
                <w:kern w:val="0"/>
                <w:sz w:val="24"/>
                <w:highlight w:val="none"/>
              </w:rPr>
            </w:pPr>
          </w:p>
        </w:tc>
        <w:tc>
          <w:tcPr>
            <w:tcW w:w="2455" w:type="dxa"/>
            <w:noWrap w:val="0"/>
            <w:vAlign w:val="top"/>
          </w:tcPr>
          <w:p w14:paraId="32F52227">
            <w:pPr>
              <w:adjustRightInd w:val="0"/>
              <w:snapToGrid w:val="0"/>
              <w:spacing w:line="360" w:lineRule="auto"/>
              <w:rPr>
                <w:rFonts w:ascii="宋体" w:hAnsi="宋体" w:eastAsia="宋体"/>
                <w:color w:val="auto"/>
                <w:kern w:val="0"/>
                <w:sz w:val="24"/>
                <w:highlight w:val="none"/>
              </w:rPr>
            </w:pPr>
          </w:p>
        </w:tc>
        <w:tc>
          <w:tcPr>
            <w:tcW w:w="2980" w:type="dxa"/>
            <w:noWrap w:val="0"/>
            <w:vAlign w:val="top"/>
          </w:tcPr>
          <w:p w14:paraId="22538FF5">
            <w:pPr>
              <w:adjustRightInd w:val="0"/>
              <w:snapToGrid w:val="0"/>
              <w:spacing w:line="360" w:lineRule="auto"/>
              <w:rPr>
                <w:rFonts w:ascii="宋体" w:hAnsi="宋体" w:eastAsia="宋体"/>
                <w:color w:val="auto"/>
                <w:kern w:val="0"/>
                <w:sz w:val="24"/>
                <w:highlight w:val="none"/>
              </w:rPr>
            </w:pPr>
          </w:p>
        </w:tc>
      </w:tr>
      <w:tr w14:paraId="24DD88D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5" w:hRule="atLeast"/>
        </w:trPr>
        <w:tc>
          <w:tcPr>
            <w:tcW w:w="701" w:type="dxa"/>
            <w:noWrap w:val="0"/>
            <w:vAlign w:val="top"/>
          </w:tcPr>
          <w:p w14:paraId="62A9805C">
            <w:pPr>
              <w:adjustRightInd w:val="0"/>
              <w:snapToGrid w:val="0"/>
              <w:spacing w:line="360" w:lineRule="auto"/>
              <w:rPr>
                <w:rFonts w:ascii="宋体" w:hAnsi="宋体" w:eastAsia="宋体"/>
                <w:color w:val="auto"/>
                <w:kern w:val="0"/>
                <w:sz w:val="24"/>
                <w:highlight w:val="none"/>
              </w:rPr>
            </w:pPr>
          </w:p>
        </w:tc>
        <w:tc>
          <w:tcPr>
            <w:tcW w:w="2982" w:type="dxa"/>
            <w:noWrap w:val="0"/>
            <w:vAlign w:val="top"/>
          </w:tcPr>
          <w:p w14:paraId="24350C07">
            <w:pPr>
              <w:adjustRightInd w:val="0"/>
              <w:snapToGrid w:val="0"/>
              <w:spacing w:line="360" w:lineRule="auto"/>
              <w:rPr>
                <w:rFonts w:ascii="宋体" w:hAnsi="宋体" w:eastAsia="宋体"/>
                <w:color w:val="auto"/>
                <w:kern w:val="0"/>
                <w:sz w:val="24"/>
                <w:highlight w:val="none"/>
              </w:rPr>
            </w:pPr>
          </w:p>
        </w:tc>
        <w:tc>
          <w:tcPr>
            <w:tcW w:w="2455" w:type="dxa"/>
            <w:noWrap w:val="0"/>
            <w:vAlign w:val="top"/>
          </w:tcPr>
          <w:p w14:paraId="0EEFA06E">
            <w:pPr>
              <w:adjustRightInd w:val="0"/>
              <w:snapToGrid w:val="0"/>
              <w:spacing w:line="360" w:lineRule="auto"/>
              <w:rPr>
                <w:rFonts w:ascii="宋体" w:hAnsi="宋体" w:eastAsia="宋体"/>
                <w:color w:val="auto"/>
                <w:kern w:val="0"/>
                <w:sz w:val="24"/>
                <w:highlight w:val="none"/>
              </w:rPr>
            </w:pPr>
          </w:p>
        </w:tc>
        <w:tc>
          <w:tcPr>
            <w:tcW w:w="2980" w:type="dxa"/>
            <w:noWrap w:val="0"/>
            <w:vAlign w:val="top"/>
          </w:tcPr>
          <w:p w14:paraId="2CB407C4">
            <w:pPr>
              <w:adjustRightInd w:val="0"/>
              <w:snapToGrid w:val="0"/>
              <w:spacing w:line="360" w:lineRule="auto"/>
              <w:rPr>
                <w:rFonts w:ascii="宋体" w:hAnsi="宋体" w:eastAsia="宋体"/>
                <w:color w:val="auto"/>
                <w:kern w:val="0"/>
                <w:sz w:val="24"/>
                <w:highlight w:val="none"/>
              </w:rPr>
            </w:pPr>
          </w:p>
        </w:tc>
      </w:tr>
      <w:tr w14:paraId="562616C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5" w:hRule="atLeast"/>
        </w:trPr>
        <w:tc>
          <w:tcPr>
            <w:tcW w:w="701" w:type="dxa"/>
            <w:noWrap w:val="0"/>
            <w:vAlign w:val="top"/>
          </w:tcPr>
          <w:p w14:paraId="18466D37">
            <w:pPr>
              <w:adjustRightInd w:val="0"/>
              <w:snapToGrid w:val="0"/>
              <w:spacing w:line="360" w:lineRule="auto"/>
              <w:rPr>
                <w:rFonts w:ascii="宋体" w:hAnsi="宋体" w:eastAsia="宋体"/>
                <w:color w:val="auto"/>
                <w:kern w:val="0"/>
                <w:sz w:val="24"/>
                <w:highlight w:val="none"/>
              </w:rPr>
            </w:pPr>
          </w:p>
        </w:tc>
        <w:tc>
          <w:tcPr>
            <w:tcW w:w="2982" w:type="dxa"/>
            <w:noWrap w:val="0"/>
            <w:vAlign w:val="top"/>
          </w:tcPr>
          <w:p w14:paraId="07727534">
            <w:pPr>
              <w:adjustRightInd w:val="0"/>
              <w:snapToGrid w:val="0"/>
              <w:spacing w:line="360" w:lineRule="auto"/>
              <w:rPr>
                <w:rFonts w:ascii="宋体" w:hAnsi="宋体" w:eastAsia="宋体"/>
                <w:color w:val="auto"/>
                <w:kern w:val="0"/>
                <w:sz w:val="24"/>
                <w:highlight w:val="none"/>
              </w:rPr>
            </w:pPr>
          </w:p>
        </w:tc>
        <w:tc>
          <w:tcPr>
            <w:tcW w:w="2455" w:type="dxa"/>
            <w:noWrap w:val="0"/>
            <w:vAlign w:val="top"/>
          </w:tcPr>
          <w:p w14:paraId="19901BAD">
            <w:pPr>
              <w:adjustRightInd w:val="0"/>
              <w:snapToGrid w:val="0"/>
              <w:spacing w:line="360" w:lineRule="auto"/>
              <w:rPr>
                <w:rFonts w:ascii="宋体" w:hAnsi="宋体" w:eastAsia="宋体"/>
                <w:color w:val="auto"/>
                <w:kern w:val="0"/>
                <w:sz w:val="24"/>
                <w:highlight w:val="none"/>
              </w:rPr>
            </w:pPr>
          </w:p>
        </w:tc>
        <w:tc>
          <w:tcPr>
            <w:tcW w:w="2980" w:type="dxa"/>
            <w:noWrap w:val="0"/>
            <w:vAlign w:val="top"/>
          </w:tcPr>
          <w:p w14:paraId="6913150C">
            <w:pPr>
              <w:adjustRightInd w:val="0"/>
              <w:snapToGrid w:val="0"/>
              <w:spacing w:line="360" w:lineRule="auto"/>
              <w:rPr>
                <w:rFonts w:ascii="宋体" w:hAnsi="宋体" w:eastAsia="宋体"/>
                <w:color w:val="auto"/>
                <w:kern w:val="0"/>
                <w:sz w:val="24"/>
                <w:highlight w:val="none"/>
              </w:rPr>
            </w:pPr>
          </w:p>
        </w:tc>
      </w:tr>
      <w:tr w14:paraId="3CA47AD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PrEx>
        <w:trPr>
          <w:trHeight w:val="537" w:hRule="atLeast"/>
        </w:trPr>
        <w:tc>
          <w:tcPr>
            <w:tcW w:w="701" w:type="dxa"/>
            <w:noWrap w:val="0"/>
            <w:vAlign w:val="top"/>
          </w:tcPr>
          <w:p w14:paraId="1CE4B794">
            <w:pPr>
              <w:adjustRightInd w:val="0"/>
              <w:snapToGrid w:val="0"/>
              <w:spacing w:line="360" w:lineRule="auto"/>
              <w:rPr>
                <w:rFonts w:ascii="宋体" w:hAnsi="宋体" w:eastAsia="宋体"/>
                <w:color w:val="auto"/>
                <w:kern w:val="0"/>
                <w:sz w:val="24"/>
                <w:highlight w:val="none"/>
              </w:rPr>
            </w:pPr>
          </w:p>
        </w:tc>
        <w:tc>
          <w:tcPr>
            <w:tcW w:w="2982" w:type="dxa"/>
            <w:noWrap w:val="0"/>
            <w:vAlign w:val="top"/>
          </w:tcPr>
          <w:p w14:paraId="58EB00FC">
            <w:pPr>
              <w:adjustRightInd w:val="0"/>
              <w:snapToGrid w:val="0"/>
              <w:spacing w:line="360" w:lineRule="auto"/>
              <w:rPr>
                <w:rFonts w:ascii="宋体" w:hAnsi="宋体" w:eastAsia="宋体"/>
                <w:color w:val="auto"/>
                <w:kern w:val="0"/>
                <w:sz w:val="24"/>
                <w:highlight w:val="none"/>
              </w:rPr>
            </w:pPr>
          </w:p>
        </w:tc>
        <w:tc>
          <w:tcPr>
            <w:tcW w:w="2455" w:type="dxa"/>
            <w:noWrap w:val="0"/>
            <w:vAlign w:val="top"/>
          </w:tcPr>
          <w:p w14:paraId="4CAD48ED">
            <w:pPr>
              <w:adjustRightInd w:val="0"/>
              <w:snapToGrid w:val="0"/>
              <w:spacing w:line="360" w:lineRule="auto"/>
              <w:rPr>
                <w:rFonts w:ascii="宋体" w:hAnsi="宋体" w:eastAsia="宋体"/>
                <w:color w:val="auto"/>
                <w:kern w:val="0"/>
                <w:sz w:val="24"/>
                <w:highlight w:val="none"/>
              </w:rPr>
            </w:pPr>
          </w:p>
        </w:tc>
        <w:tc>
          <w:tcPr>
            <w:tcW w:w="2980" w:type="dxa"/>
            <w:noWrap w:val="0"/>
            <w:vAlign w:val="top"/>
          </w:tcPr>
          <w:p w14:paraId="6800DD0F">
            <w:pPr>
              <w:adjustRightInd w:val="0"/>
              <w:snapToGrid w:val="0"/>
              <w:spacing w:line="360" w:lineRule="auto"/>
              <w:rPr>
                <w:rFonts w:ascii="宋体" w:hAnsi="宋体" w:eastAsia="宋体"/>
                <w:color w:val="auto"/>
                <w:kern w:val="0"/>
                <w:sz w:val="24"/>
                <w:highlight w:val="none"/>
              </w:rPr>
            </w:pPr>
          </w:p>
        </w:tc>
      </w:tr>
    </w:tbl>
    <w:p w14:paraId="4D7CF349">
      <w:pPr>
        <w:widowControl/>
        <w:jc w:val="left"/>
        <w:rPr>
          <w:rFonts w:ascii="黑体" w:hAnsi="黑体" w:eastAsia="黑体"/>
          <w:bCs/>
          <w:color w:val="auto"/>
          <w:szCs w:val="21"/>
          <w:highlight w:val="none"/>
        </w:rPr>
      </w:pPr>
      <w:r>
        <w:rPr>
          <w:rFonts w:ascii="黑体" w:hAnsi="黑体"/>
          <w:b/>
          <w:color w:val="auto"/>
          <w:szCs w:val="21"/>
          <w:highlight w:val="none"/>
        </w:rPr>
        <w:br w:type="page"/>
      </w:r>
    </w:p>
    <w:p w14:paraId="0EE25D23">
      <w:pPr>
        <w:pStyle w:val="4"/>
        <w:adjustRightInd w:val="0"/>
        <w:snapToGrid w:val="0"/>
        <w:spacing w:before="156" w:beforeLines="50" w:after="0" w:line="360" w:lineRule="auto"/>
        <w:rPr>
          <w:rFonts w:hint="eastAsia" w:ascii="黑体" w:hAnsi="黑体" w:eastAsia="黑体" w:cs="黑体"/>
          <w:b w:val="0"/>
          <w:bCs w:val="0"/>
          <w:color w:val="auto"/>
          <w:sz w:val="21"/>
          <w:szCs w:val="21"/>
          <w:highlight w:val="none"/>
        </w:rPr>
      </w:pPr>
      <w:bookmarkStart w:id="77" w:name="_Toc28326"/>
      <w:bookmarkStart w:id="78" w:name="_Toc16989"/>
      <w:r>
        <w:rPr>
          <w:rFonts w:hint="eastAsia" w:ascii="黑体" w:hAnsi="黑体" w:eastAsia="黑体" w:cs="黑体"/>
          <w:b w:val="0"/>
          <w:bCs w:val="0"/>
          <w:color w:val="auto"/>
          <w:sz w:val="21"/>
          <w:szCs w:val="21"/>
          <w:highlight w:val="none"/>
        </w:rPr>
        <w:t>附表3 符合性审查合格投标人名单</w:t>
      </w:r>
      <w:bookmarkEnd w:id="77"/>
      <w:bookmarkEnd w:id="78"/>
    </w:p>
    <w:p w14:paraId="39F324DC">
      <w:pPr>
        <w:adjustRightInd w:val="0"/>
        <w:snapToGrid w:val="0"/>
        <w:spacing w:before="156" w:beforeLines="50" w:line="360" w:lineRule="auto"/>
        <w:jc w:val="center"/>
        <w:rPr>
          <w:rFonts w:ascii="黑体" w:hAnsi="黑体" w:eastAsia="黑体"/>
          <w:b/>
          <w:color w:val="auto"/>
          <w:sz w:val="28"/>
          <w:szCs w:val="28"/>
          <w:highlight w:val="none"/>
        </w:rPr>
      </w:pPr>
      <w:r>
        <w:rPr>
          <w:rFonts w:hint="eastAsia" w:ascii="黑体" w:hAnsi="黑体" w:eastAsia="黑体"/>
          <w:b/>
          <w:color w:val="auto"/>
          <w:sz w:val="28"/>
          <w:szCs w:val="28"/>
          <w:highlight w:val="none"/>
        </w:rPr>
        <w:t>符合性审查合格投标人名单</w:t>
      </w:r>
    </w:p>
    <w:p w14:paraId="2750A324">
      <w:pPr>
        <w:adjustRightInd w:val="0"/>
        <w:snapToGrid w:val="0"/>
        <w:spacing w:before="156" w:beforeLines="50" w:line="360" w:lineRule="auto"/>
        <w:rPr>
          <w:rFonts w:ascii="华文中宋" w:hAnsi="华文中宋" w:eastAsia="华文中宋"/>
          <w:color w:val="auto"/>
          <w:sz w:val="32"/>
          <w:szCs w:val="32"/>
          <w:highlight w:val="none"/>
        </w:rPr>
      </w:pPr>
      <w:r>
        <w:rPr>
          <w:rFonts w:hint="eastAsia" w:ascii="宋体" w:hAnsi="宋体" w:eastAsia="宋体"/>
          <w:color w:val="auto"/>
          <w:szCs w:val="21"/>
          <w:highlight w:val="none"/>
        </w:rPr>
        <w:t xml:space="preserve">项目名称：                                        </w:t>
      </w:r>
      <w:r>
        <w:rPr>
          <w:rFonts w:hint="eastAsia" w:ascii="宋体" w:hAnsi="宋体"/>
          <w:color w:val="auto"/>
          <w:szCs w:val="21"/>
          <w:highlight w:val="none"/>
          <w:lang w:eastAsia="zh-CN"/>
        </w:rPr>
        <w:t>政府采购</w:t>
      </w:r>
      <w:r>
        <w:rPr>
          <w:rFonts w:hint="eastAsia" w:ascii="宋体" w:hAnsi="宋体"/>
          <w:color w:val="auto"/>
          <w:szCs w:val="21"/>
          <w:highlight w:val="none"/>
          <w:lang w:val="en-US" w:eastAsia="zh-CN"/>
        </w:rPr>
        <w:t>计划</w:t>
      </w:r>
      <w:r>
        <w:rPr>
          <w:rFonts w:hint="eastAsia" w:ascii="宋体" w:hAnsi="宋体"/>
          <w:color w:val="auto"/>
          <w:szCs w:val="21"/>
          <w:highlight w:val="none"/>
          <w:lang w:eastAsia="zh-CN"/>
        </w:rPr>
        <w:t>编号</w:t>
      </w:r>
      <w:r>
        <w:rPr>
          <w:rFonts w:hint="eastAsia" w:ascii="宋体" w:hAnsi="宋体" w:eastAsia="宋体"/>
          <w:color w:val="auto"/>
          <w:szCs w:val="21"/>
          <w:highlight w:val="none"/>
        </w:rPr>
        <w:t>：</w:t>
      </w:r>
    </w:p>
    <w:tbl>
      <w:tblPr>
        <w:tblStyle w:val="26"/>
        <w:tblW w:w="0" w:type="auto"/>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991"/>
        <w:gridCol w:w="7788"/>
      </w:tblGrid>
      <w:tr w14:paraId="2B17901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72" w:hRule="atLeast"/>
        </w:trPr>
        <w:tc>
          <w:tcPr>
            <w:tcW w:w="991" w:type="dxa"/>
            <w:noWrap w:val="0"/>
            <w:vAlign w:val="center"/>
          </w:tcPr>
          <w:p w14:paraId="21B6A7AE">
            <w:pPr>
              <w:jc w:val="center"/>
              <w:rPr>
                <w:b/>
                <w:color w:val="auto"/>
                <w:kern w:val="0"/>
                <w:szCs w:val="21"/>
                <w:highlight w:val="none"/>
              </w:rPr>
            </w:pPr>
            <w:r>
              <w:rPr>
                <w:rFonts w:hint="eastAsia"/>
                <w:b/>
                <w:color w:val="auto"/>
                <w:kern w:val="0"/>
                <w:szCs w:val="21"/>
                <w:highlight w:val="none"/>
              </w:rPr>
              <w:t>序号</w:t>
            </w:r>
          </w:p>
        </w:tc>
        <w:tc>
          <w:tcPr>
            <w:tcW w:w="7788" w:type="dxa"/>
            <w:noWrap w:val="0"/>
            <w:vAlign w:val="center"/>
          </w:tcPr>
          <w:p w14:paraId="66FA8DDB">
            <w:pPr>
              <w:jc w:val="center"/>
              <w:rPr>
                <w:b/>
                <w:color w:val="auto"/>
                <w:kern w:val="0"/>
                <w:szCs w:val="21"/>
                <w:highlight w:val="none"/>
              </w:rPr>
            </w:pPr>
            <w:r>
              <w:rPr>
                <w:rFonts w:hint="eastAsia"/>
                <w:b/>
                <w:color w:val="auto"/>
                <w:kern w:val="0"/>
                <w:szCs w:val="21"/>
                <w:highlight w:val="none"/>
              </w:rPr>
              <w:t>合格投标人名称</w:t>
            </w:r>
          </w:p>
        </w:tc>
      </w:tr>
      <w:tr w14:paraId="48E31A7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15" w:hRule="atLeast"/>
        </w:trPr>
        <w:tc>
          <w:tcPr>
            <w:tcW w:w="991" w:type="dxa"/>
            <w:noWrap w:val="0"/>
            <w:vAlign w:val="top"/>
          </w:tcPr>
          <w:p w14:paraId="256180A3">
            <w:pPr>
              <w:adjustRightInd w:val="0"/>
              <w:snapToGrid w:val="0"/>
              <w:spacing w:line="360" w:lineRule="auto"/>
              <w:rPr>
                <w:rFonts w:ascii="宋体" w:hAnsi="宋体" w:eastAsia="宋体"/>
                <w:color w:val="auto"/>
                <w:kern w:val="0"/>
                <w:szCs w:val="21"/>
                <w:highlight w:val="none"/>
              </w:rPr>
            </w:pPr>
          </w:p>
        </w:tc>
        <w:tc>
          <w:tcPr>
            <w:tcW w:w="7788" w:type="dxa"/>
            <w:noWrap w:val="0"/>
            <w:vAlign w:val="top"/>
          </w:tcPr>
          <w:p w14:paraId="1A9BB5E5">
            <w:pPr>
              <w:adjustRightInd w:val="0"/>
              <w:snapToGrid w:val="0"/>
              <w:spacing w:line="360" w:lineRule="auto"/>
              <w:rPr>
                <w:rFonts w:ascii="宋体" w:hAnsi="宋体" w:eastAsia="宋体"/>
                <w:color w:val="auto"/>
                <w:kern w:val="0"/>
                <w:szCs w:val="21"/>
                <w:highlight w:val="none"/>
              </w:rPr>
            </w:pPr>
          </w:p>
        </w:tc>
      </w:tr>
      <w:tr w14:paraId="4B5603D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85" w:hRule="atLeast"/>
        </w:trPr>
        <w:tc>
          <w:tcPr>
            <w:tcW w:w="991" w:type="dxa"/>
            <w:noWrap w:val="0"/>
            <w:vAlign w:val="top"/>
          </w:tcPr>
          <w:p w14:paraId="65D9A233">
            <w:pPr>
              <w:adjustRightInd w:val="0"/>
              <w:snapToGrid w:val="0"/>
              <w:spacing w:line="360" w:lineRule="auto"/>
              <w:rPr>
                <w:rFonts w:ascii="宋体" w:hAnsi="宋体" w:eastAsia="宋体"/>
                <w:color w:val="auto"/>
                <w:kern w:val="0"/>
                <w:sz w:val="24"/>
                <w:highlight w:val="none"/>
              </w:rPr>
            </w:pPr>
          </w:p>
        </w:tc>
        <w:tc>
          <w:tcPr>
            <w:tcW w:w="7788" w:type="dxa"/>
            <w:noWrap w:val="0"/>
            <w:vAlign w:val="top"/>
          </w:tcPr>
          <w:p w14:paraId="0B5CA637">
            <w:pPr>
              <w:adjustRightInd w:val="0"/>
              <w:snapToGrid w:val="0"/>
              <w:spacing w:line="360" w:lineRule="auto"/>
              <w:rPr>
                <w:rFonts w:ascii="宋体" w:hAnsi="宋体" w:eastAsia="宋体"/>
                <w:color w:val="auto"/>
                <w:kern w:val="0"/>
                <w:sz w:val="24"/>
                <w:highlight w:val="none"/>
              </w:rPr>
            </w:pPr>
          </w:p>
        </w:tc>
      </w:tr>
      <w:tr w14:paraId="13DBCDA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85" w:hRule="atLeast"/>
        </w:trPr>
        <w:tc>
          <w:tcPr>
            <w:tcW w:w="991" w:type="dxa"/>
            <w:noWrap w:val="0"/>
            <w:vAlign w:val="top"/>
          </w:tcPr>
          <w:p w14:paraId="371FF2D8">
            <w:pPr>
              <w:adjustRightInd w:val="0"/>
              <w:snapToGrid w:val="0"/>
              <w:spacing w:line="360" w:lineRule="auto"/>
              <w:rPr>
                <w:rFonts w:ascii="宋体" w:hAnsi="宋体" w:eastAsia="宋体"/>
                <w:color w:val="auto"/>
                <w:kern w:val="0"/>
                <w:sz w:val="24"/>
                <w:highlight w:val="none"/>
              </w:rPr>
            </w:pPr>
          </w:p>
        </w:tc>
        <w:tc>
          <w:tcPr>
            <w:tcW w:w="7788" w:type="dxa"/>
            <w:noWrap w:val="0"/>
            <w:vAlign w:val="top"/>
          </w:tcPr>
          <w:p w14:paraId="2E50F00E">
            <w:pPr>
              <w:adjustRightInd w:val="0"/>
              <w:snapToGrid w:val="0"/>
              <w:spacing w:line="360" w:lineRule="auto"/>
              <w:rPr>
                <w:rFonts w:ascii="宋体" w:hAnsi="宋体" w:eastAsia="宋体"/>
                <w:color w:val="auto"/>
                <w:kern w:val="0"/>
                <w:sz w:val="24"/>
                <w:highlight w:val="none"/>
              </w:rPr>
            </w:pPr>
          </w:p>
        </w:tc>
      </w:tr>
      <w:tr w14:paraId="530C70A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85" w:hRule="atLeast"/>
        </w:trPr>
        <w:tc>
          <w:tcPr>
            <w:tcW w:w="991" w:type="dxa"/>
            <w:noWrap w:val="0"/>
            <w:vAlign w:val="top"/>
          </w:tcPr>
          <w:p w14:paraId="4563842F">
            <w:pPr>
              <w:adjustRightInd w:val="0"/>
              <w:snapToGrid w:val="0"/>
              <w:spacing w:line="360" w:lineRule="auto"/>
              <w:rPr>
                <w:rFonts w:ascii="宋体" w:hAnsi="宋体" w:eastAsia="宋体"/>
                <w:color w:val="auto"/>
                <w:kern w:val="0"/>
                <w:sz w:val="24"/>
                <w:highlight w:val="none"/>
              </w:rPr>
            </w:pPr>
          </w:p>
        </w:tc>
        <w:tc>
          <w:tcPr>
            <w:tcW w:w="7788" w:type="dxa"/>
            <w:noWrap w:val="0"/>
            <w:vAlign w:val="top"/>
          </w:tcPr>
          <w:p w14:paraId="7D096E67">
            <w:pPr>
              <w:adjustRightInd w:val="0"/>
              <w:snapToGrid w:val="0"/>
              <w:spacing w:line="360" w:lineRule="auto"/>
              <w:rPr>
                <w:rFonts w:ascii="宋体" w:hAnsi="宋体" w:eastAsia="宋体"/>
                <w:color w:val="auto"/>
                <w:kern w:val="0"/>
                <w:sz w:val="24"/>
                <w:highlight w:val="none"/>
              </w:rPr>
            </w:pPr>
          </w:p>
        </w:tc>
      </w:tr>
      <w:tr w14:paraId="73A22AE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85" w:hRule="atLeast"/>
        </w:trPr>
        <w:tc>
          <w:tcPr>
            <w:tcW w:w="991" w:type="dxa"/>
            <w:noWrap w:val="0"/>
            <w:vAlign w:val="top"/>
          </w:tcPr>
          <w:p w14:paraId="6FF3D5DC">
            <w:pPr>
              <w:adjustRightInd w:val="0"/>
              <w:snapToGrid w:val="0"/>
              <w:spacing w:line="360" w:lineRule="auto"/>
              <w:rPr>
                <w:rFonts w:ascii="宋体" w:hAnsi="宋体" w:eastAsia="宋体"/>
                <w:color w:val="auto"/>
                <w:kern w:val="0"/>
                <w:sz w:val="24"/>
                <w:highlight w:val="none"/>
              </w:rPr>
            </w:pPr>
          </w:p>
        </w:tc>
        <w:tc>
          <w:tcPr>
            <w:tcW w:w="7788" w:type="dxa"/>
            <w:noWrap w:val="0"/>
            <w:vAlign w:val="top"/>
          </w:tcPr>
          <w:p w14:paraId="54F4022E">
            <w:pPr>
              <w:adjustRightInd w:val="0"/>
              <w:snapToGrid w:val="0"/>
              <w:spacing w:line="360" w:lineRule="auto"/>
              <w:rPr>
                <w:rFonts w:ascii="宋体" w:hAnsi="宋体" w:eastAsia="宋体"/>
                <w:color w:val="auto"/>
                <w:kern w:val="0"/>
                <w:sz w:val="24"/>
                <w:highlight w:val="none"/>
              </w:rPr>
            </w:pPr>
          </w:p>
        </w:tc>
      </w:tr>
      <w:tr w14:paraId="2F9AF7B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22" w:hRule="atLeast"/>
        </w:trPr>
        <w:tc>
          <w:tcPr>
            <w:tcW w:w="991" w:type="dxa"/>
            <w:noWrap w:val="0"/>
            <w:vAlign w:val="top"/>
          </w:tcPr>
          <w:p w14:paraId="260DE723">
            <w:pPr>
              <w:adjustRightInd w:val="0"/>
              <w:snapToGrid w:val="0"/>
              <w:spacing w:line="360" w:lineRule="auto"/>
              <w:rPr>
                <w:rFonts w:ascii="宋体" w:hAnsi="宋体" w:eastAsia="宋体"/>
                <w:color w:val="auto"/>
                <w:kern w:val="0"/>
                <w:sz w:val="24"/>
                <w:highlight w:val="none"/>
              </w:rPr>
            </w:pPr>
          </w:p>
        </w:tc>
        <w:tc>
          <w:tcPr>
            <w:tcW w:w="7788" w:type="dxa"/>
            <w:noWrap w:val="0"/>
            <w:vAlign w:val="top"/>
          </w:tcPr>
          <w:p w14:paraId="473F4200">
            <w:pPr>
              <w:adjustRightInd w:val="0"/>
              <w:snapToGrid w:val="0"/>
              <w:spacing w:line="360" w:lineRule="auto"/>
              <w:rPr>
                <w:rFonts w:ascii="宋体" w:hAnsi="宋体" w:eastAsia="宋体"/>
                <w:color w:val="auto"/>
                <w:kern w:val="0"/>
                <w:sz w:val="24"/>
                <w:highlight w:val="none"/>
              </w:rPr>
            </w:pPr>
          </w:p>
        </w:tc>
      </w:tr>
    </w:tbl>
    <w:p w14:paraId="4AC4BCCC">
      <w:pPr>
        <w:rPr>
          <w:color w:val="auto"/>
          <w:w w:val="90"/>
          <w:highlight w:val="none"/>
        </w:rPr>
      </w:pPr>
    </w:p>
    <w:p w14:paraId="3A1172CA">
      <w:pPr>
        <w:rPr>
          <w:rFonts w:ascii="黑体" w:hAnsi="黑体" w:eastAsia="黑体"/>
          <w:b/>
          <w:color w:val="auto"/>
          <w:sz w:val="32"/>
          <w:szCs w:val="32"/>
          <w:highlight w:val="none"/>
        </w:rPr>
      </w:pPr>
    </w:p>
    <w:p w14:paraId="5391B7B0">
      <w:pPr>
        <w:pStyle w:val="3"/>
        <w:adjustRightInd w:val="0"/>
        <w:snapToGrid w:val="0"/>
        <w:jc w:val="center"/>
        <w:rPr>
          <w:rFonts w:ascii="黑体" w:hAnsi="华文中宋" w:eastAsia="黑体"/>
          <w:color w:val="auto"/>
          <w:sz w:val="28"/>
          <w:szCs w:val="28"/>
          <w:highlight w:val="none"/>
        </w:rPr>
      </w:pPr>
      <w:r>
        <w:rPr>
          <w:rFonts w:ascii="黑体" w:hAnsi="黑体" w:eastAsia="黑体"/>
          <w:b w:val="0"/>
          <w:color w:val="auto"/>
          <w:sz w:val="32"/>
          <w:highlight w:val="none"/>
        </w:rPr>
        <w:br w:type="page"/>
      </w:r>
      <w:bookmarkStart w:id="79" w:name="_Toc17158"/>
      <w:r>
        <w:rPr>
          <w:rFonts w:hint="eastAsia" w:ascii="黑体" w:hAnsi="华文中宋" w:eastAsia="黑体"/>
          <w:color w:val="auto"/>
          <w:sz w:val="28"/>
          <w:szCs w:val="28"/>
          <w:highlight w:val="none"/>
        </w:rPr>
        <w:t>第四节 投标文件的比较与评价（综合评分法）</w:t>
      </w:r>
      <w:bookmarkEnd w:id="79"/>
    </w:p>
    <w:p w14:paraId="0B65D4B3">
      <w:pPr>
        <w:widowControl/>
        <w:adjustRightInd w:val="0"/>
        <w:snapToGrid w:val="0"/>
        <w:spacing w:before="156" w:beforeLines="50" w:line="360" w:lineRule="auto"/>
        <w:jc w:val="left"/>
        <w:rPr>
          <w:rFonts w:ascii="黑体" w:hAnsi="黑体" w:eastAsia="黑体"/>
          <w:b/>
          <w:color w:val="auto"/>
          <w:sz w:val="24"/>
          <w:highlight w:val="none"/>
        </w:rPr>
      </w:pPr>
      <w:r>
        <w:rPr>
          <w:rFonts w:hint="eastAsia" w:ascii="黑体" w:hAnsi="黑体" w:eastAsia="黑体"/>
          <w:b/>
          <w:color w:val="auto"/>
          <w:sz w:val="24"/>
          <w:highlight w:val="none"/>
        </w:rPr>
        <w:t>1.</w:t>
      </w:r>
      <w:r>
        <w:rPr>
          <w:rFonts w:hint="eastAsia"/>
          <w:color w:val="auto"/>
          <w:highlight w:val="none"/>
        </w:rPr>
        <w:t xml:space="preserve"> </w:t>
      </w:r>
      <w:r>
        <w:rPr>
          <w:rFonts w:hint="eastAsia" w:ascii="黑体" w:hAnsi="黑体" w:eastAsia="黑体"/>
          <w:b/>
          <w:color w:val="auto"/>
          <w:sz w:val="24"/>
          <w:highlight w:val="none"/>
        </w:rPr>
        <w:t>综合评分法</w:t>
      </w:r>
    </w:p>
    <w:p w14:paraId="352C004F">
      <w:pPr>
        <w:adjustRightInd w:val="0"/>
        <w:snapToGrid w:val="0"/>
        <w:spacing w:before="156" w:beforeLines="50" w:line="360" w:lineRule="auto"/>
        <w:ind w:firstLine="420" w:firstLineChars="200"/>
        <w:jc w:val="left"/>
        <w:rPr>
          <w:rFonts w:ascii="宋体" w:hAnsi="宋体" w:eastAsia="宋体"/>
          <w:bCs/>
          <w:color w:val="auto"/>
          <w:szCs w:val="21"/>
          <w:highlight w:val="none"/>
        </w:rPr>
      </w:pPr>
      <w:r>
        <w:rPr>
          <w:rFonts w:hint="eastAsia" w:ascii="宋体" w:hAnsi="宋体" w:eastAsia="宋体"/>
          <w:bCs/>
          <w:color w:val="auto"/>
          <w:szCs w:val="21"/>
          <w:highlight w:val="none"/>
        </w:rPr>
        <w:t>1.1综合评分法，指投标文件满足招标文件全部实质性要求，且按照评审因素的量化指标评审得分最高的投标人为中标候选人的评标方法。</w:t>
      </w:r>
    </w:p>
    <w:p w14:paraId="2F599940">
      <w:pPr>
        <w:adjustRightInd w:val="0"/>
        <w:snapToGrid w:val="0"/>
        <w:spacing w:before="156" w:beforeLines="50" w:line="360" w:lineRule="auto"/>
        <w:ind w:firstLine="420" w:firstLineChars="200"/>
        <w:jc w:val="left"/>
        <w:rPr>
          <w:rFonts w:ascii="宋体" w:hAnsi="宋体" w:eastAsia="宋体"/>
          <w:bCs/>
          <w:color w:val="auto"/>
          <w:szCs w:val="21"/>
          <w:highlight w:val="none"/>
        </w:rPr>
      </w:pPr>
      <w:r>
        <w:rPr>
          <w:rFonts w:hint="eastAsia" w:ascii="宋体" w:hAnsi="宋体" w:eastAsia="宋体"/>
          <w:bCs/>
          <w:color w:val="auto"/>
          <w:szCs w:val="21"/>
          <w:highlight w:val="none"/>
        </w:rPr>
        <w:t>1.2评标因素：评审因素的设定应当与投标人所提供货物服务的质量相关，包括投标报价、技术或者服务水平、履约能力、售后服务等，但不包括第一章投标人的资格要求。本采购项目的评标因素和标准见本章本节附表1“评标方法及标准表”。</w:t>
      </w:r>
    </w:p>
    <w:p w14:paraId="3FA99779">
      <w:pPr>
        <w:adjustRightInd w:val="0"/>
        <w:snapToGrid w:val="0"/>
        <w:spacing w:before="156" w:beforeLines="50" w:line="360" w:lineRule="auto"/>
        <w:ind w:firstLine="420" w:firstLineChars="200"/>
        <w:jc w:val="left"/>
        <w:rPr>
          <w:rFonts w:ascii="宋体" w:hAnsi="宋体" w:eastAsia="宋体"/>
          <w:bCs/>
          <w:color w:val="auto"/>
          <w:szCs w:val="21"/>
          <w:highlight w:val="none"/>
        </w:rPr>
      </w:pPr>
      <w:r>
        <w:rPr>
          <w:rFonts w:hint="eastAsia" w:ascii="宋体" w:hAnsi="宋体" w:eastAsia="宋体"/>
          <w:bCs/>
          <w:color w:val="auto"/>
          <w:szCs w:val="21"/>
          <w:highlight w:val="none"/>
        </w:rPr>
        <w:t>1.3未通过符合性审查的投标文件不得进入比较与评价。</w:t>
      </w:r>
    </w:p>
    <w:p w14:paraId="51A6C5EE">
      <w:pPr>
        <w:adjustRightInd w:val="0"/>
        <w:snapToGrid w:val="0"/>
        <w:spacing w:before="156" w:beforeLines="50" w:line="360" w:lineRule="auto"/>
        <w:jc w:val="left"/>
        <w:rPr>
          <w:rFonts w:ascii="黑体" w:hAnsi="黑体" w:eastAsia="黑体"/>
          <w:b/>
          <w:bCs/>
          <w:color w:val="auto"/>
          <w:sz w:val="24"/>
          <w:highlight w:val="none"/>
        </w:rPr>
      </w:pPr>
      <w:r>
        <w:rPr>
          <w:rFonts w:hint="eastAsia" w:ascii="黑体" w:hAnsi="黑体" w:eastAsia="黑体"/>
          <w:b/>
          <w:bCs/>
          <w:color w:val="auto"/>
          <w:sz w:val="24"/>
          <w:highlight w:val="none"/>
        </w:rPr>
        <w:t>2.</w:t>
      </w:r>
      <w:r>
        <w:rPr>
          <w:rFonts w:hint="eastAsia"/>
          <w:color w:val="auto"/>
          <w:highlight w:val="none"/>
        </w:rPr>
        <w:t xml:space="preserve"> </w:t>
      </w:r>
      <w:r>
        <w:rPr>
          <w:rFonts w:hint="eastAsia" w:ascii="黑体" w:hAnsi="黑体" w:eastAsia="黑体"/>
          <w:b/>
          <w:bCs/>
          <w:color w:val="auto"/>
          <w:sz w:val="24"/>
          <w:highlight w:val="none"/>
        </w:rPr>
        <w:t>投标报价的算术修正及政府采购政策调整</w:t>
      </w:r>
    </w:p>
    <w:p w14:paraId="0E9F1630">
      <w:pPr>
        <w:adjustRightInd w:val="0"/>
        <w:snapToGrid w:val="0"/>
        <w:spacing w:before="156" w:beforeLines="50" w:line="360" w:lineRule="auto"/>
        <w:ind w:firstLine="420" w:firstLineChars="200"/>
        <w:jc w:val="left"/>
        <w:rPr>
          <w:rFonts w:ascii="宋体" w:hAnsi="宋体" w:eastAsia="宋体"/>
          <w:bCs/>
          <w:color w:val="auto"/>
          <w:szCs w:val="21"/>
          <w:highlight w:val="none"/>
        </w:rPr>
      </w:pPr>
      <w:r>
        <w:rPr>
          <w:rFonts w:hint="eastAsia" w:ascii="宋体" w:hAnsi="宋体" w:eastAsia="宋体"/>
          <w:bCs/>
          <w:color w:val="auto"/>
          <w:szCs w:val="21"/>
          <w:highlight w:val="none"/>
        </w:rPr>
        <w:t>2.1如果有算术错误，投标报价将按本章第二节第4.2款、第4.3款规定进行算术修正。</w:t>
      </w:r>
    </w:p>
    <w:p w14:paraId="1E4C69EC">
      <w:pPr>
        <w:adjustRightInd w:val="0"/>
        <w:snapToGrid w:val="0"/>
        <w:spacing w:before="156" w:beforeLines="50" w:line="360" w:lineRule="auto"/>
        <w:ind w:firstLine="420" w:firstLineChars="200"/>
        <w:jc w:val="left"/>
        <w:rPr>
          <w:rFonts w:ascii="宋体" w:hAnsi="宋体" w:eastAsia="宋体"/>
          <w:bCs/>
          <w:color w:val="auto"/>
          <w:szCs w:val="21"/>
          <w:highlight w:val="none"/>
        </w:rPr>
      </w:pPr>
      <w:r>
        <w:rPr>
          <w:rFonts w:hint="eastAsia" w:ascii="宋体" w:hAnsi="宋体" w:eastAsia="宋体"/>
          <w:bCs/>
          <w:color w:val="auto"/>
          <w:szCs w:val="21"/>
          <w:highlight w:val="none"/>
        </w:rPr>
        <w:t>2.2需落实政府采购政策（价格评审优惠）的，按第二章“投标须知”及本章第二节第</w:t>
      </w:r>
      <w:r>
        <w:rPr>
          <w:rFonts w:ascii="宋体" w:hAnsi="宋体" w:eastAsia="宋体"/>
          <w:bCs/>
          <w:color w:val="auto"/>
          <w:szCs w:val="21"/>
          <w:highlight w:val="none"/>
        </w:rPr>
        <w:t>5.</w:t>
      </w:r>
      <w:r>
        <w:rPr>
          <w:rFonts w:hint="eastAsia" w:ascii="宋体" w:hAnsi="宋体"/>
          <w:bCs/>
          <w:color w:val="auto"/>
          <w:szCs w:val="21"/>
          <w:highlight w:val="none"/>
          <w:lang w:val="en-US" w:eastAsia="zh-CN"/>
        </w:rPr>
        <w:t>4</w:t>
      </w:r>
      <w:r>
        <w:rPr>
          <w:rFonts w:hint="eastAsia" w:ascii="宋体" w:hAnsi="宋体" w:eastAsia="宋体"/>
          <w:bCs/>
          <w:color w:val="auto"/>
          <w:szCs w:val="21"/>
          <w:highlight w:val="none"/>
        </w:rPr>
        <w:t>（1）项的相关规定进行价格调整。</w:t>
      </w:r>
    </w:p>
    <w:p w14:paraId="60EF4193">
      <w:pPr>
        <w:adjustRightInd w:val="0"/>
        <w:snapToGrid w:val="0"/>
        <w:spacing w:before="156" w:beforeLines="50" w:line="360" w:lineRule="auto"/>
        <w:ind w:firstLine="420" w:firstLineChars="200"/>
        <w:jc w:val="left"/>
        <w:rPr>
          <w:rFonts w:ascii="宋体" w:hAnsi="宋体" w:eastAsia="宋体"/>
          <w:bCs/>
          <w:color w:val="auto"/>
          <w:szCs w:val="21"/>
          <w:highlight w:val="none"/>
        </w:rPr>
      </w:pPr>
      <w:r>
        <w:rPr>
          <w:rFonts w:hint="eastAsia" w:ascii="宋体" w:hAnsi="宋体" w:eastAsia="宋体"/>
          <w:bCs/>
          <w:color w:val="auto"/>
          <w:szCs w:val="21"/>
          <w:highlight w:val="none"/>
        </w:rPr>
        <w:t>2.3按本章本节第2.1款、第2.2款规定，以修正或调整后的价格确定投标人的投标报价和评标基准价，用于投标报价评价。</w:t>
      </w:r>
    </w:p>
    <w:p w14:paraId="763D3F8E">
      <w:pPr>
        <w:adjustRightInd w:val="0"/>
        <w:snapToGrid w:val="0"/>
        <w:spacing w:before="156" w:beforeLines="50" w:line="360" w:lineRule="auto"/>
        <w:jc w:val="left"/>
        <w:rPr>
          <w:rFonts w:ascii="黑体" w:hAnsi="黑体" w:eastAsia="黑体"/>
          <w:b/>
          <w:bCs/>
          <w:color w:val="auto"/>
          <w:sz w:val="24"/>
          <w:highlight w:val="none"/>
        </w:rPr>
      </w:pPr>
      <w:r>
        <w:rPr>
          <w:rFonts w:hint="eastAsia" w:ascii="黑体" w:hAnsi="黑体" w:eastAsia="黑体"/>
          <w:b/>
          <w:bCs/>
          <w:color w:val="auto"/>
          <w:sz w:val="24"/>
          <w:highlight w:val="none"/>
        </w:rPr>
        <w:t>3.</w:t>
      </w:r>
      <w:r>
        <w:rPr>
          <w:rFonts w:hint="eastAsia"/>
          <w:color w:val="auto"/>
          <w:highlight w:val="none"/>
        </w:rPr>
        <w:t xml:space="preserve"> </w:t>
      </w:r>
      <w:r>
        <w:rPr>
          <w:rFonts w:hint="eastAsia" w:ascii="黑体" w:hAnsi="黑体" w:eastAsia="黑体"/>
          <w:b/>
          <w:bCs/>
          <w:color w:val="auto"/>
          <w:sz w:val="24"/>
          <w:highlight w:val="none"/>
        </w:rPr>
        <w:t>投标报价评价</w:t>
      </w:r>
    </w:p>
    <w:p w14:paraId="7A32BA02">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3.1投标报价评价：价格分应当采用低价优先法计算，即满足招标文件要求且投标价格最低的投标报价为评标基准价，其价格分为满分（报价权重分）。其他投标人的价格分统一按照下列公式计算：</w:t>
      </w:r>
    </w:p>
    <w:p w14:paraId="7BCE7718">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投标报价得分=（评标基准价</w:t>
      </w:r>
      <w:r>
        <w:rPr>
          <w:rFonts w:hint="eastAsia" w:ascii="宋体" w:hAnsi="宋体" w:eastAsia="宋体"/>
          <w:color w:val="auto"/>
          <w:szCs w:val="21"/>
          <w:highlight w:val="none"/>
          <w:vertAlign w:val="subscript"/>
        </w:rPr>
        <w:t>修正或调整</w:t>
      </w:r>
      <w:r>
        <w:rPr>
          <w:rFonts w:hint="eastAsia" w:ascii="宋体" w:hAnsi="宋体" w:eastAsia="宋体"/>
          <w:color w:val="auto"/>
          <w:szCs w:val="21"/>
          <w:highlight w:val="none"/>
        </w:rPr>
        <w:t>／投标报价</w:t>
      </w:r>
      <w:r>
        <w:rPr>
          <w:rFonts w:hint="eastAsia" w:ascii="宋体" w:hAnsi="宋体" w:eastAsia="宋体"/>
          <w:color w:val="auto"/>
          <w:szCs w:val="21"/>
          <w:highlight w:val="none"/>
          <w:vertAlign w:val="subscript"/>
        </w:rPr>
        <w:t>修正或调整</w:t>
      </w:r>
      <w:r>
        <w:rPr>
          <w:rFonts w:hint="eastAsia" w:ascii="宋体" w:hAnsi="宋体" w:eastAsia="宋体"/>
          <w:color w:val="auto"/>
          <w:szCs w:val="21"/>
          <w:highlight w:val="none"/>
        </w:rPr>
        <w:t>） ×100×报价权值</w:t>
      </w:r>
    </w:p>
    <w:p w14:paraId="28039D61">
      <w:pPr>
        <w:numPr>
          <w:ilvl w:val="0"/>
          <w:numId w:val="6"/>
        </w:numPr>
        <w:adjustRightInd w:val="0"/>
        <w:snapToGrid w:val="0"/>
        <w:spacing w:before="156" w:beforeLines="50" w:line="360" w:lineRule="auto"/>
        <w:jc w:val="left"/>
        <w:rPr>
          <w:rFonts w:ascii="黑体" w:hAnsi="黑体" w:eastAsia="黑体"/>
          <w:b/>
          <w:color w:val="auto"/>
          <w:sz w:val="24"/>
          <w:highlight w:val="none"/>
        </w:rPr>
      </w:pPr>
      <w:r>
        <w:rPr>
          <w:rFonts w:hint="eastAsia" w:ascii="黑体" w:hAnsi="黑体" w:eastAsia="黑体"/>
          <w:b/>
          <w:color w:val="auto"/>
          <w:sz w:val="24"/>
          <w:highlight w:val="none"/>
        </w:rPr>
        <w:t>技术、商务等评分项响应评价及政府采购政策加分</w:t>
      </w:r>
    </w:p>
    <w:p w14:paraId="7E3C8A6B">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4.1技术、商务等评分项响应评分。按</w:t>
      </w:r>
      <w:r>
        <w:rPr>
          <w:rFonts w:hint="eastAsia" w:ascii="宋体" w:hAnsi="宋体" w:eastAsia="宋体"/>
          <w:bCs/>
          <w:color w:val="auto"/>
          <w:szCs w:val="21"/>
          <w:highlight w:val="none"/>
        </w:rPr>
        <w:t>本章</w:t>
      </w:r>
      <w:r>
        <w:rPr>
          <w:rFonts w:hint="eastAsia" w:ascii="宋体" w:hAnsi="宋体" w:eastAsia="宋体"/>
          <w:color w:val="auto"/>
          <w:szCs w:val="21"/>
          <w:highlight w:val="none"/>
        </w:rPr>
        <w:t>本节附表1“评标方法及标准表”规定的评标因素和标准，对技术、商务等评分项计算得分。</w:t>
      </w:r>
    </w:p>
    <w:p w14:paraId="45D513EF">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4.2需落实政府采购政策（优先采购）的，按第二章、本章第二节第5.</w:t>
      </w:r>
      <w:r>
        <w:rPr>
          <w:rFonts w:hint="eastAsia" w:ascii="宋体" w:hAnsi="宋体"/>
          <w:color w:val="auto"/>
          <w:szCs w:val="21"/>
          <w:highlight w:val="none"/>
          <w:lang w:val="en-US" w:eastAsia="zh-CN"/>
        </w:rPr>
        <w:t>4</w:t>
      </w:r>
      <w:r>
        <w:rPr>
          <w:rFonts w:hint="eastAsia" w:ascii="宋体" w:hAnsi="宋体" w:eastAsia="宋体"/>
          <w:color w:val="auto"/>
          <w:szCs w:val="21"/>
          <w:highlight w:val="none"/>
        </w:rPr>
        <w:t>（2）项以及本节附表1“评标方法及标准表”的相关规定进行技术、价格、商务项得分(加分)计算。</w:t>
      </w:r>
    </w:p>
    <w:p w14:paraId="535DDAC5">
      <w:pPr>
        <w:numPr>
          <w:ilvl w:val="0"/>
          <w:numId w:val="6"/>
        </w:numPr>
        <w:adjustRightInd w:val="0"/>
        <w:snapToGrid w:val="0"/>
        <w:spacing w:before="156" w:beforeLines="50" w:line="360" w:lineRule="auto"/>
        <w:ind w:left="0" w:leftChars="0" w:firstLine="0" w:firstLineChars="0"/>
        <w:jc w:val="left"/>
        <w:rPr>
          <w:rFonts w:ascii="黑体" w:hAnsi="黑体" w:eastAsia="黑体"/>
          <w:b/>
          <w:color w:val="auto"/>
          <w:sz w:val="24"/>
          <w:highlight w:val="none"/>
        </w:rPr>
      </w:pPr>
      <w:r>
        <w:rPr>
          <w:rFonts w:hint="eastAsia" w:ascii="黑体" w:hAnsi="黑体" w:eastAsia="黑体"/>
          <w:b/>
          <w:color w:val="auto"/>
          <w:sz w:val="24"/>
          <w:highlight w:val="none"/>
        </w:rPr>
        <w:t>评标总得分</w:t>
      </w:r>
    </w:p>
    <w:p w14:paraId="56C5CCE1">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5.1评标总得分为投标报价、技术、商务等评分项得分(含优先采购政策加分)之和。</w:t>
      </w:r>
    </w:p>
    <w:p w14:paraId="52F1BD1E">
      <w:pPr>
        <w:adjustRightInd w:val="0"/>
        <w:snapToGrid w:val="0"/>
        <w:spacing w:line="460" w:lineRule="exact"/>
        <w:ind w:firstLine="420" w:firstLineChars="200"/>
        <w:rPr>
          <w:rFonts w:ascii="宋体" w:hAnsi="宋体" w:cs="宋体"/>
          <w:color w:val="auto"/>
          <w:kern w:val="0"/>
          <w:szCs w:val="21"/>
          <w:highlight w:val="none"/>
          <w:lang w:val="ru-RU" w:eastAsia="ru-RU"/>
        </w:rPr>
      </w:pPr>
      <w:r>
        <w:rPr>
          <w:rFonts w:hint="eastAsia" w:ascii="宋体" w:hAnsi="宋体" w:cs="宋体"/>
          <w:color w:val="auto"/>
          <w:kern w:val="0"/>
          <w:szCs w:val="21"/>
          <w:highlight w:val="none"/>
          <w:lang w:val="ru-RU" w:eastAsia="ru-RU"/>
        </w:rPr>
        <w:t>评标总得分＝F</w:t>
      </w:r>
      <w:r>
        <w:rPr>
          <w:rFonts w:hint="eastAsia" w:ascii="宋体" w:hAnsi="宋体" w:cs="宋体"/>
          <w:color w:val="auto"/>
          <w:kern w:val="0"/>
          <w:szCs w:val="21"/>
          <w:highlight w:val="none"/>
          <w:vertAlign w:val="subscript"/>
          <w:lang w:val="ru-RU" w:eastAsia="ru-RU"/>
        </w:rPr>
        <w:t>1</w:t>
      </w:r>
      <w:r>
        <w:rPr>
          <w:rFonts w:hint="eastAsia" w:ascii="宋体" w:hAnsi="宋体" w:cs="宋体"/>
          <w:color w:val="auto"/>
          <w:kern w:val="0"/>
          <w:szCs w:val="21"/>
          <w:highlight w:val="none"/>
          <w:lang w:val="ru-RU" w:eastAsia="ru-RU"/>
        </w:rPr>
        <w:t>×A</w:t>
      </w:r>
      <w:r>
        <w:rPr>
          <w:rFonts w:hint="eastAsia" w:ascii="宋体" w:hAnsi="宋体" w:cs="宋体"/>
          <w:color w:val="auto"/>
          <w:kern w:val="0"/>
          <w:szCs w:val="21"/>
          <w:highlight w:val="none"/>
          <w:vertAlign w:val="subscript"/>
          <w:lang w:val="ru-RU" w:eastAsia="ru-RU"/>
        </w:rPr>
        <w:t>1</w:t>
      </w:r>
      <w:r>
        <w:rPr>
          <w:rFonts w:hint="eastAsia" w:ascii="宋体" w:hAnsi="宋体" w:cs="宋体"/>
          <w:color w:val="auto"/>
          <w:kern w:val="0"/>
          <w:szCs w:val="21"/>
          <w:highlight w:val="none"/>
          <w:lang w:val="ru-RU" w:eastAsia="ru-RU"/>
        </w:rPr>
        <w:t>＋F</w:t>
      </w:r>
      <w:r>
        <w:rPr>
          <w:rFonts w:hint="eastAsia" w:ascii="宋体" w:hAnsi="宋体" w:cs="宋体"/>
          <w:color w:val="auto"/>
          <w:kern w:val="0"/>
          <w:szCs w:val="21"/>
          <w:highlight w:val="none"/>
          <w:vertAlign w:val="subscript"/>
          <w:lang w:val="ru-RU" w:eastAsia="ru-RU"/>
        </w:rPr>
        <w:t>2</w:t>
      </w:r>
      <w:r>
        <w:rPr>
          <w:rFonts w:hint="eastAsia" w:ascii="宋体" w:hAnsi="宋体" w:cs="宋体"/>
          <w:color w:val="auto"/>
          <w:kern w:val="0"/>
          <w:szCs w:val="21"/>
          <w:highlight w:val="none"/>
          <w:lang w:val="ru-RU" w:eastAsia="ru-RU"/>
        </w:rPr>
        <w:t>×A</w:t>
      </w:r>
      <w:r>
        <w:rPr>
          <w:rFonts w:hint="eastAsia" w:ascii="宋体" w:hAnsi="宋体" w:cs="宋体"/>
          <w:color w:val="auto"/>
          <w:kern w:val="0"/>
          <w:szCs w:val="21"/>
          <w:highlight w:val="none"/>
          <w:vertAlign w:val="subscript"/>
          <w:lang w:val="ru-RU" w:eastAsia="ru-RU"/>
        </w:rPr>
        <w:t>2</w:t>
      </w:r>
      <w:r>
        <w:rPr>
          <w:rFonts w:hint="eastAsia" w:ascii="宋体" w:hAnsi="宋体" w:cs="宋体"/>
          <w:color w:val="auto"/>
          <w:kern w:val="0"/>
          <w:szCs w:val="21"/>
          <w:highlight w:val="none"/>
          <w:lang w:val="ru-RU" w:eastAsia="ru-RU"/>
        </w:rPr>
        <w:t>＋……＋F</w:t>
      </w:r>
      <w:r>
        <w:rPr>
          <w:rFonts w:hint="eastAsia" w:ascii="宋体" w:hAnsi="宋体" w:cs="宋体"/>
          <w:color w:val="auto"/>
          <w:kern w:val="0"/>
          <w:szCs w:val="21"/>
          <w:highlight w:val="none"/>
          <w:vertAlign w:val="subscript"/>
          <w:lang w:val="ru-RU" w:eastAsia="ru-RU"/>
        </w:rPr>
        <w:t>n</w:t>
      </w:r>
      <w:r>
        <w:rPr>
          <w:rFonts w:hint="eastAsia" w:ascii="宋体" w:hAnsi="宋体" w:cs="宋体"/>
          <w:color w:val="auto"/>
          <w:kern w:val="0"/>
          <w:szCs w:val="21"/>
          <w:highlight w:val="none"/>
          <w:lang w:val="ru-RU" w:eastAsia="ru-RU"/>
        </w:rPr>
        <w:t>×A</w:t>
      </w:r>
      <w:r>
        <w:rPr>
          <w:rFonts w:hint="eastAsia" w:ascii="宋体" w:hAnsi="宋体" w:cs="宋体"/>
          <w:color w:val="auto"/>
          <w:kern w:val="0"/>
          <w:szCs w:val="21"/>
          <w:highlight w:val="none"/>
          <w:vertAlign w:val="subscript"/>
          <w:lang w:val="ru-RU" w:eastAsia="ru-RU"/>
        </w:rPr>
        <w:t>n</w:t>
      </w:r>
    </w:p>
    <w:p w14:paraId="1D8A6B3C">
      <w:pPr>
        <w:adjustRightInd w:val="0"/>
        <w:snapToGrid w:val="0"/>
        <w:spacing w:line="460" w:lineRule="exact"/>
        <w:ind w:firstLine="420" w:firstLineChars="200"/>
        <w:rPr>
          <w:rFonts w:ascii="宋体" w:hAnsi="宋体" w:cs="宋体"/>
          <w:color w:val="auto"/>
          <w:kern w:val="0"/>
          <w:szCs w:val="21"/>
          <w:highlight w:val="none"/>
          <w:lang w:val="ru-RU" w:eastAsia="ru-RU"/>
        </w:rPr>
      </w:pPr>
      <w:r>
        <w:rPr>
          <w:rFonts w:hint="eastAsia" w:ascii="宋体" w:hAnsi="宋体" w:cs="宋体"/>
          <w:color w:val="auto"/>
          <w:kern w:val="0"/>
          <w:szCs w:val="21"/>
          <w:highlight w:val="none"/>
          <w:lang w:val="ru-RU" w:eastAsia="ru-RU"/>
        </w:rPr>
        <w:t>F</w:t>
      </w:r>
      <w:r>
        <w:rPr>
          <w:rFonts w:hint="eastAsia" w:ascii="宋体" w:hAnsi="宋体" w:cs="宋体"/>
          <w:color w:val="auto"/>
          <w:kern w:val="0"/>
          <w:szCs w:val="21"/>
          <w:highlight w:val="none"/>
          <w:vertAlign w:val="subscript"/>
          <w:lang w:val="ru-RU" w:eastAsia="ru-RU"/>
        </w:rPr>
        <w:t>1</w:t>
      </w:r>
      <w:r>
        <w:rPr>
          <w:rFonts w:hint="eastAsia" w:ascii="宋体" w:hAnsi="宋体" w:cs="宋体"/>
          <w:color w:val="auto"/>
          <w:kern w:val="0"/>
          <w:szCs w:val="21"/>
          <w:highlight w:val="none"/>
          <w:lang w:val="ru-RU" w:eastAsia="ru-RU"/>
        </w:rPr>
        <w:t>、F</w:t>
      </w:r>
      <w:r>
        <w:rPr>
          <w:rFonts w:hint="eastAsia" w:ascii="宋体" w:hAnsi="宋体" w:cs="宋体"/>
          <w:color w:val="auto"/>
          <w:kern w:val="0"/>
          <w:szCs w:val="21"/>
          <w:highlight w:val="none"/>
          <w:vertAlign w:val="subscript"/>
          <w:lang w:val="ru-RU" w:eastAsia="ru-RU"/>
        </w:rPr>
        <w:t>2</w:t>
      </w:r>
      <w:r>
        <w:rPr>
          <w:rFonts w:hint="eastAsia" w:ascii="宋体" w:hAnsi="宋体" w:cs="宋体"/>
          <w:color w:val="auto"/>
          <w:kern w:val="0"/>
          <w:szCs w:val="21"/>
          <w:highlight w:val="none"/>
          <w:lang w:val="ru-RU" w:eastAsia="ru-RU"/>
        </w:rPr>
        <w:t>……F</w:t>
      </w:r>
      <w:r>
        <w:rPr>
          <w:rFonts w:hint="eastAsia" w:ascii="宋体" w:hAnsi="宋体" w:cs="宋体"/>
          <w:color w:val="auto"/>
          <w:kern w:val="0"/>
          <w:szCs w:val="21"/>
          <w:highlight w:val="none"/>
          <w:vertAlign w:val="subscript"/>
          <w:lang w:val="ru-RU" w:eastAsia="ru-RU"/>
        </w:rPr>
        <w:t>n</w:t>
      </w:r>
      <w:r>
        <w:rPr>
          <w:rFonts w:hint="eastAsia" w:ascii="宋体" w:hAnsi="宋体" w:cs="宋体"/>
          <w:color w:val="auto"/>
          <w:kern w:val="0"/>
          <w:szCs w:val="21"/>
          <w:highlight w:val="none"/>
          <w:lang w:val="ru-RU" w:eastAsia="ru-RU"/>
        </w:rPr>
        <w:t>分别为各项评审因素的得分；</w:t>
      </w:r>
    </w:p>
    <w:p w14:paraId="7AC3FC7D">
      <w:pPr>
        <w:adjustRightInd w:val="0"/>
        <w:snapToGrid w:val="0"/>
        <w:spacing w:line="460" w:lineRule="exact"/>
        <w:ind w:firstLine="420" w:firstLineChars="200"/>
        <w:rPr>
          <w:rFonts w:ascii="宋体" w:hAnsi="宋体" w:cs="宋体"/>
          <w:color w:val="auto"/>
          <w:kern w:val="0"/>
          <w:szCs w:val="21"/>
          <w:highlight w:val="none"/>
          <w:lang w:val="ru-RU" w:eastAsia="ru-RU"/>
        </w:rPr>
      </w:pPr>
      <w:r>
        <w:rPr>
          <w:rFonts w:hint="eastAsia" w:ascii="宋体" w:hAnsi="宋体" w:cs="宋体"/>
          <w:color w:val="auto"/>
          <w:kern w:val="0"/>
          <w:szCs w:val="21"/>
          <w:highlight w:val="none"/>
          <w:lang w:val="ru-RU" w:eastAsia="ru-RU"/>
        </w:rPr>
        <w:t>A</w:t>
      </w:r>
      <w:r>
        <w:rPr>
          <w:rFonts w:hint="eastAsia" w:ascii="宋体" w:hAnsi="宋体" w:cs="宋体"/>
          <w:color w:val="auto"/>
          <w:kern w:val="0"/>
          <w:szCs w:val="21"/>
          <w:highlight w:val="none"/>
          <w:vertAlign w:val="subscript"/>
          <w:lang w:val="ru-RU" w:eastAsia="ru-RU"/>
        </w:rPr>
        <w:t>1</w:t>
      </w:r>
      <w:r>
        <w:rPr>
          <w:rFonts w:hint="eastAsia" w:ascii="宋体" w:hAnsi="宋体" w:cs="宋体"/>
          <w:color w:val="auto"/>
          <w:kern w:val="0"/>
          <w:szCs w:val="21"/>
          <w:highlight w:val="none"/>
          <w:lang w:val="ru-RU" w:eastAsia="ru-RU"/>
        </w:rPr>
        <w:t>、A</w:t>
      </w:r>
      <w:r>
        <w:rPr>
          <w:rFonts w:hint="eastAsia" w:ascii="宋体" w:hAnsi="宋体" w:cs="宋体"/>
          <w:color w:val="auto"/>
          <w:kern w:val="0"/>
          <w:szCs w:val="21"/>
          <w:highlight w:val="none"/>
          <w:vertAlign w:val="subscript"/>
          <w:lang w:val="ru-RU" w:eastAsia="ru-RU"/>
        </w:rPr>
        <w:t>2</w:t>
      </w:r>
      <w:r>
        <w:rPr>
          <w:rFonts w:hint="eastAsia" w:ascii="宋体" w:hAnsi="宋体" w:cs="宋体"/>
          <w:color w:val="auto"/>
          <w:kern w:val="0"/>
          <w:szCs w:val="21"/>
          <w:highlight w:val="none"/>
          <w:lang w:val="ru-RU" w:eastAsia="ru-RU"/>
        </w:rPr>
        <w:t>、……A</w:t>
      </w:r>
      <w:r>
        <w:rPr>
          <w:rFonts w:hint="eastAsia" w:ascii="宋体" w:hAnsi="宋体" w:cs="宋体"/>
          <w:color w:val="auto"/>
          <w:kern w:val="0"/>
          <w:szCs w:val="21"/>
          <w:highlight w:val="none"/>
          <w:vertAlign w:val="subscript"/>
          <w:lang w:val="ru-RU" w:eastAsia="ru-RU"/>
        </w:rPr>
        <w:t>n</w:t>
      </w:r>
      <w:r>
        <w:rPr>
          <w:rFonts w:hint="eastAsia" w:ascii="宋体" w:hAnsi="宋体" w:cs="宋体"/>
          <w:color w:val="auto"/>
          <w:kern w:val="0"/>
          <w:szCs w:val="21"/>
          <w:highlight w:val="none"/>
          <w:lang w:val="ru-RU" w:eastAsia="ru-RU"/>
        </w:rPr>
        <w:t>分别为各项评审因素所占的权重（A</w:t>
      </w:r>
      <w:r>
        <w:rPr>
          <w:rFonts w:hint="eastAsia" w:ascii="宋体" w:hAnsi="宋体" w:cs="宋体"/>
          <w:color w:val="auto"/>
          <w:kern w:val="0"/>
          <w:szCs w:val="21"/>
          <w:highlight w:val="none"/>
          <w:vertAlign w:val="subscript"/>
          <w:lang w:val="ru-RU" w:eastAsia="ru-RU"/>
        </w:rPr>
        <w:t>1</w:t>
      </w:r>
      <w:r>
        <w:rPr>
          <w:rFonts w:hint="eastAsia" w:ascii="宋体" w:hAnsi="宋体" w:cs="宋体"/>
          <w:color w:val="auto"/>
          <w:kern w:val="0"/>
          <w:szCs w:val="21"/>
          <w:highlight w:val="none"/>
          <w:lang w:val="ru-RU" w:eastAsia="ru-RU"/>
        </w:rPr>
        <w:t>＋A</w:t>
      </w:r>
      <w:r>
        <w:rPr>
          <w:rFonts w:hint="eastAsia" w:ascii="宋体" w:hAnsi="宋体" w:cs="宋体"/>
          <w:color w:val="auto"/>
          <w:kern w:val="0"/>
          <w:szCs w:val="21"/>
          <w:highlight w:val="none"/>
          <w:vertAlign w:val="subscript"/>
          <w:lang w:val="ru-RU" w:eastAsia="ru-RU"/>
        </w:rPr>
        <w:t>2</w:t>
      </w:r>
      <w:r>
        <w:rPr>
          <w:rFonts w:hint="eastAsia" w:ascii="宋体" w:hAnsi="宋体" w:cs="宋体"/>
          <w:color w:val="auto"/>
          <w:kern w:val="0"/>
          <w:szCs w:val="21"/>
          <w:highlight w:val="none"/>
          <w:lang w:val="ru-RU" w:eastAsia="ru-RU"/>
        </w:rPr>
        <w:t>＋…＋A</w:t>
      </w:r>
      <w:r>
        <w:rPr>
          <w:rFonts w:hint="eastAsia" w:ascii="宋体" w:hAnsi="宋体" w:cs="宋体"/>
          <w:color w:val="auto"/>
          <w:kern w:val="0"/>
          <w:szCs w:val="21"/>
          <w:highlight w:val="none"/>
          <w:vertAlign w:val="subscript"/>
          <w:lang w:val="ru-RU" w:eastAsia="ru-RU"/>
        </w:rPr>
        <w:t>n</w:t>
      </w:r>
      <w:r>
        <w:rPr>
          <w:rFonts w:hint="eastAsia" w:ascii="宋体" w:hAnsi="宋体" w:cs="宋体"/>
          <w:color w:val="auto"/>
          <w:kern w:val="0"/>
          <w:szCs w:val="21"/>
          <w:highlight w:val="none"/>
          <w:lang w:val="ru-RU" w:eastAsia="ru-RU"/>
        </w:rPr>
        <w:t>＝1）。</w:t>
      </w:r>
    </w:p>
    <w:p w14:paraId="63F4DA94">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5.2评分分值计算保留小数点后两位，小数点后第三位“四舍五入”。</w:t>
      </w:r>
    </w:p>
    <w:p w14:paraId="7914F7C9">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s="宋体"/>
          <w:color w:val="auto"/>
          <w:kern w:val="0"/>
          <w:szCs w:val="21"/>
          <w:highlight w:val="none"/>
        </w:rPr>
        <w:t>5.3</w:t>
      </w:r>
      <w:r>
        <w:rPr>
          <w:rFonts w:hint="eastAsia" w:ascii="宋体" w:hAnsi="宋体" w:eastAsia="宋体"/>
          <w:color w:val="auto"/>
          <w:szCs w:val="21"/>
          <w:highlight w:val="none"/>
        </w:rPr>
        <w:t>评标时，评标委员会成员应当独立对满足招标文件全部实质性要求投标人的</w:t>
      </w:r>
      <w:r>
        <w:rPr>
          <w:rFonts w:hint="eastAsia" w:ascii="宋体" w:hAnsi="宋体" w:eastAsia="宋体"/>
          <w:bCs/>
          <w:color w:val="auto"/>
          <w:szCs w:val="21"/>
          <w:highlight w:val="none"/>
        </w:rPr>
        <w:t>投标文件</w:t>
      </w:r>
      <w:r>
        <w:rPr>
          <w:rFonts w:hint="eastAsia" w:ascii="宋体" w:hAnsi="宋体" w:eastAsia="宋体"/>
          <w:color w:val="auto"/>
          <w:szCs w:val="21"/>
          <w:highlight w:val="none"/>
        </w:rPr>
        <w:t>进行评价、评分，然后汇总每个投标人每项评分因素的得分。每个投标人的最终得分为所有评标委员会成员评分的算术平均值。</w:t>
      </w:r>
    </w:p>
    <w:p w14:paraId="1D87AA56">
      <w:pPr>
        <w:numPr>
          <w:ilvl w:val="0"/>
          <w:numId w:val="6"/>
        </w:numPr>
        <w:adjustRightInd w:val="0"/>
        <w:snapToGrid w:val="0"/>
        <w:spacing w:before="156" w:beforeLines="50" w:line="360" w:lineRule="auto"/>
        <w:ind w:left="0" w:leftChars="0" w:firstLine="0" w:firstLineChars="0"/>
        <w:jc w:val="left"/>
        <w:rPr>
          <w:rFonts w:ascii="黑体" w:hAnsi="黑体" w:eastAsia="黑体"/>
          <w:b/>
          <w:bCs/>
          <w:color w:val="auto"/>
          <w:sz w:val="24"/>
          <w:highlight w:val="none"/>
        </w:rPr>
      </w:pPr>
      <w:r>
        <w:rPr>
          <w:rFonts w:hint="eastAsia" w:ascii="黑体" w:hAnsi="黑体" w:eastAsia="黑体"/>
          <w:b/>
          <w:bCs/>
          <w:color w:val="auto"/>
          <w:sz w:val="24"/>
          <w:highlight w:val="none"/>
        </w:rPr>
        <w:t>中标候选人的推荐方法</w:t>
      </w:r>
    </w:p>
    <w:p w14:paraId="4C235C5F">
      <w:pPr>
        <w:adjustRightInd w:val="0"/>
        <w:snapToGrid w:val="0"/>
        <w:spacing w:before="156" w:beforeLines="50" w:line="360" w:lineRule="auto"/>
        <w:ind w:firstLine="420" w:firstLineChars="200"/>
        <w:jc w:val="left"/>
        <w:rPr>
          <w:rFonts w:ascii="宋体" w:hAnsi="宋体" w:eastAsia="宋体"/>
          <w:bCs/>
          <w:color w:val="auto"/>
          <w:szCs w:val="21"/>
          <w:highlight w:val="none"/>
        </w:rPr>
      </w:pPr>
      <w:r>
        <w:rPr>
          <w:rFonts w:hint="eastAsia" w:ascii="宋体" w:hAnsi="宋体" w:eastAsia="宋体"/>
          <w:bCs/>
          <w:color w:val="auto"/>
          <w:szCs w:val="21"/>
          <w:highlight w:val="none"/>
        </w:rPr>
        <w:t>6.1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3435FE22">
      <w:pPr>
        <w:adjustRightInd w:val="0"/>
        <w:snapToGrid w:val="0"/>
        <w:spacing w:before="156" w:beforeLines="50" w:line="360" w:lineRule="auto"/>
        <w:ind w:firstLine="420" w:firstLineChars="200"/>
        <w:jc w:val="left"/>
        <w:rPr>
          <w:rFonts w:ascii="宋体" w:hAnsi="宋体" w:eastAsia="宋体"/>
          <w:bCs/>
          <w:color w:val="auto"/>
          <w:szCs w:val="21"/>
          <w:highlight w:val="none"/>
        </w:rPr>
      </w:pPr>
      <w:r>
        <w:rPr>
          <w:rFonts w:hint="eastAsia" w:ascii="宋体" w:hAnsi="宋体" w:eastAsia="宋体"/>
          <w:bCs/>
          <w:color w:val="auto"/>
          <w:szCs w:val="21"/>
          <w:highlight w:val="none"/>
        </w:rPr>
        <w:t>6.2得分且投标报价相同的并列，按本章第二节规定确定中标候选人。</w:t>
      </w:r>
    </w:p>
    <w:p w14:paraId="48DD1070">
      <w:pPr>
        <w:adjustRightInd w:val="0"/>
        <w:snapToGrid w:val="0"/>
        <w:spacing w:before="156" w:beforeLines="50" w:line="360" w:lineRule="auto"/>
        <w:ind w:firstLine="420" w:firstLineChars="200"/>
        <w:jc w:val="left"/>
        <w:rPr>
          <w:rFonts w:ascii="宋体" w:hAnsi="宋体" w:eastAsia="宋体"/>
          <w:bCs/>
          <w:color w:val="auto"/>
          <w:szCs w:val="21"/>
          <w:highlight w:val="none"/>
        </w:rPr>
      </w:pPr>
    </w:p>
    <w:p w14:paraId="323D925C">
      <w:pPr>
        <w:widowControl/>
        <w:jc w:val="left"/>
        <w:rPr>
          <w:rFonts w:ascii="宋体" w:hAnsi="宋体" w:eastAsia="宋体"/>
          <w:bCs/>
          <w:color w:val="auto"/>
          <w:sz w:val="10"/>
          <w:szCs w:val="10"/>
          <w:highlight w:val="none"/>
        </w:rPr>
      </w:pPr>
      <w:r>
        <w:rPr>
          <w:rFonts w:ascii="宋体" w:hAnsi="宋体" w:eastAsia="宋体"/>
          <w:bCs/>
          <w:color w:val="auto"/>
          <w:szCs w:val="21"/>
          <w:highlight w:val="none"/>
        </w:rPr>
        <w:br w:type="page"/>
      </w:r>
    </w:p>
    <w:p w14:paraId="69B72708">
      <w:pPr>
        <w:pStyle w:val="4"/>
        <w:adjustRightInd w:val="0"/>
        <w:snapToGrid w:val="0"/>
        <w:spacing w:before="156" w:beforeLines="50" w:after="0" w:line="360" w:lineRule="auto"/>
        <w:rPr>
          <w:rFonts w:hint="eastAsia" w:ascii="黑体" w:hAnsi="黑体" w:eastAsia="黑体" w:cs="黑体"/>
          <w:b w:val="0"/>
          <w:bCs w:val="0"/>
          <w:color w:val="auto"/>
          <w:sz w:val="21"/>
          <w:szCs w:val="21"/>
          <w:highlight w:val="none"/>
        </w:rPr>
      </w:pPr>
      <w:bookmarkStart w:id="80" w:name="_Toc27168"/>
      <w:bookmarkStart w:id="81" w:name="_Toc6720"/>
      <w:r>
        <w:rPr>
          <w:rFonts w:hint="eastAsia" w:ascii="黑体" w:hAnsi="黑体" w:eastAsia="黑体" w:cs="黑体"/>
          <w:b w:val="0"/>
          <w:bCs w:val="0"/>
          <w:color w:val="auto"/>
          <w:sz w:val="21"/>
          <w:szCs w:val="21"/>
          <w:highlight w:val="none"/>
        </w:rPr>
        <w:t>附表1 评标方法及标准表</w:t>
      </w:r>
      <w:bookmarkEnd w:id="80"/>
      <w:bookmarkEnd w:id="81"/>
    </w:p>
    <w:p w14:paraId="18BDBC4C">
      <w:pPr>
        <w:pStyle w:val="24"/>
        <w:ind w:left="0" w:leftChars="0" w:firstLine="0" w:firstLineChars="0"/>
        <w:jc w:val="center"/>
        <w:rPr>
          <w:b/>
          <w:bCs/>
          <w:color w:val="auto"/>
          <w:highlight w:val="none"/>
        </w:rPr>
      </w:pPr>
      <w:r>
        <w:rPr>
          <w:rFonts w:hint="eastAsia"/>
          <w:b/>
          <w:bCs/>
          <w:color w:val="auto"/>
          <w:highlight w:val="none"/>
        </w:rPr>
        <w:t>权值见下表</w:t>
      </w:r>
    </w:p>
    <w:tbl>
      <w:tblPr>
        <w:tblStyle w:val="25"/>
        <w:tblW w:w="8998"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734"/>
        <w:gridCol w:w="4775"/>
        <w:gridCol w:w="3489"/>
      </w:tblGrid>
      <w:tr w14:paraId="62BFABC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8" w:hRule="exact"/>
          <w:jc w:val="center"/>
        </w:trPr>
        <w:tc>
          <w:tcPr>
            <w:tcW w:w="734" w:type="dxa"/>
            <w:noWrap w:val="0"/>
            <w:vAlign w:val="center"/>
          </w:tcPr>
          <w:p w14:paraId="3BA0D587">
            <w:pPr>
              <w:adjustRightInd w:val="0"/>
              <w:snapToGrid w:val="0"/>
              <w:spacing w:line="240" w:lineRule="exact"/>
              <w:rPr>
                <w:rFonts w:hint="eastAsia" w:ascii="宋体" w:hAnsi="宋体" w:eastAsia="宋体" w:cs="宋体"/>
                <w:b/>
                <w:bCs/>
                <w:color w:val="auto"/>
                <w:kern w:val="0"/>
                <w:sz w:val="20"/>
                <w:szCs w:val="20"/>
                <w:highlight w:val="none"/>
                <w:lang w:val="ru-RU" w:eastAsia="ru-RU"/>
              </w:rPr>
            </w:pPr>
            <w:r>
              <w:rPr>
                <w:rFonts w:hint="eastAsia" w:ascii="宋体" w:hAnsi="宋体" w:eastAsia="宋体" w:cs="宋体"/>
                <w:b/>
                <w:bCs/>
                <w:color w:val="auto"/>
                <w:kern w:val="0"/>
                <w:sz w:val="20"/>
                <w:szCs w:val="20"/>
                <w:highlight w:val="none"/>
                <w:lang w:val="ru-RU" w:eastAsia="ru-RU"/>
              </w:rPr>
              <w:t>序号</w:t>
            </w:r>
          </w:p>
        </w:tc>
        <w:tc>
          <w:tcPr>
            <w:tcW w:w="4775" w:type="dxa"/>
            <w:noWrap w:val="0"/>
            <w:vAlign w:val="center"/>
          </w:tcPr>
          <w:p w14:paraId="3B70CC8B">
            <w:pPr>
              <w:adjustRightInd w:val="0"/>
              <w:snapToGrid w:val="0"/>
              <w:spacing w:line="240" w:lineRule="exact"/>
              <w:jc w:val="center"/>
              <w:rPr>
                <w:rFonts w:hint="eastAsia" w:ascii="宋体" w:hAnsi="宋体" w:eastAsia="宋体" w:cs="宋体"/>
                <w:b/>
                <w:bCs/>
                <w:color w:val="auto"/>
                <w:kern w:val="0"/>
                <w:sz w:val="20"/>
                <w:szCs w:val="20"/>
                <w:highlight w:val="none"/>
                <w:lang w:val="ru-RU" w:eastAsia="ru-RU"/>
              </w:rPr>
            </w:pPr>
            <w:r>
              <w:rPr>
                <w:rFonts w:hint="eastAsia" w:ascii="宋体" w:hAnsi="宋体" w:eastAsia="宋体" w:cs="宋体"/>
                <w:b/>
                <w:bCs/>
                <w:color w:val="auto"/>
                <w:kern w:val="0"/>
                <w:sz w:val="20"/>
                <w:szCs w:val="20"/>
                <w:highlight w:val="none"/>
                <w:lang w:val="ru-RU" w:eastAsia="ru-RU"/>
              </w:rPr>
              <w:t>项     目</w:t>
            </w:r>
          </w:p>
        </w:tc>
        <w:tc>
          <w:tcPr>
            <w:tcW w:w="3489" w:type="dxa"/>
            <w:noWrap w:val="0"/>
            <w:vAlign w:val="center"/>
          </w:tcPr>
          <w:p w14:paraId="71754C44">
            <w:pPr>
              <w:adjustRightInd w:val="0"/>
              <w:snapToGrid w:val="0"/>
              <w:spacing w:line="240" w:lineRule="exact"/>
              <w:jc w:val="center"/>
              <w:rPr>
                <w:rFonts w:hint="eastAsia" w:ascii="宋体" w:hAnsi="宋体" w:eastAsia="宋体" w:cs="宋体"/>
                <w:b/>
                <w:bCs/>
                <w:color w:val="auto"/>
                <w:kern w:val="0"/>
                <w:sz w:val="20"/>
                <w:szCs w:val="20"/>
                <w:highlight w:val="none"/>
                <w:lang w:val="ru-RU" w:eastAsia="ru-RU"/>
              </w:rPr>
            </w:pPr>
            <w:r>
              <w:rPr>
                <w:rFonts w:hint="eastAsia" w:ascii="宋体" w:hAnsi="宋体" w:eastAsia="宋体" w:cs="宋体"/>
                <w:b/>
                <w:bCs/>
                <w:color w:val="auto"/>
                <w:kern w:val="0"/>
                <w:sz w:val="20"/>
                <w:szCs w:val="20"/>
                <w:highlight w:val="none"/>
                <w:lang w:val="ru-RU" w:eastAsia="ru-RU"/>
              </w:rPr>
              <w:t>权值的取值</w:t>
            </w:r>
          </w:p>
        </w:tc>
      </w:tr>
      <w:tr w14:paraId="744D807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19" w:hRule="atLeast"/>
          <w:jc w:val="center"/>
        </w:trPr>
        <w:tc>
          <w:tcPr>
            <w:tcW w:w="734" w:type="dxa"/>
            <w:noWrap w:val="0"/>
            <w:vAlign w:val="center"/>
          </w:tcPr>
          <w:p w14:paraId="00AEA676">
            <w:pPr>
              <w:adjustRightInd w:val="0"/>
              <w:snapToGrid w:val="0"/>
              <w:spacing w:line="240" w:lineRule="exact"/>
              <w:jc w:val="center"/>
              <w:rPr>
                <w:rFonts w:hint="eastAsia" w:ascii="宋体" w:hAnsi="宋体" w:eastAsia="宋体" w:cs="宋体"/>
                <w:color w:val="auto"/>
                <w:kern w:val="0"/>
                <w:sz w:val="20"/>
                <w:szCs w:val="20"/>
                <w:highlight w:val="none"/>
                <w:lang w:val="ru-RU" w:eastAsia="ru-RU"/>
              </w:rPr>
            </w:pPr>
            <w:r>
              <w:rPr>
                <w:rFonts w:hint="eastAsia" w:ascii="宋体" w:hAnsi="宋体" w:eastAsia="宋体" w:cs="宋体"/>
                <w:color w:val="auto"/>
                <w:kern w:val="0"/>
                <w:sz w:val="20"/>
                <w:szCs w:val="20"/>
                <w:highlight w:val="none"/>
                <w:lang w:val="ru-RU" w:eastAsia="ru-RU"/>
              </w:rPr>
              <w:t>1</w:t>
            </w:r>
          </w:p>
        </w:tc>
        <w:tc>
          <w:tcPr>
            <w:tcW w:w="4775" w:type="dxa"/>
            <w:noWrap w:val="0"/>
            <w:vAlign w:val="center"/>
          </w:tcPr>
          <w:p w14:paraId="7A22022A">
            <w:pPr>
              <w:adjustRightInd w:val="0"/>
              <w:snapToGrid w:val="0"/>
              <w:spacing w:line="240" w:lineRule="exact"/>
              <w:jc w:val="center"/>
              <w:rPr>
                <w:rFonts w:hint="eastAsia" w:ascii="宋体" w:hAnsi="宋体" w:eastAsia="宋体" w:cs="宋体"/>
                <w:color w:val="auto"/>
                <w:kern w:val="0"/>
                <w:sz w:val="20"/>
                <w:szCs w:val="20"/>
                <w:highlight w:val="none"/>
                <w:lang w:val="ru-RU"/>
              </w:rPr>
            </w:pPr>
            <w:r>
              <w:rPr>
                <w:rFonts w:hint="eastAsia" w:ascii="宋体" w:hAnsi="宋体" w:eastAsia="宋体" w:cs="宋体"/>
                <w:color w:val="auto"/>
                <w:kern w:val="0"/>
                <w:sz w:val="20"/>
                <w:szCs w:val="20"/>
                <w:highlight w:val="none"/>
                <w:lang w:val="ru-RU" w:eastAsia="ru-RU"/>
              </w:rPr>
              <w:t>报价</w:t>
            </w:r>
            <w:r>
              <w:rPr>
                <w:rFonts w:hint="eastAsia" w:ascii="宋体" w:hAnsi="宋体" w:eastAsia="宋体" w:cs="宋体"/>
                <w:color w:val="auto"/>
                <w:kern w:val="0"/>
                <w:sz w:val="20"/>
                <w:szCs w:val="20"/>
                <w:highlight w:val="none"/>
                <w:lang w:val="ru-RU"/>
              </w:rPr>
              <w:t>（A1）</w:t>
            </w:r>
          </w:p>
        </w:tc>
        <w:tc>
          <w:tcPr>
            <w:tcW w:w="3489" w:type="dxa"/>
            <w:noWrap w:val="0"/>
            <w:vAlign w:val="center"/>
          </w:tcPr>
          <w:p w14:paraId="79955A4A">
            <w:pPr>
              <w:adjustRightInd w:val="0"/>
              <w:snapToGrid w:val="0"/>
              <w:spacing w:line="240" w:lineRule="exact"/>
              <w:jc w:val="center"/>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0.</w:t>
            </w:r>
            <w:r>
              <w:rPr>
                <w:rFonts w:hint="eastAsia" w:ascii="宋体" w:hAnsi="宋体" w:eastAsia="宋体" w:cs="宋体"/>
                <w:color w:val="auto"/>
                <w:kern w:val="0"/>
                <w:sz w:val="20"/>
                <w:szCs w:val="20"/>
                <w:highlight w:val="none"/>
                <w:lang w:val="en-US" w:eastAsia="zh-CN"/>
              </w:rPr>
              <w:t>6</w:t>
            </w:r>
            <w:r>
              <w:rPr>
                <w:rFonts w:hint="eastAsia" w:ascii="宋体" w:hAnsi="宋体" w:eastAsia="宋体" w:cs="宋体"/>
                <w:color w:val="auto"/>
                <w:kern w:val="0"/>
                <w:sz w:val="20"/>
                <w:szCs w:val="20"/>
                <w:highlight w:val="none"/>
              </w:rPr>
              <w:t>0</w:t>
            </w:r>
          </w:p>
        </w:tc>
      </w:tr>
      <w:tr w14:paraId="6654A83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30" w:hRule="atLeast"/>
          <w:jc w:val="center"/>
        </w:trPr>
        <w:tc>
          <w:tcPr>
            <w:tcW w:w="734" w:type="dxa"/>
            <w:noWrap w:val="0"/>
            <w:vAlign w:val="center"/>
          </w:tcPr>
          <w:p w14:paraId="0F2E94B1">
            <w:pPr>
              <w:adjustRightInd w:val="0"/>
              <w:snapToGrid w:val="0"/>
              <w:spacing w:line="240" w:lineRule="exact"/>
              <w:jc w:val="center"/>
              <w:rPr>
                <w:rFonts w:hint="eastAsia" w:ascii="宋体" w:hAnsi="宋体" w:eastAsia="宋体" w:cs="宋体"/>
                <w:color w:val="auto"/>
                <w:kern w:val="0"/>
                <w:sz w:val="20"/>
                <w:szCs w:val="20"/>
                <w:highlight w:val="none"/>
                <w:lang w:val="ru-RU" w:eastAsia="ru-RU"/>
              </w:rPr>
            </w:pPr>
            <w:r>
              <w:rPr>
                <w:rFonts w:hint="eastAsia" w:ascii="宋体" w:hAnsi="宋体" w:eastAsia="宋体" w:cs="宋体"/>
                <w:color w:val="auto"/>
                <w:kern w:val="0"/>
                <w:sz w:val="20"/>
                <w:szCs w:val="20"/>
                <w:highlight w:val="none"/>
                <w:lang w:val="ru-RU" w:eastAsia="ru-RU"/>
              </w:rPr>
              <w:t>2</w:t>
            </w:r>
          </w:p>
        </w:tc>
        <w:tc>
          <w:tcPr>
            <w:tcW w:w="4775" w:type="dxa"/>
            <w:noWrap w:val="0"/>
            <w:vAlign w:val="center"/>
          </w:tcPr>
          <w:p w14:paraId="4B06836F">
            <w:pPr>
              <w:adjustRightInd w:val="0"/>
              <w:snapToGrid w:val="0"/>
              <w:spacing w:line="240" w:lineRule="exact"/>
              <w:jc w:val="center"/>
              <w:rPr>
                <w:rFonts w:hint="eastAsia" w:ascii="宋体" w:hAnsi="宋体" w:eastAsia="宋体" w:cs="宋体"/>
                <w:color w:val="auto"/>
                <w:kern w:val="0"/>
                <w:sz w:val="20"/>
                <w:szCs w:val="20"/>
                <w:highlight w:val="none"/>
                <w:lang w:val="ru-RU" w:eastAsia="ru-RU"/>
              </w:rPr>
            </w:pPr>
            <w:r>
              <w:rPr>
                <w:rFonts w:hint="eastAsia" w:ascii="宋体" w:hAnsi="宋体" w:eastAsia="宋体" w:cs="宋体"/>
                <w:color w:val="auto"/>
                <w:kern w:val="0"/>
                <w:sz w:val="20"/>
                <w:szCs w:val="20"/>
                <w:highlight w:val="none"/>
                <w:lang w:val="ru-RU" w:eastAsia="ru-RU"/>
              </w:rPr>
              <w:t>技术</w:t>
            </w:r>
            <w:r>
              <w:rPr>
                <w:rFonts w:hint="eastAsia" w:ascii="宋体" w:hAnsi="宋体" w:eastAsia="宋体" w:cs="宋体"/>
                <w:color w:val="auto"/>
                <w:kern w:val="0"/>
                <w:sz w:val="20"/>
                <w:szCs w:val="20"/>
                <w:highlight w:val="none"/>
                <w:lang w:val="ru-RU"/>
              </w:rPr>
              <w:t>（A2）</w:t>
            </w:r>
          </w:p>
        </w:tc>
        <w:tc>
          <w:tcPr>
            <w:tcW w:w="3489" w:type="dxa"/>
            <w:noWrap w:val="0"/>
            <w:vAlign w:val="center"/>
          </w:tcPr>
          <w:p w14:paraId="774BDB2C">
            <w:pPr>
              <w:adjustRightInd w:val="0"/>
              <w:snapToGrid w:val="0"/>
              <w:spacing w:line="240" w:lineRule="exact"/>
              <w:jc w:val="center"/>
              <w:rPr>
                <w:rFonts w:hint="eastAsia" w:ascii="宋体" w:hAnsi="宋体" w:eastAsia="宋体" w:cs="宋体"/>
                <w:color w:val="auto"/>
                <w:kern w:val="0"/>
                <w:sz w:val="20"/>
                <w:szCs w:val="20"/>
                <w:highlight w:val="none"/>
                <w:lang w:val="en-US" w:eastAsia="zh-CN"/>
              </w:rPr>
            </w:pPr>
            <w:r>
              <w:rPr>
                <w:rFonts w:hint="eastAsia" w:ascii="宋体" w:hAnsi="宋体" w:eastAsia="宋体" w:cs="宋体"/>
                <w:color w:val="auto"/>
                <w:kern w:val="0"/>
                <w:sz w:val="20"/>
                <w:szCs w:val="20"/>
                <w:highlight w:val="none"/>
              </w:rPr>
              <w:t>0.</w:t>
            </w:r>
            <w:r>
              <w:rPr>
                <w:rFonts w:hint="eastAsia" w:ascii="宋体" w:hAnsi="宋体" w:eastAsia="宋体" w:cs="宋体"/>
                <w:color w:val="auto"/>
                <w:kern w:val="0"/>
                <w:sz w:val="20"/>
                <w:szCs w:val="20"/>
                <w:highlight w:val="none"/>
                <w:lang w:val="en-US" w:eastAsia="zh-CN"/>
              </w:rPr>
              <w:t>35</w:t>
            </w:r>
          </w:p>
        </w:tc>
      </w:tr>
      <w:tr w14:paraId="702481D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30" w:hRule="atLeast"/>
          <w:jc w:val="center"/>
        </w:trPr>
        <w:tc>
          <w:tcPr>
            <w:tcW w:w="734" w:type="dxa"/>
            <w:noWrap w:val="0"/>
            <w:vAlign w:val="center"/>
          </w:tcPr>
          <w:p w14:paraId="1FABC8C1">
            <w:pPr>
              <w:adjustRightInd w:val="0"/>
              <w:snapToGrid w:val="0"/>
              <w:spacing w:line="240" w:lineRule="exact"/>
              <w:jc w:val="center"/>
              <w:rPr>
                <w:rFonts w:hint="eastAsia" w:ascii="宋体" w:hAnsi="宋体" w:eastAsia="宋体" w:cs="宋体"/>
                <w:color w:val="auto"/>
                <w:kern w:val="0"/>
                <w:sz w:val="20"/>
                <w:szCs w:val="20"/>
                <w:highlight w:val="none"/>
                <w:lang w:val="ru-RU" w:eastAsia="ru-RU"/>
              </w:rPr>
            </w:pPr>
            <w:r>
              <w:rPr>
                <w:rFonts w:hint="eastAsia" w:ascii="宋体" w:hAnsi="宋体" w:eastAsia="宋体" w:cs="宋体"/>
                <w:color w:val="auto"/>
                <w:kern w:val="0"/>
                <w:sz w:val="20"/>
                <w:szCs w:val="20"/>
                <w:highlight w:val="none"/>
                <w:lang w:val="ru-RU" w:eastAsia="ru-RU"/>
              </w:rPr>
              <w:t>3</w:t>
            </w:r>
          </w:p>
        </w:tc>
        <w:tc>
          <w:tcPr>
            <w:tcW w:w="4775" w:type="dxa"/>
            <w:noWrap w:val="0"/>
            <w:vAlign w:val="center"/>
          </w:tcPr>
          <w:p w14:paraId="625EEA1B">
            <w:pPr>
              <w:adjustRightInd w:val="0"/>
              <w:snapToGrid w:val="0"/>
              <w:spacing w:line="240" w:lineRule="exact"/>
              <w:jc w:val="center"/>
              <w:rPr>
                <w:rFonts w:hint="eastAsia" w:ascii="宋体" w:hAnsi="宋体" w:eastAsia="宋体" w:cs="宋体"/>
                <w:color w:val="auto"/>
                <w:kern w:val="0"/>
                <w:sz w:val="20"/>
                <w:szCs w:val="20"/>
                <w:highlight w:val="none"/>
                <w:lang w:val="ru-RU"/>
              </w:rPr>
            </w:pPr>
            <w:r>
              <w:rPr>
                <w:rFonts w:hint="eastAsia" w:ascii="宋体" w:hAnsi="宋体" w:eastAsia="宋体" w:cs="宋体"/>
                <w:color w:val="auto"/>
                <w:kern w:val="0"/>
                <w:sz w:val="20"/>
                <w:szCs w:val="20"/>
                <w:highlight w:val="none"/>
                <w:lang w:val="ru-RU"/>
              </w:rPr>
              <w:t>商务（A3）</w:t>
            </w:r>
          </w:p>
        </w:tc>
        <w:tc>
          <w:tcPr>
            <w:tcW w:w="3489" w:type="dxa"/>
            <w:noWrap w:val="0"/>
            <w:vAlign w:val="center"/>
          </w:tcPr>
          <w:p w14:paraId="20E8EF67">
            <w:pPr>
              <w:adjustRightInd w:val="0"/>
              <w:snapToGrid w:val="0"/>
              <w:spacing w:line="240" w:lineRule="exact"/>
              <w:jc w:val="center"/>
              <w:rPr>
                <w:rFonts w:hint="eastAsia" w:ascii="宋体" w:hAnsi="宋体" w:eastAsia="宋体" w:cs="宋体"/>
                <w:color w:val="auto"/>
                <w:kern w:val="0"/>
                <w:sz w:val="20"/>
                <w:szCs w:val="20"/>
                <w:highlight w:val="none"/>
                <w:lang w:val="en-US" w:eastAsia="zh-CN"/>
              </w:rPr>
            </w:pPr>
            <w:r>
              <w:rPr>
                <w:rFonts w:hint="eastAsia" w:ascii="宋体" w:hAnsi="宋体" w:eastAsia="宋体" w:cs="宋体"/>
                <w:color w:val="auto"/>
                <w:kern w:val="0"/>
                <w:sz w:val="20"/>
                <w:szCs w:val="20"/>
                <w:highlight w:val="none"/>
              </w:rPr>
              <w:t>0.</w:t>
            </w:r>
            <w:r>
              <w:rPr>
                <w:rFonts w:hint="eastAsia" w:ascii="宋体" w:hAnsi="宋体" w:eastAsia="宋体" w:cs="宋体"/>
                <w:color w:val="auto"/>
                <w:kern w:val="0"/>
                <w:sz w:val="20"/>
                <w:szCs w:val="20"/>
                <w:highlight w:val="none"/>
                <w:lang w:val="en-US" w:eastAsia="zh-CN"/>
              </w:rPr>
              <w:t>05</w:t>
            </w:r>
          </w:p>
        </w:tc>
      </w:tr>
      <w:tr w14:paraId="5986488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9" w:hRule="atLeast"/>
          <w:jc w:val="center"/>
        </w:trPr>
        <w:tc>
          <w:tcPr>
            <w:tcW w:w="5509" w:type="dxa"/>
            <w:gridSpan w:val="2"/>
            <w:noWrap w:val="0"/>
            <w:vAlign w:val="center"/>
          </w:tcPr>
          <w:p w14:paraId="1C5EA925">
            <w:pPr>
              <w:adjustRightInd w:val="0"/>
              <w:snapToGrid w:val="0"/>
              <w:spacing w:line="240" w:lineRule="exact"/>
              <w:jc w:val="center"/>
              <w:rPr>
                <w:rFonts w:hint="eastAsia" w:ascii="宋体" w:hAnsi="宋体" w:eastAsia="宋体" w:cs="宋体"/>
                <w:color w:val="auto"/>
                <w:kern w:val="0"/>
                <w:sz w:val="20"/>
                <w:szCs w:val="20"/>
                <w:highlight w:val="none"/>
                <w:lang w:val="ru-RU" w:eastAsia="ru-RU"/>
              </w:rPr>
            </w:pPr>
            <w:r>
              <w:rPr>
                <w:rFonts w:hint="eastAsia" w:ascii="宋体" w:hAnsi="宋体" w:eastAsia="宋体" w:cs="宋体"/>
                <w:color w:val="auto"/>
                <w:kern w:val="0"/>
                <w:sz w:val="20"/>
                <w:szCs w:val="20"/>
                <w:highlight w:val="none"/>
              </w:rPr>
              <w:t xml:space="preserve">       </w:t>
            </w:r>
            <w:r>
              <w:rPr>
                <w:rFonts w:hint="eastAsia" w:ascii="宋体" w:hAnsi="宋体" w:eastAsia="宋体" w:cs="宋体"/>
                <w:color w:val="auto"/>
                <w:kern w:val="0"/>
                <w:sz w:val="20"/>
                <w:szCs w:val="20"/>
                <w:highlight w:val="none"/>
                <w:lang w:val="ru-RU"/>
              </w:rPr>
              <w:t>合计</w:t>
            </w:r>
          </w:p>
        </w:tc>
        <w:tc>
          <w:tcPr>
            <w:tcW w:w="3489" w:type="dxa"/>
            <w:noWrap w:val="0"/>
            <w:vAlign w:val="center"/>
          </w:tcPr>
          <w:p w14:paraId="0E5BC4A2">
            <w:pPr>
              <w:adjustRightInd w:val="0"/>
              <w:snapToGrid w:val="0"/>
              <w:spacing w:line="240" w:lineRule="exact"/>
              <w:jc w:val="center"/>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1.00</w:t>
            </w:r>
          </w:p>
        </w:tc>
      </w:tr>
    </w:tbl>
    <w:p w14:paraId="7F21C8A7">
      <w:pPr>
        <w:adjustRightInd w:val="0"/>
        <w:snapToGrid w:val="0"/>
        <w:spacing w:before="156" w:beforeLines="50" w:line="360" w:lineRule="auto"/>
        <w:jc w:val="center"/>
        <w:rPr>
          <w:rFonts w:hint="eastAsia" w:ascii="宋体" w:hAnsi="宋体" w:eastAsia="宋体" w:cs="宋体"/>
          <w:b/>
          <w:bCs/>
          <w:color w:val="auto"/>
          <w:sz w:val="20"/>
          <w:szCs w:val="20"/>
          <w:highlight w:val="none"/>
        </w:rPr>
      </w:pPr>
    </w:p>
    <w:p w14:paraId="33B80613">
      <w:pPr>
        <w:adjustRightInd w:val="0"/>
        <w:snapToGrid w:val="0"/>
        <w:spacing w:before="156" w:beforeLines="50" w:line="360" w:lineRule="auto"/>
        <w:jc w:val="center"/>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附表1.1投标报价评审标准表</w:t>
      </w:r>
    </w:p>
    <w:tbl>
      <w:tblPr>
        <w:tblStyle w:val="25"/>
        <w:tblW w:w="9098"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503"/>
        <w:gridCol w:w="2160"/>
        <w:gridCol w:w="6435"/>
      </w:tblGrid>
      <w:tr w14:paraId="41E2667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52" w:hRule="atLeast"/>
          <w:jc w:val="center"/>
        </w:trPr>
        <w:tc>
          <w:tcPr>
            <w:tcW w:w="503" w:type="dxa"/>
            <w:tcBorders>
              <w:right w:val="single" w:color="auto" w:sz="4" w:space="0"/>
            </w:tcBorders>
            <w:noWrap w:val="0"/>
            <w:vAlign w:val="center"/>
          </w:tcPr>
          <w:p w14:paraId="74489649">
            <w:pPr>
              <w:adjustRightInd w:val="0"/>
              <w:snapToGrid w:val="0"/>
              <w:jc w:val="center"/>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t>序号</w:t>
            </w:r>
          </w:p>
        </w:tc>
        <w:tc>
          <w:tcPr>
            <w:tcW w:w="2160" w:type="dxa"/>
            <w:tcBorders>
              <w:left w:val="single" w:color="auto" w:sz="4" w:space="0"/>
              <w:right w:val="single" w:color="auto" w:sz="4" w:space="0"/>
            </w:tcBorders>
            <w:noWrap w:val="0"/>
            <w:vAlign w:val="center"/>
          </w:tcPr>
          <w:p w14:paraId="0BA8DCEE">
            <w:pPr>
              <w:adjustRightInd w:val="0"/>
              <w:snapToGrid w:val="0"/>
              <w:jc w:val="center"/>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t>评标因素（权重分）</w:t>
            </w:r>
          </w:p>
        </w:tc>
        <w:tc>
          <w:tcPr>
            <w:tcW w:w="6435" w:type="dxa"/>
            <w:tcBorders>
              <w:left w:val="single" w:color="auto" w:sz="4" w:space="0"/>
            </w:tcBorders>
            <w:noWrap w:val="0"/>
            <w:vAlign w:val="center"/>
          </w:tcPr>
          <w:p w14:paraId="6693FE86">
            <w:pPr>
              <w:adjustRightInd w:val="0"/>
              <w:snapToGrid w:val="0"/>
              <w:jc w:val="center"/>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t>评标标准</w:t>
            </w:r>
          </w:p>
        </w:tc>
      </w:tr>
      <w:tr w14:paraId="5E16DE9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14" w:hRule="atLeast"/>
          <w:jc w:val="center"/>
        </w:trPr>
        <w:tc>
          <w:tcPr>
            <w:tcW w:w="503" w:type="dxa"/>
            <w:tcBorders>
              <w:right w:val="single" w:color="auto" w:sz="4" w:space="0"/>
            </w:tcBorders>
            <w:noWrap w:val="0"/>
            <w:vAlign w:val="center"/>
          </w:tcPr>
          <w:p w14:paraId="284689A1">
            <w:pPr>
              <w:adjustRightInd w:val="0"/>
              <w:snapToGrid w:val="0"/>
              <w:spacing w:before="156" w:beforeLines="5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2160" w:type="dxa"/>
            <w:tcBorders>
              <w:left w:val="single" w:color="auto" w:sz="4" w:space="0"/>
              <w:right w:val="single" w:color="auto" w:sz="4" w:space="0"/>
            </w:tcBorders>
            <w:noWrap w:val="0"/>
            <w:vAlign w:val="center"/>
          </w:tcPr>
          <w:p w14:paraId="42CA8913">
            <w:pPr>
              <w:adjustRightInd w:val="0"/>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价格评价项</w:t>
            </w:r>
          </w:p>
          <w:p w14:paraId="697B24F1">
            <w:pPr>
              <w:adjustRightInd w:val="0"/>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（F=100分）</w:t>
            </w:r>
          </w:p>
        </w:tc>
        <w:tc>
          <w:tcPr>
            <w:tcW w:w="6435" w:type="dxa"/>
            <w:tcBorders>
              <w:left w:val="single" w:color="auto" w:sz="4" w:space="0"/>
            </w:tcBorders>
            <w:noWrap w:val="0"/>
            <w:vAlign w:val="center"/>
          </w:tcPr>
          <w:p w14:paraId="5BBF75A6">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满足招标文件要求且投标价格最低的投标报价为评标基准价，投标报价得分=（评标基准价</w:t>
            </w:r>
            <w:r>
              <w:rPr>
                <w:rFonts w:hint="eastAsia" w:ascii="宋体" w:hAnsi="宋体" w:eastAsia="宋体" w:cs="宋体"/>
                <w:color w:val="auto"/>
                <w:sz w:val="21"/>
                <w:szCs w:val="21"/>
                <w:highlight w:val="none"/>
                <w:vertAlign w:val="subscript"/>
              </w:rPr>
              <w:t>修正或调整</w:t>
            </w:r>
            <w:r>
              <w:rPr>
                <w:rFonts w:hint="eastAsia" w:ascii="宋体" w:hAnsi="宋体" w:eastAsia="宋体" w:cs="宋体"/>
                <w:color w:val="auto"/>
                <w:sz w:val="21"/>
                <w:szCs w:val="21"/>
                <w:highlight w:val="none"/>
              </w:rPr>
              <w:t>／投标报价</w:t>
            </w:r>
            <w:r>
              <w:rPr>
                <w:rFonts w:hint="eastAsia" w:ascii="宋体" w:hAnsi="宋体" w:eastAsia="宋体" w:cs="宋体"/>
                <w:color w:val="auto"/>
                <w:sz w:val="21"/>
                <w:szCs w:val="21"/>
                <w:highlight w:val="none"/>
                <w:vertAlign w:val="subscript"/>
              </w:rPr>
              <w:t>修正或调整</w:t>
            </w:r>
            <w:r>
              <w:rPr>
                <w:rFonts w:hint="eastAsia" w:ascii="宋体" w:hAnsi="宋体" w:eastAsia="宋体" w:cs="宋体"/>
                <w:color w:val="auto"/>
                <w:sz w:val="21"/>
                <w:szCs w:val="21"/>
                <w:highlight w:val="none"/>
              </w:rPr>
              <w:t>）×100分。</w:t>
            </w:r>
          </w:p>
          <w:p w14:paraId="293AD2E7">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w:t>
            </w:r>
            <w:r>
              <w:rPr>
                <w:rFonts w:hint="eastAsia" w:ascii="宋体" w:hAnsi="宋体" w:eastAsia="宋体" w:cs="宋体"/>
                <w:color w:val="auto"/>
                <w:sz w:val="21"/>
                <w:szCs w:val="21"/>
                <w:highlight w:val="none"/>
                <w:lang w:val="en-US" w:eastAsia="zh-CN"/>
              </w:rPr>
              <w:t>供应商投标报价出现第二章第13.8款情形的，评审委员会将启动异常低价投标（响应）审查程序，供应商须</w:t>
            </w:r>
            <w:r>
              <w:rPr>
                <w:rFonts w:hint="eastAsia" w:ascii="宋体" w:hAnsi="宋体" w:eastAsia="宋体" w:cs="宋体"/>
                <w:color w:val="auto"/>
                <w:sz w:val="21"/>
                <w:szCs w:val="21"/>
                <w:highlight w:val="none"/>
              </w:rPr>
              <w:t>在</w:t>
            </w:r>
            <w:r>
              <w:rPr>
                <w:rFonts w:hint="eastAsia" w:ascii="宋体" w:hAnsi="宋体" w:cs="宋体"/>
                <w:color w:val="auto"/>
                <w:sz w:val="21"/>
                <w:szCs w:val="21"/>
                <w:highlight w:val="none"/>
                <w:lang w:val="en-US" w:eastAsia="zh-CN"/>
              </w:rPr>
              <w:t>评标委员会</w:t>
            </w:r>
            <w:r>
              <w:rPr>
                <w:rFonts w:hint="eastAsia" w:ascii="宋体" w:hAnsi="宋体" w:eastAsia="宋体" w:cs="宋体"/>
                <w:color w:val="auto"/>
                <w:sz w:val="21"/>
                <w:szCs w:val="21"/>
                <w:highlight w:val="none"/>
                <w:lang w:val="en-US" w:eastAsia="zh-CN"/>
              </w:rPr>
              <w:t>规定</w:t>
            </w:r>
            <w:r>
              <w:rPr>
                <w:rFonts w:hint="eastAsia" w:ascii="宋体" w:hAnsi="宋体" w:eastAsia="宋体" w:cs="宋体"/>
                <w:color w:val="auto"/>
                <w:sz w:val="21"/>
                <w:szCs w:val="21"/>
                <w:highlight w:val="none"/>
              </w:rPr>
              <w:t>的时间内</w:t>
            </w:r>
            <w:r>
              <w:rPr>
                <w:rFonts w:hint="eastAsia" w:ascii="宋体" w:hAnsi="宋体" w:eastAsia="宋体" w:cs="宋体"/>
                <w:color w:val="auto"/>
                <w:sz w:val="21"/>
                <w:szCs w:val="21"/>
                <w:highlight w:val="none"/>
                <w:lang w:val="en-US" w:eastAsia="zh-CN"/>
              </w:rPr>
              <w:t>提供项目具体成本测算等与报价合理性相关的书面说明及必要的证明材料;投标（响应）供应商不能提供书面说明、证明材料，或者提供的书面说明、证明材料不能证明其报价合理性的，评审委员会应当将其作为无效投标（响应）处理。</w:t>
            </w:r>
          </w:p>
        </w:tc>
      </w:tr>
      <w:tr w14:paraId="41EECA8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70" w:hRule="atLeast"/>
          <w:jc w:val="center"/>
        </w:trPr>
        <w:tc>
          <w:tcPr>
            <w:tcW w:w="503" w:type="dxa"/>
            <w:tcBorders>
              <w:right w:val="single" w:color="auto" w:sz="4" w:space="0"/>
            </w:tcBorders>
            <w:noWrap w:val="0"/>
            <w:vAlign w:val="center"/>
          </w:tcPr>
          <w:p w14:paraId="13F6EB31">
            <w:pPr>
              <w:adjustRightInd w:val="0"/>
              <w:snapToGrid w:val="0"/>
              <w:spacing w:before="156" w:beforeLines="50"/>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2</w:t>
            </w:r>
          </w:p>
        </w:tc>
        <w:tc>
          <w:tcPr>
            <w:tcW w:w="2160" w:type="dxa"/>
            <w:tcBorders>
              <w:left w:val="single" w:color="auto" w:sz="4" w:space="0"/>
            </w:tcBorders>
            <w:noWrap w:val="0"/>
            <w:vAlign w:val="center"/>
          </w:tcPr>
          <w:p w14:paraId="007305B7">
            <w:pPr>
              <w:adjustRightInd w:val="0"/>
              <w:snapToGrid w:val="0"/>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优先采购加分（F</w:t>
            </w:r>
            <w:r>
              <w:rPr>
                <w:rFonts w:hint="eastAsia" w:ascii="宋体" w:hAnsi="宋体" w:eastAsia="宋体" w:cs="宋体"/>
                <w:color w:val="auto"/>
                <w:sz w:val="20"/>
                <w:szCs w:val="20"/>
                <w:highlight w:val="none"/>
                <w:vertAlign w:val="subscript"/>
              </w:rPr>
              <w:t>优先采购加分</w:t>
            </w:r>
            <w:r>
              <w:rPr>
                <w:rFonts w:hint="eastAsia" w:ascii="宋体" w:hAnsi="宋体" w:eastAsia="宋体" w:cs="宋体"/>
                <w:color w:val="auto"/>
                <w:sz w:val="20"/>
                <w:szCs w:val="20"/>
                <w:highlight w:val="none"/>
              </w:rPr>
              <w:t>）</w:t>
            </w:r>
          </w:p>
        </w:tc>
        <w:tc>
          <w:tcPr>
            <w:tcW w:w="6435" w:type="dxa"/>
            <w:tcBorders>
              <w:bottom w:val="single" w:color="auto" w:sz="4" w:space="0"/>
            </w:tcBorders>
            <w:noWrap w:val="0"/>
            <w:vAlign w:val="center"/>
          </w:tcPr>
          <w:p w14:paraId="5CCD5443">
            <w:pPr>
              <w:adjustRightInd w:val="0"/>
              <w:snapToGrid w:val="0"/>
              <w:spacing w:before="156" w:beforeLines="50"/>
              <w:rPr>
                <w:rFonts w:hint="eastAsia" w:ascii="宋体" w:hAnsi="宋体" w:eastAsia="宋体" w:cs="宋体"/>
                <w:color w:val="auto"/>
                <w:sz w:val="20"/>
                <w:szCs w:val="20"/>
                <w:highlight w:val="none"/>
                <w:lang w:val="en-US" w:eastAsia="zh-CN"/>
              </w:rPr>
            </w:pPr>
            <w:r>
              <w:rPr>
                <w:rFonts w:hint="eastAsia" w:ascii="宋体" w:hAnsi="宋体" w:eastAsia="宋体" w:cs="宋体"/>
                <w:color w:val="auto"/>
                <w:position w:val="-16"/>
                <w:sz w:val="20"/>
                <w:szCs w:val="20"/>
                <w:highlight w:val="none"/>
              </w:rPr>
              <w:object>
                <v:shape id="_x0000_i1025" o:spt="75" type="#_x0000_t75" style="height:20.75pt;width:101.35pt;" o:ole="t" filled="f" o:preferrelative="t" stroked="f" coordsize="21600,21600">
                  <v:path/>
                  <v:fill on="f" focussize="0,0"/>
                  <v:stroke on="f"/>
                  <v:imagedata r:id="rId29" o:title=""/>
                  <o:lock v:ext="edit" aspectratio="t"/>
                  <w10:wrap type="none"/>
                  <w10:anchorlock/>
                </v:shape>
                <o:OLEObject Type="Embed" ProgID="Equations" ShapeID="_x0000_i1025" DrawAspect="Content" ObjectID="_1468075725" r:id="rId28">
                  <o:LockedField>false</o:LockedField>
                </o:OLEObject>
              </w:object>
            </w:r>
            <w:r>
              <w:rPr>
                <w:rFonts w:hint="eastAsia" w:ascii="宋体" w:hAnsi="宋体" w:eastAsia="宋体" w:cs="宋体"/>
                <w:color w:val="auto"/>
                <w:sz w:val="20"/>
                <w:szCs w:val="20"/>
                <w:highlight w:val="none"/>
              </w:rPr>
              <w:t>×100×本项目加分比例</w:t>
            </w:r>
          </w:p>
        </w:tc>
      </w:tr>
      <w:tr w14:paraId="3816303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10" w:hRule="atLeast"/>
          <w:jc w:val="center"/>
        </w:trPr>
        <w:tc>
          <w:tcPr>
            <w:tcW w:w="503" w:type="dxa"/>
            <w:tcBorders>
              <w:right w:val="single" w:color="auto" w:sz="4" w:space="0"/>
            </w:tcBorders>
            <w:noWrap w:val="0"/>
            <w:vAlign w:val="center"/>
          </w:tcPr>
          <w:p w14:paraId="06EE6D8D">
            <w:pPr>
              <w:adjustRightInd w:val="0"/>
              <w:snapToGrid w:val="0"/>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w:t>
            </w:r>
          </w:p>
        </w:tc>
        <w:tc>
          <w:tcPr>
            <w:tcW w:w="8595" w:type="dxa"/>
            <w:gridSpan w:val="2"/>
            <w:tcBorders>
              <w:left w:val="single" w:color="auto" w:sz="4" w:space="0"/>
            </w:tcBorders>
            <w:noWrap w:val="0"/>
            <w:vAlign w:val="center"/>
          </w:tcPr>
          <w:p w14:paraId="782948AB">
            <w:pPr>
              <w:adjustRightInd w:val="0"/>
              <w:snapToGrid w:val="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F</w:t>
            </w:r>
            <w:r>
              <w:rPr>
                <w:rFonts w:hint="eastAsia" w:ascii="宋体" w:hAnsi="宋体" w:eastAsia="宋体" w:cs="宋体"/>
                <w:color w:val="auto"/>
                <w:sz w:val="20"/>
                <w:szCs w:val="20"/>
                <w:highlight w:val="none"/>
                <w:vertAlign w:val="subscript"/>
              </w:rPr>
              <w:t>1</w:t>
            </w:r>
            <w:r>
              <w:rPr>
                <w:rFonts w:hint="eastAsia" w:ascii="宋体" w:hAnsi="宋体" w:eastAsia="宋体" w:cs="宋体"/>
                <w:color w:val="auto"/>
                <w:sz w:val="20"/>
                <w:szCs w:val="20"/>
                <w:highlight w:val="none"/>
              </w:rPr>
              <w:t>=F+ F</w:t>
            </w:r>
            <w:r>
              <w:rPr>
                <w:rFonts w:hint="eastAsia" w:ascii="宋体" w:hAnsi="宋体" w:eastAsia="宋体" w:cs="宋体"/>
                <w:color w:val="auto"/>
                <w:sz w:val="20"/>
                <w:szCs w:val="20"/>
                <w:highlight w:val="none"/>
                <w:vertAlign w:val="subscript"/>
              </w:rPr>
              <w:t>优先采购加分</w:t>
            </w:r>
          </w:p>
        </w:tc>
      </w:tr>
    </w:tbl>
    <w:p w14:paraId="62F62762">
      <w:pPr>
        <w:jc w:val="center"/>
        <w:rPr>
          <w:rFonts w:hint="eastAsia" w:ascii="Times New Roman" w:hAnsi="Times New Roman" w:eastAsia="宋体" w:cs="Times New Roman"/>
          <w:b/>
          <w:bCs/>
          <w:color w:val="auto"/>
          <w:highlight w:val="none"/>
        </w:rPr>
      </w:pPr>
    </w:p>
    <w:p w14:paraId="1A2A0C95">
      <w:pPr>
        <w:jc w:val="center"/>
        <w:rPr>
          <w:rFonts w:hint="eastAsia" w:ascii="Times New Roman" w:hAnsi="Times New Roman" w:eastAsia="宋体" w:cs="Times New Roman"/>
          <w:b/>
          <w:bCs/>
          <w:color w:val="auto"/>
          <w:highlight w:val="none"/>
        </w:rPr>
      </w:pPr>
      <w:r>
        <w:rPr>
          <w:rFonts w:hint="eastAsia" w:ascii="Times New Roman" w:hAnsi="Times New Roman" w:eastAsia="宋体" w:cs="Times New Roman"/>
          <w:b/>
          <w:bCs/>
          <w:color w:val="auto"/>
          <w:highlight w:val="none"/>
        </w:rPr>
        <w:t>附表1.2技术部分评审标准表</w:t>
      </w:r>
    </w:p>
    <w:tbl>
      <w:tblPr>
        <w:tblStyle w:val="25"/>
        <w:tblW w:w="9205"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503"/>
        <w:gridCol w:w="1764"/>
        <w:gridCol w:w="1582"/>
        <w:gridCol w:w="5356"/>
      </w:tblGrid>
      <w:tr w14:paraId="27C4905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52" w:hRule="atLeast"/>
          <w:jc w:val="center"/>
        </w:trPr>
        <w:tc>
          <w:tcPr>
            <w:tcW w:w="503" w:type="dxa"/>
            <w:tcBorders>
              <w:right w:val="single" w:color="auto" w:sz="4" w:space="0"/>
            </w:tcBorders>
            <w:noWrap w:val="0"/>
            <w:vAlign w:val="center"/>
          </w:tcPr>
          <w:p w14:paraId="0F2F951C">
            <w:pPr>
              <w:adjustRightInd w:val="0"/>
              <w:snapToGrid w:val="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序号</w:t>
            </w:r>
          </w:p>
        </w:tc>
        <w:tc>
          <w:tcPr>
            <w:tcW w:w="1764" w:type="dxa"/>
            <w:tcBorders>
              <w:left w:val="single" w:color="auto" w:sz="4" w:space="0"/>
              <w:right w:val="single" w:color="auto" w:sz="4" w:space="0"/>
            </w:tcBorders>
            <w:noWrap w:val="0"/>
            <w:vAlign w:val="center"/>
          </w:tcPr>
          <w:p w14:paraId="65504F98">
            <w:pPr>
              <w:adjustRightInd w:val="0"/>
              <w:snapToGrid w:val="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评标因素（权重分）</w:t>
            </w:r>
          </w:p>
        </w:tc>
        <w:tc>
          <w:tcPr>
            <w:tcW w:w="6938" w:type="dxa"/>
            <w:gridSpan w:val="2"/>
            <w:tcBorders>
              <w:left w:val="single" w:color="auto" w:sz="4" w:space="0"/>
            </w:tcBorders>
            <w:noWrap w:val="0"/>
            <w:vAlign w:val="center"/>
          </w:tcPr>
          <w:p w14:paraId="3B4148E1">
            <w:pPr>
              <w:adjustRightInd w:val="0"/>
              <w:snapToGrid w:val="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评标标准</w:t>
            </w:r>
          </w:p>
        </w:tc>
      </w:tr>
      <w:tr w14:paraId="1D4A5F5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03" w:type="dxa"/>
            <w:vMerge w:val="restart"/>
            <w:tcBorders>
              <w:right w:val="single" w:color="auto" w:sz="4" w:space="0"/>
            </w:tcBorders>
            <w:noWrap w:val="0"/>
            <w:vAlign w:val="center"/>
          </w:tcPr>
          <w:p w14:paraId="2A1A57ED">
            <w:pPr>
              <w:adjustRightInd w:val="0"/>
              <w:snapToGrid w:val="0"/>
              <w:spacing w:before="156" w:beforeLines="5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764" w:type="dxa"/>
            <w:vMerge w:val="restart"/>
            <w:tcBorders>
              <w:left w:val="single" w:color="auto" w:sz="4" w:space="0"/>
            </w:tcBorders>
            <w:noWrap w:val="0"/>
            <w:vAlign w:val="center"/>
          </w:tcPr>
          <w:p w14:paraId="619A335F">
            <w:pPr>
              <w:adjustRightInd w:val="0"/>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技术评价项</w:t>
            </w:r>
          </w:p>
          <w:p w14:paraId="4A61F616">
            <w:pPr>
              <w:adjustRightInd w:val="0"/>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（F=100分）</w:t>
            </w:r>
          </w:p>
        </w:tc>
        <w:tc>
          <w:tcPr>
            <w:tcW w:w="1582" w:type="dxa"/>
            <w:noWrap w:val="0"/>
            <w:vAlign w:val="center"/>
          </w:tcPr>
          <w:p w14:paraId="3F54E7CE">
            <w:pPr>
              <w:widowControl w:val="0"/>
              <w:spacing w:after="120" w:line="320" w:lineRule="exact"/>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技术参数的响应（80）</w:t>
            </w:r>
          </w:p>
        </w:tc>
        <w:tc>
          <w:tcPr>
            <w:tcW w:w="5356" w:type="dxa"/>
            <w:noWrap w:val="0"/>
            <w:vAlign w:val="center"/>
          </w:tcPr>
          <w:p w14:paraId="22077536">
            <w:pPr>
              <w:adjustRightInd w:val="0"/>
              <w:snapToGrid w:val="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投标设备技术参数明确、配置齐全，规格、功能一致，并能够提供产品技术白皮书或彩页进行佐证，技术参数、性能等完全满足招标文件技术要求80分。 </w:t>
            </w:r>
          </w:p>
          <w:p w14:paraId="6DDD83E7">
            <w:pPr>
              <w:adjustRightInd w:val="0"/>
              <w:snapToGrid w:val="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2、技术条款每有一项“▲”参数不满足的，每项扣</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rPr>
              <w:t>分，技术条款每项非“▲”参数负偏离或不满足的扣</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分，累计扣分，扣完为止,配置不详，技术参数不清，缺漏项的，则视同负偏离处理。</w:t>
            </w:r>
          </w:p>
          <w:p w14:paraId="7CC5E794">
            <w:pPr>
              <w:adjustRightInd w:val="0"/>
              <w:snapToGrid w:val="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3、投标设备技术参数、性能等出现带“★”负偏离按无效投标处理。</w:t>
            </w:r>
          </w:p>
          <w:p w14:paraId="6389055D">
            <w:pPr>
              <w:adjustRightInd w:val="0"/>
              <w:snapToGrid w:val="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注：①负偏离包括但不限于：缺漏项、描述不清、技术参数不明、配置不详、资料不全等。</w:t>
            </w:r>
          </w:p>
          <w:p w14:paraId="4D6552E8">
            <w:pPr>
              <w:adjustRightInd w:val="0"/>
              <w:snapToGrid w:val="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②投标文件中未附投标货物产品彩页或投标货物技术白皮书或国家认可的检测机构出具的检测报告的，该项计0分；如产品彩页或技术白皮书与检测报告不一致的，以国家认可的检测机构出具的检测报告为准。</w:t>
            </w:r>
          </w:p>
          <w:p w14:paraId="7545FDDC">
            <w:pPr>
              <w:adjustRightInd w:val="0"/>
              <w:snapToGrid w:val="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③要求提供证明材料的条款投标文件中未提供的，视同为该条款负偏离。</w:t>
            </w:r>
          </w:p>
          <w:p w14:paraId="7653202A">
            <w:pPr>
              <w:widowControl w:val="0"/>
              <w:spacing w:after="0" w:line="240" w:lineRule="auto"/>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bCs/>
                <w:color w:val="auto"/>
                <w:sz w:val="21"/>
                <w:szCs w:val="21"/>
                <w:highlight w:val="none"/>
              </w:rPr>
              <w:t>建议：投标人在提供的证明材料（产品技术白皮书或彩页或检测报告进行佐证）中对应的采购需求参数进行标记，以便评标委员会核对。</w:t>
            </w:r>
          </w:p>
        </w:tc>
      </w:tr>
      <w:tr w14:paraId="2190797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03" w:type="dxa"/>
            <w:vMerge w:val="continue"/>
            <w:tcBorders>
              <w:right w:val="single" w:color="auto" w:sz="4" w:space="0"/>
            </w:tcBorders>
            <w:noWrap w:val="0"/>
            <w:vAlign w:val="center"/>
          </w:tcPr>
          <w:p w14:paraId="519123FE">
            <w:pPr>
              <w:adjustRightInd w:val="0"/>
              <w:snapToGrid w:val="0"/>
              <w:spacing w:before="156" w:beforeLines="50"/>
              <w:jc w:val="center"/>
              <w:rPr>
                <w:rFonts w:hint="eastAsia" w:ascii="宋体" w:hAnsi="宋体" w:eastAsia="宋体" w:cs="宋体"/>
                <w:color w:val="auto"/>
                <w:sz w:val="21"/>
                <w:szCs w:val="21"/>
                <w:highlight w:val="none"/>
              </w:rPr>
            </w:pPr>
          </w:p>
        </w:tc>
        <w:tc>
          <w:tcPr>
            <w:tcW w:w="1764" w:type="dxa"/>
            <w:vMerge w:val="continue"/>
            <w:tcBorders>
              <w:left w:val="single" w:color="auto" w:sz="4" w:space="0"/>
            </w:tcBorders>
            <w:noWrap w:val="0"/>
            <w:vAlign w:val="center"/>
          </w:tcPr>
          <w:p w14:paraId="635DCF50">
            <w:pPr>
              <w:adjustRightInd w:val="0"/>
              <w:snapToGrid w:val="0"/>
              <w:jc w:val="center"/>
              <w:rPr>
                <w:rFonts w:hint="eastAsia" w:ascii="宋体" w:hAnsi="宋体" w:eastAsia="宋体" w:cs="宋体"/>
                <w:color w:val="auto"/>
                <w:sz w:val="21"/>
                <w:szCs w:val="21"/>
                <w:highlight w:val="none"/>
              </w:rPr>
            </w:pPr>
          </w:p>
        </w:tc>
        <w:tc>
          <w:tcPr>
            <w:tcW w:w="1582" w:type="dxa"/>
            <w:noWrap w:val="0"/>
            <w:vAlign w:val="center"/>
          </w:tcPr>
          <w:p w14:paraId="3CF6D40C">
            <w:pPr>
              <w:spacing w:line="320" w:lineRule="exact"/>
              <w:jc w:val="center"/>
              <w:rPr>
                <w:rFonts w:hint="eastAsia" w:ascii="宋体" w:hAnsi="宋体" w:eastAsia="宋体" w:cs="宋体"/>
                <w:color w:val="auto"/>
                <w:sz w:val="21"/>
                <w:szCs w:val="21"/>
                <w:highlight w:val="none"/>
                <w:lang w:val="ru-RU"/>
              </w:rPr>
            </w:pPr>
            <w:r>
              <w:rPr>
                <w:rFonts w:hint="eastAsia" w:ascii="宋体" w:hAnsi="宋体" w:eastAsia="宋体" w:cs="宋体"/>
                <w:color w:val="auto"/>
                <w:sz w:val="21"/>
                <w:szCs w:val="21"/>
                <w:highlight w:val="none"/>
                <w:lang w:val="en-US" w:eastAsia="zh-CN"/>
              </w:rPr>
              <w:t>技术服务</w:t>
            </w:r>
            <w:r>
              <w:rPr>
                <w:rFonts w:hint="eastAsia" w:ascii="宋体" w:hAnsi="宋体" w:eastAsia="宋体" w:cs="宋体"/>
                <w:color w:val="auto"/>
                <w:sz w:val="21"/>
                <w:szCs w:val="21"/>
                <w:highlight w:val="none"/>
                <w:lang w:val="ru-RU" w:eastAsia="zh-CN"/>
              </w:rPr>
              <w:t>方案 （</w:t>
            </w:r>
            <w:r>
              <w:rPr>
                <w:rFonts w:hint="eastAsia" w:ascii="宋体" w:hAnsi="宋体" w:eastAsia="宋体" w:cs="宋体"/>
                <w:color w:val="auto"/>
                <w:sz w:val="21"/>
                <w:szCs w:val="21"/>
                <w:highlight w:val="none"/>
                <w:lang w:val="en-US" w:eastAsia="zh-CN"/>
              </w:rPr>
              <w:t>20</w:t>
            </w:r>
            <w:r>
              <w:rPr>
                <w:rFonts w:hint="eastAsia" w:ascii="宋体" w:hAnsi="宋体" w:eastAsia="宋体" w:cs="宋体"/>
                <w:color w:val="auto"/>
                <w:sz w:val="21"/>
                <w:szCs w:val="21"/>
                <w:highlight w:val="none"/>
                <w:lang w:val="ru-RU" w:eastAsia="zh-CN"/>
              </w:rPr>
              <w:t>）</w:t>
            </w:r>
          </w:p>
          <w:p w14:paraId="55B38A81">
            <w:pPr>
              <w:spacing w:line="320" w:lineRule="exact"/>
              <w:jc w:val="center"/>
              <w:rPr>
                <w:rFonts w:hint="eastAsia" w:ascii="宋体" w:hAnsi="宋体" w:eastAsia="宋体" w:cs="宋体"/>
                <w:color w:val="auto"/>
                <w:kern w:val="2"/>
                <w:sz w:val="21"/>
                <w:szCs w:val="21"/>
                <w:highlight w:val="none"/>
                <w:lang w:val="en-US" w:eastAsia="zh-CN" w:bidi="ar-SA"/>
              </w:rPr>
            </w:pPr>
          </w:p>
        </w:tc>
        <w:tc>
          <w:tcPr>
            <w:tcW w:w="5356" w:type="dxa"/>
            <w:noWrap w:val="0"/>
            <w:vAlign w:val="center"/>
          </w:tcPr>
          <w:p w14:paraId="17CB36DB">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根据投标人提供的项目技术服务方案进行综合评审，方案包括但不限于：</w:t>
            </w:r>
            <w:r>
              <w:rPr>
                <w:rFonts w:hint="eastAsia" w:ascii="宋体" w:hAnsi="宋体" w:eastAsia="宋体" w:cs="宋体"/>
                <w:bCs/>
                <w:color w:val="auto"/>
                <w:sz w:val="21"/>
                <w:szCs w:val="21"/>
                <w:highlight w:val="none"/>
                <w:lang w:val="en-US" w:eastAsia="zh-CN"/>
              </w:rPr>
              <w:t>①</w:t>
            </w:r>
            <w:r>
              <w:rPr>
                <w:rFonts w:hint="eastAsia" w:ascii="宋体" w:hAnsi="宋体" w:eastAsia="宋体" w:cs="宋体"/>
                <w:color w:val="auto"/>
                <w:sz w:val="21"/>
                <w:szCs w:val="21"/>
                <w:highlight w:val="none"/>
                <w:lang w:val="en-US" w:eastAsia="zh-CN"/>
              </w:rPr>
              <w:t>项目需求的理解；</w:t>
            </w:r>
            <w:r>
              <w:rPr>
                <w:rFonts w:hint="eastAsia" w:ascii="宋体" w:hAnsi="宋体" w:eastAsia="宋体" w:cs="宋体"/>
                <w:bCs/>
                <w:color w:val="auto"/>
                <w:sz w:val="21"/>
                <w:szCs w:val="21"/>
                <w:highlight w:val="none"/>
                <w:lang w:val="en-US" w:eastAsia="zh-CN"/>
              </w:rPr>
              <w:t>②</w:t>
            </w:r>
            <w:r>
              <w:rPr>
                <w:rFonts w:hint="eastAsia" w:ascii="宋体" w:hAnsi="宋体" w:eastAsia="宋体" w:cs="宋体"/>
                <w:color w:val="auto"/>
                <w:sz w:val="21"/>
                <w:szCs w:val="21"/>
                <w:highlight w:val="none"/>
                <w:lang w:val="en-US" w:eastAsia="zh-CN"/>
              </w:rPr>
              <w:t>项目产品的科创能力与技术先进性；</w:t>
            </w:r>
            <w:r>
              <w:rPr>
                <w:rFonts w:hint="eastAsia" w:ascii="宋体" w:hAnsi="宋体" w:eastAsia="宋体" w:cs="宋体"/>
                <w:bCs/>
                <w:color w:val="auto"/>
                <w:sz w:val="21"/>
                <w:szCs w:val="21"/>
                <w:highlight w:val="none"/>
                <w:lang w:val="en-US" w:eastAsia="zh-CN"/>
              </w:rPr>
              <w:t>③</w:t>
            </w:r>
            <w:r>
              <w:rPr>
                <w:rFonts w:hint="eastAsia" w:ascii="宋体" w:hAnsi="宋体" w:eastAsia="宋体" w:cs="宋体"/>
                <w:color w:val="auto"/>
                <w:sz w:val="21"/>
                <w:szCs w:val="21"/>
                <w:highlight w:val="none"/>
                <w:lang w:val="en-US" w:eastAsia="zh-CN"/>
              </w:rPr>
              <w:t>项目产品供应链能力与产品迭代能力；④项目产品行业服务能力与本项目服务方案；⑤本地化服务能力。方案内容完整，每项思路清晰，针对性强，可行性强，各项方案能力证明材料依据客观可查，完全符合项目要求，计20分，缺漏项的每项扣4分，小项有缺陷之处的每处扣2分，扣完为止。未提供的不计分。</w:t>
            </w:r>
          </w:p>
          <w:p w14:paraId="73A1FE46">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注：缺陷是指：方案中存在下列情形之一：</w:t>
            </w:r>
            <w:r>
              <w:rPr>
                <w:rFonts w:hint="eastAsia" w:ascii="宋体" w:hAnsi="宋体" w:eastAsia="宋体" w:cs="宋体"/>
                <w:bCs/>
                <w:color w:val="auto"/>
                <w:sz w:val="21"/>
                <w:szCs w:val="21"/>
                <w:highlight w:val="none"/>
                <w:lang w:val="en-US" w:eastAsia="zh-CN"/>
              </w:rPr>
              <w:t>①</w:t>
            </w:r>
            <w:r>
              <w:rPr>
                <w:rFonts w:hint="eastAsia" w:ascii="宋体" w:hAnsi="宋体" w:eastAsia="宋体" w:cs="宋体"/>
                <w:color w:val="auto"/>
                <w:sz w:val="21"/>
                <w:szCs w:val="21"/>
                <w:highlight w:val="none"/>
                <w:lang w:val="en-US" w:eastAsia="zh-CN"/>
              </w:rPr>
              <w:t>不满足本项目需求的；</w:t>
            </w:r>
            <w:r>
              <w:rPr>
                <w:rFonts w:hint="eastAsia" w:ascii="宋体" w:hAnsi="宋体" w:eastAsia="宋体" w:cs="宋体"/>
                <w:bCs/>
                <w:color w:val="auto"/>
                <w:sz w:val="21"/>
                <w:szCs w:val="21"/>
                <w:highlight w:val="none"/>
                <w:lang w:val="en-US" w:eastAsia="zh-CN"/>
              </w:rPr>
              <w:t>②</w:t>
            </w:r>
            <w:r>
              <w:rPr>
                <w:rFonts w:hint="eastAsia" w:ascii="宋体" w:hAnsi="宋体" w:eastAsia="宋体" w:cs="宋体"/>
                <w:color w:val="auto"/>
                <w:sz w:val="21"/>
                <w:szCs w:val="21"/>
                <w:highlight w:val="none"/>
                <w:lang w:val="en-US" w:eastAsia="zh-CN"/>
              </w:rPr>
              <w:t>表述不完整；</w:t>
            </w:r>
            <w:r>
              <w:rPr>
                <w:rFonts w:hint="eastAsia" w:ascii="宋体" w:hAnsi="宋体" w:eastAsia="宋体" w:cs="宋体"/>
                <w:bCs/>
                <w:color w:val="auto"/>
                <w:sz w:val="21"/>
                <w:szCs w:val="21"/>
                <w:highlight w:val="none"/>
                <w:lang w:val="en-US" w:eastAsia="zh-CN"/>
              </w:rPr>
              <w:t>③</w:t>
            </w:r>
            <w:r>
              <w:rPr>
                <w:rFonts w:hint="eastAsia" w:ascii="宋体" w:hAnsi="宋体" w:eastAsia="宋体" w:cs="宋体"/>
                <w:color w:val="auto"/>
                <w:sz w:val="21"/>
                <w:szCs w:val="21"/>
                <w:highlight w:val="none"/>
                <w:lang w:val="en-US" w:eastAsia="zh-CN"/>
              </w:rPr>
              <w:t>方案有误或前后矛盾，上下不一致；④内容与本项目无关，仅有标题或简单的文字描述，存在项目名称或地点区域错误；⑤所提供的方案能力举证依据缺乏客观依据的。</w:t>
            </w:r>
          </w:p>
        </w:tc>
      </w:tr>
      <w:tr w14:paraId="0B366EE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70" w:hRule="atLeast"/>
          <w:jc w:val="center"/>
        </w:trPr>
        <w:tc>
          <w:tcPr>
            <w:tcW w:w="503" w:type="dxa"/>
            <w:tcBorders>
              <w:right w:val="single" w:color="auto" w:sz="4" w:space="0"/>
            </w:tcBorders>
            <w:noWrap w:val="0"/>
            <w:vAlign w:val="center"/>
          </w:tcPr>
          <w:p w14:paraId="4259615F">
            <w:pPr>
              <w:adjustRightInd w:val="0"/>
              <w:snapToGrid w:val="0"/>
              <w:spacing w:before="156" w:beforeLines="5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764" w:type="dxa"/>
            <w:tcBorders>
              <w:left w:val="single" w:color="auto" w:sz="4" w:space="0"/>
            </w:tcBorders>
            <w:noWrap w:val="0"/>
            <w:vAlign w:val="center"/>
          </w:tcPr>
          <w:p w14:paraId="6D8B5EA7">
            <w:pPr>
              <w:adjustRightInd w:val="0"/>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优先采购加分（F</w:t>
            </w:r>
            <w:r>
              <w:rPr>
                <w:rFonts w:hint="eastAsia" w:ascii="宋体" w:hAnsi="宋体" w:eastAsia="宋体" w:cs="宋体"/>
                <w:color w:val="auto"/>
                <w:sz w:val="21"/>
                <w:szCs w:val="21"/>
                <w:highlight w:val="none"/>
                <w:vertAlign w:val="subscript"/>
              </w:rPr>
              <w:t>优先采购加分</w:t>
            </w:r>
            <w:r>
              <w:rPr>
                <w:rFonts w:hint="eastAsia" w:ascii="宋体" w:hAnsi="宋体" w:eastAsia="宋体" w:cs="宋体"/>
                <w:color w:val="auto"/>
                <w:sz w:val="21"/>
                <w:szCs w:val="21"/>
                <w:highlight w:val="none"/>
              </w:rPr>
              <w:t>）</w:t>
            </w:r>
          </w:p>
        </w:tc>
        <w:tc>
          <w:tcPr>
            <w:tcW w:w="6938" w:type="dxa"/>
            <w:gridSpan w:val="2"/>
            <w:tcBorders>
              <w:bottom w:val="single" w:color="auto" w:sz="4" w:space="0"/>
            </w:tcBorders>
            <w:noWrap w:val="0"/>
            <w:vAlign w:val="center"/>
          </w:tcPr>
          <w:p w14:paraId="7D5E819B">
            <w:pPr>
              <w:adjustRightInd w:val="0"/>
              <w:snapToGrid w:val="0"/>
              <w:spacing w:before="156" w:beforeLines="50"/>
              <w:rPr>
                <w:rFonts w:hint="eastAsia" w:ascii="宋体" w:hAnsi="宋体" w:eastAsia="宋体" w:cs="宋体"/>
                <w:color w:val="auto"/>
                <w:sz w:val="21"/>
                <w:szCs w:val="21"/>
                <w:highlight w:val="none"/>
              </w:rPr>
            </w:pPr>
            <w:r>
              <w:rPr>
                <w:rFonts w:hint="eastAsia" w:ascii="宋体" w:hAnsi="宋体" w:eastAsia="宋体" w:cs="宋体"/>
                <w:color w:val="auto"/>
                <w:position w:val="-16"/>
                <w:sz w:val="21"/>
                <w:szCs w:val="21"/>
                <w:highlight w:val="none"/>
              </w:rPr>
              <w:object>
                <v:shape id="_x0000_i1026" o:spt="75" type="#_x0000_t75" style="height:20.75pt;width:101.35pt;" o:ole="t" filled="f" o:preferrelative="t" stroked="f" coordsize="21600,21600">
                  <v:path/>
                  <v:fill on="f" focussize="0,0"/>
                  <v:stroke on="f"/>
                  <v:imagedata r:id="rId29" o:title=""/>
                  <o:lock v:ext="edit" aspectratio="t"/>
                  <w10:wrap type="none"/>
                  <w10:anchorlock/>
                </v:shape>
                <o:OLEObject Type="Embed" ProgID="Equation.3" ShapeID="_x0000_i1026" DrawAspect="Content" ObjectID="_1468075726" r:id="rId30">
                  <o:LockedField>false</o:LockedField>
                </o:OLEObject>
              </w:object>
            </w:r>
            <w:r>
              <w:rPr>
                <w:rFonts w:hint="eastAsia" w:ascii="宋体" w:hAnsi="宋体" w:eastAsia="宋体" w:cs="宋体"/>
                <w:color w:val="auto"/>
                <w:sz w:val="21"/>
                <w:szCs w:val="21"/>
                <w:highlight w:val="none"/>
              </w:rPr>
              <w:t>×100×本项目加分比例</w:t>
            </w:r>
          </w:p>
        </w:tc>
      </w:tr>
      <w:tr w14:paraId="77B1E1B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10" w:hRule="atLeast"/>
          <w:jc w:val="center"/>
        </w:trPr>
        <w:tc>
          <w:tcPr>
            <w:tcW w:w="503" w:type="dxa"/>
            <w:tcBorders>
              <w:right w:val="single" w:color="auto" w:sz="4" w:space="0"/>
            </w:tcBorders>
            <w:noWrap w:val="0"/>
            <w:vAlign w:val="center"/>
          </w:tcPr>
          <w:p w14:paraId="1349EA55">
            <w:pPr>
              <w:adjustRightInd w:val="0"/>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8702" w:type="dxa"/>
            <w:gridSpan w:val="3"/>
            <w:tcBorders>
              <w:left w:val="single" w:color="auto" w:sz="4" w:space="0"/>
            </w:tcBorders>
            <w:noWrap w:val="0"/>
            <w:vAlign w:val="center"/>
          </w:tcPr>
          <w:p w14:paraId="3DB90986">
            <w:pPr>
              <w:adjustRightInd w:val="0"/>
              <w:snapToGrid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F</w:t>
            </w:r>
            <w:r>
              <w:rPr>
                <w:rFonts w:hint="eastAsia" w:ascii="宋体" w:hAnsi="宋体" w:eastAsia="宋体" w:cs="宋体"/>
                <w:color w:val="auto"/>
                <w:sz w:val="21"/>
                <w:szCs w:val="21"/>
                <w:highlight w:val="none"/>
                <w:vertAlign w:val="subscript"/>
              </w:rPr>
              <w:t>2</w:t>
            </w:r>
            <w:r>
              <w:rPr>
                <w:rFonts w:hint="eastAsia" w:ascii="宋体" w:hAnsi="宋体" w:eastAsia="宋体" w:cs="宋体"/>
                <w:color w:val="auto"/>
                <w:sz w:val="21"/>
                <w:szCs w:val="21"/>
                <w:highlight w:val="none"/>
              </w:rPr>
              <w:t>=F+ F</w:t>
            </w:r>
            <w:r>
              <w:rPr>
                <w:rFonts w:hint="eastAsia" w:ascii="宋体" w:hAnsi="宋体" w:eastAsia="宋体" w:cs="宋体"/>
                <w:color w:val="auto"/>
                <w:sz w:val="21"/>
                <w:szCs w:val="21"/>
                <w:highlight w:val="none"/>
                <w:vertAlign w:val="subscript"/>
              </w:rPr>
              <w:t>优先采购加分</w:t>
            </w:r>
          </w:p>
        </w:tc>
      </w:tr>
    </w:tbl>
    <w:p w14:paraId="6DF3011F">
      <w:pPr>
        <w:widowControl w:val="0"/>
        <w:snapToGrid w:val="0"/>
        <w:jc w:val="left"/>
        <w:rPr>
          <w:rFonts w:hint="eastAsia" w:ascii="宋体" w:hAnsi="宋体" w:eastAsia="宋体" w:cs="宋体"/>
          <w:b/>
          <w:bCs/>
          <w:color w:val="auto"/>
          <w:kern w:val="2"/>
          <w:sz w:val="21"/>
          <w:szCs w:val="21"/>
          <w:highlight w:val="none"/>
          <w:lang w:val="en-US" w:eastAsia="zh-CN" w:bidi="ar-SA"/>
        </w:rPr>
      </w:pPr>
    </w:p>
    <w:p w14:paraId="7BBB6519">
      <w:pPr>
        <w:adjustRightInd w:val="0"/>
        <w:snapToGrid w:val="0"/>
        <w:spacing w:before="156" w:beforeLines="50" w:line="360" w:lineRule="auto"/>
        <w:jc w:val="center"/>
        <w:rPr>
          <w:rFonts w:hint="eastAsia" w:ascii="宋体" w:hAnsi="宋体" w:eastAsia="宋体" w:cs="宋体"/>
          <w:b/>
          <w:bCs/>
          <w:color w:val="auto"/>
          <w:sz w:val="21"/>
          <w:szCs w:val="21"/>
          <w:highlight w:val="none"/>
        </w:rPr>
      </w:pPr>
    </w:p>
    <w:p w14:paraId="089FF4FE">
      <w:pPr>
        <w:adjustRightInd w:val="0"/>
        <w:snapToGrid w:val="0"/>
        <w:spacing w:before="156" w:beforeLines="50"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附表1.3商务部分评审标准表</w:t>
      </w:r>
    </w:p>
    <w:tbl>
      <w:tblPr>
        <w:tblStyle w:val="25"/>
        <w:tblW w:w="9098"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503"/>
        <w:gridCol w:w="2160"/>
        <w:gridCol w:w="1545"/>
        <w:gridCol w:w="4890"/>
      </w:tblGrid>
      <w:tr w14:paraId="1D3BFDF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52" w:hRule="atLeast"/>
          <w:jc w:val="center"/>
        </w:trPr>
        <w:tc>
          <w:tcPr>
            <w:tcW w:w="503" w:type="dxa"/>
            <w:tcBorders>
              <w:right w:val="single" w:color="auto" w:sz="4" w:space="0"/>
            </w:tcBorders>
            <w:noWrap w:val="0"/>
            <w:vAlign w:val="center"/>
          </w:tcPr>
          <w:p w14:paraId="37D7155F">
            <w:pPr>
              <w:adjustRightInd w:val="0"/>
              <w:snapToGrid w:val="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序号</w:t>
            </w:r>
          </w:p>
        </w:tc>
        <w:tc>
          <w:tcPr>
            <w:tcW w:w="2160" w:type="dxa"/>
            <w:tcBorders>
              <w:left w:val="single" w:color="auto" w:sz="4" w:space="0"/>
              <w:right w:val="single" w:color="auto" w:sz="4" w:space="0"/>
            </w:tcBorders>
            <w:noWrap w:val="0"/>
            <w:vAlign w:val="center"/>
          </w:tcPr>
          <w:p w14:paraId="512D6B6C">
            <w:pPr>
              <w:adjustRightInd w:val="0"/>
              <w:snapToGrid w:val="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评标因素（权重分）</w:t>
            </w:r>
          </w:p>
        </w:tc>
        <w:tc>
          <w:tcPr>
            <w:tcW w:w="6435" w:type="dxa"/>
            <w:gridSpan w:val="2"/>
            <w:tcBorders>
              <w:left w:val="single" w:color="auto" w:sz="4" w:space="0"/>
            </w:tcBorders>
            <w:noWrap w:val="0"/>
            <w:vAlign w:val="center"/>
          </w:tcPr>
          <w:p w14:paraId="75D7E656">
            <w:pPr>
              <w:adjustRightInd w:val="0"/>
              <w:snapToGrid w:val="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评标标准</w:t>
            </w:r>
          </w:p>
        </w:tc>
      </w:tr>
      <w:tr w14:paraId="2941A65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03" w:type="dxa"/>
            <w:vMerge w:val="restart"/>
            <w:tcBorders>
              <w:right w:val="single" w:color="auto" w:sz="4" w:space="0"/>
            </w:tcBorders>
            <w:noWrap w:val="0"/>
            <w:vAlign w:val="center"/>
          </w:tcPr>
          <w:p w14:paraId="00BFAED5">
            <w:pPr>
              <w:adjustRightInd w:val="0"/>
              <w:snapToGrid w:val="0"/>
              <w:spacing w:before="156" w:beforeLines="5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2160" w:type="dxa"/>
            <w:vMerge w:val="restart"/>
            <w:tcBorders>
              <w:left w:val="single" w:color="auto" w:sz="4" w:space="0"/>
            </w:tcBorders>
            <w:noWrap w:val="0"/>
            <w:vAlign w:val="center"/>
          </w:tcPr>
          <w:p w14:paraId="621478EA">
            <w:pPr>
              <w:adjustRightInd w:val="0"/>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商务评价项</w:t>
            </w:r>
          </w:p>
          <w:p w14:paraId="26D17271">
            <w:pPr>
              <w:adjustRightInd w:val="0"/>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（F=100分）</w:t>
            </w:r>
          </w:p>
        </w:tc>
        <w:tc>
          <w:tcPr>
            <w:tcW w:w="1545" w:type="dxa"/>
            <w:noWrap w:val="0"/>
            <w:vAlign w:val="center"/>
          </w:tcPr>
          <w:p w14:paraId="14922261">
            <w:pPr>
              <w:spacing w:line="320" w:lineRule="exact"/>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类似业绩（</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0）</w:t>
            </w:r>
          </w:p>
        </w:tc>
        <w:tc>
          <w:tcPr>
            <w:tcW w:w="4890" w:type="dxa"/>
            <w:noWrap w:val="0"/>
            <w:vAlign w:val="center"/>
          </w:tcPr>
          <w:p w14:paraId="7E692532">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提供</w:t>
            </w:r>
            <w:r>
              <w:rPr>
                <w:rFonts w:hint="eastAsia" w:ascii="宋体" w:hAnsi="宋体" w:eastAsia="宋体" w:cs="宋体"/>
                <w:color w:val="auto"/>
                <w:sz w:val="21"/>
                <w:szCs w:val="21"/>
                <w:highlight w:val="none"/>
              </w:rPr>
              <w:t>投标</w:t>
            </w:r>
            <w:r>
              <w:rPr>
                <w:rFonts w:hint="eastAsia" w:ascii="宋体" w:hAnsi="宋体" w:eastAsia="宋体" w:cs="宋体"/>
                <w:color w:val="auto"/>
                <w:sz w:val="21"/>
                <w:szCs w:val="21"/>
                <w:highlight w:val="none"/>
                <w:lang w:val="en-US" w:eastAsia="zh-CN"/>
              </w:rPr>
              <w:t>人或投标人所投产品</w:t>
            </w:r>
            <w:r>
              <w:rPr>
                <w:rFonts w:hint="eastAsia" w:ascii="宋体" w:hAnsi="宋体" w:eastAsia="宋体" w:cs="宋体"/>
                <w:color w:val="auto"/>
                <w:sz w:val="21"/>
                <w:szCs w:val="21"/>
                <w:highlight w:val="none"/>
              </w:rPr>
              <w:t>的20</w:t>
            </w:r>
            <w:r>
              <w:rPr>
                <w:rFonts w:hint="eastAsia" w:ascii="宋体" w:hAnsi="宋体" w:eastAsia="宋体" w:cs="宋体"/>
                <w:color w:val="auto"/>
                <w:sz w:val="21"/>
                <w:szCs w:val="21"/>
                <w:highlight w:val="none"/>
                <w:lang w:val="en-US" w:eastAsia="zh-CN"/>
              </w:rPr>
              <w:t>23</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月1日至</w:t>
            </w:r>
            <w:r>
              <w:rPr>
                <w:rFonts w:hint="eastAsia" w:ascii="宋体" w:hAnsi="宋体" w:eastAsia="宋体" w:cs="宋体"/>
                <w:color w:val="auto"/>
                <w:sz w:val="21"/>
                <w:szCs w:val="21"/>
                <w:highlight w:val="none"/>
                <w:lang w:val="en-US" w:eastAsia="zh-CN"/>
              </w:rPr>
              <w:t>投标截止时间止</w:t>
            </w:r>
            <w:r>
              <w:rPr>
                <w:rFonts w:hint="eastAsia" w:ascii="宋体" w:hAnsi="宋体" w:eastAsia="宋体" w:cs="宋体"/>
                <w:color w:val="auto"/>
                <w:sz w:val="21"/>
                <w:szCs w:val="21"/>
                <w:highlight w:val="none"/>
                <w:lang w:eastAsia="zh-CN"/>
              </w:rPr>
              <w:t>承担过同</w:t>
            </w:r>
            <w:r>
              <w:rPr>
                <w:rFonts w:hint="eastAsia" w:ascii="宋体" w:hAnsi="宋体" w:eastAsia="宋体" w:cs="宋体"/>
                <w:color w:val="auto"/>
                <w:sz w:val="21"/>
                <w:szCs w:val="21"/>
                <w:highlight w:val="none"/>
              </w:rPr>
              <w:t>类似项目业绩</w:t>
            </w:r>
            <w:r>
              <w:rPr>
                <w:rFonts w:hint="eastAsia" w:ascii="宋体" w:hAnsi="宋体" w:eastAsia="宋体" w:cs="宋体"/>
                <w:color w:val="auto"/>
                <w:sz w:val="21"/>
                <w:szCs w:val="21"/>
                <w:highlight w:val="none"/>
                <w:lang w:eastAsia="zh-CN"/>
              </w:rPr>
              <w:t>的</w:t>
            </w:r>
            <w:r>
              <w:rPr>
                <w:rFonts w:hint="eastAsia" w:ascii="宋体" w:hAnsi="宋体" w:eastAsia="宋体" w:cs="宋体"/>
                <w:color w:val="auto"/>
                <w:sz w:val="21"/>
                <w:szCs w:val="21"/>
                <w:highlight w:val="none"/>
              </w:rPr>
              <w:t>情况计分，每提供一</w:t>
            </w:r>
            <w:r>
              <w:rPr>
                <w:rFonts w:hint="eastAsia" w:ascii="宋体" w:hAnsi="宋体" w:cs="宋体"/>
                <w:color w:val="auto"/>
                <w:sz w:val="21"/>
                <w:szCs w:val="21"/>
                <w:highlight w:val="none"/>
                <w:lang w:val="en-US" w:eastAsia="zh-CN"/>
              </w:rPr>
              <w:t>个</w:t>
            </w:r>
            <w:r>
              <w:rPr>
                <w:rFonts w:hint="eastAsia" w:ascii="宋体" w:hAnsi="宋体" w:eastAsia="宋体" w:cs="宋体"/>
                <w:color w:val="auto"/>
                <w:sz w:val="21"/>
                <w:szCs w:val="21"/>
                <w:highlight w:val="none"/>
              </w:rPr>
              <w:t>有效业绩计</w:t>
            </w:r>
            <w:r>
              <w:rPr>
                <w:rFonts w:hint="eastAsia" w:ascii="宋体" w:hAnsi="宋体" w:cs="宋体"/>
                <w:color w:val="auto"/>
                <w:sz w:val="21"/>
                <w:szCs w:val="21"/>
                <w:highlight w:val="none"/>
                <w:lang w:val="en-US" w:eastAsia="zh-CN"/>
              </w:rPr>
              <w:t>20</w:t>
            </w:r>
            <w:r>
              <w:rPr>
                <w:rFonts w:hint="eastAsia" w:ascii="宋体" w:hAnsi="宋体" w:eastAsia="宋体" w:cs="宋体"/>
                <w:color w:val="auto"/>
                <w:sz w:val="21"/>
                <w:szCs w:val="21"/>
                <w:highlight w:val="none"/>
              </w:rPr>
              <w:t>分，满分为</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0分。（</w:t>
            </w:r>
            <w:r>
              <w:rPr>
                <w:rFonts w:hint="eastAsia" w:ascii="宋体" w:hAnsi="宋体" w:cs="宋体"/>
                <w:color w:val="auto"/>
                <w:sz w:val="21"/>
                <w:szCs w:val="21"/>
                <w:highlight w:val="none"/>
                <w:lang w:val="en-US" w:eastAsia="zh-CN"/>
              </w:rPr>
              <w:t>每一个业绩需包含</w:t>
            </w:r>
            <w:r>
              <w:rPr>
                <w:rFonts w:hint="eastAsia" w:ascii="Times New Roman" w:hAnsi="宋体" w:eastAsia="宋体" w:cs="Times New Roman"/>
                <w:color w:val="auto"/>
                <w:kern w:val="0"/>
                <w:sz w:val="21"/>
                <w:szCs w:val="24"/>
                <w:highlight w:val="none"/>
                <w:lang w:val="en-US" w:eastAsia="zh-CN" w:bidi="ar-SA"/>
              </w:rPr>
              <w:t>DSA</w:t>
            </w:r>
            <w:r>
              <w:rPr>
                <w:rFonts w:hint="eastAsia" w:hAnsi="宋体" w:cs="Times New Roman"/>
                <w:color w:val="auto"/>
                <w:kern w:val="0"/>
                <w:sz w:val="21"/>
                <w:szCs w:val="24"/>
                <w:highlight w:val="none"/>
                <w:lang w:val="en-US" w:eastAsia="zh-CN" w:bidi="ar-SA"/>
              </w:rPr>
              <w:t>、</w:t>
            </w:r>
            <w:r>
              <w:rPr>
                <w:rFonts w:hint="eastAsia" w:ascii="Times New Roman" w:hAnsi="宋体" w:eastAsia="宋体" w:cs="Times New Roman"/>
                <w:color w:val="auto"/>
                <w:kern w:val="0"/>
                <w:sz w:val="21"/>
                <w:szCs w:val="24"/>
                <w:highlight w:val="none"/>
                <w:lang w:val="en-US" w:eastAsia="zh-CN" w:bidi="ar-SA"/>
              </w:rPr>
              <w:t>主动脉球囊反搏泵</w:t>
            </w:r>
            <w:r>
              <w:rPr>
                <w:rFonts w:hint="eastAsia" w:hAnsi="宋体" w:cs="Times New Roman"/>
                <w:color w:val="auto"/>
                <w:kern w:val="0"/>
                <w:sz w:val="21"/>
                <w:szCs w:val="24"/>
                <w:highlight w:val="none"/>
                <w:lang w:val="en-US" w:eastAsia="zh-CN" w:bidi="ar-SA"/>
              </w:rPr>
              <w:t>、</w:t>
            </w:r>
            <w:r>
              <w:rPr>
                <w:rFonts w:hint="eastAsia" w:ascii="Times New Roman" w:hAnsi="宋体" w:eastAsia="宋体" w:cs="Times New Roman"/>
                <w:color w:val="auto"/>
                <w:kern w:val="0"/>
                <w:sz w:val="21"/>
                <w:szCs w:val="24"/>
                <w:highlight w:val="none"/>
                <w:lang w:val="en-US" w:eastAsia="zh-CN" w:bidi="ar-SA"/>
              </w:rPr>
              <w:t>腹腔镜</w:t>
            </w:r>
            <w:r>
              <w:rPr>
                <w:rFonts w:hint="eastAsia" w:hAnsi="宋体" w:cs="Times New Roman"/>
                <w:color w:val="auto"/>
                <w:kern w:val="0"/>
                <w:sz w:val="21"/>
                <w:szCs w:val="24"/>
                <w:highlight w:val="none"/>
                <w:lang w:val="en-US" w:eastAsia="zh-CN" w:bidi="ar-SA"/>
              </w:rPr>
              <w:t>、</w:t>
            </w:r>
            <w:r>
              <w:rPr>
                <w:rFonts w:hint="eastAsia" w:ascii="Times New Roman" w:hAnsi="宋体" w:eastAsia="宋体" w:cs="Times New Roman"/>
                <w:color w:val="auto"/>
                <w:kern w:val="0"/>
                <w:sz w:val="21"/>
                <w:szCs w:val="24"/>
                <w:highlight w:val="none"/>
                <w:lang w:val="en-US" w:eastAsia="zh-CN" w:bidi="ar-SA"/>
              </w:rPr>
              <w:t>数字化手术室</w:t>
            </w:r>
            <w:r>
              <w:rPr>
                <w:rFonts w:hint="eastAsia" w:hAnsi="宋体" w:cs="Times New Roman"/>
                <w:color w:val="auto"/>
                <w:kern w:val="0"/>
                <w:sz w:val="21"/>
                <w:szCs w:val="24"/>
                <w:highlight w:val="none"/>
                <w:lang w:val="en-US" w:eastAsia="zh-CN" w:bidi="ar-SA"/>
              </w:rPr>
              <w:t>、</w:t>
            </w:r>
            <w:r>
              <w:rPr>
                <w:rFonts w:hint="eastAsia" w:ascii="Times New Roman" w:hAnsi="宋体" w:eastAsia="宋体" w:cs="Times New Roman"/>
                <w:color w:val="auto"/>
                <w:kern w:val="0"/>
                <w:sz w:val="21"/>
                <w:szCs w:val="24"/>
                <w:highlight w:val="none"/>
                <w:lang w:val="en-US" w:eastAsia="zh-CN" w:bidi="ar-SA"/>
              </w:rPr>
              <w:t>床旁血滤机</w:t>
            </w:r>
            <w:r>
              <w:rPr>
                <w:rFonts w:hint="eastAsia" w:hAnsi="宋体" w:cs="Times New Roman"/>
                <w:color w:val="auto"/>
                <w:kern w:val="0"/>
                <w:sz w:val="21"/>
                <w:szCs w:val="24"/>
                <w:highlight w:val="none"/>
                <w:lang w:val="en-US" w:eastAsia="zh-CN" w:bidi="ar-SA"/>
              </w:rPr>
              <w:t>，</w:t>
            </w:r>
            <w:r>
              <w:rPr>
                <w:rFonts w:hint="eastAsia" w:ascii="宋体" w:hAnsi="宋体" w:eastAsia="宋体" w:cs="宋体"/>
                <w:color w:val="auto"/>
                <w:sz w:val="21"/>
                <w:szCs w:val="21"/>
                <w:highlight w:val="none"/>
              </w:rPr>
              <w:t>以合同签订时间为准，</w:t>
            </w:r>
            <w:r>
              <w:rPr>
                <w:rFonts w:hint="eastAsia" w:ascii="宋体" w:hAnsi="宋体" w:cs="宋体"/>
                <w:color w:val="auto"/>
                <w:sz w:val="21"/>
                <w:szCs w:val="21"/>
                <w:highlight w:val="none"/>
                <w:lang w:val="en-US" w:eastAsia="zh-CN"/>
              </w:rPr>
              <w:t>业绩可以是一个合同或多个合同组成，</w:t>
            </w:r>
            <w:r>
              <w:rPr>
                <w:rFonts w:hint="eastAsia" w:ascii="宋体" w:hAnsi="宋体" w:eastAsia="宋体" w:cs="宋体"/>
                <w:color w:val="auto"/>
                <w:sz w:val="21"/>
                <w:szCs w:val="21"/>
                <w:highlight w:val="none"/>
              </w:rPr>
              <w:t>提供类似业绩合同扫描件并加盖单位公章</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否则不计分）</w:t>
            </w:r>
          </w:p>
        </w:tc>
      </w:tr>
      <w:tr w14:paraId="008BAC9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03" w:type="dxa"/>
            <w:vMerge w:val="continue"/>
            <w:tcBorders>
              <w:right w:val="single" w:color="auto" w:sz="4" w:space="0"/>
            </w:tcBorders>
            <w:noWrap w:val="0"/>
            <w:vAlign w:val="center"/>
          </w:tcPr>
          <w:p w14:paraId="3245D122">
            <w:pPr>
              <w:adjustRightInd w:val="0"/>
              <w:snapToGrid w:val="0"/>
              <w:spacing w:before="156" w:beforeLines="50"/>
              <w:jc w:val="center"/>
              <w:rPr>
                <w:rFonts w:hint="eastAsia" w:ascii="宋体" w:hAnsi="宋体" w:eastAsia="宋体" w:cs="宋体"/>
                <w:color w:val="auto"/>
                <w:sz w:val="21"/>
                <w:szCs w:val="21"/>
                <w:highlight w:val="none"/>
              </w:rPr>
            </w:pPr>
          </w:p>
        </w:tc>
        <w:tc>
          <w:tcPr>
            <w:tcW w:w="2160" w:type="dxa"/>
            <w:vMerge w:val="continue"/>
            <w:tcBorders>
              <w:left w:val="single" w:color="auto" w:sz="4" w:space="0"/>
            </w:tcBorders>
            <w:noWrap w:val="0"/>
            <w:vAlign w:val="center"/>
          </w:tcPr>
          <w:p w14:paraId="548041B6">
            <w:pPr>
              <w:adjustRightInd w:val="0"/>
              <w:snapToGrid w:val="0"/>
              <w:spacing w:before="156" w:beforeLines="50"/>
              <w:jc w:val="center"/>
              <w:rPr>
                <w:rFonts w:hint="eastAsia" w:ascii="宋体" w:hAnsi="宋体" w:eastAsia="宋体" w:cs="宋体"/>
                <w:color w:val="auto"/>
                <w:sz w:val="21"/>
                <w:szCs w:val="21"/>
                <w:highlight w:val="none"/>
              </w:rPr>
            </w:pPr>
          </w:p>
        </w:tc>
        <w:tc>
          <w:tcPr>
            <w:tcW w:w="1545" w:type="dxa"/>
            <w:shd w:val="clear" w:color="auto" w:fill="auto"/>
            <w:noWrap w:val="0"/>
            <w:vAlign w:val="center"/>
          </w:tcPr>
          <w:p w14:paraId="09911329">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质保期限</w:t>
            </w:r>
            <w:r>
              <w:rPr>
                <w:rFonts w:hint="eastAsia" w:ascii="宋体" w:hAnsi="宋体" w:eastAsia="宋体" w:cs="宋体"/>
                <w:color w:val="auto"/>
                <w:sz w:val="21"/>
                <w:szCs w:val="21"/>
                <w:highlight w:val="none"/>
              </w:rPr>
              <w:t>（20）</w:t>
            </w:r>
          </w:p>
        </w:tc>
        <w:tc>
          <w:tcPr>
            <w:tcW w:w="4890" w:type="dxa"/>
            <w:shd w:val="clear" w:color="auto" w:fill="auto"/>
            <w:noWrap w:val="0"/>
            <w:vAlign w:val="center"/>
          </w:tcPr>
          <w:p w14:paraId="5A2884C1">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根据投标人承诺质保期限满足一年的基础上，质保期每增加一年计10分，满分为20分，未提供不计分。</w:t>
            </w:r>
          </w:p>
        </w:tc>
      </w:tr>
      <w:tr w14:paraId="01AD82E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03" w:type="dxa"/>
            <w:vMerge w:val="continue"/>
            <w:tcBorders>
              <w:right w:val="single" w:color="auto" w:sz="4" w:space="0"/>
            </w:tcBorders>
            <w:noWrap w:val="0"/>
            <w:vAlign w:val="center"/>
          </w:tcPr>
          <w:p w14:paraId="20A88591">
            <w:pPr>
              <w:adjustRightInd w:val="0"/>
              <w:snapToGrid w:val="0"/>
              <w:spacing w:before="156" w:beforeLines="50"/>
              <w:jc w:val="center"/>
              <w:rPr>
                <w:rFonts w:hint="eastAsia" w:ascii="宋体" w:hAnsi="宋体" w:eastAsia="宋体" w:cs="宋体"/>
                <w:color w:val="auto"/>
                <w:sz w:val="21"/>
                <w:szCs w:val="21"/>
                <w:highlight w:val="none"/>
              </w:rPr>
            </w:pPr>
          </w:p>
        </w:tc>
        <w:tc>
          <w:tcPr>
            <w:tcW w:w="2160" w:type="dxa"/>
            <w:vMerge w:val="continue"/>
            <w:tcBorders>
              <w:left w:val="single" w:color="auto" w:sz="4" w:space="0"/>
            </w:tcBorders>
            <w:noWrap w:val="0"/>
            <w:vAlign w:val="center"/>
          </w:tcPr>
          <w:p w14:paraId="6D257B9F">
            <w:pPr>
              <w:adjustRightInd w:val="0"/>
              <w:snapToGrid w:val="0"/>
              <w:spacing w:before="156" w:beforeLines="50"/>
              <w:jc w:val="center"/>
              <w:rPr>
                <w:rFonts w:hint="eastAsia" w:ascii="宋体" w:hAnsi="宋体" w:eastAsia="宋体" w:cs="宋体"/>
                <w:color w:val="auto"/>
                <w:sz w:val="21"/>
                <w:szCs w:val="21"/>
                <w:highlight w:val="none"/>
              </w:rPr>
            </w:pPr>
          </w:p>
        </w:tc>
        <w:tc>
          <w:tcPr>
            <w:tcW w:w="1545" w:type="dxa"/>
            <w:noWrap w:val="0"/>
            <w:vAlign w:val="center"/>
          </w:tcPr>
          <w:p w14:paraId="27D45160">
            <w:pPr>
              <w:pStyle w:val="21"/>
              <w:spacing w:line="320" w:lineRule="exact"/>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售后服务（</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0）</w:t>
            </w:r>
          </w:p>
        </w:tc>
        <w:tc>
          <w:tcPr>
            <w:tcW w:w="4890" w:type="dxa"/>
            <w:noWrap w:val="0"/>
            <w:vAlign w:val="center"/>
          </w:tcPr>
          <w:p w14:paraId="5C8EA340">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投标人须根据采购需求提供针对本项目的售后服务方案</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包含但不限于：</w:t>
            </w:r>
            <w:r>
              <w:rPr>
                <w:rFonts w:hint="eastAsia" w:ascii="宋体" w:hAnsi="宋体" w:eastAsia="宋体" w:cs="宋体"/>
                <w:color w:val="auto"/>
                <w:sz w:val="21"/>
                <w:szCs w:val="21"/>
                <w:highlight w:val="none"/>
                <w:lang w:val="en-US" w:eastAsia="zh-CN"/>
              </w:rPr>
              <w:t>①</w:t>
            </w:r>
            <w:r>
              <w:rPr>
                <w:rFonts w:hint="eastAsia" w:ascii="宋体" w:hAnsi="宋体" w:eastAsia="宋体" w:cs="宋体"/>
                <w:color w:val="auto"/>
                <w:sz w:val="21"/>
                <w:szCs w:val="21"/>
                <w:highlight w:val="none"/>
              </w:rPr>
              <w:t>售后服务流程</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②</w:t>
            </w:r>
            <w:r>
              <w:rPr>
                <w:rFonts w:hint="eastAsia" w:ascii="宋体" w:hAnsi="宋体" w:eastAsia="宋体" w:cs="宋体"/>
                <w:color w:val="auto"/>
                <w:sz w:val="21"/>
                <w:szCs w:val="21"/>
                <w:highlight w:val="none"/>
              </w:rPr>
              <w:t>备品备件储备情况</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③</w:t>
            </w:r>
            <w:r>
              <w:rPr>
                <w:rFonts w:hint="eastAsia" w:ascii="宋体" w:hAnsi="宋体" w:eastAsia="宋体" w:cs="宋体"/>
                <w:color w:val="auto"/>
                <w:sz w:val="21"/>
                <w:szCs w:val="21"/>
                <w:highlight w:val="none"/>
              </w:rPr>
              <w:t>售后服务保障措施</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④</w:t>
            </w:r>
            <w:r>
              <w:rPr>
                <w:rFonts w:hint="eastAsia" w:ascii="宋体" w:hAnsi="宋体" w:eastAsia="宋体" w:cs="宋体"/>
                <w:color w:val="auto"/>
                <w:sz w:val="21"/>
                <w:szCs w:val="21"/>
                <w:highlight w:val="none"/>
              </w:rPr>
              <w:t>定期维护计划</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⑤</w:t>
            </w:r>
            <w:r>
              <w:rPr>
                <w:rFonts w:hint="eastAsia" w:ascii="宋体" w:hAnsi="宋体" w:eastAsia="宋体" w:cs="宋体"/>
                <w:color w:val="auto"/>
                <w:sz w:val="21"/>
                <w:szCs w:val="21"/>
                <w:highlight w:val="none"/>
              </w:rPr>
              <w:t>过质保期后服务措施</w:t>
            </w:r>
            <w:r>
              <w:rPr>
                <w:rFonts w:hint="eastAsia" w:ascii="宋体" w:hAnsi="宋体" w:eastAsia="宋体" w:cs="宋体"/>
                <w:color w:val="auto"/>
                <w:sz w:val="21"/>
                <w:szCs w:val="21"/>
                <w:highlight w:val="none"/>
                <w:lang w:val="en-US" w:eastAsia="zh-CN"/>
              </w:rPr>
              <w:t>等</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评标委员会根据方案的内容按以下评分标准进行计分：无缺漏项、方案包含以上全部内容、阐述详细全面、售后服务流程规范、备品备件储备充足、售后服务保障措施有针对性、可行性高、定期维护计划及过保期后服务措施详细的计40分；有缺漏项的，每缺一项扣</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分；有欠完善或欠科学合理或欠可行的，每处扣</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分；扣完为止。未提供售后服务方案的计0 分。</w:t>
            </w:r>
          </w:p>
          <w:p w14:paraId="32F2F47A">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注：欠完善或欠科学合理或欠可行是指内容具有明显缺陷、存在逻辑漏洞、前后内容无法连贯、脱离了实际情况、适用性差以及与本项目无关等情况。</w:t>
            </w:r>
          </w:p>
        </w:tc>
      </w:tr>
      <w:tr w14:paraId="56E1D91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70" w:hRule="atLeast"/>
          <w:jc w:val="center"/>
        </w:trPr>
        <w:tc>
          <w:tcPr>
            <w:tcW w:w="503" w:type="dxa"/>
            <w:tcBorders>
              <w:right w:val="single" w:color="auto" w:sz="4" w:space="0"/>
            </w:tcBorders>
            <w:noWrap w:val="0"/>
            <w:vAlign w:val="center"/>
          </w:tcPr>
          <w:p w14:paraId="57CC3C87">
            <w:pPr>
              <w:adjustRightInd w:val="0"/>
              <w:snapToGrid w:val="0"/>
              <w:spacing w:before="156" w:beforeLines="50"/>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2</w:t>
            </w:r>
          </w:p>
        </w:tc>
        <w:tc>
          <w:tcPr>
            <w:tcW w:w="2160" w:type="dxa"/>
            <w:tcBorders>
              <w:left w:val="single" w:color="auto" w:sz="4" w:space="0"/>
            </w:tcBorders>
            <w:noWrap w:val="0"/>
            <w:vAlign w:val="center"/>
          </w:tcPr>
          <w:p w14:paraId="3A06E740">
            <w:pPr>
              <w:adjustRightInd w:val="0"/>
              <w:snapToGrid w:val="0"/>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优先采购加分（F</w:t>
            </w:r>
            <w:r>
              <w:rPr>
                <w:rFonts w:hint="eastAsia" w:ascii="宋体" w:hAnsi="宋体" w:eastAsia="宋体" w:cs="宋体"/>
                <w:color w:val="auto"/>
                <w:sz w:val="20"/>
                <w:szCs w:val="20"/>
                <w:highlight w:val="none"/>
                <w:vertAlign w:val="subscript"/>
              </w:rPr>
              <w:t>优先采购加分</w:t>
            </w:r>
            <w:r>
              <w:rPr>
                <w:rFonts w:hint="eastAsia" w:ascii="宋体" w:hAnsi="宋体" w:eastAsia="宋体" w:cs="宋体"/>
                <w:color w:val="auto"/>
                <w:sz w:val="20"/>
                <w:szCs w:val="20"/>
                <w:highlight w:val="none"/>
              </w:rPr>
              <w:t>）</w:t>
            </w:r>
          </w:p>
        </w:tc>
        <w:tc>
          <w:tcPr>
            <w:tcW w:w="6435" w:type="dxa"/>
            <w:gridSpan w:val="2"/>
            <w:tcBorders>
              <w:bottom w:val="single" w:color="auto" w:sz="4" w:space="0"/>
            </w:tcBorders>
            <w:noWrap w:val="0"/>
            <w:vAlign w:val="center"/>
          </w:tcPr>
          <w:p w14:paraId="5E9595C5">
            <w:pPr>
              <w:adjustRightInd w:val="0"/>
              <w:snapToGrid w:val="0"/>
              <w:spacing w:before="156" w:beforeLines="5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无</w:t>
            </w:r>
          </w:p>
        </w:tc>
      </w:tr>
      <w:tr w14:paraId="0ECED0B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10" w:hRule="atLeast"/>
          <w:jc w:val="center"/>
        </w:trPr>
        <w:tc>
          <w:tcPr>
            <w:tcW w:w="503" w:type="dxa"/>
            <w:tcBorders>
              <w:right w:val="single" w:color="auto" w:sz="4" w:space="0"/>
            </w:tcBorders>
            <w:noWrap w:val="0"/>
            <w:vAlign w:val="center"/>
          </w:tcPr>
          <w:p w14:paraId="6EFB7084">
            <w:pPr>
              <w:adjustRightInd w:val="0"/>
              <w:snapToGrid w:val="0"/>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w:t>
            </w:r>
          </w:p>
        </w:tc>
        <w:tc>
          <w:tcPr>
            <w:tcW w:w="8595" w:type="dxa"/>
            <w:gridSpan w:val="3"/>
            <w:tcBorders>
              <w:left w:val="single" w:color="auto" w:sz="4" w:space="0"/>
            </w:tcBorders>
            <w:noWrap w:val="0"/>
            <w:vAlign w:val="center"/>
          </w:tcPr>
          <w:p w14:paraId="4171A05F">
            <w:pPr>
              <w:adjustRightInd w:val="0"/>
              <w:snapToGrid w:val="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F</w:t>
            </w:r>
            <w:r>
              <w:rPr>
                <w:rFonts w:hint="eastAsia" w:ascii="宋体" w:hAnsi="宋体" w:eastAsia="宋体" w:cs="宋体"/>
                <w:color w:val="auto"/>
                <w:sz w:val="20"/>
                <w:szCs w:val="20"/>
                <w:highlight w:val="none"/>
                <w:vertAlign w:val="subscript"/>
              </w:rPr>
              <w:t>3</w:t>
            </w:r>
            <w:r>
              <w:rPr>
                <w:rFonts w:hint="eastAsia" w:ascii="宋体" w:hAnsi="宋体" w:eastAsia="宋体" w:cs="宋体"/>
                <w:color w:val="auto"/>
                <w:sz w:val="20"/>
                <w:szCs w:val="20"/>
                <w:highlight w:val="none"/>
              </w:rPr>
              <w:t>=F+ F</w:t>
            </w:r>
            <w:r>
              <w:rPr>
                <w:rFonts w:hint="eastAsia" w:ascii="宋体" w:hAnsi="宋体" w:eastAsia="宋体" w:cs="宋体"/>
                <w:color w:val="auto"/>
                <w:sz w:val="20"/>
                <w:szCs w:val="20"/>
                <w:highlight w:val="none"/>
                <w:vertAlign w:val="subscript"/>
              </w:rPr>
              <w:t>优先采购加分</w:t>
            </w:r>
          </w:p>
        </w:tc>
      </w:tr>
    </w:tbl>
    <w:p w14:paraId="3AAD1702">
      <w:pPr>
        <w:pStyle w:val="2"/>
        <w:keepNext w:val="0"/>
        <w:adjustRightInd w:val="0"/>
        <w:snapToGrid w:val="0"/>
        <w:spacing w:before="158" w:beforeLines="50" w:line="360" w:lineRule="auto"/>
        <w:rPr>
          <w:rFonts w:ascii="宋体" w:hAnsi="宋体" w:cs="宋体"/>
          <w:color w:val="auto"/>
          <w:sz w:val="32"/>
          <w:szCs w:val="32"/>
          <w:highlight w:val="none"/>
        </w:rPr>
      </w:pPr>
      <w:r>
        <w:rPr>
          <w:rFonts w:ascii="黑体" w:hAnsi="华文中宋" w:eastAsia="黑体"/>
          <w:color w:val="auto"/>
          <w:sz w:val="32"/>
          <w:szCs w:val="32"/>
          <w:highlight w:val="none"/>
        </w:rPr>
        <w:br w:type="page"/>
      </w:r>
      <w:bookmarkStart w:id="82" w:name="_Toc28302"/>
      <w:bookmarkStart w:id="83" w:name="_Toc26788"/>
      <w:r>
        <w:rPr>
          <w:rFonts w:hint="eastAsia" w:ascii="宋体" w:hAnsi="宋体" w:cs="宋体"/>
          <w:color w:val="auto"/>
          <w:sz w:val="32"/>
          <w:szCs w:val="32"/>
          <w:highlight w:val="none"/>
        </w:rPr>
        <w:t>第五章 采购需求</w:t>
      </w:r>
      <w:bookmarkEnd w:id="82"/>
      <w:bookmarkEnd w:id="83"/>
    </w:p>
    <w:p w14:paraId="5D097468">
      <w:pPr>
        <w:pStyle w:val="3"/>
        <w:adjustRightInd w:val="0"/>
        <w:snapToGrid w:val="0"/>
        <w:spacing w:before="156" w:beforeLines="50"/>
        <w:jc w:val="center"/>
        <w:rPr>
          <w:rFonts w:hint="eastAsia" w:ascii="Calibri" w:hAnsi="Calibri" w:cs="Times New Roman"/>
          <w:b/>
          <w:bCs/>
          <w:color w:val="auto"/>
          <w:sz w:val="28"/>
          <w:szCs w:val="28"/>
          <w:highlight w:val="none"/>
        </w:rPr>
      </w:pPr>
      <w:bookmarkStart w:id="84" w:name="_Toc8750"/>
      <w:bookmarkStart w:id="85" w:name="_Toc27822"/>
      <w:bookmarkStart w:id="86" w:name="_Toc229"/>
      <w:bookmarkStart w:id="87" w:name="_Hlk7184255"/>
      <w:bookmarkStart w:id="88" w:name="_Toc3145"/>
      <w:r>
        <w:rPr>
          <w:rFonts w:hint="eastAsia" w:ascii="黑体" w:hAnsi="黑体" w:eastAsia="黑体"/>
          <w:color w:val="auto"/>
          <w:sz w:val="28"/>
          <w:szCs w:val="28"/>
          <w:highlight w:val="none"/>
        </w:rPr>
        <w:t>第一节 采购清单一览表</w:t>
      </w:r>
      <w:bookmarkEnd w:id="84"/>
      <w:bookmarkEnd w:id="85"/>
      <w:bookmarkEnd w:id="86"/>
    </w:p>
    <w:tbl>
      <w:tblPr>
        <w:tblStyle w:val="25"/>
        <w:tblW w:w="9142" w:type="dxa"/>
        <w:tblInd w:w="-397"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63"/>
        <w:gridCol w:w="2495"/>
        <w:gridCol w:w="2463"/>
        <w:gridCol w:w="869"/>
        <w:gridCol w:w="852"/>
        <w:gridCol w:w="900"/>
        <w:gridCol w:w="900"/>
      </w:tblGrid>
      <w:tr w14:paraId="1A298EC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662" w:hRule="atLeast"/>
        </w:trPr>
        <w:tc>
          <w:tcPr>
            <w:tcW w:w="663" w:type="dxa"/>
            <w:noWrap w:val="0"/>
            <w:vAlign w:val="center"/>
          </w:tcPr>
          <w:p w14:paraId="73CE9727">
            <w:pPr>
              <w:adjustRightInd w:val="0"/>
              <w:snapToGrid w:val="0"/>
              <w:jc w:val="center"/>
              <w:rPr>
                <w:rFonts w:ascii="Times New Roman" w:hAnsi="Times New Roman" w:cs="Times New Roman"/>
                <w:color w:val="auto"/>
                <w:sz w:val="21"/>
                <w:szCs w:val="21"/>
                <w:highlight w:val="none"/>
              </w:rPr>
            </w:pPr>
            <w:r>
              <w:rPr>
                <w:rFonts w:hint="eastAsia" w:ascii="Times New Roman" w:hAnsi="Times New Roman" w:cs="Times New Roman"/>
                <w:color w:val="auto"/>
                <w:sz w:val="21"/>
                <w:szCs w:val="21"/>
                <w:highlight w:val="none"/>
                <w:lang w:val="en-US" w:eastAsia="zh-CN"/>
              </w:rPr>
              <w:t>序号</w:t>
            </w:r>
            <w:r>
              <w:rPr>
                <w:rFonts w:hint="eastAsia" w:ascii="Times New Roman" w:hAnsi="Times New Roman" w:cs="Times New Roman"/>
                <w:color w:val="auto"/>
                <w:sz w:val="21"/>
                <w:szCs w:val="21"/>
                <w:highlight w:val="none"/>
              </w:rPr>
              <w:t xml:space="preserve"> </w:t>
            </w:r>
          </w:p>
        </w:tc>
        <w:tc>
          <w:tcPr>
            <w:tcW w:w="2495" w:type="dxa"/>
            <w:noWrap w:val="0"/>
            <w:vAlign w:val="center"/>
          </w:tcPr>
          <w:p w14:paraId="2984132F">
            <w:pPr>
              <w:adjustRightInd w:val="0"/>
              <w:snapToGrid w:val="0"/>
              <w:jc w:val="center"/>
              <w:rPr>
                <w:rFonts w:ascii="Times New Roman" w:hAnsi="Times New Roman" w:cs="Times New Roman"/>
                <w:color w:val="auto"/>
                <w:sz w:val="21"/>
                <w:szCs w:val="21"/>
                <w:highlight w:val="none"/>
              </w:rPr>
            </w:pPr>
            <w:r>
              <w:rPr>
                <w:rFonts w:hint="eastAsia" w:ascii="Times New Roman" w:hAnsi="Times New Roman" w:cs="Times New Roman"/>
                <w:color w:val="auto"/>
                <w:sz w:val="21"/>
                <w:szCs w:val="21"/>
                <w:highlight w:val="none"/>
              </w:rPr>
              <w:t>标的名称</w:t>
            </w:r>
          </w:p>
        </w:tc>
        <w:tc>
          <w:tcPr>
            <w:tcW w:w="2463" w:type="dxa"/>
            <w:tcBorders>
              <w:left w:val="single" w:color="auto" w:sz="4" w:space="0"/>
            </w:tcBorders>
            <w:noWrap w:val="0"/>
            <w:vAlign w:val="center"/>
          </w:tcPr>
          <w:p w14:paraId="320EAAF8">
            <w:pPr>
              <w:adjustRightInd w:val="0"/>
              <w:snapToGrid w:val="0"/>
              <w:jc w:val="center"/>
              <w:rPr>
                <w:rFonts w:ascii="Times New Roman" w:hAnsi="Times New Roman" w:cs="Times New Roman"/>
                <w:color w:val="auto"/>
                <w:sz w:val="21"/>
                <w:szCs w:val="21"/>
                <w:highlight w:val="none"/>
              </w:rPr>
            </w:pPr>
            <w:r>
              <w:rPr>
                <w:rFonts w:hint="eastAsia" w:ascii="Times New Roman" w:hAnsi="Times New Roman" w:cs="Times New Roman"/>
                <w:color w:val="auto"/>
                <w:sz w:val="21"/>
                <w:szCs w:val="21"/>
                <w:highlight w:val="none"/>
              </w:rPr>
              <w:t>简要技术要求</w:t>
            </w:r>
          </w:p>
        </w:tc>
        <w:tc>
          <w:tcPr>
            <w:tcW w:w="869" w:type="dxa"/>
            <w:tcBorders>
              <w:left w:val="single" w:color="auto" w:sz="4" w:space="0"/>
            </w:tcBorders>
            <w:noWrap w:val="0"/>
            <w:vAlign w:val="center"/>
          </w:tcPr>
          <w:p w14:paraId="61D5426A">
            <w:pPr>
              <w:adjustRightInd w:val="0"/>
              <w:snapToGrid w:val="0"/>
              <w:jc w:val="center"/>
              <w:rPr>
                <w:rFonts w:ascii="宋体" w:hAnsi="宋体" w:cs="宋体"/>
                <w:color w:val="auto"/>
                <w:kern w:val="0"/>
                <w:sz w:val="21"/>
                <w:szCs w:val="21"/>
                <w:highlight w:val="none"/>
              </w:rPr>
            </w:pPr>
            <w:r>
              <w:rPr>
                <w:rFonts w:hint="eastAsia" w:ascii="Times New Roman" w:hAnsi="Times New Roman" w:cs="Times New Roman"/>
                <w:color w:val="auto"/>
                <w:sz w:val="21"/>
                <w:szCs w:val="21"/>
                <w:highlight w:val="none"/>
              </w:rPr>
              <w:t>数量</w:t>
            </w:r>
          </w:p>
        </w:tc>
        <w:tc>
          <w:tcPr>
            <w:tcW w:w="852" w:type="dxa"/>
            <w:noWrap w:val="0"/>
            <w:vAlign w:val="center"/>
          </w:tcPr>
          <w:p w14:paraId="5BE5B4F0">
            <w:pPr>
              <w:adjustRightInd w:val="0"/>
              <w:snapToGrid w:val="0"/>
              <w:jc w:val="center"/>
              <w:rPr>
                <w:rFonts w:hint="eastAsia" w:cs="Times New Roman"/>
                <w:color w:val="auto"/>
                <w:sz w:val="21"/>
                <w:szCs w:val="21"/>
                <w:highlight w:val="none"/>
                <w:lang w:eastAsia="zh-CN"/>
              </w:rPr>
            </w:pPr>
            <w:r>
              <w:rPr>
                <w:rFonts w:hint="eastAsia" w:cs="Times New Roman"/>
                <w:color w:val="auto"/>
                <w:sz w:val="21"/>
                <w:szCs w:val="21"/>
                <w:highlight w:val="none"/>
                <w:lang w:eastAsia="zh-CN"/>
              </w:rPr>
              <w:t>单位</w:t>
            </w:r>
          </w:p>
        </w:tc>
        <w:tc>
          <w:tcPr>
            <w:tcW w:w="900" w:type="dxa"/>
            <w:noWrap w:val="0"/>
            <w:vAlign w:val="center"/>
          </w:tcPr>
          <w:p w14:paraId="5B94FA3F">
            <w:pPr>
              <w:adjustRightInd w:val="0"/>
              <w:snapToGrid w:val="0"/>
              <w:jc w:val="center"/>
              <w:rPr>
                <w:rFonts w:hint="eastAsia" w:cs="Times New Roman"/>
                <w:color w:val="auto"/>
                <w:sz w:val="21"/>
                <w:szCs w:val="21"/>
                <w:highlight w:val="none"/>
                <w:lang w:eastAsia="zh-CN"/>
              </w:rPr>
            </w:pPr>
            <w:r>
              <w:rPr>
                <w:rFonts w:hint="eastAsia" w:cs="Times New Roman"/>
                <w:color w:val="auto"/>
                <w:sz w:val="21"/>
                <w:szCs w:val="21"/>
                <w:highlight w:val="none"/>
                <w:lang w:eastAsia="zh-CN"/>
              </w:rPr>
              <w:t>节能</w:t>
            </w:r>
          </w:p>
          <w:p w14:paraId="68AB0487">
            <w:pPr>
              <w:adjustRightInd w:val="0"/>
              <w:snapToGrid w:val="0"/>
              <w:jc w:val="center"/>
              <w:rPr>
                <w:rFonts w:hint="eastAsia" w:cs="Times New Roman"/>
                <w:color w:val="auto"/>
                <w:sz w:val="21"/>
                <w:szCs w:val="21"/>
                <w:highlight w:val="none"/>
                <w:lang w:eastAsia="zh-CN"/>
              </w:rPr>
            </w:pPr>
            <w:r>
              <w:rPr>
                <w:rFonts w:hint="eastAsia" w:cs="Times New Roman"/>
                <w:color w:val="auto"/>
                <w:sz w:val="21"/>
                <w:szCs w:val="21"/>
                <w:highlight w:val="none"/>
                <w:lang w:eastAsia="zh-CN"/>
              </w:rPr>
              <w:t>产品</w:t>
            </w:r>
          </w:p>
        </w:tc>
        <w:tc>
          <w:tcPr>
            <w:tcW w:w="900" w:type="dxa"/>
            <w:noWrap w:val="0"/>
            <w:vAlign w:val="center"/>
          </w:tcPr>
          <w:p w14:paraId="07D45B03">
            <w:pPr>
              <w:adjustRightInd w:val="0"/>
              <w:snapToGrid w:val="0"/>
              <w:jc w:val="center"/>
              <w:rPr>
                <w:rFonts w:hint="eastAsia" w:cs="Times New Roman"/>
                <w:color w:val="auto"/>
                <w:sz w:val="21"/>
                <w:szCs w:val="21"/>
                <w:highlight w:val="none"/>
                <w:lang w:eastAsia="zh-CN"/>
              </w:rPr>
            </w:pPr>
            <w:r>
              <w:rPr>
                <w:rFonts w:hint="eastAsia" w:cs="Times New Roman"/>
                <w:color w:val="auto"/>
                <w:sz w:val="21"/>
                <w:szCs w:val="21"/>
                <w:highlight w:val="none"/>
                <w:lang w:eastAsia="zh-CN"/>
              </w:rPr>
              <w:t>进口</w:t>
            </w:r>
          </w:p>
          <w:p w14:paraId="56FF870E">
            <w:pPr>
              <w:adjustRightInd w:val="0"/>
              <w:snapToGrid w:val="0"/>
              <w:jc w:val="center"/>
              <w:rPr>
                <w:rFonts w:hint="eastAsia" w:cs="Times New Roman"/>
                <w:color w:val="auto"/>
                <w:sz w:val="21"/>
                <w:szCs w:val="21"/>
                <w:highlight w:val="none"/>
                <w:lang w:eastAsia="zh-CN"/>
              </w:rPr>
            </w:pPr>
            <w:r>
              <w:rPr>
                <w:rFonts w:hint="eastAsia" w:cs="Times New Roman"/>
                <w:color w:val="auto"/>
                <w:sz w:val="21"/>
                <w:szCs w:val="21"/>
                <w:highlight w:val="none"/>
                <w:lang w:eastAsia="zh-CN"/>
              </w:rPr>
              <w:t>产品</w:t>
            </w:r>
          </w:p>
        </w:tc>
      </w:tr>
      <w:tr w14:paraId="29233F2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82" w:hRule="atLeast"/>
        </w:trPr>
        <w:tc>
          <w:tcPr>
            <w:tcW w:w="663" w:type="dxa"/>
            <w:noWrap w:val="0"/>
            <w:vAlign w:val="center"/>
          </w:tcPr>
          <w:p w14:paraId="213D8102">
            <w:pPr>
              <w:adjustRightInd w:val="0"/>
              <w:snapToGrid w:val="0"/>
              <w:spacing w:before="156" w:beforeLines="50" w:line="360" w:lineRule="auto"/>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1</w:t>
            </w:r>
          </w:p>
        </w:tc>
        <w:tc>
          <w:tcPr>
            <w:tcW w:w="2495" w:type="dxa"/>
            <w:shd w:val="clear" w:color="auto" w:fill="auto"/>
            <w:noWrap w:val="0"/>
            <w:vAlign w:val="center"/>
          </w:tcPr>
          <w:p w14:paraId="332375F7">
            <w:pPr>
              <w:adjustRightInd w:val="0"/>
              <w:snapToGrid w:val="0"/>
              <w:jc w:val="center"/>
              <w:rPr>
                <w:rFonts w:hint="eastAsia" w:ascii="宋体" w:hAnsi="宋体" w:eastAsia="宋体" w:cs="宋体"/>
                <w:i w:val="0"/>
                <w:iCs w:val="0"/>
                <w:color w:val="auto"/>
                <w:kern w:val="2"/>
                <w:sz w:val="20"/>
                <w:szCs w:val="20"/>
                <w:highlight w:val="none"/>
                <w:u w:val="none"/>
                <w:lang w:val="en-US" w:eastAsia="zh-CN" w:bidi="ar-SA"/>
              </w:rPr>
            </w:pPr>
            <w:r>
              <w:rPr>
                <w:rFonts w:hint="eastAsia" w:ascii="Times New Roman" w:hAnsi="宋体" w:eastAsia="宋体" w:cs="Times New Roman"/>
                <w:color w:val="auto"/>
                <w:kern w:val="0"/>
                <w:sz w:val="21"/>
                <w:szCs w:val="24"/>
                <w:highlight w:val="none"/>
                <w:lang w:val="en-US" w:eastAsia="zh-CN" w:bidi="ar-SA"/>
              </w:rPr>
              <w:t>DSA（数字减影血管造影系统）</w:t>
            </w:r>
          </w:p>
        </w:tc>
        <w:tc>
          <w:tcPr>
            <w:tcW w:w="2463" w:type="dxa"/>
            <w:tcBorders>
              <w:left w:val="single" w:color="auto" w:sz="4" w:space="0"/>
            </w:tcBorders>
            <w:noWrap w:val="0"/>
            <w:vAlign w:val="center"/>
          </w:tcPr>
          <w:p w14:paraId="22FCA8B9">
            <w:pPr>
              <w:adjustRightInd w:val="0"/>
              <w:snapToGrid w:val="0"/>
              <w:spacing w:before="156" w:beforeLines="50" w:line="360" w:lineRule="auto"/>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详见第二节技术要求</w:t>
            </w:r>
          </w:p>
        </w:tc>
        <w:tc>
          <w:tcPr>
            <w:tcW w:w="869" w:type="dxa"/>
            <w:tcBorders>
              <w:left w:val="single" w:color="auto" w:sz="4" w:space="0"/>
            </w:tcBorders>
            <w:shd w:val="clear" w:color="auto" w:fill="FFFFFF"/>
            <w:noWrap w:val="0"/>
            <w:vAlign w:val="center"/>
          </w:tcPr>
          <w:p w14:paraId="66BB88B7">
            <w:pPr>
              <w:pStyle w:val="13"/>
              <w:adjustRightInd w:val="0"/>
              <w:snapToGrid w:val="0"/>
              <w:jc w:val="center"/>
              <w:rPr>
                <w:rFonts w:hint="eastAsia" w:ascii="宋体" w:hAnsi="宋体" w:eastAsia="宋体" w:cs="宋体"/>
                <w:i w:val="0"/>
                <w:iCs w:val="0"/>
                <w:color w:val="auto"/>
                <w:kern w:val="2"/>
                <w:sz w:val="20"/>
                <w:szCs w:val="20"/>
                <w:highlight w:val="none"/>
                <w:u w:val="none"/>
                <w:lang w:val="en-US" w:eastAsia="zh-CN" w:bidi="ar-SA"/>
              </w:rPr>
            </w:pPr>
            <w:r>
              <w:rPr>
                <w:rFonts w:hint="eastAsia"/>
                <w:color w:val="auto"/>
                <w:szCs w:val="21"/>
                <w:highlight w:val="none"/>
                <w:lang w:val="en-US" w:eastAsia="zh-CN"/>
              </w:rPr>
              <w:t>1</w:t>
            </w:r>
          </w:p>
        </w:tc>
        <w:tc>
          <w:tcPr>
            <w:tcW w:w="852" w:type="dxa"/>
            <w:shd w:val="clear" w:color="auto" w:fill="FFFFFF"/>
            <w:noWrap w:val="0"/>
            <w:vAlign w:val="center"/>
          </w:tcPr>
          <w:p w14:paraId="5963A11D">
            <w:pPr>
              <w:pStyle w:val="13"/>
              <w:adjustRightInd w:val="0"/>
              <w:snapToGrid w:val="0"/>
              <w:jc w:val="center"/>
              <w:rPr>
                <w:rFonts w:hint="eastAsia" w:ascii="宋体" w:hAnsi="宋体" w:eastAsia="宋体" w:cs="宋体"/>
                <w:i w:val="0"/>
                <w:iCs w:val="0"/>
                <w:color w:val="auto"/>
                <w:kern w:val="2"/>
                <w:sz w:val="20"/>
                <w:szCs w:val="20"/>
                <w:highlight w:val="none"/>
                <w:u w:val="none"/>
                <w:lang w:val="en-US" w:eastAsia="zh-CN" w:bidi="ar-SA"/>
              </w:rPr>
            </w:pPr>
            <w:r>
              <w:rPr>
                <w:rFonts w:hint="eastAsia"/>
                <w:color w:val="auto"/>
                <w:szCs w:val="21"/>
                <w:highlight w:val="none"/>
                <w:lang w:val="en-US" w:eastAsia="zh-CN"/>
              </w:rPr>
              <w:t>套</w:t>
            </w:r>
          </w:p>
        </w:tc>
        <w:tc>
          <w:tcPr>
            <w:tcW w:w="900" w:type="dxa"/>
            <w:noWrap w:val="0"/>
            <w:vAlign w:val="top"/>
          </w:tcPr>
          <w:p w14:paraId="5775731F">
            <w:pPr>
              <w:adjustRightInd w:val="0"/>
              <w:snapToGrid w:val="0"/>
              <w:spacing w:before="156" w:beforeLines="50" w:line="360" w:lineRule="auto"/>
              <w:jc w:val="center"/>
              <w:rPr>
                <w:rFonts w:hint="eastAsia" w:ascii="宋体" w:hAnsi="宋体" w:cs="Times New Roman"/>
                <w:iCs/>
                <w:color w:val="auto"/>
                <w:sz w:val="21"/>
                <w:szCs w:val="21"/>
                <w:highlight w:val="none"/>
              </w:rPr>
            </w:pPr>
            <w:r>
              <w:rPr>
                <w:rFonts w:hint="eastAsia" w:ascii="宋体" w:hAnsi="宋体" w:cs="Times New Roman"/>
                <w:iCs/>
                <w:color w:val="auto"/>
                <w:sz w:val="21"/>
                <w:szCs w:val="21"/>
                <w:highlight w:val="none"/>
              </w:rPr>
              <w:sym w:font="Wingdings" w:char="00A8"/>
            </w:r>
          </w:p>
        </w:tc>
        <w:tc>
          <w:tcPr>
            <w:tcW w:w="900" w:type="dxa"/>
            <w:noWrap w:val="0"/>
            <w:vAlign w:val="top"/>
          </w:tcPr>
          <w:p w14:paraId="16DF45C8">
            <w:pPr>
              <w:adjustRightInd w:val="0"/>
              <w:snapToGrid w:val="0"/>
              <w:spacing w:before="156" w:beforeLines="50" w:line="360" w:lineRule="auto"/>
              <w:jc w:val="center"/>
              <w:rPr>
                <w:rFonts w:hint="eastAsia" w:ascii="宋体" w:hAnsi="宋体" w:cs="Times New Roman"/>
                <w:iCs/>
                <w:color w:val="auto"/>
                <w:sz w:val="21"/>
                <w:szCs w:val="21"/>
                <w:highlight w:val="none"/>
              </w:rPr>
            </w:pPr>
            <w:r>
              <w:rPr>
                <w:rFonts w:hint="eastAsia" w:ascii="宋体" w:hAnsi="宋体" w:cs="Times New Roman"/>
                <w:iCs/>
                <w:color w:val="auto"/>
                <w:sz w:val="21"/>
                <w:szCs w:val="21"/>
                <w:highlight w:val="none"/>
              </w:rPr>
              <w:sym w:font="Wingdings" w:char="00A8"/>
            </w:r>
          </w:p>
        </w:tc>
      </w:tr>
      <w:tr w14:paraId="17C9620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82" w:hRule="atLeast"/>
        </w:trPr>
        <w:tc>
          <w:tcPr>
            <w:tcW w:w="663" w:type="dxa"/>
            <w:noWrap w:val="0"/>
            <w:vAlign w:val="center"/>
          </w:tcPr>
          <w:p w14:paraId="656EA280">
            <w:pPr>
              <w:adjustRightInd w:val="0"/>
              <w:snapToGrid w:val="0"/>
              <w:spacing w:before="156" w:beforeLines="50" w:line="360" w:lineRule="auto"/>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2</w:t>
            </w:r>
          </w:p>
        </w:tc>
        <w:tc>
          <w:tcPr>
            <w:tcW w:w="2495" w:type="dxa"/>
            <w:shd w:val="clear" w:color="auto" w:fill="auto"/>
            <w:noWrap w:val="0"/>
            <w:vAlign w:val="center"/>
          </w:tcPr>
          <w:p w14:paraId="546E8371">
            <w:pPr>
              <w:adjustRightInd w:val="0"/>
              <w:snapToGrid w:val="0"/>
              <w:jc w:val="center"/>
              <w:rPr>
                <w:rFonts w:hint="eastAsia" w:ascii="宋体" w:hAnsi="宋体" w:eastAsia="宋体" w:cs="宋体"/>
                <w:i w:val="0"/>
                <w:iCs w:val="0"/>
                <w:color w:val="auto"/>
                <w:kern w:val="2"/>
                <w:sz w:val="20"/>
                <w:szCs w:val="20"/>
                <w:highlight w:val="none"/>
                <w:u w:val="none"/>
                <w:lang w:val="en-US" w:eastAsia="zh-CN" w:bidi="ar-SA"/>
              </w:rPr>
            </w:pPr>
            <w:r>
              <w:rPr>
                <w:rFonts w:hint="eastAsia" w:ascii="Times New Roman" w:hAnsi="宋体" w:eastAsia="宋体" w:cs="Times New Roman"/>
                <w:color w:val="auto"/>
                <w:kern w:val="0"/>
                <w:sz w:val="21"/>
                <w:szCs w:val="24"/>
                <w:highlight w:val="none"/>
                <w:lang w:val="en-US" w:eastAsia="zh-CN" w:bidi="ar-SA"/>
              </w:rPr>
              <w:t>主动脉球囊反搏泵</w:t>
            </w:r>
          </w:p>
        </w:tc>
        <w:tc>
          <w:tcPr>
            <w:tcW w:w="2463" w:type="dxa"/>
            <w:tcBorders>
              <w:left w:val="single" w:color="auto" w:sz="4" w:space="0"/>
            </w:tcBorders>
            <w:noWrap w:val="0"/>
            <w:vAlign w:val="center"/>
          </w:tcPr>
          <w:p w14:paraId="2C6B563A">
            <w:pPr>
              <w:adjustRightInd w:val="0"/>
              <w:snapToGrid w:val="0"/>
              <w:spacing w:before="156" w:beforeLines="50" w:line="360" w:lineRule="auto"/>
              <w:jc w:val="center"/>
              <w:rPr>
                <w:rFonts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sz w:val="21"/>
                <w:szCs w:val="21"/>
                <w:highlight w:val="none"/>
                <w:lang w:val="en-US" w:eastAsia="zh-CN"/>
              </w:rPr>
              <w:t>详见第二节技术要求</w:t>
            </w:r>
          </w:p>
        </w:tc>
        <w:tc>
          <w:tcPr>
            <w:tcW w:w="869" w:type="dxa"/>
            <w:tcBorders>
              <w:left w:val="single" w:color="auto" w:sz="4" w:space="0"/>
            </w:tcBorders>
            <w:shd w:val="clear" w:color="auto" w:fill="FFFFFF"/>
            <w:noWrap w:val="0"/>
            <w:vAlign w:val="center"/>
          </w:tcPr>
          <w:p w14:paraId="7E8D1B4A">
            <w:pPr>
              <w:pStyle w:val="13"/>
              <w:adjustRightInd w:val="0"/>
              <w:snapToGrid w:val="0"/>
              <w:jc w:val="center"/>
              <w:rPr>
                <w:rFonts w:hint="eastAsia" w:ascii="宋体" w:hAnsi="宋体" w:eastAsia="宋体" w:cs="宋体"/>
                <w:i w:val="0"/>
                <w:iCs w:val="0"/>
                <w:color w:val="auto"/>
                <w:kern w:val="2"/>
                <w:sz w:val="20"/>
                <w:szCs w:val="20"/>
                <w:highlight w:val="none"/>
                <w:u w:val="none"/>
                <w:lang w:val="en-US" w:eastAsia="zh-CN" w:bidi="ar-SA"/>
              </w:rPr>
            </w:pPr>
            <w:r>
              <w:rPr>
                <w:rFonts w:hint="eastAsia" w:hAnsi="宋体"/>
                <w:color w:val="auto"/>
                <w:kern w:val="0"/>
                <w:highlight w:val="none"/>
                <w:lang w:val="en-US" w:eastAsia="zh-CN"/>
              </w:rPr>
              <w:t>1</w:t>
            </w:r>
          </w:p>
        </w:tc>
        <w:tc>
          <w:tcPr>
            <w:tcW w:w="852" w:type="dxa"/>
            <w:shd w:val="clear" w:color="auto" w:fill="FFFFFF"/>
            <w:noWrap w:val="0"/>
            <w:vAlign w:val="center"/>
          </w:tcPr>
          <w:p w14:paraId="15410354">
            <w:pPr>
              <w:pStyle w:val="13"/>
              <w:adjustRightInd w:val="0"/>
              <w:snapToGrid w:val="0"/>
              <w:jc w:val="center"/>
              <w:rPr>
                <w:rFonts w:hint="eastAsia" w:ascii="宋体" w:hAnsi="宋体" w:eastAsia="宋体" w:cs="宋体"/>
                <w:i w:val="0"/>
                <w:iCs w:val="0"/>
                <w:color w:val="auto"/>
                <w:kern w:val="2"/>
                <w:sz w:val="20"/>
                <w:szCs w:val="20"/>
                <w:highlight w:val="none"/>
                <w:u w:val="none"/>
                <w:lang w:val="en-US" w:eastAsia="zh-CN" w:bidi="ar-SA"/>
              </w:rPr>
            </w:pPr>
            <w:r>
              <w:rPr>
                <w:rFonts w:hint="eastAsia" w:hAnsi="宋体"/>
                <w:color w:val="auto"/>
                <w:kern w:val="0"/>
                <w:highlight w:val="none"/>
                <w:lang w:val="en-US" w:eastAsia="zh-CN"/>
              </w:rPr>
              <w:t>台</w:t>
            </w:r>
          </w:p>
        </w:tc>
        <w:tc>
          <w:tcPr>
            <w:tcW w:w="900" w:type="dxa"/>
            <w:noWrap w:val="0"/>
            <w:vAlign w:val="top"/>
          </w:tcPr>
          <w:p w14:paraId="2AE5F2CD">
            <w:pPr>
              <w:adjustRightInd w:val="0"/>
              <w:snapToGrid w:val="0"/>
              <w:spacing w:before="156" w:beforeLines="50" w:line="360" w:lineRule="auto"/>
              <w:jc w:val="center"/>
              <w:rPr>
                <w:rFonts w:hint="eastAsia" w:ascii="宋体" w:hAnsi="宋体" w:cs="Times New Roman"/>
                <w:iCs/>
                <w:color w:val="auto"/>
                <w:sz w:val="21"/>
                <w:szCs w:val="21"/>
                <w:highlight w:val="none"/>
              </w:rPr>
            </w:pPr>
            <w:r>
              <w:rPr>
                <w:rFonts w:hint="eastAsia" w:ascii="宋体" w:hAnsi="宋体" w:cs="Times New Roman"/>
                <w:iCs/>
                <w:color w:val="auto"/>
                <w:sz w:val="21"/>
                <w:szCs w:val="21"/>
                <w:highlight w:val="none"/>
              </w:rPr>
              <w:sym w:font="Wingdings" w:char="00A8"/>
            </w:r>
          </w:p>
        </w:tc>
        <w:tc>
          <w:tcPr>
            <w:tcW w:w="900" w:type="dxa"/>
            <w:noWrap w:val="0"/>
            <w:vAlign w:val="top"/>
          </w:tcPr>
          <w:p w14:paraId="12F101CA">
            <w:pPr>
              <w:adjustRightInd w:val="0"/>
              <w:snapToGrid w:val="0"/>
              <w:spacing w:before="156" w:beforeLines="50" w:line="360" w:lineRule="auto"/>
              <w:jc w:val="center"/>
              <w:rPr>
                <w:rFonts w:hint="eastAsia" w:ascii="宋体" w:hAnsi="宋体" w:cs="Times New Roman"/>
                <w:iCs/>
                <w:color w:val="auto"/>
                <w:sz w:val="21"/>
                <w:szCs w:val="21"/>
                <w:highlight w:val="none"/>
              </w:rPr>
            </w:pPr>
            <w:r>
              <w:rPr>
                <w:rFonts w:hint="eastAsia" w:ascii="宋体" w:hAnsi="宋体" w:cs="Times New Roman"/>
                <w:iCs/>
                <w:color w:val="auto"/>
                <w:sz w:val="21"/>
                <w:szCs w:val="21"/>
                <w:highlight w:val="none"/>
              </w:rPr>
              <w:sym w:font="Wingdings" w:char="00A8"/>
            </w:r>
          </w:p>
        </w:tc>
      </w:tr>
      <w:tr w14:paraId="4F6D351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82" w:hRule="atLeast"/>
        </w:trPr>
        <w:tc>
          <w:tcPr>
            <w:tcW w:w="663" w:type="dxa"/>
            <w:noWrap w:val="0"/>
            <w:vAlign w:val="center"/>
          </w:tcPr>
          <w:p w14:paraId="6DD90990">
            <w:pPr>
              <w:adjustRightInd w:val="0"/>
              <w:snapToGrid w:val="0"/>
              <w:spacing w:before="156" w:beforeLines="50" w:line="360" w:lineRule="auto"/>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3</w:t>
            </w:r>
          </w:p>
        </w:tc>
        <w:tc>
          <w:tcPr>
            <w:tcW w:w="2495" w:type="dxa"/>
            <w:shd w:val="clear" w:color="auto" w:fill="auto"/>
            <w:noWrap w:val="0"/>
            <w:vAlign w:val="center"/>
          </w:tcPr>
          <w:p w14:paraId="164C8958">
            <w:pPr>
              <w:adjustRightInd w:val="0"/>
              <w:snapToGrid w:val="0"/>
              <w:jc w:val="center"/>
              <w:rPr>
                <w:rFonts w:hint="eastAsia" w:ascii="宋体" w:hAnsi="宋体" w:eastAsia="宋体" w:cs="宋体"/>
                <w:i w:val="0"/>
                <w:iCs w:val="0"/>
                <w:color w:val="auto"/>
                <w:kern w:val="2"/>
                <w:sz w:val="20"/>
                <w:szCs w:val="20"/>
                <w:highlight w:val="none"/>
                <w:u w:val="none"/>
                <w:lang w:val="en-US" w:eastAsia="zh-CN" w:bidi="ar-SA"/>
              </w:rPr>
            </w:pPr>
            <w:r>
              <w:rPr>
                <w:rFonts w:hint="eastAsia" w:ascii="Times New Roman" w:hAnsi="宋体" w:eastAsia="宋体" w:cs="Times New Roman"/>
                <w:color w:val="auto"/>
                <w:kern w:val="0"/>
                <w:sz w:val="21"/>
                <w:szCs w:val="24"/>
                <w:highlight w:val="none"/>
                <w:lang w:val="en-US" w:eastAsia="zh-CN" w:bidi="ar-SA"/>
              </w:rPr>
              <w:t>腹腔镜</w:t>
            </w:r>
          </w:p>
        </w:tc>
        <w:tc>
          <w:tcPr>
            <w:tcW w:w="2463" w:type="dxa"/>
            <w:tcBorders>
              <w:left w:val="single" w:color="auto" w:sz="4" w:space="0"/>
            </w:tcBorders>
            <w:noWrap w:val="0"/>
            <w:vAlign w:val="center"/>
          </w:tcPr>
          <w:p w14:paraId="1BA4F8E3">
            <w:pPr>
              <w:adjustRightInd w:val="0"/>
              <w:snapToGrid w:val="0"/>
              <w:spacing w:before="156" w:beforeLines="50" w:line="360" w:lineRule="auto"/>
              <w:jc w:val="center"/>
              <w:rPr>
                <w:rFonts w:ascii="Times New Roman" w:hAnsi="Times New Roman" w:cs="Times New Roman"/>
                <w:color w:val="auto"/>
                <w:sz w:val="21"/>
                <w:szCs w:val="21"/>
                <w:highlight w:val="none"/>
              </w:rPr>
            </w:pPr>
            <w:r>
              <w:rPr>
                <w:rFonts w:hint="eastAsia" w:ascii="Times New Roman" w:hAnsi="Times New Roman" w:cs="Times New Roman"/>
                <w:color w:val="auto"/>
                <w:sz w:val="21"/>
                <w:szCs w:val="21"/>
                <w:highlight w:val="none"/>
                <w:lang w:val="en-US" w:eastAsia="zh-CN"/>
              </w:rPr>
              <w:t>详见第二节技术要求</w:t>
            </w:r>
          </w:p>
        </w:tc>
        <w:tc>
          <w:tcPr>
            <w:tcW w:w="869" w:type="dxa"/>
            <w:tcBorders>
              <w:left w:val="single" w:color="auto" w:sz="4" w:space="0"/>
            </w:tcBorders>
            <w:shd w:val="clear" w:color="auto" w:fill="FFFFFF"/>
            <w:noWrap w:val="0"/>
            <w:vAlign w:val="center"/>
          </w:tcPr>
          <w:p w14:paraId="2A556ED5">
            <w:pPr>
              <w:pStyle w:val="13"/>
              <w:adjustRightInd w:val="0"/>
              <w:snapToGrid w:val="0"/>
              <w:jc w:val="center"/>
              <w:rPr>
                <w:rFonts w:hint="eastAsia" w:ascii="宋体" w:hAnsi="宋体" w:eastAsia="宋体" w:cs="宋体"/>
                <w:i w:val="0"/>
                <w:iCs w:val="0"/>
                <w:color w:val="auto"/>
                <w:kern w:val="2"/>
                <w:sz w:val="20"/>
                <w:szCs w:val="20"/>
                <w:highlight w:val="none"/>
                <w:u w:val="none"/>
                <w:lang w:val="en-US" w:eastAsia="zh-CN" w:bidi="ar-SA"/>
              </w:rPr>
            </w:pPr>
            <w:r>
              <w:rPr>
                <w:rFonts w:hint="eastAsia" w:hAnsi="宋体"/>
                <w:color w:val="auto"/>
                <w:kern w:val="0"/>
                <w:highlight w:val="none"/>
                <w:lang w:val="en-US" w:eastAsia="zh-CN"/>
              </w:rPr>
              <w:t>2</w:t>
            </w:r>
          </w:p>
        </w:tc>
        <w:tc>
          <w:tcPr>
            <w:tcW w:w="852" w:type="dxa"/>
            <w:shd w:val="clear" w:color="auto" w:fill="FFFFFF"/>
            <w:noWrap w:val="0"/>
            <w:vAlign w:val="center"/>
          </w:tcPr>
          <w:p w14:paraId="157D25CD">
            <w:pPr>
              <w:pStyle w:val="13"/>
              <w:adjustRightInd w:val="0"/>
              <w:snapToGrid w:val="0"/>
              <w:jc w:val="center"/>
              <w:rPr>
                <w:rFonts w:hint="eastAsia" w:ascii="宋体" w:hAnsi="宋体" w:eastAsia="宋体" w:cs="宋体"/>
                <w:i w:val="0"/>
                <w:iCs w:val="0"/>
                <w:color w:val="auto"/>
                <w:kern w:val="2"/>
                <w:sz w:val="20"/>
                <w:szCs w:val="20"/>
                <w:highlight w:val="none"/>
                <w:u w:val="none"/>
                <w:lang w:val="en-US" w:eastAsia="zh-CN" w:bidi="ar-SA"/>
              </w:rPr>
            </w:pPr>
            <w:r>
              <w:rPr>
                <w:rFonts w:hint="eastAsia" w:hAnsi="宋体"/>
                <w:color w:val="auto"/>
                <w:kern w:val="0"/>
                <w:highlight w:val="none"/>
                <w:lang w:val="en-US" w:eastAsia="zh-CN"/>
              </w:rPr>
              <w:t>台</w:t>
            </w:r>
          </w:p>
        </w:tc>
        <w:tc>
          <w:tcPr>
            <w:tcW w:w="900" w:type="dxa"/>
            <w:noWrap w:val="0"/>
            <w:vAlign w:val="center"/>
          </w:tcPr>
          <w:p w14:paraId="1AC52258">
            <w:pPr>
              <w:adjustRightInd w:val="0"/>
              <w:snapToGrid w:val="0"/>
              <w:spacing w:before="156" w:beforeLines="50" w:line="360" w:lineRule="auto"/>
              <w:jc w:val="center"/>
              <w:rPr>
                <w:rFonts w:hint="eastAsia" w:ascii="宋体" w:hAnsi="宋体" w:cs="Times New Roman"/>
                <w:iCs/>
                <w:color w:val="auto"/>
                <w:sz w:val="21"/>
                <w:szCs w:val="21"/>
                <w:highlight w:val="none"/>
              </w:rPr>
            </w:pPr>
            <w:r>
              <w:rPr>
                <w:rFonts w:hint="eastAsia" w:ascii="宋体" w:hAnsi="宋体" w:cs="Times New Roman"/>
                <w:iCs/>
                <w:color w:val="auto"/>
                <w:sz w:val="21"/>
                <w:szCs w:val="21"/>
                <w:highlight w:val="none"/>
              </w:rPr>
              <w:sym w:font="Wingdings" w:char="00A8"/>
            </w:r>
          </w:p>
        </w:tc>
        <w:tc>
          <w:tcPr>
            <w:tcW w:w="900" w:type="dxa"/>
            <w:noWrap w:val="0"/>
            <w:vAlign w:val="center"/>
          </w:tcPr>
          <w:p w14:paraId="63A29615">
            <w:pPr>
              <w:adjustRightInd w:val="0"/>
              <w:snapToGrid w:val="0"/>
              <w:spacing w:before="156" w:beforeLines="50" w:line="360" w:lineRule="auto"/>
              <w:jc w:val="center"/>
              <w:rPr>
                <w:rFonts w:hint="eastAsia" w:ascii="宋体" w:hAnsi="宋体" w:cs="Times New Roman"/>
                <w:iCs/>
                <w:color w:val="auto"/>
                <w:sz w:val="21"/>
                <w:szCs w:val="21"/>
                <w:highlight w:val="none"/>
              </w:rPr>
            </w:pPr>
            <w:r>
              <w:rPr>
                <w:rFonts w:hint="eastAsia" w:ascii="宋体" w:hAnsi="宋体" w:cs="Times New Roman"/>
                <w:iCs/>
                <w:color w:val="auto"/>
                <w:sz w:val="21"/>
                <w:szCs w:val="21"/>
                <w:highlight w:val="none"/>
              </w:rPr>
              <w:sym w:font="Wingdings" w:char="00A8"/>
            </w:r>
          </w:p>
        </w:tc>
      </w:tr>
      <w:tr w14:paraId="0BD4EB3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82" w:hRule="atLeast"/>
        </w:trPr>
        <w:tc>
          <w:tcPr>
            <w:tcW w:w="663" w:type="dxa"/>
            <w:noWrap w:val="0"/>
            <w:vAlign w:val="center"/>
          </w:tcPr>
          <w:p w14:paraId="2CCBDC61">
            <w:pPr>
              <w:adjustRightInd w:val="0"/>
              <w:snapToGrid w:val="0"/>
              <w:spacing w:before="156" w:beforeLines="50" w:line="360" w:lineRule="auto"/>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4</w:t>
            </w:r>
          </w:p>
        </w:tc>
        <w:tc>
          <w:tcPr>
            <w:tcW w:w="2495" w:type="dxa"/>
            <w:shd w:val="clear" w:color="auto" w:fill="auto"/>
            <w:noWrap w:val="0"/>
            <w:vAlign w:val="center"/>
          </w:tcPr>
          <w:p w14:paraId="5289D0EF">
            <w:pPr>
              <w:adjustRightInd w:val="0"/>
              <w:snapToGrid w:val="0"/>
              <w:jc w:val="center"/>
              <w:rPr>
                <w:rFonts w:hint="eastAsia" w:ascii="宋体" w:hAnsi="宋体" w:eastAsia="宋体" w:cs="宋体"/>
                <w:i w:val="0"/>
                <w:iCs w:val="0"/>
                <w:color w:val="auto"/>
                <w:kern w:val="2"/>
                <w:sz w:val="20"/>
                <w:szCs w:val="20"/>
                <w:highlight w:val="none"/>
                <w:u w:val="none"/>
                <w:lang w:val="en-US" w:eastAsia="zh-CN" w:bidi="ar-SA"/>
              </w:rPr>
            </w:pPr>
            <w:r>
              <w:rPr>
                <w:rFonts w:hint="eastAsia" w:ascii="Times New Roman" w:hAnsi="宋体" w:eastAsia="宋体" w:cs="Times New Roman"/>
                <w:color w:val="auto"/>
                <w:kern w:val="0"/>
                <w:sz w:val="21"/>
                <w:szCs w:val="24"/>
                <w:highlight w:val="none"/>
                <w:lang w:val="en-US" w:eastAsia="zh-CN" w:bidi="ar-SA"/>
              </w:rPr>
              <w:t>数字化手术室</w:t>
            </w:r>
          </w:p>
        </w:tc>
        <w:tc>
          <w:tcPr>
            <w:tcW w:w="2463" w:type="dxa"/>
            <w:tcBorders>
              <w:left w:val="single" w:color="auto" w:sz="4" w:space="0"/>
            </w:tcBorders>
            <w:noWrap w:val="0"/>
            <w:vAlign w:val="center"/>
          </w:tcPr>
          <w:p w14:paraId="31858998">
            <w:pPr>
              <w:adjustRightInd w:val="0"/>
              <w:snapToGrid w:val="0"/>
              <w:spacing w:before="156" w:beforeLines="50" w:line="360" w:lineRule="auto"/>
              <w:jc w:val="center"/>
              <w:rPr>
                <w:rFonts w:ascii="Times New Roman" w:hAnsi="Times New Roman" w:cs="Times New Roman"/>
                <w:color w:val="auto"/>
                <w:sz w:val="21"/>
                <w:szCs w:val="21"/>
                <w:highlight w:val="none"/>
              </w:rPr>
            </w:pPr>
            <w:r>
              <w:rPr>
                <w:rFonts w:hint="eastAsia" w:ascii="Times New Roman" w:hAnsi="Times New Roman" w:cs="Times New Roman"/>
                <w:color w:val="auto"/>
                <w:sz w:val="21"/>
                <w:szCs w:val="21"/>
                <w:highlight w:val="none"/>
                <w:lang w:val="en-US" w:eastAsia="zh-CN"/>
              </w:rPr>
              <w:t>详见第二节技术要求</w:t>
            </w:r>
          </w:p>
        </w:tc>
        <w:tc>
          <w:tcPr>
            <w:tcW w:w="869" w:type="dxa"/>
            <w:tcBorders>
              <w:left w:val="single" w:color="auto" w:sz="4" w:space="0"/>
            </w:tcBorders>
            <w:shd w:val="clear" w:color="auto" w:fill="FFFFFF"/>
            <w:noWrap w:val="0"/>
            <w:vAlign w:val="center"/>
          </w:tcPr>
          <w:p w14:paraId="74391A02">
            <w:pPr>
              <w:pStyle w:val="13"/>
              <w:adjustRightInd w:val="0"/>
              <w:snapToGrid w:val="0"/>
              <w:jc w:val="center"/>
              <w:rPr>
                <w:rFonts w:hint="eastAsia" w:ascii="宋体" w:hAnsi="宋体" w:eastAsia="宋体" w:cs="宋体"/>
                <w:i w:val="0"/>
                <w:iCs w:val="0"/>
                <w:color w:val="auto"/>
                <w:kern w:val="2"/>
                <w:sz w:val="20"/>
                <w:szCs w:val="20"/>
                <w:highlight w:val="none"/>
                <w:u w:val="none"/>
                <w:lang w:val="en-US" w:eastAsia="zh-CN" w:bidi="ar-SA"/>
              </w:rPr>
            </w:pPr>
            <w:r>
              <w:rPr>
                <w:rFonts w:hint="eastAsia" w:hAnsi="宋体"/>
                <w:color w:val="auto"/>
                <w:kern w:val="0"/>
                <w:highlight w:val="none"/>
                <w:lang w:val="en-US" w:eastAsia="zh-CN"/>
              </w:rPr>
              <w:t>1</w:t>
            </w:r>
          </w:p>
        </w:tc>
        <w:tc>
          <w:tcPr>
            <w:tcW w:w="852" w:type="dxa"/>
            <w:shd w:val="clear" w:color="auto" w:fill="FFFFFF"/>
            <w:noWrap w:val="0"/>
            <w:vAlign w:val="center"/>
          </w:tcPr>
          <w:p w14:paraId="1D9822CE">
            <w:pPr>
              <w:pStyle w:val="13"/>
              <w:adjustRightInd w:val="0"/>
              <w:snapToGrid w:val="0"/>
              <w:jc w:val="center"/>
              <w:rPr>
                <w:rFonts w:hint="eastAsia" w:ascii="宋体" w:hAnsi="宋体" w:eastAsia="宋体" w:cs="宋体"/>
                <w:i w:val="0"/>
                <w:iCs w:val="0"/>
                <w:color w:val="auto"/>
                <w:kern w:val="2"/>
                <w:sz w:val="20"/>
                <w:szCs w:val="20"/>
                <w:highlight w:val="none"/>
                <w:u w:val="none"/>
                <w:lang w:val="en-US" w:eastAsia="zh-CN" w:bidi="ar-SA"/>
              </w:rPr>
            </w:pPr>
            <w:r>
              <w:rPr>
                <w:rFonts w:hint="eastAsia" w:hAnsi="宋体"/>
                <w:color w:val="auto"/>
                <w:kern w:val="0"/>
                <w:highlight w:val="none"/>
                <w:lang w:val="en-US" w:eastAsia="zh-CN"/>
              </w:rPr>
              <w:t>套</w:t>
            </w:r>
          </w:p>
        </w:tc>
        <w:tc>
          <w:tcPr>
            <w:tcW w:w="900" w:type="dxa"/>
            <w:noWrap w:val="0"/>
            <w:vAlign w:val="center"/>
          </w:tcPr>
          <w:p w14:paraId="6E3B0B71">
            <w:pPr>
              <w:adjustRightInd w:val="0"/>
              <w:snapToGrid w:val="0"/>
              <w:spacing w:before="156" w:beforeLines="50" w:line="360" w:lineRule="auto"/>
              <w:jc w:val="center"/>
              <w:rPr>
                <w:rFonts w:hint="eastAsia" w:ascii="宋体" w:hAnsi="宋体" w:cs="Times New Roman"/>
                <w:iCs/>
                <w:color w:val="auto"/>
                <w:sz w:val="21"/>
                <w:szCs w:val="21"/>
                <w:highlight w:val="none"/>
              </w:rPr>
            </w:pPr>
            <w:r>
              <w:rPr>
                <w:rFonts w:hint="eastAsia" w:ascii="宋体" w:hAnsi="宋体" w:cs="Times New Roman"/>
                <w:iCs/>
                <w:color w:val="auto"/>
                <w:sz w:val="21"/>
                <w:szCs w:val="21"/>
                <w:highlight w:val="none"/>
              </w:rPr>
              <w:sym w:font="Wingdings" w:char="00A8"/>
            </w:r>
          </w:p>
        </w:tc>
        <w:tc>
          <w:tcPr>
            <w:tcW w:w="900" w:type="dxa"/>
            <w:noWrap w:val="0"/>
            <w:vAlign w:val="center"/>
          </w:tcPr>
          <w:p w14:paraId="0F3BCA9D">
            <w:pPr>
              <w:adjustRightInd w:val="0"/>
              <w:snapToGrid w:val="0"/>
              <w:spacing w:before="156" w:beforeLines="50" w:line="360" w:lineRule="auto"/>
              <w:jc w:val="center"/>
              <w:rPr>
                <w:rFonts w:hint="eastAsia" w:ascii="宋体" w:hAnsi="宋体" w:cs="Times New Roman"/>
                <w:iCs/>
                <w:color w:val="auto"/>
                <w:sz w:val="21"/>
                <w:szCs w:val="21"/>
                <w:highlight w:val="none"/>
              </w:rPr>
            </w:pPr>
            <w:r>
              <w:rPr>
                <w:rFonts w:hint="eastAsia" w:ascii="宋体" w:hAnsi="宋体" w:cs="Times New Roman"/>
                <w:iCs/>
                <w:color w:val="auto"/>
                <w:sz w:val="21"/>
                <w:szCs w:val="21"/>
                <w:highlight w:val="none"/>
              </w:rPr>
              <w:sym w:font="Wingdings" w:char="00A8"/>
            </w:r>
          </w:p>
        </w:tc>
      </w:tr>
      <w:tr w14:paraId="3462634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640" w:hRule="atLeast"/>
        </w:trPr>
        <w:tc>
          <w:tcPr>
            <w:tcW w:w="663" w:type="dxa"/>
            <w:noWrap w:val="0"/>
            <w:vAlign w:val="center"/>
          </w:tcPr>
          <w:p w14:paraId="0A1EBD66">
            <w:pPr>
              <w:adjustRightInd w:val="0"/>
              <w:snapToGrid w:val="0"/>
              <w:spacing w:before="156" w:beforeLines="50" w:line="360" w:lineRule="auto"/>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5</w:t>
            </w:r>
          </w:p>
        </w:tc>
        <w:tc>
          <w:tcPr>
            <w:tcW w:w="2495" w:type="dxa"/>
            <w:shd w:val="clear" w:color="auto" w:fill="auto"/>
            <w:noWrap w:val="0"/>
            <w:vAlign w:val="center"/>
          </w:tcPr>
          <w:p w14:paraId="68333AC7">
            <w:pPr>
              <w:adjustRightInd w:val="0"/>
              <w:snapToGrid w:val="0"/>
              <w:jc w:val="center"/>
              <w:rPr>
                <w:rFonts w:hint="eastAsia" w:ascii="宋体" w:hAnsi="宋体" w:eastAsia="宋体" w:cs="宋体"/>
                <w:i w:val="0"/>
                <w:iCs w:val="0"/>
                <w:color w:val="auto"/>
                <w:kern w:val="2"/>
                <w:sz w:val="20"/>
                <w:szCs w:val="20"/>
                <w:highlight w:val="none"/>
                <w:u w:val="none"/>
                <w:lang w:val="en-US" w:eastAsia="zh-CN" w:bidi="ar-SA"/>
              </w:rPr>
            </w:pPr>
            <w:r>
              <w:rPr>
                <w:rFonts w:hint="eastAsia" w:ascii="Times New Roman" w:hAnsi="宋体" w:eastAsia="宋体" w:cs="Times New Roman"/>
                <w:color w:val="auto"/>
                <w:kern w:val="0"/>
                <w:sz w:val="21"/>
                <w:szCs w:val="24"/>
                <w:highlight w:val="none"/>
                <w:lang w:val="en-US" w:eastAsia="zh-CN" w:bidi="ar-SA"/>
              </w:rPr>
              <w:t>床旁血滤机</w:t>
            </w:r>
          </w:p>
        </w:tc>
        <w:tc>
          <w:tcPr>
            <w:tcW w:w="2463" w:type="dxa"/>
            <w:tcBorders>
              <w:left w:val="single" w:color="auto" w:sz="4" w:space="0"/>
            </w:tcBorders>
            <w:noWrap w:val="0"/>
            <w:vAlign w:val="center"/>
          </w:tcPr>
          <w:p w14:paraId="1B22344E">
            <w:pPr>
              <w:adjustRightInd w:val="0"/>
              <w:snapToGrid w:val="0"/>
              <w:spacing w:before="156" w:beforeLines="50" w:line="360" w:lineRule="auto"/>
              <w:jc w:val="center"/>
              <w:rPr>
                <w:rFonts w:ascii="Times New Roman" w:hAnsi="Times New Roman" w:cs="Times New Roman"/>
                <w:color w:val="auto"/>
                <w:sz w:val="21"/>
                <w:szCs w:val="21"/>
                <w:highlight w:val="none"/>
              </w:rPr>
            </w:pPr>
            <w:r>
              <w:rPr>
                <w:rFonts w:hint="eastAsia" w:ascii="Times New Roman" w:hAnsi="Times New Roman" w:cs="Times New Roman"/>
                <w:color w:val="auto"/>
                <w:sz w:val="21"/>
                <w:szCs w:val="21"/>
                <w:highlight w:val="none"/>
                <w:lang w:val="en-US" w:eastAsia="zh-CN"/>
              </w:rPr>
              <w:t>详见第二节技术要求</w:t>
            </w:r>
          </w:p>
        </w:tc>
        <w:tc>
          <w:tcPr>
            <w:tcW w:w="869" w:type="dxa"/>
            <w:tcBorders>
              <w:left w:val="single" w:color="auto" w:sz="4" w:space="0"/>
            </w:tcBorders>
            <w:shd w:val="clear" w:color="auto" w:fill="FFFFFF"/>
            <w:noWrap w:val="0"/>
            <w:vAlign w:val="center"/>
          </w:tcPr>
          <w:p w14:paraId="4FBB6B15">
            <w:pPr>
              <w:pStyle w:val="13"/>
              <w:adjustRightInd w:val="0"/>
              <w:snapToGrid w:val="0"/>
              <w:jc w:val="center"/>
              <w:rPr>
                <w:rFonts w:hint="eastAsia" w:ascii="宋体" w:hAnsi="宋体" w:eastAsia="宋体" w:cs="宋体"/>
                <w:i w:val="0"/>
                <w:iCs w:val="0"/>
                <w:color w:val="auto"/>
                <w:kern w:val="2"/>
                <w:sz w:val="20"/>
                <w:szCs w:val="20"/>
                <w:highlight w:val="none"/>
                <w:u w:val="none"/>
                <w:lang w:val="en-US" w:eastAsia="zh-CN" w:bidi="ar-SA"/>
              </w:rPr>
            </w:pPr>
            <w:r>
              <w:rPr>
                <w:rFonts w:hint="eastAsia" w:hAnsi="宋体"/>
                <w:color w:val="auto"/>
                <w:kern w:val="0"/>
                <w:highlight w:val="none"/>
                <w:lang w:val="en-US" w:eastAsia="zh-CN"/>
              </w:rPr>
              <w:t>2</w:t>
            </w:r>
          </w:p>
        </w:tc>
        <w:tc>
          <w:tcPr>
            <w:tcW w:w="852" w:type="dxa"/>
            <w:shd w:val="clear" w:color="auto" w:fill="FFFFFF"/>
            <w:noWrap w:val="0"/>
            <w:vAlign w:val="center"/>
          </w:tcPr>
          <w:p w14:paraId="17FA642E">
            <w:pPr>
              <w:pStyle w:val="13"/>
              <w:adjustRightInd w:val="0"/>
              <w:snapToGrid w:val="0"/>
              <w:jc w:val="center"/>
              <w:rPr>
                <w:rFonts w:hint="eastAsia" w:ascii="宋体" w:hAnsi="宋体" w:eastAsia="宋体" w:cs="宋体"/>
                <w:i w:val="0"/>
                <w:iCs w:val="0"/>
                <w:color w:val="auto"/>
                <w:kern w:val="2"/>
                <w:sz w:val="20"/>
                <w:szCs w:val="20"/>
                <w:highlight w:val="none"/>
                <w:u w:val="none"/>
                <w:lang w:val="en-US" w:eastAsia="zh-CN" w:bidi="ar-SA"/>
              </w:rPr>
            </w:pPr>
            <w:r>
              <w:rPr>
                <w:rFonts w:hint="eastAsia" w:hAnsi="宋体"/>
                <w:color w:val="auto"/>
                <w:kern w:val="0"/>
                <w:highlight w:val="none"/>
                <w:lang w:val="en-US" w:eastAsia="zh-CN"/>
              </w:rPr>
              <w:t>台</w:t>
            </w:r>
          </w:p>
        </w:tc>
        <w:tc>
          <w:tcPr>
            <w:tcW w:w="900" w:type="dxa"/>
            <w:noWrap w:val="0"/>
            <w:vAlign w:val="center"/>
          </w:tcPr>
          <w:p w14:paraId="22CEBE1B">
            <w:pPr>
              <w:adjustRightInd w:val="0"/>
              <w:snapToGrid w:val="0"/>
              <w:spacing w:before="156" w:beforeLines="50" w:line="360" w:lineRule="auto"/>
              <w:jc w:val="center"/>
              <w:rPr>
                <w:rFonts w:hint="eastAsia" w:ascii="宋体" w:hAnsi="宋体" w:cs="Times New Roman"/>
                <w:iCs/>
                <w:color w:val="auto"/>
                <w:sz w:val="21"/>
                <w:szCs w:val="21"/>
                <w:highlight w:val="none"/>
              </w:rPr>
            </w:pPr>
            <w:r>
              <w:rPr>
                <w:rFonts w:hint="eastAsia" w:ascii="宋体" w:hAnsi="宋体" w:cs="Times New Roman"/>
                <w:iCs/>
                <w:color w:val="auto"/>
                <w:sz w:val="21"/>
                <w:szCs w:val="21"/>
                <w:highlight w:val="none"/>
              </w:rPr>
              <w:sym w:font="Wingdings" w:char="00A8"/>
            </w:r>
          </w:p>
        </w:tc>
        <w:tc>
          <w:tcPr>
            <w:tcW w:w="900" w:type="dxa"/>
            <w:noWrap w:val="0"/>
            <w:vAlign w:val="center"/>
          </w:tcPr>
          <w:p w14:paraId="1990BFBB">
            <w:pPr>
              <w:adjustRightInd w:val="0"/>
              <w:snapToGrid w:val="0"/>
              <w:spacing w:before="156" w:beforeLines="50" w:line="360" w:lineRule="auto"/>
              <w:jc w:val="center"/>
              <w:rPr>
                <w:rFonts w:hint="eastAsia" w:ascii="宋体" w:hAnsi="宋体" w:cs="Times New Roman"/>
                <w:iCs/>
                <w:color w:val="auto"/>
                <w:sz w:val="21"/>
                <w:szCs w:val="21"/>
                <w:highlight w:val="none"/>
              </w:rPr>
            </w:pPr>
            <w:r>
              <w:rPr>
                <w:rFonts w:hint="eastAsia" w:ascii="宋体" w:hAnsi="宋体" w:cs="Times New Roman"/>
                <w:iCs/>
                <w:color w:val="auto"/>
                <w:sz w:val="21"/>
                <w:szCs w:val="21"/>
                <w:highlight w:val="none"/>
              </w:rPr>
              <w:sym w:font="Wingdings" w:char="00A8"/>
            </w:r>
          </w:p>
        </w:tc>
      </w:tr>
      <w:bookmarkEnd w:id="87"/>
    </w:tbl>
    <w:p w14:paraId="5AF5DF3A">
      <w:pPr>
        <w:pStyle w:val="40"/>
        <w:adjustRightInd w:val="0"/>
        <w:snapToGrid w:val="0"/>
        <w:spacing w:before="156" w:beforeLines="50" w:line="360" w:lineRule="auto"/>
        <w:rPr>
          <w:rFonts w:hint="eastAsia" w:ascii="宋体" w:hAnsi="宋体" w:cs="宋体"/>
          <w:color w:val="auto"/>
          <w:szCs w:val="21"/>
          <w:highlight w:val="none"/>
        </w:rPr>
      </w:pPr>
      <w:r>
        <w:rPr>
          <w:rFonts w:hint="eastAsia" w:ascii="宋体" w:hAnsi="宋体" w:cs="宋体"/>
          <w:color w:val="auto"/>
          <w:szCs w:val="21"/>
          <w:highlight w:val="none"/>
        </w:rPr>
        <w:t>注：</w:t>
      </w:r>
    </w:p>
    <w:p w14:paraId="7F9CC974">
      <w:pPr>
        <w:keepNext w:val="0"/>
        <w:keepLines w:val="0"/>
        <w:pageBreakBefore w:val="0"/>
        <w:widowControl w:val="0"/>
        <w:numPr>
          <w:ilvl w:val="255"/>
          <w:numId w:val="0"/>
        </w:numPr>
        <w:kinsoku/>
        <w:wordWrap/>
        <w:overflowPunct/>
        <w:topLinePunct w:val="0"/>
        <w:autoSpaceDE/>
        <w:autoSpaceDN/>
        <w:bidi w:val="0"/>
        <w:adjustRightInd w:val="0"/>
        <w:snapToGrid w:val="0"/>
        <w:spacing w:line="440" w:lineRule="exact"/>
        <w:jc w:val="both"/>
        <w:rPr>
          <w:rFonts w:ascii="宋体" w:hAnsi="宋体" w:eastAsia="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1</w:t>
      </w:r>
      <w:r>
        <w:rPr>
          <w:rFonts w:hint="eastAsia" w:ascii="宋体" w:hAnsi="宋体" w:eastAsia="宋体" w:cs="宋体"/>
          <w:color w:val="auto"/>
          <w:kern w:val="2"/>
          <w:sz w:val="21"/>
          <w:szCs w:val="21"/>
          <w:highlight w:val="none"/>
          <w:lang w:val="en-US" w:eastAsia="zh-CN" w:bidi="ar-SA"/>
        </w:rPr>
        <w:t>.投标人必须对一个完整、独立的包进行投标，不得仅对一个包中的部分</w:t>
      </w:r>
      <w:r>
        <w:rPr>
          <w:rFonts w:hint="eastAsia" w:ascii="宋体" w:hAnsi="宋体" w:cs="宋体"/>
          <w:color w:val="auto"/>
          <w:kern w:val="2"/>
          <w:sz w:val="21"/>
          <w:szCs w:val="21"/>
          <w:highlight w:val="none"/>
          <w:lang w:val="en-US" w:eastAsia="zh-CN" w:bidi="ar-SA"/>
        </w:rPr>
        <w:t>标的</w:t>
      </w:r>
      <w:r>
        <w:rPr>
          <w:rFonts w:hint="eastAsia" w:ascii="宋体" w:hAnsi="宋体" w:eastAsia="宋体" w:cs="宋体"/>
          <w:color w:val="auto"/>
          <w:kern w:val="2"/>
          <w:sz w:val="21"/>
          <w:szCs w:val="21"/>
          <w:highlight w:val="none"/>
          <w:lang w:val="en-US" w:eastAsia="zh-CN" w:bidi="ar-SA"/>
        </w:rPr>
        <w:t>投标，否则</w:t>
      </w:r>
      <w:r>
        <w:rPr>
          <w:rFonts w:hint="eastAsia" w:ascii="宋体" w:hAnsi="宋体" w:eastAsia="宋体" w:cs="宋体"/>
          <w:b/>
          <w:color w:val="auto"/>
          <w:kern w:val="2"/>
          <w:sz w:val="21"/>
          <w:szCs w:val="21"/>
          <w:highlight w:val="none"/>
          <w:lang w:val="en-US" w:eastAsia="zh-CN" w:bidi="ar-SA"/>
        </w:rPr>
        <w:t>投标无效</w:t>
      </w:r>
      <w:r>
        <w:rPr>
          <w:rFonts w:hint="eastAsia" w:ascii="宋体" w:hAnsi="宋体" w:eastAsia="宋体" w:cs="宋体"/>
          <w:color w:val="auto"/>
          <w:kern w:val="2"/>
          <w:sz w:val="21"/>
          <w:szCs w:val="21"/>
          <w:highlight w:val="none"/>
          <w:lang w:val="en-US" w:eastAsia="zh-CN" w:bidi="ar-SA"/>
        </w:rPr>
        <w:t>。</w:t>
      </w:r>
    </w:p>
    <w:p w14:paraId="01E444AB">
      <w:pPr>
        <w:keepNext w:val="0"/>
        <w:keepLines w:val="0"/>
        <w:pageBreakBefore w:val="0"/>
        <w:widowControl w:val="0"/>
        <w:numPr>
          <w:ilvl w:val="255"/>
          <w:numId w:val="0"/>
        </w:numPr>
        <w:kinsoku/>
        <w:wordWrap/>
        <w:overflowPunct/>
        <w:topLinePunct w:val="0"/>
        <w:autoSpaceDE/>
        <w:autoSpaceDN/>
        <w:bidi w:val="0"/>
        <w:adjustRightInd w:val="0"/>
        <w:snapToGrid w:val="0"/>
        <w:spacing w:line="440" w:lineRule="exact"/>
        <w:jc w:val="both"/>
        <w:rPr>
          <w:rFonts w:ascii="宋体" w:hAnsi="宋体" w:eastAsia="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2</w:t>
      </w:r>
      <w:r>
        <w:rPr>
          <w:rFonts w:hint="eastAsia" w:ascii="宋体" w:hAnsi="宋体" w:eastAsia="宋体" w:cs="宋体"/>
          <w:color w:val="auto"/>
          <w:kern w:val="2"/>
          <w:sz w:val="21"/>
          <w:szCs w:val="21"/>
          <w:highlight w:val="none"/>
          <w:lang w:val="en-US" w:eastAsia="zh-CN" w:bidi="ar-SA"/>
        </w:rPr>
        <w:t>.货物的主要技术参数或规格：详见具体技术参数。</w:t>
      </w:r>
    </w:p>
    <w:p w14:paraId="02360D09">
      <w:pPr>
        <w:keepNext w:val="0"/>
        <w:keepLines w:val="0"/>
        <w:pageBreakBefore w:val="0"/>
        <w:widowControl w:val="0"/>
        <w:numPr>
          <w:ilvl w:val="255"/>
          <w:numId w:val="0"/>
        </w:numPr>
        <w:kinsoku/>
        <w:wordWrap/>
        <w:overflowPunct/>
        <w:topLinePunct w:val="0"/>
        <w:autoSpaceDE/>
        <w:autoSpaceDN/>
        <w:bidi w:val="0"/>
        <w:adjustRightInd w:val="0"/>
        <w:snapToGrid w:val="0"/>
        <w:spacing w:line="440" w:lineRule="exact"/>
        <w:jc w:val="both"/>
        <w:rPr>
          <w:rFonts w:ascii="宋体" w:hAnsi="宋体" w:eastAsia="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3</w:t>
      </w:r>
      <w:r>
        <w:rPr>
          <w:rFonts w:hint="eastAsia" w:ascii="宋体" w:hAnsi="宋体" w:eastAsia="宋体" w:cs="宋体"/>
          <w:color w:val="auto"/>
          <w:kern w:val="2"/>
          <w:sz w:val="21"/>
          <w:szCs w:val="21"/>
          <w:highlight w:val="none"/>
          <w:lang w:val="en-US" w:eastAsia="zh-CN" w:bidi="ar-SA"/>
        </w:rPr>
        <w:t>.投标人应在投标文件《分项报价明细表》中按标的名称顺序逐项填写，且每个标的中的条目均需按招标文件规定报价。如有缺项、漏项，其</w:t>
      </w:r>
      <w:r>
        <w:rPr>
          <w:rFonts w:hint="eastAsia" w:ascii="宋体" w:hAnsi="宋体" w:eastAsia="宋体" w:cs="宋体"/>
          <w:b/>
          <w:color w:val="auto"/>
          <w:kern w:val="2"/>
          <w:sz w:val="21"/>
          <w:szCs w:val="21"/>
          <w:highlight w:val="none"/>
          <w:lang w:val="en-US" w:eastAsia="zh-CN" w:bidi="ar-SA"/>
        </w:rPr>
        <w:t>投标无效</w:t>
      </w:r>
      <w:r>
        <w:rPr>
          <w:rFonts w:hint="eastAsia" w:ascii="宋体" w:hAnsi="宋体" w:eastAsia="宋体" w:cs="宋体"/>
          <w:color w:val="auto"/>
          <w:kern w:val="2"/>
          <w:sz w:val="21"/>
          <w:szCs w:val="21"/>
          <w:highlight w:val="none"/>
          <w:lang w:val="en-US" w:eastAsia="zh-CN" w:bidi="ar-SA"/>
        </w:rPr>
        <w:t>。</w:t>
      </w:r>
    </w:p>
    <w:p w14:paraId="2C960830">
      <w:pPr>
        <w:keepNext w:val="0"/>
        <w:keepLines w:val="0"/>
        <w:pageBreakBefore w:val="0"/>
        <w:widowControl w:val="0"/>
        <w:numPr>
          <w:ilvl w:val="255"/>
          <w:numId w:val="0"/>
        </w:numPr>
        <w:kinsoku/>
        <w:wordWrap/>
        <w:overflowPunct/>
        <w:topLinePunct w:val="0"/>
        <w:autoSpaceDE/>
        <w:autoSpaceDN/>
        <w:bidi w:val="0"/>
        <w:adjustRightInd w:val="0"/>
        <w:snapToGrid w:val="0"/>
        <w:spacing w:line="440" w:lineRule="exact"/>
        <w:jc w:val="both"/>
        <w:rPr>
          <w:rFonts w:ascii="宋体" w:hAnsi="宋体" w:eastAsia="宋体" w:cs="宋体"/>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4.</w:t>
      </w:r>
      <w:r>
        <w:rPr>
          <w:rFonts w:hint="eastAsia" w:ascii="宋体" w:hAnsi="宋体" w:eastAsia="宋体" w:cs="宋体"/>
          <w:b/>
          <w:color w:val="auto"/>
          <w:kern w:val="2"/>
          <w:sz w:val="21"/>
          <w:szCs w:val="21"/>
          <w:highlight w:val="none"/>
          <w:lang w:val="en-US" w:eastAsia="zh-CN" w:bidi="ar-SA"/>
        </w:rPr>
        <w:t>节能产品、进口产品：</w:t>
      </w:r>
      <w:r>
        <w:rPr>
          <w:rFonts w:hint="eastAsia" w:ascii="宋体" w:hAnsi="宋体" w:eastAsia="宋体" w:cs="宋体"/>
          <w:color w:val="auto"/>
          <w:kern w:val="2"/>
          <w:sz w:val="21"/>
          <w:szCs w:val="21"/>
          <w:highlight w:val="none"/>
          <w:lang w:val="en-US" w:eastAsia="zh-CN" w:bidi="ar-SA"/>
        </w:rPr>
        <w:t>上表“</w:t>
      </w:r>
      <w:r>
        <w:rPr>
          <w:rFonts w:hint="eastAsia" w:ascii="宋体" w:hAnsi="宋体" w:eastAsia="宋体" w:cs="宋体"/>
          <w:b/>
          <w:color w:val="auto"/>
          <w:kern w:val="0"/>
          <w:sz w:val="21"/>
          <w:szCs w:val="21"/>
          <w:highlight w:val="none"/>
          <w:lang w:val="en-US" w:eastAsia="zh-CN" w:bidi="ar-SA"/>
        </w:rPr>
        <w:t>是否为</w:t>
      </w:r>
      <w:r>
        <w:rPr>
          <w:rFonts w:hint="eastAsia" w:ascii="宋体" w:hAnsi="宋体" w:eastAsia="宋体" w:cs="宋体"/>
          <w:b/>
          <w:color w:val="auto"/>
          <w:kern w:val="2"/>
          <w:sz w:val="21"/>
          <w:szCs w:val="21"/>
          <w:highlight w:val="none"/>
          <w:lang w:val="en-US" w:eastAsia="zh-CN" w:bidi="ar-SA"/>
        </w:rPr>
        <w:t>节能产品、进口产品</w:t>
      </w:r>
      <w:r>
        <w:rPr>
          <w:rFonts w:hint="eastAsia" w:ascii="宋体" w:hAnsi="宋体" w:eastAsia="宋体" w:cs="宋体"/>
          <w:color w:val="auto"/>
          <w:kern w:val="2"/>
          <w:sz w:val="21"/>
          <w:szCs w:val="21"/>
          <w:highlight w:val="none"/>
          <w:lang w:val="en-US" w:eastAsia="zh-CN" w:bidi="ar-SA"/>
        </w:rPr>
        <w:t>”栏中标注“</w:t>
      </w:r>
      <w:r>
        <w:rPr>
          <w:rFonts w:hint="eastAsia" w:ascii="宋体" w:hAnsi="宋体" w:eastAsia="宋体" w:cs="Times New Roman"/>
          <w:iCs/>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”的为</w:t>
      </w:r>
      <w:r>
        <w:rPr>
          <w:rFonts w:hint="eastAsia" w:ascii="宋体" w:hAnsi="宋体" w:eastAsia="宋体" w:cs="宋体"/>
          <w:bCs/>
          <w:color w:val="auto"/>
          <w:kern w:val="2"/>
          <w:sz w:val="21"/>
          <w:szCs w:val="21"/>
          <w:highlight w:val="none"/>
          <w:lang w:val="en-US" w:eastAsia="zh-CN" w:bidi="ar-SA"/>
        </w:rPr>
        <w:t>节能产品、进口产品</w:t>
      </w:r>
      <w:r>
        <w:rPr>
          <w:rFonts w:hint="eastAsia" w:ascii="宋体" w:hAnsi="宋体" w:eastAsia="宋体" w:cs="宋体"/>
          <w:color w:val="auto"/>
          <w:kern w:val="2"/>
          <w:sz w:val="21"/>
          <w:szCs w:val="21"/>
          <w:highlight w:val="none"/>
          <w:lang w:val="en-US" w:eastAsia="zh-CN" w:bidi="ar-SA"/>
        </w:rPr>
        <w:t>。</w:t>
      </w:r>
    </w:p>
    <w:p w14:paraId="466ABF2B">
      <w:pPr>
        <w:pStyle w:val="3"/>
        <w:adjustRightInd w:val="0"/>
        <w:snapToGrid w:val="0"/>
        <w:spacing w:before="156" w:beforeLines="50"/>
        <w:jc w:val="both"/>
        <w:rPr>
          <w:rFonts w:ascii="黑体" w:hAnsi="黑体" w:eastAsia="黑体"/>
          <w:color w:val="auto"/>
          <w:sz w:val="28"/>
          <w:szCs w:val="28"/>
          <w:highlight w:val="none"/>
        </w:rPr>
      </w:pPr>
      <w:r>
        <w:rPr>
          <w:rFonts w:hint="eastAsia" w:hAnsi="宋体" w:cs="宋体"/>
          <w:b/>
          <w:color w:val="auto"/>
          <w:sz w:val="32"/>
          <w:szCs w:val="32"/>
          <w:highlight w:val="none"/>
        </w:rPr>
        <w:br w:type="page"/>
      </w:r>
      <w:bookmarkStart w:id="89" w:name="_Toc25758"/>
      <w:bookmarkStart w:id="90" w:name="_Toc8803"/>
      <w:bookmarkStart w:id="91" w:name="_Toc22922"/>
      <w:r>
        <w:rPr>
          <w:rFonts w:hint="eastAsia" w:ascii="黑体" w:hAnsi="黑体" w:eastAsia="黑体"/>
          <w:color w:val="auto"/>
          <w:sz w:val="28"/>
          <w:szCs w:val="28"/>
          <w:highlight w:val="none"/>
        </w:rPr>
        <w:t xml:space="preserve">第二节 </w:t>
      </w:r>
      <w:r>
        <w:rPr>
          <w:rFonts w:ascii="黑体" w:hAnsi="黑体" w:eastAsia="黑体"/>
          <w:color w:val="auto"/>
          <w:sz w:val="28"/>
          <w:szCs w:val="28"/>
          <w:highlight w:val="none"/>
        </w:rPr>
        <w:t>技术要求</w:t>
      </w:r>
      <w:bookmarkEnd w:id="89"/>
      <w:bookmarkEnd w:id="90"/>
      <w:bookmarkEnd w:id="91"/>
    </w:p>
    <w:p w14:paraId="76706C4F">
      <w:pPr>
        <w:rPr>
          <w:rFonts w:ascii="Arial" w:hAnsi="Arial" w:eastAsia="Arial" w:cs="Arial"/>
          <w:bCs/>
          <w:color w:val="auto"/>
          <w:kern w:val="0"/>
          <w:sz w:val="21"/>
          <w:szCs w:val="22"/>
          <w:highlight w:val="none"/>
        </w:rPr>
      </w:pPr>
      <w:r>
        <w:rPr>
          <w:rFonts w:hint="eastAsia" w:ascii="宋体" w:hAnsi="宋体" w:cs="宋体"/>
          <w:b/>
          <w:bCs/>
          <w:color w:val="auto"/>
          <w:sz w:val="32"/>
          <w:szCs w:val="32"/>
          <w:highlight w:val="none"/>
          <w:lang w:val="en-US" w:eastAsia="zh-CN"/>
        </w:rPr>
        <w:t>一、</w:t>
      </w:r>
      <w:r>
        <w:rPr>
          <w:rFonts w:hint="eastAsia" w:ascii="宋体" w:hAnsi="宋体" w:eastAsia="宋体" w:cs="宋体"/>
          <w:b/>
          <w:bCs/>
          <w:color w:val="auto"/>
          <w:sz w:val="32"/>
          <w:szCs w:val="32"/>
          <w:highlight w:val="none"/>
          <w:lang w:val="en-US" w:eastAsia="zh-CN"/>
        </w:rPr>
        <w:t>DSA（数字减影血管造影系统）</w:t>
      </w:r>
    </w:p>
    <w:tbl>
      <w:tblPr>
        <w:tblStyle w:val="25"/>
        <w:tblW w:w="9209" w:type="dxa"/>
        <w:tblInd w:w="0" w:type="dxa"/>
        <w:tblLayout w:type="autofit"/>
        <w:tblCellMar>
          <w:top w:w="0" w:type="dxa"/>
          <w:left w:w="10" w:type="dxa"/>
          <w:bottom w:w="0" w:type="dxa"/>
          <w:right w:w="10" w:type="dxa"/>
        </w:tblCellMar>
      </w:tblPr>
      <w:tblGrid>
        <w:gridCol w:w="1654"/>
        <w:gridCol w:w="7555"/>
      </w:tblGrid>
      <w:tr w14:paraId="1594C449">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312A4D22">
            <w:pPr>
              <w:widowControl/>
              <w:spacing w:after="0" w:line="360" w:lineRule="auto"/>
              <w:jc w:val="left"/>
              <w:rPr>
                <w:rFonts w:ascii="新宋体" w:hAnsi="新宋体" w:eastAsia="新宋体" w:cs="宋体"/>
                <w:bCs/>
                <w:color w:val="auto"/>
                <w:kern w:val="0"/>
                <w:sz w:val="20"/>
                <w:szCs w:val="20"/>
                <w:highlight w:val="none"/>
              </w:rPr>
            </w:pPr>
            <w:r>
              <w:rPr>
                <w:rFonts w:hint="eastAsia" w:ascii="新宋体" w:hAnsi="新宋体" w:eastAsia="新宋体" w:cs="宋体"/>
                <w:bCs/>
                <w:color w:val="auto"/>
                <w:kern w:val="0"/>
                <w:sz w:val="20"/>
                <w:szCs w:val="20"/>
                <w:highlight w:val="none"/>
                <w:lang w:val="en-US" w:eastAsia="zh-CN"/>
              </w:rPr>
              <w:t>一）</w:t>
            </w:r>
            <w:r>
              <w:rPr>
                <w:rFonts w:ascii="新宋体" w:hAnsi="新宋体" w:eastAsia="新宋体" w:cs="宋体"/>
                <w:bCs/>
                <w:color w:val="auto"/>
                <w:kern w:val="0"/>
                <w:sz w:val="20"/>
                <w:szCs w:val="20"/>
                <w:highlight w:val="none"/>
              </w:rPr>
              <w:t>设备名称</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46D2BFD3">
            <w:pPr>
              <w:widowControl/>
              <w:spacing w:after="0" w:line="360" w:lineRule="auto"/>
              <w:jc w:val="both"/>
              <w:rPr>
                <w:rFonts w:ascii="新宋体" w:hAnsi="新宋体" w:eastAsia="新宋体" w:cs="宋体"/>
                <w:bCs/>
                <w:color w:val="auto"/>
                <w:kern w:val="0"/>
                <w:sz w:val="20"/>
                <w:szCs w:val="20"/>
                <w:highlight w:val="none"/>
              </w:rPr>
            </w:pPr>
            <w:r>
              <w:rPr>
                <w:rFonts w:ascii="新宋体" w:hAnsi="新宋体" w:eastAsia="新宋体" w:cs="宋体"/>
                <w:bCs/>
                <w:color w:val="auto"/>
                <w:kern w:val="0"/>
                <w:sz w:val="20"/>
                <w:szCs w:val="20"/>
                <w:highlight w:val="none"/>
              </w:rPr>
              <w:t>数字减影血管造影系统</w:t>
            </w:r>
          </w:p>
        </w:tc>
      </w:tr>
      <w:tr w14:paraId="081DC6A3">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0E36EB54">
            <w:pPr>
              <w:widowControl/>
              <w:spacing w:after="0" w:line="360" w:lineRule="auto"/>
              <w:jc w:val="left"/>
              <w:rPr>
                <w:rFonts w:ascii="新宋体" w:hAnsi="新宋体" w:eastAsia="新宋体" w:cs="宋体"/>
                <w:bCs/>
                <w:color w:val="auto"/>
                <w:kern w:val="0"/>
                <w:sz w:val="20"/>
                <w:szCs w:val="20"/>
                <w:highlight w:val="none"/>
              </w:rPr>
            </w:pPr>
            <w:r>
              <w:rPr>
                <w:rFonts w:ascii="新宋体" w:hAnsi="新宋体" w:eastAsia="新宋体" w:cs="宋体"/>
                <w:bCs/>
                <w:color w:val="auto"/>
                <w:kern w:val="0"/>
                <w:sz w:val="20"/>
                <w:szCs w:val="20"/>
                <w:highlight w:val="none"/>
              </w:rPr>
              <w:t>二</w:t>
            </w:r>
            <w:r>
              <w:rPr>
                <w:rFonts w:hint="eastAsia" w:ascii="新宋体" w:hAnsi="新宋体" w:eastAsia="新宋体" w:cs="宋体"/>
                <w:bCs/>
                <w:color w:val="auto"/>
                <w:kern w:val="0"/>
                <w:sz w:val="20"/>
                <w:szCs w:val="20"/>
                <w:highlight w:val="none"/>
                <w:lang w:eastAsia="zh-CN"/>
              </w:rPr>
              <w:t>）</w:t>
            </w:r>
            <w:r>
              <w:rPr>
                <w:rFonts w:ascii="新宋体" w:hAnsi="新宋体" w:eastAsia="新宋体" w:cs="宋体"/>
                <w:bCs/>
                <w:color w:val="auto"/>
                <w:kern w:val="0"/>
                <w:sz w:val="20"/>
                <w:szCs w:val="20"/>
                <w:highlight w:val="none"/>
              </w:rPr>
              <w:t>数量</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094E12BA">
            <w:pPr>
              <w:widowControl/>
              <w:spacing w:after="0" w:line="360" w:lineRule="auto"/>
              <w:jc w:val="both"/>
              <w:rPr>
                <w:rFonts w:ascii="新宋体" w:hAnsi="新宋体" w:eastAsia="新宋体" w:cs="宋体"/>
                <w:bCs/>
                <w:color w:val="auto"/>
                <w:kern w:val="0"/>
                <w:sz w:val="20"/>
                <w:szCs w:val="20"/>
                <w:highlight w:val="none"/>
              </w:rPr>
            </w:pPr>
            <w:r>
              <w:rPr>
                <w:rFonts w:ascii="新宋体" w:hAnsi="新宋体" w:eastAsia="新宋体" w:cs="宋体"/>
                <w:bCs/>
                <w:color w:val="auto"/>
                <w:kern w:val="0"/>
                <w:sz w:val="20"/>
                <w:szCs w:val="20"/>
                <w:highlight w:val="none"/>
              </w:rPr>
              <w:t>一套</w:t>
            </w:r>
          </w:p>
        </w:tc>
      </w:tr>
      <w:tr w14:paraId="1BA24CBE">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20BA6C61">
            <w:pPr>
              <w:widowControl/>
              <w:spacing w:after="0" w:line="360" w:lineRule="auto"/>
              <w:jc w:val="left"/>
              <w:rPr>
                <w:rFonts w:ascii="新宋体" w:hAnsi="新宋体" w:eastAsia="新宋体" w:cs="宋体"/>
                <w:bCs/>
                <w:color w:val="auto"/>
                <w:kern w:val="0"/>
                <w:sz w:val="20"/>
                <w:szCs w:val="20"/>
                <w:highlight w:val="none"/>
              </w:rPr>
            </w:pPr>
            <w:r>
              <w:rPr>
                <w:rFonts w:ascii="新宋体" w:hAnsi="新宋体" w:eastAsia="新宋体" w:cs="宋体"/>
                <w:bCs/>
                <w:color w:val="auto"/>
                <w:kern w:val="0"/>
                <w:sz w:val="20"/>
                <w:szCs w:val="20"/>
                <w:highlight w:val="none"/>
              </w:rPr>
              <w:t>三</w:t>
            </w:r>
            <w:r>
              <w:rPr>
                <w:rFonts w:hint="eastAsia" w:ascii="新宋体" w:hAnsi="新宋体" w:eastAsia="新宋体" w:cs="宋体"/>
                <w:bCs/>
                <w:color w:val="auto"/>
                <w:kern w:val="0"/>
                <w:sz w:val="20"/>
                <w:szCs w:val="20"/>
                <w:highlight w:val="none"/>
                <w:lang w:eastAsia="zh-CN"/>
              </w:rPr>
              <w:t>）</w:t>
            </w:r>
            <w:r>
              <w:rPr>
                <w:rFonts w:ascii="新宋体" w:hAnsi="新宋体" w:eastAsia="新宋体" w:cs="宋体"/>
                <w:bCs/>
                <w:color w:val="auto"/>
                <w:kern w:val="0"/>
                <w:sz w:val="20"/>
                <w:szCs w:val="20"/>
                <w:highlight w:val="none"/>
              </w:rPr>
              <w:t>设备用途</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1A0AF7B2">
            <w:pPr>
              <w:widowControl/>
              <w:spacing w:after="0" w:line="360" w:lineRule="auto"/>
              <w:jc w:val="both"/>
              <w:rPr>
                <w:rFonts w:ascii="新宋体" w:hAnsi="新宋体" w:eastAsia="新宋体" w:cs="宋体"/>
                <w:bCs/>
                <w:color w:val="auto"/>
                <w:kern w:val="0"/>
                <w:sz w:val="20"/>
                <w:szCs w:val="20"/>
                <w:highlight w:val="none"/>
              </w:rPr>
            </w:pPr>
            <w:r>
              <w:rPr>
                <w:rFonts w:ascii="新宋体" w:hAnsi="新宋体" w:eastAsia="新宋体" w:cs="宋体"/>
                <w:bCs/>
                <w:color w:val="auto"/>
                <w:kern w:val="0"/>
                <w:sz w:val="20"/>
                <w:szCs w:val="20"/>
                <w:highlight w:val="none"/>
              </w:rPr>
              <w:t>心、脑、全身血管造影，介入治疗</w:t>
            </w:r>
          </w:p>
        </w:tc>
      </w:tr>
      <w:tr w14:paraId="7820BFAF">
        <w:tblPrEx>
          <w:tblCellMar>
            <w:top w:w="0" w:type="dxa"/>
            <w:left w:w="10" w:type="dxa"/>
            <w:bottom w:w="0" w:type="dxa"/>
            <w:right w:w="10" w:type="dxa"/>
          </w:tblCellMar>
        </w:tblPrEx>
        <w:trPr>
          <w:trHeight w:val="90" w:hRule="atLeast"/>
        </w:trPr>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5C036C04">
            <w:pPr>
              <w:widowControl/>
              <w:spacing w:after="0" w:line="360" w:lineRule="auto"/>
              <w:jc w:val="left"/>
              <w:rPr>
                <w:rFonts w:ascii="新宋体" w:hAnsi="新宋体" w:eastAsia="新宋体" w:cs="宋体"/>
                <w:bCs/>
                <w:color w:val="auto"/>
                <w:kern w:val="0"/>
                <w:sz w:val="20"/>
                <w:szCs w:val="20"/>
                <w:highlight w:val="none"/>
              </w:rPr>
            </w:pPr>
            <w:r>
              <w:rPr>
                <w:rFonts w:ascii="新宋体" w:hAnsi="新宋体" w:eastAsia="新宋体" w:cs="宋体"/>
                <w:bCs/>
                <w:color w:val="auto"/>
                <w:kern w:val="0"/>
                <w:sz w:val="20"/>
                <w:szCs w:val="20"/>
                <w:highlight w:val="none"/>
              </w:rPr>
              <w:t>四</w:t>
            </w:r>
            <w:r>
              <w:rPr>
                <w:rFonts w:hint="eastAsia" w:ascii="新宋体" w:hAnsi="新宋体" w:eastAsia="新宋体" w:cs="宋体"/>
                <w:bCs/>
                <w:color w:val="auto"/>
                <w:kern w:val="0"/>
                <w:sz w:val="20"/>
                <w:szCs w:val="20"/>
                <w:highlight w:val="none"/>
                <w:lang w:eastAsia="zh-CN"/>
              </w:rPr>
              <w:t>）</w:t>
            </w:r>
            <w:r>
              <w:rPr>
                <w:rFonts w:ascii="新宋体" w:hAnsi="新宋体" w:eastAsia="新宋体" w:cs="宋体"/>
                <w:bCs/>
                <w:color w:val="auto"/>
                <w:kern w:val="0"/>
                <w:sz w:val="20"/>
                <w:szCs w:val="20"/>
                <w:highlight w:val="none"/>
              </w:rPr>
              <w:t>要求</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46745046">
            <w:pPr>
              <w:widowControl w:val="0"/>
              <w:spacing w:after="200" w:line="360" w:lineRule="auto"/>
              <w:jc w:val="both"/>
              <w:rPr>
                <w:rFonts w:ascii="新宋体" w:hAnsi="新宋体" w:eastAsia="新宋体" w:cstheme="minorBidi"/>
                <w:bCs/>
                <w:color w:val="auto"/>
                <w:kern w:val="0"/>
                <w:sz w:val="20"/>
                <w:szCs w:val="20"/>
                <w:highlight w:val="none"/>
              </w:rPr>
            </w:pPr>
            <w:r>
              <w:rPr>
                <w:rFonts w:hint="eastAsia" w:ascii="新宋体" w:hAnsi="新宋体" w:eastAsia="新宋体" w:cstheme="minorBidi"/>
                <w:bCs/>
                <w:color w:val="auto"/>
                <w:kern w:val="0"/>
                <w:sz w:val="20"/>
                <w:szCs w:val="20"/>
                <w:highlight w:val="none"/>
              </w:rPr>
              <w:t>投标设备是平板血管造影产品的新机型</w:t>
            </w:r>
            <w:r>
              <w:rPr>
                <w:rFonts w:hint="eastAsia" w:ascii="新宋体" w:hAnsi="新宋体" w:eastAsia="新宋体" w:cstheme="minorBidi"/>
                <w:bCs/>
                <w:color w:val="auto"/>
                <w:kern w:val="0"/>
                <w:sz w:val="20"/>
                <w:szCs w:val="20"/>
                <w:highlight w:val="none"/>
                <w:lang w:eastAsia="zh-CN"/>
              </w:rPr>
              <w:t>，</w:t>
            </w:r>
            <w:r>
              <w:rPr>
                <w:rFonts w:hint="eastAsia" w:ascii="新宋体" w:hAnsi="新宋体" w:eastAsia="新宋体" w:cstheme="minorBidi"/>
                <w:bCs/>
                <w:color w:val="auto"/>
                <w:kern w:val="0"/>
                <w:sz w:val="20"/>
                <w:szCs w:val="20"/>
                <w:highlight w:val="none"/>
                <w:lang w:val="en-US" w:eastAsia="zh-CN"/>
              </w:rPr>
              <w:t>要求生产日期为3个月内</w:t>
            </w:r>
            <w:r>
              <w:rPr>
                <w:rFonts w:hint="eastAsia" w:ascii="新宋体" w:hAnsi="新宋体" w:eastAsia="新宋体" w:cstheme="minorBidi"/>
                <w:bCs/>
                <w:color w:val="auto"/>
                <w:kern w:val="0"/>
                <w:sz w:val="20"/>
                <w:szCs w:val="20"/>
                <w:highlight w:val="none"/>
              </w:rPr>
              <w:t>，新软件版本，提供相应CFDA文件。</w:t>
            </w:r>
          </w:p>
        </w:tc>
      </w:tr>
      <w:tr w14:paraId="74F5300C">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7C3AA56B">
            <w:pPr>
              <w:widowControl/>
              <w:spacing w:after="0" w:line="360" w:lineRule="auto"/>
              <w:jc w:val="left"/>
              <w:rPr>
                <w:rFonts w:ascii="新宋体" w:hAnsi="新宋体" w:eastAsia="新宋体" w:cs="宋体"/>
                <w:bCs/>
                <w:color w:val="auto"/>
                <w:kern w:val="0"/>
                <w:sz w:val="20"/>
                <w:szCs w:val="20"/>
                <w:highlight w:val="none"/>
              </w:rPr>
            </w:pPr>
            <w:r>
              <w:rPr>
                <w:rFonts w:ascii="新宋体" w:hAnsi="新宋体" w:eastAsia="新宋体" w:cs="宋体"/>
                <w:bCs/>
                <w:color w:val="auto"/>
                <w:kern w:val="0"/>
                <w:sz w:val="20"/>
                <w:szCs w:val="20"/>
                <w:highlight w:val="none"/>
              </w:rPr>
              <w:t>五</w:t>
            </w:r>
            <w:r>
              <w:rPr>
                <w:rFonts w:hint="eastAsia" w:ascii="新宋体" w:hAnsi="新宋体" w:eastAsia="新宋体" w:cs="宋体"/>
                <w:bCs/>
                <w:color w:val="auto"/>
                <w:kern w:val="0"/>
                <w:sz w:val="20"/>
                <w:szCs w:val="20"/>
                <w:highlight w:val="none"/>
                <w:lang w:eastAsia="zh-CN"/>
              </w:rPr>
              <w:t>）</w:t>
            </w:r>
            <w:r>
              <w:rPr>
                <w:rFonts w:ascii="新宋体" w:hAnsi="新宋体" w:eastAsia="新宋体" w:cs="宋体"/>
                <w:bCs/>
                <w:color w:val="auto"/>
                <w:kern w:val="0"/>
                <w:sz w:val="20"/>
                <w:szCs w:val="20"/>
                <w:highlight w:val="none"/>
              </w:rPr>
              <w:t>技术要求</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28904FBE">
            <w:pPr>
              <w:widowControl/>
              <w:spacing w:after="0" w:line="360" w:lineRule="auto"/>
              <w:jc w:val="both"/>
              <w:rPr>
                <w:rFonts w:ascii="新宋体" w:hAnsi="新宋体" w:eastAsia="新宋体" w:cs="宋体"/>
                <w:bCs/>
                <w:color w:val="auto"/>
                <w:kern w:val="0"/>
                <w:sz w:val="20"/>
                <w:szCs w:val="20"/>
                <w:highlight w:val="none"/>
              </w:rPr>
            </w:pPr>
          </w:p>
        </w:tc>
      </w:tr>
      <w:tr w14:paraId="071CC4AB">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7BB6E3AC">
            <w:pPr>
              <w:widowControl/>
              <w:spacing w:after="0" w:line="360" w:lineRule="auto"/>
              <w:jc w:val="both"/>
              <w:rPr>
                <w:rFonts w:hint="eastAsia" w:ascii="新宋体" w:hAnsi="新宋体" w:eastAsia="新宋体" w:cstheme="minorBidi"/>
                <w:bCs/>
                <w:color w:val="auto"/>
                <w:kern w:val="0"/>
                <w:sz w:val="20"/>
                <w:szCs w:val="20"/>
                <w:highlight w:val="none"/>
                <w:lang w:eastAsia="zh-CN"/>
              </w:rPr>
            </w:pPr>
            <w:r>
              <w:rPr>
                <w:rFonts w:ascii="新宋体" w:hAnsi="新宋体" w:eastAsia="新宋体" w:cs="Arial"/>
                <w:bCs/>
                <w:color w:val="auto"/>
                <w:kern w:val="0"/>
                <w:sz w:val="20"/>
                <w:szCs w:val="20"/>
                <w:highlight w:val="none"/>
              </w:rPr>
              <w:t>1</w:t>
            </w:r>
            <w:r>
              <w:rPr>
                <w:rFonts w:hint="eastAsia" w:ascii="新宋体" w:hAnsi="新宋体" w:eastAsia="新宋体" w:cs="Arial"/>
                <w:bCs/>
                <w:color w:val="auto"/>
                <w:kern w:val="0"/>
                <w:sz w:val="20"/>
                <w:szCs w:val="20"/>
                <w:highlight w:val="none"/>
                <w:lang w:eastAsia="zh-CN"/>
              </w:rPr>
              <w:t>、</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6C41624E">
            <w:pPr>
              <w:widowControl/>
              <w:spacing w:after="0" w:line="360" w:lineRule="auto"/>
              <w:jc w:val="both"/>
              <w:rPr>
                <w:rFonts w:ascii="新宋体" w:hAnsi="新宋体" w:eastAsia="新宋体" w:cs="宋体"/>
                <w:bCs/>
                <w:color w:val="auto"/>
                <w:kern w:val="0"/>
                <w:sz w:val="20"/>
                <w:szCs w:val="20"/>
                <w:highlight w:val="none"/>
              </w:rPr>
            </w:pPr>
            <w:r>
              <w:rPr>
                <w:rFonts w:ascii="新宋体" w:hAnsi="新宋体" w:eastAsia="新宋体" w:cs="宋体"/>
                <w:bCs/>
                <w:color w:val="auto"/>
                <w:kern w:val="0"/>
                <w:sz w:val="20"/>
                <w:szCs w:val="20"/>
                <w:highlight w:val="none"/>
              </w:rPr>
              <w:t>机架系统</w:t>
            </w:r>
            <w:r>
              <w:rPr>
                <w:rFonts w:hint="eastAsia" w:ascii="新宋体" w:hAnsi="新宋体" w:eastAsia="新宋体" w:cs="宋体"/>
                <w:bCs/>
                <w:color w:val="auto"/>
                <w:kern w:val="0"/>
                <w:sz w:val="20"/>
                <w:szCs w:val="20"/>
                <w:highlight w:val="none"/>
              </w:rPr>
              <w:t>：</w:t>
            </w:r>
            <w:r>
              <w:rPr>
                <w:rFonts w:ascii="新宋体" w:hAnsi="新宋体" w:eastAsia="新宋体" w:cs="宋体"/>
                <w:bCs/>
                <w:color w:val="auto"/>
                <w:kern w:val="0"/>
                <w:sz w:val="20"/>
                <w:szCs w:val="20"/>
                <w:highlight w:val="none"/>
              </w:rPr>
              <w:t>满足心、脑、周围血管的造影和介入治疗需要</w:t>
            </w:r>
          </w:p>
        </w:tc>
      </w:tr>
      <w:tr w14:paraId="355334E5">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7DFA2FF2">
            <w:pPr>
              <w:widowControl/>
              <w:spacing w:after="0" w:line="360" w:lineRule="auto"/>
              <w:jc w:val="right"/>
              <w:rPr>
                <w:rFonts w:ascii="新宋体" w:hAnsi="新宋体" w:eastAsia="新宋体" w:cstheme="minorBidi"/>
                <w:bCs/>
                <w:color w:val="auto"/>
                <w:kern w:val="0"/>
                <w:sz w:val="20"/>
                <w:szCs w:val="20"/>
                <w:highlight w:val="none"/>
              </w:rPr>
            </w:pPr>
            <w:r>
              <w:rPr>
                <w:rFonts w:ascii="新宋体" w:hAnsi="新宋体" w:eastAsia="新宋体" w:cs="Arial"/>
                <w:bCs/>
                <w:color w:val="auto"/>
                <w:kern w:val="0"/>
                <w:sz w:val="20"/>
                <w:szCs w:val="20"/>
                <w:highlight w:val="none"/>
              </w:rPr>
              <w:t>1</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1</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0632F931">
            <w:pPr>
              <w:widowControl/>
              <w:spacing w:after="0" w:line="360" w:lineRule="auto"/>
              <w:jc w:val="both"/>
              <w:rPr>
                <w:rFonts w:ascii="新宋体" w:hAnsi="新宋体" w:eastAsia="新宋体" w:cstheme="minorBidi"/>
                <w:bCs/>
                <w:color w:val="auto"/>
                <w:kern w:val="0"/>
                <w:sz w:val="20"/>
                <w:szCs w:val="20"/>
                <w:highlight w:val="none"/>
              </w:rPr>
            </w:pPr>
            <w:r>
              <w:rPr>
                <w:rFonts w:hint="eastAsia" w:ascii="新宋体" w:hAnsi="新宋体" w:eastAsia="新宋体" w:cs="宋体"/>
                <w:bCs/>
                <w:color w:val="auto"/>
                <w:kern w:val="0"/>
                <w:sz w:val="20"/>
                <w:szCs w:val="20"/>
                <w:highlight w:val="none"/>
                <w:lang w:val="en-US" w:eastAsia="zh-CN"/>
              </w:rPr>
              <w:t>多轴式</w:t>
            </w:r>
            <w:r>
              <w:rPr>
                <w:rFonts w:ascii="新宋体" w:hAnsi="新宋体" w:eastAsia="新宋体" w:cs="宋体"/>
                <w:bCs/>
                <w:color w:val="auto"/>
                <w:kern w:val="0"/>
                <w:sz w:val="20"/>
                <w:szCs w:val="20"/>
                <w:highlight w:val="none"/>
              </w:rPr>
              <w:t>机架，能覆盖全身之功能</w:t>
            </w:r>
            <w:r>
              <w:rPr>
                <w:rFonts w:ascii="新宋体" w:hAnsi="新宋体" w:eastAsia="新宋体" w:cs="Arial"/>
                <w:bCs/>
                <w:color w:val="auto"/>
                <w:kern w:val="0"/>
                <w:sz w:val="20"/>
                <w:szCs w:val="20"/>
                <w:highlight w:val="none"/>
              </w:rPr>
              <w:t xml:space="preserve"> </w:t>
            </w:r>
          </w:p>
        </w:tc>
      </w:tr>
      <w:tr w14:paraId="12C5011F">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0E1F7CB0">
            <w:pPr>
              <w:widowControl/>
              <w:spacing w:after="0" w:line="360" w:lineRule="auto"/>
              <w:jc w:val="right"/>
              <w:rPr>
                <w:rFonts w:ascii="新宋体" w:hAnsi="新宋体" w:eastAsia="新宋体" w:cstheme="minorBidi"/>
                <w:bCs/>
                <w:color w:val="auto"/>
                <w:kern w:val="0"/>
                <w:sz w:val="20"/>
                <w:szCs w:val="20"/>
                <w:highlight w:val="none"/>
              </w:rPr>
            </w:pPr>
            <w:r>
              <w:rPr>
                <w:rFonts w:ascii="新宋体" w:hAnsi="新宋体" w:eastAsia="新宋体" w:cs="Arial"/>
                <w:bCs/>
                <w:color w:val="auto"/>
                <w:kern w:val="0"/>
                <w:sz w:val="20"/>
                <w:szCs w:val="20"/>
                <w:highlight w:val="none"/>
              </w:rPr>
              <w:t>1</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2</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4234675A">
            <w:pPr>
              <w:widowControl/>
              <w:spacing w:after="0" w:line="360" w:lineRule="auto"/>
              <w:jc w:val="both"/>
              <w:rPr>
                <w:rFonts w:ascii="新宋体" w:hAnsi="新宋体" w:eastAsia="新宋体" w:cs="宋体"/>
                <w:bCs/>
                <w:color w:val="auto"/>
                <w:kern w:val="0"/>
                <w:sz w:val="20"/>
                <w:szCs w:val="20"/>
                <w:highlight w:val="none"/>
              </w:rPr>
            </w:pPr>
            <w:r>
              <w:rPr>
                <w:rFonts w:ascii="新宋体" w:hAnsi="新宋体" w:eastAsia="新宋体" w:cs="宋体"/>
                <w:bCs/>
                <w:color w:val="auto"/>
                <w:kern w:val="0"/>
                <w:sz w:val="20"/>
                <w:szCs w:val="20"/>
                <w:highlight w:val="none"/>
              </w:rPr>
              <w:t>机架可进行等中心旋转</w:t>
            </w:r>
          </w:p>
        </w:tc>
      </w:tr>
      <w:tr w14:paraId="2F357E92">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50083BD9">
            <w:pPr>
              <w:widowControl/>
              <w:spacing w:after="0" w:line="360" w:lineRule="auto"/>
              <w:jc w:val="right"/>
              <w:rPr>
                <w:rFonts w:ascii="新宋体" w:hAnsi="新宋体" w:eastAsia="新宋体" w:cstheme="minorBidi"/>
                <w:bCs/>
                <w:color w:val="auto"/>
                <w:kern w:val="0"/>
                <w:sz w:val="20"/>
                <w:szCs w:val="20"/>
                <w:highlight w:val="none"/>
              </w:rPr>
            </w:pPr>
            <w:r>
              <w:rPr>
                <w:rFonts w:ascii="新宋体" w:hAnsi="新宋体" w:eastAsia="新宋体" w:cs="Arial"/>
                <w:bCs/>
                <w:color w:val="auto"/>
                <w:kern w:val="0"/>
                <w:sz w:val="20"/>
                <w:szCs w:val="20"/>
                <w:highlight w:val="none"/>
              </w:rPr>
              <w:t>1</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3</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61C77420">
            <w:pPr>
              <w:widowControl/>
              <w:spacing w:after="0" w:line="360" w:lineRule="auto"/>
              <w:jc w:val="both"/>
              <w:rPr>
                <w:rFonts w:ascii="新宋体" w:hAnsi="新宋体" w:eastAsia="新宋体" w:cs="宋体"/>
                <w:bCs/>
                <w:color w:val="auto"/>
                <w:kern w:val="0"/>
                <w:sz w:val="20"/>
                <w:szCs w:val="20"/>
                <w:highlight w:val="none"/>
              </w:rPr>
            </w:pPr>
            <w:r>
              <w:rPr>
                <w:rFonts w:ascii="新宋体" w:hAnsi="新宋体" w:eastAsia="新宋体" w:cs="宋体"/>
                <w:bCs/>
                <w:color w:val="auto"/>
                <w:kern w:val="0"/>
                <w:sz w:val="20"/>
                <w:szCs w:val="20"/>
                <w:highlight w:val="none"/>
              </w:rPr>
              <w:t>机架运动包括电动和手动两种方式</w:t>
            </w:r>
          </w:p>
        </w:tc>
      </w:tr>
      <w:tr w14:paraId="129557F8">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2591F59F">
            <w:pPr>
              <w:widowControl/>
              <w:spacing w:after="0" w:line="360" w:lineRule="auto"/>
              <w:jc w:val="right"/>
              <w:rPr>
                <w:rFonts w:ascii="新宋体" w:hAnsi="新宋体" w:eastAsia="新宋体" w:cstheme="minorBidi"/>
                <w:bCs/>
                <w:color w:val="auto"/>
                <w:kern w:val="0"/>
                <w:sz w:val="20"/>
                <w:szCs w:val="20"/>
                <w:highlight w:val="none"/>
              </w:rPr>
            </w:pPr>
            <w:r>
              <w:rPr>
                <w:rFonts w:ascii="新宋体" w:hAnsi="新宋体" w:eastAsia="新宋体" w:cs="Arial"/>
                <w:bCs/>
                <w:color w:val="auto"/>
                <w:kern w:val="0"/>
                <w:sz w:val="20"/>
                <w:szCs w:val="20"/>
                <w:highlight w:val="none"/>
              </w:rPr>
              <w:t>1</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4</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2313204F">
            <w:pPr>
              <w:widowControl/>
              <w:spacing w:after="0" w:line="360" w:lineRule="auto"/>
              <w:jc w:val="both"/>
              <w:rPr>
                <w:rFonts w:ascii="新宋体" w:hAnsi="新宋体" w:eastAsia="新宋体" w:cstheme="minorBidi"/>
                <w:bCs/>
                <w:color w:val="auto"/>
                <w:kern w:val="0"/>
                <w:sz w:val="20"/>
                <w:szCs w:val="20"/>
                <w:highlight w:val="none"/>
              </w:rPr>
            </w:pPr>
            <w:r>
              <w:rPr>
                <w:rFonts w:ascii="新宋体" w:hAnsi="新宋体" w:eastAsia="新宋体" w:cs="Arial"/>
                <w:bCs/>
                <w:color w:val="auto"/>
                <w:kern w:val="0"/>
                <w:sz w:val="20"/>
                <w:szCs w:val="20"/>
                <w:highlight w:val="none"/>
              </w:rPr>
              <w:t>C</w:t>
            </w:r>
            <w:r>
              <w:rPr>
                <w:rFonts w:ascii="新宋体" w:hAnsi="新宋体" w:eastAsia="新宋体" w:cs="宋体"/>
                <w:bCs/>
                <w:color w:val="auto"/>
                <w:kern w:val="0"/>
                <w:sz w:val="20"/>
                <w:szCs w:val="20"/>
                <w:highlight w:val="none"/>
              </w:rPr>
              <w:t>型臂旋转速度（非旋转采集）</w:t>
            </w:r>
            <w:r>
              <w:rPr>
                <w:rFonts w:ascii="新宋体" w:hAnsi="新宋体" w:eastAsia="新宋体" w:cs="Arial"/>
                <w:bCs/>
                <w:color w:val="auto"/>
                <w:kern w:val="0"/>
                <w:sz w:val="20"/>
                <w:szCs w:val="20"/>
                <w:highlight w:val="none"/>
              </w:rPr>
              <w:t>LAO/RAO</w:t>
            </w:r>
            <w:r>
              <w:rPr>
                <w:rFonts w:hint="eastAsia" w:ascii="新宋体" w:hAnsi="新宋体" w:eastAsia="新宋体" w:cs="Arial"/>
                <w:bCs/>
                <w:color w:val="auto"/>
                <w:kern w:val="0"/>
                <w:sz w:val="20"/>
                <w:szCs w:val="20"/>
                <w:highlight w:val="none"/>
              </w:rPr>
              <w:t>：</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25°/</w:t>
            </w:r>
            <w:r>
              <w:rPr>
                <w:rFonts w:ascii="新宋体" w:hAnsi="新宋体" w:eastAsia="新宋体" w:cs="宋体"/>
                <w:bCs/>
                <w:color w:val="auto"/>
                <w:kern w:val="0"/>
                <w:sz w:val="20"/>
                <w:szCs w:val="20"/>
                <w:highlight w:val="none"/>
              </w:rPr>
              <w:t>秒</w:t>
            </w:r>
          </w:p>
        </w:tc>
      </w:tr>
      <w:tr w14:paraId="6FD8BFD1">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472D7E10">
            <w:pPr>
              <w:widowControl/>
              <w:spacing w:after="0" w:line="360" w:lineRule="auto"/>
              <w:jc w:val="right"/>
              <w:rPr>
                <w:rFonts w:ascii="新宋体" w:hAnsi="新宋体" w:eastAsia="新宋体" w:cstheme="minorBidi"/>
                <w:bCs/>
                <w:color w:val="auto"/>
                <w:kern w:val="0"/>
                <w:sz w:val="20"/>
                <w:szCs w:val="20"/>
                <w:highlight w:val="none"/>
              </w:rPr>
            </w:pPr>
            <w:r>
              <w:rPr>
                <w:rFonts w:ascii="新宋体" w:hAnsi="新宋体" w:eastAsia="新宋体" w:cs="Arial"/>
                <w:bCs/>
                <w:color w:val="auto"/>
                <w:kern w:val="0"/>
                <w:sz w:val="20"/>
                <w:szCs w:val="20"/>
                <w:highlight w:val="none"/>
              </w:rPr>
              <w:t>1</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5</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689EF242">
            <w:pPr>
              <w:widowControl/>
              <w:spacing w:after="0" w:line="360" w:lineRule="auto"/>
              <w:jc w:val="both"/>
              <w:rPr>
                <w:rFonts w:ascii="新宋体" w:hAnsi="新宋体" w:eastAsia="新宋体" w:cstheme="minorBidi"/>
                <w:bCs/>
                <w:color w:val="auto"/>
                <w:kern w:val="0"/>
                <w:sz w:val="20"/>
                <w:szCs w:val="20"/>
                <w:highlight w:val="none"/>
              </w:rPr>
            </w:pPr>
            <w:r>
              <w:rPr>
                <w:rFonts w:ascii="新宋体" w:hAnsi="新宋体" w:eastAsia="新宋体" w:cs="Arial"/>
                <w:bCs/>
                <w:color w:val="auto"/>
                <w:kern w:val="0"/>
                <w:sz w:val="20"/>
                <w:szCs w:val="20"/>
                <w:highlight w:val="none"/>
              </w:rPr>
              <w:t>C</w:t>
            </w:r>
            <w:r>
              <w:rPr>
                <w:rFonts w:ascii="新宋体" w:hAnsi="新宋体" w:eastAsia="新宋体" w:cs="宋体"/>
                <w:bCs/>
                <w:color w:val="auto"/>
                <w:kern w:val="0"/>
                <w:sz w:val="20"/>
                <w:szCs w:val="20"/>
                <w:highlight w:val="none"/>
              </w:rPr>
              <w:t>型臂环内滑动速度（非旋转采集）</w:t>
            </w:r>
            <w:r>
              <w:rPr>
                <w:rFonts w:ascii="新宋体" w:hAnsi="新宋体" w:eastAsia="新宋体" w:cs="Arial"/>
                <w:bCs/>
                <w:color w:val="auto"/>
                <w:kern w:val="0"/>
                <w:sz w:val="20"/>
                <w:szCs w:val="20"/>
                <w:highlight w:val="none"/>
              </w:rPr>
              <w:t>CRAN/CAU</w:t>
            </w:r>
            <w:r>
              <w:rPr>
                <w:rFonts w:hint="eastAsia" w:ascii="新宋体" w:hAnsi="新宋体" w:eastAsia="新宋体" w:cs="Arial"/>
                <w:bCs/>
                <w:color w:val="auto"/>
                <w:kern w:val="0"/>
                <w:sz w:val="20"/>
                <w:szCs w:val="20"/>
                <w:highlight w:val="none"/>
              </w:rPr>
              <w:t>：</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25°/</w:t>
            </w:r>
            <w:r>
              <w:rPr>
                <w:rFonts w:ascii="新宋体" w:hAnsi="新宋体" w:eastAsia="新宋体" w:cs="宋体"/>
                <w:bCs/>
                <w:color w:val="auto"/>
                <w:kern w:val="0"/>
                <w:sz w:val="20"/>
                <w:szCs w:val="20"/>
                <w:highlight w:val="none"/>
              </w:rPr>
              <w:t>秒</w:t>
            </w:r>
          </w:p>
        </w:tc>
      </w:tr>
      <w:tr w14:paraId="0A242A2C">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1DA05A6D">
            <w:pPr>
              <w:widowControl/>
              <w:spacing w:after="0" w:line="360" w:lineRule="auto"/>
              <w:jc w:val="right"/>
              <w:rPr>
                <w:rFonts w:ascii="新宋体" w:hAnsi="新宋体" w:eastAsia="新宋体" w:cstheme="minorBidi"/>
                <w:bCs/>
                <w:color w:val="auto"/>
                <w:kern w:val="0"/>
                <w:sz w:val="20"/>
                <w:szCs w:val="20"/>
                <w:highlight w:val="none"/>
              </w:rPr>
            </w:pPr>
            <w:r>
              <w:rPr>
                <w:rFonts w:ascii="新宋体" w:hAnsi="新宋体" w:eastAsia="新宋体" w:cs="Arial"/>
                <w:bCs/>
                <w:color w:val="auto"/>
                <w:kern w:val="0"/>
                <w:sz w:val="20"/>
                <w:szCs w:val="20"/>
                <w:highlight w:val="none"/>
              </w:rPr>
              <w:t>1</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6</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57ED42C3">
            <w:pPr>
              <w:widowControl/>
              <w:spacing w:after="0" w:line="360" w:lineRule="auto"/>
              <w:jc w:val="both"/>
              <w:rPr>
                <w:rFonts w:ascii="新宋体" w:hAnsi="新宋体" w:eastAsia="新宋体" w:cstheme="minorBidi"/>
                <w:bCs/>
                <w:color w:val="auto"/>
                <w:kern w:val="0"/>
                <w:sz w:val="20"/>
                <w:szCs w:val="20"/>
                <w:highlight w:val="none"/>
              </w:rPr>
            </w:pPr>
            <w:r>
              <w:rPr>
                <w:rFonts w:ascii="新宋体" w:hAnsi="新宋体" w:eastAsia="新宋体" w:cs="Arial"/>
                <w:bCs/>
                <w:color w:val="auto"/>
                <w:kern w:val="0"/>
                <w:sz w:val="20"/>
                <w:szCs w:val="20"/>
                <w:highlight w:val="none"/>
              </w:rPr>
              <w:t>CRA（最大头位角度）</w:t>
            </w:r>
            <w:r>
              <w:rPr>
                <w:rFonts w:hint="eastAsia" w:ascii="新宋体" w:hAnsi="新宋体" w:eastAsia="新宋体" w:cs="Arial"/>
                <w:bCs/>
                <w:color w:val="auto"/>
                <w:kern w:val="0"/>
                <w:sz w:val="20"/>
                <w:szCs w:val="20"/>
                <w:highlight w:val="none"/>
              </w:rPr>
              <w:t>：</w:t>
            </w:r>
            <w:r>
              <w:rPr>
                <w:rFonts w:ascii="新宋体" w:hAnsi="新宋体" w:eastAsia="新宋体" w:cs="宋体"/>
                <w:bCs/>
                <w:color w:val="auto"/>
                <w:kern w:val="0"/>
                <w:sz w:val="20"/>
                <w:szCs w:val="20"/>
                <w:highlight w:val="none"/>
              </w:rPr>
              <w:t>≥</w:t>
            </w:r>
            <w:r>
              <w:rPr>
                <w:rFonts w:hint="eastAsia" w:ascii="新宋体" w:hAnsi="新宋体" w:eastAsia="新宋体" w:cs="Arial"/>
                <w:bCs/>
                <w:color w:val="auto"/>
                <w:kern w:val="0"/>
                <w:sz w:val="20"/>
                <w:szCs w:val="20"/>
                <w:highlight w:val="none"/>
              </w:rPr>
              <w:t>90</w:t>
            </w:r>
            <w:r>
              <w:rPr>
                <w:rFonts w:ascii="新宋体" w:hAnsi="新宋体" w:eastAsia="新宋体" w:cs="Arial"/>
                <w:bCs/>
                <w:color w:val="auto"/>
                <w:kern w:val="0"/>
                <w:sz w:val="20"/>
                <w:szCs w:val="20"/>
                <w:highlight w:val="none"/>
              </w:rPr>
              <w:t>°</w:t>
            </w:r>
          </w:p>
        </w:tc>
      </w:tr>
      <w:tr w14:paraId="4D8DF90E">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7D9134E7">
            <w:pPr>
              <w:widowControl/>
              <w:spacing w:after="0" w:line="360" w:lineRule="auto"/>
              <w:jc w:val="right"/>
              <w:rPr>
                <w:rFonts w:ascii="新宋体" w:hAnsi="新宋体" w:eastAsia="新宋体" w:cstheme="minorBidi"/>
                <w:bCs/>
                <w:color w:val="auto"/>
                <w:kern w:val="0"/>
                <w:sz w:val="20"/>
                <w:szCs w:val="20"/>
                <w:highlight w:val="none"/>
              </w:rPr>
            </w:pPr>
            <w:r>
              <w:rPr>
                <w:rFonts w:ascii="新宋体" w:hAnsi="新宋体" w:eastAsia="新宋体" w:cs="Arial"/>
                <w:bCs/>
                <w:color w:val="auto"/>
                <w:kern w:val="0"/>
                <w:sz w:val="20"/>
                <w:szCs w:val="20"/>
                <w:highlight w:val="none"/>
              </w:rPr>
              <w:t>1</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7</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6C2DBBD4">
            <w:pPr>
              <w:widowControl/>
              <w:spacing w:after="0" w:line="360" w:lineRule="auto"/>
              <w:jc w:val="both"/>
              <w:rPr>
                <w:rFonts w:ascii="新宋体" w:hAnsi="新宋体" w:eastAsia="新宋体" w:cstheme="minorBidi"/>
                <w:bCs/>
                <w:color w:val="auto"/>
                <w:kern w:val="0"/>
                <w:sz w:val="20"/>
                <w:szCs w:val="20"/>
                <w:highlight w:val="none"/>
              </w:rPr>
            </w:pPr>
            <w:r>
              <w:rPr>
                <w:rFonts w:ascii="新宋体" w:hAnsi="新宋体" w:eastAsia="新宋体" w:cs="Arial"/>
                <w:bCs/>
                <w:color w:val="auto"/>
                <w:kern w:val="0"/>
                <w:sz w:val="20"/>
                <w:szCs w:val="20"/>
                <w:highlight w:val="none"/>
              </w:rPr>
              <w:t>CAU（最大</w:t>
            </w:r>
            <w:r>
              <w:rPr>
                <w:rFonts w:hint="eastAsia" w:ascii="新宋体" w:hAnsi="新宋体" w:eastAsia="新宋体" w:cs="Arial"/>
                <w:bCs/>
                <w:color w:val="auto"/>
                <w:kern w:val="0"/>
                <w:sz w:val="20"/>
                <w:szCs w:val="20"/>
                <w:highlight w:val="none"/>
              </w:rPr>
              <w:t>足</w:t>
            </w:r>
            <w:r>
              <w:rPr>
                <w:rFonts w:ascii="新宋体" w:hAnsi="新宋体" w:eastAsia="新宋体" w:cs="Arial"/>
                <w:bCs/>
                <w:color w:val="auto"/>
                <w:kern w:val="0"/>
                <w:sz w:val="20"/>
                <w:szCs w:val="20"/>
                <w:highlight w:val="none"/>
              </w:rPr>
              <w:t>位角度）</w:t>
            </w:r>
            <w:r>
              <w:rPr>
                <w:rFonts w:hint="eastAsia" w:ascii="新宋体" w:hAnsi="新宋体" w:eastAsia="新宋体" w:cs="Arial"/>
                <w:bCs/>
                <w:color w:val="auto"/>
                <w:kern w:val="0"/>
                <w:sz w:val="20"/>
                <w:szCs w:val="20"/>
                <w:highlight w:val="none"/>
              </w:rPr>
              <w:t>：</w:t>
            </w:r>
            <w:r>
              <w:rPr>
                <w:rFonts w:ascii="新宋体" w:hAnsi="新宋体" w:eastAsia="新宋体" w:cs="宋体"/>
                <w:bCs/>
                <w:color w:val="auto"/>
                <w:kern w:val="0"/>
                <w:sz w:val="20"/>
                <w:szCs w:val="20"/>
                <w:highlight w:val="none"/>
              </w:rPr>
              <w:t>≥</w:t>
            </w:r>
            <w:r>
              <w:rPr>
                <w:rFonts w:hint="eastAsia" w:ascii="新宋体" w:hAnsi="新宋体" w:eastAsia="新宋体" w:cs="Arial"/>
                <w:bCs/>
                <w:color w:val="auto"/>
                <w:kern w:val="0"/>
                <w:sz w:val="20"/>
                <w:szCs w:val="20"/>
                <w:highlight w:val="none"/>
              </w:rPr>
              <w:t>90</w:t>
            </w:r>
            <w:r>
              <w:rPr>
                <w:rFonts w:ascii="新宋体" w:hAnsi="新宋体" w:eastAsia="新宋体" w:cs="Arial"/>
                <w:bCs/>
                <w:color w:val="auto"/>
                <w:kern w:val="0"/>
                <w:sz w:val="20"/>
                <w:szCs w:val="20"/>
                <w:highlight w:val="none"/>
              </w:rPr>
              <w:t>°</w:t>
            </w:r>
          </w:p>
        </w:tc>
      </w:tr>
      <w:tr w14:paraId="4C3A66D1">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53FC51C3">
            <w:pPr>
              <w:widowControl/>
              <w:spacing w:after="0" w:line="360" w:lineRule="auto"/>
              <w:jc w:val="right"/>
              <w:rPr>
                <w:rFonts w:ascii="新宋体" w:hAnsi="新宋体" w:eastAsia="新宋体" w:cstheme="minorBidi"/>
                <w:bCs/>
                <w:color w:val="auto"/>
                <w:kern w:val="0"/>
                <w:sz w:val="20"/>
                <w:szCs w:val="20"/>
                <w:highlight w:val="none"/>
              </w:rPr>
            </w:pPr>
            <w:r>
              <w:rPr>
                <w:rFonts w:hint="eastAsia" w:ascii="新宋体" w:hAnsi="新宋体" w:eastAsia="新宋体" w:cs="Arial"/>
                <w:bCs/>
                <w:color w:val="auto"/>
                <w:kern w:val="0"/>
                <w:sz w:val="20"/>
                <w:szCs w:val="20"/>
                <w:highlight w:val="none"/>
              </w:rPr>
              <w:t>▲</w:t>
            </w:r>
            <w:r>
              <w:rPr>
                <w:rFonts w:ascii="新宋体" w:hAnsi="新宋体" w:eastAsia="新宋体" w:cs="Arial"/>
                <w:bCs/>
                <w:color w:val="auto"/>
                <w:kern w:val="0"/>
                <w:sz w:val="20"/>
                <w:szCs w:val="20"/>
                <w:highlight w:val="none"/>
              </w:rPr>
              <w:t>1</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8</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15E69354">
            <w:pPr>
              <w:widowControl/>
              <w:spacing w:after="0" w:line="360" w:lineRule="auto"/>
              <w:jc w:val="both"/>
              <w:rPr>
                <w:rFonts w:ascii="新宋体" w:hAnsi="新宋体" w:eastAsia="新宋体" w:cstheme="minorBidi"/>
                <w:bCs/>
                <w:color w:val="auto"/>
                <w:kern w:val="0"/>
                <w:sz w:val="20"/>
                <w:szCs w:val="20"/>
                <w:highlight w:val="none"/>
              </w:rPr>
            </w:pPr>
            <w:r>
              <w:rPr>
                <w:rFonts w:ascii="新宋体" w:hAnsi="新宋体" w:eastAsia="新宋体" w:cs="Arial"/>
                <w:bCs/>
                <w:color w:val="auto"/>
                <w:kern w:val="0"/>
                <w:sz w:val="20"/>
                <w:szCs w:val="20"/>
                <w:highlight w:val="none"/>
              </w:rPr>
              <w:t>RAO（最大</w:t>
            </w:r>
            <w:r>
              <w:rPr>
                <w:rFonts w:hint="eastAsia" w:ascii="新宋体" w:hAnsi="新宋体" w:eastAsia="新宋体" w:cs="Arial"/>
                <w:bCs/>
                <w:color w:val="auto"/>
                <w:kern w:val="0"/>
                <w:sz w:val="20"/>
                <w:szCs w:val="20"/>
                <w:highlight w:val="none"/>
              </w:rPr>
              <w:t>右前斜位</w:t>
            </w:r>
            <w:r>
              <w:rPr>
                <w:rFonts w:ascii="新宋体" w:hAnsi="新宋体" w:eastAsia="新宋体" w:cs="Arial"/>
                <w:bCs/>
                <w:color w:val="auto"/>
                <w:kern w:val="0"/>
                <w:sz w:val="20"/>
                <w:szCs w:val="20"/>
                <w:highlight w:val="none"/>
              </w:rPr>
              <w:t>角度）</w:t>
            </w:r>
            <w:r>
              <w:rPr>
                <w:rFonts w:hint="eastAsia" w:ascii="新宋体" w:hAnsi="新宋体" w:eastAsia="新宋体" w:cs="Arial"/>
                <w:bCs/>
                <w:color w:val="auto"/>
                <w:kern w:val="0"/>
                <w:sz w:val="20"/>
                <w:szCs w:val="20"/>
                <w:highlight w:val="none"/>
              </w:rPr>
              <w:t>：</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1</w:t>
            </w:r>
            <w:r>
              <w:rPr>
                <w:rFonts w:hint="eastAsia" w:ascii="新宋体" w:hAnsi="新宋体" w:eastAsia="新宋体" w:cs="Arial"/>
                <w:bCs/>
                <w:color w:val="auto"/>
                <w:kern w:val="0"/>
                <w:sz w:val="20"/>
                <w:szCs w:val="20"/>
                <w:highlight w:val="none"/>
              </w:rPr>
              <w:t>8</w:t>
            </w:r>
            <w:r>
              <w:rPr>
                <w:rFonts w:hint="eastAsia" w:ascii="新宋体" w:hAnsi="新宋体" w:eastAsia="新宋体" w:cs="Arial"/>
                <w:bCs/>
                <w:color w:val="auto"/>
                <w:kern w:val="0"/>
                <w:sz w:val="20"/>
                <w:szCs w:val="20"/>
                <w:highlight w:val="none"/>
                <w:lang w:val="en-US" w:eastAsia="zh-CN"/>
              </w:rPr>
              <w:t>5</w:t>
            </w:r>
            <w:r>
              <w:rPr>
                <w:rFonts w:ascii="新宋体" w:hAnsi="新宋体" w:eastAsia="新宋体" w:cs="Arial"/>
                <w:bCs/>
                <w:color w:val="auto"/>
                <w:kern w:val="0"/>
                <w:sz w:val="20"/>
                <w:szCs w:val="20"/>
                <w:highlight w:val="none"/>
              </w:rPr>
              <w:t>°</w:t>
            </w:r>
          </w:p>
        </w:tc>
      </w:tr>
      <w:tr w14:paraId="01C71AC2">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62509BBE">
            <w:pPr>
              <w:widowControl/>
              <w:spacing w:after="0" w:line="360" w:lineRule="auto"/>
              <w:jc w:val="right"/>
              <w:rPr>
                <w:rFonts w:ascii="新宋体" w:hAnsi="新宋体" w:eastAsia="新宋体" w:cstheme="minorBidi"/>
                <w:bCs/>
                <w:color w:val="auto"/>
                <w:kern w:val="0"/>
                <w:sz w:val="20"/>
                <w:szCs w:val="20"/>
                <w:highlight w:val="none"/>
              </w:rPr>
            </w:pPr>
            <w:r>
              <w:rPr>
                <w:rFonts w:ascii="新宋体" w:hAnsi="新宋体" w:eastAsia="新宋体" w:cs="Arial"/>
                <w:bCs/>
                <w:color w:val="auto"/>
                <w:kern w:val="0"/>
                <w:sz w:val="20"/>
                <w:szCs w:val="20"/>
                <w:highlight w:val="none"/>
              </w:rPr>
              <w:t>1</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9</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58012F84">
            <w:pPr>
              <w:widowControl/>
              <w:spacing w:after="0" w:line="360" w:lineRule="auto"/>
              <w:jc w:val="both"/>
              <w:rPr>
                <w:rFonts w:ascii="新宋体" w:hAnsi="新宋体" w:eastAsia="新宋体" w:cstheme="minorBidi"/>
                <w:bCs/>
                <w:color w:val="auto"/>
                <w:kern w:val="0"/>
                <w:sz w:val="20"/>
                <w:szCs w:val="20"/>
                <w:highlight w:val="none"/>
              </w:rPr>
            </w:pPr>
            <w:r>
              <w:rPr>
                <w:rFonts w:ascii="新宋体" w:hAnsi="新宋体" w:eastAsia="新宋体" w:cs="Arial"/>
                <w:bCs/>
                <w:color w:val="auto"/>
                <w:kern w:val="0"/>
                <w:sz w:val="20"/>
                <w:szCs w:val="20"/>
                <w:highlight w:val="none"/>
              </w:rPr>
              <w:t>LAO（最大</w:t>
            </w:r>
            <w:r>
              <w:rPr>
                <w:rFonts w:hint="eastAsia" w:ascii="新宋体" w:hAnsi="新宋体" w:eastAsia="新宋体" w:cs="Arial"/>
                <w:bCs/>
                <w:color w:val="auto"/>
                <w:kern w:val="0"/>
                <w:sz w:val="20"/>
                <w:szCs w:val="20"/>
                <w:highlight w:val="none"/>
              </w:rPr>
              <w:t>左前斜位</w:t>
            </w:r>
            <w:r>
              <w:rPr>
                <w:rFonts w:ascii="新宋体" w:hAnsi="新宋体" w:eastAsia="新宋体" w:cs="Arial"/>
                <w:bCs/>
                <w:color w:val="auto"/>
                <w:kern w:val="0"/>
                <w:sz w:val="20"/>
                <w:szCs w:val="20"/>
                <w:highlight w:val="none"/>
              </w:rPr>
              <w:t>角度）</w:t>
            </w:r>
            <w:r>
              <w:rPr>
                <w:rFonts w:hint="eastAsia" w:ascii="新宋体" w:hAnsi="新宋体" w:eastAsia="新宋体" w:cs="Arial"/>
                <w:bCs/>
                <w:color w:val="auto"/>
                <w:kern w:val="0"/>
                <w:sz w:val="20"/>
                <w:szCs w:val="20"/>
                <w:highlight w:val="none"/>
              </w:rPr>
              <w:t>：</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120°</w:t>
            </w:r>
          </w:p>
        </w:tc>
      </w:tr>
      <w:tr w14:paraId="1AAC5309">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359EA604">
            <w:pPr>
              <w:widowControl/>
              <w:spacing w:after="0" w:line="360" w:lineRule="auto"/>
              <w:jc w:val="right"/>
              <w:rPr>
                <w:rFonts w:ascii="新宋体" w:hAnsi="新宋体" w:eastAsia="新宋体" w:cs="Arial"/>
                <w:bCs/>
                <w:color w:val="auto"/>
                <w:kern w:val="0"/>
                <w:sz w:val="20"/>
                <w:szCs w:val="20"/>
                <w:highlight w:val="none"/>
              </w:rPr>
            </w:pPr>
            <w:r>
              <w:rPr>
                <w:rFonts w:ascii="新宋体" w:hAnsi="新宋体" w:eastAsia="新宋体" w:cs="Arial"/>
                <w:bCs/>
                <w:color w:val="auto"/>
                <w:kern w:val="0"/>
                <w:sz w:val="20"/>
                <w:szCs w:val="20"/>
                <w:highlight w:val="none"/>
              </w:rPr>
              <w:t>1</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10</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4908D2D8">
            <w:pPr>
              <w:widowControl/>
              <w:spacing w:after="0" w:line="360" w:lineRule="auto"/>
              <w:jc w:val="both"/>
              <w:rPr>
                <w:rFonts w:ascii="新宋体" w:hAnsi="新宋体" w:eastAsia="新宋体" w:cs="Arial"/>
                <w:bCs/>
                <w:color w:val="auto"/>
                <w:kern w:val="0"/>
                <w:sz w:val="20"/>
                <w:szCs w:val="20"/>
                <w:highlight w:val="none"/>
              </w:rPr>
            </w:pPr>
            <w:r>
              <w:rPr>
                <w:rFonts w:hint="eastAsia" w:ascii="新宋体" w:hAnsi="新宋体" w:eastAsia="新宋体" w:cs="Arial"/>
                <w:bCs/>
                <w:color w:val="auto"/>
                <w:kern w:val="0"/>
                <w:sz w:val="20"/>
                <w:szCs w:val="20"/>
                <w:highlight w:val="none"/>
              </w:rPr>
              <w:t>旋转采集角度：≥200°</w:t>
            </w:r>
          </w:p>
        </w:tc>
      </w:tr>
      <w:tr w14:paraId="76990792">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18E618C1">
            <w:pPr>
              <w:widowControl/>
              <w:spacing w:after="0" w:line="360" w:lineRule="auto"/>
              <w:jc w:val="right"/>
              <w:rPr>
                <w:rFonts w:ascii="新宋体" w:hAnsi="新宋体" w:eastAsia="新宋体" w:cstheme="minorBidi"/>
                <w:bCs/>
                <w:color w:val="auto"/>
                <w:kern w:val="0"/>
                <w:sz w:val="20"/>
                <w:szCs w:val="20"/>
                <w:highlight w:val="none"/>
              </w:rPr>
            </w:pPr>
            <w:r>
              <w:rPr>
                <w:rFonts w:ascii="新宋体" w:hAnsi="新宋体" w:eastAsia="新宋体" w:cs="Arial"/>
                <w:bCs/>
                <w:color w:val="auto"/>
                <w:kern w:val="0"/>
                <w:sz w:val="20"/>
                <w:szCs w:val="20"/>
                <w:highlight w:val="none"/>
              </w:rPr>
              <w:t>1</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1</w:t>
            </w:r>
            <w:r>
              <w:rPr>
                <w:rFonts w:hint="eastAsia" w:ascii="新宋体" w:hAnsi="新宋体" w:eastAsia="新宋体" w:cs="Arial"/>
                <w:bCs/>
                <w:color w:val="auto"/>
                <w:kern w:val="0"/>
                <w:sz w:val="20"/>
                <w:szCs w:val="20"/>
                <w:highlight w:val="none"/>
              </w:rPr>
              <w:t>1</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top"/>
          </w:tcPr>
          <w:p w14:paraId="3D069086">
            <w:pPr>
              <w:widowControl/>
              <w:spacing w:after="0" w:line="360" w:lineRule="auto"/>
              <w:jc w:val="both"/>
              <w:rPr>
                <w:rFonts w:ascii="新宋体" w:hAnsi="新宋体" w:eastAsia="新宋体" w:cstheme="minorBidi"/>
                <w:bCs/>
                <w:color w:val="auto"/>
                <w:kern w:val="0"/>
                <w:sz w:val="20"/>
                <w:szCs w:val="20"/>
                <w:highlight w:val="none"/>
                <w:lang w:val="en-US" w:eastAsia="zh-CN" w:bidi="ar-SA"/>
              </w:rPr>
            </w:pPr>
            <w:r>
              <w:rPr>
                <w:rFonts w:ascii="新宋体" w:hAnsi="新宋体" w:eastAsia="新宋体" w:cs="Arial"/>
                <w:bCs/>
                <w:color w:val="auto"/>
                <w:kern w:val="0"/>
                <w:sz w:val="20"/>
                <w:szCs w:val="20"/>
                <w:highlight w:val="none"/>
              </w:rPr>
              <w:t>C</w:t>
            </w:r>
            <w:r>
              <w:rPr>
                <w:rFonts w:ascii="新宋体" w:hAnsi="新宋体" w:eastAsia="新宋体" w:cs="宋体"/>
                <w:bCs/>
                <w:color w:val="auto"/>
                <w:kern w:val="0"/>
                <w:sz w:val="20"/>
                <w:szCs w:val="20"/>
                <w:highlight w:val="none"/>
              </w:rPr>
              <w:t>型臂弧深</w:t>
            </w:r>
            <w:r>
              <w:rPr>
                <w:rFonts w:hint="eastAsia" w:ascii="新宋体" w:hAnsi="新宋体" w:eastAsia="新宋体" w:cs="宋体"/>
                <w:bCs/>
                <w:color w:val="auto"/>
                <w:kern w:val="0"/>
                <w:sz w:val="20"/>
                <w:szCs w:val="20"/>
                <w:highlight w:val="none"/>
              </w:rPr>
              <w:t>：</w:t>
            </w:r>
            <w:r>
              <w:rPr>
                <w:rFonts w:ascii="新宋体" w:hAnsi="新宋体" w:eastAsia="新宋体" w:cs="宋体"/>
                <w:bCs/>
                <w:color w:val="auto"/>
                <w:kern w:val="0"/>
                <w:sz w:val="20"/>
                <w:szCs w:val="20"/>
                <w:highlight w:val="none"/>
              </w:rPr>
              <w:t>≥</w:t>
            </w:r>
            <w:r>
              <w:rPr>
                <w:rFonts w:hint="eastAsia" w:ascii="新宋体" w:hAnsi="新宋体" w:eastAsia="新宋体" w:cs="Arial"/>
                <w:bCs/>
                <w:color w:val="auto"/>
                <w:kern w:val="0"/>
                <w:sz w:val="20"/>
                <w:szCs w:val="20"/>
                <w:highlight w:val="none"/>
              </w:rPr>
              <w:t>90</w:t>
            </w:r>
            <w:r>
              <w:rPr>
                <w:rFonts w:ascii="新宋体" w:hAnsi="新宋体" w:eastAsia="新宋体" w:cs="Arial"/>
                <w:bCs/>
                <w:color w:val="auto"/>
                <w:kern w:val="0"/>
                <w:sz w:val="20"/>
                <w:szCs w:val="20"/>
                <w:highlight w:val="none"/>
              </w:rPr>
              <w:t xml:space="preserve">cm </w:t>
            </w:r>
            <w:r>
              <w:rPr>
                <w:rFonts w:ascii="新宋体" w:hAnsi="新宋体" w:eastAsia="新宋体" w:cs="宋体"/>
                <w:bCs/>
                <w:color w:val="auto"/>
                <w:kern w:val="0"/>
                <w:sz w:val="20"/>
                <w:szCs w:val="20"/>
                <w:highlight w:val="none"/>
              </w:rPr>
              <w:t>（不包括</w:t>
            </w:r>
            <w:r>
              <w:rPr>
                <w:rFonts w:ascii="新宋体" w:hAnsi="新宋体" w:eastAsia="新宋体" w:cs="Arial"/>
                <w:bCs/>
                <w:color w:val="auto"/>
                <w:kern w:val="0"/>
                <w:sz w:val="20"/>
                <w:szCs w:val="20"/>
                <w:highlight w:val="none"/>
              </w:rPr>
              <w:t>L</w:t>
            </w:r>
            <w:r>
              <w:rPr>
                <w:rFonts w:ascii="新宋体" w:hAnsi="新宋体" w:eastAsia="新宋体" w:cs="宋体"/>
                <w:bCs/>
                <w:color w:val="auto"/>
                <w:kern w:val="0"/>
                <w:sz w:val="20"/>
                <w:szCs w:val="20"/>
                <w:highlight w:val="none"/>
              </w:rPr>
              <w:t>臂补偿）</w:t>
            </w:r>
          </w:p>
        </w:tc>
      </w:tr>
      <w:tr w14:paraId="3DEC396B">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7AEC4273">
            <w:pPr>
              <w:widowControl/>
              <w:spacing w:after="0" w:line="360" w:lineRule="auto"/>
              <w:jc w:val="right"/>
              <w:rPr>
                <w:rFonts w:ascii="新宋体" w:hAnsi="新宋体" w:eastAsia="新宋体" w:cstheme="minorBidi"/>
                <w:bCs/>
                <w:color w:val="auto"/>
                <w:kern w:val="0"/>
                <w:sz w:val="20"/>
                <w:szCs w:val="20"/>
                <w:highlight w:val="none"/>
              </w:rPr>
            </w:pPr>
            <w:r>
              <w:rPr>
                <w:rFonts w:ascii="新宋体" w:hAnsi="新宋体" w:eastAsia="新宋体" w:cs="Arial"/>
                <w:bCs/>
                <w:color w:val="auto"/>
                <w:kern w:val="0"/>
                <w:sz w:val="20"/>
                <w:szCs w:val="20"/>
                <w:highlight w:val="none"/>
              </w:rPr>
              <w:t>1</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1</w:t>
            </w:r>
            <w:r>
              <w:rPr>
                <w:rFonts w:hint="eastAsia" w:ascii="新宋体" w:hAnsi="新宋体" w:eastAsia="新宋体" w:cs="Arial"/>
                <w:bCs/>
                <w:color w:val="auto"/>
                <w:kern w:val="0"/>
                <w:sz w:val="20"/>
                <w:szCs w:val="20"/>
                <w:highlight w:val="none"/>
              </w:rPr>
              <w:t>2</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top"/>
          </w:tcPr>
          <w:p w14:paraId="10D8EAC3">
            <w:pPr>
              <w:widowControl/>
              <w:spacing w:after="0" w:line="360" w:lineRule="auto"/>
              <w:jc w:val="both"/>
              <w:rPr>
                <w:rFonts w:ascii="新宋体" w:hAnsi="新宋体" w:eastAsia="新宋体" w:cs="宋体"/>
                <w:bCs/>
                <w:color w:val="auto"/>
                <w:kern w:val="0"/>
                <w:sz w:val="20"/>
                <w:szCs w:val="20"/>
                <w:highlight w:val="none"/>
                <w:lang w:val="en-US" w:eastAsia="zh-CN" w:bidi="ar-SA"/>
              </w:rPr>
            </w:pPr>
            <w:r>
              <w:rPr>
                <w:rFonts w:ascii="新宋体" w:hAnsi="新宋体" w:eastAsia="新宋体" w:cs="宋体"/>
                <w:bCs/>
                <w:color w:val="auto"/>
                <w:kern w:val="0"/>
                <w:sz w:val="20"/>
                <w:szCs w:val="20"/>
                <w:highlight w:val="none"/>
              </w:rPr>
              <w:t>机架可分别在头位、左侧位、右侧位进行透视和采集</w:t>
            </w:r>
          </w:p>
        </w:tc>
      </w:tr>
      <w:tr w14:paraId="6B387908">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0F0185DC">
            <w:pPr>
              <w:widowControl/>
              <w:spacing w:after="0" w:line="360" w:lineRule="auto"/>
              <w:ind w:firstLine="480"/>
              <w:jc w:val="right"/>
              <w:rPr>
                <w:rFonts w:ascii="新宋体" w:hAnsi="新宋体" w:eastAsia="新宋体" w:cstheme="minorBidi"/>
                <w:bCs/>
                <w:color w:val="auto"/>
                <w:kern w:val="0"/>
                <w:sz w:val="20"/>
                <w:szCs w:val="20"/>
                <w:highlight w:val="none"/>
              </w:rPr>
            </w:pPr>
            <w:r>
              <w:rPr>
                <w:rFonts w:ascii="新宋体" w:hAnsi="新宋体" w:eastAsia="新宋体" w:cs="Times New Roman"/>
                <w:bCs/>
                <w:color w:val="auto"/>
                <w:kern w:val="0"/>
                <w:sz w:val="20"/>
                <w:szCs w:val="20"/>
                <w:highlight w:val="none"/>
              </w:rPr>
              <w:t>1</w:t>
            </w:r>
            <w:r>
              <w:rPr>
                <w:rFonts w:ascii="新宋体" w:hAnsi="新宋体" w:eastAsia="新宋体" w:cs="宋体"/>
                <w:bCs/>
                <w:color w:val="auto"/>
                <w:kern w:val="0"/>
                <w:sz w:val="20"/>
                <w:szCs w:val="20"/>
                <w:highlight w:val="none"/>
              </w:rPr>
              <w:t>．</w:t>
            </w:r>
            <w:r>
              <w:rPr>
                <w:rFonts w:ascii="新宋体" w:hAnsi="新宋体" w:eastAsia="新宋体" w:cs="Times New Roman"/>
                <w:bCs/>
                <w:color w:val="auto"/>
                <w:kern w:val="0"/>
                <w:sz w:val="20"/>
                <w:szCs w:val="20"/>
                <w:highlight w:val="none"/>
              </w:rPr>
              <w:t>1</w:t>
            </w:r>
            <w:r>
              <w:rPr>
                <w:rFonts w:hint="eastAsia" w:ascii="新宋体" w:hAnsi="新宋体" w:eastAsia="新宋体" w:cs="Times New Roman"/>
                <w:bCs/>
                <w:color w:val="auto"/>
                <w:kern w:val="0"/>
                <w:sz w:val="20"/>
                <w:szCs w:val="20"/>
                <w:highlight w:val="none"/>
              </w:rPr>
              <w:t>3</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top"/>
          </w:tcPr>
          <w:p w14:paraId="1A6E90A7">
            <w:pPr>
              <w:widowControl/>
              <w:spacing w:after="0" w:line="360" w:lineRule="auto"/>
              <w:jc w:val="both"/>
              <w:rPr>
                <w:rFonts w:ascii="新宋体" w:hAnsi="新宋体" w:eastAsia="新宋体" w:cs="宋体"/>
                <w:bCs/>
                <w:color w:val="auto"/>
                <w:kern w:val="0"/>
                <w:sz w:val="20"/>
                <w:szCs w:val="20"/>
                <w:highlight w:val="none"/>
                <w:lang w:val="en-US" w:eastAsia="zh-CN" w:bidi="ar-SA"/>
              </w:rPr>
            </w:pPr>
            <w:r>
              <w:rPr>
                <w:rFonts w:hint="eastAsia" w:ascii="新宋体" w:hAnsi="新宋体" w:eastAsia="新宋体" w:cs="宋体"/>
                <w:bCs/>
                <w:color w:val="auto"/>
                <w:kern w:val="0"/>
                <w:sz w:val="20"/>
                <w:szCs w:val="20"/>
                <w:highlight w:val="none"/>
              </w:rPr>
              <w:t>等中心</w:t>
            </w:r>
            <w:r>
              <w:rPr>
                <w:rFonts w:ascii="新宋体" w:hAnsi="新宋体" w:eastAsia="新宋体" w:cs="宋体"/>
                <w:bCs/>
                <w:color w:val="auto"/>
                <w:kern w:val="0"/>
                <w:sz w:val="20"/>
                <w:szCs w:val="20"/>
                <w:highlight w:val="none"/>
              </w:rPr>
              <w:t>到地面距离</w:t>
            </w:r>
            <w:r>
              <w:rPr>
                <w:rFonts w:hint="eastAsia" w:ascii="新宋体" w:hAnsi="新宋体" w:eastAsia="新宋体" w:cs="宋体"/>
                <w:bCs/>
                <w:color w:val="auto"/>
                <w:kern w:val="0"/>
                <w:sz w:val="20"/>
                <w:szCs w:val="20"/>
                <w:highlight w:val="none"/>
              </w:rPr>
              <w:t>：≤</w:t>
            </w:r>
            <w:r>
              <w:rPr>
                <w:rFonts w:ascii="新宋体" w:hAnsi="新宋体" w:eastAsia="新宋体" w:cs="宋体"/>
                <w:bCs/>
                <w:color w:val="auto"/>
                <w:kern w:val="0"/>
                <w:sz w:val="20"/>
                <w:szCs w:val="20"/>
                <w:highlight w:val="none"/>
              </w:rPr>
              <w:t>1</w:t>
            </w:r>
            <w:r>
              <w:rPr>
                <w:rFonts w:hint="eastAsia" w:ascii="新宋体" w:hAnsi="新宋体" w:eastAsia="新宋体" w:cs="宋体"/>
                <w:bCs/>
                <w:color w:val="auto"/>
                <w:kern w:val="0"/>
                <w:sz w:val="20"/>
                <w:szCs w:val="20"/>
                <w:highlight w:val="none"/>
              </w:rPr>
              <w:t>14</w:t>
            </w:r>
            <w:r>
              <w:rPr>
                <w:rFonts w:ascii="新宋体" w:hAnsi="新宋体" w:eastAsia="新宋体" w:cs="宋体"/>
                <w:bCs/>
                <w:color w:val="auto"/>
                <w:kern w:val="0"/>
                <w:sz w:val="20"/>
                <w:szCs w:val="20"/>
                <w:highlight w:val="none"/>
              </w:rPr>
              <w:t>cm</w:t>
            </w:r>
          </w:p>
        </w:tc>
      </w:tr>
      <w:tr w14:paraId="4A39300D">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3D1AA431">
            <w:pPr>
              <w:widowControl/>
              <w:spacing w:after="0" w:line="360" w:lineRule="auto"/>
              <w:jc w:val="right"/>
              <w:rPr>
                <w:rFonts w:ascii="新宋体" w:hAnsi="新宋体" w:eastAsia="新宋体" w:cstheme="minorBidi"/>
                <w:bCs/>
                <w:color w:val="auto"/>
                <w:kern w:val="0"/>
                <w:sz w:val="20"/>
                <w:szCs w:val="20"/>
                <w:highlight w:val="none"/>
              </w:rPr>
            </w:pPr>
            <w:r>
              <w:rPr>
                <w:rFonts w:ascii="新宋体" w:hAnsi="新宋体" w:eastAsia="新宋体" w:cs="Times New Roman"/>
                <w:bCs/>
                <w:color w:val="auto"/>
                <w:kern w:val="0"/>
                <w:sz w:val="20"/>
                <w:szCs w:val="20"/>
                <w:highlight w:val="none"/>
              </w:rPr>
              <w:t>1</w:t>
            </w:r>
            <w:r>
              <w:rPr>
                <w:rFonts w:ascii="新宋体" w:hAnsi="新宋体" w:eastAsia="新宋体" w:cs="宋体"/>
                <w:bCs/>
                <w:color w:val="auto"/>
                <w:kern w:val="0"/>
                <w:sz w:val="20"/>
                <w:szCs w:val="20"/>
                <w:highlight w:val="none"/>
              </w:rPr>
              <w:t>．</w:t>
            </w:r>
            <w:r>
              <w:rPr>
                <w:rFonts w:ascii="新宋体" w:hAnsi="新宋体" w:eastAsia="新宋体" w:cs="Times New Roman"/>
                <w:bCs/>
                <w:color w:val="auto"/>
                <w:kern w:val="0"/>
                <w:sz w:val="20"/>
                <w:szCs w:val="20"/>
                <w:highlight w:val="none"/>
              </w:rPr>
              <w:t>1</w:t>
            </w:r>
            <w:r>
              <w:rPr>
                <w:rFonts w:hint="eastAsia" w:ascii="新宋体" w:hAnsi="新宋体" w:eastAsia="新宋体" w:cs="Times New Roman"/>
                <w:bCs/>
                <w:color w:val="auto"/>
                <w:kern w:val="0"/>
                <w:sz w:val="20"/>
                <w:szCs w:val="20"/>
                <w:highlight w:val="none"/>
              </w:rPr>
              <w:t>4</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top"/>
          </w:tcPr>
          <w:p w14:paraId="14106837">
            <w:pPr>
              <w:widowControl/>
              <w:spacing w:after="0" w:line="360" w:lineRule="auto"/>
              <w:jc w:val="both"/>
              <w:rPr>
                <w:rFonts w:ascii="新宋体" w:hAnsi="新宋体" w:eastAsia="新宋体" w:cs="宋体"/>
                <w:bCs/>
                <w:color w:val="auto"/>
                <w:kern w:val="0"/>
                <w:sz w:val="20"/>
                <w:szCs w:val="20"/>
                <w:highlight w:val="none"/>
                <w:lang w:val="en-US" w:eastAsia="zh-CN" w:bidi="ar-SA"/>
              </w:rPr>
            </w:pPr>
            <w:r>
              <w:rPr>
                <w:rFonts w:hint="eastAsia" w:ascii="新宋体" w:hAnsi="新宋体" w:eastAsia="新宋体" w:cs="宋体"/>
                <w:bCs/>
                <w:color w:val="auto"/>
                <w:kern w:val="0"/>
                <w:sz w:val="20"/>
                <w:szCs w:val="20"/>
                <w:highlight w:val="none"/>
              </w:rPr>
              <w:t>等中心</w:t>
            </w:r>
            <w:r>
              <w:rPr>
                <w:rFonts w:ascii="新宋体" w:hAnsi="新宋体" w:eastAsia="新宋体" w:cs="宋体"/>
                <w:bCs/>
                <w:color w:val="auto"/>
                <w:kern w:val="0"/>
                <w:sz w:val="20"/>
                <w:szCs w:val="20"/>
                <w:highlight w:val="none"/>
              </w:rPr>
              <w:t>到焦点距离</w:t>
            </w:r>
            <w:r>
              <w:rPr>
                <w:rFonts w:hint="eastAsia" w:ascii="新宋体" w:hAnsi="新宋体" w:eastAsia="新宋体" w:cs="宋体"/>
                <w:bCs/>
                <w:color w:val="auto"/>
                <w:kern w:val="0"/>
                <w:sz w:val="20"/>
                <w:szCs w:val="20"/>
                <w:highlight w:val="none"/>
              </w:rPr>
              <w:t>：</w:t>
            </w:r>
            <w:r>
              <w:rPr>
                <w:rFonts w:ascii="新宋体" w:hAnsi="新宋体" w:eastAsia="新宋体" w:cs="宋体"/>
                <w:bCs/>
                <w:color w:val="auto"/>
                <w:kern w:val="0"/>
                <w:sz w:val="20"/>
                <w:szCs w:val="20"/>
                <w:highlight w:val="none"/>
              </w:rPr>
              <w:t>≥</w:t>
            </w:r>
            <w:r>
              <w:rPr>
                <w:rFonts w:hint="eastAsia" w:ascii="新宋体" w:hAnsi="新宋体" w:eastAsia="新宋体" w:cs="宋体"/>
                <w:bCs/>
                <w:color w:val="auto"/>
                <w:kern w:val="0"/>
                <w:sz w:val="20"/>
                <w:szCs w:val="20"/>
                <w:highlight w:val="none"/>
              </w:rPr>
              <w:t>81</w:t>
            </w:r>
            <w:r>
              <w:rPr>
                <w:rFonts w:ascii="新宋体" w:hAnsi="新宋体" w:eastAsia="新宋体" w:cs="宋体"/>
                <w:bCs/>
                <w:color w:val="auto"/>
                <w:kern w:val="0"/>
                <w:sz w:val="20"/>
                <w:szCs w:val="20"/>
                <w:highlight w:val="none"/>
              </w:rPr>
              <w:t>cm</w:t>
            </w:r>
          </w:p>
        </w:tc>
      </w:tr>
      <w:tr w14:paraId="373DE142">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1074E5F1">
            <w:pPr>
              <w:widowControl/>
              <w:spacing w:after="0" w:line="360" w:lineRule="auto"/>
              <w:jc w:val="both"/>
              <w:rPr>
                <w:rFonts w:ascii="新宋体" w:hAnsi="新宋体" w:eastAsia="新宋体" w:cstheme="minorBidi"/>
                <w:bCs/>
                <w:color w:val="auto"/>
                <w:kern w:val="0"/>
                <w:sz w:val="20"/>
                <w:szCs w:val="20"/>
                <w:highlight w:val="none"/>
              </w:rPr>
            </w:pPr>
            <w:r>
              <w:rPr>
                <w:rFonts w:ascii="新宋体" w:hAnsi="新宋体" w:eastAsia="新宋体" w:cs="Arial"/>
                <w:bCs/>
                <w:color w:val="auto"/>
                <w:kern w:val="0"/>
                <w:sz w:val="20"/>
                <w:szCs w:val="20"/>
                <w:highlight w:val="none"/>
              </w:rPr>
              <w:t>2</w:t>
            </w:r>
            <w:r>
              <w:rPr>
                <w:rFonts w:ascii="新宋体" w:hAnsi="新宋体" w:eastAsia="新宋体" w:cs="宋体"/>
                <w:bCs/>
                <w:color w:val="auto"/>
                <w:kern w:val="0"/>
                <w:sz w:val="20"/>
                <w:szCs w:val="20"/>
                <w:highlight w:val="none"/>
              </w:rPr>
              <w:t>、</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32817AAE">
            <w:pPr>
              <w:widowControl/>
              <w:spacing w:after="0" w:line="360" w:lineRule="auto"/>
              <w:jc w:val="both"/>
              <w:rPr>
                <w:rFonts w:ascii="新宋体" w:hAnsi="新宋体" w:eastAsia="新宋体" w:cs="宋体"/>
                <w:bCs/>
                <w:color w:val="auto"/>
                <w:kern w:val="0"/>
                <w:sz w:val="20"/>
                <w:szCs w:val="20"/>
                <w:highlight w:val="none"/>
              </w:rPr>
            </w:pPr>
            <w:r>
              <w:rPr>
                <w:rFonts w:ascii="新宋体" w:hAnsi="新宋体" w:eastAsia="新宋体" w:cs="宋体"/>
                <w:bCs/>
                <w:color w:val="auto"/>
                <w:kern w:val="0"/>
                <w:sz w:val="20"/>
                <w:szCs w:val="20"/>
                <w:highlight w:val="none"/>
              </w:rPr>
              <w:t>导管床</w:t>
            </w:r>
          </w:p>
        </w:tc>
      </w:tr>
      <w:tr w14:paraId="1DC32443">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27F1794B">
            <w:pPr>
              <w:widowControl/>
              <w:spacing w:after="0" w:line="360" w:lineRule="auto"/>
              <w:jc w:val="right"/>
              <w:rPr>
                <w:rFonts w:ascii="新宋体" w:hAnsi="新宋体" w:eastAsia="新宋体" w:cstheme="minorBidi"/>
                <w:bCs/>
                <w:color w:val="auto"/>
                <w:kern w:val="0"/>
                <w:sz w:val="20"/>
                <w:szCs w:val="20"/>
                <w:highlight w:val="none"/>
              </w:rPr>
            </w:pPr>
            <w:r>
              <w:rPr>
                <w:rFonts w:ascii="新宋体" w:hAnsi="新宋体" w:eastAsia="新宋体" w:cs="Arial"/>
                <w:bCs/>
                <w:color w:val="auto"/>
                <w:kern w:val="0"/>
                <w:sz w:val="20"/>
                <w:szCs w:val="20"/>
                <w:highlight w:val="none"/>
              </w:rPr>
              <w:t>2</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1</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7BAEACEA">
            <w:pPr>
              <w:widowControl/>
              <w:spacing w:after="0" w:line="360" w:lineRule="auto"/>
              <w:jc w:val="both"/>
              <w:rPr>
                <w:rFonts w:ascii="新宋体" w:hAnsi="新宋体" w:eastAsia="新宋体" w:cs="宋体"/>
                <w:bCs/>
                <w:color w:val="auto"/>
                <w:kern w:val="0"/>
                <w:sz w:val="20"/>
                <w:szCs w:val="20"/>
                <w:highlight w:val="none"/>
              </w:rPr>
            </w:pPr>
            <w:r>
              <w:rPr>
                <w:rFonts w:ascii="新宋体" w:hAnsi="新宋体" w:eastAsia="新宋体" w:cs="宋体"/>
                <w:bCs/>
                <w:color w:val="auto"/>
                <w:kern w:val="0"/>
                <w:sz w:val="20"/>
                <w:szCs w:val="20"/>
                <w:highlight w:val="none"/>
              </w:rPr>
              <w:t>满足全身检查、治疗的要求</w:t>
            </w:r>
          </w:p>
        </w:tc>
      </w:tr>
      <w:tr w14:paraId="63E1089D">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511F8CD2">
            <w:pPr>
              <w:widowControl/>
              <w:spacing w:after="0" w:line="360" w:lineRule="auto"/>
              <w:jc w:val="right"/>
              <w:rPr>
                <w:rFonts w:ascii="新宋体" w:hAnsi="新宋体" w:eastAsia="新宋体" w:cstheme="minorBidi"/>
                <w:bCs/>
                <w:color w:val="auto"/>
                <w:kern w:val="0"/>
                <w:sz w:val="20"/>
                <w:szCs w:val="20"/>
                <w:highlight w:val="none"/>
              </w:rPr>
            </w:pPr>
            <w:r>
              <w:rPr>
                <w:rFonts w:ascii="新宋体" w:hAnsi="新宋体" w:eastAsia="新宋体" w:cs="Arial"/>
                <w:bCs/>
                <w:color w:val="auto"/>
                <w:kern w:val="0"/>
                <w:sz w:val="20"/>
                <w:szCs w:val="20"/>
                <w:highlight w:val="none"/>
              </w:rPr>
              <w:t>2</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2</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21A61DD1">
            <w:pPr>
              <w:widowControl/>
              <w:spacing w:after="0" w:line="360" w:lineRule="auto"/>
              <w:jc w:val="both"/>
              <w:rPr>
                <w:rFonts w:ascii="新宋体" w:hAnsi="新宋体" w:eastAsia="新宋体" w:cs="宋体"/>
                <w:bCs/>
                <w:color w:val="auto"/>
                <w:kern w:val="0"/>
                <w:sz w:val="20"/>
                <w:szCs w:val="20"/>
                <w:highlight w:val="none"/>
              </w:rPr>
            </w:pPr>
            <w:r>
              <w:rPr>
                <w:rFonts w:ascii="新宋体" w:hAnsi="新宋体" w:eastAsia="新宋体" w:cs="宋体"/>
                <w:bCs/>
                <w:color w:val="auto"/>
                <w:kern w:val="0"/>
                <w:sz w:val="20"/>
                <w:szCs w:val="20"/>
                <w:highlight w:val="none"/>
              </w:rPr>
              <w:t>床面要求为碳纤维材料</w:t>
            </w:r>
          </w:p>
        </w:tc>
      </w:tr>
      <w:tr w14:paraId="436E7E4B">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6971DDAA">
            <w:pPr>
              <w:widowControl/>
              <w:spacing w:after="0" w:line="360" w:lineRule="auto"/>
              <w:jc w:val="right"/>
              <w:rPr>
                <w:rFonts w:ascii="新宋体" w:hAnsi="新宋体" w:eastAsia="新宋体" w:cstheme="minorBidi"/>
                <w:bCs/>
                <w:color w:val="auto"/>
                <w:kern w:val="0"/>
                <w:sz w:val="20"/>
                <w:szCs w:val="20"/>
                <w:highlight w:val="none"/>
              </w:rPr>
            </w:pPr>
            <w:r>
              <w:rPr>
                <w:rFonts w:ascii="新宋体" w:hAnsi="新宋体" w:eastAsia="新宋体" w:cs="Arial"/>
                <w:bCs/>
                <w:color w:val="auto"/>
                <w:kern w:val="0"/>
                <w:sz w:val="20"/>
                <w:szCs w:val="20"/>
                <w:highlight w:val="none"/>
              </w:rPr>
              <w:t>2</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3</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65A3EC96">
            <w:pPr>
              <w:widowControl/>
              <w:spacing w:after="0" w:line="360" w:lineRule="auto"/>
              <w:jc w:val="both"/>
              <w:rPr>
                <w:rFonts w:ascii="新宋体" w:hAnsi="新宋体" w:eastAsia="新宋体" w:cstheme="minorBidi"/>
                <w:bCs/>
                <w:color w:val="auto"/>
                <w:kern w:val="0"/>
                <w:sz w:val="20"/>
                <w:szCs w:val="20"/>
                <w:highlight w:val="none"/>
              </w:rPr>
            </w:pPr>
            <w:r>
              <w:rPr>
                <w:rFonts w:ascii="新宋体" w:hAnsi="新宋体" w:eastAsia="新宋体" w:cs="宋体"/>
                <w:bCs/>
                <w:color w:val="auto"/>
                <w:kern w:val="0"/>
                <w:sz w:val="20"/>
                <w:szCs w:val="20"/>
                <w:highlight w:val="none"/>
              </w:rPr>
              <w:t>纵向运动范围</w:t>
            </w:r>
            <w:r>
              <w:rPr>
                <w:rFonts w:hint="eastAsia" w:ascii="新宋体" w:hAnsi="新宋体" w:eastAsia="新宋体" w:cs="宋体"/>
                <w:bCs/>
                <w:color w:val="auto"/>
                <w:kern w:val="0"/>
                <w:sz w:val="20"/>
                <w:szCs w:val="20"/>
                <w:highlight w:val="none"/>
              </w:rPr>
              <w:t>：</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1</w:t>
            </w:r>
            <w:r>
              <w:rPr>
                <w:rFonts w:hint="eastAsia" w:ascii="新宋体" w:hAnsi="新宋体" w:eastAsia="新宋体" w:cs="Arial"/>
                <w:bCs/>
                <w:color w:val="auto"/>
                <w:kern w:val="0"/>
                <w:sz w:val="20"/>
                <w:szCs w:val="20"/>
                <w:highlight w:val="none"/>
                <w:lang w:val="en-US" w:eastAsia="zh-CN"/>
              </w:rPr>
              <w:t>1</w:t>
            </w:r>
            <w:r>
              <w:rPr>
                <w:rFonts w:ascii="新宋体" w:hAnsi="新宋体" w:eastAsia="新宋体" w:cs="Arial"/>
                <w:bCs/>
                <w:color w:val="auto"/>
                <w:kern w:val="0"/>
                <w:sz w:val="20"/>
                <w:szCs w:val="20"/>
                <w:highlight w:val="none"/>
              </w:rPr>
              <w:t>0cm</w:t>
            </w:r>
          </w:p>
        </w:tc>
      </w:tr>
      <w:tr w14:paraId="1161CE36">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1920208A">
            <w:pPr>
              <w:widowControl/>
              <w:spacing w:after="0" w:line="360" w:lineRule="auto"/>
              <w:jc w:val="right"/>
              <w:rPr>
                <w:rFonts w:ascii="新宋体" w:hAnsi="新宋体" w:eastAsia="新宋体" w:cstheme="minorBidi"/>
                <w:bCs/>
                <w:color w:val="auto"/>
                <w:kern w:val="0"/>
                <w:sz w:val="20"/>
                <w:szCs w:val="20"/>
                <w:highlight w:val="none"/>
              </w:rPr>
            </w:pPr>
            <w:r>
              <w:rPr>
                <w:rFonts w:ascii="新宋体" w:hAnsi="新宋体" w:eastAsia="新宋体" w:cs="Arial"/>
                <w:bCs/>
                <w:color w:val="auto"/>
                <w:kern w:val="0"/>
                <w:sz w:val="20"/>
                <w:szCs w:val="20"/>
                <w:highlight w:val="none"/>
              </w:rPr>
              <w:t>2</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4</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588230E6">
            <w:pPr>
              <w:widowControl/>
              <w:spacing w:after="0" w:line="360" w:lineRule="auto"/>
              <w:jc w:val="both"/>
              <w:rPr>
                <w:rFonts w:ascii="新宋体" w:hAnsi="新宋体" w:eastAsia="新宋体" w:cstheme="minorBidi"/>
                <w:bCs/>
                <w:color w:val="auto"/>
                <w:kern w:val="0"/>
                <w:sz w:val="20"/>
                <w:szCs w:val="20"/>
                <w:highlight w:val="none"/>
              </w:rPr>
            </w:pPr>
            <w:r>
              <w:rPr>
                <w:rFonts w:ascii="新宋体" w:hAnsi="新宋体" w:eastAsia="新宋体" w:cs="宋体"/>
                <w:bCs/>
                <w:color w:val="auto"/>
                <w:kern w:val="0"/>
                <w:sz w:val="20"/>
                <w:szCs w:val="20"/>
                <w:highlight w:val="none"/>
              </w:rPr>
              <w:t>导管床横向运动</w:t>
            </w:r>
            <w:r>
              <w:rPr>
                <w:rFonts w:hint="eastAsia" w:ascii="新宋体" w:hAnsi="新宋体" w:eastAsia="新宋体" w:cs="宋体"/>
                <w:bCs/>
                <w:color w:val="auto"/>
                <w:kern w:val="0"/>
                <w:sz w:val="20"/>
                <w:szCs w:val="20"/>
                <w:highlight w:val="none"/>
              </w:rPr>
              <w:t>：</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36cm</w:t>
            </w:r>
          </w:p>
        </w:tc>
      </w:tr>
      <w:tr w14:paraId="7C7C39A6">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0A2A4B96">
            <w:pPr>
              <w:widowControl/>
              <w:spacing w:after="0" w:line="360" w:lineRule="auto"/>
              <w:jc w:val="right"/>
              <w:rPr>
                <w:rFonts w:ascii="新宋体" w:hAnsi="新宋体" w:eastAsia="新宋体" w:cstheme="minorBidi"/>
                <w:bCs/>
                <w:color w:val="auto"/>
                <w:kern w:val="0"/>
                <w:sz w:val="20"/>
                <w:szCs w:val="20"/>
                <w:highlight w:val="none"/>
              </w:rPr>
            </w:pPr>
            <w:r>
              <w:rPr>
                <w:rFonts w:ascii="新宋体" w:hAnsi="新宋体" w:eastAsia="新宋体" w:cs="Arial"/>
                <w:bCs/>
                <w:color w:val="auto"/>
                <w:kern w:val="0"/>
                <w:sz w:val="20"/>
                <w:szCs w:val="20"/>
                <w:highlight w:val="none"/>
              </w:rPr>
              <w:t>2</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5</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67D2A365">
            <w:pPr>
              <w:widowControl/>
              <w:spacing w:after="0" w:line="360" w:lineRule="auto"/>
              <w:jc w:val="both"/>
              <w:rPr>
                <w:rFonts w:ascii="新宋体" w:hAnsi="新宋体" w:eastAsia="新宋体" w:cstheme="minorBidi"/>
                <w:bCs/>
                <w:color w:val="auto"/>
                <w:kern w:val="0"/>
                <w:sz w:val="20"/>
                <w:szCs w:val="20"/>
                <w:highlight w:val="none"/>
              </w:rPr>
            </w:pPr>
            <w:r>
              <w:rPr>
                <w:rFonts w:ascii="新宋体" w:hAnsi="新宋体" w:eastAsia="新宋体" w:cs="宋体"/>
                <w:bCs/>
                <w:color w:val="auto"/>
                <w:kern w:val="0"/>
                <w:sz w:val="20"/>
                <w:szCs w:val="20"/>
                <w:highlight w:val="none"/>
              </w:rPr>
              <w:t>床面升降范围</w:t>
            </w:r>
            <w:r>
              <w:rPr>
                <w:rFonts w:hint="eastAsia" w:ascii="新宋体" w:hAnsi="新宋体" w:eastAsia="新宋体" w:cs="宋体"/>
                <w:bCs/>
                <w:color w:val="auto"/>
                <w:kern w:val="0"/>
                <w:sz w:val="20"/>
                <w:szCs w:val="20"/>
                <w:highlight w:val="none"/>
              </w:rPr>
              <w:t>：</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2</w:t>
            </w:r>
            <w:r>
              <w:rPr>
                <w:rFonts w:hint="eastAsia" w:ascii="新宋体" w:hAnsi="新宋体" w:eastAsia="新宋体" w:cs="Arial"/>
                <w:bCs/>
                <w:color w:val="auto"/>
                <w:kern w:val="0"/>
                <w:sz w:val="20"/>
                <w:szCs w:val="20"/>
                <w:highlight w:val="none"/>
                <w:lang w:val="en-US" w:eastAsia="zh-CN"/>
              </w:rPr>
              <w:t>0</w:t>
            </w:r>
            <w:r>
              <w:rPr>
                <w:rFonts w:ascii="新宋体" w:hAnsi="新宋体" w:eastAsia="新宋体" w:cs="Arial"/>
                <w:bCs/>
                <w:color w:val="auto"/>
                <w:kern w:val="0"/>
                <w:sz w:val="20"/>
                <w:szCs w:val="20"/>
                <w:highlight w:val="none"/>
              </w:rPr>
              <w:t>cm</w:t>
            </w:r>
          </w:p>
        </w:tc>
      </w:tr>
      <w:tr w14:paraId="6EE39681">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13A2945A">
            <w:pPr>
              <w:widowControl/>
              <w:spacing w:after="0" w:line="360" w:lineRule="auto"/>
              <w:jc w:val="right"/>
              <w:rPr>
                <w:rFonts w:ascii="新宋体" w:hAnsi="新宋体" w:eastAsia="新宋体" w:cstheme="minorBidi"/>
                <w:bCs/>
                <w:color w:val="auto"/>
                <w:kern w:val="0"/>
                <w:sz w:val="20"/>
                <w:szCs w:val="20"/>
                <w:highlight w:val="none"/>
              </w:rPr>
            </w:pPr>
            <w:r>
              <w:rPr>
                <w:rFonts w:ascii="新宋体" w:hAnsi="新宋体" w:eastAsia="新宋体" w:cs="Arial"/>
                <w:bCs/>
                <w:color w:val="auto"/>
                <w:kern w:val="0"/>
                <w:sz w:val="20"/>
                <w:szCs w:val="20"/>
                <w:highlight w:val="none"/>
              </w:rPr>
              <w:t>2</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6</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4FA0C535">
            <w:pPr>
              <w:widowControl/>
              <w:spacing w:after="0" w:line="360" w:lineRule="auto"/>
              <w:jc w:val="both"/>
              <w:rPr>
                <w:rFonts w:ascii="新宋体" w:hAnsi="新宋体" w:eastAsia="新宋体" w:cstheme="minorBidi"/>
                <w:bCs/>
                <w:color w:val="auto"/>
                <w:kern w:val="0"/>
                <w:sz w:val="20"/>
                <w:szCs w:val="20"/>
                <w:highlight w:val="none"/>
              </w:rPr>
            </w:pPr>
            <w:r>
              <w:rPr>
                <w:rFonts w:ascii="新宋体" w:hAnsi="新宋体" w:eastAsia="新宋体" w:cs="宋体"/>
                <w:bCs/>
                <w:color w:val="auto"/>
                <w:kern w:val="0"/>
                <w:sz w:val="20"/>
                <w:szCs w:val="20"/>
                <w:highlight w:val="none"/>
              </w:rPr>
              <w:t>床面最低高度</w:t>
            </w:r>
            <w:r>
              <w:rPr>
                <w:rFonts w:hint="eastAsia" w:ascii="新宋体" w:hAnsi="新宋体" w:eastAsia="新宋体" w:cs="宋体"/>
                <w:bCs/>
                <w:color w:val="auto"/>
                <w:kern w:val="0"/>
                <w:sz w:val="20"/>
                <w:szCs w:val="20"/>
                <w:highlight w:val="none"/>
              </w:rPr>
              <w:t>：</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83cm</w:t>
            </w:r>
          </w:p>
        </w:tc>
      </w:tr>
      <w:tr w14:paraId="62237102">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5E52CA30">
            <w:pPr>
              <w:widowControl/>
              <w:spacing w:after="0" w:line="360" w:lineRule="auto"/>
              <w:ind w:firstLine="400" w:firstLineChars="200"/>
              <w:jc w:val="right"/>
              <w:rPr>
                <w:rFonts w:ascii="新宋体" w:hAnsi="新宋体" w:eastAsia="新宋体" w:cs="Arial"/>
                <w:bCs/>
                <w:color w:val="auto"/>
                <w:kern w:val="0"/>
                <w:sz w:val="20"/>
                <w:szCs w:val="20"/>
                <w:highlight w:val="none"/>
              </w:rPr>
            </w:pPr>
            <w:r>
              <w:rPr>
                <w:rFonts w:ascii="新宋体" w:hAnsi="新宋体" w:eastAsia="新宋体" w:cs="Arial"/>
                <w:bCs/>
                <w:color w:val="auto"/>
                <w:kern w:val="0"/>
                <w:sz w:val="20"/>
                <w:szCs w:val="20"/>
                <w:highlight w:val="none"/>
              </w:rPr>
              <w:t>2</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7</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4FF0BF36">
            <w:pPr>
              <w:widowControl/>
              <w:spacing w:after="0" w:line="360" w:lineRule="auto"/>
              <w:jc w:val="both"/>
              <w:rPr>
                <w:rFonts w:ascii="新宋体" w:hAnsi="新宋体" w:eastAsia="新宋体" w:cs="宋体"/>
                <w:bCs/>
                <w:color w:val="auto"/>
                <w:kern w:val="0"/>
                <w:sz w:val="20"/>
                <w:szCs w:val="20"/>
                <w:highlight w:val="none"/>
              </w:rPr>
            </w:pPr>
            <w:r>
              <w:rPr>
                <w:rFonts w:hint="eastAsia" w:ascii="新宋体" w:hAnsi="新宋体" w:eastAsia="新宋体" w:cs="宋体"/>
                <w:bCs/>
                <w:color w:val="auto"/>
                <w:kern w:val="0"/>
                <w:sz w:val="20"/>
                <w:szCs w:val="20"/>
                <w:highlight w:val="none"/>
              </w:rPr>
              <w:t>床</w:t>
            </w:r>
            <w:r>
              <w:rPr>
                <w:rFonts w:ascii="新宋体" w:hAnsi="新宋体" w:eastAsia="新宋体" w:cs="宋体"/>
                <w:bCs/>
                <w:color w:val="auto"/>
                <w:kern w:val="0"/>
                <w:sz w:val="20"/>
                <w:szCs w:val="20"/>
                <w:highlight w:val="none"/>
              </w:rPr>
              <w:t>最大承重</w:t>
            </w:r>
            <w:r>
              <w:rPr>
                <w:rFonts w:hint="eastAsia" w:ascii="新宋体" w:hAnsi="新宋体" w:eastAsia="新宋体" w:cs="宋体"/>
                <w:bCs/>
                <w:color w:val="auto"/>
                <w:kern w:val="0"/>
                <w:sz w:val="20"/>
                <w:szCs w:val="20"/>
                <w:highlight w:val="none"/>
              </w:rPr>
              <w:t>：</w:t>
            </w:r>
            <w:r>
              <w:rPr>
                <w:rFonts w:ascii="新宋体" w:hAnsi="新宋体" w:eastAsia="新宋体" w:cs="宋体"/>
                <w:bCs/>
                <w:color w:val="auto"/>
                <w:kern w:val="0"/>
                <w:sz w:val="20"/>
                <w:szCs w:val="20"/>
                <w:highlight w:val="none"/>
              </w:rPr>
              <w:t>≥</w:t>
            </w:r>
            <w:r>
              <w:rPr>
                <w:rFonts w:hint="eastAsia" w:ascii="新宋体" w:hAnsi="新宋体" w:eastAsia="新宋体" w:cs="宋体"/>
                <w:bCs/>
                <w:color w:val="auto"/>
                <w:kern w:val="0"/>
                <w:sz w:val="20"/>
                <w:szCs w:val="20"/>
                <w:highlight w:val="none"/>
              </w:rPr>
              <w:t>275</w:t>
            </w:r>
            <w:r>
              <w:rPr>
                <w:rFonts w:ascii="新宋体" w:hAnsi="新宋体" w:eastAsia="新宋体" w:cs="宋体"/>
                <w:bCs/>
                <w:color w:val="auto"/>
                <w:kern w:val="0"/>
                <w:sz w:val="20"/>
                <w:szCs w:val="20"/>
                <w:highlight w:val="none"/>
              </w:rPr>
              <w:t>KG</w:t>
            </w:r>
          </w:p>
        </w:tc>
      </w:tr>
      <w:tr w14:paraId="066E33F9">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2AD0152F">
            <w:pPr>
              <w:widowControl/>
              <w:spacing w:after="0" w:line="360" w:lineRule="auto"/>
              <w:jc w:val="right"/>
              <w:rPr>
                <w:rFonts w:ascii="新宋体" w:hAnsi="新宋体" w:eastAsia="新宋体" w:cstheme="minorBidi"/>
                <w:bCs/>
                <w:color w:val="auto"/>
                <w:kern w:val="0"/>
                <w:sz w:val="20"/>
                <w:szCs w:val="20"/>
                <w:highlight w:val="none"/>
              </w:rPr>
            </w:pPr>
            <w:r>
              <w:rPr>
                <w:rFonts w:ascii="新宋体" w:hAnsi="新宋体" w:eastAsia="新宋体" w:cs="Arial"/>
                <w:bCs/>
                <w:color w:val="auto"/>
                <w:kern w:val="0"/>
                <w:sz w:val="20"/>
                <w:szCs w:val="20"/>
                <w:highlight w:val="none"/>
              </w:rPr>
              <w:t>2</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8</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13E55924">
            <w:pPr>
              <w:widowControl/>
              <w:spacing w:after="0" w:line="360" w:lineRule="auto"/>
              <w:jc w:val="both"/>
              <w:rPr>
                <w:rFonts w:ascii="新宋体" w:hAnsi="新宋体" w:eastAsia="新宋体" w:cstheme="minorBidi"/>
                <w:bCs/>
                <w:color w:val="auto"/>
                <w:kern w:val="0"/>
                <w:sz w:val="20"/>
                <w:szCs w:val="20"/>
                <w:highlight w:val="none"/>
              </w:rPr>
            </w:pPr>
            <w:r>
              <w:rPr>
                <w:rFonts w:ascii="新宋体" w:hAnsi="新宋体" w:eastAsia="新宋体" w:cs="宋体"/>
                <w:bCs/>
                <w:color w:val="auto"/>
                <w:kern w:val="0"/>
                <w:sz w:val="20"/>
                <w:szCs w:val="20"/>
                <w:highlight w:val="none"/>
              </w:rPr>
              <w:t>任意位置承重</w:t>
            </w:r>
            <w:r>
              <w:rPr>
                <w:rFonts w:hint="eastAsia" w:ascii="新宋体" w:hAnsi="新宋体" w:eastAsia="新宋体" w:cs="宋体"/>
                <w:bCs/>
                <w:color w:val="auto"/>
                <w:kern w:val="0"/>
                <w:sz w:val="20"/>
                <w:szCs w:val="20"/>
                <w:highlight w:val="none"/>
              </w:rPr>
              <w:t>：</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2</w:t>
            </w:r>
            <w:r>
              <w:rPr>
                <w:rFonts w:hint="eastAsia" w:ascii="新宋体" w:hAnsi="新宋体" w:eastAsia="新宋体" w:cs="Arial"/>
                <w:bCs/>
                <w:color w:val="auto"/>
                <w:kern w:val="0"/>
                <w:sz w:val="20"/>
                <w:szCs w:val="20"/>
                <w:highlight w:val="none"/>
              </w:rPr>
              <w:t>50</w:t>
            </w:r>
            <w:r>
              <w:rPr>
                <w:rFonts w:ascii="新宋体" w:hAnsi="新宋体" w:eastAsia="新宋体" w:cs="Arial"/>
                <w:bCs/>
                <w:color w:val="auto"/>
                <w:kern w:val="0"/>
                <w:sz w:val="20"/>
                <w:szCs w:val="20"/>
                <w:highlight w:val="none"/>
              </w:rPr>
              <w:t>KG + 500N</w:t>
            </w:r>
            <w:r>
              <w:rPr>
                <w:rFonts w:ascii="新宋体" w:hAnsi="新宋体" w:eastAsia="新宋体" w:cs="宋体"/>
                <w:bCs/>
                <w:color w:val="auto"/>
                <w:kern w:val="0"/>
                <w:sz w:val="20"/>
                <w:szCs w:val="20"/>
                <w:highlight w:val="none"/>
              </w:rPr>
              <w:t>额外</w:t>
            </w:r>
            <w:r>
              <w:rPr>
                <w:rFonts w:ascii="新宋体" w:hAnsi="新宋体" w:eastAsia="新宋体" w:cs="Arial"/>
                <w:bCs/>
                <w:color w:val="auto"/>
                <w:kern w:val="0"/>
                <w:sz w:val="20"/>
                <w:szCs w:val="20"/>
                <w:highlight w:val="none"/>
              </w:rPr>
              <w:t>CPR</w:t>
            </w:r>
            <w:r>
              <w:rPr>
                <w:rFonts w:ascii="新宋体" w:hAnsi="新宋体" w:eastAsia="新宋体" w:cs="宋体"/>
                <w:bCs/>
                <w:color w:val="auto"/>
                <w:kern w:val="0"/>
                <w:sz w:val="20"/>
                <w:szCs w:val="20"/>
                <w:highlight w:val="none"/>
              </w:rPr>
              <w:t>承重</w:t>
            </w:r>
          </w:p>
        </w:tc>
      </w:tr>
      <w:tr w14:paraId="14F9D669">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3987189E">
            <w:pPr>
              <w:widowControl/>
              <w:spacing w:after="0" w:line="360" w:lineRule="auto"/>
              <w:jc w:val="right"/>
              <w:rPr>
                <w:rFonts w:ascii="新宋体" w:hAnsi="新宋体" w:eastAsia="新宋体" w:cstheme="minorBidi"/>
                <w:bCs/>
                <w:color w:val="auto"/>
                <w:kern w:val="0"/>
                <w:sz w:val="20"/>
                <w:szCs w:val="20"/>
                <w:highlight w:val="none"/>
              </w:rPr>
            </w:pPr>
            <w:r>
              <w:rPr>
                <w:rFonts w:ascii="新宋体" w:hAnsi="新宋体" w:eastAsia="新宋体" w:cs="Arial"/>
                <w:bCs/>
                <w:color w:val="auto"/>
                <w:kern w:val="0"/>
                <w:sz w:val="20"/>
                <w:szCs w:val="20"/>
                <w:highlight w:val="none"/>
              </w:rPr>
              <w:t>2</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9</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top"/>
          </w:tcPr>
          <w:p w14:paraId="57ADAF34">
            <w:pPr>
              <w:widowControl/>
              <w:spacing w:after="0" w:line="360" w:lineRule="auto"/>
              <w:jc w:val="both"/>
              <w:rPr>
                <w:rFonts w:ascii="新宋体" w:hAnsi="新宋体" w:eastAsia="新宋体" w:cstheme="minorBidi"/>
                <w:bCs/>
                <w:color w:val="auto"/>
                <w:kern w:val="0"/>
                <w:sz w:val="20"/>
                <w:szCs w:val="20"/>
                <w:highlight w:val="none"/>
                <w:lang w:val="en-US" w:eastAsia="zh-CN" w:bidi="ar-SA"/>
              </w:rPr>
            </w:pPr>
            <w:r>
              <w:rPr>
                <w:rFonts w:ascii="新宋体" w:hAnsi="新宋体" w:eastAsia="新宋体" w:cs="宋体"/>
                <w:bCs/>
                <w:color w:val="auto"/>
                <w:kern w:val="0"/>
                <w:sz w:val="20"/>
                <w:szCs w:val="20"/>
                <w:highlight w:val="none"/>
              </w:rPr>
              <w:t>床长度</w:t>
            </w:r>
            <w:r>
              <w:rPr>
                <w:rFonts w:hint="eastAsia" w:ascii="新宋体" w:hAnsi="新宋体" w:eastAsia="新宋体" w:cs="宋体"/>
                <w:bCs/>
                <w:color w:val="auto"/>
                <w:kern w:val="0"/>
                <w:sz w:val="20"/>
                <w:szCs w:val="20"/>
                <w:highlight w:val="none"/>
              </w:rPr>
              <w:t>：</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3</w:t>
            </w:r>
            <w:r>
              <w:rPr>
                <w:rFonts w:hint="eastAsia" w:ascii="新宋体" w:hAnsi="新宋体" w:eastAsia="新宋体" w:cs="Arial"/>
                <w:bCs/>
                <w:color w:val="auto"/>
                <w:kern w:val="0"/>
                <w:sz w:val="20"/>
                <w:szCs w:val="20"/>
                <w:highlight w:val="none"/>
                <w:lang w:val="en-US" w:eastAsia="zh-CN"/>
              </w:rPr>
              <w:t>0</w:t>
            </w:r>
            <w:r>
              <w:rPr>
                <w:rFonts w:hint="eastAsia" w:ascii="新宋体" w:hAnsi="新宋体" w:eastAsia="新宋体" w:cs="Arial"/>
                <w:bCs/>
                <w:color w:val="auto"/>
                <w:kern w:val="0"/>
                <w:sz w:val="20"/>
                <w:szCs w:val="20"/>
                <w:highlight w:val="none"/>
              </w:rPr>
              <w:t>0</w:t>
            </w:r>
            <w:r>
              <w:rPr>
                <w:rFonts w:ascii="新宋体" w:hAnsi="新宋体" w:eastAsia="新宋体" w:cs="Arial"/>
                <w:bCs/>
                <w:color w:val="auto"/>
                <w:kern w:val="0"/>
                <w:sz w:val="20"/>
                <w:szCs w:val="20"/>
                <w:highlight w:val="none"/>
              </w:rPr>
              <w:t>cm</w:t>
            </w:r>
          </w:p>
        </w:tc>
      </w:tr>
      <w:tr w14:paraId="3237B15C">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341E47B1">
            <w:pPr>
              <w:widowControl/>
              <w:spacing w:after="0" w:line="360" w:lineRule="auto"/>
              <w:jc w:val="right"/>
              <w:rPr>
                <w:rFonts w:ascii="新宋体" w:hAnsi="新宋体" w:eastAsia="新宋体" w:cstheme="minorBidi"/>
                <w:bCs/>
                <w:color w:val="auto"/>
                <w:kern w:val="0"/>
                <w:sz w:val="20"/>
                <w:szCs w:val="20"/>
                <w:highlight w:val="none"/>
              </w:rPr>
            </w:pPr>
            <w:r>
              <w:rPr>
                <w:rFonts w:ascii="新宋体" w:hAnsi="新宋体" w:eastAsia="新宋体" w:cs="Arial"/>
                <w:bCs/>
                <w:color w:val="auto"/>
                <w:kern w:val="0"/>
                <w:sz w:val="20"/>
                <w:szCs w:val="20"/>
                <w:highlight w:val="none"/>
              </w:rPr>
              <w:t>2</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10</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top"/>
          </w:tcPr>
          <w:p w14:paraId="723E9847">
            <w:pPr>
              <w:widowControl/>
              <w:spacing w:after="0" w:line="360" w:lineRule="auto"/>
              <w:jc w:val="both"/>
              <w:rPr>
                <w:rFonts w:ascii="新宋体" w:hAnsi="新宋体" w:eastAsia="新宋体" w:cstheme="minorBidi"/>
                <w:bCs/>
                <w:color w:val="auto"/>
                <w:kern w:val="0"/>
                <w:sz w:val="20"/>
                <w:szCs w:val="20"/>
                <w:highlight w:val="none"/>
                <w:lang w:val="en-US" w:eastAsia="zh-CN" w:bidi="ar-SA"/>
              </w:rPr>
            </w:pPr>
            <w:r>
              <w:rPr>
                <w:rFonts w:ascii="新宋体" w:hAnsi="新宋体" w:eastAsia="新宋体" w:cs="宋体"/>
                <w:bCs/>
                <w:color w:val="auto"/>
                <w:kern w:val="0"/>
                <w:sz w:val="20"/>
                <w:szCs w:val="20"/>
                <w:highlight w:val="none"/>
              </w:rPr>
              <w:t>床宽度</w:t>
            </w:r>
            <w:r>
              <w:rPr>
                <w:rFonts w:hint="eastAsia" w:ascii="新宋体" w:hAnsi="新宋体" w:eastAsia="新宋体" w:cs="宋体"/>
                <w:bCs/>
                <w:color w:val="auto"/>
                <w:kern w:val="0"/>
                <w:sz w:val="20"/>
                <w:szCs w:val="20"/>
                <w:highlight w:val="none"/>
              </w:rPr>
              <w:t>：</w:t>
            </w:r>
            <w:r>
              <w:rPr>
                <w:rFonts w:ascii="新宋体" w:hAnsi="新宋体" w:eastAsia="新宋体" w:cs="宋体"/>
                <w:bCs/>
                <w:color w:val="auto"/>
                <w:kern w:val="0"/>
                <w:sz w:val="20"/>
                <w:szCs w:val="20"/>
                <w:highlight w:val="none"/>
              </w:rPr>
              <w:t>≥</w:t>
            </w:r>
            <w:r>
              <w:rPr>
                <w:rFonts w:hint="eastAsia" w:ascii="新宋体" w:hAnsi="新宋体" w:eastAsia="新宋体" w:cs="宋体"/>
                <w:bCs/>
                <w:color w:val="auto"/>
                <w:kern w:val="0"/>
                <w:sz w:val="20"/>
                <w:szCs w:val="20"/>
                <w:highlight w:val="none"/>
                <w:lang w:val="en-US" w:eastAsia="zh-CN"/>
              </w:rPr>
              <w:t>46</w:t>
            </w:r>
            <w:r>
              <w:rPr>
                <w:rFonts w:ascii="新宋体" w:hAnsi="新宋体" w:eastAsia="新宋体" w:cs="Arial"/>
                <w:bCs/>
                <w:color w:val="auto"/>
                <w:kern w:val="0"/>
                <w:sz w:val="20"/>
                <w:szCs w:val="20"/>
                <w:highlight w:val="none"/>
              </w:rPr>
              <w:t>cm</w:t>
            </w:r>
          </w:p>
        </w:tc>
      </w:tr>
      <w:tr w14:paraId="7FD6CECE">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0CDB72C4">
            <w:pPr>
              <w:widowControl/>
              <w:spacing w:after="0" w:line="360" w:lineRule="auto"/>
              <w:ind w:firstLine="480"/>
              <w:jc w:val="right"/>
              <w:rPr>
                <w:rFonts w:ascii="新宋体" w:hAnsi="新宋体" w:eastAsia="新宋体" w:cstheme="minorBidi"/>
                <w:bCs/>
                <w:color w:val="auto"/>
                <w:kern w:val="0"/>
                <w:sz w:val="20"/>
                <w:szCs w:val="20"/>
                <w:highlight w:val="none"/>
              </w:rPr>
            </w:pPr>
            <w:r>
              <w:rPr>
                <w:rFonts w:ascii="新宋体" w:hAnsi="新宋体" w:eastAsia="新宋体" w:cs="Arial"/>
                <w:bCs/>
                <w:color w:val="auto"/>
                <w:kern w:val="0"/>
                <w:sz w:val="20"/>
                <w:szCs w:val="20"/>
                <w:highlight w:val="none"/>
              </w:rPr>
              <w:t>2</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11</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top"/>
          </w:tcPr>
          <w:p w14:paraId="170462B7">
            <w:pPr>
              <w:widowControl/>
              <w:spacing w:after="0" w:line="360" w:lineRule="auto"/>
              <w:jc w:val="both"/>
              <w:rPr>
                <w:rFonts w:ascii="新宋体" w:hAnsi="新宋体" w:eastAsia="新宋体" w:cstheme="minorBidi"/>
                <w:bCs/>
                <w:color w:val="auto"/>
                <w:kern w:val="0"/>
                <w:sz w:val="20"/>
                <w:szCs w:val="20"/>
                <w:highlight w:val="none"/>
                <w:lang w:val="en-US" w:eastAsia="zh-CN" w:bidi="ar-SA"/>
              </w:rPr>
            </w:pPr>
            <w:r>
              <w:rPr>
                <w:rFonts w:ascii="新宋体" w:hAnsi="新宋体" w:eastAsia="新宋体" w:cs="宋体"/>
                <w:bCs/>
                <w:color w:val="auto"/>
                <w:kern w:val="0"/>
                <w:sz w:val="20"/>
                <w:szCs w:val="20"/>
                <w:highlight w:val="none"/>
              </w:rPr>
              <w:t>床面旋转角度</w:t>
            </w:r>
            <w:r>
              <w:rPr>
                <w:rFonts w:hint="eastAsia" w:ascii="新宋体" w:hAnsi="新宋体" w:eastAsia="新宋体" w:cs="宋体"/>
                <w:bCs/>
                <w:color w:val="auto"/>
                <w:kern w:val="0"/>
                <w:sz w:val="20"/>
                <w:szCs w:val="20"/>
                <w:highlight w:val="none"/>
              </w:rPr>
              <w:t>：</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270</w:t>
            </w:r>
            <w:r>
              <w:rPr>
                <w:rFonts w:ascii="新宋体" w:hAnsi="新宋体" w:eastAsia="新宋体" w:cs="宋体"/>
                <w:bCs/>
                <w:color w:val="auto"/>
                <w:kern w:val="0"/>
                <w:sz w:val="20"/>
                <w:szCs w:val="20"/>
                <w:highlight w:val="none"/>
              </w:rPr>
              <w:t>度</w:t>
            </w:r>
          </w:p>
        </w:tc>
      </w:tr>
      <w:tr w14:paraId="33539AD7">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725BE78A">
            <w:pPr>
              <w:widowControl/>
              <w:spacing w:after="0" w:line="360" w:lineRule="auto"/>
              <w:jc w:val="right"/>
              <w:rPr>
                <w:rFonts w:ascii="新宋体" w:hAnsi="新宋体" w:eastAsia="新宋体" w:cstheme="minorBidi"/>
                <w:bCs/>
                <w:color w:val="auto"/>
                <w:kern w:val="0"/>
                <w:sz w:val="20"/>
                <w:szCs w:val="20"/>
                <w:highlight w:val="none"/>
              </w:rPr>
            </w:pPr>
            <w:r>
              <w:rPr>
                <w:rFonts w:ascii="新宋体" w:hAnsi="新宋体" w:eastAsia="新宋体" w:cs="Arial"/>
                <w:bCs/>
                <w:color w:val="auto"/>
                <w:kern w:val="0"/>
                <w:sz w:val="20"/>
                <w:szCs w:val="20"/>
                <w:highlight w:val="none"/>
              </w:rPr>
              <w:t>2</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12</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top"/>
          </w:tcPr>
          <w:p w14:paraId="7D4949A3">
            <w:pPr>
              <w:widowControl/>
              <w:spacing w:after="0" w:line="360" w:lineRule="auto"/>
              <w:jc w:val="both"/>
              <w:rPr>
                <w:rFonts w:ascii="新宋体" w:hAnsi="新宋体" w:eastAsia="新宋体" w:cs="宋体"/>
                <w:bCs/>
                <w:color w:val="auto"/>
                <w:kern w:val="0"/>
                <w:sz w:val="20"/>
                <w:szCs w:val="20"/>
                <w:highlight w:val="none"/>
                <w:lang w:val="en-US" w:eastAsia="zh-CN" w:bidi="ar-SA"/>
              </w:rPr>
            </w:pPr>
            <w:r>
              <w:rPr>
                <w:rFonts w:ascii="新宋体" w:hAnsi="新宋体" w:eastAsia="新宋体" w:cs="宋体"/>
                <w:bCs/>
                <w:color w:val="auto"/>
                <w:kern w:val="0"/>
                <w:sz w:val="20"/>
                <w:szCs w:val="20"/>
                <w:highlight w:val="none"/>
              </w:rPr>
              <w:t>导管床床垫、轨道夹及输液架</w:t>
            </w:r>
            <w:r>
              <w:rPr>
                <w:rFonts w:hint="eastAsia" w:ascii="新宋体" w:hAnsi="新宋体" w:eastAsia="新宋体" w:cs="宋体"/>
                <w:bCs/>
                <w:color w:val="auto"/>
                <w:kern w:val="0"/>
                <w:sz w:val="20"/>
                <w:szCs w:val="20"/>
                <w:highlight w:val="none"/>
              </w:rPr>
              <w:t>，</w:t>
            </w:r>
            <w:r>
              <w:rPr>
                <w:rFonts w:ascii="新宋体" w:hAnsi="新宋体" w:eastAsia="新宋体" w:cs="宋体"/>
                <w:bCs/>
                <w:color w:val="auto"/>
                <w:kern w:val="0"/>
                <w:sz w:val="20"/>
                <w:szCs w:val="20"/>
                <w:highlight w:val="none"/>
              </w:rPr>
              <w:t>病人绑带</w:t>
            </w:r>
            <w:r>
              <w:rPr>
                <w:rFonts w:hint="eastAsia" w:ascii="新宋体" w:hAnsi="新宋体" w:eastAsia="新宋体" w:cs="宋体"/>
                <w:bCs/>
                <w:color w:val="auto"/>
                <w:kern w:val="0"/>
                <w:sz w:val="20"/>
                <w:szCs w:val="20"/>
                <w:highlight w:val="none"/>
              </w:rPr>
              <w:t>以及</w:t>
            </w:r>
            <w:r>
              <w:rPr>
                <w:rFonts w:ascii="新宋体" w:hAnsi="新宋体" w:eastAsia="新宋体" w:cs="宋体"/>
                <w:bCs/>
                <w:color w:val="auto"/>
                <w:kern w:val="0"/>
                <w:sz w:val="20"/>
                <w:szCs w:val="20"/>
                <w:highlight w:val="none"/>
              </w:rPr>
              <w:t>线缆拖</w:t>
            </w:r>
          </w:p>
        </w:tc>
      </w:tr>
      <w:tr w14:paraId="5CDA67E8">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3F3D2892">
            <w:pPr>
              <w:widowControl/>
              <w:spacing w:after="0" w:line="360" w:lineRule="auto"/>
              <w:jc w:val="left"/>
              <w:rPr>
                <w:rFonts w:ascii="新宋体" w:hAnsi="新宋体" w:eastAsia="新宋体" w:cs="Arial"/>
                <w:bCs/>
                <w:color w:val="auto"/>
                <w:kern w:val="0"/>
                <w:sz w:val="20"/>
                <w:szCs w:val="20"/>
                <w:highlight w:val="none"/>
              </w:rPr>
            </w:pPr>
            <w:r>
              <w:rPr>
                <w:rFonts w:hint="eastAsia" w:ascii="新宋体" w:hAnsi="新宋体" w:eastAsia="新宋体" w:cs="Arial"/>
                <w:bCs/>
                <w:color w:val="auto"/>
                <w:kern w:val="0"/>
                <w:sz w:val="20"/>
                <w:szCs w:val="20"/>
                <w:highlight w:val="none"/>
              </w:rPr>
              <w:t>3、</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2527C7C7">
            <w:pPr>
              <w:widowControl/>
              <w:spacing w:after="0" w:line="360" w:lineRule="auto"/>
              <w:jc w:val="both"/>
              <w:rPr>
                <w:rFonts w:ascii="新宋体" w:hAnsi="新宋体" w:eastAsia="新宋体" w:cs="宋体"/>
                <w:bCs/>
                <w:color w:val="auto"/>
                <w:kern w:val="0"/>
                <w:sz w:val="20"/>
                <w:szCs w:val="20"/>
                <w:highlight w:val="none"/>
              </w:rPr>
            </w:pPr>
            <w:r>
              <w:rPr>
                <w:rFonts w:hint="eastAsia" w:ascii="新宋体" w:hAnsi="新宋体" w:eastAsia="新宋体" w:cs="Arial"/>
                <w:bCs/>
                <w:color w:val="auto"/>
                <w:kern w:val="0"/>
                <w:sz w:val="20"/>
                <w:szCs w:val="20"/>
                <w:highlight w:val="none"/>
              </w:rPr>
              <w:t>检查</w:t>
            </w:r>
            <w:r>
              <w:rPr>
                <w:rFonts w:ascii="新宋体" w:hAnsi="新宋体" w:eastAsia="新宋体" w:cs="Arial"/>
                <w:bCs/>
                <w:color w:val="auto"/>
                <w:kern w:val="0"/>
                <w:sz w:val="20"/>
                <w:szCs w:val="20"/>
                <w:highlight w:val="none"/>
              </w:rPr>
              <w:t>室内控制系统</w:t>
            </w:r>
          </w:p>
        </w:tc>
      </w:tr>
      <w:tr w14:paraId="0BC9264B">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18BB7BBF">
            <w:pPr>
              <w:widowControl/>
              <w:spacing w:after="0" w:line="360" w:lineRule="auto"/>
              <w:jc w:val="right"/>
              <w:rPr>
                <w:rFonts w:ascii="新宋体" w:hAnsi="新宋体" w:eastAsia="新宋体" w:cs="Arial"/>
                <w:bCs/>
                <w:color w:val="auto"/>
                <w:kern w:val="0"/>
                <w:sz w:val="20"/>
                <w:szCs w:val="20"/>
                <w:highlight w:val="none"/>
              </w:rPr>
            </w:pPr>
            <w:r>
              <w:rPr>
                <w:rFonts w:hint="eastAsia" w:ascii="新宋体" w:hAnsi="新宋体" w:eastAsia="新宋体" w:cs="Arial"/>
                <w:bCs/>
                <w:color w:val="auto"/>
                <w:kern w:val="0"/>
                <w:sz w:val="20"/>
                <w:szCs w:val="20"/>
                <w:highlight w:val="none"/>
              </w:rPr>
              <w:t>3．1</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73D8112E">
            <w:pPr>
              <w:widowControl/>
              <w:spacing w:after="0" w:line="360" w:lineRule="auto"/>
              <w:jc w:val="both"/>
              <w:rPr>
                <w:rFonts w:ascii="新宋体" w:hAnsi="新宋体" w:eastAsia="新宋体" w:cstheme="minorBidi"/>
                <w:bCs/>
                <w:color w:val="auto"/>
                <w:kern w:val="0"/>
                <w:sz w:val="20"/>
                <w:szCs w:val="20"/>
                <w:highlight w:val="none"/>
              </w:rPr>
            </w:pPr>
            <w:r>
              <w:rPr>
                <w:rFonts w:ascii="新宋体" w:hAnsi="新宋体" w:eastAsia="新宋体" w:cs="宋体"/>
                <w:bCs/>
                <w:color w:val="auto"/>
                <w:kern w:val="0"/>
                <w:sz w:val="20"/>
                <w:szCs w:val="20"/>
                <w:highlight w:val="none"/>
              </w:rPr>
              <w:t>提供床旁一套液晶触摸控制屏</w:t>
            </w:r>
          </w:p>
        </w:tc>
      </w:tr>
      <w:tr w14:paraId="16A083F2">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72A0C0AA">
            <w:pPr>
              <w:widowControl/>
              <w:spacing w:after="0" w:line="360" w:lineRule="auto"/>
              <w:jc w:val="right"/>
              <w:rPr>
                <w:rFonts w:ascii="新宋体" w:hAnsi="新宋体" w:eastAsia="新宋体" w:cs="Arial"/>
                <w:bCs/>
                <w:color w:val="auto"/>
                <w:kern w:val="0"/>
                <w:sz w:val="20"/>
                <w:szCs w:val="20"/>
                <w:highlight w:val="none"/>
              </w:rPr>
            </w:pPr>
            <w:r>
              <w:rPr>
                <w:rFonts w:hint="eastAsia" w:ascii="新宋体" w:hAnsi="新宋体" w:eastAsia="新宋体" w:cs="Arial"/>
                <w:bCs/>
                <w:color w:val="auto"/>
                <w:kern w:val="0"/>
                <w:sz w:val="20"/>
                <w:szCs w:val="20"/>
                <w:highlight w:val="none"/>
              </w:rPr>
              <w:t>3．2</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02F15EF2">
            <w:pPr>
              <w:widowControl/>
              <w:spacing w:after="0" w:line="360" w:lineRule="auto"/>
              <w:jc w:val="both"/>
              <w:rPr>
                <w:rFonts w:ascii="新宋体" w:hAnsi="新宋体" w:eastAsia="新宋体" w:cstheme="minorBidi"/>
                <w:bCs/>
                <w:color w:val="auto"/>
                <w:kern w:val="0"/>
                <w:sz w:val="20"/>
                <w:szCs w:val="20"/>
                <w:highlight w:val="none"/>
              </w:rPr>
            </w:pPr>
            <w:r>
              <w:rPr>
                <w:rFonts w:ascii="新宋体" w:hAnsi="新宋体" w:eastAsia="新宋体" w:cs="宋体"/>
                <w:bCs/>
                <w:color w:val="auto"/>
                <w:kern w:val="0"/>
                <w:sz w:val="20"/>
                <w:szCs w:val="20"/>
                <w:highlight w:val="none"/>
              </w:rPr>
              <w:t>控制屏可置于导管床</w:t>
            </w:r>
            <w:r>
              <w:rPr>
                <w:rFonts w:ascii="新宋体" w:hAnsi="新宋体" w:eastAsia="新宋体" w:cs="Arial"/>
                <w:bCs/>
                <w:color w:val="auto"/>
                <w:kern w:val="0"/>
                <w:sz w:val="20"/>
                <w:szCs w:val="20"/>
                <w:highlight w:val="none"/>
              </w:rPr>
              <w:t>3</w:t>
            </w:r>
            <w:r>
              <w:rPr>
                <w:rFonts w:ascii="新宋体" w:hAnsi="新宋体" w:eastAsia="新宋体" w:cs="宋体"/>
                <w:bCs/>
                <w:color w:val="auto"/>
                <w:kern w:val="0"/>
                <w:sz w:val="20"/>
                <w:szCs w:val="20"/>
                <w:highlight w:val="none"/>
              </w:rPr>
              <w:t>边，或者控制室内，便于医生操作</w:t>
            </w:r>
          </w:p>
        </w:tc>
      </w:tr>
      <w:tr w14:paraId="650BF335">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78BC77BB">
            <w:pPr>
              <w:widowControl/>
              <w:spacing w:after="0" w:line="360" w:lineRule="auto"/>
              <w:jc w:val="right"/>
              <w:rPr>
                <w:rFonts w:ascii="新宋体" w:hAnsi="新宋体" w:eastAsia="新宋体" w:cs="Arial"/>
                <w:bCs/>
                <w:color w:val="auto"/>
                <w:kern w:val="0"/>
                <w:sz w:val="20"/>
                <w:szCs w:val="20"/>
                <w:highlight w:val="none"/>
              </w:rPr>
            </w:pPr>
            <w:r>
              <w:rPr>
                <w:rFonts w:hint="eastAsia" w:ascii="新宋体" w:hAnsi="新宋体" w:eastAsia="新宋体" w:cs="Arial"/>
                <w:bCs/>
                <w:color w:val="auto"/>
                <w:kern w:val="0"/>
                <w:sz w:val="20"/>
                <w:szCs w:val="20"/>
                <w:highlight w:val="none"/>
              </w:rPr>
              <w:t>3．3</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1FA87E2B">
            <w:pPr>
              <w:widowControl/>
              <w:spacing w:after="0" w:line="360" w:lineRule="auto"/>
              <w:jc w:val="both"/>
              <w:rPr>
                <w:rFonts w:ascii="新宋体" w:hAnsi="新宋体" w:eastAsia="新宋体" w:cs="宋体"/>
                <w:bCs/>
                <w:color w:val="auto"/>
                <w:kern w:val="0"/>
                <w:sz w:val="20"/>
                <w:szCs w:val="20"/>
                <w:highlight w:val="none"/>
              </w:rPr>
            </w:pPr>
            <w:r>
              <w:rPr>
                <w:rFonts w:ascii="新宋体" w:hAnsi="新宋体" w:eastAsia="新宋体" w:cs="宋体"/>
                <w:bCs/>
                <w:color w:val="auto"/>
                <w:kern w:val="0"/>
                <w:sz w:val="20"/>
                <w:szCs w:val="20"/>
                <w:highlight w:val="none"/>
              </w:rPr>
              <w:t>可进行图像采集条件控制</w:t>
            </w:r>
          </w:p>
        </w:tc>
      </w:tr>
      <w:tr w14:paraId="15C41B61">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45B73761">
            <w:pPr>
              <w:widowControl/>
              <w:spacing w:after="0" w:line="360" w:lineRule="auto"/>
              <w:jc w:val="right"/>
              <w:rPr>
                <w:rFonts w:ascii="新宋体" w:hAnsi="新宋体" w:eastAsia="新宋体" w:cs="Arial"/>
                <w:bCs/>
                <w:color w:val="auto"/>
                <w:kern w:val="0"/>
                <w:sz w:val="20"/>
                <w:szCs w:val="20"/>
                <w:highlight w:val="none"/>
              </w:rPr>
            </w:pPr>
            <w:r>
              <w:rPr>
                <w:rFonts w:hint="eastAsia" w:ascii="新宋体" w:hAnsi="新宋体" w:eastAsia="新宋体" w:cs="Arial"/>
                <w:bCs/>
                <w:color w:val="auto"/>
                <w:kern w:val="0"/>
                <w:sz w:val="20"/>
                <w:szCs w:val="20"/>
                <w:highlight w:val="none"/>
              </w:rPr>
              <w:t>3．4</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24429FB3">
            <w:pPr>
              <w:widowControl/>
              <w:spacing w:after="0" w:line="360" w:lineRule="auto"/>
              <w:jc w:val="both"/>
              <w:rPr>
                <w:rFonts w:ascii="新宋体" w:hAnsi="新宋体" w:eastAsia="新宋体" w:cs="宋体"/>
                <w:bCs/>
                <w:color w:val="auto"/>
                <w:kern w:val="0"/>
                <w:sz w:val="20"/>
                <w:szCs w:val="20"/>
                <w:highlight w:val="none"/>
              </w:rPr>
            </w:pPr>
            <w:r>
              <w:rPr>
                <w:rFonts w:ascii="新宋体" w:hAnsi="新宋体" w:eastAsia="新宋体" w:cs="宋体"/>
                <w:bCs/>
                <w:color w:val="auto"/>
                <w:kern w:val="0"/>
                <w:sz w:val="20"/>
                <w:szCs w:val="20"/>
                <w:highlight w:val="none"/>
              </w:rPr>
              <w:t>可进行图像后处理及量化分析控制</w:t>
            </w:r>
          </w:p>
        </w:tc>
      </w:tr>
      <w:tr w14:paraId="2E957B7B">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389A8821">
            <w:pPr>
              <w:widowControl/>
              <w:spacing w:after="0" w:line="360" w:lineRule="auto"/>
              <w:jc w:val="left"/>
              <w:rPr>
                <w:rFonts w:ascii="新宋体" w:hAnsi="新宋体" w:eastAsia="新宋体" w:cs="Arial"/>
                <w:bCs/>
                <w:color w:val="auto"/>
                <w:kern w:val="0"/>
                <w:sz w:val="20"/>
                <w:szCs w:val="20"/>
                <w:highlight w:val="none"/>
              </w:rPr>
            </w:pPr>
            <w:r>
              <w:rPr>
                <w:rFonts w:hint="eastAsia" w:ascii="新宋体" w:hAnsi="新宋体" w:eastAsia="新宋体" w:cs="Arial"/>
                <w:bCs/>
                <w:color w:val="auto"/>
                <w:kern w:val="0"/>
                <w:sz w:val="20"/>
                <w:szCs w:val="20"/>
                <w:highlight w:val="none"/>
              </w:rPr>
              <w:t>4、</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1C1D5277">
            <w:pPr>
              <w:widowControl/>
              <w:spacing w:after="0" w:line="360" w:lineRule="auto"/>
              <w:jc w:val="both"/>
              <w:rPr>
                <w:rFonts w:ascii="新宋体" w:hAnsi="新宋体" w:eastAsia="新宋体" w:cs="宋体"/>
                <w:bCs/>
                <w:color w:val="auto"/>
                <w:kern w:val="0"/>
                <w:sz w:val="20"/>
                <w:szCs w:val="20"/>
                <w:highlight w:val="none"/>
              </w:rPr>
            </w:pPr>
            <w:r>
              <w:rPr>
                <w:rFonts w:hint="eastAsia" w:ascii="新宋体" w:hAnsi="新宋体" w:eastAsia="新宋体" w:cs="Arial"/>
                <w:bCs/>
                <w:color w:val="auto"/>
                <w:kern w:val="0"/>
                <w:sz w:val="20"/>
                <w:szCs w:val="20"/>
                <w:highlight w:val="none"/>
              </w:rPr>
              <w:t>控制室</w:t>
            </w:r>
            <w:r>
              <w:rPr>
                <w:rFonts w:hint="eastAsia" w:ascii="新宋体" w:hAnsi="新宋体" w:eastAsia="新宋体" w:cs="宋体"/>
                <w:bCs/>
                <w:color w:val="auto"/>
                <w:kern w:val="0"/>
                <w:sz w:val="20"/>
                <w:szCs w:val="20"/>
                <w:highlight w:val="none"/>
              </w:rPr>
              <w:t>并行</w:t>
            </w:r>
            <w:r>
              <w:rPr>
                <w:rFonts w:ascii="新宋体" w:hAnsi="新宋体" w:eastAsia="新宋体" w:cs="宋体"/>
                <w:bCs/>
                <w:color w:val="auto"/>
                <w:kern w:val="0"/>
                <w:sz w:val="20"/>
                <w:szCs w:val="20"/>
                <w:highlight w:val="none"/>
              </w:rPr>
              <w:t>处理</w:t>
            </w:r>
            <w:r>
              <w:rPr>
                <w:rFonts w:hint="eastAsia" w:ascii="新宋体" w:hAnsi="新宋体" w:eastAsia="新宋体" w:cs="宋体"/>
                <w:bCs/>
                <w:color w:val="auto"/>
                <w:kern w:val="0"/>
                <w:sz w:val="20"/>
                <w:szCs w:val="20"/>
                <w:highlight w:val="none"/>
              </w:rPr>
              <w:t>工作站</w:t>
            </w:r>
          </w:p>
        </w:tc>
      </w:tr>
      <w:tr w14:paraId="3E52D631">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4694EEA4">
            <w:pPr>
              <w:widowControl/>
              <w:spacing w:after="0" w:line="360" w:lineRule="auto"/>
              <w:jc w:val="right"/>
              <w:rPr>
                <w:rFonts w:ascii="新宋体" w:hAnsi="新宋体" w:eastAsia="新宋体" w:cs="Arial"/>
                <w:bCs/>
                <w:color w:val="auto"/>
                <w:kern w:val="0"/>
                <w:sz w:val="20"/>
                <w:szCs w:val="20"/>
                <w:highlight w:val="none"/>
              </w:rPr>
            </w:pPr>
            <w:r>
              <w:rPr>
                <w:rFonts w:ascii="新宋体" w:hAnsi="新宋体" w:eastAsia="新宋体" w:cs="Arial"/>
                <w:bCs/>
                <w:color w:val="auto"/>
                <w:kern w:val="0"/>
                <w:sz w:val="20"/>
                <w:szCs w:val="20"/>
                <w:highlight w:val="none"/>
              </w:rPr>
              <w:t>4</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1</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3898B80A">
            <w:pPr>
              <w:widowControl/>
              <w:spacing w:after="0" w:line="360" w:lineRule="auto"/>
              <w:jc w:val="both"/>
              <w:rPr>
                <w:rFonts w:ascii="新宋体" w:hAnsi="新宋体" w:eastAsia="新宋体" w:cs="宋体"/>
                <w:bCs/>
                <w:color w:val="auto"/>
                <w:kern w:val="0"/>
                <w:sz w:val="20"/>
                <w:szCs w:val="20"/>
                <w:highlight w:val="none"/>
              </w:rPr>
            </w:pPr>
            <w:r>
              <w:rPr>
                <w:rFonts w:hint="eastAsia" w:ascii="新宋体" w:hAnsi="新宋体" w:eastAsia="新宋体" w:cs="宋体"/>
                <w:bCs/>
                <w:color w:val="auto"/>
                <w:kern w:val="0"/>
                <w:sz w:val="20"/>
                <w:szCs w:val="20"/>
                <w:highlight w:val="none"/>
              </w:rPr>
              <w:t>透视</w:t>
            </w:r>
            <w:r>
              <w:rPr>
                <w:rFonts w:ascii="新宋体" w:hAnsi="新宋体" w:eastAsia="新宋体" w:cs="宋体"/>
                <w:bCs/>
                <w:color w:val="auto"/>
                <w:kern w:val="0"/>
                <w:sz w:val="20"/>
                <w:szCs w:val="20"/>
                <w:highlight w:val="none"/>
              </w:rPr>
              <w:t>或曝光时</w:t>
            </w:r>
            <w:r>
              <w:rPr>
                <w:rFonts w:hint="eastAsia" w:ascii="新宋体" w:hAnsi="新宋体" w:eastAsia="新宋体" w:cs="宋体"/>
                <w:bCs/>
                <w:color w:val="auto"/>
                <w:kern w:val="0"/>
                <w:sz w:val="20"/>
                <w:szCs w:val="20"/>
                <w:highlight w:val="none"/>
              </w:rPr>
              <w:t>可进行</w:t>
            </w:r>
            <w:r>
              <w:rPr>
                <w:rFonts w:ascii="新宋体" w:hAnsi="新宋体" w:eastAsia="新宋体" w:cs="宋体"/>
                <w:bCs/>
                <w:color w:val="auto"/>
                <w:kern w:val="0"/>
                <w:sz w:val="20"/>
                <w:szCs w:val="20"/>
                <w:highlight w:val="none"/>
              </w:rPr>
              <w:t>图像处理和存档浏览等工作，可独立运行</w:t>
            </w:r>
          </w:p>
        </w:tc>
      </w:tr>
      <w:tr w14:paraId="1318DD98">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4437B1D9">
            <w:pPr>
              <w:widowControl/>
              <w:spacing w:after="0" w:line="360" w:lineRule="auto"/>
              <w:jc w:val="right"/>
              <w:rPr>
                <w:rFonts w:ascii="新宋体" w:hAnsi="新宋体" w:eastAsia="新宋体" w:cs="Arial"/>
                <w:bCs/>
                <w:color w:val="auto"/>
                <w:kern w:val="0"/>
                <w:sz w:val="20"/>
                <w:szCs w:val="20"/>
                <w:highlight w:val="none"/>
              </w:rPr>
            </w:pPr>
            <w:r>
              <w:rPr>
                <w:rFonts w:ascii="新宋体" w:hAnsi="新宋体" w:eastAsia="新宋体" w:cs="Arial"/>
                <w:bCs/>
                <w:color w:val="auto"/>
                <w:kern w:val="0"/>
                <w:sz w:val="20"/>
                <w:szCs w:val="20"/>
                <w:highlight w:val="none"/>
              </w:rPr>
              <w:t>4</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2</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10DAD8DE">
            <w:pPr>
              <w:widowControl/>
              <w:spacing w:after="0" w:line="360" w:lineRule="auto"/>
              <w:jc w:val="both"/>
              <w:rPr>
                <w:rFonts w:ascii="新宋体" w:hAnsi="新宋体" w:eastAsia="新宋体" w:cs="宋体"/>
                <w:bCs/>
                <w:color w:val="auto"/>
                <w:kern w:val="0"/>
                <w:sz w:val="20"/>
                <w:szCs w:val="20"/>
                <w:highlight w:val="none"/>
              </w:rPr>
            </w:pPr>
            <w:r>
              <w:rPr>
                <w:rFonts w:hint="eastAsia" w:ascii="新宋体" w:hAnsi="新宋体" w:eastAsia="新宋体" w:cs="宋体"/>
                <w:bCs/>
                <w:color w:val="auto"/>
                <w:kern w:val="0"/>
                <w:sz w:val="20"/>
                <w:szCs w:val="20"/>
                <w:highlight w:val="none"/>
              </w:rPr>
              <w:t>术中</w:t>
            </w:r>
            <w:r>
              <w:rPr>
                <w:rFonts w:ascii="新宋体" w:hAnsi="新宋体" w:eastAsia="新宋体" w:cs="宋体"/>
                <w:bCs/>
                <w:color w:val="auto"/>
                <w:kern w:val="0"/>
                <w:sz w:val="20"/>
                <w:szCs w:val="20"/>
                <w:highlight w:val="none"/>
              </w:rPr>
              <w:t>可执行像素位移和</w:t>
            </w:r>
            <w:r>
              <w:rPr>
                <w:rFonts w:hint="eastAsia" w:ascii="新宋体" w:hAnsi="新宋体" w:eastAsia="新宋体" w:cs="宋体"/>
                <w:bCs/>
                <w:color w:val="auto"/>
                <w:kern w:val="0"/>
                <w:sz w:val="20"/>
                <w:szCs w:val="20"/>
                <w:highlight w:val="none"/>
              </w:rPr>
              <w:t>测量分析</w:t>
            </w:r>
            <w:r>
              <w:rPr>
                <w:rFonts w:ascii="新宋体" w:hAnsi="新宋体" w:eastAsia="新宋体" w:cs="宋体"/>
                <w:bCs/>
                <w:color w:val="auto"/>
                <w:kern w:val="0"/>
                <w:sz w:val="20"/>
                <w:szCs w:val="20"/>
                <w:highlight w:val="none"/>
              </w:rPr>
              <w:t>功能</w:t>
            </w:r>
          </w:p>
        </w:tc>
      </w:tr>
      <w:tr w14:paraId="072580F4">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142368BC">
            <w:pPr>
              <w:widowControl/>
              <w:spacing w:after="0" w:line="360" w:lineRule="auto"/>
              <w:jc w:val="right"/>
              <w:rPr>
                <w:rFonts w:ascii="新宋体" w:hAnsi="新宋体" w:eastAsia="新宋体" w:cs="Arial"/>
                <w:bCs/>
                <w:color w:val="auto"/>
                <w:kern w:val="0"/>
                <w:sz w:val="20"/>
                <w:szCs w:val="20"/>
                <w:highlight w:val="none"/>
              </w:rPr>
            </w:pPr>
            <w:r>
              <w:rPr>
                <w:rFonts w:ascii="新宋体" w:hAnsi="新宋体" w:eastAsia="新宋体" w:cs="Arial"/>
                <w:bCs/>
                <w:color w:val="auto"/>
                <w:kern w:val="0"/>
                <w:sz w:val="20"/>
                <w:szCs w:val="20"/>
                <w:highlight w:val="none"/>
              </w:rPr>
              <w:t>4</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3</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32507F27">
            <w:pPr>
              <w:widowControl/>
              <w:spacing w:after="0" w:line="360" w:lineRule="auto"/>
              <w:jc w:val="both"/>
              <w:rPr>
                <w:rFonts w:ascii="新宋体" w:hAnsi="新宋体" w:eastAsia="新宋体" w:cs="宋体"/>
                <w:bCs/>
                <w:color w:val="auto"/>
                <w:kern w:val="0"/>
                <w:sz w:val="20"/>
                <w:szCs w:val="20"/>
                <w:highlight w:val="none"/>
              </w:rPr>
            </w:pPr>
            <w:r>
              <w:rPr>
                <w:rFonts w:hint="eastAsia" w:ascii="新宋体" w:hAnsi="新宋体" w:eastAsia="新宋体" w:cs="宋体"/>
                <w:bCs/>
                <w:color w:val="auto"/>
                <w:kern w:val="0"/>
                <w:sz w:val="20"/>
                <w:szCs w:val="20"/>
                <w:highlight w:val="none"/>
              </w:rPr>
              <w:t>可</w:t>
            </w:r>
            <w:r>
              <w:rPr>
                <w:rFonts w:ascii="新宋体" w:hAnsi="新宋体" w:eastAsia="新宋体" w:cs="宋体"/>
                <w:bCs/>
                <w:color w:val="auto"/>
                <w:kern w:val="0"/>
                <w:sz w:val="20"/>
                <w:szCs w:val="20"/>
                <w:highlight w:val="none"/>
              </w:rPr>
              <w:t>同时浏览</w:t>
            </w:r>
            <w:r>
              <w:rPr>
                <w:rFonts w:hint="eastAsia" w:ascii="新宋体" w:hAnsi="新宋体" w:eastAsia="新宋体" w:cs="宋体"/>
                <w:bCs/>
                <w:color w:val="auto"/>
                <w:kern w:val="0"/>
                <w:sz w:val="20"/>
                <w:szCs w:val="20"/>
                <w:highlight w:val="none"/>
              </w:rPr>
              <w:t>两个</w:t>
            </w:r>
            <w:r>
              <w:rPr>
                <w:rFonts w:ascii="新宋体" w:hAnsi="新宋体" w:eastAsia="新宋体" w:cs="宋体"/>
                <w:bCs/>
                <w:color w:val="auto"/>
                <w:kern w:val="0"/>
                <w:sz w:val="20"/>
                <w:szCs w:val="20"/>
                <w:highlight w:val="none"/>
              </w:rPr>
              <w:t>序列</w:t>
            </w:r>
          </w:p>
        </w:tc>
      </w:tr>
      <w:tr w14:paraId="27EFAC95">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357ABD3B">
            <w:pPr>
              <w:widowControl/>
              <w:spacing w:after="0" w:line="360" w:lineRule="auto"/>
              <w:jc w:val="right"/>
              <w:rPr>
                <w:rFonts w:ascii="新宋体" w:hAnsi="新宋体" w:eastAsia="新宋体" w:cs="Arial"/>
                <w:bCs/>
                <w:color w:val="auto"/>
                <w:kern w:val="0"/>
                <w:sz w:val="20"/>
                <w:szCs w:val="20"/>
                <w:highlight w:val="none"/>
              </w:rPr>
            </w:pPr>
            <w:r>
              <w:rPr>
                <w:rFonts w:ascii="新宋体" w:hAnsi="新宋体" w:eastAsia="新宋体" w:cs="Arial"/>
                <w:bCs/>
                <w:color w:val="auto"/>
                <w:kern w:val="0"/>
                <w:sz w:val="20"/>
                <w:szCs w:val="20"/>
                <w:highlight w:val="none"/>
              </w:rPr>
              <w:t>4</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4</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126853FC">
            <w:pPr>
              <w:widowControl/>
              <w:spacing w:after="0" w:line="360" w:lineRule="auto"/>
              <w:jc w:val="both"/>
              <w:rPr>
                <w:rFonts w:ascii="新宋体" w:hAnsi="新宋体" w:eastAsia="新宋体" w:cs="宋体"/>
                <w:bCs/>
                <w:color w:val="auto"/>
                <w:kern w:val="0"/>
                <w:sz w:val="20"/>
                <w:szCs w:val="20"/>
                <w:highlight w:val="none"/>
              </w:rPr>
            </w:pPr>
            <w:r>
              <w:rPr>
                <w:rFonts w:hint="eastAsia" w:ascii="新宋体" w:hAnsi="新宋体" w:eastAsia="新宋体" w:cs="宋体"/>
                <w:bCs/>
                <w:color w:val="auto"/>
                <w:kern w:val="0"/>
                <w:sz w:val="20"/>
                <w:szCs w:val="20"/>
                <w:highlight w:val="none"/>
              </w:rPr>
              <w:t>可同时</w:t>
            </w:r>
            <w:r>
              <w:rPr>
                <w:rFonts w:ascii="新宋体" w:hAnsi="新宋体" w:eastAsia="新宋体" w:cs="宋体"/>
                <w:bCs/>
                <w:color w:val="auto"/>
                <w:kern w:val="0"/>
                <w:sz w:val="20"/>
                <w:szCs w:val="20"/>
                <w:highlight w:val="none"/>
              </w:rPr>
              <w:t>处理不同病人的信息</w:t>
            </w:r>
          </w:p>
        </w:tc>
      </w:tr>
      <w:tr w14:paraId="48B529AD">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03EEEB39">
            <w:pPr>
              <w:widowControl/>
              <w:spacing w:after="0" w:line="360" w:lineRule="auto"/>
              <w:jc w:val="right"/>
              <w:rPr>
                <w:rFonts w:ascii="新宋体" w:hAnsi="新宋体" w:eastAsia="新宋体" w:cs="Arial"/>
                <w:bCs/>
                <w:color w:val="auto"/>
                <w:kern w:val="0"/>
                <w:sz w:val="20"/>
                <w:szCs w:val="20"/>
                <w:highlight w:val="none"/>
              </w:rPr>
            </w:pPr>
            <w:r>
              <w:rPr>
                <w:rFonts w:ascii="新宋体" w:hAnsi="新宋体" w:eastAsia="新宋体" w:cs="Arial"/>
                <w:bCs/>
                <w:color w:val="auto"/>
                <w:kern w:val="0"/>
                <w:sz w:val="20"/>
                <w:szCs w:val="20"/>
                <w:highlight w:val="none"/>
              </w:rPr>
              <w:t>4</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5</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50B5A6AB">
            <w:pPr>
              <w:widowControl/>
              <w:spacing w:after="0" w:line="360" w:lineRule="auto"/>
              <w:jc w:val="both"/>
              <w:rPr>
                <w:rFonts w:ascii="新宋体" w:hAnsi="新宋体" w:eastAsia="新宋体" w:cs="宋体"/>
                <w:bCs/>
                <w:color w:val="auto"/>
                <w:kern w:val="0"/>
                <w:sz w:val="20"/>
                <w:szCs w:val="20"/>
                <w:highlight w:val="none"/>
              </w:rPr>
            </w:pPr>
            <w:r>
              <w:rPr>
                <w:rFonts w:hint="eastAsia" w:ascii="新宋体" w:hAnsi="新宋体" w:eastAsia="新宋体" w:cs="宋体"/>
                <w:bCs/>
                <w:color w:val="auto"/>
                <w:kern w:val="0"/>
                <w:sz w:val="20"/>
                <w:szCs w:val="20"/>
                <w:highlight w:val="none"/>
              </w:rPr>
              <w:t>进行QCA后</w:t>
            </w:r>
            <w:r>
              <w:rPr>
                <w:rFonts w:ascii="新宋体" w:hAnsi="新宋体" w:eastAsia="新宋体" w:cs="宋体"/>
                <w:bCs/>
                <w:color w:val="auto"/>
                <w:kern w:val="0"/>
                <w:sz w:val="20"/>
                <w:szCs w:val="20"/>
                <w:highlight w:val="none"/>
              </w:rPr>
              <w:t>，可立即与检查室分享</w:t>
            </w:r>
          </w:p>
        </w:tc>
      </w:tr>
      <w:tr w14:paraId="44FD56A9">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653B964E">
            <w:pPr>
              <w:widowControl/>
              <w:spacing w:after="0" w:line="360" w:lineRule="auto"/>
              <w:jc w:val="left"/>
              <w:rPr>
                <w:rFonts w:ascii="新宋体" w:hAnsi="新宋体" w:eastAsia="新宋体" w:cs="Arial"/>
                <w:bCs/>
                <w:color w:val="auto"/>
                <w:kern w:val="0"/>
                <w:sz w:val="20"/>
                <w:szCs w:val="20"/>
                <w:highlight w:val="none"/>
              </w:rPr>
            </w:pPr>
            <w:r>
              <w:rPr>
                <w:rFonts w:hint="eastAsia" w:ascii="新宋体" w:hAnsi="新宋体" w:eastAsia="新宋体" w:cs="Arial"/>
                <w:bCs/>
                <w:color w:val="auto"/>
                <w:kern w:val="0"/>
                <w:sz w:val="20"/>
                <w:szCs w:val="20"/>
                <w:highlight w:val="none"/>
              </w:rPr>
              <w:t>5、</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159D09D2">
            <w:pPr>
              <w:widowControl/>
              <w:spacing w:after="0" w:line="360" w:lineRule="auto"/>
              <w:jc w:val="both"/>
              <w:rPr>
                <w:rFonts w:ascii="新宋体" w:hAnsi="新宋体" w:eastAsia="新宋体" w:cs="宋体"/>
                <w:bCs/>
                <w:color w:val="auto"/>
                <w:kern w:val="0"/>
                <w:sz w:val="20"/>
                <w:szCs w:val="20"/>
                <w:highlight w:val="none"/>
              </w:rPr>
            </w:pPr>
            <w:r>
              <w:rPr>
                <w:rFonts w:ascii="新宋体" w:hAnsi="新宋体" w:eastAsia="新宋体" w:cs="Arial"/>
                <w:bCs/>
                <w:color w:val="auto"/>
                <w:kern w:val="0"/>
                <w:sz w:val="20"/>
                <w:szCs w:val="20"/>
                <w:highlight w:val="none"/>
              </w:rPr>
              <w:t>高压发生器</w:t>
            </w:r>
          </w:p>
        </w:tc>
      </w:tr>
      <w:tr w14:paraId="0D8A6AAF">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4EC98E68">
            <w:pPr>
              <w:widowControl/>
              <w:spacing w:after="0" w:line="360" w:lineRule="auto"/>
              <w:jc w:val="right"/>
              <w:rPr>
                <w:rFonts w:ascii="新宋体" w:hAnsi="新宋体" w:eastAsia="新宋体" w:cstheme="minorBidi"/>
                <w:bCs/>
                <w:color w:val="auto"/>
                <w:kern w:val="0"/>
                <w:sz w:val="20"/>
                <w:szCs w:val="20"/>
                <w:highlight w:val="none"/>
              </w:rPr>
            </w:pPr>
            <w:r>
              <w:rPr>
                <w:rFonts w:ascii="新宋体" w:hAnsi="新宋体" w:eastAsia="新宋体" w:cs="Arial"/>
                <w:bCs/>
                <w:color w:val="auto"/>
                <w:kern w:val="0"/>
                <w:sz w:val="20"/>
                <w:szCs w:val="20"/>
                <w:highlight w:val="none"/>
              </w:rPr>
              <w:t>5</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1</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79EB1738">
            <w:pPr>
              <w:widowControl/>
              <w:spacing w:after="0" w:line="360" w:lineRule="auto"/>
              <w:jc w:val="both"/>
              <w:rPr>
                <w:rFonts w:ascii="新宋体" w:hAnsi="新宋体" w:eastAsia="新宋体" w:cstheme="minorBidi"/>
                <w:bCs/>
                <w:color w:val="auto"/>
                <w:kern w:val="0"/>
                <w:sz w:val="20"/>
                <w:szCs w:val="20"/>
                <w:highlight w:val="none"/>
              </w:rPr>
            </w:pPr>
            <w:r>
              <w:rPr>
                <w:rFonts w:ascii="新宋体" w:hAnsi="新宋体" w:eastAsia="新宋体" w:cs="宋体"/>
                <w:bCs/>
                <w:color w:val="auto"/>
                <w:kern w:val="0"/>
                <w:sz w:val="20"/>
                <w:szCs w:val="20"/>
                <w:highlight w:val="none"/>
              </w:rPr>
              <w:t>高频逆变发生器，功率</w:t>
            </w:r>
            <w:r>
              <w:rPr>
                <w:rFonts w:hint="eastAsia" w:ascii="新宋体" w:hAnsi="新宋体" w:eastAsia="新宋体" w:cs="宋体"/>
                <w:bCs/>
                <w:color w:val="auto"/>
                <w:kern w:val="0"/>
                <w:sz w:val="20"/>
                <w:szCs w:val="20"/>
                <w:highlight w:val="none"/>
              </w:rPr>
              <w:t>：</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100KW</w:t>
            </w:r>
          </w:p>
        </w:tc>
      </w:tr>
      <w:tr w14:paraId="326A1094">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0F224B44">
            <w:pPr>
              <w:widowControl/>
              <w:spacing w:after="0" w:line="360" w:lineRule="auto"/>
              <w:jc w:val="right"/>
              <w:rPr>
                <w:rFonts w:ascii="新宋体" w:hAnsi="新宋体" w:eastAsia="新宋体" w:cstheme="minorBidi"/>
                <w:bCs/>
                <w:color w:val="auto"/>
                <w:kern w:val="0"/>
                <w:sz w:val="20"/>
                <w:szCs w:val="20"/>
                <w:highlight w:val="none"/>
              </w:rPr>
            </w:pPr>
            <w:r>
              <w:rPr>
                <w:rFonts w:ascii="新宋体" w:hAnsi="新宋体" w:eastAsia="新宋体" w:cs="Arial"/>
                <w:bCs/>
                <w:color w:val="auto"/>
                <w:kern w:val="0"/>
                <w:sz w:val="20"/>
                <w:szCs w:val="20"/>
                <w:highlight w:val="none"/>
              </w:rPr>
              <w:t>5</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2</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4AC6E730">
            <w:pPr>
              <w:widowControl/>
              <w:spacing w:after="0" w:line="360" w:lineRule="auto"/>
              <w:jc w:val="both"/>
              <w:rPr>
                <w:rFonts w:ascii="新宋体" w:hAnsi="新宋体" w:eastAsia="新宋体" w:cstheme="minorBidi"/>
                <w:bCs/>
                <w:color w:val="auto"/>
                <w:kern w:val="0"/>
                <w:sz w:val="20"/>
                <w:szCs w:val="20"/>
                <w:highlight w:val="none"/>
              </w:rPr>
            </w:pPr>
            <w:r>
              <w:rPr>
                <w:rFonts w:ascii="新宋体" w:hAnsi="新宋体" w:eastAsia="新宋体" w:cs="宋体"/>
                <w:bCs/>
                <w:color w:val="auto"/>
                <w:kern w:val="0"/>
                <w:sz w:val="20"/>
                <w:szCs w:val="20"/>
                <w:highlight w:val="none"/>
              </w:rPr>
              <w:t>最大管电流</w:t>
            </w:r>
            <w:r>
              <w:rPr>
                <w:rFonts w:hint="eastAsia" w:ascii="新宋体" w:hAnsi="新宋体" w:eastAsia="新宋体" w:cs="宋体"/>
                <w:bCs/>
                <w:color w:val="auto"/>
                <w:kern w:val="0"/>
                <w:sz w:val="20"/>
                <w:szCs w:val="20"/>
                <w:highlight w:val="none"/>
              </w:rPr>
              <w:t>：</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1</w:t>
            </w:r>
            <w:r>
              <w:rPr>
                <w:rFonts w:hint="eastAsia" w:ascii="新宋体" w:hAnsi="新宋体" w:eastAsia="新宋体" w:cs="Arial"/>
                <w:bCs/>
                <w:color w:val="auto"/>
                <w:kern w:val="0"/>
                <w:sz w:val="20"/>
                <w:szCs w:val="20"/>
                <w:highlight w:val="none"/>
              </w:rPr>
              <w:t>00</w:t>
            </w:r>
            <w:r>
              <w:rPr>
                <w:rFonts w:ascii="新宋体" w:hAnsi="新宋体" w:eastAsia="新宋体" w:cs="Arial"/>
                <w:bCs/>
                <w:color w:val="auto"/>
                <w:kern w:val="0"/>
                <w:sz w:val="20"/>
                <w:szCs w:val="20"/>
                <w:highlight w:val="none"/>
              </w:rPr>
              <w:t>0mA</w:t>
            </w:r>
          </w:p>
        </w:tc>
      </w:tr>
      <w:tr w14:paraId="15FA6619">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44395E7C">
            <w:pPr>
              <w:widowControl/>
              <w:spacing w:after="0" w:line="360" w:lineRule="auto"/>
              <w:jc w:val="right"/>
              <w:rPr>
                <w:rFonts w:ascii="新宋体" w:hAnsi="新宋体" w:eastAsia="新宋体" w:cstheme="minorBidi"/>
                <w:bCs/>
                <w:color w:val="auto"/>
                <w:kern w:val="0"/>
                <w:sz w:val="20"/>
                <w:szCs w:val="20"/>
                <w:highlight w:val="none"/>
              </w:rPr>
            </w:pPr>
            <w:r>
              <w:rPr>
                <w:rFonts w:ascii="新宋体" w:hAnsi="新宋体" w:eastAsia="新宋体" w:cs="Arial"/>
                <w:bCs/>
                <w:color w:val="auto"/>
                <w:kern w:val="0"/>
                <w:sz w:val="20"/>
                <w:szCs w:val="20"/>
                <w:highlight w:val="none"/>
              </w:rPr>
              <w:t>5</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3</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36CC0C81">
            <w:pPr>
              <w:widowControl/>
              <w:spacing w:after="0" w:line="360" w:lineRule="auto"/>
              <w:jc w:val="both"/>
              <w:rPr>
                <w:rFonts w:ascii="新宋体" w:hAnsi="新宋体" w:eastAsia="新宋体" w:cs="宋体"/>
                <w:bCs/>
                <w:color w:val="auto"/>
                <w:kern w:val="0"/>
                <w:sz w:val="20"/>
                <w:szCs w:val="20"/>
                <w:highlight w:val="none"/>
              </w:rPr>
            </w:pPr>
            <w:r>
              <w:rPr>
                <w:rFonts w:hint="eastAsia" w:ascii="新宋体" w:hAnsi="新宋体" w:eastAsia="新宋体" w:cstheme="minorBidi"/>
                <w:bCs/>
                <w:color w:val="auto"/>
                <w:kern w:val="0"/>
                <w:sz w:val="20"/>
                <w:szCs w:val="20"/>
                <w:highlight w:val="none"/>
              </w:rPr>
              <w:t>逆变</w:t>
            </w:r>
            <w:r>
              <w:rPr>
                <w:rFonts w:ascii="新宋体" w:hAnsi="新宋体" w:eastAsia="新宋体" w:cstheme="minorBidi"/>
                <w:bCs/>
                <w:color w:val="auto"/>
                <w:kern w:val="0"/>
                <w:sz w:val="20"/>
                <w:szCs w:val="20"/>
                <w:highlight w:val="none"/>
              </w:rPr>
              <w:t>频率</w:t>
            </w:r>
            <w:r>
              <w:rPr>
                <w:rFonts w:hint="eastAsia" w:ascii="新宋体" w:hAnsi="新宋体" w:eastAsia="新宋体" w:cstheme="minorBidi"/>
                <w:bCs/>
                <w:color w:val="auto"/>
                <w:kern w:val="0"/>
                <w:sz w:val="20"/>
                <w:szCs w:val="20"/>
                <w:highlight w:val="none"/>
              </w:rPr>
              <w:t>：≥100</w:t>
            </w:r>
            <w:r>
              <w:rPr>
                <w:rFonts w:ascii="新宋体" w:hAnsi="新宋体" w:eastAsia="新宋体" w:cstheme="minorBidi"/>
                <w:bCs/>
                <w:color w:val="auto"/>
                <w:kern w:val="0"/>
                <w:sz w:val="20"/>
                <w:szCs w:val="20"/>
                <w:highlight w:val="none"/>
              </w:rPr>
              <w:t>kHZ</w:t>
            </w:r>
          </w:p>
        </w:tc>
      </w:tr>
      <w:tr w14:paraId="5D714B27">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791B58F3">
            <w:pPr>
              <w:widowControl/>
              <w:spacing w:after="0" w:line="360" w:lineRule="auto"/>
              <w:jc w:val="right"/>
              <w:rPr>
                <w:rFonts w:ascii="新宋体" w:hAnsi="新宋体" w:eastAsia="新宋体" w:cstheme="minorBidi"/>
                <w:bCs/>
                <w:color w:val="auto"/>
                <w:kern w:val="0"/>
                <w:sz w:val="20"/>
                <w:szCs w:val="20"/>
                <w:highlight w:val="none"/>
              </w:rPr>
            </w:pPr>
            <w:r>
              <w:rPr>
                <w:rFonts w:ascii="新宋体" w:hAnsi="新宋体" w:eastAsia="新宋体" w:cs="Arial"/>
                <w:bCs/>
                <w:color w:val="auto"/>
                <w:kern w:val="0"/>
                <w:sz w:val="20"/>
                <w:szCs w:val="20"/>
                <w:highlight w:val="none"/>
              </w:rPr>
              <w:t>5</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4</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365F9494">
            <w:pPr>
              <w:widowControl/>
              <w:spacing w:after="0" w:line="360" w:lineRule="auto"/>
              <w:jc w:val="both"/>
              <w:rPr>
                <w:rFonts w:ascii="新宋体" w:hAnsi="新宋体" w:eastAsia="新宋体" w:cstheme="minorBidi"/>
                <w:bCs/>
                <w:color w:val="auto"/>
                <w:kern w:val="0"/>
                <w:sz w:val="20"/>
                <w:szCs w:val="20"/>
                <w:highlight w:val="none"/>
              </w:rPr>
            </w:pPr>
            <w:r>
              <w:rPr>
                <w:rFonts w:ascii="新宋体" w:hAnsi="新宋体" w:eastAsia="新宋体" w:cs="宋体"/>
                <w:bCs/>
                <w:color w:val="auto"/>
                <w:kern w:val="0"/>
                <w:sz w:val="20"/>
                <w:szCs w:val="20"/>
                <w:highlight w:val="none"/>
              </w:rPr>
              <w:t>最小管电压：≤</w:t>
            </w:r>
            <w:r>
              <w:rPr>
                <w:rFonts w:ascii="新宋体" w:hAnsi="新宋体" w:eastAsia="新宋体" w:cs="Arial"/>
                <w:bCs/>
                <w:color w:val="auto"/>
                <w:kern w:val="0"/>
                <w:sz w:val="20"/>
                <w:szCs w:val="20"/>
                <w:highlight w:val="none"/>
              </w:rPr>
              <w:t>40KV</w:t>
            </w:r>
          </w:p>
        </w:tc>
      </w:tr>
      <w:tr w14:paraId="70115C17">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0BD84BE3">
            <w:pPr>
              <w:widowControl/>
              <w:spacing w:after="0" w:line="360" w:lineRule="auto"/>
              <w:jc w:val="right"/>
              <w:rPr>
                <w:rFonts w:ascii="新宋体" w:hAnsi="新宋体" w:eastAsia="新宋体" w:cstheme="minorBidi"/>
                <w:bCs/>
                <w:color w:val="auto"/>
                <w:kern w:val="0"/>
                <w:sz w:val="20"/>
                <w:szCs w:val="20"/>
                <w:highlight w:val="none"/>
              </w:rPr>
            </w:pPr>
            <w:r>
              <w:rPr>
                <w:rFonts w:ascii="新宋体" w:hAnsi="新宋体" w:eastAsia="新宋体" w:cs="Arial"/>
                <w:bCs/>
                <w:color w:val="auto"/>
                <w:kern w:val="0"/>
                <w:sz w:val="20"/>
                <w:szCs w:val="20"/>
                <w:highlight w:val="none"/>
              </w:rPr>
              <w:t>5</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5</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428A81B3">
            <w:pPr>
              <w:widowControl/>
              <w:spacing w:after="0" w:line="360" w:lineRule="auto"/>
              <w:jc w:val="both"/>
              <w:rPr>
                <w:rFonts w:ascii="新宋体" w:hAnsi="新宋体" w:eastAsia="新宋体" w:cstheme="minorBidi"/>
                <w:bCs/>
                <w:color w:val="auto"/>
                <w:kern w:val="0"/>
                <w:sz w:val="20"/>
                <w:szCs w:val="20"/>
                <w:highlight w:val="none"/>
              </w:rPr>
            </w:pPr>
            <w:r>
              <w:rPr>
                <w:rFonts w:ascii="新宋体" w:hAnsi="新宋体" w:eastAsia="新宋体" w:cs="宋体"/>
                <w:bCs/>
                <w:color w:val="auto"/>
                <w:kern w:val="0"/>
                <w:sz w:val="20"/>
                <w:szCs w:val="20"/>
                <w:highlight w:val="none"/>
              </w:rPr>
              <w:t>最大管电压：≥</w:t>
            </w:r>
            <w:r>
              <w:rPr>
                <w:rFonts w:ascii="新宋体" w:hAnsi="新宋体" w:eastAsia="新宋体" w:cs="Arial"/>
                <w:bCs/>
                <w:color w:val="auto"/>
                <w:kern w:val="0"/>
                <w:sz w:val="20"/>
                <w:szCs w:val="20"/>
                <w:highlight w:val="none"/>
              </w:rPr>
              <w:t>125KV</w:t>
            </w:r>
          </w:p>
        </w:tc>
      </w:tr>
      <w:tr w14:paraId="7AABDFE0">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6D43156D">
            <w:pPr>
              <w:widowControl/>
              <w:spacing w:after="0" w:line="360" w:lineRule="auto"/>
              <w:jc w:val="right"/>
              <w:rPr>
                <w:rFonts w:ascii="新宋体" w:hAnsi="新宋体" w:eastAsia="新宋体" w:cstheme="minorBidi"/>
                <w:bCs/>
                <w:color w:val="auto"/>
                <w:kern w:val="0"/>
                <w:sz w:val="20"/>
                <w:szCs w:val="20"/>
                <w:highlight w:val="none"/>
              </w:rPr>
            </w:pPr>
            <w:r>
              <w:rPr>
                <w:rFonts w:ascii="新宋体" w:hAnsi="新宋体" w:eastAsia="新宋体" w:cs="Arial"/>
                <w:bCs/>
                <w:color w:val="auto"/>
                <w:kern w:val="0"/>
                <w:sz w:val="20"/>
                <w:szCs w:val="20"/>
                <w:highlight w:val="none"/>
              </w:rPr>
              <w:t>5</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6</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19EE27ED">
            <w:pPr>
              <w:widowControl/>
              <w:spacing w:after="0" w:line="360" w:lineRule="auto"/>
              <w:jc w:val="both"/>
              <w:rPr>
                <w:rFonts w:ascii="新宋体" w:hAnsi="新宋体" w:eastAsia="新宋体" w:cstheme="minorBidi"/>
                <w:bCs/>
                <w:color w:val="auto"/>
                <w:kern w:val="0"/>
                <w:sz w:val="20"/>
                <w:szCs w:val="20"/>
                <w:highlight w:val="none"/>
              </w:rPr>
            </w:pPr>
            <w:r>
              <w:rPr>
                <w:rFonts w:ascii="新宋体" w:hAnsi="新宋体" w:eastAsia="新宋体" w:cs="宋体"/>
                <w:bCs/>
                <w:color w:val="auto"/>
                <w:kern w:val="0"/>
                <w:sz w:val="20"/>
                <w:szCs w:val="20"/>
                <w:highlight w:val="none"/>
              </w:rPr>
              <w:t>最短曝光时间</w:t>
            </w:r>
            <w:r>
              <w:rPr>
                <w:rFonts w:hint="eastAsia" w:ascii="新宋体" w:hAnsi="新宋体" w:eastAsia="新宋体" w:cs="宋体"/>
                <w:bCs/>
                <w:color w:val="auto"/>
                <w:kern w:val="0"/>
                <w:sz w:val="20"/>
                <w:szCs w:val="20"/>
                <w:highlight w:val="none"/>
              </w:rPr>
              <w:t>：</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1ms</w:t>
            </w:r>
          </w:p>
        </w:tc>
      </w:tr>
      <w:tr w14:paraId="64036317">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42E0AD89">
            <w:pPr>
              <w:widowControl/>
              <w:spacing w:after="0" w:line="360" w:lineRule="auto"/>
              <w:jc w:val="right"/>
              <w:rPr>
                <w:rFonts w:ascii="新宋体" w:hAnsi="新宋体" w:eastAsia="新宋体" w:cstheme="minorBidi"/>
                <w:bCs/>
                <w:color w:val="auto"/>
                <w:kern w:val="0"/>
                <w:sz w:val="20"/>
                <w:szCs w:val="20"/>
                <w:highlight w:val="none"/>
              </w:rPr>
            </w:pPr>
            <w:r>
              <w:rPr>
                <w:rFonts w:ascii="新宋体" w:hAnsi="新宋体" w:eastAsia="新宋体" w:cs="Arial"/>
                <w:bCs/>
                <w:color w:val="auto"/>
                <w:kern w:val="0"/>
                <w:sz w:val="20"/>
                <w:szCs w:val="20"/>
                <w:highlight w:val="none"/>
              </w:rPr>
              <w:t>5</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7</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10F9087F">
            <w:pPr>
              <w:widowControl/>
              <w:spacing w:after="0" w:line="360" w:lineRule="auto"/>
              <w:jc w:val="both"/>
              <w:rPr>
                <w:rFonts w:ascii="新宋体" w:hAnsi="新宋体" w:eastAsia="新宋体" w:cstheme="minorBidi"/>
                <w:bCs/>
                <w:color w:val="auto"/>
                <w:kern w:val="0"/>
                <w:sz w:val="20"/>
                <w:szCs w:val="20"/>
                <w:highlight w:val="none"/>
              </w:rPr>
            </w:pPr>
            <w:r>
              <w:rPr>
                <w:rFonts w:ascii="新宋体" w:hAnsi="新宋体" w:eastAsia="新宋体" w:cs="宋体"/>
                <w:bCs/>
                <w:color w:val="auto"/>
                <w:kern w:val="0"/>
                <w:sz w:val="20"/>
                <w:szCs w:val="20"/>
                <w:highlight w:val="none"/>
              </w:rPr>
              <w:t>自动</w:t>
            </w:r>
            <w:r>
              <w:rPr>
                <w:rFonts w:ascii="新宋体" w:hAnsi="新宋体" w:eastAsia="新宋体" w:cs="Arial"/>
                <w:bCs/>
                <w:color w:val="auto"/>
                <w:kern w:val="0"/>
                <w:sz w:val="20"/>
                <w:szCs w:val="20"/>
                <w:highlight w:val="none"/>
              </w:rPr>
              <w:t>SID</w:t>
            </w:r>
            <w:r>
              <w:rPr>
                <w:rFonts w:ascii="新宋体" w:hAnsi="新宋体" w:eastAsia="新宋体" w:cs="宋体"/>
                <w:bCs/>
                <w:color w:val="auto"/>
                <w:kern w:val="0"/>
                <w:sz w:val="20"/>
                <w:szCs w:val="20"/>
                <w:highlight w:val="none"/>
              </w:rPr>
              <w:t>跟踪</w:t>
            </w:r>
          </w:p>
        </w:tc>
      </w:tr>
      <w:tr w14:paraId="4621CD0F">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2460B5F1">
            <w:pPr>
              <w:widowControl/>
              <w:spacing w:after="0" w:line="360" w:lineRule="auto"/>
              <w:jc w:val="right"/>
              <w:rPr>
                <w:rFonts w:ascii="新宋体" w:hAnsi="新宋体" w:eastAsia="新宋体" w:cstheme="minorBidi"/>
                <w:bCs/>
                <w:color w:val="auto"/>
                <w:kern w:val="0"/>
                <w:sz w:val="20"/>
                <w:szCs w:val="20"/>
                <w:highlight w:val="none"/>
              </w:rPr>
            </w:pPr>
            <w:r>
              <w:rPr>
                <w:rFonts w:ascii="新宋体" w:hAnsi="新宋体" w:eastAsia="新宋体" w:cs="Arial"/>
                <w:bCs/>
                <w:color w:val="auto"/>
                <w:kern w:val="0"/>
                <w:sz w:val="20"/>
                <w:szCs w:val="20"/>
                <w:highlight w:val="none"/>
              </w:rPr>
              <w:t>5</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8</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788CBA41">
            <w:pPr>
              <w:widowControl/>
              <w:spacing w:after="0" w:line="360" w:lineRule="auto"/>
              <w:jc w:val="both"/>
              <w:rPr>
                <w:rFonts w:ascii="新宋体" w:hAnsi="新宋体" w:eastAsia="新宋体" w:cs="宋体"/>
                <w:bCs/>
                <w:color w:val="auto"/>
                <w:kern w:val="0"/>
                <w:sz w:val="20"/>
                <w:szCs w:val="20"/>
                <w:highlight w:val="none"/>
              </w:rPr>
            </w:pPr>
            <w:r>
              <w:rPr>
                <w:rFonts w:ascii="新宋体" w:hAnsi="新宋体" w:eastAsia="新宋体" w:cs="宋体"/>
                <w:bCs/>
                <w:color w:val="auto"/>
                <w:kern w:val="0"/>
                <w:sz w:val="20"/>
                <w:szCs w:val="20"/>
                <w:highlight w:val="none"/>
              </w:rPr>
              <w:t>全自动曝光控制，无需测试曝光</w:t>
            </w:r>
          </w:p>
        </w:tc>
      </w:tr>
      <w:tr w14:paraId="70D372BF">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05BA8650">
            <w:pPr>
              <w:widowControl/>
              <w:spacing w:after="0" w:line="360" w:lineRule="auto"/>
              <w:jc w:val="both"/>
              <w:rPr>
                <w:rFonts w:ascii="新宋体" w:hAnsi="新宋体" w:eastAsia="新宋体" w:cstheme="minorBidi"/>
                <w:bCs/>
                <w:color w:val="auto"/>
                <w:kern w:val="0"/>
                <w:sz w:val="20"/>
                <w:szCs w:val="20"/>
                <w:highlight w:val="none"/>
              </w:rPr>
            </w:pPr>
            <w:r>
              <w:rPr>
                <w:rFonts w:ascii="新宋体" w:hAnsi="新宋体" w:eastAsia="新宋体" w:cs="Arial"/>
                <w:bCs/>
                <w:color w:val="auto"/>
                <w:kern w:val="0"/>
                <w:sz w:val="20"/>
                <w:szCs w:val="20"/>
                <w:highlight w:val="none"/>
              </w:rPr>
              <w:t>6</w:t>
            </w:r>
            <w:r>
              <w:rPr>
                <w:rFonts w:ascii="新宋体" w:hAnsi="新宋体" w:eastAsia="新宋体" w:cs="宋体"/>
                <w:bCs/>
                <w:color w:val="auto"/>
                <w:kern w:val="0"/>
                <w:sz w:val="20"/>
                <w:szCs w:val="20"/>
                <w:highlight w:val="none"/>
              </w:rPr>
              <w:t>、</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10C11B18">
            <w:pPr>
              <w:widowControl/>
              <w:spacing w:after="0" w:line="360" w:lineRule="auto"/>
              <w:jc w:val="both"/>
              <w:rPr>
                <w:rFonts w:ascii="新宋体" w:hAnsi="新宋体" w:eastAsia="新宋体" w:cs="宋体"/>
                <w:bCs/>
                <w:color w:val="auto"/>
                <w:kern w:val="0"/>
                <w:sz w:val="20"/>
                <w:szCs w:val="20"/>
                <w:highlight w:val="none"/>
              </w:rPr>
            </w:pPr>
            <w:r>
              <w:rPr>
                <w:rFonts w:ascii="新宋体" w:hAnsi="新宋体" w:eastAsia="新宋体" w:cs="Arial"/>
                <w:bCs/>
                <w:color w:val="auto"/>
                <w:kern w:val="0"/>
                <w:sz w:val="20"/>
                <w:szCs w:val="20"/>
                <w:highlight w:val="none"/>
              </w:rPr>
              <w:t>X</w:t>
            </w:r>
            <w:r>
              <w:rPr>
                <w:rFonts w:ascii="新宋体" w:hAnsi="新宋体" w:eastAsia="新宋体" w:cs="宋体"/>
                <w:bCs/>
                <w:color w:val="auto"/>
                <w:kern w:val="0"/>
                <w:sz w:val="20"/>
                <w:szCs w:val="20"/>
                <w:highlight w:val="none"/>
              </w:rPr>
              <w:t>线球管</w:t>
            </w:r>
          </w:p>
        </w:tc>
      </w:tr>
      <w:tr w14:paraId="44ABC4CE">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5C53D707">
            <w:pPr>
              <w:widowControl/>
              <w:spacing w:after="0" w:line="360" w:lineRule="auto"/>
              <w:jc w:val="right"/>
              <w:rPr>
                <w:rFonts w:ascii="新宋体" w:hAnsi="新宋体" w:eastAsia="新宋体" w:cs="Arial"/>
                <w:bCs/>
                <w:color w:val="auto"/>
                <w:kern w:val="0"/>
                <w:sz w:val="20"/>
                <w:szCs w:val="20"/>
                <w:highlight w:val="none"/>
              </w:rPr>
            </w:pPr>
            <w:r>
              <w:rPr>
                <w:rFonts w:hint="eastAsia" w:ascii="新宋体" w:hAnsi="新宋体" w:eastAsia="新宋体" w:cs="Arial"/>
                <w:bCs/>
                <w:color w:val="auto"/>
                <w:kern w:val="0"/>
                <w:sz w:val="20"/>
                <w:szCs w:val="20"/>
                <w:highlight w:val="none"/>
              </w:rPr>
              <w:t>▲</w:t>
            </w:r>
            <w:r>
              <w:rPr>
                <w:rFonts w:ascii="新宋体" w:hAnsi="新宋体" w:eastAsia="新宋体" w:cs="Arial"/>
                <w:bCs/>
                <w:color w:val="auto"/>
                <w:kern w:val="0"/>
                <w:sz w:val="20"/>
                <w:szCs w:val="20"/>
                <w:highlight w:val="none"/>
              </w:rPr>
              <w:t>6</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1</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40D3EA99">
            <w:pPr>
              <w:widowControl/>
              <w:spacing w:after="0" w:line="360" w:lineRule="auto"/>
              <w:jc w:val="both"/>
              <w:rPr>
                <w:rFonts w:ascii="新宋体" w:hAnsi="新宋体" w:eastAsia="新宋体" w:cs="宋体"/>
                <w:bCs/>
                <w:color w:val="auto"/>
                <w:kern w:val="0"/>
                <w:sz w:val="20"/>
                <w:szCs w:val="20"/>
                <w:highlight w:val="none"/>
              </w:rPr>
            </w:pPr>
            <w:r>
              <w:rPr>
                <w:rFonts w:ascii="新宋体" w:hAnsi="新宋体" w:eastAsia="新宋体" w:cs="宋体"/>
                <w:bCs/>
                <w:color w:val="auto"/>
                <w:kern w:val="0"/>
                <w:sz w:val="20"/>
                <w:szCs w:val="20"/>
                <w:highlight w:val="none"/>
              </w:rPr>
              <w:t>球管阳极热容量</w:t>
            </w:r>
            <w:r>
              <w:rPr>
                <w:rFonts w:hint="eastAsia" w:ascii="新宋体" w:hAnsi="新宋体" w:eastAsia="新宋体" w:cs="宋体"/>
                <w:bCs/>
                <w:color w:val="auto"/>
                <w:kern w:val="0"/>
                <w:sz w:val="20"/>
                <w:szCs w:val="20"/>
                <w:highlight w:val="none"/>
              </w:rPr>
              <w:t>：</w:t>
            </w:r>
            <w:r>
              <w:rPr>
                <w:rFonts w:ascii="新宋体" w:hAnsi="新宋体" w:eastAsia="新宋体" w:cs="宋体"/>
                <w:bCs/>
                <w:color w:val="auto"/>
                <w:kern w:val="0"/>
                <w:sz w:val="20"/>
                <w:szCs w:val="20"/>
                <w:highlight w:val="none"/>
              </w:rPr>
              <w:t>≥</w:t>
            </w:r>
            <w:r>
              <w:rPr>
                <w:rFonts w:hint="eastAsia" w:ascii="新宋体" w:hAnsi="新宋体" w:eastAsia="新宋体" w:cs="宋体"/>
                <w:bCs/>
                <w:color w:val="auto"/>
                <w:kern w:val="0"/>
                <w:sz w:val="20"/>
                <w:szCs w:val="20"/>
                <w:highlight w:val="none"/>
                <w:lang w:val="en-US" w:eastAsia="zh-CN"/>
              </w:rPr>
              <w:t>4.7</w:t>
            </w:r>
            <w:r>
              <w:rPr>
                <w:rFonts w:ascii="新宋体" w:hAnsi="新宋体" w:eastAsia="新宋体" w:cs="Arial"/>
                <w:bCs/>
                <w:color w:val="auto"/>
                <w:kern w:val="0"/>
                <w:sz w:val="20"/>
                <w:szCs w:val="20"/>
                <w:highlight w:val="none"/>
              </w:rPr>
              <w:t>MHU</w:t>
            </w:r>
          </w:p>
        </w:tc>
      </w:tr>
      <w:tr w14:paraId="4BD445F7">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159B955A">
            <w:pPr>
              <w:widowControl/>
              <w:spacing w:after="0" w:line="360" w:lineRule="auto"/>
              <w:jc w:val="right"/>
              <w:rPr>
                <w:rFonts w:ascii="新宋体" w:hAnsi="新宋体" w:eastAsia="新宋体" w:cstheme="minorBidi"/>
                <w:bCs/>
                <w:color w:val="auto"/>
                <w:kern w:val="0"/>
                <w:sz w:val="20"/>
                <w:szCs w:val="20"/>
                <w:highlight w:val="none"/>
              </w:rPr>
            </w:pPr>
            <w:r>
              <w:rPr>
                <w:rFonts w:hint="eastAsia" w:ascii="新宋体" w:hAnsi="新宋体" w:eastAsia="新宋体" w:cs="Arial"/>
                <w:bCs/>
                <w:color w:val="auto"/>
                <w:kern w:val="0"/>
                <w:sz w:val="20"/>
                <w:szCs w:val="20"/>
                <w:highlight w:val="none"/>
              </w:rPr>
              <w:t>▲</w:t>
            </w:r>
            <w:r>
              <w:rPr>
                <w:rFonts w:ascii="新宋体" w:hAnsi="新宋体" w:eastAsia="新宋体" w:cs="Arial"/>
                <w:bCs/>
                <w:color w:val="auto"/>
                <w:kern w:val="0"/>
                <w:sz w:val="20"/>
                <w:szCs w:val="20"/>
                <w:highlight w:val="none"/>
              </w:rPr>
              <w:t>6</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2</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303528BE">
            <w:pPr>
              <w:widowControl/>
              <w:spacing w:after="0" w:line="360" w:lineRule="auto"/>
              <w:jc w:val="both"/>
              <w:rPr>
                <w:rFonts w:ascii="新宋体" w:hAnsi="新宋体" w:eastAsia="新宋体" w:cs="宋体"/>
                <w:bCs/>
                <w:color w:val="auto"/>
                <w:kern w:val="0"/>
                <w:sz w:val="20"/>
                <w:szCs w:val="20"/>
                <w:highlight w:val="none"/>
              </w:rPr>
            </w:pPr>
            <w:r>
              <w:rPr>
                <w:rFonts w:hint="eastAsia" w:ascii="新宋体" w:hAnsi="新宋体" w:eastAsia="新宋体" w:cs="宋体"/>
                <w:bCs/>
                <w:color w:val="auto"/>
                <w:kern w:val="0"/>
                <w:sz w:val="20"/>
                <w:szCs w:val="20"/>
                <w:highlight w:val="none"/>
              </w:rPr>
              <w:t>球管管套</w:t>
            </w:r>
            <w:r>
              <w:rPr>
                <w:rFonts w:ascii="新宋体" w:hAnsi="新宋体" w:eastAsia="新宋体" w:cs="宋体"/>
                <w:bCs/>
                <w:color w:val="auto"/>
                <w:kern w:val="0"/>
                <w:sz w:val="20"/>
                <w:szCs w:val="20"/>
                <w:highlight w:val="none"/>
              </w:rPr>
              <w:t>热容量</w:t>
            </w:r>
            <w:r>
              <w:rPr>
                <w:rFonts w:hint="eastAsia" w:ascii="新宋体" w:hAnsi="新宋体" w:eastAsia="新宋体" w:cs="宋体"/>
                <w:bCs/>
                <w:color w:val="auto"/>
                <w:kern w:val="0"/>
                <w:sz w:val="20"/>
                <w:szCs w:val="20"/>
                <w:highlight w:val="none"/>
              </w:rPr>
              <w:t>：</w:t>
            </w:r>
            <w:r>
              <w:rPr>
                <w:rFonts w:ascii="新宋体" w:hAnsi="新宋体" w:eastAsia="新宋体" w:cs="宋体"/>
                <w:bCs/>
                <w:color w:val="auto"/>
                <w:kern w:val="0"/>
                <w:sz w:val="20"/>
                <w:szCs w:val="20"/>
                <w:highlight w:val="none"/>
              </w:rPr>
              <w:t>≥</w:t>
            </w:r>
            <w:r>
              <w:rPr>
                <w:rFonts w:hint="eastAsia" w:ascii="新宋体" w:hAnsi="新宋体" w:eastAsia="新宋体" w:cs="宋体"/>
                <w:bCs/>
                <w:color w:val="auto"/>
                <w:kern w:val="0"/>
                <w:sz w:val="20"/>
                <w:szCs w:val="20"/>
                <w:highlight w:val="none"/>
              </w:rPr>
              <w:t>7</w:t>
            </w:r>
            <w:r>
              <w:rPr>
                <w:rFonts w:ascii="新宋体" w:hAnsi="新宋体" w:eastAsia="新宋体" w:cs="Arial"/>
                <w:bCs/>
                <w:color w:val="auto"/>
                <w:kern w:val="0"/>
                <w:sz w:val="20"/>
                <w:szCs w:val="20"/>
                <w:highlight w:val="none"/>
              </w:rPr>
              <w:t>MHU</w:t>
            </w:r>
          </w:p>
        </w:tc>
      </w:tr>
      <w:tr w14:paraId="3DD440E4">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3884367B">
            <w:pPr>
              <w:widowControl/>
              <w:spacing w:after="0" w:line="360" w:lineRule="auto"/>
              <w:jc w:val="right"/>
              <w:rPr>
                <w:rFonts w:ascii="新宋体" w:hAnsi="新宋体" w:eastAsia="新宋体" w:cstheme="minorBidi"/>
                <w:bCs/>
                <w:color w:val="auto"/>
                <w:kern w:val="0"/>
                <w:sz w:val="20"/>
                <w:szCs w:val="20"/>
                <w:highlight w:val="none"/>
              </w:rPr>
            </w:pPr>
            <w:r>
              <w:rPr>
                <w:rFonts w:ascii="新宋体" w:hAnsi="新宋体" w:eastAsia="新宋体" w:cs="Arial"/>
                <w:bCs/>
                <w:color w:val="auto"/>
                <w:kern w:val="0"/>
                <w:sz w:val="20"/>
                <w:szCs w:val="20"/>
                <w:highlight w:val="none"/>
              </w:rPr>
              <w:t>6</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3</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758F8A9E">
            <w:pPr>
              <w:widowControl/>
              <w:spacing w:after="0" w:line="360" w:lineRule="auto"/>
              <w:jc w:val="both"/>
              <w:rPr>
                <w:rFonts w:ascii="新宋体" w:hAnsi="新宋体" w:eastAsia="新宋体" w:cs="宋体"/>
                <w:bCs/>
                <w:color w:val="auto"/>
                <w:kern w:val="0"/>
                <w:sz w:val="20"/>
                <w:szCs w:val="20"/>
                <w:highlight w:val="none"/>
              </w:rPr>
            </w:pPr>
            <w:r>
              <w:rPr>
                <w:rFonts w:hint="eastAsia" w:ascii="新宋体" w:hAnsi="新宋体" w:eastAsia="新宋体" w:cs="宋体"/>
                <w:bCs/>
                <w:color w:val="auto"/>
                <w:kern w:val="0"/>
                <w:sz w:val="20"/>
                <w:szCs w:val="20"/>
                <w:highlight w:val="none"/>
              </w:rPr>
              <w:t>最大阳极</w:t>
            </w:r>
            <w:r>
              <w:rPr>
                <w:rFonts w:ascii="新宋体" w:hAnsi="新宋体" w:eastAsia="新宋体" w:cs="宋体"/>
                <w:bCs/>
                <w:color w:val="auto"/>
                <w:kern w:val="0"/>
                <w:sz w:val="20"/>
                <w:szCs w:val="20"/>
                <w:highlight w:val="none"/>
              </w:rPr>
              <w:t>冷却速</w:t>
            </w:r>
            <w:r>
              <w:rPr>
                <w:rFonts w:hint="eastAsia" w:ascii="新宋体" w:hAnsi="新宋体" w:eastAsia="新宋体" w:cs="宋体"/>
                <w:bCs/>
                <w:color w:val="auto"/>
                <w:kern w:val="0"/>
                <w:sz w:val="20"/>
                <w:szCs w:val="20"/>
                <w:highlight w:val="none"/>
              </w:rPr>
              <w:t>率：</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1</w:t>
            </w:r>
            <w:r>
              <w:rPr>
                <w:rFonts w:hint="eastAsia" w:ascii="新宋体" w:hAnsi="新宋体" w:eastAsia="新宋体" w:cs="Arial"/>
                <w:bCs/>
                <w:color w:val="auto"/>
                <w:kern w:val="0"/>
                <w:sz w:val="20"/>
                <w:szCs w:val="20"/>
                <w:highlight w:val="none"/>
                <w:lang w:val="en-US" w:eastAsia="zh-CN"/>
              </w:rPr>
              <w:t>0</w:t>
            </w:r>
            <w:r>
              <w:rPr>
                <w:rFonts w:ascii="新宋体" w:hAnsi="新宋体" w:eastAsia="新宋体" w:cs="Arial"/>
                <w:bCs/>
                <w:color w:val="auto"/>
                <w:kern w:val="0"/>
                <w:sz w:val="20"/>
                <w:szCs w:val="20"/>
                <w:highlight w:val="none"/>
              </w:rPr>
              <w:t>50kHU/min</w:t>
            </w:r>
          </w:p>
        </w:tc>
      </w:tr>
      <w:tr w14:paraId="32E1EE5B">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1B8D5B1F">
            <w:pPr>
              <w:widowControl/>
              <w:spacing w:after="0" w:line="360" w:lineRule="auto"/>
              <w:jc w:val="right"/>
              <w:rPr>
                <w:rFonts w:ascii="新宋体" w:hAnsi="新宋体" w:eastAsia="新宋体" w:cstheme="minorBidi"/>
                <w:bCs/>
                <w:color w:val="auto"/>
                <w:kern w:val="0"/>
                <w:sz w:val="20"/>
                <w:szCs w:val="20"/>
                <w:highlight w:val="none"/>
              </w:rPr>
            </w:pPr>
            <w:r>
              <w:rPr>
                <w:rFonts w:hint="eastAsia" w:ascii="新宋体" w:hAnsi="新宋体" w:eastAsia="新宋体" w:cs="Arial"/>
                <w:bCs/>
                <w:color w:val="auto"/>
                <w:kern w:val="0"/>
                <w:sz w:val="20"/>
                <w:szCs w:val="20"/>
                <w:highlight w:val="none"/>
              </w:rPr>
              <w:t>▲</w:t>
            </w:r>
            <w:r>
              <w:rPr>
                <w:rFonts w:ascii="新宋体" w:hAnsi="新宋体" w:eastAsia="新宋体" w:cs="Arial"/>
                <w:bCs/>
                <w:color w:val="auto"/>
                <w:kern w:val="0"/>
                <w:sz w:val="20"/>
                <w:szCs w:val="20"/>
                <w:highlight w:val="none"/>
              </w:rPr>
              <w:t>6</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4</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51F1F6C4">
            <w:pPr>
              <w:widowControl/>
              <w:spacing w:after="0" w:line="360" w:lineRule="auto"/>
              <w:jc w:val="both"/>
              <w:rPr>
                <w:rFonts w:ascii="新宋体" w:hAnsi="新宋体" w:eastAsia="新宋体" w:cstheme="minorBidi"/>
                <w:bCs/>
                <w:color w:val="auto"/>
                <w:kern w:val="0"/>
                <w:sz w:val="20"/>
                <w:szCs w:val="20"/>
                <w:highlight w:val="none"/>
              </w:rPr>
            </w:pPr>
            <w:r>
              <w:rPr>
                <w:rFonts w:ascii="新宋体" w:hAnsi="新宋体" w:eastAsia="新宋体" w:cs="宋体"/>
                <w:bCs/>
                <w:color w:val="auto"/>
                <w:kern w:val="0"/>
                <w:sz w:val="20"/>
                <w:szCs w:val="20"/>
                <w:highlight w:val="none"/>
              </w:rPr>
              <w:t>球管阳极散热率</w:t>
            </w:r>
            <w:r>
              <w:rPr>
                <w:rFonts w:hint="eastAsia" w:ascii="新宋体" w:hAnsi="新宋体" w:eastAsia="新宋体" w:cs="宋体"/>
                <w:bCs/>
                <w:color w:val="auto"/>
                <w:kern w:val="0"/>
                <w:sz w:val="20"/>
                <w:szCs w:val="20"/>
                <w:highlight w:val="none"/>
              </w:rPr>
              <w:t>：</w:t>
            </w:r>
            <w:r>
              <w:rPr>
                <w:rFonts w:ascii="新宋体" w:hAnsi="新宋体" w:eastAsia="新宋体" w:cs="宋体"/>
                <w:bCs/>
                <w:color w:val="auto"/>
                <w:kern w:val="0"/>
                <w:sz w:val="20"/>
                <w:szCs w:val="20"/>
                <w:highlight w:val="none"/>
              </w:rPr>
              <w:t>≥</w:t>
            </w:r>
            <w:r>
              <w:rPr>
                <w:rFonts w:hint="eastAsia" w:ascii="新宋体" w:hAnsi="新宋体" w:eastAsia="新宋体" w:cs="宋体"/>
                <w:bCs/>
                <w:color w:val="auto"/>
                <w:kern w:val="0"/>
                <w:sz w:val="20"/>
                <w:szCs w:val="20"/>
                <w:highlight w:val="none"/>
                <w:lang w:val="en-US" w:eastAsia="zh-CN"/>
              </w:rPr>
              <w:t>9</w:t>
            </w:r>
            <w:r>
              <w:rPr>
                <w:rFonts w:hint="eastAsia" w:ascii="新宋体" w:hAnsi="新宋体" w:eastAsia="新宋体" w:cs="宋体"/>
                <w:bCs/>
                <w:color w:val="auto"/>
                <w:kern w:val="0"/>
                <w:sz w:val="20"/>
                <w:szCs w:val="20"/>
                <w:highlight w:val="none"/>
              </w:rPr>
              <w:t>0</w:t>
            </w:r>
            <w:r>
              <w:rPr>
                <w:rFonts w:ascii="新宋体" w:hAnsi="新宋体" w:eastAsia="新宋体" w:cs="Arial"/>
                <w:bCs/>
                <w:color w:val="auto"/>
                <w:kern w:val="0"/>
                <w:sz w:val="20"/>
                <w:szCs w:val="20"/>
                <w:highlight w:val="none"/>
              </w:rPr>
              <w:t>00 W</w:t>
            </w:r>
          </w:p>
        </w:tc>
      </w:tr>
      <w:tr w14:paraId="6AF2BCE9">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7EE4DE49">
            <w:pPr>
              <w:widowControl/>
              <w:spacing w:after="0" w:line="360" w:lineRule="auto"/>
              <w:jc w:val="right"/>
              <w:rPr>
                <w:rFonts w:ascii="新宋体" w:hAnsi="新宋体" w:eastAsia="新宋体" w:cstheme="minorBidi"/>
                <w:bCs/>
                <w:color w:val="auto"/>
                <w:kern w:val="0"/>
                <w:sz w:val="20"/>
                <w:szCs w:val="20"/>
                <w:highlight w:val="none"/>
              </w:rPr>
            </w:pPr>
            <w:r>
              <w:rPr>
                <w:rFonts w:ascii="新宋体" w:hAnsi="新宋体" w:eastAsia="新宋体" w:cs="Arial"/>
                <w:bCs/>
                <w:color w:val="auto"/>
                <w:kern w:val="0"/>
                <w:sz w:val="20"/>
                <w:szCs w:val="20"/>
                <w:highlight w:val="none"/>
              </w:rPr>
              <w:t>6</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5</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5813EF29">
            <w:pPr>
              <w:widowControl/>
              <w:spacing w:after="0" w:line="360" w:lineRule="auto"/>
              <w:jc w:val="both"/>
              <w:rPr>
                <w:rFonts w:ascii="新宋体" w:hAnsi="新宋体" w:eastAsia="新宋体" w:cstheme="minorBidi"/>
                <w:bCs/>
                <w:color w:val="auto"/>
                <w:kern w:val="0"/>
                <w:sz w:val="20"/>
                <w:szCs w:val="20"/>
                <w:highlight w:val="none"/>
              </w:rPr>
            </w:pPr>
            <w:r>
              <w:rPr>
                <w:rFonts w:ascii="新宋体" w:hAnsi="新宋体" w:eastAsia="新宋体" w:cs="宋体"/>
                <w:bCs/>
                <w:color w:val="auto"/>
                <w:kern w:val="0"/>
                <w:sz w:val="20"/>
                <w:szCs w:val="20"/>
                <w:highlight w:val="none"/>
              </w:rPr>
              <w:t>金属陶瓷外壳</w:t>
            </w:r>
          </w:p>
        </w:tc>
      </w:tr>
      <w:tr w14:paraId="39379687">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22B5EB13">
            <w:pPr>
              <w:widowControl/>
              <w:spacing w:after="0" w:line="360" w:lineRule="auto"/>
              <w:jc w:val="right"/>
              <w:rPr>
                <w:rFonts w:ascii="新宋体" w:hAnsi="新宋体" w:eastAsia="新宋体" w:cstheme="minorBidi"/>
                <w:bCs/>
                <w:color w:val="auto"/>
                <w:kern w:val="0"/>
                <w:sz w:val="20"/>
                <w:szCs w:val="20"/>
                <w:highlight w:val="none"/>
              </w:rPr>
            </w:pPr>
            <w:r>
              <w:rPr>
                <w:rFonts w:ascii="新宋体" w:hAnsi="新宋体" w:eastAsia="新宋体" w:cs="Arial"/>
                <w:bCs/>
                <w:color w:val="auto"/>
                <w:kern w:val="0"/>
                <w:sz w:val="20"/>
                <w:szCs w:val="20"/>
                <w:highlight w:val="none"/>
              </w:rPr>
              <w:t>6</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6</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2E9546E4">
            <w:pPr>
              <w:widowControl/>
              <w:spacing w:after="0" w:line="360" w:lineRule="auto"/>
              <w:jc w:val="both"/>
              <w:rPr>
                <w:rFonts w:ascii="新宋体" w:hAnsi="新宋体" w:eastAsia="新宋体" w:cstheme="minorBidi"/>
                <w:bCs/>
                <w:color w:val="auto"/>
                <w:kern w:val="0"/>
                <w:sz w:val="20"/>
                <w:szCs w:val="20"/>
                <w:highlight w:val="none"/>
              </w:rPr>
            </w:pPr>
            <w:r>
              <w:rPr>
                <w:rFonts w:ascii="新宋体" w:hAnsi="新宋体" w:eastAsia="新宋体" w:cs="宋体"/>
                <w:bCs/>
                <w:color w:val="auto"/>
                <w:kern w:val="0"/>
                <w:sz w:val="20"/>
                <w:szCs w:val="20"/>
                <w:highlight w:val="none"/>
              </w:rPr>
              <w:t>液态金属轴承球管</w:t>
            </w:r>
          </w:p>
        </w:tc>
      </w:tr>
      <w:tr w14:paraId="6B443EBF">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551919B7">
            <w:pPr>
              <w:widowControl/>
              <w:spacing w:after="0" w:line="360" w:lineRule="auto"/>
              <w:jc w:val="right"/>
              <w:rPr>
                <w:rFonts w:ascii="新宋体" w:hAnsi="新宋体" w:eastAsia="新宋体" w:cstheme="minorBidi"/>
                <w:bCs/>
                <w:color w:val="auto"/>
                <w:kern w:val="0"/>
                <w:sz w:val="20"/>
                <w:szCs w:val="20"/>
                <w:highlight w:val="none"/>
              </w:rPr>
            </w:pPr>
            <w:r>
              <w:rPr>
                <w:rFonts w:hint="eastAsia" w:ascii="新宋体" w:hAnsi="新宋体" w:eastAsia="新宋体" w:cs="Arial"/>
                <w:bCs/>
                <w:color w:val="auto"/>
                <w:kern w:val="0"/>
                <w:sz w:val="20"/>
                <w:szCs w:val="20"/>
                <w:highlight w:val="none"/>
              </w:rPr>
              <w:t>▲</w:t>
            </w:r>
            <w:r>
              <w:rPr>
                <w:rFonts w:ascii="新宋体" w:hAnsi="新宋体" w:eastAsia="新宋体" w:cs="Arial"/>
                <w:bCs/>
                <w:color w:val="auto"/>
                <w:kern w:val="0"/>
                <w:sz w:val="20"/>
                <w:szCs w:val="20"/>
                <w:highlight w:val="none"/>
              </w:rPr>
              <w:t>6</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7</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044B4277">
            <w:pPr>
              <w:widowControl/>
              <w:spacing w:after="0" w:line="360" w:lineRule="auto"/>
              <w:jc w:val="both"/>
              <w:rPr>
                <w:rFonts w:ascii="新宋体" w:hAnsi="新宋体" w:eastAsia="新宋体" w:cstheme="minorBidi"/>
                <w:bCs/>
                <w:color w:val="auto"/>
                <w:kern w:val="0"/>
                <w:sz w:val="20"/>
                <w:szCs w:val="20"/>
                <w:highlight w:val="none"/>
              </w:rPr>
            </w:pPr>
            <w:r>
              <w:rPr>
                <w:rFonts w:hint="eastAsia" w:ascii="新宋体" w:hAnsi="新宋体" w:eastAsia="新宋体" w:cstheme="minorBidi"/>
                <w:bCs/>
                <w:color w:val="auto"/>
                <w:kern w:val="0"/>
                <w:sz w:val="20"/>
                <w:szCs w:val="20"/>
                <w:highlight w:val="none"/>
              </w:rPr>
              <w:t>1</w:t>
            </w:r>
            <w:r>
              <w:rPr>
                <w:rFonts w:ascii="新宋体" w:hAnsi="新宋体" w:eastAsia="新宋体" w:cstheme="minorBidi"/>
                <w:bCs/>
                <w:color w:val="auto"/>
                <w:kern w:val="0"/>
                <w:sz w:val="20"/>
                <w:szCs w:val="20"/>
                <w:highlight w:val="none"/>
              </w:rPr>
              <w:t>0</w:t>
            </w:r>
            <w:r>
              <w:rPr>
                <w:rFonts w:hint="eastAsia" w:ascii="新宋体" w:hAnsi="新宋体" w:eastAsia="新宋体" w:cstheme="minorBidi"/>
                <w:bCs/>
                <w:color w:val="auto"/>
                <w:kern w:val="0"/>
                <w:sz w:val="20"/>
                <w:szCs w:val="20"/>
                <w:highlight w:val="none"/>
              </w:rPr>
              <w:t>分钟透视</w:t>
            </w:r>
            <w:r>
              <w:rPr>
                <w:rFonts w:ascii="新宋体" w:hAnsi="新宋体" w:eastAsia="新宋体" w:cstheme="minorBidi"/>
                <w:bCs/>
                <w:color w:val="auto"/>
                <w:kern w:val="0"/>
                <w:sz w:val="20"/>
                <w:szCs w:val="20"/>
                <w:highlight w:val="none"/>
              </w:rPr>
              <w:t>功率</w:t>
            </w:r>
            <w:r>
              <w:rPr>
                <w:rFonts w:hint="eastAsia" w:ascii="新宋体" w:hAnsi="新宋体" w:eastAsia="新宋体" w:cstheme="minorBidi"/>
                <w:bCs/>
                <w:color w:val="auto"/>
                <w:kern w:val="0"/>
                <w:sz w:val="20"/>
                <w:szCs w:val="20"/>
                <w:highlight w:val="none"/>
              </w:rPr>
              <w:t>：</w:t>
            </w:r>
            <w:r>
              <w:rPr>
                <w:rFonts w:ascii="新宋体" w:hAnsi="新宋体" w:eastAsia="新宋体" w:cstheme="minorBidi"/>
                <w:bCs/>
                <w:color w:val="auto"/>
                <w:kern w:val="0"/>
                <w:sz w:val="20"/>
                <w:szCs w:val="20"/>
                <w:highlight w:val="none"/>
              </w:rPr>
              <w:t>≥4500W</w:t>
            </w:r>
          </w:p>
        </w:tc>
      </w:tr>
      <w:tr w14:paraId="08D06EBB">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161DE17E">
            <w:pPr>
              <w:widowControl/>
              <w:spacing w:after="0" w:line="360" w:lineRule="auto"/>
              <w:jc w:val="right"/>
              <w:rPr>
                <w:rFonts w:ascii="新宋体" w:hAnsi="新宋体" w:eastAsia="新宋体" w:cstheme="minorBidi"/>
                <w:bCs/>
                <w:color w:val="auto"/>
                <w:kern w:val="0"/>
                <w:sz w:val="20"/>
                <w:szCs w:val="20"/>
                <w:highlight w:val="none"/>
              </w:rPr>
            </w:pPr>
            <w:r>
              <w:rPr>
                <w:rFonts w:ascii="新宋体" w:hAnsi="新宋体" w:eastAsia="新宋体" w:cs="Arial"/>
                <w:bCs/>
                <w:color w:val="auto"/>
                <w:kern w:val="0"/>
                <w:sz w:val="20"/>
                <w:szCs w:val="20"/>
                <w:highlight w:val="none"/>
              </w:rPr>
              <w:t>6</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9</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6034FEAD">
            <w:pPr>
              <w:widowControl/>
              <w:spacing w:after="0" w:line="360" w:lineRule="auto"/>
              <w:jc w:val="both"/>
              <w:rPr>
                <w:rFonts w:ascii="新宋体" w:hAnsi="新宋体" w:eastAsia="新宋体" w:cstheme="minorBidi"/>
                <w:bCs/>
                <w:color w:val="auto"/>
                <w:kern w:val="0"/>
                <w:sz w:val="20"/>
                <w:szCs w:val="20"/>
                <w:highlight w:val="none"/>
              </w:rPr>
            </w:pPr>
            <w:r>
              <w:rPr>
                <w:rFonts w:ascii="新宋体" w:hAnsi="新宋体" w:eastAsia="新宋体" w:cs="宋体"/>
                <w:bCs/>
                <w:color w:val="auto"/>
                <w:kern w:val="0"/>
                <w:sz w:val="20"/>
                <w:szCs w:val="20"/>
                <w:highlight w:val="none"/>
              </w:rPr>
              <w:t>球管阳极转速</w:t>
            </w:r>
            <w:r>
              <w:rPr>
                <w:rFonts w:hint="eastAsia" w:ascii="新宋体" w:hAnsi="新宋体" w:eastAsia="新宋体" w:cs="宋体"/>
                <w:bCs/>
                <w:color w:val="auto"/>
                <w:kern w:val="0"/>
                <w:sz w:val="20"/>
                <w:szCs w:val="20"/>
                <w:highlight w:val="none"/>
              </w:rPr>
              <w:t>：≤9</w:t>
            </w:r>
            <w:r>
              <w:rPr>
                <w:rFonts w:hint="eastAsia" w:ascii="新宋体" w:hAnsi="新宋体" w:eastAsia="新宋体" w:cs="宋体"/>
                <w:bCs/>
                <w:color w:val="auto"/>
                <w:kern w:val="0"/>
                <w:sz w:val="20"/>
                <w:szCs w:val="20"/>
                <w:highlight w:val="none"/>
                <w:lang w:val="en-US" w:eastAsia="zh-CN"/>
              </w:rPr>
              <w:t>5</w:t>
            </w:r>
            <w:r>
              <w:rPr>
                <w:rFonts w:ascii="新宋体" w:hAnsi="新宋体" w:eastAsia="新宋体" w:cs="Arial"/>
                <w:bCs/>
                <w:color w:val="auto"/>
                <w:kern w:val="0"/>
                <w:sz w:val="20"/>
                <w:szCs w:val="20"/>
                <w:highlight w:val="none"/>
              </w:rPr>
              <w:t>00</w:t>
            </w:r>
            <w:r>
              <w:rPr>
                <w:rFonts w:ascii="新宋体" w:hAnsi="新宋体" w:eastAsia="新宋体" w:cs="宋体"/>
                <w:bCs/>
                <w:color w:val="auto"/>
                <w:kern w:val="0"/>
                <w:sz w:val="20"/>
                <w:szCs w:val="20"/>
                <w:highlight w:val="none"/>
              </w:rPr>
              <w:t>转</w:t>
            </w:r>
            <w:r>
              <w:rPr>
                <w:rFonts w:ascii="新宋体" w:hAnsi="新宋体" w:eastAsia="新宋体" w:cs="Arial"/>
                <w:bCs/>
                <w:color w:val="auto"/>
                <w:kern w:val="0"/>
                <w:sz w:val="20"/>
                <w:szCs w:val="20"/>
                <w:highlight w:val="none"/>
              </w:rPr>
              <w:t>/</w:t>
            </w:r>
            <w:r>
              <w:rPr>
                <w:rFonts w:ascii="新宋体" w:hAnsi="新宋体" w:eastAsia="新宋体" w:cs="宋体"/>
                <w:bCs/>
                <w:color w:val="auto"/>
                <w:kern w:val="0"/>
                <w:sz w:val="20"/>
                <w:szCs w:val="20"/>
                <w:highlight w:val="none"/>
              </w:rPr>
              <w:t>分钟</w:t>
            </w:r>
          </w:p>
        </w:tc>
      </w:tr>
      <w:tr w14:paraId="2AFCCF52">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7FD2E341">
            <w:pPr>
              <w:widowControl/>
              <w:spacing w:after="0" w:line="360" w:lineRule="auto"/>
              <w:jc w:val="right"/>
              <w:rPr>
                <w:rFonts w:ascii="新宋体" w:hAnsi="新宋体" w:eastAsia="新宋体" w:cstheme="minorBidi"/>
                <w:bCs/>
                <w:color w:val="auto"/>
                <w:kern w:val="0"/>
                <w:sz w:val="20"/>
                <w:szCs w:val="20"/>
                <w:highlight w:val="none"/>
              </w:rPr>
            </w:pPr>
            <w:r>
              <w:rPr>
                <w:rFonts w:ascii="新宋体" w:hAnsi="新宋体" w:eastAsia="新宋体" w:cs="Arial"/>
                <w:bCs/>
                <w:color w:val="auto"/>
                <w:kern w:val="0"/>
                <w:sz w:val="20"/>
                <w:szCs w:val="20"/>
                <w:highlight w:val="none"/>
              </w:rPr>
              <w:t>6</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10</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20F5F546">
            <w:pPr>
              <w:widowControl/>
              <w:spacing w:after="0" w:line="360" w:lineRule="auto"/>
              <w:jc w:val="both"/>
              <w:rPr>
                <w:rFonts w:ascii="新宋体" w:hAnsi="新宋体" w:eastAsia="新宋体" w:cstheme="minorBidi"/>
                <w:bCs/>
                <w:color w:val="auto"/>
                <w:kern w:val="0"/>
                <w:sz w:val="20"/>
                <w:szCs w:val="20"/>
                <w:highlight w:val="none"/>
              </w:rPr>
            </w:pPr>
            <w:r>
              <w:rPr>
                <w:rFonts w:ascii="新宋体" w:hAnsi="新宋体" w:eastAsia="新宋体" w:cs="宋体"/>
                <w:bCs/>
                <w:color w:val="auto"/>
                <w:kern w:val="0"/>
                <w:sz w:val="20"/>
                <w:szCs w:val="20"/>
                <w:highlight w:val="none"/>
              </w:rPr>
              <w:t>球管小焦点</w:t>
            </w:r>
            <w:r>
              <w:rPr>
                <w:rFonts w:hint="eastAsia"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0.</w:t>
            </w:r>
            <w:r>
              <w:rPr>
                <w:rFonts w:hint="eastAsia" w:ascii="新宋体" w:hAnsi="新宋体" w:eastAsia="新宋体" w:cs="Arial"/>
                <w:bCs/>
                <w:color w:val="auto"/>
                <w:kern w:val="0"/>
                <w:sz w:val="20"/>
                <w:szCs w:val="20"/>
                <w:highlight w:val="none"/>
              </w:rPr>
              <w:t>4</w:t>
            </w:r>
            <w:r>
              <w:rPr>
                <w:rFonts w:ascii="新宋体" w:hAnsi="新宋体" w:eastAsia="新宋体" w:cs="Arial"/>
                <w:bCs/>
                <w:color w:val="auto"/>
                <w:kern w:val="0"/>
                <w:sz w:val="20"/>
                <w:szCs w:val="20"/>
                <w:highlight w:val="none"/>
              </w:rPr>
              <w:t>mm</w:t>
            </w:r>
          </w:p>
        </w:tc>
      </w:tr>
      <w:tr w14:paraId="368B491D">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30C2AA2D">
            <w:pPr>
              <w:widowControl/>
              <w:spacing w:after="0" w:line="360" w:lineRule="auto"/>
              <w:jc w:val="right"/>
              <w:rPr>
                <w:rFonts w:ascii="新宋体" w:hAnsi="新宋体" w:eastAsia="新宋体" w:cs="Arial"/>
                <w:bCs/>
                <w:color w:val="auto"/>
                <w:kern w:val="0"/>
                <w:sz w:val="20"/>
                <w:szCs w:val="20"/>
                <w:highlight w:val="none"/>
              </w:rPr>
            </w:pPr>
            <w:r>
              <w:rPr>
                <w:rFonts w:ascii="新宋体" w:hAnsi="新宋体" w:eastAsia="新宋体" w:cs="Arial"/>
                <w:bCs/>
                <w:color w:val="auto"/>
                <w:kern w:val="0"/>
                <w:sz w:val="20"/>
                <w:szCs w:val="20"/>
                <w:highlight w:val="none"/>
              </w:rPr>
              <w:t>6</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11</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44FC8E32">
            <w:pPr>
              <w:widowControl/>
              <w:spacing w:after="0" w:line="360" w:lineRule="auto"/>
              <w:jc w:val="both"/>
              <w:rPr>
                <w:rFonts w:ascii="新宋体" w:hAnsi="新宋体" w:eastAsia="新宋体" w:cs="宋体"/>
                <w:bCs/>
                <w:color w:val="auto"/>
                <w:kern w:val="0"/>
                <w:sz w:val="20"/>
                <w:szCs w:val="20"/>
                <w:highlight w:val="none"/>
              </w:rPr>
            </w:pPr>
            <w:r>
              <w:rPr>
                <w:rFonts w:ascii="新宋体" w:hAnsi="新宋体" w:eastAsia="新宋体" w:cs="宋体"/>
                <w:bCs/>
                <w:color w:val="auto"/>
                <w:kern w:val="0"/>
                <w:sz w:val="20"/>
                <w:szCs w:val="20"/>
                <w:highlight w:val="none"/>
              </w:rPr>
              <w:t>大焦点</w:t>
            </w:r>
            <w:r>
              <w:rPr>
                <w:rFonts w:hint="eastAsia" w:ascii="新宋体" w:hAnsi="新宋体" w:eastAsia="新宋体" w:cs="宋体"/>
                <w:bCs/>
                <w:color w:val="auto"/>
                <w:kern w:val="0"/>
                <w:sz w:val="20"/>
                <w:szCs w:val="20"/>
                <w:highlight w:val="none"/>
              </w:rPr>
              <w:t>：</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0</w:t>
            </w:r>
            <w:r>
              <w:rPr>
                <w:rFonts w:hint="eastAsia" w:ascii="新宋体" w:hAnsi="新宋体" w:eastAsia="新宋体" w:cs="Arial"/>
                <w:bCs/>
                <w:color w:val="auto"/>
                <w:kern w:val="0"/>
                <w:sz w:val="20"/>
                <w:szCs w:val="20"/>
                <w:highlight w:val="none"/>
              </w:rPr>
              <w:t>.</w:t>
            </w:r>
            <w:r>
              <w:rPr>
                <w:rFonts w:hint="eastAsia" w:ascii="新宋体" w:hAnsi="新宋体" w:eastAsia="新宋体" w:cs="Arial"/>
                <w:bCs/>
                <w:color w:val="auto"/>
                <w:kern w:val="0"/>
                <w:sz w:val="20"/>
                <w:szCs w:val="20"/>
                <w:highlight w:val="none"/>
                <w:lang w:val="en-US" w:eastAsia="zh-CN"/>
              </w:rPr>
              <w:t>9</w:t>
            </w:r>
            <w:r>
              <w:rPr>
                <w:rFonts w:ascii="新宋体" w:hAnsi="新宋体" w:eastAsia="新宋体" w:cs="Arial"/>
                <w:bCs/>
                <w:color w:val="auto"/>
                <w:kern w:val="0"/>
                <w:sz w:val="20"/>
                <w:szCs w:val="20"/>
                <w:highlight w:val="none"/>
              </w:rPr>
              <w:t>mm</w:t>
            </w:r>
          </w:p>
        </w:tc>
      </w:tr>
      <w:tr w14:paraId="36AF3F60">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0FA0BD54">
            <w:pPr>
              <w:widowControl/>
              <w:spacing w:after="0" w:line="360" w:lineRule="auto"/>
              <w:jc w:val="right"/>
              <w:rPr>
                <w:rFonts w:ascii="新宋体" w:hAnsi="新宋体" w:eastAsia="新宋体" w:cstheme="minorBidi"/>
                <w:bCs/>
                <w:color w:val="auto"/>
                <w:kern w:val="0"/>
                <w:sz w:val="20"/>
                <w:szCs w:val="20"/>
                <w:highlight w:val="none"/>
              </w:rPr>
            </w:pPr>
            <w:r>
              <w:rPr>
                <w:rFonts w:ascii="新宋体" w:hAnsi="新宋体" w:eastAsia="新宋体" w:cs="Arial"/>
                <w:bCs/>
                <w:color w:val="auto"/>
                <w:kern w:val="0"/>
                <w:sz w:val="20"/>
                <w:szCs w:val="20"/>
                <w:highlight w:val="none"/>
              </w:rPr>
              <w:t>6</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12</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5EB15B97">
            <w:pPr>
              <w:widowControl/>
              <w:spacing w:after="0" w:line="360" w:lineRule="auto"/>
              <w:jc w:val="both"/>
              <w:rPr>
                <w:rFonts w:ascii="新宋体" w:hAnsi="新宋体" w:eastAsia="新宋体" w:cstheme="minorBidi"/>
                <w:bCs/>
                <w:color w:val="auto"/>
                <w:kern w:val="0"/>
                <w:sz w:val="20"/>
                <w:szCs w:val="20"/>
                <w:highlight w:val="none"/>
              </w:rPr>
            </w:pPr>
            <w:r>
              <w:rPr>
                <w:rFonts w:ascii="新宋体" w:hAnsi="新宋体" w:eastAsia="新宋体" w:cs="宋体"/>
                <w:bCs/>
                <w:color w:val="auto"/>
                <w:kern w:val="0"/>
                <w:sz w:val="20"/>
                <w:szCs w:val="20"/>
                <w:highlight w:val="none"/>
              </w:rPr>
              <w:t>最小焦点功率</w:t>
            </w:r>
            <w:r>
              <w:rPr>
                <w:rFonts w:hint="eastAsia" w:ascii="新宋体" w:hAnsi="新宋体" w:eastAsia="新宋体" w:cs="宋体"/>
                <w:bCs/>
                <w:color w:val="auto"/>
                <w:kern w:val="0"/>
                <w:sz w:val="20"/>
                <w:szCs w:val="20"/>
                <w:highlight w:val="none"/>
              </w:rPr>
              <w:t>：</w:t>
            </w:r>
            <w:r>
              <w:rPr>
                <w:rFonts w:ascii="新宋体" w:hAnsi="新宋体" w:eastAsia="新宋体" w:cs="宋体"/>
                <w:bCs/>
                <w:color w:val="auto"/>
                <w:kern w:val="0"/>
                <w:sz w:val="20"/>
                <w:szCs w:val="20"/>
                <w:highlight w:val="none"/>
              </w:rPr>
              <w:t>≥</w:t>
            </w:r>
            <w:r>
              <w:rPr>
                <w:rFonts w:hint="eastAsia" w:ascii="新宋体" w:hAnsi="新宋体" w:eastAsia="新宋体" w:cs="Arial"/>
                <w:bCs/>
                <w:color w:val="auto"/>
                <w:kern w:val="0"/>
                <w:sz w:val="20"/>
                <w:szCs w:val="20"/>
                <w:highlight w:val="none"/>
              </w:rPr>
              <w:t>30</w:t>
            </w:r>
            <w:r>
              <w:rPr>
                <w:rFonts w:ascii="新宋体" w:hAnsi="新宋体" w:eastAsia="新宋体" w:cs="Arial"/>
                <w:bCs/>
                <w:color w:val="auto"/>
                <w:kern w:val="0"/>
                <w:sz w:val="20"/>
                <w:szCs w:val="20"/>
                <w:highlight w:val="none"/>
              </w:rPr>
              <w:t>kW</w:t>
            </w:r>
          </w:p>
        </w:tc>
      </w:tr>
      <w:tr w14:paraId="490B1D6C">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76BC8DBA">
            <w:pPr>
              <w:widowControl/>
              <w:spacing w:after="0" w:line="360" w:lineRule="auto"/>
              <w:jc w:val="right"/>
              <w:rPr>
                <w:rFonts w:ascii="新宋体" w:hAnsi="新宋体" w:eastAsia="新宋体" w:cstheme="minorBidi"/>
                <w:bCs/>
                <w:color w:val="auto"/>
                <w:kern w:val="0"/>
                <w:sz w:val="20"/>
                <w:szCs w:val="20"/>
                <w:highlight w:val="none"/>
              </w:rPr>
            </w:pPr>
            <w:r>
              <w:rPr>
                <w:rFonts w:ascii="新宋体" w:hAnsi="新宋体" w:eastAsia="新宋体" w:cs="Arial"/>
                <w:bCs/>
                <w:color w:val="auto"/>
                <w:kern w:val="0"/>
                <w:sz w:val="20"/>
                <w:szCs w:val="20"/>
                <w:highlight w:val="none"/>
              </w:rPr>
              <w:t>6</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13</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32D61C32">
            <w:pPr>
              <w:widowControl/>
              <w:spacing w:after="0" w:line="360" w:lineRule="auto"/>
              <w:jc w:val="both"/>
              <w:rPr>
                <w:rFonts w:ascii="新宋体" w:hAnsi="新宋体" w:eastAsia="新宋体" w:cs="宋体"/>
                <w:bCs/>
                <w:color w:val="auto"/>
                <w:kern w:val="0"/>
                <w:sz w:val="20"/>
                <w:szCs w:val="20"/>
                <w:highlight w:val="none"/>
              </w:rPr>
            </w:pPr>
            <w:r>
              <w:rPr>
                <w:rFonts w:ascii="新宋体" w:hAnsi="新宋体" w:eastAsia="新宋体" w:cs="宋体"/>
                <w:bCs/>
                <w:color w:val="auto"/>
                <w:kern w:val="0"/>
                <w:sz w:val="20"/>
                <w:szCs w:val="20"/>
                <w:highlight w:val="none"/>
              </w:rPr>
              <w:t>最</w:t>
            </w:r>
            <w:r>
              <w:rPr>
                <w:rFonts w:hint="eastAsia" w:ascii="新宋体" w:hAnsi="新宋体" w:eastAsia="新宋体" w:cs="宋体"/>
                <w:bCs/>
                <w:color w:val="auto"/>
                <w:kern w:val="0"/>
                <w:sz w:val="20"/>
                <w:szCs w:val="20"/>
                <w:highlight w:val="none"/>
              </w:rPr>
              <w:t>大</w:t>
            </w:r>
            <w:r>
              <w:rPr>
                <w:rFonts w:ascii="新宋体" w:hAnsi="新宋体" w:eastAsia="新宋体" w:cs="宋体"/>
                <w:bCs/>
                <w:color w:val="auto"/>
                <w:kern w:val="0"/>
                <w:sz w:val="20"/>
                <w:szCs w:val="20"/>
                <w:highlight w:val="none"/>
              </w:rPr>
              <w:t>焦点功率</w:t>
            </w:r>
            <w:r>
              <w:rPr>
                <w:rFonts w:hint="eastAsia" w:ascii="新宋体" w:hAnsi="新宋体" w:eastAsia="新宋体" w:cs="宋体"/>
                <w:bCs/>
                <w:color w:val="auto"/>
                <w:kern w:val="0"/>
                <w:sz w:val="20"/>
                <w:szCs w:val="20"/>
                <w:highlight w:val="none"/>
              </w:rPr>
              <w:t>：≤</w:t>
            </w:r>
            <w:r>
              <w:rPr>
                <w:rFonts w:hint="eastAsia" w:ascii="新宋体" w:hAnsi="新宋体" w:eastAsia="新宋体" w:cs="宋体"/>
                <w:bCs/>
                <w:color w:val="auto"/>
                <w:kern w:val="0"/>
                <w:sz w:val="20"/>
                <w:szCs w:val="20"/>
                <w:highlight w:val="none"/>
                <w:lang w:val="en-US" w:eastAsia="zh-CN"/>
              </w:rPr>
              <w:t>9</w:t>
            </w:r>
            <w:r>
              <w:rPr>
                <w:rFonts w:hint="eastAsia" w:ascii="新宋体" w:hAnsi="新宋体" w:eastAsia="新宋体" w:cs="宋体"/>
                <w:bCs/>
                <w:color w:val="auto"/>
                <w:kern w:val="0"/>
                <w:sz w:val="20"/>
                <w:szCs w:val="20"/>
                <w:highlight w:val="none"/>
              </w:rPr>
              <w:t>0</w:t>
            </w:r>
            <w:r>
              <w:rPr>
                <w:rFonts w:ascii="新宋体" w:hAnsi="新宋体" w:eastAsia="新宋体" w:cs="Arial"/>
                <w:bCs/>
                <w:color w:val="auto"/>
                <w:kern w:val="0"/>
                <w:sz w:val="20"/>
                <w:szCs w:val="20"/>
                <w:highlight w:val="none"/>
              </w:rPr>
              <w:t>kW</w:t>
            </w:r>
          </w:p>
        </w:tc>
      </w:tr>
      <w:tr w14:paraId="088515BD">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035A4747">
            <w:pPr>
              <w:widowControl/>
              <w:spacing w:after="0" w:line="360" w:lineRule="auto"/>
              <w:jc w:val="right"/>
              <w:rPr>
                <w:rFonts w:ascii="新宋体" w:hAnsi="新宋体" w:eastAsia="新宋体" w:cstheme="minorBidi"/>
                <w:bCs/>
                <w:color w:val="auto"/>
                <w:kern w:val="0"/>
                <w:sz w:val="20"/>
                <w:szCs w:val="20"/>
                <w:highlight w:val="none"/>
              </w:rPr>
            </w:pPr>
            <w:r>
              <w:rPr>
                <w:rFonts w:ascii="新宋体" w:hAnsi="新宋体" w:eastAsia="新宋体" w:cs="Arial"/>
                <w:bCs/>
                <w:color w:val="auto"/>
                <w:kern w:val="0"/>
                <w:sz w:val="20"/>
                <w:szCs w:val="20"/>
                <w:highlight w:val="none"/>
              </w:rPr>
              <w:t>6</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14</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44CEF514">
            <w:pPr>
              <w:widowControl/>
              <w:spacing w:after="0" w:line="360" w:lineRule="auto"/>
              <w:jc w:val="both"/>
              <w:rPr>
                <w:rFonts w:ascii="新宋体" w:hAnsi="新宋体" w:eastAsia="新宋体" w:cstheme="minorBidi"/>
                <w:bCs/>
                <w:color w:val="auto"/>
                <w:kern w:val="0"/>
                <w:sz w:val="20"/>
                <w:szCs w:val="20"/>
                <w:highlight w:val="none"/>
              </w:rPr>
            </w:pPr>
            <w:r>
              <w:rPr>
                <w:rFonts w:ascii="新宋体" w:hAnsi="新宋体" w:eastAsia="新宋体" w:cs="宋体"/>
                <w:bCs/>
                <w:color w:val="auto"/>
                <w:kern w:val="0"/>
                <w:sz w:val="20"/>
                <w:szCs w:val="20"/>
                <w:highlight w:val="none"/>
              </w:rPr>
              <w:t>球管阳极靶边直径</w:t>
            </w:r>
            <w:r>
              <w:rPr>
                <w:rFonts w:hint="eastAsia" w:ascii="新宋体" w:hAnsi="新宋体" w:eastAsia="新宋体" w:cs="宋体"/>
                <w:bCs/>
                <w:color w:val="auto"/>
                <w:kern w:val="0"/>
                <w:sz w:val="20"/>
                <w:szCs w:val="20"/>
                <w:highlight w:val="none"/>
              </w:rPr>
              <w:t>：</w:t>
            </w:r>
            <w:r>
              <w:rPr>
                <w:rFonts w:ascii="新宋体" w:hAnsi="新宋体" w:eastAsia="新宋体" w:cs="宋体"/>
                <w:bCs/>
                <w:color w:val="auto"/>
                <w:kern w:val="0"/>
                <w:sz w:val="20"/>
                <w:szCs w:val="20"/>
                <w:highlight w:val="none"/>
              </w:rPr>
              <w:t>≥</w:t>
            </w:r>
            <w:r>
              <w:rPr>
                <w:rFonts w:hint="eastAsia" w:ascii="新宋体" w:hAnsi="新宋体" w:eastAsia="新宋体" w:cs="宋体"/>
                <w:bCs/>
                <w:color w:val="auto"/>
                <w:kern w:val="0"/>
                <w:sz w:val="20"/>
                <w:szCs w:val="20"/>
                <w:highlight w:val="none"/>
              </w:rPr>
              <w:t>14</w:t>
            </w:r>
            <w:r>
              <w:rPr>
                <w:rFonts w:ascii="新宋体" w:hAnsi="新宋体" w:eastAsia="新宋体" w:cs="Arial"/>
                <w:bCs/>
                <w:color w:val="auto"/>
                <w:kern w:val="0"/>
                <w:sz w:val="20"/>
                <w:szCs w:val="20"/>
                <w:highlight w:val="none"/>
              </w:rPr>
              <w:t>0mm</w:t>
            </w:r>
          </w:p>
        </w:tc>
      </w:tr>
      <w:tr w14:paraId="30D0C01F">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1EF6D5C6">
            <w:pPr>
              <w:widowControl/>
              <w:spacing w:after="0" w:line="360" w:lineRule="auto"/>
              <w:jc w:val="right"/>
              <w:rPr>
                <w:rFonts w:ascii="新宋体" w:hAnsi="新宋体" w:eastAsia="新宋体" w:cstheme="minorBidi"/>
                <w:bCs/>
                <w:color w:val="auto"/>
                <w:kern w:val="0"/>
                <w:sz w:val="20"/>
                <w:szCs w:val="20"/>
                <w:highlight w:val="none"/>
              </w:rPr>
            </w:pPr>
            <w:r>
              <w:rPr>
                <w:rFonts w:ascii="新宋体" w:hAnsi="新宋体" w:eastAsia="新宋体" w:cs="Arial"/>
                <w:bCs/>
                <w:color w:val="auto"/>
                <w:kern w:val="0"/>
                <w:sz w:val="20"/>
                <w:szCs w:val="20"/>
                <w:highlight w:val="none"/>
              </w:rPr>
              <w:t>6</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15</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top"/>
          </w:tcPr>
          <w:p w14:paraId="1E6EE635">
            <w:pPr>
              <w:widowControl/>
              <w:spacing w:after="0" w:line="360" w:lineRule="auto"/>
              <w:jc w:val="both"/>
              <w:rPr>
                <w:rFonts w:ascii="新宋体" w:hAnsi="新宋体" w:eastAsia="新宋体" w:cstheme="minorBidi"/>
                <w:bCs/>
                <w:color w:val="auto"/>
                <w:kern w:val="0"/>
                <w:sz w:val="20"/>
                <w:szCs w:val="20"/>
                <w:highlight w:val="none"/>
                <w:lang w:val="en-US" w:eastAsia="zh-CN" w:bidi="ar-SA"/>
              </w:rPr>
            </w:pPr>
            <w:r>
              <w:rPr>
                <w:rFonts w:ascii="新宋体" w:hAnsi="新宋体" w:eastAsia="新宋体" w:cs="宋体"/>
                <w:bCs/>
                <w:color w:val="auto"/>
                <w:kern w:val="0"/>
                <w:sz w:val="20"/>
                <w:szCs w:val="20"/>
                <w:highlight w:val="none"/>
              </w:rPr>
              <w:t>球管内置栅控技术，非高压发生器控制脉冲透视，以消除传统脉冲透视产生的软射线</w:t>
            </w:r>
          </w:p>
        </w:tc>
      </w:tr>
      <w:tr w14:paraId="20EA9764">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6B4CAA87">
            <w:pPr>
              <w:widowControl/>
              <w:numPr>
                <w:ilvl w:val="0"/>
                <w:numId w:val="7"/>
              </w:numPr>
              <w:spacing w:after="0" w:line="360" w:lineRule="auto"/>
              <w:jc w:val="right"/>
              <w:rPr>
                <w:rFonts w:ascii="新宋体" w:hAnsi="新宋体" w:eastAsia="新宋体" w:cstheme="minorBidi"/>
                <w:bCs/>
                <w:color w:val="auto"/>
                <w:kern w:val="0"/>
                <w:sz w:val="20"/>
                <w:szCs w:val="20"/>
                <w:highlight w:val="none"/>
              </w:rPr>
            </w:pPr>
            <w:r>
              <w:rPr>
                <w:rFonts w:hint="eastAsia" w:ascii="新宋体" w:hAnsi="新宋体" w:eastAsia="新宋体" w:cstheme="minorBidi"/>
                <w:bCs/>
                <w:color w:val="auto"/>
                <w:kern w:val="0"/>
                <w:sz w:val="20"/>
                <w:szCs w:val="20"/>
                <w:highlight w:val="none"/>
              </w:rPr>
              <w:t>16</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top"/>
          </w:tcPr>
          <w:p w14:paraId="5B6AFC27">
            <w:pPr>
              <w:widowControl/>
              <w:spacing w:after="0" w:line="360" w:lineRule="auto"/>
              <w:jc w:val="both"/>
              <w:rPr>
                <w:rFonts w:ascii="新宋体" w:hAnsi="新宋体" w:eastAsia="新宋体" w:cstheme="minorBidi"/>
                <w:bCs/>
                <w:color w:val="auto"/>
                <w:kern w:val="0"/>
                <w:sz w:val="20"/>
                <w:szCs w:val="20"/>
                <w:highlight w:val="none"/>
                <w:lang w:val="en-US" w:eastAsia="zh-CN" w:bidi="ar-SA"/>
              </w:rPr>
            </w:pPr>
            <w:r>
              <w:rPr>
                <w:rFonts w:ascii="新宋体" w:hAnsi="新宋体" w:eastAsia="新宋体" w:cs="宋体"/>
                <w:bCs/>
                <w:color w:val="auto"/>
                <w:kern w:val="0"/>
                <w:sz w:val="20"/>
                <w:szCs w:val="20"/>
                <w:highlight w:val="none"/>
              </w:rPr>
              <w:t>球管内置多档金属铜滤片，</w:t>
            </w:r>
            <w:r>
              <w:rPr>
                <w:rFonts w:hint="eastAsia" w:ascii="新宋体" w:hAnsi="新宋体" w:eastAsia="新宋体" w:cs="宋体"/>
                <w:bCs/>
                <w:color w:val="auto"/>
                <w:kern w:val="0"/>
                <w:sz w:val="20"/>
                <w:szCs w:val="20"/>
                <w:highlight w:val="none"/>
              </w:rPr>
              <w:t>单个滤片</w:t>
            </w:r>
            <w:r>
              <w:rPr>
                <w:rFonts w:ascii="新宋体" w:hAnsi="新宋体" w:eastAsia="新宋体" w:cs="宋体"/>
                <w:bCs/>
                <w:color w:val="auto"/>
                <w:kern w:val="0"/>
                <w:sz w:val="20"/>
                <w:szCs w:val="20"/>
                <w:highlight w:val="none"/>
              </w:rPr>
              <w:t>最厚达</w:t>
            </w:r>
            <w:r>
              <w:rPr>
                <w:rFonts w:hint="eastAsia" w:ascii="新宋体" w:hAnsi="新宋体" w:eastAsia="新宋体" w:cs="宋体"/>
                <w:bCs/>
                <w:color w:val="auto"/>
                <w:kern w:val="0"/>
                <w:sz w:val="20"/>
                <w:szCs w:val="20"/>
                <w:highlight w:val="none"/>
              </w:rPr>
              <w:t>0.9</w:t>
            </w:r>
            <w:r>
              <w:rPr>
                <w:rFonts w:ascii="新宋体" w:hAnsi="新宋体" w:eastAsia="新宋体" w:cs="Arial"/>
                <w:bCs/>
                <w:color w:val="auto"/>
                <w:kern w:val="0"/>
                <w:sz w:val="20"/>
                <w:szCs w:val="20"/>
                <w:highlight w:val="none"/>
              </w:rPr>
              <w:t xml:space="preserve">mm </w:t>
            </w:r>
          </w:p>
        </w:tc>
      </w:tr>
      <w:tr w14:paraId="27D5797D">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61BC6F88">
            <w:pPr>
              <w:widowControl/>
              <w:spacing w:after="0" w:line="360" w:lineRule="auto"/>
              <w:jc w:val="both"/>
              <w:rPr>
                <w:rFonts w:ascii="新宋体" w:hAnsi="新宋体" w:eastAsia="新宋体" w:cstheme="minorBidi"/>
                <w:bCs/>
                <w:color w:val="auto"/>
                <w:kern w:val="0"/>
                <w:sz w:val="20"/>
                <w:szCs w:val="20"/>
                <w:highlight w:val="none"/>
              </w:rPr>
            </w:pPr>
            <w:r>
              <w:rPr>
                <w:rFonts w:ascii="新宋体" w:hAnsi="新宋体" w:eastAsia="新宋体" w:cs="Arial"/>
                <w:bCs/>
                <w:color w:val="auto"/>
                <w:kern w:val="0"/>
                <w:sz w:val="20"/>
                <w:szCs w:val="20"/>
                <w:highlight w:val="none"/>
              </w:rPr>
              <w:t>7</w:t>
            </w:r>
            <w:r>
              <w:rPr>
                <w:rFonts w:ascii="新宋体" w:hAnsi="新宋体" w:eastAsia="新宋体" w:cs="宋体"/>
                <w:bCs/>
                <w:color w:val="auto"/>
                <w:kern w:val="0"/>
                <w:sz w:val="20"/>
                <w:szCs w:val="20"/>
                <w:highlight w:val="none"/>
              </w:rPr>
              <w:t>、</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0BC06EF2">
            <w:pPr>
              <w:widowControl/>
              <w:spacing w:after="0" w:line="360" w:lineRule="auto"/>
              <w:jc w:val="both"/>
              <w:rPr>
                <w:rFonts w:ascii="新宋体" w:hAnsi="新宋体" w:eastAsia="新宋体" w:cs="宋体"/>
                <w:bCs/>
                <w:color w:val="auto"/>
                <w:kern w:val="0"/>
                <w:sz w:val="20"/>
                <w:szCs w:val="20"/>
                <w:highlight w:val="none"/>
              </w:rPr>
            </w:pPr>
            <w:r>
              <w:rPr>
                <w:rFonts w:ascii="新宋体" w:hAnsi="新宋体" w:eastAsia="新宋体" w:cs="宋体"/>
                <w:bCs/>
                <w:color w:val="auto"/>
                <w:kern w:val="0"/>
                <w:sz w:val="20"/>
                <w:szCs w:val="20"/>
                <w:highlight w:val="none"/>
              </w:rPr>
              <w:t>平板探测器</w:t>
            </w:r>
          </w:p>
        </w:tc>
      </w:tr>
      <w:tr w14:paraId="6CF8F9BD">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1295B67D">
            <w:pPr>
              <w:widowControl/>
              <w:spacing w:after="0" w:line="360" w:lineRule="auto"/>
              <w:jc w:val="right"/>
              <w:rPr>
                <w:rFonts w:ascii="新宋体" w:hAnsi="新宋体" w:eastAsia="新宋体" w:cstheme="minorBidi"/>
                <w:bCs/>
                <w:color w:val="auto"/>
                <w:kern w:val="0"/>
                <w:sz w:val="20"/>
                <w:szCs w:val="20"/>
                <w:highlight w:val="none"/>
              </w:rPr>
            </w:pPr>
            <w:r>
              <w:rPr>
                <w:rFonts w:hint="eastAsia" w:ascii="新宋体" w:hAnsi="新宋体" w:eastAsia="新宋体" w:cs="Arial"/>
                <w:bCs/>
                <w:color w:val="auto"/>
                <w:kern w:val="0"/>
                <w:sz w:val="20"/>
                <w:szCs w:val="20"/>
                <w:highlight w:val="none"/>
              </w:rPr>
              <w:t>▲</w:t>
            </w:r>
            <w:r>
              <w:rPr>
                <w:rFonts w:ascii="新宋体" w:hAnsi="新宋体" w:eastAsia="新宋体" w:cs="Arial"/>
                <w:bCs/>
                <w:color w:val="auto"/>
                <w:kern w:val="0"/>
                <w:sz w:val="20"/>
                <w:szCs w:val="20"/>
                <w:highlight w:val="none"/>
              </w:rPr>
              <w:t>7</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1</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28F5EC41">
            <w:pPr>
              <w:widowControl/>
              <w:spacing w:after="0" w:line="360" w:lineRule="auto"/>
              <w:jc w:val="both"/>
              <w:rPr>
                <w:rFonts w:ascii="新宋体" w:hAnsi="新宋体" w:eastAsia="新宋体" w:cs="宋体"/>
                <w:bCs/>
                <w:color w:val="auto"/>
                <w:kern w:val="0"/>
                <w:sz w:val="20"/>
                <w:szCs w:val="20"/>
                <w:highlight w:val="none"/>
              </w:rPr>
            </w:pPr>
            <w:r>
              <w:rPr>
                <w:rFonts w:ascii="新宋体" w:hAnsi="新宋体" w:eastAsia="新宋体" w:cs="宋体"/>
                <w:bCs/>
                <w:color w:val="auto"/>
                <w:kern w:val="0"/>
                <w:sz w:val="20"/>
                <w:szCs w:val="20"/>
                <w:highlight w:val="none"/>
              </w:rPr>
              <w:t>探测器类型：</w:t>
            </w:r>
            <w:r>
              <w:rPr>
                <w:rFonts w:hint="eastAsia" w:ascii="新宋体" w:hAnsi="新宋体" w:eastAsia="新宋体" w:cstheme="minorBidi"/>
                <w:bCs/>
                <w:color w:val="auto"/>
                <w:kern w:val="0"/>
                <w:sz w:val="20"/>
                <w:szCs w:val="20"/>
                <w:highlight w:val="none"/>
              </w:rPr>
              <w:t>≥16</w:t>
            </w:r>
            <w:r>
              <w:rPr>
                <w:rFonts w:ascii="新宋体" w:hAnsi="新宋体" w:eastAsia="新宋体" w:cstheme="minorBidi"/>
                <w:bCs/>
                <w:color w:val="auto"/>
                <w:kern w:val="0"/>
                <w:sz w:val="20"/>
                <w:szCs w:val="20"/>
                <w:highlight w:val="none"/>
              </w:rPr>
              <w:t>bits</w:t>
            </w:r>
            <w:r>
              <w:rPr>
                <w:rFonts w:ascii="新宋体" w:hAnsi="新宋体" w:eastAsia="新宋体" w:cs="宋体"/>
                <w:bCs/>
                <w:color w:val="auto"/>
                <w:kern w:val="0"/>
                <w:sz w:val="20"/>
                <w:szCs w:val="20"/>
                <w:highlight w:val="none"/>
              </w:rPr>
              <w:t>非晶硅数字化平板探测器</w:t>
            </w:r>
          </w:p>
        </w:tc>
      </w:tr>
      <w:tr w14:paraId="58060299">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3D5A5806">
            <w:pPr>
              <w:widowControl/>
              <w:spacing w:after="0" w:line="360" w:lineRule="auto"/>
              <w:jc w:val="right"/>
              <w:rPr>
                <w:rFonts w:ascii="新宋体" w:hAnsi="新宋体" w:eastAsia="新宋体" w:cstheme="minorBidi"/>
                <w:bCs/>
                <w:color w:val="auto"/>
                <w:kern w:val="0"/>
                <w:sz w:val="20"/>
                <w:szCs w:val="20"/>
                <w:highlight w:val="none"/>
              </w:rPr>
            </w:pPr>
            <w:r>
              <w:rPr>
                <w:rFonts w:ascii="新宋体" w:hAnsi="新宋体" w:eastAsia="新宋体" w:cs="Arial"/>
                <w:bCs/>
                <w:color w:val="auto"/>
                <w:kern w:val="0"/>
                <w:sz w:val="20"/>
                <w:szCs w:val="20"/>
                <w:highlight w:val="none"/>
              </w:rPr>
              <w:t>7</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2</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7B4F338D">
            <w:pPr>
              <w:widowControl/>
              <w:spacing w:after="0" w:line="360" w:lineRule="auto"/>
              <w:jc w:val="both"/>
              <w:rPr>
                <w:rFonts w:ascii="新宋体" w:hAnsi="新宋体" w:eastAsia="新宋体" w:cstheme="minorBidi"/>
                <w:bCs/>
                <w:color w:val="auto"/>
                <w:kern w:val="0"/>
                <w:sz w:val="20"/>
                <w:szCs w:val="20"/>
                <w:highlight w:val="none"/>
              </w:rPr>
            </w:pPr>
            <w:r>
              <w:rPr>
                <w:rFonts w:ascii="新宋体" w:hAnsi="新宋体" w:eastAsia="新宋体" w:cs="宋体"/>
                <w:bCs/>
                <w:color w:val="auto"/>
                <w:kern w:val="0"/>
                <w:sz w:val="20"/>
                <w:szCs w:val="20"/>
                <w:highlight w:val="none"/>
              </w:rPr>
              <w:t>平板外壳大小</w:t>
            </w:r>
            <w:r>
              <w:rPr>
                <w:rFonts w:hint="eastAsia" w:ascii="新宋体" w:hAnsi="新宋体" w:eastAsia="新宋体" w:cs="宋体"/>
                <w:bCs/>
                <w:color w:val="auto"/>
                <w:kern w:val="0"/>
                <w:sz w:val="20"/>
                <w:szCs w:val="20"/>
                <w:highlight w:val="none"/>
              </w:rPr>
              <w:t>：</w:t>
            </w:r>
            <w:r>
              <w:rPr>
                <w:rFonts w:ascii="新宋体" w:hAnsi="新宋体" w:eastAsia="新宋体" w:cs="宋体"/>
                <w:bCs/>
                <w:color w:val="auto"/>
                <w:kern w:val="0"/>
                <w:sz w:val="20"/>
                <w:szCs w:val="20"/>
                <w:highlight w:val="none"/>
              </w:rPr>
              <w:t>≤</w:t>
            </w:r>
            <w:r>
              <w:rPr>
                <w:rFonts w:hint="eastAsia" w:ascii="新宋体" w:hAnsi="新宋体" w:eastAsia="新宋体" w:cs="Arial"/>
                <w:bCs/>
                <w:color w:val="auto"/>
                <w:kern w:val="0"/>
                <w:sz w:val="20"/>
                <w:szCs w:val="20"/>
                <w:highlight w:val="none"/>
              </w:rPr>
              <w:t>62</w:t>
            </w:r>
            <w:r>
              <w:rPr>
                <w:rFonts w:ascii="新宋体" w:hAnsi="新宋体" w:eastAsia="新宋体" w:cs="Arial"/>
                <w:bCs/>
                <w:color w:val="auto"/>
                <w:kern w:val="0"/>
                <w:sz w:val="20"/>
                <w:szCs w:val="20"/>
                <w:highlight w:val="none"/>
              </w:rPr>
              <w:t>cm</w:t>
            </w:r>
            <w:r>
              <w:rPr>
                <w:rFonts w:hint="eastAsia" w:ascii="新宋体" w:hAnsi="新宋体" w:eastAsia="新宋体" w:cs="Arial"/>
                <w:bCs/>
                <w:color w:val="auto"/>
                <w:kern w:val="0"/>
                <w:sz w:val="20"/>
                <w:szCs w:val="20"/>
                <w:highlight w:val="none"/>
              </w:rPr>
              <w:t>（对角线）</w:t>
            </w:r>
          </w:p>
        </w:tc>
      </w:tr>
      <w:tr w14:paraId="173229C4">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4BCE99EF">
            <w:pPr>
              <w:widowControl/>
              <w:spacing w:after="0" w:line="360" w:lineRule="auto"/>
              <w:jc w:val="right"/>
              <w:rPr>
                <w:rFonts w:ascii="新宋体" w:hAnsi="新宋体" w:eastAsia="新宋体" w:cstheme="minorBidi"/>
                <w:bCs/>
                <w:color w:val="auto"/>
                <w:kern w:val="0"/>
                <w:sz w:val="20"/>
                <w:szCs w:val="20"/>
                <w:highlight w:val="none"/>
              </w:rPr>
            </w:pPr>
            <w:r>
              <w:rPr>
                <w:rFonts w:ascii="新宋体" w:hAnsi="新宋体" w:eastAsia="新宋体" w:cs="Arial"/>
                <w:bCs/>
                <w:color w:val="auto"/>
                <w:kern w:val="0"/>
                <w:sz w:val="20"/>
                <w:szCs w:val="20"/>
                <w:highlight w:val="none"/>
              </w:rPr>
              <w:t>7</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3</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1CFC408B">
            <w:pPr>
              <w:widowControl/>
              <w:spacing w:after="0" w:line="360" w:lineRule="auto"/>
              <w:jc w:val="both"/>
              <w:rPr>
                <w:rFonts w:ascii="新宋体" w:hAnsi="新宋体" w:eastAsia="新宋体" w:cstheme="minorBidi"/>
                <w:bCs/>
                <w:color w:val="auto"/>
                <w:kern w:val="0"/>
                <w:sz w:val="20"/>
                <w:szCs w:val="20"/>
                <w:highlight w:val="none"/>
              </w:rPr>
            </w:pPr>
            <w:r>
              <w:rPr>
                <w:rFonts w:ascii="新宋体" w:hAnsi="新宋体" w:eastAsia="新宋体" w:cs="宋体"/>
                <w:bCs/>
                <w:color w:val="auto"/>
                <w:kern w:val="0"/>
                <w:sz w:val="20"/>
                <w:szCs w:val="20"/>
                <w:highlight w:val="none"/>
              </w:rPr>
              <w:t>最大有效成像视野</w:t>
            </w:r>
            <w:r>
              <w:rPr>
                <w:rFonts w:hint="eastAsia" w:ascii="新宋体" w:hAnsi="新宋体" w:eastAsia="新宋体" w:cs="宋体"/>
                <w:bCs/>
                <w:color w:val="auto"/>
                <w:kern w:val="0"/>
                <w:sz w:val="20"/>
                <w:szCs w:val="20"/>
                <w:highlight w:val="none"/>
              </w:rPr>
              <w:t>：</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3</w:t>
            </w:r>
            <w:r>
              <w:rPr>
                <w:rFonts w:hint="eastAsia" w:ascii="新宋体" w:hAnsi="新宋体" w:eastAsia="新宋体" w:cs="Arial"/>
                <w:bCs/>
                <w:color w:val="auto"/>
                <w:kern w:val="0"/>
                <w:sz w:val="20"/>
                <w:szCs w:val="20"/>
                <w:highlight w:val="none"/>
              </w:rPr>
              <w:t>9</w:t>
            </w:r>
            <w:r>
              <w:rPr>
                <w:rFonts w:ascii="新宋体" w:hAnsi="新宋体" w:eastAsia="新宋体" w:cs="Arial"/>
                <w:bCs/>
                <w:color w:val="auto"/>
                <w:kern w:val="0"/>
                <w:sz w:val="20"/>
                <w:szCs w:val="20"/>
                <w:highlight w:val="none"/>
              </w:rPr>
              <w:t>cm</w:t>
            </w:r>
            <w:r>
              <w:rPr>
                <w:rFonts w:hint="eastAsia" w:ascii="新宋体" w:hAnsi="新宋体" w:eastAsia="新宋体" w:cs="Arial"/>
                <w:bCs/>
                <w:color w:val="auto"/>
                <w:kern w:val="0"/>
                <w:sz w:val="20"/>
                <w:szCs w:val="20"/>
                <w:highlight w:val="none"/>
              </w:rPr>
              <w:t>（对角线）</w:t>
            </w:r>
            <w:r>
              <w:rPr>
                <w:rFonts w:ascii="新宋体" w:hAnsi="新宋体" w:eastAsia="新宋体" w:cs="Arial"/>
                <w:bCs/>
                <w:color w:val="auto"/>
                <w:kern w:val="0"/>
                <w:sz w:val="20"/>
                <w:szCs w:val="20"/>
                <w:highlight w:val="none"/>
              </w:rPr>
              <w:t xml:space="preserve"> </w:t>
            </w:r>
          </w:p>
        </w:tc>
      </w:tr>
      <w:tr w14:paraId="57F0B031">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4765C51D">
            <w:pPr>
              <w:widowControl/>
              <w:spacing w:after="0" w:line="360" w:lineRule="auto"/>
              <w:jc w:val="right"/>
              <w:rPr>
                <w:rFonts w:ascii="新宋体" w:hAnsi="新宋体" w:eastAsia="新宋体" w:cstheme="minorBidi"/>
                <w:bCs/>
                <w:color w:val="auto"/>
                <w:kern w:val="0"/>
                <w:sz w:val="20"/>
                <w:szCs w:val="20"/>
                <w:highlight w:val="none"/>
              </w:rPr>
            </w:pPr>
            <w:r>
              <w:rPr>
                <w:rFonts w:hint="eastAsia" w:ascii="新宋体" w:hAnsi="新宋体" w:eastAsia="新宋体" w:cs="Arial"/>
                <w:bCs/>
                <w:color w:val="auto"/>
                <w:kern w:val="0"/>
                <w:sz w:val="20"/>
                <w:szCs w:val="20"/>
                <w:highlight w:val="none"/>
              </w:rPr>
              <w:t>▲</w:t>
            </w:r>
            <w:r>
              <w:rPr>
                <w:rFonts w:ascii="新宋体" w:hAnsi="新宋体" w:eastAsia="新宋体" w:cs="Arial"/>
                <w:bCs/>
                <w:color w:val="auto"/>
                <w:kern w:val="0"/>
                <w:sz w:val="20"/>
                <w:szCs w:val="20"/>
                <w:highlight w:val="none"/>
              </w:rPr>
              <w:t>7</w:t>
            </w:r>
            <w:r>
              <w:rPr>
                <w:rFonts w:ascii="新宋体" w:hAnsi="新宋体" w:eastAsia="新宋体" w:cs="宋体"/>
                <w:bCs/>
                <w:color w:val="auto"/>
                <w:kern w:val="0"/>
                <w:sz w:val="20"/>
                <w:szCs w:val="20"/>
                <w:highlight w:val="none"/>
              </w:rPr>
              <w:t>．</w:t>
            </w:r>
            <w:r>
              <w:rPr>
                <w:rFonts w:hint="eastAsia" w:ascii="新宋体" w:hAnsi="新宋体" w:eastAsia="新宋体" w:cs="Arial"/>
                <w:bCs/>
                <w:color w:val="auto"/>
                <w:kern w:val="0"/>
                <w:sz w:val="20"/>
                <w:szCs w:val="20"/>
                <w:highlight w:val="none"/>
              </w:rPr>
              <w:t>4</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0579833C">
            <w:pPr>
              <w:widowControl/>
              <w:spacing w:after="0" w:line="360" w:lineRule="auto"/>
              <w:jc w:val="both"/>
              <w:rPr>
                <w:rFonts w:ascii="新宋体" w:hAnsi="新宋体" w:eastAsia="新宋体" w:cstheme="minorBidi"/>
                <w:bCs/>
                <w:color w:val="auto"/>
                <w:kern w:val="0"/>
                <w:sz w:val="20"/>
                <w:szCs w:val="20"/>
                <w:highlight w:val="none"/>
              </w:rPr>
            </w:pPr>
            <w:r>
              <w:rPr>
                <w:rFonts w:ascii="新宋体" w:hAnsi="新宋体" w:eastAsia="新宋体" w:cs="宋体"/>
                <w:bCs/>
                <w:color w:val="auto"/>
                <w:kern w:val="0"/>
                <w:sz w:val="20"/>
                <w:szCs w:val="20"/>
                <w:highlight w:val="none"/>
              </w:rPr>
              <w:t>≥7种物理成像视野，以适应不同部位介入需要</w:t>
            </w:r>
          </w:p>
        </w:tc>
      </w:tr>
      <w:tr w14:paraId="5617066D">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3E9185A3">
            <w:pPr>
              <w:widowControl/>
              <w:spacing w:after="0" w:line="360" w:lineRule="auto"/>
              <w:jc w:val="right"/>
              <w:rPr>
                <w:rFonts w:ascii="新宋体" w:hAnsi="新宋体" w:eastAsia="新宋体" w:cs="Arial"/>
                <w:bCs/>
                <w:color w:val="auto"/>
                <w:kern w:val="0"/>
                <w:sz w:val="20"/>
                <w:szCs w:val="20"/>
                <w:highlight w:val="none"/>
              </w:rPr>
            </w:pPr>
            <w:r>
              <w:rPr>
                <w:rFonts w:ascii="新宋体" w:hAnsi="新宋体" w:eastAsia="新宋体" w:cs="Arial"/>
                <w:bCs/>
                <w:color w:val="auto"/>
                <w:kern w:val="0"/>
                <w:sz w:val="20"/>
                <w:szCs w:val="20"/>
                <w:highlight w:val="none"/>
              </w:rPr>
              <w:t>7</w:t>
            </w:r>
            <w:r>
              <w:rPr>
                <w:rFonts w:ascii="新宋体" w:hAnsi="新宋体" w:eastAsia="新宋体" w:cs="宋体"/>
                <w:bCs/>
                <w:color w:val="auto"/>
                <w:kern w:val="0"/>
                <w:sz w:val="20"/>
                <w:szCs w:val="20"/>
                <w:highlight w:val="none"/>
              </w:rPr>
              <w:t>．</w:t>
            </w:r>
            <w:r>
              <w:rPr>
                <w:rFonts w:hint="eastAsia" w:ascii="新宋体" w:hAnsi="新宋体" w:eastAsia="新宋体" w:cs="Arial"/>
                <w:bCs/>
                <w:color w:val="auto"/>
                <w:kern w:val="0"/>
                <w:sz w:val="20"/>
                <w:szCs w:val="20"/>
                <w:highlight w:val="none"/>
              </w:rPr>
              <w:t>5</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384870FF">
            <w:pPr>
              <w:widowControl/>
              <w:spacing w:after="0" w:line="360" w:lineRule="auto"/>
              <w:jc w:val="both"/>
              <w:rPr>
                <w:rFonts w:ascii="新宋体" w:hAnsi="新宋体" w:eastAsia="新宋体" w:cs="宋体"/>
                <w:bCs/>
                <w:color w:val="auto"/>
                <w:kern w:val="0"/>
                <w:sz w:val="20"/>
                <w:szCs w:val="20"/>
                <w:highlight w:val="none"/>
              </w:rPr>
            </w:pPr>
            <w:r>
              <w:rPr>
                <w:rFonts w:ascii="新宋体" w:hAnsi="新宋体" w:eastAsia="新宋体" w:cs="宋体"/>
                <w:bCs/>
                <w:color w:val="auto"/>
                <w:kern w:val="0"/>
                <w:sz w:val="20"/>
                <w:szCs w:val="20"/>
                <w:highlight w:val="none"/>
              </w:rPr>
              <w:t>最大图像矩阵输出</w:t>
            </w:r>
            <w:r>
              <w:rPr>
                <w:rFonts w:hint="eastAsia" w:ascii="新宋体" w:hAnsi="新宋体" w:eastAsia="新宋体" w:cs="宋体"/>
                <w:bCs/>
                <w:color w:val="auto"/>
                <w:kern w:val="0"/>
                <w:sz w:val="20"/>
                <w:szCs w:val="20"/>
                <w:highlight w:val="none"/>
              </w:rPr>
              <w:t>：</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1420 x 1560</w:t>
            </w:r>
          </w:p>
        </w:tc>
      </w:tr>
      <w:tr w14:paraId="28E1EF2E">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4B786447">
            <w:pPr>
              <w:widowControl/>
              <w:spacing w:after="0" w:line="360" w:lineRule="auto"/>
              <w:jc w:val="right"/>
              <w:rPr>
                <w:rFonts w:ascii="新宋体" w:hAnsi="新宋体" w:eastAsia="新宋体" w:cstheme="minorBidi"/>
                <w:bCs/>
                <w:color w:val="auto"/>
                <w:kern w:val="0"/>
                <w:sz w:val="20"/>
                <w:szCs w:val="20"/>
                <w:highlight w:val="none"/>
              </w:rPr>
            </w:pPr>
            <w:r>
              <w:rPr>
                <w:rFonts w:hint="eastAsia" w:ascii="新宋体" w:hAnsi="新宋体" w:eastAsia="新宋体" w:cs="Arial"/>
                <w:bCs/>
                <w:color w:val="auto"/>
                <w:kern w:val="0"/>
                <w:sz w:val="20"/>
                <w:szCs w:val="20"/>
                <w:highlight w:val="none"/>
              </w:rPr>
              <w:t>▲</w:t>
            </w:r>
            <w:r>
              <w:rPr>
                <w:rFonts w:ascii="新宋体" w:hAnsi="新宋体" w:eastAsia="新宋体" w:cs="Arial"/>
                <w:bCs/>
                <w:color w:val="auto"/>
                <w:kern w:val="0"/>
                <w:sz w:val="20"/>
                <w:szCs w:val="20"/>
                <w:highlight w:val="none"/>
              </w:rPr>
              <w:t>7</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6</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02E9B617">
            <w:pPr>
              <w:widowControl/>
              <w:spacing w:after="0" w:line="360" w:lineRule="auto"/>
              <w:jc w:val="both"/>
              <w:rPr>
                <w:rFonts w:ascii="新宋体" w:hAnsi="新宋体" w:eastAsia="新宋体" w:cstheme="minorBidi"/>
                <w:bCs/>
                <w:color w:val="auto"/>
                <w:kern w:val="0"/>
                <w:sz w:val="20"/>
                <w:szCs w:val="20"/>
                <w:highlight w:val="none"/>
              </w:rPr>
            </w:pPr>
            <w:r>
              <w:rPr>
                <w:rFonts w:ascii="新宋体" w:hAnsi="新宋体" w:eastAsia="新宋体" w:cs="宋体"/>
                <w:bCs/>
                <w:color w:val="auto"/>
                <w:kern w:val="0"/>
                <w:sz w:val="20"/>
                <w:szCs w:val="20"/>
                <w:highlight w:val="none"/>
              </w:rPr>
              <w:t>平板探测器分辨率</w:t>
            </w:r>
            <w:r>
              <w:rPr>
                <w:rFonts w:hint="eastAsia" w:ascii="新宋体" w:hAnsi="新宋体" w:eastAsia="新宋体" w:cs="宋体"/>
                <w:bCs/>
                <w:color w:val="auto"/>
                <w:kern w:val="0"/>
                <w:sz w:val="20"/>
                <w:szCs w:val="20"/>
                <w:highlight w:val="none"/>
              </w:rPr>
              <w:t>：</w:t>
            </w:r>
            <w:r>
              <w:rPr>
                <w:rFonts w:ascii="新宋体" w:hAnsi="新宋体" w:eastAsia="新宋体" w:cs="宋体"/>
                <w:bCs/>
                <w:color w:val="auto"/>
                <w:kern w:val="0"/>
                <w:sz w:val="20"/>
                <w:szCs w:val="20"/>
                <w:highlight w:val="none"/>
              </w:rPr>
              <w:t>≥</w:t>
            </w:r>
            <w:r>
              <w:rPr>
                <w:rFonts w:hint="eastAsia" w:ascii="新宋体" w:hAnsi="新宋体" w:eastAsia="新宋体" w:cs="Arial"/>
                <w:bCs/>
                <w:color w:val="auto"/>
                <w:kern w:val="0"/>
                <w:sz w:val="20"/>
                <w:szCs w:val="20"/>
                <w:highlight w:val="none"/>
              </w:rPr>
              <w:t>2</w:t>
            </w:r>
            <w:r>
              <w:rPr>
                <w:rFonts w:ascii="新宋体" w:hAnsi="新宋体" w:eastAsia="新宋体" w:cs="Arial"/>
                <w:bCs/>
                <w:color w:val="auto"/>
                <w:kern w:val="0"/>
                <w:sz w:val="20"/>
                <w:szCs w:val="20"/>
                <w:highlight w:val="none"/>
              </w:rPr>
              <w:t>.</w:t>
            </w:r>
            <w:r>
              <w:rPr>
                <w:rFonts w:hint="eastAsia" w:ascii="新宋体" w:hAnsi="新宋体" w:eastAsia="新宋体" w:cs="Arial"/>
                <w:bCs/>
                <w:color w:val="auto"/>
                <w:kern w:val="0"/>
                <w:sz w:val="20"/>
                <w:szCs w:val="20"/>
                <w:highlight w:val="none"/>
                <w:lang w:val="en-US" w:eastAsia="zh-CN"/>
              </w:rPr>
              <w:t>6</w:t>
            </w:r>
            <w:r>
              <w:rPr>
                <w:rFonts w:ascii="新宋体" w:hAnsi="新宋体" w:eastAsia="新宋体" w:cs="Arial"/>
                <w:bCs/>
                <w:color w:val="auto"/>
                <w:kern w:val="0"/>
                <w:sz w:val="20"/>
                <w:szCs w:val="20"/>
                <w:highlight w:val="none"/>
              </w:rPr>
              <w:t>LP</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mm</w:t>
            </w:r>
          </w:p>
        </w:tc>
      </w:tr>
      <w:tr w14:paraId="604AB5FB">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723E4141">
            <w:pPr>
              <w:widowControl/>
              <w:spacing w:after="0" w:line="360" w:lineRule="auto"/>
              <w:jc w:val="right"/>
              <w:rPr>
                <w:rFonts w:ascii="新宋体" w:hAnsi="新宋体" w:eastAsia="新宋体" w:cstheme="minorBidi"/>
                <w:bCs/>
                <w:color w:val="auto"/>
                <w:kern w:val="0"/>
                <w:sz w:val="20"/>
                <w:szCs w:val="20"/>
                <w:highlight w:val="none"/>
              </w:rPr>
            </w:pPr>
            <w:r>
              <w:rPr>
                <w:rFonts w:ascii="新宋体" w:hAnsi="新宋体" w:eastAsia="新宋体" w:cs="Arial"/>
                <w:bCs/>
                <w:color w:val="auto"/>
                <w:kern w:val="0"/>
                <w:sz w:val="20"/>
                <w:szCs w:val="20"/>
                <w:highlight w:val="none"/>
              </w:rPr>
              <w:t>7</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7</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4F021DE6">
            <w:pPr>
              <w:widowControl/>
              <w:spacing w:after="0" w:line="360" w:lineRule="auto"/>
              <w:jc w:val="both"/>
              <w:rPr>
                <w:rFonts w:ascii="新宋体" w:hAnsi="新宋体" w:eastAsia="新宋体" w:cstheme="minorBidi"/>
                <w:bCs/>
                <w:color w:val="auto"/>
                <w:kern w:val="0"/>
                <w:sz w:val="20"/>
                <w:szCs w:val="20"/>
                <w:highlight w:val="none"/>
              </w:rPr>
            </w:pPr>
            <w:r>
              <w:rPr>
                <w:rFonts w:ascii="新宋体" w:hAnsi="新宋体" w:eastAsia="新宋体" w:cs="宋体"/>
                <w:bCs/>
                <w:color w:val="auto"/>
                <w:kern w:val="0"/>
                <w:sz w:val="20"/>
                <w:szCs w:val="20"/>
                <w:highlight w:val="none"/>
              </w:rPr>
              <w:t>像素尺寸</w:t>
            </w:r>
            <w:r>
              <w:rPr>
                <w:rFonts w:hint="eastAsia" w:ascii="新宋体" w:hAnsi="新宋体" w:eastAsia="新宋体" w:cs="宋体"/>
                <w:bCs/>
                <w:color w:val="auto"/>
                <w:kern w:val="0"/>
                <w:sz w:val="20"/>
                <w:szCs w:val="20"/>
                <w:highlight w:val="none"/>
              </w:rPr>
              <w:t>：</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1</w:t>
            </w:r>
            <w:r>
              <w:rPr>
                <w:rFonts w:hint="eastAsia" w:ascii="新宋体" w:hAnsi="新宋体" w:eastAsia="新宋体" w:cs="Arial"/>
                <w:bCs/>
                <w:color w:val="auto"/>
                <w:kern w:val="0"/>
                <w:sz w:val="20"/>
                <w:szCs w:val="20"/>
                <w:highlight w:val="none"/>
                <w:lang w:val="en-US" w:eastAsia="zh-CN"/>
              </w:rPr>
              <w:t>90</w:t>
            </w:r>
            <w:r>
              <w:rPr>
                <w:rFonts w:ascii="新宋体" w:hAnsi="新宋体" w:eastAsia="新宋体" w:cs="Arial"/>
                <w:bCs/>
                <w:color w:val="auto"/>
                <w:kern w:val="0"/>
                <w:sz w:val="20"/>
                <w:szCs w:val="20"/>
                <w:highlight w:val="none"/>
              </w:rPr>
              <w:t>μm</w:t>
            </w:r>
          </w:p>
        </w:tc>
      </w:tr>
      <w:tr w14:paraId="44AF190E">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721374B8">
            <w:pPr>
              <w:widowControl/>
              <w:spacing w:after="0" w:line="360" w:lineRule="auto"/>
              <w:jc w:val="right"/>
              <w:rPr>
                <w:rFonts w:ascii="新宋体" w:hAnsi="新宋体" w:eastAsia="新宋体" w:cstheme="minorBidi"/>
                <w:bCs/>
                <w:color w:val="auto"/>
                <w:kern w:val="0"/>
                <w:sz w:val="20"/>
                <w:szCs w:val="20"/>
                <w:highlight w:val="none"/>
              </w:rPr>
            </w:pPr>
            <w:r>
              <w:rPr>
                <w:rFonts w:ascii="新宋体" w:hAnsi="新宋体" w:eastAsia="新宋体" w:cs="Arial"/>
                <w:bCs/>
                <w:color w:val="auto"/>
                <w:kern w:val="0"/>
                <w:sz w:val="20"/>
                <w:szCs w:val="20"/>
                <w:highlight w:val="none"/>
              </w:rPr>
              <w:t>7</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8</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3B12F88A">
            <w:pPr>
              <w:widowControl/>
              <w:spacing w:after="0" w:line="360" w:lineRule="auto"/>
              <w:jc w:val="both"/>
              <w:rPr>
                <w:rFonts w:ascii="新宋体" w:hAnsi="新宋体" w:eastAsia="新宋体" w:cs="宋体"/>
                <w:bCs/>
                <w:color w:val="auto"/>
                <w:kern w:val="0"/>
                <w:sz w:val="20"/>
                <w:szCs w:val="20"/>
                <w:highlight w:val="none"/>
              </w:rPr>
            </w:pPr>
            <w:r>
              <w:rPr>
                <w:rFonts w:hint="eastAsia" w:ascii="新宋体" w:hAnsi="新宋体" w:eastAsia="新宋体" w:cs="Arial"/>
                <w:bCs/>
                <w:color w:val="auto"/>
                <w:kern w:val="0"/>
                <w:sz w:val="20"/>
                <w:szCs w:val="20"/>
                <w:highlight w:val="none"/>
              </w:rPr>
              <w:t>DQE（光子转换效率）：</w:t>
            </w:r>
            <w:r>
              <w:rPr>
                <w:rFonts w:ascii="新宋体" w:hAnsi="新宋体" w:eastAsia="新宋体" w:cs="宋体"/>
                <w:bCs/>
                <w:color w:val="auto"/>
                <w:kern w:val="0"/>
                <w:sz w:val="20"/>
                <w:szCs w:val="20"/>
                <w:highlight w:val="none"/>
              </w:rPr>
              <w:t>≥</w:t>
            </w:r>
            <w:r>
              <w:rPr>
                <w:rFonts w:hint="eastAsia" w:ascii="新宋体" w:hAnsi="新宋体" w:eastAsia="新宋体" w:cs="Arial"/>
                <w:bCs/>
                <w:color w:val="auto"/>
                <w:kern w:val="0"/>
                <w:sz w:val="20"/>
                <w:szCs w:val="20"/>
                <w:highlight w:val="none"/>
              </w:rPr>
              <w:t>70%</w:t>
            </w:r>
          </w:p>
        </w:tc>
      </w:tr>
      <w:tr w14:paraId="5BAD83D2">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7544D9AE">
            <w:pPr>
              <w:widowControl/>
              <w:spacing w:after="0" w:line="360" w:lineRule="auto"/>
              <w:jc w:val="right"/>
              <w:rPr>
                <w:rFonts w:ascii="新宋体" w:hAnsi="新宋体" w:eastAsia="新宋体" w:cs="Arial"/>
                <w:bCs/>
                <w:color w:val="auto"/>
                <w:kern w:val="0"/>
                <w:sz w:val="20"/>
                <w:szCs w:val="20"/>
                <w:highlight w:val="none"/>
              </w:rPr>
            </w:pPr>
            <w:r>
              <w:rPr>
                <w:rFonts w:ascii="新宋体" w:hAnsi="新宋体" w:eastAsia="新宋体" w:cs="Arial"/>
                <w:bCs/>
                <w:color w:val="auto"/>
                <w:kern w:val="0"/>
                <w:sz w:val="20"/>
                <w:szCs w:val="20"/>
                <w:highlight w:val="none"/>
              </w:rPr>
              <w:t>7．</w:t>
            </w:r>
            <w:r>
              <w:rPr>
                <w:rFonts w:hint="eastAsia" w:ascii="新宋体" w:hAnsi="新宋体" w:eastAsia="新宋体" w:cs="Arial"/>
                <w:bCs/>
                <w:color w:val="auto"/>
                <w:kern w:val="0"/>
                <w:sz w:val="20"/>
                <w:szCs w:val="20"/>
                <w:highlight w:val="none"/>
              </w:rPr>
              <w:t>9</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5B8CB5D1">
            <w:pPr>
              <w:widowControl/>
              <w:spacing w:after="0" w:line="360" w:lineRule="auto"/>
              <w:jc w:val="both"/>
              <w:rPr>
                <w:rFonts w:ascii="新宋体" w:hAnsi="新宋体" w:eastAsia="新宋体" w:cs="宋体"/>
                <w:bCs/>
                <w:color w:val="auto"/>
                <w:kern w:val="0"/>
                <w:sz w:val="20"/>
                <w:szCs w:val="20"/>
                <w:highlight w:val="none"/>
              </w:rPr>
            </w:pPr>
            <w:r>
              <w:rPr>
                <w:rFonts w:hint="eastAsia" w:ascii="新宋体" w:hAnsi="新宋体" w:eastAsia="新宋体" w:cs="宋体"/>
                <w:bCs/>
                <w:color w:val="auto"/>
                <w:kern w:val="0"/>
                <w:sz w:val="20"/>
                <w:szCs w:val="20"/>
                <w:highlight w:val="none"/>
              </w:rPr>
              <w:t>平板探测器无需水冷装置</w:t>
            </w:r>
          </w:p>
        </w:tc>
      </w:tr>
      <w:tr w14:paraId="011AE0B3">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392F608A">
            <w:pPr>
              <w:widowControl/>
              <w:spacing w:after="0" w:line="360" w:lineRule="auto"/>
              <w:jc w:val="right"/>
              <w:rPr>
                <w:rFonts w:ascii="新宋体" w:hAnsi="新宋体" w:eastAsia="新宋体" w:cs="Arial"/>
                <w:bCs/>
                <w:color w:val="auto"/>
                <w:kern w:val="0"/>
                <w:sz w:val="20"/>
                <w:szCs w:val="20"/>
                <w:highlight w:val="none"/>
              </w:rPr>
            </w:pPr>
            <w:r>
              <w:rPr>
                <w:rFonts w:ascii="新宋体" w:hAnsi="新宋体" w:eastAsia="新宋体" w:cs="Arial"/>
                <w:bCs/>
                <w:color w:val="auto"/>
                <w:kern w:val="0"/>
                <w:sz w:val="20"/>
                <w:szCs w:val="20"/>
                <w:highlight w:val="none"/>
              </w:rPr>
              <w:t>7．</w:t>
            </w:r>
            <w:r>
              <w:rPr>
                <w:rFonts w:hint="eastAsia" w:ascii="新宋体" w:hAnsi="新宋体" w:eastAsia="新宋体" w:cs="Arial"/>
                <w:bCs/>
                <w:color w:val="auto"/>
                <w:kern w:val="0"/>
                <w:sz w:val="20"/>
                <w:szCs w:val="20"/>
                <w:highlight w:val="none"/>
              </w:rPr>
              <w:t>10</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1BEBD6A9">
            <w:pPr>
              <w:widowControl/>
              <w:spacing w:after="0" w:line="360" w:lineRule="auto"/>
              <w:jc w:val="both"/>
              <w:rPr>
                <w:rFonts w:ascii="新宋体" w:hAnsi="新宋体" w:eastAsia="新宋体" w:cstheme="minorBidi"/>
                <w:bCs/>
                <w:color w:val="auto"/>
                <w:kern w:val="0"/>
                <w:sz w:val="20"/>
                <w:szCs w:val="20"/>
                <w:highlight w:val="none"/>
              </w:rPr>
            </w:pPr>
            <w:r>
              <w:rPr>
                <w:rFonts w:ascii="新宋体" w:hAnsi="新宋体" w:eastAsia="新宋体" w:cs="宋体"/>
                <w:bCs/>
                <w:color w:val="auto"/>
                <w:kern w:val="0"/>
                <w:sz w:val="20"/>
                <w:szCs w:val="20"/>
                <w:highlight w:val="none"/>
              </w:rPr>
              <w:t>平板探测器带有非接触式防碰撞保护装置及防碰撞自动控制</w:t>
            </w:r>
            <w:r>
              <w:rPr>
                <w:rFonts w:ascii="新宋体" w:hAnsi="新宋体" w:eastAsia="新宋体" w:cs="Arial"/>
                <w:bCs/>
                <w:color w:val="auto"/>
                <w:kern w:val="0"/>
                <w:sz w:val="20"/>
                <w:szCs w:val="20"/>
                <w:highlight w:val="none"/>
              </w:rPr>
              <w:t xml:space="preserve">  </w:t>
            </w:r>
          </w:p>
        </w:tc>
      </w:tr>
      <w:tr w14:paraId="159C96D9">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53F384B0">
            <w:pPr>
              <w:widowControl/>
              <w:spacing w:after="0" w:line="360" w:lineRule="auto"/>
              <w:jc w:val="both"/>
              <w:rPr>
                <w:rFonts w:ascii="新宋体" w:hAnsi="新宋体" w:eastAsia="新宋体" w:cs="宋体"/>
                <w:bCs/>
                <w:color w:val="auto"/>
                <w:kern w:val="0"/>
                <w:sz w:val="20"/>
                <w:szCs w:val="20"/>
                <w:highlight w:val="none"/>
              </w:rPr>
            </w:pPr>
            <w:r>
              <w:rPr>
                <w:rFonts w:ascii="新宋体" w:hAnsi="新宋体" w:eastAsia="新宋体" w:cs="宋体"/>
                <w:bCs/>
                <w:color w:val="auto"/>
                <w:kern w:val="0"/>
                <w:sz w:val="20"/>
                <w:szCs w:val="20"/>
                <w:highlight w:val="none"/>
              </w:rPr>
              <w:t>8</w:t>
            </w:r>
            <w:r>
              <w:rPr>
                <w:rFonts w:hint="eastAsia" w:ascii="新宋体" w:hAnsi="新宋体" w:eastAsia="新宋体" w:cs="宋体"/>
                <w:bCs/>
                <w:color w:val="auto"/>
                <w:kern w:val="0"/>
                <w:sz w:val="20"/>
                <w:szCs w:val="20"/>
                <w:highlight w:val="none"/>
              </w:rPr>
              <w:t>、</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43F9C9B3">
            <w:pPr>
              <w:widowControl/>
              <w:spacing w:after="0" w:line="360" w:lineRule="auto"/>
              <w:jc w:val="both"/>
              <w:rPr>
                <w:rFonts w:ascii="新宋体" w:hAnsi="新宋体" w:eastAsia="新宋体" w:cs="宋体"/>
                <w:bCs/>
                <w:color w:val="auto"/>
                <w:kern w:val="0"/>
                <w:sz w:val="20"/>
                <w:szCs w:val="20"/>
                <w:highlight w:val="none"/>
              </w:rPr>
            </w:pPr>
            <w:r>
              <w:rPr>
                <w:rFonts w:ascii="新宋体" w:hAnsi="新宋体" w:eastAsia="新宋体" w:cs="宋体"/>
                <w:bCs/>
                <w:color w:val="auto"/>
                <w:kern w:val="0"/>
                <w:sz w:val="20"/>
                <w:szCs w:val="20"/>
                <w:highlight w:val="none"/>
              </w:rPr>
              <w:t>图像显</w:t>
            </w:r>
            <w:r>
              <w:rPr>
                <w:rFonts w:hint="eastAsia" w:ascii="新宋体" w:hAnsi="新宋体" w:eastAsia="新宋体" w:cs="宋体"/>
                <w:bCs/>
                <w:color w:val="auto"/>
                <w:kern w:val="0"/>
                <w:sz w:val="20"/>
                <w:szCs w:val="20"/>
                <w:highlight w:val="none"/>
              </w:rPr>
              <w:t>示</w:t>
            </w:r>
            <w:r>
              <w:rPr>
                <w:rFonts w:ascii="新宋体" w:hAnsi="新宋体" w:eastAsia="新宋体" w:cs="宋体"/>
                <w:bCs/>
                <w:color w:val="auto"/>
                <w:kern w:val="0"/>
                <w:sz w:val="20"/>
                <w:szCs w:val="20"/>
                <w:highlight w:val="none"/>
              </w:rPr>
              <w:t>器</w:t>
            </w:r>
          </w:p>
        </w:tc>
      </w:tr>
      <w:tr w14:paraId="663B261A">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4ACCF56E">
            <w:pPr>
              <w:widowControl/>
              <w:spacing w:after="0" w:line="360" w:lineRule="auto"/>
              <w:jc w:val="right"/>
              <w:rPr>
                <w:rFonts w:ascii="新宋体" w:hAnsi="新宋体" w:eastAsia="新宋体" w:cs="Arial"/>
                <w:bCs/>
                <w:color w:val="auto"/>
                <w:kern w:val="0"/>
                <w:sz w:val="20"/>
                <w:szCs w:val="20"/>
                <w:highlight w:val="none"/>
              </w:rPr>
            </w:pPr>
            <w:r>
              <w:rPr>
                <w:rFonts w:ascii="新宋体" w:hAnsi="新宋体" w:eastAsia="新宋体" w:cs="Arial"/>
                <w:bCs/>
                <w:color w:val="auto"/>
                <w:kern w:val="0"/>
                <w:sz w:val="20"/>
                <w:szCs w:val="20"/>
                <w:highlight w:val="none"/>
              </w:rPr>
              <w:t>8．</w:t>
            </w:r>
            <w:r>
              <w:rPr>
                <w:rFonts w:hint="eastAsia" w:ascii="新宋体" w:hAnsi="新宋体" w:eastAsia="新宋体" w:cs="Arial"/>
                <w:bCs/>
                <w:color w:val="auto"/>
                <w:kern w:val="0"/>
                <w:sz w:val="20"/>
                <w:szCs w:val="20"/>
                <w:highlight w:val="none"/>
              </w:rPr>
              <w:t>1</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6D0EA6C0">
            <w:pPr>
              <w:widowControl/>
              <w:spacing w:after="0" w:line="360" w:lineRule="auto"/>
              <w:jc w:val="both"/>
              <w:rPr>
                <w:rFonts w:ascii="新宋体" w:hAnsi="新宋体" w:eastAsia="新宋体" w:cs="宋体"/>
                <w:bCs/>
                <w:color w:val="auto"/>
                <w:kern w:val="0"/>
                <w:sz w:val="20"/>
                <w:szCs w:val="20"/>
                <w:highlight w:val="none"/>
              </w:rPr>
            </w:pPr>
            <w:r>
              <w:rPr>
                <w:rFonts w:ascii="新宋体" w:hAnsi="新宋体" w:eastAsia="新宋体" w:cs="宋体"/>
                <w:bCs/>
                <w:color w:val="auto"/>
                <w:kern w:val="0"/>
                <w:sz w:val="20"/>
                <w:szCs w:val="20"/>
                <w:highlight w:val="none"/>
              </w:rPr>
              <w:t>控制室：</w:t>
            </w:r>
            <w:r>
              <w:rPr>
                <w:rFonts w:hint="eastAsia"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24</w:t>
            </w:r>
            <w:r>
              <w:rPr>
                <w:rFonts w:ascii="新宋体" w:hAnsi="新宋体" w:eastAsia="新宋体" w:cs="宋体"/>
                <w:bCs/>
                <w:color w:val="auto"/>
                <w:kern w:val="0"/>
                <w:sz w:val="20"/>
                <w:szCs w:val="20"/>
                <w:highlight w:val="none"/>
              </w:rPr>
              <w:t>英</w:t>
            </w:r>
            <w:r>
              <w:rPr>
                <w:rFonts w:hint="eastAsia" w:ascii="新宋体" w:hAnsi="新宋体" w:eastAsia="新宋体" w:cs="宋体"/>
                <w:bCs/>
                <w:color w:val="auto"/>
                <w:kern w:val="0"/>
                <w:sz w:val="20"/>
                <w:szCs w:val="20"/>
                <w:highlight w:val="none"/>
              </w:rPr>
              <w:t>寸x3台</w:t>
            </w:r>
            <w:r>
              <w:rPr>
                <w:rFonts w:ascii="新宋体" w:hAnsi="新宋体" w:eastAsia="新宋体" w:cs="宋体"/>
                <w:bCs/>
                <w:color w:val="auto"/>
                <w:kern w:val="0"/>
                <w:sz w:val="20"/>
                <w:szCs w:val="20"/>
                <w:highlight w:val="none"/>
              </w:rPr>
              <w:t>高亮医用高分辨率</w:t>
            </w:r>
            <w:r>
              <w:rPr>
                <w:rFonts w:ascii="新宋体" w:hAnsi="新宋体" w:eastAsia="新宋体" w:cs="Arial"/>
                <w:bCs/>
                <w:color w:val="auto"/>
                <w:kern w:val="0"/>
                <w:sz w:val="20"/>
                <w:szCs w:val="20"/>
                <w:highlight w:val="none"/>
              </w:rPr>
              <w:t>LCD</w:t>
            </w:r>
            <w:r>
              <w:rPr>
                <w:rFonts w:ascii="新宋体" w:hAnsi="新宋体" w:eastAsia="新宋体" w:cs="宋体"/>
                <w:bCs/>
                <w:color w:val="auto"/>
                <w:kern w:val="0"/>
                <w:sz w:val="20"/>
                <w:szCs w:val="20"/>
                <w:highlight w:val="none"/>
              </w:rPr>
              <w:t>显</w:t>
            </w:r>
            <w:r>
              <w:rPr>
                <w:rFonts w:hint="eastAsia" w:ascii="新宋体" w:hAnsi="新宋体" w:eastAsia="新宋体" w:cs="宋体"/>
                <w:bCs/>
                <w:color w:val="auto"/>
                <w:kern w:val="0"/>
                <w:sz w:val="20"/>
                <w:szCs w:val="20"/>
                <w:highlight w:val="none"/>
              </w:rPr>
              <w:t>示</w:t>
            </w:r>
            <w:r>
              <w:rPr>
                <w:rFonts w:ascii="新宋体" w:hAnsi="新宋体" w:eastAsia="新宋体" w:cs="宋体"/>
                <w:bCs/>
                <w:color w:val="auto"/>
                <w:kern w:val="0"/>
                <w:sz w:val="20"/>
                <w:szCs w:val="20"/>
                <w:highlight w:val="none"/>
              </w:rPr>
              <w:t>器</w:t>
            </w:r>
          </w:p>
        </w:tc>
      </w:tr>
      <w:tr w14:paraId="41BE9373">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3FF9FD14">
            <w:pPr>
              <w:widowControl/>
              <w:spacing w:after="0" w:line="360" w:lineRule="auto"/>
              <w:jc w:val="right"/>
              <w:rPr>
                <w:rFonts w:ascii="新宋体" w:hAnsi="新宋体" w:eastAsia="新宋体" w:cstheme="minorBidi"/>
                <w:bCs/>
                <w:color w:val="auto"/>
                <w:kern w:val="0"/>
                <w:sz w:val="20"/>
                <w:szCs w:val="20"/>
                <w:highlight w:val="none"/>
              </w:rPr>
            </w:pPr>
            <w:r>
              <w:rPr>
                <w:rFonts w:ascii="新宋体" w:hAnsi="新宋体" w:eastAsia="新宋体" w:cs="Arial"/>
                <w:bCs/>
                <w:color w:val="auto"/>
                <w:kern w:val="0"/>
                <w:sz w:val="20"/>
                <w:szCs w:val="20"/>
                <w:highlight w:val="none"/>
              </w:rPr>
              <w:t>8．</w:t>
            </w:r>
            <w:r>
              <w:rPr>
                <w:rFonts w:hint="eastAsia" w:ascii="新宋体" w:hAnsi="新宋体" w:eastAsia="新宋体" w:cs="Arial"/>
                <w:bCs/>
                <w:color w:val="auto"/>
                <w:kern w:val="0"/>
                <w:sz w:val="20"/>
                <w:szCs w:val="20"/>
                <w:highlight w:val="none"/>
              </w:rPr>
              <w:t>2</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686DD1BF">
            <w:pPr>
              <w:widowControl/>
              <w:spacing w:after="0" w:line="360" w:lineRule="auto"/>
              <w:jc w:val="both"/>
              <w:rPr>
                <w:rFonts w:ascii="新宋体" w:hAnsi="新宋体" w:eastAsia="新宋体" w:cstheme="minorBidi"/>
                <w:bCs/>
                <w:color w:val="auto"/>
                <w:kern w:val="0"/>
                <w:sz w:val="20"/>
                <w:szCs w:val="20"/>
                <w:highlight w:val="none"/>
              </w:rPr>
            </w:pPr>
            <w:r>
              <w:rPr>
                <w:rFonts w:ascii="新宋体" w:hAnsi="新宋体" w:eastAsia="新宋体" w:cs="宋体"/>
                <w:bCs/>
                <w:color w:val="auto"/>
                <w:kern w:val="0"/>
                <w:sz w:val="20"/>
                <w:szCs w:val="20"/>
                <w:highlight w:val="none"/>
              </w:rPr>
              <w:t>高分辨率</w:t>
            </w:r>
            <w:r>
              <w:rPr>
                <w:rFonts w:ascii="新宋体" w:hAnsi="新宋体" w:eastAsia="新宋体" w:cs="Arial"/>
                <w:bCs/>
                <w:color w:val="auto"/>
                <w:kern w:val="0"/>
                <w:sz w:val="20"/>
                <w:szCs w:val="20"/>
                <w:highlight w:val="none"/>
              </w:rPr>
              <w:t>LCD</w:t>
            </w:r>
            <w:r>
              <w:rPr>
                <w:rFonts w:ascii="新宋体" w:hAnsi="新宋体" w:eastAsia="新宋体" w:cs="宋体"/>
                <w:bCs/>
                <w:color w:val="auto"/>
                <w:kern w:val="0"/>
                <w:sz w:val="20"/>
                <w:szCs w:val="20"/>
                <w:highlight w:val="none"/>
              </w:rPr>
              <w:t>显</w:t>
            </w:r>
            <w:r>
              <w:rPr>
                <w:rFonts w:hint="eastAsia" w:ascii="新宋体" w:hAnsi="新宋体" w:eastAsia="新宋体" w:cs="宋体"/>
                <w:bCs/>
                <w:color w:val="auto"/>
                <w:kern w:val="0"/>
                <w:sz w:val="20"/>
                <w:szCs w:val="20"/>
                <w:highlight w:val="none"/>
              </w:rPr>
              <w:t>示</w:t>
            </w:r>
            <w:r>
              <w:rPr>
                <w:rFonts w:ascii="新宋体" w:hAnsi="新宋体" w:eastAsia="新宋体" w:cs="宋体"/>
                <w:bCs/>
                <w:color w:val="auto"/>
                <w:kern w:val="0"/>
                <w:sz w:val="20"/>
                <w:szCs w:val="20"/>
                <w:highlight w:val="none"/>
              </w:rPr>
              <w:t>器，显示矩阵</w:t>
            </w:r>
            <w:r>
              <w:rPr>
                <w:rFonts w:hint="eastAsia" w:ascii="新宋体" w:hAnsi="新宋体" w:eastAsia="新宋体" w:cs="宋体"/>
                <w:bCs/>
                <w:color w:val="auto"/>
                <w:kern w:val="0"/>
                <w:sz w:val="20"/>
                <w:szCs w:val="20"/>
                <w:highlight w:val="none"/>
              </w:rPr>
              <w:t>：</w:t>
            </w:r>
            <w:r>
              <w:rPr>
                <w:rFonts w:hint="eastAsia" w:ascii="宋体" w:hAnsi="宋体" w:cs="宋体" w:eastAsiaTheme="minorEastAsia"/>
                <w:bCs/>
                <w:color w:val="auto"/>
                <w:kern w:val="0"/>
                <w:sz w:val="22"/>
                <w:szCs w:val="21"/>
                <w:highlight w:val="none"/>
              </w:rPr>
              <w:t>≥1280 x 1024</w:t>
            </w:r>
          </w:p>
        </w:tc>
      </w:tr>
      <w:tr w14:paraId="0AC61384">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7935CCF6">
            <w:pPr>
              <w:widowControl/>
              <w:spacing w:after="0" w:line="360" w:lineRule="auto"/>
              <w:jc w:val="right"/>
              <w:rPr>
                <w:rFonts w:ascii="新宋体" w:hAnsi="新宋体" w:eastAsia="新宋体" w:cstheme="minorBidi"/>
                <w:bCs/>
                <w:color w:val="auto"/>
                <w:kern w:val="0"/>
                <w:sz w:val="20"/>
                <w:szCs w:val="20"/>
                <w:highlight w:val="none"/>
              </w:rPr>
            </w:pPr>
            <w:r>
              <w:rPr>
                <w:rFonts w:ascii="新宋体" w:hAnsi="新宋体" w:eastAsia="新宋体" w:cs="Arial"/>
                <w:bCs/>
                <w:color w:val="auto"/>
                <w:kern w:val="0"/>
                <w:sz w:val="20"/>
                <w:szCs w:val="20"/>
                <w:highlight w:val="none"/>
              </w:rPr>
              <w:t>8．</w:t>
            </w:r>
            <w:r>
              <w:rPr>
                <w:rFonts w:hint="eastAsia" w:ascii="新宋体" w:hAnsi="新宋体" w:eastAsia="新宋体" w:cs="Arial"/>
                <w:bCs/>
                <w:color w:val="auto"/>
                <w:kern w:val="0"/>
                <w:sz w:val="20"/>
                <w:szCs w:val="20"/>
                <w:highlight w:val="none"/>
              </w:rPr>
              <w:t>3</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2B3E7555">
            <w:pPr>
              <w:widowControl/>
              <w:spacing w:after="0" w:line="360" w:lineRule="auto"/>
              <w:jc w:val="both"/>
              <w:rPr>
                <w:rFonts w:ascii="新宋体" w:hAnsi="新宋体" w:eastAsia="新宋体" w:cs="宋体"/>
                <w:bCs/>
                <w:color w:val="auto"/>
                <w:kern w:val="0"/>
                <w:sz w:val="20"/>
                <w:szCs w:val="20"/>
                <w:highlight w:val="none"/>
              </w:rPr>
            </w:pPr>
            <w:r>
              <w:rPr>
                <w:rFonts w:hint="eastAsia" w:ascii="新宋体" w:hAnsi="新宋体" w:eastAsia="新宋体" w:cs="宋体"/>
                <w:bCs/>
                <w:color w:val="auto"/>
                <w:kern w:val="0"/>
                <w:sz w:val="20"/>
                <w:szCs w:val="20"/>
                <w:highlight w:val="none"/>
              </w:rPr>
              <w:t>最大</w:t>
            </w:r>
            <w:r>
              <w:rPr>
                <w:rFonts w:ascii="新宋体" w:hAnsi="新宋体" w:eastAsia="新宋体" w:cs="宋体"/>
                <w:bCs/>
                <w:color w:val="auto"/>
                <w:kern w:val="0"/>
                <w:sz w:val="20"/>
                <w:szCs w:val="20"/>
                <w:highlight w:val="none"/>
              </w:rPr>
              <w:t>视角</w:t>
            </w:r>
            <w:r>
              <w:rPr>
                <w:rFonts w:hint="eastAsia" w:ascii="新宋体" w:hAnsi="新宋体" w:eastAsia="新宋体" w:cs="宋体"/>
                <w:bCs/>
                <w:color w:val="auto"/>
                <w:kern w:val="0"/>
                <w:sz w:val="20"/>
                <w:szCs w:val="20"/>
                <w:highlight w:val="none"/>
              </w:rPr>
              <w:t>：</w:t>
            </w:r>
            <w:r>
              <w:rPr>
                <w:rFonts w:ascii="新宋体" w:hAnsi="新宋体" w:eastAsia="新宋体" w:cs="宋体"/>
                <w:bCs/>
                <w:color w:val="auto"/>
                <w:kern w:val="0"/>
                <w:sz w:val="20"/>
                <w:szCs w:val="20"/>
                <w:highlight w:val="none"/>
              </w:rPr>
              <w:t>≥170°</w:t>
            </w:r>
          </w:p>
        </w:tc>
      </w:tr>
      <w:tr w14:paraId="6FDEC229">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59725CD5">
            <w:pPr>
              <w:widowControl/>
              <w:spacing w:after="0" w:line="360" w:lineRule="auto"/>
              <w:jc w:val="right"/>
              <w:rPr>
                <w:rFonts w:ascii="新宋体" w:hAnsi="新宋体" w:eastAsia="新宋体" w:cstheme="minorBidi"/>
                <w:bCs/>
                <w:color w:val="auto"/>
                <w:kern w:val="0"/>
                <w:sz w:val="20"/>
                <w:szCs w:val="20"/>
                <w:highlight w:val="none"/>
              </w:rPr>
            </w:pPr>
            <w:r>
              <w:rPr>
                <w:rFonts w:ascii="新宋体" w:hAnsi="新宋体" w:eastAsia="新宋体" w:cs="Arial"/>
                <w:bCs/>
                <w:color w:val="auto"/>
                <w:kern w:val="0"/>
                <w:sz w:val="20"/>
                <w:szCs w:val="20"/>
                <w:highlight w:val="none"/>
              </w:rPr>
              <w:t>8．</w:t>
            </w:r>
            <w:r>
              <w:rPr>
                <w:rFonts w:hint="eastAsia" w:ascii="新宋体" w:hAnsi="新宋体" w:eastAsia="新宋体" w:cs="Arial"/>
                <w:bCs/>
                <w:color w:val="auto"/>
                <w:kern w:val="0"/>
                <w:sz w:val="20"/>
                <w:szCs w:val="20"/>
                <w:highlight w:val="none"/>
              </w:rPr>
              <w:t>4</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38C259D1">
            <w:pPr>
              <w:widowControl/>
              <w:spacing w:after="0" w:line="360" w:lineRule="auto"/>
              <w:jc w:val="both"/>
              <w:rPr>
                <w:rFonts w:ascii="新宋体" w:hAnsi="新宋体" w:eastAsia="新宋体" w:cs="宋体"/>
                <w:bCs/>
                <w:color w:val="auto"/>
                <w:kern w:val="0"/>
                <w:sz w:val="20"/>
                <w:szCs w:val="20"/>
                <w:highlight w:val="none"/>
              </w:rPr>
            </w:pPr>
            <w:r>
              <w:rPr>
                <w:rFonts w:hint="eastAsia" w:ascii="新宋体" w:hAnsi="新宋体" w:eastAsia="新宋体" w:cs="宋体"/>
                <w:bCs/>
                <w:color w:val="auto"/>
                <w:kern w:val="0"/>
                <w:sz w:val="20"/>
                <w:szCs w:val="20"/>
                <w:highlight w:val="none"/>
              </w:rPr>
              <w:t>亮度：</w:t>
            </w:r>
            <w:r>
              <w:rPr>
                <w:rFonts w:ascii="新宋体" w:hAnsi="新宋体" w:eastAsia="新宋体" w:cs="宋体"/>
                <w:bCs/>
                <w:color w:val="auto"/>
                <w:kern w:val="0"/>
                <w:sz w:val="20"/>
                <w:szCs w:val="20"/>
                <w:highlight w:val="none"/>
              </w:rPr>
              <w:t>≥400Cd/m²</w:t>
            </w:r>
          </w:p>
        </w:tc>
      </w:tr>
      <w:tr w14:paraId="222BA66B">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252C7F0C">
            <w:pPr>
              <w:widowControl/>
              <w:spacing w:after="0" w:line="360" w:lineRule="auto"/>
              <w:jc w:val="right"/>
              <w:rPr>
                <w:rFonts w:ascii="新宋体" w:hAnsi="新宋体" w:eastAsia="新宋体" w:cstheme="minorBidi"/>
                <w:bCs/>
                <w:color w:val="auto"/>
                <w:kern w:val="0"/>
                <w:sz w:val="20"/>
                <w:szCs w:val="20"/>
                <w:highlight w:val="none"/>
              </w:rPr>
            </w:pPr>
            <w:r>
              <w:rPr>
                <w:rFonts w:ascii="新宋体" w:hAnsi="新宋体" w:eastAsia="新宋体" w:cs="Arial"/>
                <w:bCs/>
                <w:color w:val="auto"/>
                <w:kern w:val="0"/>
                <w:sz w:val="20"/>
                <w:szCs w:val="20"/>
                <w:highlight w:val="none"/>
              </w:rPr>
              <w:t>8．5</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043E993C">
            <w:pPr>
              <w:widowControl/>
              <w:spacing w:after="0" w:line="360" w:lineRule="auto"/>
              <w:jc w:val="both"/>
              <w:rPr>
                <w:rFonts w:ascii="新宋体" w:hAnsi="新宋体" w:eastAsia="新宋体" w:cs="宋体"/>
                <w:bCs/>
                <w:color w:val="auto"/>
                <w:kern w:val="0"/>
                <w:sz w:val="20"/>
                <w:szCs w:val="20"/>
                <w:highlight w:val="none"/>
              </w:rPr>
            </w:pPr>
            <w:r>
              <w:rPr>
                <w:rFonts w:ascii="新宋体" w:hAnsi="新宋体" w:eastAsia="新宋体" w:cs="宋体"/>
                <w:bCs/>
                <w:color w:val="auto"/>
                <w:kern w:val="0"/>
                <w:sz w:val="20"/>
                <w:szCs w:val="20"/>
                <w:highlight w:val="none"/>
              </w:rPr>
              <w:t>操作室：</w:t>
            </w:r>
            <w:r>
              <w:rPr>
                <w:rFonts w:hint="eastAsia" w:ascii="新宋体" w:hAnsi="新宋体" w:eastAsia="新宋体" w:cs="宋体"/>
                <w:bCs/>
                <w:color w:val="auto"/>
                <w:kern w:val="0"/>
                <w:sz w:val="20"/>
                <w:szCs w:val="20"/>
                <w:highlight w:val="none"/>
                <w:lang w:val="en-US" w:eastAsia="zh-CN"/>
              </w:rPr>
              <w:t>至少配备一台</w:t>
            </w:r>
            <w:r>
              <w:rPr>
                <w:rFonts w:hint="eastAsia" w:ascii="新宋体" w:hAnsi="新宋体" w:eastAsia="新宋体" w:cs="宋体"/>
                <w:bCs/>
                <w:color w:val="auto"/>
                <w:kern w:val="0"/>
                <w:sz w:val="20"/>
                <w:szCs w:val="20"/>
                <w:highlight w:val="none"/>
              </w:rPr>
              <w:t>≥</w:t>
            </w:r>
            <w:r>
              <w:rPr>
                <w:rFonts w:hint="eastAsia" w:ascii="新宋体" w:hAnsi="新宋体" w:eastAsia="新宋体" w:cs="宋体"/>
                <w:bCs/>
                <w:color w:val="auto"/>
                <w:kern w:val="0"/>
                <w:sz w:val="20"/>
                <w:szCs w:val="20"/>
                <w:highlight w:val="none"/>
                <w:lang w:val="en-US" w:eastAsia="zh-CN"/>
              </w:rPr>
              <w:t>55</w:t>
            </w:r>
            <w:r>
              <w:rPr>
                <w:rFonts w:ascii="新宋体" w:hAnsi="新宋体" w:eastAsia="新宋体" w:cs="宋体"/>
                <w:bCs/>
                <w:color w:val="auto"/>
                <w:kern w:val="0"/>
                <w:sz w:val="20"/>
                <w:szCs w:val="20"/>
                <w:highlight w:val="none"/>
              </w:rPr>
              <w:t>英</w:t>
            </w:r>
            <w:r>
              <w:rPr>
                <w:rFonts w:hint="eastAsia" w:ascii="新宋体" w:hAnsi="新宋体" w:eastAsia="新宋体" w:cs="宋体"/>
                <w:bCs/>
                <w:color w:val="auto"/>
                <w:kern w:val="0"/>
                <w:sz w:val="20"/>
                <w:szCs w:val="20"/>
                <w:highlight w:val="none"/>
              </w:rPr>
              <w:t>寸</w:t>
            </w:r>
            <w:r>
              <w:rPr>
                <w:rFonts w:ascii="新宋体" w:hAnsi="新宋体" w:eastAsia="新宋体" w:cs="宋体"/>
                <w:bCs/>
                <w:color w:val="auto"/>
                <w:kern w:val="0"/>
                <w:sz w:val="20"/>
                <w:szCs w:val="20"/>
                <w:highlight w:val="none"/>
              </w:rPr>
              <w:t>高亮医用高分辨率</w:t>
            </w:r>
            <w:r>
              <w:rPr>
                <w:rFonts w:hint="eastAsia" w:ascii="新宋体" w:hAnsi="新宋体" w:eastAsia="新宋体" w:cs="宋体"/>
                <w:bCs/>
                <w:color w:val="auto"/>
                <w:kern w:val="0"/>
                <w:sz w:val="20"/>
                <w:szCs w:val="20"/>
                <w:highlight w:val="none"/>
              </w:rPr>
              <w:t>宽屏</w:t>
            </w:r>
            <w:r>
              <w:rPr>
                <w:rFonts w:ascii="新宋体" w:hAnsi="新宋体" w:eastAsia="新宋体" w:cs="Arial"/>
                <w:bCs/>
                <w:color w:val="auto"/>
                <w:kern w:val="0"/>
                <w:sz w:val="20"/>
                <w:szCs w:val="20"/>
                <w:highlight w:val="none"/>
              </w:rPr>
              <w:t>LCD</w:t>
            </w:r>
            <w:r>
              <w:rPr>
                <w:rFonts w:ascii="新宋体" w:hAnsi="新宋体" w:eastAsia="新宋体" w:cs="宋体"/>
                <w:bCs/>
                <w:color w:val="auto"/>
                <w:kern w:val="0"/>
                <w:sz w:val="20"/>
                <w:szCs w:val="20"/>
                <w:highlight w:val="none"/>
              </w:rPr>
              <w:t>显</w:t>
            </w:r>
            <w:r>
              <w:rPr>
                <w:rFonts w:hint="eastAsia" w:ascii="新宋体" w:hAnsi="新宋体" w:eastAsia="新宋体" w:cs="宋体"/>
                <w:bCs/>
                <w:color w:val="auto"/>
                <w:kern w:val="0"/>
                <w:sz w:val="20"/>
                <w:szCs w:val="20"/>
                <w:highlight w:val="none"/>
              </w:rPr>
              <w:t>示</w:t>
            </w:r>
            <w:r>
              <w:rPr>
                <w:rFonts w:ascii="新宋体" w:hAnsi="新宋体" w:eastAsia="新宋体" w:cs="宋体"/>
                <w:bCs/>
                <w:color w:val="auto"/>
                <w:kern w:val="0"/>
                <w:sz w:val="20"/>
                <w:szCs w:val="20"/>
                <w:highlight w:val="none"/>
              </w:rPr>
              <w:t>器</w:t>
            </w:r>
            <w:r>
              <w:rPr>
                <w:rFonts w:hint="eastAsia" w:ascii="新宋体" w:hAnsi="新宋体" w:eastAsia="新宋体" w:cs="宋体"/>
                <w:bCs/>
                <w:color w:val="auto"/>
                <w:kern w:val="0"/>
                <w:sz w:val="20"/>
                <w:szCs w:val="20"/>
                <w:highlight w:val="none"/>
                <w:lang w:eastAsia="zh-CN"/>
              </w:rPr>
              <w:t>，</w:t>
            </w:r>
            <w:r>
              <w:rPr>
                <w:rFonts w:hint="eastAsia" w:ascii="新宋体" w:hAnsi="新宋体" w:eastAsia="新宋体" w:cs="宋体"/>
                <w:bCs/>
                <w:color w:val="auto"/>
                <w:kern w:val="0"/>
                <w:sz w:val="20"/>
                <w:szCs w:val="20"/>
                <w:highlight w:val="none"/>
                <w:lang w:val="en-US" w:eastAsia="zh-CN"/>
              </w:rPr>
              <w:t>显示画面可自由切换，自由布局。</w:t>
            </w:r>
          </w:p>
        </w:tc>
      </w:tr>
      <w:tr w14:paraId="1429B376">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5EAF4CA3">
            <w:pPr>
              <w:widowControl/>
              <w:spacing w:after="0" w:line="360" w:lineRule="auto"/>
              <w:jc w:val="both"/>
              <w:rPr>
                <w:rFonts w:ascii="新宋体" w:hAnsi="新宋体" w:eastAsia="新宋体" w:cstheme="minorBidi"/>
                <w:bCs/>
                <w:color w:val="auto"/>
                <w:kern w:val="0"/>
                <w:sz w:val="20"/>
                <w:szCs w:val="20"/>
                <w:highlight w:val="none"/>
              </w:rPr>
            </w:pPr>
            <w:r>
              <w:rPr>
                <w:rFonts w:ascii="新宋体" w:hAnsi="新宋体" w:eastAsia="新宋体" w:cs="Arial"/>
                <w:bCs/>
                <w:color w:val="auto"/>
                <w:kern w:val="0"/>
                <w:sz w:val="20"/>
                <w:szCs w:val="20"/>
                <w:highlight w:val="none"/>
              </w:rPr>
              <w:t>9</w:t>
            </w:r>
            <w:r>
              <w:rPr>
                <w:rFonts w:ascii="新宋体" w:hAnsi="新宋体" w:eastAsia="新宋体" w:cs="宋体"/>
                <w:bCs/>
                <w:color w:val="auto"/>
                <w:kern w:val="0"/>
                <w:sz w:val="20"/>
                <w:szCs w:val="20"/>
                <w:highlight w:val="none"/>
              </w:rPr>
              <w:t>、</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71C7A265">
            <w:pPr>
              <w:widowControl/>
              <w:spacing w:after="0" w:line="360" w:lineRule="auto"/>
              <w:jc w:val="both"/>
              <w:rPr>
                <w:rFonts w:ascii="新宋体" w:hAnsi="新宋体" w:eastAsia="新宋体" w:cs="宋体"/>
                <w:bCs/>
                <w:color w:val="auto"/>
                <w:kern w:val="0"/>
                <w:sz w:val="20"/>
                <w:szCs w:val="20"/>
                <w:highlight w:val="none"/>
              </w:rPr>
            </w:pPr>
            <w:r>
              <w:rPr>
                <w:rFonts w:ascii="新宋体" w:hAnsi="新宋体" w:eastAsia="新宋体" w:cs="宋体"/>
                <w:bCs/>
                <w:color w:val="auto"/>
                <w:kern w:val="0"/>
                <w:sz w:val="20"/>
                <w:szCs w:val="20"/>
                <w:highlight w:val="none"/>
              </w:rPr>
              <w:t>图像系统</w:t>
            </w:r>
          </w:p>
        </w:tc>
      </w:tr>
      <w:tr w14:paraId="4E8645F5">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6F2E8E5B">
            <w:pPr>
              <w:widowControl/>
              <w:spacing w:after="0" w:line="360" w:lineRule="auto"/>
              <w:jc w:val="right"/>
              <w:rPr>
                <w:rFonts w:ascii="新宋体" w:hAnsi="新宋体" w:eastAsia="新宋体" w:cstheme="minorBidi"/>
                <w:bCs/>
                <w:color w:val="auto"/>
                <w:kern w:val="0"/>
                <w:sz w:val="20"/>
                <w:szCs w:val="20"/>
                <w:highlight w:val="none"/>
              </w:rPr>
            </w:pPr>
            <w:r>
              <w:rPr>
                <w:rFonts w:ascii="新宋体" w:hAnsi="新宋体" w:eastAsia="新宋体" w:cs="Arial"/>
                <w:bCs/>
                <w:color w:val="auto"/>
                <w:kern w:val="0"/>
                <w:sz w:val="20"/>
                <w:szCs w:val="20"/>
                <w:highlight w:val="none"/>
              </w:rPr>
              <w:t>9</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1</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58E03F27">
            <w:pPr>
              <w:widowControl/>
              <w:spacing w:after="0" w:line="360" w:lineRule="auto"/>
              <w:jc w:val="both"/>
              <w:rPr>
                <w:rFonts w:ascii="新宋体" w:hAnsi="新宋体" w:eastAsia="新宋体" w:cstheme="minorBidi"/>
                <w:bCs/>
                <w:color w:val="auto"/>
                <w:kern w:val="0"/>
                <w:sz w:val="20"/>
                <w:szCs w:val="20"/>
                <w:highlight w:val="none"/>
              </w:rPr>
            </w:pPr>
            <w:r>
              <w:rPr>
                <w:rFonts w:hint="eastAsia" w:ascii="新宋体" w:hAnsi="新宋体" w:eastAsia="新宋体" w:cs="宋体"/>
                <w:bCs/>
                <w:color w:val="auto"/>
                <w:kern w:val="0"/>
                <w:sz w:val="20"/>
                <w:szCs w:val="20"/>
                <w:highlight w:val="none"/>
                <w:lang w:val="en-US" w:eastAsia="zh-CN"/>
              </w:rPr>
              <w:t>具备</w:t>
            </w:r>
            <w:r>
              <w:rPr>
                <w:rFonts w:ascii="新宋体" w:hAnsi="新宋体" w:eastAsia="新宋体" w:cs="宋体"/>
                <w:bCs/>
                <w:color w:val="auto"/>
                <w:kern w:val="0"/>
                <w:sz w:val="20"/>
                <w:szCs w:val="20"/>
                <w:highlight w:val="none"/>
              </w:rPr>
              <w:t>外周采集、处理、存储</w:t>
            </w:r>
          </w:p>
        </w:tc>
      </w:tr>
      <w:tr w14:paraId="576D8739">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18CD9703">
            <w:pPr>
              <w:widowControl/>
              <w:spacing w:after="0" w:line="360" w:lineRule="auto"/>
              <w:jc w:val="right"/>
              <w:rPr>
                <w:rFonts w:ascii="新宋体" w:hAnsi="新宋体" w:eastAsia="新宋体" w:cstheme="minorBidi"/>
                <w:bCs/>
                <w:color w:val="auto"/>
                <w:kern w:val="0"/>
                <w:sz w:val="20"/>
                <w:szCs w:val="20"/>
                <w:highlight w:val="none"/>
              </w:rPr>
            </w:pPr>
            <w:r>
              <w:rPr>
                <w:rFonts w:ascii="新宋体" w:hAnsi="新宋体" w:eastAsia="新宋体" w:cs="Arial"/>
                <w:bCs/>
                <w:color w:val="auto"/>
                <w:kern w:val="0"/>
                <w:sz w:val="20"/>
                <w:szCs w:val="20"/>
                <w:highlight w:val="none"/>
              </w:rPr>
              <w:t>9</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2</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66A1380C">
            <w:pPr>
              <w:widowControl/>
              <w:spacing w:after="0" w:line="360" w:lineRule="auto"/>
              <w:jc w:val="both"/>
              <w:rPr>
                <w:rFonts w:ascii="新宋体" w:hAnsi="新宋体" w:eastAsia="新宋体" w:cs="宋体"/>
                <w:bCs/>
                <w:color w:val="auto"/>
                <w:kern w:val="0"/>
                <w:sz w:val="20"/>
                <w:szCs w:val="20"/>
                <w:highlight w:val="none"/>
              </w:rPr>
            </w:pPr>
            <w:r>
              <w:rPr>
                <w:rFonts w:ascii="新宋体" w:hAnsi="新宋体" w:eastAsia="新宋体" w:cs="宋体"/>
                <w:bCs/>
                <w:color w:val="auto"/>
                <w:kern w:val="0"/>
                <w:sz w:val="20"/>
                <w:szCs w:val="20"/>
                <w:highlight w:val="none"/>
              </w:rPr>
              <w:t>外周</w:t>
            </w:r>
            <w:r>
              <w:rPr>
                <w:rFonts w:hint="eastAsia" w:ascii="新宋体" w:hAnsi="新宋体" w:eastAsia="新宋体" w:cs="宋体"/>
                <w:bCs/>
                <w:color w:val="auto"/>
                <w:kern w:val="0"/>
                <w:sz w:val="20"/>
                <w:szCs w:val="20"/>
                <w:highlight w:val="none"/>
              </w:rPr>
              <w:t>最大</w:t>
            </w:r>
            <w:r>
              <w:rPr>
                <w:rFonts w:hint="eastAsia" w:ascii="新宋体" w:hAnsi="新宋体" w:eastAsia="新宋体" w:cs="Arial"/>
                <w:bCs/>
                <w:color w:val="auto"/>
                <w:kern w:val="0"/>
                <w:sz w:val="20"/>
                <w:szCs w:val="20"/>
                <w:highlight w:val="none"/>
              </w:rPr>
              <w:t>采集</w:t>
            </w:r>
            <w:r>
              <w:rPr>
                <w:rFonts w:ascii="新宋体" w:hAnsi="新宋体" w:eastAsia="新宋体" w:cs="Arial"/>
                <w:bCs/>
                <w:color w:val="auto"/>
                <w:kern w:val="0"/>
                <w:sz w:val="20"/>
                <w:szCs w:val="20"/>
                <w:highlight w:val="none"/>
              </w:rPr>
              <w:t>帧率</w:t>
            </w:r>
            <w:r>
              <w:rPr>
                <w:rFonts w:hint="eastAsia" w:ascii="新宋体" w:hAnsi="新宋体" w:eastAsia="新宋体" w:cs="Arial"/>
                <w:bCs/>
                <w:color w:val="auto"/>
                <w:kern w:val="0"/>
                <w:sz w:val="20"/>
                <w:szCs w:val="20"/>
                <w:highlight w:val="none"/>
              </w:rPr>
              <w:t>：</w:t>
            </w:r>
            <w:r>
              <w:rPr>
                <w:rFonts w:ascii="新宋体" w:hAnsi="新宋体" w:eastAsia="新宋体" w:cs="Arial"/>
                <w:bCs/>
                <w:color w:val="auto"/>
                <w:kern w:val="0"/>
                <w:sz w:val="20"/>
                <w:szCs w:val="20"/>
                <w:highlight w:val="none"/>
              </w:rPr>
              <w:t>≥6</w:t>
            </w:r>
            <w:r>
              <w:rPr>
                <w:rFonts w:ascii="新宋体" w:hAnsi="新宋体" w:eastAsia="新宋体" w:cs="宋体"/>
                <w:bCs/>
                <w:color w:val="auto"/>
                <w:kern w:val="0"/>
                <w:sz w:val="20"/>
                <w:szCs w:val="20"/>
                <w:highlight w:val="none"/>
              </w:rPr>
              <w:t>帧</w:t>
            </w:r>
            <w:r>
              <w:rPr>
                <w:rFonts w:ascii="新宋体" w:hAnsi="新宋体" w:eastAsia="新宋体" w:cs="Arial"/>
                <w:bCs/>
                <w:color w:val="auto"/>
                <w:kern w:val="0"/>
                <w:sz w:val="20"/>
                <w:szCs w:val="20"/>
                <w:highlight w:val="none"/>
              </w:rPr>
              <w:t xml:space="preserve"> /</w:t>
            </w:r>
            <w:r>
              <w:rPr>
                <w:rFonts w:ascii="新宋体" w:hAnsi="新宋体" w:eastAsia="新宋体" w:cs="宋体"/>
                <w:bCs/>
                <w:color w:val="auto"/>
                <w:kern w:val="0"/>
                <w:sz w:val="20"/>
                <w:szCs w:val="20"/>
                <w:highlight w:val="none"/>
              </w:rPr>
              <w:t>秒</w:t>
            </w:r>
          </w:p>
        </w:tc>
      </w:tr>
      <w:tr w14:paraId="56F391A9">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58C5DC1E">
            <w:pPr>
              <w:widowControl/>
              <w:spacing w:after="0" w:line="360" w:lineRule="auto"/>
              <w:jc w:val="right"/>
              <w:rPr>
                <w:rFonts w:ascii="新宋体" w:hAnsi="新宋体" w:eastAsia="新宋体" w:cstheme="minorBidi"/>
                <w:bCs/>
                <w:color w:val="auto"/>
                <w:kern w:val="0"/>
                <w:sz w:val="20"/>
                <w:szCs w:val="20"/>
                <w:highlight w:val="none"/>
              </w:rPr>
            </w:pPr>
            <w:r>
              <w:rPr>
                <w:rFonts w:ascii="新宋体" w:hAnsi="新宋体" w:eastAsia="新宋体" w:cs="Arial"/>
                <w:bCs/>
                <w:color w:val="auto"/>
                <w:kern w:val="0"/>
                <w:sz w:val="20"/>
                <w:szCs w:val="20"/>
                <w:highlight w:val="none"/>
              </w:rPr>
              <w:t>9</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3</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393FC376">
            <w:pPr>
              <w:widowControl/>
              <w:spacing w:after="0" w:line="360" w:lineRule="auto"/>
              <w:jc w:val="both"/>
              <w:rPr>
                <w:rFonts w:ascii="新宋体" w:hAnsi="新宋体" w:eastAsia="新宋体" w:cs="Arial"/>
                <w:bCs/>
                <w:color w:val="auto"/>
                <w:kern w:val="0"/>
                <w:sz w:val="20"/>
                <w:szCs w:val="20"/>
                <w:highlight w:val="none"/>
              </w:rPr>
            </w:pPr>
            <w:r>
              <w:rPr>
                <w:rFonts w:hint="eastAsia" w:ascii="新宋体" w:hAnsi="新宋体" w:eastAsia="新宋体" w:cs="宋体"/>
                <w:bCs/>
                <w:color w:val="auto"/>
                <w:kern w:val="0"/>
                <w:sz w:val="20"/>
                <w:szCs w:val="20"/>
                <w:highlight w:val="none"/>
                <w:lang w:val="en-US" w:eastAsia="zh-CN"/>
              </w:rPr>
              <w:t>具备</w:t>
            </w:r>
            <w:r>
              <w:rPr>
                <w:rFonts w:ascii="新宋体" w:hAnsi="新宋体" w:eastAsia="新宋体" w:cs="宋体"/>
                <w:bCs/>
                <w:color w:val="auto"/>
                <w:kern w:val="0"/>
                <w:sz w:val="20"/>
                <w:szCs w:val="20"/>
                <w:highlight w:val="none"/>
              </w:rPr>
              <w:t>心脏采集、处理、存储</w:t>
            </w:r>
          </w:p>
        </w:tc>
      </w:tr>
      <w:tr w14:paraId="403BA1AF">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25CC2278">
            <w:pPr>
              <w:widowControl/>
              <w:spacing w:after="0" w:line="360" w:lineRule="auto"/>
              <w:jc w:val="right"/>
              <w:rPr>
                <w:rFonts w:ascii="新宋体" w:hAnsi="新宋体" w:eastAsia="新宋体" w:cstheme="minorBidi"/>
                <w:bCs/>
                <w:color w:val="auto"/>
                <w:kern w:val="0"/>
                <w:sz w:val="20"/>
                <w:szCs w:val="20"/>
                <w:highlight w:val="none"/>
              </w:rPr>
            </w:pPr>
            <w:r>
              <w:rPr>
                <w:rFonts w:ascii="新宋体" w:hAnsi="新宋体" w:eastAsia="新宋体" w:cs="Arial"/>
                <w:bCs/>
                <w:color w:val="auto"/>
                <w:kern w:val="0"/>
                <w:sz w:val="20"/>
                <w:szCs w:val="20"/>
                <w:highlight w:val="none"/>
              </w:rPr>
              <w:t>9</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4</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5482FB33">
            <w:pPr>
              <w:widowControl/>
              <w:spacing w:after="0" w:line="360" w:lineRule="auto"/>
              <w:jc w:val="both"/>
              <w:rPr>
                <w:rFonts w:ascii="新宋体" w:hAnsi="新宋体" w:eastAsia="新宋体" w:cstheme="minorBidi"/>
                <w:bCs/>
                <w:color w:val="auto"/>
                <w:kern w:val="0"/>
                <w:sz w:val="20"/>
                <w:szCs w:val="20"/>
                <w:highlight w:val="none"/>
              </w:rPr>
            </w:pPr>
            <w:r>
              <w:rPr>
                <w:rFonts w:ascii="新宋体" w:hAnsi="新宋体" w:eastAsia="新宋体" w:cs="宋体"/>
                <w:bCs/>
                <w:color w:val="auto"/>
                <w:kern w:val="0"/>
                <w:sz w:val="20"/>
                <w:szCs w:val="20"/>
                <w:highlight w:val="none"/>
              </w:rPr>
              <w:t>心脏</w:t>
            </w:r>
            <w:r>
              <w:rPr>
                <w:rFonts w:hint="eastAsia" w:ascii="新宋体" w:hAnsi="新宋体" w:eastAsia="新宋体" w:cs="宋体"/>
                <w:bCs/>
                <w:color w:val="auto"/>
                <w:kern w:val="0"/>
                <w:sz w:val="20"/>
                <w:szCs w:val="20"/>
                <w:highlight w:val="none"/>
              </w:rPr>
              <w:t>最大</w:t>
            </w:r>
            <w:r>
              <w:rPr>
                <w:rFonts w:hint="eastAsia" w:ascii="新宋体" w:hAnsi="新宋体" w:eastAsia="新宋体" w:cs="Arial"/>
                <w:bCs/>
                <w:color w:val="auto"/>
                <w:kern w:val="0"/>
                <w:sz w:val="20"/>
                <w:szCs w:val="20"/>
                <w:highlight w:val="none"/>
              </w:rPr>
              <w:t>采集</w:t>
            </w:r>
            <w:r>
              <w:rPr>
                <w:rFonts w:ascii="新宋体" w:hAnsi="新宋体" w:eastAsia="新宋体" w:cs="Arial"/>
                <w:bCs/>
                <w:color w:val="auto"/>
                <w:kern w:val="0"/>
                <w:sz w:val="20"/>
                <w:szCs w:val="20"/>
                <w:highlight w:val="none"/>
              </w:rPr>
              <w:t>帧率</w:t>
            </w:r>
            <w:r>
              <w:rPr>
                <w:rFonts w:hint="eastAsia"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≥30</w:t>
            </w:r>
            <w:r>
              <w:rPr>
                <w:rFonts w:ascii="新宋体" w:hAnsi="新宋体" w:eastAsia="新宋体" w:cs="宋体"/>
                <w:bCs/>
                <w:color w:val="auto"/>
                <w:kern w:val="0"/>
                <w:sz w:val="20"/>
                <w:szCs w:val="20"/>
                <w:highlight w:val="none"/>
              </w:rPr>
              <w:t>帧</w:t>
            </w:r>
            <w:r>
              <w:rPr>
                <w:rFonts w:ascii="新宋体" w:hAnsi="新宋体" w:eastAsia="新宋体" w:cs="Arial"/>
                <w:bCs/>
                <w:color w:val="auto"/>
                <w:kern w:val="0"/>
                <w:sz w:val="20"/>
                <w:szCs w:val="20"/>
                <w:highlight w:val="none"/>
              </w:rPr>
              <w:t xml:space="preserve"> /</w:t>
            </w:r>
            <w:r>
              <w:rPr>
                <w:rFonts w:ascii="新宋体" w:hAnsi="新宋体" w:eastAsia="新宋体" w:cs="宋体"/>
                <w:bCs/>
                <w:color w:val="auto"/>
                <w:kern w:val="0"/>
                <w:sz w:val="20"/>
                <w:szCs w:val="20"/>
                <w:highlight w:val="none"/>
              </w:rPr>
              <w:t>秒</w:t>
            </w:r>
          </w:p>
        </w:tc>
      </w:tr>
      <w:tr w14:paraId="610C8484">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37A37D4F">
            <w:pPr>
              <w:widowControl/>
              <w:spacing w:after="0" w:line="360" w:lineRule="auto"/>
              <w:jc w:val="right"/>
              <w:rPr>
                <w:rFonts w:ascii="新宋体" w:hAnsi="新宋体" w:eastAsia="新宋体" w:cstheme="minorBidi"/>
                <w:bCs/>
                <w:color w:val="auto"/>
                <w:kern w:val="0"/>
                <w:sz w:val="20"/>
                <w:szCs w:val="20"/>
                <w:highlight w:val="none"/>
              </w:rPr>
            </w:pPr>
            <w:r>
              <w:rPr>
                <w:rFonts w:ascii="新宋体" w:hAnsi="新宋体" w:eastAsia="新宋体" w:cs="Arial"/>
                <w:bCs/>
                <w:color w:val="auto"/>
                <w:kern w:val="0"/>
                <w:sz w:val="20"/>
                <w:szCs w:val="20"/>
                <w:highlight w:val="none"/>
              </w:rPr>
              <w:t>9</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5</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2C14AEA1">
            <w:pPr>
              <w:widowControl/>
              <w:spacing w:after="0" w:line="360" w:lineRule="auto"/>
              <w:jc w:val="both"/>
              <w:rPr>
                <w:rFonts w:ascii="新宋体" w:hAnsi="新宋体" w:eastAsia="新宋体" w:cstheme="minorBidi"/>
                <w:bCs/>
                <w:color w:val="auto"/>
                <w:kern w:val="0"/>
                <w:sz w:val="20"/>
                <w:szCs w:val="20"/>
                <w:highlight w:val="none"/>
              </w:rPr>
            </w:pPr>
            <w:r>
              <w:rPr>
                <w:rFonts w:ascii="新宋体" w:hAnsi="新宋体" w:eastAsia="新宋体" w:cs="宋体"/>
                <w:bCs/>
                <w:color w:val="auto"/>
                <w:kern w:val="0"/>
                <w:sz w:val="20"/>
                <w:szCs w:val="20"/>
                <w:highlight w:val="none"/>
              </w:rPr>
              <w:t>实时减影</w:t>
            </w:r>
          </w:p>
        </w:tc>
      </w:tr>
      <w:tr w14:paraId="211664F2">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0336C092">
            <w:pPr>
              <w:widowControl/>
              <w:spacing w:after="0" w:line="360" w:lineRule="auto"/>
              <w:jc w:val="right"/>
              <w:rPr>
                <w:rFonts w:ascii="新宋体" w:hAnsi="新宋体" w:eastAsia="新宋体" w:cstheme="minorBidi"/>
                <w:bCs/>
                <w:color w:val="auto"/>
                <w:kern w:val="0"/>
                <w:sz w:val="20"/>
                <w:szCs w:val="20"/>
                <w:highlight w:val="none"/>
              </w:rPr>
            </w:pPr>
            <w:r>
              <w:rPr>
                <w:rFonts w:ascii="新宋体" w:hAnsi="新宋体" w:eastAsia="新宋体" w:cs="Arial"/>
                <w:bCs/>
                <w:color w:val="auto"/>
                <w:kern w:val="0"/>
                <w:sz w:val="20"/>
                <w:szCs w:val="20"/>
                <w:highlight w:val="none"/>
              </w:rPr>
              <w:t>9</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6</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40E923C1">
            <w:pPr>
              <w:widowControl/>
              <w:spacing w:after="0" w:line="360" w:lineRule="auto"/>
              <w:jc w:val="both"/>
              <w:rPr>
                <w:rFonts w:ascii="新宋体" w:hAnsi="新宋体" w:eastAsia="新宋体" w:cs="宋体"/>
                <w:bCs/>
                <w:color w:val="auto"/>
                <w:kern w:val="0"/>
                <w:sz w:val="20"/>
                <w:szCs w:val="20"/>
                <w:highlight w:val="none"/>
              </w:rPr>
            </w:pPr>
            <w:r>
              <w:rPr>
                <w:rFonts w:ascii="新宋体" w:hAnsi="新宋体" w:eastAsia="新宋体" w:cs="宋体"/>
                <w:bCs/>
                <w:color w:val="auto"/>
                <w:kern w:val="0"/>
                <w:sz w:val="20"/>
                <w:szCs w:val="20"/>
                <w:highlight w:val="none"/>
              </w:rPr>
              <w:t>脉冲透视</w:t>
            </w:r>
          </w:p>
        </w:tc>
      </w:tr>
      <w:tr w14:paraId="68A35A01">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45ABD0F0">
            <w:pPr>
              <w:widowControl/>
              <w:spacing w:after="0" w:line="360" w:lineRule="auto"/>
              <w:jc w:val="right"/>
              <w:rPr>
                <w:rFonts w:ascii="新宋体" w:hAnsi="新宋体" w:eastAsia="新宋体" w:cstheme="minorBidi"/>
                <w:bCs/>
                <w:color w:val="auto"/>
                <w:kern w:val="0"/>
                <w:sz w:val="20"/>
                <w:szCs w:val="20"/>
                <w:highlight w:val="none"/>
              </w:rPr>
            </w:pPr>
            <w:r>
              <w:rPr>
                <w:rFonts w:ascii="新宋体" w:hAnsi="新宋体" w:eastAsia="新宋体" w:cs="Arial"/>
                <w:bCs/>
                <w:color w:val="auto"/>
                <w:kern w:val="0"/>
                <w:sz w:val="20"/>
                <w:szCs w:val="20"/>
                <w:highlight w:val="none"/>
              </w:rPr>
              <w:t>9</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7</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496F8431">
            <w:pPr>
              <w:widowControl/>
              <w:spacing w:after="0" w:line="360" w:lineRule="auto"/>
              <w:jc w:val="both"/>
              <w:rPr>
                <w:rFonts w:ascii="新宋体" w:hAnsi="新宋体" w:eastAsia="新宋体" w:cstheme="minorBidi"/>
                <w:bCs/>
                <w:color w:val="auto"/>
                <w:kern w:val="0"/>
                <w:sz w:val="20"/>
                <w:szCs w:val="20"/>
                <w:highlight w:val="none"/>
              </w:rPr>
            </w:pPr>
            <w:r>
              <w:rPr>
                <w:rFonts w:ascii="新宋体" w:hAnsi="新宋体" w:eastAsia="新宋体" w:cs="宋体"/>
                <w:bCs/>
                <w:color w:val="auto"/>
                <w:kern w:val="0"/>
                <w:sz w:val="20"/>
                <w:szCs w:val="20"/>
                <w:highlight w:val="none"/>
              </w:rPr>
              <w:t>床旁可直接选择透视剂量</w:t>
            </w:r>
            <w:r>
              <w:rPr>
                <w:rFonts w:hint="eastAsia" w:ascii="新宋体" w:hAnsi="新宋体" w:eastAsia="新宋体" w:cs="宋体"/>
                <w:bCs/>
                <w:color w:val="auto"/>
                <w:kern w:val="0"/>
                <w:sz w:val="20"/>
                <w:szCs w:val="20"/>
                <w:highlight w:val="none"/>
              </w:rPr>
              <w:t>：</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3</w:t>
            </w:r>
            <w:r>
              <w:rPr>
                <w:rFonts w:ascii="新宋体" w:hAnsi="新宋体" w:eastAsia="新宋体" w:cs="宋体"/>
                <w:bCs/>
                <w:color w:val="auto"/>
                <w:kern w:val="0"/>
                <w:sz w:val="20"/>
                <w:szCs w:val="20"/>
                <w:highlight w:val="none"/>
              </w:rPr>
              <w:t>档，最小档</w:t>
            </w:r>
            <w:r>
              <w:rPr>
                <w:rFonts w:hint="eastAsia" w:ascii="新宋体" w:hAnsi="新宋体" w:eastAsia="新宋体" w:cs="宋体"/>
                <w:bCs/>
                <w:color w:val="auto"/>
                <w:kern w:val="0"/>
                <w:sz w:val="20"/>
                <w:szCs w:val="20"/>
                <w:highlight w:val="none"/>
              </w:rPr>
              <w:t>：</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5</w:t>
            </w:r>
            <w:r>
              <w:rPr>
                <w:rFonts w:ascii="新宋体" w:hAnsi="新宋体" w:eastAsia="新宋体" w:cs="宋体"/>
                <w:bCs/>
                <w:color w:val="auto"/>
                <w:kern w:val="0"/>
                <w:sz w:val="20"/>
                <w:szCs w:val="20"/>
                <w:highlight w:val="none"/>
              </w:rPr>
              <w:t>伦琴</w:t>
            </w:r>
            <w:r>
              <w:rPr>
                <w:rFonts w:ascii="新宋体" w:hAnsi="新宋体" w:eastAsia="新宋体" w:cs="Arial"/>
                <w:bCs/>
                <w:color w:val="auto"/>
                <w:kern w:val="0"/>
                <w:sz w:val="20"/>
                <w:szCs w:val="20"/>
                <w:highlight w:val="none"/>
              </w:rPr>
              <w:t>/</w:t>
            </w:r>
            <w:r>
              <w:rPr>
                <w:rFonts w:ascii="新宋体" w:hAnsi="新宋体" w:eastAsia="新宋体" w:cs="宋体"/>
                <w:bCs/>
                <w:color w:val="auto"/>
                <w:kern w:val="0"/>
                <w:sz w:val="20"/>
                <w:szCs w:val="20"/>
                <w:highlight w:val="none"/>
              </w:rPr>
              <w:t>分钟</w:t>
            </w:r>
          </w:p>
        </w:tc>
      </w:tr>
      <w:tr w14:paraId="6D9E7E21">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065391B6">
            <w:pPr>
              <w:widowControl/>
              <w:spacing w:after="0" w:line="360" w:lineRule="auto"/>
              <w:jc w:val="right"/>
              <w:rPr>
                <w:rFonts w:ascii="新宋体" w:hAnsi="新宋体" w:eastAsia="新宋体" w:cstheme="minorBidi"/>
                <w:bCs/>
                <w:color w:val="auto"/>
                <w:kern w:val="0"/>
                <w:sz w:val="20"/>
                <w:szCs w:val="20"/>
                <w:highlight w:val="none"/>
              </w:rPr>
            </w:pPr>
            <w:r>
              <w:rPr>
                <w:rFonts w:ascii="新宋体" w:hAnsi="新宋体" w:eastAsia="新宋体" w:cs="Arial"/>
                <w:bCs/>
                <w:color w:val="auto"/>
                <w:kern w:val="0"/>
                <w:sz w:val="20"/>
                <w:szCs w:val="20"/>
                <w:highlight w:val="none"/>
              </w:rPr>
              <w:t>9</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8</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21ED6091">
            <w:pPr>
              <w:widowControl/>
              <w:spacing w:after="0" w:line="360" w:lineRule="auto"/>
              <w:jc w:val="both"/>
              <w:rPr>
                <w:rFonts w:ascii="新宋体" w:hAnsi="新宋体" w:eastAsia="新宋体" w:cstheme="minorBidi"/>
                <w:bCs/>
                <w:color w:val="auto"/>
                <w:kern w:val="0"/>
                <w:sz w:val="20"/>
                <w:szCs w:val="20"/>
                <w:highlight w:val="none"/>
              </w:rPr>
            </w:pPr>
            <w:r>
              <w:rPr>
                <w:rFonts w:ascii="新宋体" w:hAnsi="新宋体" w:eastAsia="新宋体" w:cs="宋体"/>
                <w:bCs/>
                <w:color w:val="auto"/>
                <w:kern w:val="0"/>
                <w:sz w:val="20"/>
                <w:szCs w:val="20"/>
                <w:highlight w:val="none"/>
              </w:rPr>
              <w:t>可存储单幅及序列</w:t>
            </w:r>
            <w:r>
              <w:rPr>
                <w:rFonts w:hint="eastAsia" w:ascii="新宋体" w:hAnsi="新宋体" w:eastAsia="新宋体" w:cs="宋体"/>
                <w:bCs/>
                <w:color w:val="auto"/>
                <w:kern w:val="0"/>
                <w:sz w:val="20"/>
                <w:szCs w:val="20"/>
                <w:highlight w:val="none"/>
                <w:lang w:eastAsia="zh-CN"/>
              </w:rPr>
              <w:t>透视图像</w:t>
            </w:r>
            <w:r>
              <w:rPr>
                <w:rFonts w:ascii="新宋体" w:hAnsi="新宋体" w:eastAsia="新宋体" w:cs="宋体"/>
                <w:bCs/>
                <w:color w:val="auto"/>
                <w:kern w:val="0"/>
                <w:sz w:val="20"/>
                <w:szCs w:val="20"/>
                <w:highlight w:val="none"/>
              </w:rPr>
              <w:t>（单次储存≥</w:t>
            </w:r>
            <w:r>
              <w:rPr>
                <w:rFonts w:ascii="新宋体" w:hAnsi="新宋体" w:eastAsia="新宋体" w:cs="Arial"/>
                <w:bCs/>
                <w:color w:val="auto"/>
                <w:kern w:val="0"/>
                <w:sz w:val="20"/>
                <w:szCs w:val="20"/>
                <w:highlight w:val="none"/>
              </w:rPr>
              <w:t>20S</w:t>
            </w:r>
            <w:r>
              <w:rPr>
                <w:rFonts w:ascii="新宋体" w:hAnsi="新宋体" w:eastAsia="新宋体" w:cs="宋体"/>
                <w:bCs/>
                <w:color w:val="auto"/>
                <w:kern w:val="0"/>
                <w:sz w:val="20"/>
                <w:szCs w:val="20"/>
                <w:highlight w:val="none"/>
              </w:rPr>
              <w:t>且≥</w:t>
            </w:r>
            <w:r>
              <w:rPr>
                <w:rFonts w:hint="eastAsia" w:ascii="新宋体" w:hAnsi="新宋体" w:eastAsia="新宋体" w:cs="宋体"/>
                <w:bCs/>
                <w:color w:val="auto"/>
                <w:kern w:val="0"/>
                <w:sz w:val="20"/>
                <w:szCs w:val="20"/>
                <w:highlight w:val="none"/>
              </w:rPr>
              <w:t>20</w:t>
            </w:r>
            <w:r>
              <w:rPr>
                <w:rFonts w:ascii="新宋体" w:hAnsi="新宋体" w:eastAsia="新宋体" w:cs="Arial"/>
                <w:bCs/>
                <w:color w:val="auto"/>
                <w:kern w:val="0"/>
                <w:sz w:val="20"/>
                <w:szCs w:val="20"/>
                <w:highlight w:val="none"/>
              </w:rPr>
              <w:t>00</w:t>
            </w:r>
            <w:r>
              <w:rPr>
                <w:rFonts w:ascii="新宋体" w:hAnsi="新宋体" w:eastAsia="新宋体" w:cs="宋体"/>
                <w:bCs/>
                <w:color w:val="auto"/>
                <w:kern w:val="0"/>
                <w:sz w:val="20"/>
                <w:szCs w:val="20"/>
                <w:highlight w:val="none"/>
              </w:rPr>
              <w:t>幅的连续动态</w:t>
            </w:r>
            <w:r>
              <w:rPr>
                <w:rFonts w:hint="eastAsia" w:ascii="新宋体" w:hAnsi="新宋体" w:eastAsia="新宋体" w:cs="宋体"/>
                <w:bCs/>
                <w:color w:val="auto"/>
                <w:kern w:val="0"/>
                <w:sz w:val="20"/>
                <w:szCs w:val="20"/>
                <w:highlight w:val="none"/>
                <w:lang w:eastAsia="zh-CN"/>
              </w:rPr>
              <w:t>透视图像</w:t>
            </w:r>
            <w:r>
              <w:rPr>
                <w:rFonts w:ascii="新宋体" w:hAnsi="新宋体" w:eastAsia="新宋体" w:cs="宋体"/>
                <w:bCs/>
                <w:color w:val="auto"/>
                <w:kern w:val="0"/>
                <w:sz w:val="20"/>
                <w:szCs w:val="20"/>
                <w:highlight w:val="none"/>
              </w:rPr>
              <w:t>），透视序列可以同屏多幅图像形式显示于参考屏上</w:t>
            </w:r>
          </w:p>
        </w:tc>
      </w:tr>
      <w:tr w14:paraId="6CE6D4E3">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17874C52">
            <w:pPr>
              <w:widowControl/>
              <w:spacing w:after="0" w:line="360" w:lineRule="auto"/>
              <w:jc w:val="right"/>
              <w:rPr>
                <w:rFonts w:ascii="新宋体" w:hAnsi="新宋体" w:eastAsia="新宋体" w:cstheme="minorBidi"/>
                <w:bCs/>
                <w:color w:val="auto"/>
                <w:kern w:val="0"/>
                <w:sz w:val="20"/>
                <w:szCs w:val="20"/>
                <w:highlight w:val="none"/>
              </w:rPr>
            </w:pPr>
            <w:r>
              <w:rPr>
                <w:rFonts w:ascii="新宋体" w:hAnsi="新宋体" w:eastAsia="新宋体" w:cs="Arial"/>
                <w:bCs/>
                <w:color w:val="auto"/>
                <w:kern w:val="0"/>
                <w:sz w:val="20"/>
                <w:szCs w:val="20"/>
                <w:highlight w:val="none"/>
              </w:rPr>
              <w:t>9</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9</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02FD365B">
            <w:pPr>
              <w:widowControl/>
              <w:spacing w:after="0" w:line="360" w:lineRule="auto"/>
              <w:jc w:val="both"/>
              <w:rPr>
                <w:rFonts w:ascii="新宋体" w:hAnsi="新宋体" w:eastAsia="新宋体" w:cstheme="minorBidi"/>
                <w:bCs/>
                <w:color w:val="auto"/>
                <w:kern w:val="0"/>
                <w:sz w:val="20"/>
                <w:szCs w:val="20"/>
                <w:highlight w:val="none"/>
              </w:rPr>
            </w:pPr>
            <w:r>
              <w:rPr>
                <w:rFonts w:ascii="新宋体" w:hAnsi="新宋体" w:eastAsia="新宋体" w:cs="宋体"/>
                <w:bCs/>
                <w:color w:val="auto"/>
                <w:kern w:val="0"/>
                <w:sz w:val="20"/>
                <w:szCs w:val="20"/>
                <w:highlight w:val="none"/>
              </w:rPr>
              <w:t>最大脉冲透视速度</w:t>
            </w:r>
            <w:r>
              <w:rPr>
                <w:rFonts w:hint="eastAsia" w:ascii="新宋体" w:hAnsi="新宋体" w:eastAsia="新宋体" w:cs="宋体"/>
                <w:bCs/>
                <w:color w:val="auto"/>
                <w:kern w:val="0"/>
                <w:sz w:val="20"/>
                <w:szCs w:val="20"/>
                <w:highlight w:val="none"/>
              </w:rPr>
              <w:t>：</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30</w:t>
            </w:r>
            <w:r>
              <w:rPr>
                <w:rFonts w:ascii="新宋体" w:hAnsi="新宋体" w:eastAsia="新宋体" w:cs="宋体"/>
                <w:bCs/>
                <w:color w:val="auto"/>
                <w:kern w:val="0"/>
                <w:sz w:val="20"/>
                <w:szCs w:val="20"/>
                <w:highlight w:val="none"/>
              </w:rPr>
              <w:t>幅</w:t>
            </w:r>
            <w:r>
              <w:rPr>
                <w:rFonts w:ascii="新宋体" w:hAnsi="新宋体" w:eastAsia="新宋体" w:cs="Arial"/>
                <w:bCs/>
                <w:color w:val="auto"/>
                <w:kern w:val="0"/>
                <w:sz w:val="20"/>
                <w:szCs w:val="20"/>
                <w:highlight w:val="none"/>
              </w:rPr>
              <w:t>/</w:t>
            </w:r>
            <w:r>
              <w:rPr>
                <w:rFonts w:ascii="新宋体" w:hAnsi="新宋体" w:eastAsia="新宋体" w:cs="宋体"/>
                <w:bCs/>
                <w:color w:val="auto"/>
                <w:kern w:val="0"/>
                <w:sz w:val="20"/>
                <w:szCs w:val="20"/>
                <w:highlight w:val="none"/>
              </w:rPr>
              <w:t>秒</w:t>
            </w:r>
          </w:p>
        </w:tc>
      </w:tr>
      <w:tr w14:paraId="46983198">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1D1B080C">
            <w:pPr>
              <w:widowControl/>
              <w:spacing w:after="0" w:line="360" w:lineRule="auto"/>
              <w:jc w:val="right"/>
              <w:rPr>
                <w:rFonts w:ascii="新宋体" w:hAnsi="新宋体" w:eastAsia="新宋体" w:cstheme="minorBidi"/>
                <w:bCs/>
                <w:color w:val="auto"/>
                <w:kern w:val="0"/>
                <w:sz w:val="20"/>
                <w:szCs w:val="20"/>
                <w:highlight w:val="none"/>
              </w:rPr>
            </w:pPr>
            <w:r>
              <w:rPr>
                <w:rFonts w:ascii="新宋体" w:hAnsi="新宋体" w:eastAsia="新宋体" w:cs="Arial"/>
                <w:bCs/>
                <w:color w:val="auto"/>
                <w:kern w:val="0"/>
                <w:sz w:val="20"/>
                <w:szCs w:val="20"/>
                <w:highlight w:val="none"/>
              </w:rPr>
              <w:t>9</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10</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4D70A35A">
            <w:pPr>
              <w:widowControl/>
              <w:spacing w:after="0" w:line="360" w:lineRule="auto"/>
              <w:jc w:val="both"/>
              <w:rPr>
                <w:rFonts w:ascii="新宋体" w:hAnsi="新宋体" w:eastAsia="新宋体" w:cstheme="minorBidi"/>
                <w:bCs/>
                <w:color w:val="auto"/>
                <w:kern w:val="0"/>
                <w:sz w:val="20"/>
                <w:szCs w:val="20"/>
                <w:highlight w:val="none"/>
              </w:rPr>
            </w:pPr>
            <w:r>
              <w:rPr>
                <w:rFonts w:ascii="新宋体" w:hAnsi="新宋体" w:eastAsia="新宋体" w:cs="宋体"/>
                <w:bCs/>
                <w:color w:val="auto"/>
                <w:kern w:val="0"/>
                <w:sz w:val="20"/>
                <w:szCs w:val="20"/>
                <w:highlight w:val="none"/>
              </w:rPr>
              <w:t>最小脉冲透视速度</w:t>
            </w:r>
            <w:r>
              <w:rPr>
                <w:rFonts w:hint="eastAsia" w:ascii="新宋体" w:hAnsi="新宋体" w:eastAsia="新宋体" w:cs="宋体"/>
                <w:bCs/>
                <w:color w:val="auto"/>
                <w:kern w:val="0"/>
                <w:sz w:val="20"/>
                <w:szCs w:val="20"/>
                <w:highlight w:val="none"/>
              </w:rPr>
              <w:t>：</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3.75</w:t>
            </w:r>
            <w:r>
              <w:rPr>
                <w:rFonts w:ascii="新宋体" w:hAnsi="新宋体" w:eastAsia="新宋体" w:cs="宋体"/>
                <w:bCs/>
                <w:color w:val="auto"/>
                <w:kern w:val="0"/>
                <w:sz w:val="20"/>
                <w:szCs w:val="20"/>
                <w:highlight w:val="none"/>
              </w:rPr>
              <w:t>幅</w:t>
            </w:r>
            <w:r>
              <w:rPr>
                <w:rFonts w:ascii="新宋体" w:hAnsi="新宋体" w:eastAsia="新宋体" w:cs="Arial"/>
                <w:bCs/>
                <w:color w:val="auto"/>
                <w:kern w:val="0"/>
                <w:sz w:val="20"/>
                <w:szCs w:val="20"/>
                <w:highlight w:val="none"/>
              </w:rPr>
              <w:t>/</w:t>
            </w:r>
            <w:r>
              <w:rPr>
                <w:rFonts w:ascii="新宋体" w:hAnsi="新宋体" w:eastAsia="新宋体" w:cs="宋体"/>
                <w:bCs/>
                <w:color w:val="auto"/>
                <w:kern w:val="0"/>
                <w:sz w:val="20"/>
                <w:szCs w:val="20"/>
                <w:highlight w:val="none"/>
              </w:rPr>
              <w:t>秒</w:t>
            </w:r>
          </w:p>
        </w:tc>
      </w:tr>
      <w:tr w14:paraId="03737D73">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692DB7CE">
            <w:pPr>
              <w:widowControl/>
              <w:spacing w:after="0" w:line="360" w:lineRule="auto"/>
              <w:jc w:val="right"/>
              <w:rPr>
                <w:rFonts w:ascii="新宋体" w:hAnsi="新宋体" w:eastAsia="新宋体" w:cstheme="minorBidi"/>
                <w:bCs/>
                <w:color w:val="auto"/>
                <w:kern w:val="0"/>
                <w:sz w:val="20"/>
                <w:szCs w:val="20"/>
                <w:highlight w:val="none"/>
              </w:rPr>
            </w:pPr>
            <w:r>
              <w:rPr>
                <w:rFonts w:ascii="新宋体" w:hAnsi="新宋体" w:eastAsia="新宋体" w:cs="Arial"/>
                <w:bCs/>
                <w:color w:val="auto"/>
                <w:kern w:val="0"/>
                <w:sz w:val="20"/>
                <w:szCs w:val="20"/>
                <w:highlight w:val="none"/>
              </w:rPr>
              <w:t>9</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11</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1F558A7E">
            <w:pPr>
              <w:widowControl/>
              <w:spacing w:after="0" w:line="360" w:lineRule="auto"/>
              <w:jc w:val="both"/>
              <w:rPr>
                <w:rFonts w:ascii="新宋体" w:hAnsi="新宋体" w:eastAsia="新宋体" w:cs="宋体"/>
                <w:bCs/>
                <w:color w:val="auto"/>
                <w:kern w:val="0"/>
                <w:sz w:val="20"/>
                <w:szCs w:val="20"/>
                <w:highlight w:val="none"/>
              </w:rPr>
            </w:pPr>
            <w:r>
              <w:rPr>
                <w:rFonts w:ascii="新宋体" w:hAnsi="新宋体" w:eastAsia="新宋体" w:cs="宋体"/>
                <w:bCs/>
                <w:color w:val="auto"/>
                <w:kern w:val="0"/>
                <w:sz w:val="20"/>
                <w:szCs w:val="20"/>
                <w:highlight w:val="none"/>
              </w:rPr>
              <w:t>具有透视末帧图像保持功能</w:t>
            </w:r>
          </w:p>
        </w:tc>
      </w:tr>
      <w:tr w14:paraId="2BD8902B">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61895EF4">
            <w:pPr>
              <w:widowControl/>
              <w:spacing w:after="0" w:line="360" w:lineRule="auto"/>
              <w:jc w:val="right"/>
              <w:rPr>
                <w:rFonts w:ascii="新宋体" w:hAnsi="新宋体" w:eastAsia="新宋体" w:cstheme="minorBidi"/>
                <w:bCs/>
                <w:color w:val="auto"/>
                <w:kern w:val="0"/>
                <w:sz w:val="20"/>
                <w:szCs w:val="20"/>
                <w:highlight w:val="none"/>
              </w:rPr>
            </w:pPr>
            <w:r>
              <w:rPr>
                <w:rFonts w:ascii="新宋体" w:hAnsi="新宋体" w:eastAsia="新宋体" w:cs="Arial"/>
                <w:bCs/>
                <w:color w:val="auto"/>
                <w:kern w:val="0"/>
                <w:sz w:val="20"/>
                <w:szCs w:val="20"/>
                <w:highlight w:val="none"/>
              </w:rPr>
              <w:t>9</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12</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3D370D12">
            <w:pPr>
              <w:widowControl/>
              <w:spacing w:after="0" w:line="360" w:lineRule="auto"/>
              <w:jc w:val="both"/>
              <w:rPr>
                <w:rFonts w:ascii="新宋体" w:hAnsi="新宋体" w:eastAsia="新宋体" w:cstheme="minorBidi"/>
                <w:bCs/>
                <w:color w:val="auto"/>
                <w:kern w:val="0"/>
                <w:sz w:val="20"/>
                <w:szCs w:val="20"/>
                <w:highlight w:val="none"/>
              </w:rPr>
            </w:pPr>
            <w:r>
              <w:rPr>
                <w:rFonts w:ascii="新宋体" w:hAnsi="新宋体" w:eastAsia="新宋体" w:cs="宋体"/>
                <w:bCs/>
                <w:color w:val="auto"/>
                <w:kern w:val="0"/>
                <w:sz w:val="20"/>
                <w:szCs w:val="20"/>
                <w:highlight w:val="none"/>
              </w:rPr>
              <w:t>硬盘图像存储量</w:t>
            </w:r>
            <w:r>
              <w:rPr>
                <w:rFonts w:ascii="新宋体" w:hAnsi="新宋体" w:eastAsia="新宋体" w:cs="Arial"/>
                <w:bCs/>
                <w:color w:val="auto"/>
                <w:kern w:val="0"/>
                <w:sz w:val="20"/>
                <w:szCs w:val="20"/>
                <w:highlight w:val="none"/>
              </w:rPr>
              <w:t xml:space="preserve">1024 </w:t>
            </w:r>
            <w:r>
              <w:rPr>
                <w:rFonts w:ascii="新宋体" w:hAnsi="新宋体" w:eastAsia="新宋体" w:cs="宋体"/>
                <w:bCs/>
                <w:color w:val="auto"/>
                <w:kern w:val="0"/>
                <w:sz w:val="20"/>
                <w:szCs w:val="20"/>
                <w:highlight w:val="none"/>
              </w:rPr>
              <w:t>矩阵≥</w:t>
            </w:r>
            <w:r>
              <w:rPr>
                <w:rFonts w:hint="eastAsia" w:ascii="新宋体" w:hAnsi="新宋体" w:eastAsia="新宋体" w:cs="Arial"/>
                <w:bCs/>
                <w:color w:val="auto"/>
                <w:kern w:val="0"/>
                <w:sz w:val="20"/>
                <w:szCs w:val="20"/>
                <w:highlight w:val="none"/>
              </w:rPr>
              <w:t>5</w:t>
            </w:r>
            <w:r>
              <w:rPr>
                <w:rFonts w:ascii="新宋体" w:hAnsi="新宋体" w:eastAsia="新宋体" w:cs="Arial"/>
                <w:bCs/>
                <w:color w:val="auto"/>
                <w:kern w:val="0"/>
                <w:sz w:val="20"/>
                <w:szCs w:val="20"/>
                <w:highlight w:val="none"/>
              </w:rPr>
              <w:t>0,000</w:t>
            </w:r>
            <w:r>
              <w:rPr>
                <w:rFonts w:ascii="新宋体" w:hAnsi="新宋体" w:eastAsia="新宋体" w:cs="宋体"/>
                <w:bCs/>
                <w:color w:val="auto"/>
                <w:kern w:val="0"/>
                <w:sz w:val="20"/>
                <w:szCs w:val="20"/>
                <w:highlight w:val="none"/>
              </w:rPr>
              <w:t>幅</w:t>
            </w:r>
          </w:p>
        </w:tc>
      </w:tr>
      <w:tr w14:paraId="291DCFA0">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77428F0F">
            <w:pPr>
              <w:widowControl/>
              <w:spacing w:after="0" w:line="360" w:lineRule="auto"/>
              <w:jc w:val="both"/>
              <w:rPr>
                <w:rFonts w:ascii="新宋体" w:hAnsi="新宋体" w:eastAsia="新宋体" w:cstheme="minorBidi"/>
                <w:bCs/>
                <w:color w:val="auto"/>
                <w:kern w:val="0"/>
                <w:sz w:val="20"/>
                <w:szCs w:val="20"/>
                <w:highlight w:val="none"/>
              </w:rPr>
            </w:pPr>
            <w:r>
              <w:rPr>
                <w:rFonts w:ascii="新宋体" w:hAnsi="新宋体" w:eastAsia="新宋体" w:cs="Arial"/>
                <w:bCs/>
                <w:color w:val="auto"/>
                <w:kern w:val="0"/>
                <w:sz w:val="20"/>
                <w:szCs w:val="20"/>
                <w:highlight w:val="none"/>
              </w:rPr>
              <w:t>10</w:t>
            </w:r>
            <w:r>
              <w:rPr>
                <w:rFonts w:ascii="新宋体" w:hAnsi="新宋体" w:eastAsia="新宋体" w:cs="宋体"/>
                <w:bCs/>
                <w:color w:val="auto"/>
                <w:kern w:val="0"/>
                <w:sz w:val="20"/>
                <w:szCs w:val="20"/>
                <w:highlight w:val="none"/>
              </w:rPr>
              <w:t>、</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48F2DF5B">
            <w:pPr>
              <w:widowControl/>
              <w:spacing w:after="0" w:line="360" w:lineRule="auto"/>
              <w:jc w:val="both"/>
              <w:rPr>
                <w:rFonts w:ascii="新宋体" w:hAnsi="新宋体" w:eastAsia="新宋体" w:cs="宋体"/>
                <w:bCs/>
                <w:color w:val="auto"/>
                <w:kern w:val="0"/>
                <w:sz w:val="20"/>
                <w:szCs w:val="20"/>
                <w:highlight w:val="none"/>
              </w:rPr>
            </w:pPr>
            <w:r>
              <w:rPr>
                <w:rFonts w:ascii="新宋体" w:hAnsi="新宋体" w:eastAsia="新宋体" w:cs="宋体"/>
                <w:bCs/>
                <w:color w:val="auto"/>
                <w:kern w:val="0"/>
                <w:sz w:val="20"/>
                <w:szCs w:val="20"/>
                <w:highlight w:val="none"/>
              </w:rPr>
              <w:t>测量分析（主机系统）</w:t>
            </w:r>
          </w:p>
        </w:tc>
      </w:tr>
      <w:tr w14:paraId="335734E9">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7D08E832">
            <w:pPr>
              <w:widowControl/>
              <w:spacing w:after="0" w:line="360" w:lineRule="auto"/>
              <w:jc w:val="right"/>
              <w:rPr>
                <w:rFonts w:ascii="新宋体" w:hAnsi="新宋体" w:eastAsia="新宋体" w:cstheme="minorBidi"/>
                <w:bCs/>
                <w:color w:val="auto"/>
                <w:kern w:val="0"/>
                <w:sz w:val="20"/>
                <w:szCs w:val="20"/>
                <w:highlight w:val="none"/>
              </w:rPr>
            </w:pPr>
            <w:r>
              <w:rPr>
                <w:rFonts w:ascii="新宋体" w:hAnsi="新宋体" w:eastAsia="新宋体" w:cs="Arial"/>
                <w:bCs/>
                <w:color w:val="auto"/>
                <w:kern w:val="0"/>
                <w:sz w:val="20"/>
                <w:szCs w:val="20"/>
                <w:highlight w:val="none"/>
              </w:rPr>
              <w:t>10</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1</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4C213ED7">
            <w:pPr>
              <w:widowControl/>
              <w:spacing w:after="0" w:line="360" w:lineRule="auto"/>
              <w:jc w:val="both"/>
              <w:rPr>
                <w:rFonts w:ascii="新宋体" w:hAnsi="新宋体" w:eastAsia="新宋体" w:cs="宋体"/>
                <w:bCs/>
                <w:color w:val="auto"/>
                <w:kern w:val="0"/>
                <w:sz w:val="20"/>
                <w:szCs w:val="20"/>
                <w:highlight w:val="none"/>
              </w:rPr>
            </w:pPr>
            <w:r>
              <w:rPr>
                <w:rFonts w:ascii="新宋体" w:hAnsi="新宋体" w:eastAsia="新宋体" w:cs="宋体"/>
                <w:bCs/>
                <w:color w:val="auto"/>
                <w:kern w:val="0"/>
                <w:sz w:val="20"/>
                <w:szCs w:val="20"/>
                <w:highlight w:val="none"/>
              </w:rPr>
              <w:t>左心室分析软件，可测量舒张末期和收缩末期容积、射血分数、</w:t>
            </w:r>
            <w:r>
              <w:rPr>
                <w:rFonts w:hint="eastAsia" w:ascii="新宋体" w:hAnsi="新宋体" w:eastAsia="新宋体" w:cs="宋体"/>
                <w:bCs/>
                <w:color w:val="auto"/>
                <w:kern w:val="0"/>
                <w:sz w:val="20"/>
                <w:szCs w:val="20"/>
                <w:highlight w:val="none"/>
                <w:lang w:eastAsia="zh-CN"/>
              </w:rPr>
              <w:t>每搏量</w:t>
            </w:r>
            <w:r>
              <w:rPr>
                <w:rFonts w:ascii="新宋体" w:hAnsi="新宋体" w:eastAsia="新宋体" w:cs="宋体"/>
                <w:bCs/>
                <w:color w:val="auto"/>
                <w:kern w:val="0"/>
                <w:sz w:val="20"/>
                <w:szCs w:val="20"/>
                <w:highlight w:val="none"/>
              </w:rPr>
              <w:t>测定</w:t>
            </w:r>
          </w:p>
        </w:tc>
      </w:tr>
      <w:tr w14:paraId="66DAC214">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00B3F046">
            <w:pPr>
              <w:widowControl/>
              <w:spacing w:after="0" w:line="360" w:lineRule="auto"/>
              <w:jc w:val="right"/>
              <w:rPr>
                <w:rFonts w:ascii="新宋体" w:hAnsi="新宋体" w:eastAsia="新宋体" w:cstheme="minorBidi"/>
                <w:bCs/>
                <w:color w:val="auto"/>
                <w:kern w:val="0"/>
                <w:sz w:val="20"/>
                <w:szCs w:val="20"/>
                <w:highlight w:val="none"/>
              </w:rPr>
            </w:pPr>
            <w:r>
              <w:rPr>
                <w:rFonts w:ascii="新宋体" w:hAnsi="新宋体" w:eastAsia="新宋体" w:cs="Arial"/>
                <w:bCs/>
                <w:color w:val="auto"/>
                <w:kern w:val="0"/>
                <w:sz w:val="20"/>
                <w:szCs w:val="20"/>
                <w:highlight w:val="none"/>
              </w:rPr>
              <w:t>10</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2</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4A22961E">
            <w:pPr>
              <w:widowControl/>
              <w:spacing w:after="0" w:line="360" w:lineRule="auto"/>
              <w:jc w:val="both"/>
              <w:rPr>
                <w:rFonts w:ascii="新宋体" w:hAnsi="新宋体" w:eastAsia="新宋体" w:cs="宋体"/>
                <w:bCs/>
                <w:color w:val="auto"/>
                <w:kern w:val="0"/>
                <w:sz w:val="20"/>
                <w:szCs w:val="20"/>
                <w:highlight w:val="none"/>
              </w:rPr>
            </w:pPr>
            <w:r>
              <w:rPr>
                <w:rFonts w:ascii="新宋体" w:hAnsi="新宋体" w:eastAsia="新宋体" w:cs="宋体"/>
                <w:bCs/>
                <w:color w:val="auto"/>
                <w:kern w:val="0"/>
                <w:sz w:val="20"/>
                <w:szCs w:val="20"/>
                <w:highlight w:val="none"/>
              </w:rPr>
              <w:t>三种方法以上室壁运动曲线测量</w:t>
            </w:r>
          </w:p>
        </w:tc>
      </w:tr>
      <w:tr w14:paraId="6B2B4463">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08998D0A">
            <w:pPr>
              <w:widowControl/>
              <w:spacing w:after="0" w:line="360" w:lineRule="auto"/>
              <w:jc w:val="right"/>
              <w:rPr>
                <w:rFonts w:ascii="新宋体" w:hAnsi="新宋体" w:eastAsia="新宋体" w:cs="Arial"/>
                <w:bCs/>
                <w:color w:val="auto"/>
                <w:kern w:val="0"/>
                <w:sz w:val="20"/>
                <w:szCs w:val="20"/>
                <w:highlight w:val="none"/>
              </w:rPr>
            </w:pPr>
            <w:r>
              <w:rPr>
                <w:rFonts w:ascii="新宋体" w:hAnsi="新宋体" w:eastAsia="新宋体" w:cs="Arial"/>
                <w:bCs/>
                <w:color w:val="auto"/>
                <w:kern w:val="0"/>
                <w:sz w:val="20"/>
                <w:szCs w:val="20"/>
                <w:highlight w:val="none"/>
              </w:rPr>
              <w:t>10</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3</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6F71A4D4">
            <w:pPr>
              <w:widowControl/>
              <w:spacing w:after="0" w:line="360" w:lineRule="auto"/>
              <w:jc w:val="both"/>
              <w:rPr>
                <w:rFonts w:ascii="新宋体" w:hAnsi="新宋体" w:eastAsia="新宋体" w:cs="宋体"/>
                <w:bCs/>
                <w:color w:val="auto"/>
                <w:kern w:val="0"/>
                <w:sz w:val="20"/>
                <w:szCs w:val="20"/>
                <w:highlight w:val="none"/>
              </w:rPr>
            </w:pPr>
            <w:r>
              <w:rPr>
                <w:rFonts w:ascii="新宋体" w:hAnsi="新宋体" w:eastAsia="新宋体" w:cs="宋体"/>
                <w:bCs/>
                <w:color w:val="auto"/>
                <w:kern w:val="0"/>
                <w:sz w:val="20"/>
                <w:szCs w:val="20"/>
                <w:highlight w:val="none"/>
              </w:rPr>
              <w:t>冠脉分析软件</w:t>
            </w:r>
            <w:r>
              <w:rPr>
                <w:rFonts w:hint="eastAsia" w:ascii="新宋体" w:hAnsi="新宋体" w:eastAsia="新宋体" w:cs="宋体"/>
                <w:bCs/>
                <w:color w:val="auto"/>
                <w:kern w:val="0"/>
                <w:sz w:val="20"/>
                <w:szCs w:val="20"/>
                <w:highlight w:val="none"/>
              </w:rPr>
              <w:t>，所选血管段直径、狭窄信息、截面积、狭窄百分比等测量</w:t>
            </w:r>
          </w:p>
        </w:tc>
      </w:tr>
      <w:tr w14:paraId="4F67B7CF">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7E7A41A8">
            <w:pPr>
              <w:widowControl/>
              <w:spacing w:after="0" w:line="360" w:lineRule="auto"/>
              <w:jc w:val="right"/>
              <w:rPr>
                <w:rFonts w:ascii="新宋体" w:hAnsi="新宋体" w:eastAsia="新宋体" w:cs="Arial"/>
                <w:bCs/>
                <w:color w:val="auto"/>
                <w:kern w:val="0"/>
                <w:sz w:val="20"/>
                <w:szCs w:val="20"/>
                <w:highlight w:val="none"/>
              </w:rPr>
            </w:pPr>
            <w:r>
              <w:rPr>
                <w:rFonts w:ascii="新宋体" w:hAnsi="新宋体" w:eastAsia="新宋体" w:cs="Arial"/>
                <w:bCs/>
                <w:color w:val="auto"/>
                <w:kern w:val="0"/>
                <w:sz w:val="20"/>
                <w:szCs w:val="20"/>
                <w:highlight w:val="none"/>
              </w:rPr>
              <w:t>10</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4</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6234C39F">
            <w:pPr>
              <w:widowControl/>
              <w:spacing w:after="0" w:line="360" w:lineRule="auto"/>
              <w:jc w:val="both"/>
              <w:rPr>
                <w:rFonts w:ascii="新宋体" w:hAnsi="新宋体" w:eastAsia="新宋体" w:cs="宋体"/>
                <w:bCs/>
                <w:color w:val="auto"/>
                <w:kern w:val="0"/>
                <w:sz w:val="20"/>
                <w:szCs w:val="20"/>
                <w:highlight w:val="none"/>
              </w:rPr>
            </w:pPr>
            <w:r>
              <w:rPr>
                <w:rFonts w:ascii="新宋体" w:hAnsi="新宋体" w:eastAsia="新宋体" w:cs="宋体"/>
                <w:bCs/>
                <w:color w:val="auto"/>
                <w:kern w:val="0"/>
                <w:sz w:val="20"/>
                <w:szCs w:val="20"/>
                <w:highlight w:val="none"/>
              </w:rPr>
              <w:t>以上定量分析软件均能够在主机上而非工作站上实现，并能够实现机房内的床边测量</w:t>
            </w:r>
          </w:p>
        </w:tc>
      </w:tr>
      <w:tr w14:paraId="056539B7">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59CE8467">
            <w:pPr>
              <w:widowControl/>
              <w:spacing w:after="0" w:line="360" w:lineRule="auto"/>
              <w:jc w:val="both"/>
              <w:rPr>
                <w:rFonts w:ascii="新宋体" w:hAnsi="新宋体" w:eastAsia="新宋体" w:cstheme="minorBidi"/>
                <w:bCs/>
                <w:color w:val="auto"/>
                <w:kern w:val="0"/>
                <w:sz w:val="20"/>
                <w:szCs w:val="20"/>
                <w:highlight w:val="none"/>
              </w:rPr>
            </w:pPr>
            <w:r>
              <w:rPr>
                <w:rFonts w:ascii="新宋体" w:hAnsi="新宋体" w:eastAsia="新宋体" w:cs="Arial"/>
                <w:bCs/>
                <w:color w:val="auto"/>
                <w:kern w:val="0"/>
                <w:sz w:val="20"/>
                <w:szCs w:val="20"/>
                <w:highlight w:val="none"/>
              </w:rPr>
              <w:t>11</w:t>
            </w:r>
            <w:r>
              <w:rPr>
                <w:rFonts w:ascii="新宋体" w:hAnsi="新宋体" w:eastAsia="新宋体" w:cs="宋体"/>
                <w:bCs/>
                <w:color w:val="auto"/>
                <w:kern w:val="0"/>
                <w:sz w:val="20"/>
                <w:szCs w:val="20"/>
                <w:highlight w:val="none"/>
              </w:rPr>
              <w:t>、</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2E1BBF70">
            <w:pPr>
              <w:widowControl/>
              <w:spacing w:after="0" w:line="360" w:lineRule="auto"/>
              <w:jc w:val="both"/>
              <w:rPr>
                <w:rFonts w:ascii="新宋体" w:hAnsi="新宋体" w:eastAsia="新宋体" w:cs="宋体"/>
                <w:bCs/>
                <w:color w:val="auto"/>
                <w:kern w:val="0"/>
                <w:sz w:val="20"/>
                <w:szCs w:val="20"/>
                <w:highlight w:val="none"/>
              </w:rPr>
            </w:pPr>
            <w:r>
              <w:rPr>
                <w:rFonts w:ascii="新宋体" w:hAnsi="新宋体" w:eastAsia="新宋体" w:cs="宋体"/>
                <w:bCs/>
                <w:color w:val="auto"/>
                <w:kern w:val="0"/>
                <w:sz w:val="20"/>
                <w:szCs w:val="20"/>
                <w:highlight w:val="none"/>
              </w:rPr>
              <w:t>旋转采集</w:t>
            </w:r>
          </w:p>
        </w:tc>
      </w:tr>
      <w:tr w14:paraId="7D7E6D1B">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35DD5D1D">
            <w:pPr>
              <w:widowControl/>
              <w:spacing w:after="0" w:line="360" w:lineRule="auto"/>
              <w:ind w:firstLine="120"/>
              <w:jc w:val="right"/>
              <w:rPr>
                <w:rFonts w:ascii="新宋体" w:hAnsi="新宋体" w:eastAsia="新宋体" w:cstheme="minorBidi"/>
                <w:bCs/>
                <w:color w:val="auto"/>
                <w:kern w:val="0"/>
                <w:sz w:val="20"/>
                <w:szCs w:val="20"/>
                <w:highlight w:val="none"/>
              </w:rPr>
            </w:pPr>
            <w:r>
              <w:rPr>
                <w:rFonts w:ascii="新宋体" w:hAnsi="新宋体" w:eastAsia="新宋体" w:cs="Arial"/>
                <w:bCs/>
                <w:color w:val="auto"/>
                <w:kern w:val="0"/>
                <w:sz w:val="20"/>
                <w:szCs w:val="20"/>
                <w:highlight w:val="none"/>
              </w:rPr>
              <w:t>11</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1</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15AD3E92">
            <w:pPr>
              <w:widowControl/>
              <w:spacing w:after="0" w:line="360" w:lineRule="auto"/>
              <w:jc w:val="both"/>
              <w:rPr>
                <w:rFonts w:ascii="新宋体" w:hAnsi="新宋体" w:eastAsia="新宋体" w:cstheme="minorBidi"/>
                <w:bCs/>
                <w:color w:val="auto"/>
                <w:kern w:val="0"/>
                <w:sz w:val="20"/>
                <w:szCs w:val="20"/>
                <w:highlight w:val="none"/>
              </w:rPr>
            </w:pPr>
            <w:r>
              <w:rPr>
                <w:rFonts w:ascii="新宋体" w:hAnsi="新宋体" w:eastAsia="新宋体" w:cs="Arial"/>
                <w:bCs/>
                <w:color w:val="auto"/>
                <w:kern w:val="0"/>
                <w:sz w:val="20"/>
                <w:szCs w:val="20"/>
                <w:highlight w:val="none"/>
              </w:rPr>
              <w:t>L</w:t>
            </w:r>
            <w:r>
              <w:rPr>
                <w:rFonts w:ascii="新宋体" w:hAnsi="新宋体" w:eastAsia="新宋体" w:cs="宋体"/>
                <w:bCs/>
                <w:color w:val="auto"/>
                <w:kern w:val="0"/>
                <w:sz w:val="20"/>
                <w:szCs w:val="20"/>
                <w:highlight w:val="none"/>
              </w:rPr>
              <w:t>臂正位旋转采集</w:t>
            </w:r>
            <w:r>
              <w:rPr>
                <w:rFonts w:ascii="新宋体" w:hAnsi="新宋体" w:eastAsia="新宋体" w:cs="Arial"/>
                <w:bCs/>
                <w:color w:val="auto"/>
                <w:kern w:val="0"/>
                <w:sz w:val="20"/>
                <w:szCs w:val="20"/>
                <w:highlight w:val="none"/>
              </w:rPr>
              <w:t>C</w:t>
            </w:r>
            <w:r>
              <w:rPr>
                <w:rFonts w:ascii="新宋体" w:hAnsi="新宋体" w:eastAsia="新宋体" w:cs="宋体"/>
                <w:bCs/>
                <w:color w:val="auto"/>
                <w:kern w:val="0"/>
                <w:sz w:val="20"/>
                <w:szCs w:val="20"/>
                <w:highlight w:val="none"/>
              </w:rPr>
              <w:t>臂旋转速度</w:t>
            </w:r>
            <w:r>
              <w:rPr>
                <w:rFonts w:hint="eastAsia" w:ascii="新宋体" w:hAnsi="新宋体" w:eastAsia="新宋体" w:cs="宋体"/>
                <w:bCs/>
                <w:color w:val="auto"/>
                <w:kern w:val="0"/>
                <w:sz w:val="20"/>
                <w:szCs w:val="20"/>
                <w:highlight w:val="none"/>
              </w:rPr>
              <w:t>：</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55</w:t>
            </w:r>
            <w:r>
              <w:rPr>
                <w:rFonts w:ascii="新宋体" w:hAnsi="新宋体" w:eastAsia="新宋体" w:cs="宋体"/>
                <w:bCs/>
                <w:color w:val="auto"/>
                <w:kern w:val="0"/>
                <w:sz w:val="20"/>
                <w:szCs w:val="20"/>
                <w:highlight w:val="none"/>
              </w:rPr>
              <w:t>度</w:t>
            </w:r>
            <w:r>
              <w:rPr>
                <w:rFonts w:ascii="新宋体" w:hAnsi="新宋体" w:eastAsia="新宋体" w:cs="Arial"/>
                <w:bCs/>
                <w:color w:val="auto"/>
                <w:kern w:val="0"/>
                <w:sz w:val="20"/>
                <w:szCs w:val="20"/>
                <w:highlight w:val="none"/>
              </w:rPr>
              <w:t>/</w:t>
            </w:r>
            <w:r>
              <w:rPr>
                <w:rFonts w:ascii="新宋体" w:hAnsi="新宋体" w:eastAsia="新宋体" w:cs="宋体"/>
                <w:bCs/>
                <w:color w:val="auto"/>
                <w:kern w:val="0"/>
                <w:sz w:val="20"/>
                <w:szCs w:val="20"/>
                <w:highlight w:val="none"/>
              </w:rPr>
              <w:t>秒，有效覆盖范围</w:t>
            </w:r>
            <w:r>
              <w:rPr>
                <w:rFonts w:hint="eastAsia" w:ascii="新宋体" w:hAnsi="新宋体" w:eastAsia="新宋体" w:cs="宋体"/>
                <w:bCs/>
                <w:color w:val="auto"/>
                <w:kern w:val="0"/>
                <w:sz w:val="20"/>
                <w:szCs w:val="20"/>
                <w:highlight w:val="none"/>
              </w:rPr>
              <w:t>：</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2</w:t>
            </w:r>
            <w:r>
              <w:rPr>
                <w:rFonts w:hint="eastAsia" w:ascii="新宋体" w:hAnsi="新宋体" w:eastAsia="新宋体" w:cs="Arial"/>
                <w:bCs/>
                <w:color w:val="auto"/>
                <w:kern w:val="0"/>
                <w:sz w:val="20"/>
                <w:szCs w:val="20"/>
                <w:highlight w:val="none"/>
                <w:lang w:val="en-US" w:eastAsia="zh-CN"/>
              </w:rPr>
              <w:t>0</w:t>
            </w:r>
            <w:r>
              <w:rPr>
                <w:rFonts w:ascii="新宋体" w:hAnsi="新宋体" w:eastAsia="新宋体" w:cs="Arial"/>
                <w:bCs/>
                <w:color w:val="auto"/>
                <w:kern w:val="0"/>
                <w:sz w:val="20"/>
                <w:szCs w:val="20"/>
                <w:highlight w:val="none"/>
              </w:rPr>
              <w:t>0</w:t>
            </w:r>
            <w:r>
              <w:rPr>
                <w:rFonts w:ascii="新宋体" w:hAnsi="新宋体" w:eastAsia="新宋体" w:cs="宋体"/>
                <w:bCs/>
                <w:color w:val="auto"/>
                <w:kern w:val="0"/>
                <w:sz w:val="20"/>
                <w:szCs w:val="20"/>
                <w:highlight w:val="none"/>
              </w:rPr>
              <w:t>度</w:t>
            </w:r>
          </w:p>
        </w:tc>
      </w:tr>
      <w:tr w14:paraId="09B10BB9">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6F7DDE19">
            <w:pPr>
              <w:widowControl/>
              <w:spacing w:after="0" w:line="360" w:lineRule="auto"/>
              <w:jc w:val="right"/>
              <w:rPr>
                <w:rFonts w:ascii="新宋体" w:hAnsi="新宋体" w:eastAsia="新宋体" w:cstheme="minorBidi"/>
                <w:bCs/>
                <w:color w:val="auto"/>
                <w:kern w:val="0"/>
                <w:sz w:val="20"/>
                <w:szCs w:val="20"/>
                <w:highlight w:val="none"/>
              </w:rPr>
            </w:pPr>
            <w:r>
              <w:rPr>
                <w:rFonts w:ascii="新宋体" w:hAnsi="新宋体" w:eastAsia="新宋体" w:cs="Arial"/>
                <w:bCs/>
                <w:color w:val="auto"/>
                <w:kern w:val="0"/>
                <w:sz w:val="20"/>
                <w:szCs w:val="20"/>
                <w:highlight w:val="none"/>
              </w:rPr>
              <w:t>11</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2</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47D935E7">
            <w:pPr>
              <w:widowControl/>
              <w:spacing w:after="0" w:line="360" w:lineRule="auto"/>
              <w:jc w:val="both"/>
              <w:rPr>
                <w:rFonts w:ascii="新宋体" w:hAnsi="新宋体" w:eastAsia="新宋体" w:cstheme="minorBidi"/>
                <w:bCs/>
                <w:color w:val="auto"/>
                <w:kern w:val="0"/>
                <w:sz w:val="20"/>
                <w:szCs w:val="20"/>
                <w:highlight w:val="none"/>
              </w:rPr>
            </w:pPr>
            <w:r>
              <w:rPr>
                <w:rFonts w:ascii="新宋体" w:hAnsi="新宋体" w:eastAsia="新宋体" w:cs="Arial"/>
                <w:bCs/>
                <w:color w:val="auto"/>
                <w:kern w:val="0"/>
                <w:sz w:val="20"/>
                <w:szCs w:val="20"/>
                <w:highlight w:val="none"/>
              </w:rPr>
              <w:t>L</w:t>
            </w:r>
            <w:r>
              <w:rPr>
                <w:rFonts w:ascii="新宋体" w:hAnsi="新宋体" w:eastAsia="新宋体" w:cs="宋体"/>
                <w:bCs/>
                <w:color w:val="auto"/>
                <w:kern w:val="0"/>
                <w:sz w:val="20"/>
                <w:szCs w:val="20"/>
                <w:highlight w:val="none"/>
              </w:rPr>
              <w:t>臂侧位旋转采集</w:t>
            </w:r>
            <w:r>
              <w:rPr>
                <w:rFonts w:ascii="新宋体" w:hAnsi="新宋体" w:eastAsia="新宋体" w:cs="Arial"/>
                <w:bCs/>
                <w:color w:val="auto"/>
                <w:kern w:val="0"/>
                <w:sz w:val="20"/>
                <w:szCs w:val="20"/>
                <w:highlight w:val="none"/>
              </w:rPr>
              <w:t>C</w:t>
            </w:r>
            <w:r>
              <w:rPr>
                <w:rFonts w:ascii="新宋体" w:hAnsi="新宋体" w:eastAsia="新宋体" w:cs="宋体"/>
                <w:bCs/>
                <w:color w:val="auto"/>
                <w:kern w:val="0"/>
                <w:sz w:val="20"/>
                <w:szCs w:val="20"/>
                <w:highlight w:val="none"/>
              </w:rPr>
              <w:t>臂旋转速度</w:t>
            </w:r>
            <w:r>
              <w:rPr>
                <w:rFonts w:hint="eastAsia" w:ascii="新宋体" w:hAnsi="新宋体" w:eastAsia="新宋体" w:cs="宋体"/>
                <w:bCs/>
                <w:color w:val="auto"/>
                <w:kern w:val="0"/>
                <w:sz w:val="20"/>
                <w:szCs w:val="20"/>
                <w:highlight w:val="none"/>
              </w:rPr>
              <w:t>：</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30</w:t>
            </w:r>
            <w:r>
              <w:rPr>
                <w:rFonts w:ascii="新宋体" w:hAnsi="新宋体" w:eastAsia="新宋体" w:cs="宋体"/>
                <w:bCs/>
                <w:color w:val="auto"/>
                <w:kern w:val="0"/>
                <w:sz w:val="20"/>
                <w:szCs w:val="20"/>
                <w:highlight w:val="none"/>
              </w:rPr>
              <w:t>度</w:t>
            </w:r>
            <w:r>
              <w:rPr>
                <w:rFonts w:ascii="新宋体" w:hAnsi="新宋体" w:eastAsia="新宋体" w:cs="Arial"/>
                <w:bCs/>
                <w:color w:val="auto"/>
                <w:kern w:val="0"/>
                <w:sz w:val="20"/>
                <w:szCs w:val="20"/>
                <w:highlight w:val="none"/>
              </w:rPr>
              <w:t>/</w:t>
            </w:r>
            <w:r>
              <w:rPr>
                <w:rFonts w:ascii="新宋体" w:hAnsi="新宋体" w:eastAsia="新宋体" w:cs="宋体"/>
                <w:bCs/>
                <w:color w:val="auto"/>
                <w:kern w:val="0"/>
                <w:sz w:val="20"/>
                <w:szCs w:val="20"/>
                <w:highlight w:val="none"/>
              </w:rPr>
              <w:t>秒，有效覆盖范围</w:t>
            </w:r>
            <w:r>
              <w:rPr>
                <w:rFonts w:hint="eastAsia" w:ascii="新宋体" w:hAnsi="新宋体" w:eastAsia="新宋体" w:cs="宋体"/>
                <w:bCs/>
                <w:color w:val="auto"/>
                <w:kern w:val="0"/>
                <w:sz w:val="20"/>
                <w:szCs w:val="20"/>
                <w:highlight w:val="none"/>
              </w:rPr>
              <w:t>：</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180</w:t>
            </w:r>
            <w:r>
              <w:rPr>
                <w:rFonts w:ascii="新宋体" w:hAnsi="新宋体" w:eastAsia="新宋体" w:cs="宋体"/>
                <w:bCs/>
                <w:color w:val="auto"/>
                <w:kern w:val="0"/>
                <w:sz w:val="20"/>
                <w:szCs w:val="20"/>
                <w:highlight w:val="none"/>
              </w:rPr>
              <w:t>度</w:t>
            </w:r>
          </w:p>
        </w:tc>
      </w:tr>
      <w:tr w14:paraId="3EA80C14">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26B612F1">
            <w:pPr>
              <w:widowControl/>
              <w:spacing w:after="0" w:line="360" w:lineRule="auto"/>
              <w:jc w:val="right"/>
              <w:rPr>
                <w:rFonts w:ascii="新宋体" w:hAnsi="新宋体" w:eastAsia="新宋体" w:cstheme="minorBidi"/>
                <w:bCs/>
                <w:color w:val="auto"/>
                <w:kern w:val="0"/>
                <w:sz w:val="20"/>
                <w:szCs w:val="20"/>
                <w:highlight w:val="none"/>
              </w:rPr>
            </w:pPr>
            <w:r>
              <w:rPr>
                <w:rFonts w:ascii="新宋体" w:hAnsi="新宋体" w:eastAsia="新宋体" w:cs="Arial"/>
                <w:bCs/>
                <w:color w:val="auto"/>
                <w:kern w:val="0"/>
                <w:sz w:val="20"/>
                <w:szCs w:val="20"/>
                <w:highlight w:val="none"/>
              </w:rPr>
              <w:t>11</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3</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1CAE339F">
            <w:pPr>
              <w:widowControl/>
              <w:spacing w:after="0" w:line="360" w:lineRule="auto"/>
              <w:jc w:val="both"/>
              <w:rPr>
                <w:rFonts w:ascii="新宋体" w:hAnsi="新宋体" w:eastAsia="新宋体" w:cstheme="minorBidi"/>
                <w:bCs/>
                <w:color w:val="auto"/>
                <w:kern w:val="0"/>
                <w:sz w:val="20"/>
                <w:szCs w:val="20"/>
                <w:highlight w:val="none"/>
              </w:rPr>
            </w:pPr>
            <w:r>
              <w:rPr>
                <w:rFonts w:ascii="新宋体" w:hAnsi="新宋体" w:eastAsia="新宋体" w:cs="Arial"/>
                <w:bCs/>
                <w:color w:val="auto"/>
                <w:kern w:val="0"/>
                <w:sz w:val="20"/>
                <w:szCs w:val="20"/>
                <w:highlight w:val="none"/>
              </w:rPr>
              <w:t>1024</w:t>
            </w:r>
            <w:r>
              <w:rPr>
                <w:rFonts w:ascii="新宋体" w:hAnsi="新宋体" w:eastAsia="新宋体" w:cs="宋体"/>
                <w:bCs/>
                <w:color w:val="auto"/>
                <w:kern w:val="0"/>
                <w:sz w:val="20"/>
                <w:szCs w:val="20"/>
                <w:highlight w:val="none"/>
              </w:rPr>
              <w:t>采集，最快采集速度</w:t>
            </w:r>
            <w:r>
              <w:rPr>
                <w:rFonts w:hint="eastAsia" w:ascii="新宋体" w:hAnsi="新宋体" w:eastAsia="新宋体" w:cs="宋体"/>
                <w:bCs/>
                <w:color w:val="auto"/>
                <w:kern w:val="0"/>
                <w:sz w:val="20"/>
                <w:szCs w:val="20"/>
                <w:highlight w:val="none"/>
              </w:rPr>
              <w:t>：</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30</w:t>
            </w:r>
            <w:r>
              <w:rPr>
                <w:rFonts w:ascii="新宋体" w:hAnsi="新宋体" w:eastAsia="新宋体" w:cs="宋体"/>
                <w:bCs/>
                <w:color w:val="auto"/>
                <w:kern w:val="0"/>
                <w:sz w:val="20"/>
                <w:szCs w:val="20"/>
                <w:highlight w:val="none"/>
              </w:rPr>
              <w:t>幅</w:t>
            </w:r>
            <w:r>
              <w:rPr>
                <w:rFonts w:ascii="新宋体" w:hAnsi="新宋体" w:eastAsia="新宋体" w:cs="Arial"/>
                <w:bCs/>
                <w:color w:val="auto"/>
                <w:kern w:val="0"/>
                <w:sz w:val="20"/>
                <w:szCs w:val="20"/>
                <w:highlight w:val="none"/>
              </w:rPr>
              <w:t>/</w:t>
            </w:r>
            <w:r>
              <w:rPr>
                <w:rFonts w:ascii="新宋体" w:hAnsi="新宋体" w:eastAsia="新宋体" w:cs="宋体"/>
                <w:bCs/>
                <w:color w:val="auto"/>
                <w:kern w:val="0"/>
                <w:sz w:val="20"/>
                <w:szCs w:val="20"/>
                <w:highlight w:val="none"/>
              </w:rPr>
              <w:t>秒</w:t>
            </w:r>
          </w:p>
        </w:tc>
      </w:tr>
      <w:tr w14:paraId="3B723D0E">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5B1C2B8C">
            <w:pPr>
              <w:widowControl/>
              <w:spacing w:after="0" w:line="360" w:lineRule="auto"/>
              <w:jc w:val="right"/>
              <w:rPr>
                <w:rFonts w:ascii="新宋体" w:hAnsi="新宋体" w:eastAsia="新宋体" w:cstheme="minorBidi"/>
                <w:bCs/>
                <w:color w:val="auto"/>
                <w:kern w:val="0"/>
                <w:sz w:val="20"/>
                <w:szCs w:val="20"/>
                <w:highlight w:val="none"/>
              </w:rPr>
            </w:pPr>
            <w:r>
              <w:rPr>
                <w:rFonts w:ascii="新宋体" w:hAnsi="新宋体" w:eastAsia="新宋体" w:cs="Arial"/>
                <w:bCs/>
                <w:color w:val="auto"/>
                <w:kern w:val="0"/>
                <w:sz w:val="20"/>
                <w:szCs w:val="20"/>
                <w:highlight w:val="none"/>
              </w:rPr>
              <w:t>11</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4</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525F39B3">
            <w:pPr>
              <w:widowControl/>
              <w:spacing w:after="0" w:line="360" w:lineRule="auto"/>
              <w:jc w:val="both"/>
              <w:rPr>
                <w:rFonts w:ascii="新宋体" w:hAnsi="新宋体" w:eastAsia="新宋体" w:cs="宋体"/>
                <w:bCs/>
                <w:color w:val="auto"/>
                <w:kern w:val="0"/>
                <w:sz w:val="20"/>
                <w:szCs w:val="20"/>
                <w:highlight w:val="none"/>
              </w:rPr>
            </w:pPr>
            <w:r>
              <w:rPr>
                <w:rFonts w:ascii="新宋体" w:hAnsi="新宋体" w:eastAsia="新宋体" w:cs="宋体"/>
                <w:bCs/>
                <w:color w:val="auto"/>
                <w:kern w:val="0"/>
                <w:sz w:val="20"/>
                <w:szCs w:val="20"/>
                <w:highlight w:val="none"/>
              </w:rPr>
              <w:t>可实时减影</w:t>
            </w:r>
          </w:p>
        </w:tc>
      </w:tr>
      <w:tr w14:paraId="22029BF8">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48FFC97D">
            <w:pPr>
              <w:widowControl/>
              <w:spacing w:after="0" w:line="360" w:lineRule="auto"/>
              <w:jc w:val="both"/>
              <w:rPr>
                <w:rFonts w:ascii="新宋体" w:hAnsi="新宋体" w:eastAsia="新宋体" w:cstheme="minorBidi"/>
                <w:bCs/>
                <w:color w:val="auto"/>
                <w:kern w:val="0"/>
                <w:sz w:val="20"/>
                <w:szCs w:val="20"/>
                <w:highlight w:val="none"/>
              </w:rPr>
            </w:pPr>
            <w:r>
              <w:rPr>
                <w:rFonts w:ascii="新宋体" w:hAnsi="新宋体" w:eastAsia="新宋体" w:cs="Arial"/>
                <w:bCs/>
                <w:color w:val="auto"/>
                <w:kern w:val="0"/>
                <w:sz w:val="20"/>
                <w:szCs w:val="20"/>
                <w:highlight w:val="none"/>
              </w:rPr>
              <w:t>12</w:t>
            </w:r>
            <w:r>
              <w:rPr>
                <w:rFonts w:ascii="新宋体" w:hAnsi="新宋体" w:eastAsia="新宋体" w:cs="宋体"/>
                <w:bCs/>
                <w:color w:val="auto"/>
                <w:kern w:val="0"/>
                <w:sz w:val="20"/>
                <w:szCs w:val="20"/>
                <w:highlight w:val="none"/>
              </w:rPr>
              <w:t>、</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1884BD6A">
            <w:pPr>
              <w:widowControl/>
              <w:spacing w:after="0" w:line="360" w:lineRule="auto"/>
              <w:jc w:val="both"/>
              <w:rPr>
                <w:rFonts w:ascii="新宋体" w:hAnsi="新宋体" w:eastAsia="新宋体" w:cs="宋体"/>
                <w:bCs/>
                <w:color w:val="auto"/>
                <w:kern w:val="0"/>
                <w:sz w:val="20"/>
                <w:szCs w:val="20"/>
                <w:highlight w:val="none"/>
              </w:rPr>
            </w:pPr>
            <w:r>
              <w:rPr>
                <w:rFonts w:ascii="新宋体" w:hAnsi="新宋体" w:eastAsia="新宋体" w:cs="宋体"/>
                <w:bCs/>
                <w:color w:val="auto"/>
                <w:kern w:val="0"/>
                <w:sz w:val="20"/>
                <w:szCs w:val="20"/>
                <w:highlight w:val="none"/>
              </w:rPr>
              <w:t>网络与接口</w:t>
            </w:r>
          </w:p>
        </w:tc>
      </w:tr>
      <w:tr w14:paraId="1DABE9AD">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27CDE125">
            <w:pPr>
              <w:widowControl/>
              <w:spacing w:after="0" w:line="360" w:lineRule="auto"/>
              <w:jc w:val="right"/>
              <w:rPr>
                <w:rFonts w:ascii="新宋体" w:hAnsi="新宋体" w:eastAsia="新宋体" w:cstheme="minorBidi"/>
                <w:bCs/>
                <w:color w:val="auto"/>
                <w:kern w:val="0"/>
                <w:sz w:val="20"/>
                <w:szCs w:val="20"/>
                <w:highlight w:val="none"/>
              </w:rPr>
            </w:pPr>
            <w:r>
              <w:rPr>
                <w:rFonts w:ascii="新宋体" w:hAnsi="新宋体" w:eastAsia="新宋体" w:cs="Arial"/>
                <w:bCs/>
                <w:color w:val="auto"/>
                <w:kern w:val="0"/>
                <w:sz w:val="20"/>
                <w:szCs w:val="20"/>
                <w:highlight w:val="none"/>
              </w:rPr>
              <w:t>12</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1</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51AA19DA">
            <w:pPr>
              <w:widowControl/>
              <w:spacing w:after="0" w:line="360" w:lineRule="auto"/>
              <w:jc w:val="both"/>
              <w:rPr>
                <w:rFonts w:ascii="新宋体" w:hAnsi="新宋体" w:eastAsia="新宋体" w:cstheme="minorBidi"/>
                <w:bCs/>
                <w:color w:val="auto"/>
                <w:kern w:val="0"/>
                <w:sz w:val="20"/>
                <w:szCs w:val="20"/>
                <w:highlight w:val="none"/>
              </w:rPr>
            </w:pPr>
            <w:r>
              <w:rPr>
                <w:rFonts w:ascii="新宋体" w:hAnsi="新宋体" w:eastAsia="新宋体" w:cs="宋体"/>
                <w:bCs/>
                <w:color w:val="auto"/>
                <w:kern w:val="0"/>
                <w:sz w:val="20"/>
                <w:szCs w:val="20"/>
                <w:highlight w:val="none"/>
              </w:rPr>
              <w:t>具有</w:t>
            </w:r>
            <w:r>
              <w:rPr>
                <w:rFonts w:ascii="新宋体" w:hAnsi="新宋体" w:eastAsia="新宋体" w:cs="Arial"/>
                <w:bCs/>
                <w:color w:val="auto"/>
                <w:kern w:val="0"/>
                <w:sz w:val="20"/>
                <w:szCs w:val="20"/>
                <w:highlight w:val="none"/>
              </w:rPr>
              <w:t>DICOM Send</w:t>
            </w:r>
            <w:r>
              <w:rPr>
                <w:rFonts w:ascii="新宋体" w:hAnsi="新宋体" w:eastAsia="新宋体" w:cs="宋体"/>
                <w:bCs/>
                <w:color w:val="auto"/>
                <w:kern w:val="0"/>
                <w:sz w:val="20"/>
                <w:szCs w:val="20"/>
                <w:highlight w:val="none"/>
              </w:rPr>
              <w:t>功能</w:t>
            </w:r>
          </w:p>
        </w:tc>
      </w:tr>
      <w:tr w14:paraId="4C7F4FD4">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3CB015AE">
            <w:pPr>
              <w:widowControl/>
              <w:spacing w:after="0" w:line="360" w:lineRule="auto"/>
              <w:jc w:val="right"/>
              <w:rPr>
                <w:rFonts w:ascii="新宋体" w:hAnsi="新宋体" w:eastAsia="新宋体" w:cstheme="minorBidi"/>
                <w:bCs/>
                <w:color w:val="auto"/>
                <w:kern w:val="0"/>
                <w:sz w:val="20"/>
                <w:szCs w:val="20"/>
                <w:highlight w:val="none"/>
              </w:rPr>
            </w:pPr>
            <w:r>
              <w:rPr>
                <w:rFonts w:ascii="新宋体" w:hAnsi="新宋体" w:eastAsia="新宋体" w:cs="Arial"/>
                <w:bCs/>
                <w:color w:val="auto"/>
                <w:kern w:val="0"/>
                <w:sz w:val="20"/>
                <w:szCs w:val="20"/>
                <w:highlight w:val="none"/>
              </w:rPr>
              <w:t>12</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2</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6E37F255">
            <w:pPr>
              <w:widowControl/>
              <w:spacing w:after="0" w:line="360" w:lineRule="auto"/>
              <w:jc w:val="both"/>
              <w:rPr>
                <w:rFonts w:ascii="新宋体" w:hAnsi="新宋体" w:eastAsia="新宋体" w:cstheme="minorBidi"/>
                <w:bCs/>
                <w:color w:val="auto"/>
                <w:kern w:val="0"/>
                <w:sz w:val="20"/>
                <w:szCs w:val="20"/>
                <w:highlight w:val="none"/>
              </w:rPr>
            </w:pPr>
            <w:r>
              <w:rPr>
                <w:rFonts w:ascii="新宋体" w:hAnsi="新宋体" w:eastAsia="新宋体" w:cs="宋体"/>
                <w:bCs/>
                <w:color w:val="auto"/>
                <w:kern w:val="0"/>
                <w:sz w:val="20"/>
                <w:szCs w:val="20"/>
                <w:highlight w:val="none"/>
              </w:rPr>
              <w:t>具有</w:t>
            </w:r>
            <w:r>
              <w:rPr>
                <w:rFonts w:ascii="新宋体" w:hAnsi="新宋体" w:eastAsia="新宋体" w:cs="Arial"/>
                <w:bCs/>
                <w:color w:val="auto"/>
                <w:kern w:val="0"/>
                <w:sz w:val="20"/>
                <w:szCs w:val="20"/>
                <w:highlight w:val="none"/>
              </w:rPr>
              <w:t>DICOM Print</w:t>
            </w:r>
            <w:r>
              <w:rPr>
                <w:rFonts w:ascii="新宋体" w:hAnsi="新宋体" w:eastAsia="新宋体" w:cs="宋体"/>
                <w:bCs/>
                <w:color w:val="auto"/>
                <w:kern w:val="0"/>
                <w:sz w:val="20"/>
                <w:szCs w:val="20"/>
                <w:highlight w:val="none"/>
              </w:rPr>
              <w:t>功能</w:t>
            </w:r>
          </w:p>
        </w:tc>
      </w:tr>
      <w:tr w14:paraId="1912DFBA">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4495213B">
            <w:pPr>
              <w:widowControl/>
              <w:spacing w:after="0" w:line="360" w:lineRule="auto"/>
              <w:jc w:val="right"/>
              <w:rPr>
                <w:rFonts w:ascii="新宋体" w:hAnsi="新宋体" w:eastAsia="新宋体" w:cstheme="minorBidi"/>
                <w:bCs/>
                <w:color w:val="auto"/>
                <w:kern w:val="0"/>
                <w:sz w:val="20"/>
                <w:szCs w:val="20"/>
                <w:highlight w:val="none"/>
              </w:rPr>
            </w:pPr>
            <w:r>
              <w:rPr>
                <w:rFonts w:ascii="新宋体" w:hAnsi="新宋体" w:eastAsia="新宋体" w:cs="Arial"/>
                <w:bCs/>
                <w:color w:val="auto"/>
                <w:kern w:val="0"/>
                <w:sz w:val="20"/>
                <w:szCs w:val="20"/>
                <w:highlight w:val="none"/>
              </w:rPr>
              <w:t>12</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3</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375DC7E2">
            <w:pPr>
              <w:widowControl/>
              <w:spacing w:after="0" w:line="360" w:lineRule="auto"/>
              <w:jc w:val="both"/>
              <w:rPr>
                <w:rFonts w:ascii="新宋体" w:hAnsi="新宋体" w:eastAsia="新宋体" w:cstheme="minorBidi"/>
                <w:bCs/>
                <w:color w:val="auto"/>
                <w:kern w:val="0"/>
                <w:sz w:val="20"/>
                <w:szCs w:val="20"/>
                <w:highlight w:val="none"/>
              </w:rPr>
            </w:pPr>
            <w:r>
              <w:rPr>
                <w:rFonts w:ascii="新宋体" w:hAnsi="新宋体" w:eastAsia="新宋体" w:cs="宋体"/>
                <w:bCs/>
                <w:color w:val="auto"/>
                <w:kern w:val="0"/>
                <w:sz w:val="20"/>
                <w:szCs w:val="20"/>
                <w:highlight w:val="none"/>
              </w:rPr>
              <w:t>具有</w:t>
            </w:r>
            <w:r>
              <w:rPr>
                <w:rFonts w:ascii="新宋体" w:hAnsi="新宋体" w:eastAsia="新宋体" w:cs="Arial"/>
                <w:bCs/>
                <w:color w:val="auto"/>
                <w:kern w:val="0"/>
                <w:sz w:val="20"/>
                <w:szCs w:val="20"/>
                <w:highlight w:val="none"/>
              </w:rPr>
              <w:t>DICOM Query/Retrieve</w:t>
            </w:r>
            <w:r>
              <w:rPr>
                <w:rFonts w:ascii="新宋体" w:hAnsi="新宋体" w:eastAsia="新宋体" w:cs="宋体"/>
                <w:bCs/>
                <w:color w:val="auto"/>
                <w:kern w:val="0"/>
                <w:sz w:val="20"/>
                <w:szCs w:val="20"/>
                <w:highlight w:val="none"/>
              </w:rPr>
              <w:t>功能</w:t>
            </w:r>
          </w:p>
        </w:tc>
      </w:tr>
      <w:tr w14:paraId="3829710D">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7ADA542A">
            <w:pPr>
              <w:widowControl/>
              <w:spacing w:after="0" w:line="360" w:lineRule="auto"/>
              <w:jc w:val="right"/>
              <w:rPr>
                <w:rFonts w:ascii="新宋体" w:hAnsi="新宋体" w:eastAsia="新宋体" w:cstheme="minorBidi"/>
                <w:bCs/>
                <w:color w:val="auto"/>
                <w:kern w:val="0"/>
                <w:sz w:val="20"/>
                <w:szCs w:val="20"/>
                <w:highlight w:val="none"/>
              </w:rPr>
            </w:pPr>
            <w:r>
              <w:rPr>
                <w:rFonts w:ascii="新宋体" w:hAnsi="新宋体" w:eastAsia="新宋体" w:cs="Arial"/>
                <w:bCs/>
                <w:color w:val="auto"/>
                <w:kern w:val="0"/>
                <w:sz w:val="20"/>
                <w:szCs w:val="20"/>
                <w:highlight w:val="none"/>
              </w:rPr>
              <w:t>12</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4</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7EF5B184">
            <w:pPr>
              <w:widowControl/>
              <w:spacing w:after="0" w:line="360" w:lineRule="auto"/>
              <w:jc w:val="both"/>
              <w:rPr>
                <w:rFonts w:ascii="新宋体" w:hAnsi="新宋体" w:eastAsia="新宋体" w:cstheme="minorBidi"/>
                <w:bCs/>
                <w:color w:val="auto"/>
                <w:kern w:val="0"/>
                <w:sz w:val="20"/>
                <w:szCs w:val="20"/>
                <w:highlight w:val="none"/>
              </w:rPr>
            </w:pPr>
            <w:r>
              <w:rPr>
                <w:rFonts w:ascii="新宋体" w:hAnsi="新宋体" w:eastAsia="新宋体" w:cs="宋体"/>
                <w:bCs/>
                <w:color w:val="auto"/>
                <w:kern w:val="0"/>
                <w:sz w:val="20"/>
                <w:szCs w:val="20"/>
                <w:highlight w:val="none"/>
              </w:rPr>
              <w:t>具有</w:t>
            </w:r>
            <w:r>
              <w:rPr>
                <w:rFonts w:ascii="新宋体" w:hAnsi="新宋体" w:eastAsia="新宋体" w:cs="Arial"/>
                <w:bCs/>
                <w:color w:val="auto"/>
                <w:kern w:val="0"/>
                <w:sz w:val="20"/>
                <w:szCs w:val="20"/>
                <w:highlight w:val="none"/>
              </w:rPr>
              <w:t>DICOM Worklist</w:t>
            </w:r>
            <w:r>
              <w:rPr>
                <w:rFonts w:ascii="新宋体" w:hAnsi="新宋体" w:eastAsia="新宋体" w:cs="宋体"/>
                <w:bCs/>
                <w:color w:val="auto"/>
                <w:kern w:val="0"/>
                <w:sz w:val="20"/>
                <w:szCs w:val="20"/>
                <w:highlight w:val="none"/>
              </w:rPr>
              <w:t>功能</w:t>
            </w:r>
          </w:p>
        </w:tc>
      </w:tr>
      <w:tr w14:paraId="67F09FEA">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7B09E4D1">
            <w:pPr>
              <w:widowControl/>
              <w:spacing w:after="0" w:line="360" w:lineRule="auto"/>
              <w:jc w:val="right"/>
              <w:rPr>
                <w:rFonts w:ascii="新宋体" w:hAnsi="新宋体" w:eastAsia="新宋体" w:cstheme="minorBidi"/>
                <w:bCs/>
                <w:color w:val="auto"/>
                <w:kern w:val="0"/>
                <w:sz w:val="20"/>
                <w:szCs w:val="20"/>
                <w:highlight w:val="none"/>
              </w:rPr>
            </w:pPr>
            <w:r>
              <w:rPr>
                <w:rFonts w:ascii="新宋体" w:hAnsi="新宋体" w:eastAsia="新宋体" w:cs="Arial"/>
                <w:bCs/>
                <w:color w:val="auto"/>
                <w:kern w:val="0"/>
                <w:sz w:val="20"/>
                <w:szCs w:val="20"/>
                <w:highlight w:val="none"/>
              </w:rPr>
              <w:t>12</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5</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48BE0BE9">
            <w:pPr>
              <w:widowControl/>
              <w:spacing w:after="0" w:line="360" w:lineRule="auto"/>
              <w:jc w:val="both"/>
              <w:rPr>
                <w:rFonts w:ascii="新宋体" w:hAnsi="新宋体" w:eastAsia="新宋体" w:cstheme="minorBidi"/>
                <w:bCs/>
                <w:color w:val="auto"/>
                <w:kern w:val="0"/>
                <w:sz w:val="20"/>
                <w:szCs w:val="20"/>
                <w:highlight w:val="none"/>
              </w:rPr>
            </w:pPr>
            <w:r>
              <w:rPr>
                <w:rFonts w:ascii="新宋体" w:hAnsi="新宋体" w:eastAsia="新宋体" w:cs="宋体"/>
                <w:bCs/>
                <w:color w:val="auto"/>
                <w:kern w:val="0"/>
                <w:sz w:val="20"/>
                <w:szCs w:val="20"/>
                <w:highlight w:val="none"/>
              </w:rPr>
              <w:t>具有</w:t>
            </w:r>
            <w:r>
              <w:rPr>
                <w:rFonts w:ascii="新宋体" w:hAnsi="新宋体" w:eastAsia="新宋体" w:cs="Arial"/>
                <w:bCs/>
                <w:color w:val="auto"/>
                <w:kern w:val="0"/>
                <w:sz w:val="20"/>
                <w:szCs w:val="20"/>
                <w:highlight w:val="none"/>
              </w:rPr>
              <w:t>DICOM MPPS</w:t>
            </w:r>
            <w:r>
              <w:rPr>
                <w:rFonts w:ascii="新宋体" w:hAnsi="新宋体" w:eastAsia="新宋体" w:cs="宋体"/>
                <w:bCs/>
                <w:color w:val="auto"/>
                <w:kern w:val="0"/>
                <w:sz w:val="20"/>
                <w:szCs w:val="20"/>
                <w:highlight w:val="none"/>
              </w:rPr>
              <w:t>功能</w:t>
            </w:r>
          </w:p>
        </w:tc>
      </w:tr>
      <w:tr w14:paraId="3D233D62">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61C80C46">
            <w:pPr>
              <w:widowControl/>
              <w:spacing w:after="0" w:line="360" w:lineRule="auto"/>
              <w:jc w:val="right"/>
              <w:rPr>
                <w:rFonts w:ascii="新宋体" w:hAnsi="新宋体" w:eastAsia="新宋体" w:cstheme="minorBidi"/>
                <w:bCs/>
                <w:color w:val="auto"/>
                <w:kern w:val="0"/>
                <w:sz w:val="20"/>
                <w:szCs w:val="20"/>
                <w:highlight w:val="none"/>
              </w:rPr>
            </w:pPr>
            <w:r>
              <w:rPr>
                <w:rFonts w:ascii="新宋体" w:hAnsi="新宋体" w:eastAsia="新宋体" w:cs="Arial"/>
                <w:bCs/>
                <w:color w:val="auto"/>
                <w:kern w:val="0"/>
                <w:sz w:val="20"/>
                <w:szCs w:val="20"/>
                <w:highlight w:val="none"/>
              </w:rPr>
              <w:t>12</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6</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0AC6695B">
            <w:pPr>
              <w:widowControl/>
              <w:spacing w:after="0" w:line="360" w:lineRule="auto"/>
              <w:jc w:val="both"/>
              <w:rPr>
                <w:rFonts w:ascii="新宋体" w:hAnsi="新宋体" w:eastAsia="新宋体" w:cs="宋体"/>
                <w:bCs/>
                <w:color w:val="auto"/>
                <w:kern w:val="0"/>
                <w:sz w:val="20"/>
                <w:szCs w:val="20"/>
                <w:highlight w:val="none"/>
              </w:rPr>
            </w:pPr>
            <w:r>
              <w:rPr>
                <w:rFonts w:ascii="新宋体" w:hAnsi="新宋体" w:eastAsia="新宋体" w:cs="宋体"/>
                <w:bCs/>
                <w:color w:val="auto"/>
                <w:kern w:val="0"/>
                <w:sz w:val="20"/>
                <w:szCs w:val="20"/>
                <w:highlight w:val="none"/>
              </w:rPr>
              <w:t>激光相机接口</w:t>
            </w:r>
          </w:p>
        </w:tc>
      </w:tr>
      <w:tr w14:paraId="245C87BD">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16976692">
            <w:pPr>
              <w:widowControl/>
              <w:spacing w:after="0" w:line="360" w:lineRule="auto"/>
              <w:jc w:val="right"/>
              <w:rPr>
                <w:rFonts w:ascii="新宋体" w:hAnsi="新宋体" w:eastAsia="新宋体" w:cstheme="minorBidi"/>
                <w:bCs/>
                <w:color w:val="auto"/>
                <w:kern w:val="0"/>
                <w:sz w:val="20"/>
                <w:szCs w:val="20"/>
                <w:highlight w:val="none"/>
              </w:rPr>
            </w:pPr>
            <w:r>
              <w:rPr>
                <w:rFonts w:ascii="新宋体" w:hAnsi="新宋体" w:eastAsia="新宋体" w:cs="Arial"/>
                <w:bCs/>
                <w:color w:val="auto"/>
                <w:kern w:val="0"/>
                <w:sz w:val="20"/>
                <w:szCs w:val="20"/>
                <w:highlight w:val="none"/>
              </w:rPr>
              <w:t>12</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7</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646886D3">
            <w:pPr>
              <w:widowControl/>
              <w:spacing w:after="0" w:line="360" w:lineRule="auto"/>
              <w:jc w:val="both"/>
              <w:rPr>
                <w:rFonts w:ascii="新宋体" w:hAnsi="新宋体" w:eastAsia="新宋体" w:cs="宋体"/>
                <w:bCs/>
                <w:color w:val="auto"/>
                <w:kern w:val="0"/>
                <w:sz w:val="20"/>
                <w:szCs w:val="20"/>
                <w:highlight w:val="none"/>
              </w:rPr>
            </w:pPr>
            <w:r>
              <w:rPr>
                <w:rFonts w:ascii="新宋体" w:hAnsi="新宋体" w:eastAsia="新宋体" w:cs="宋体"/>
                <w:bCs/>
                <w:color w:val="auto"/>
                <w:kern w:val="0"/>
                <w:sz w:val="20"/>
                <w:szCs w:val="20"/>
                <w:highlight w:val="none"/>
              </w:rPr>
              <w:t>高压注射器接口</w:t>
            </w:r>
          </w:p>
        </w:tc>
      </w:tr>
      <w:tr w14:paraId="64F9E867">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5C773580">
            <w:pPr>
              <w:widowControl/>
              <w:spacing w:after="0" w:line="360" w:lineRule="auto"/>
              <w:jc w:val="both"/>
              <w:rPr>
                <w:rFonts w:ascii="新宋体" w:hAnsi="新宋体" w:eastAsia="新宋体" w:cstheme="minorBidi"/>
                <w:bCs/>
                <w:color w:val="auto"/>
                <w:kern w:val="0"/>
                <w:sz w:val="20"/>
                <w:szCs w:val="20"/>
                <w:highlight w:val="none"/>
              </w:rPr>
            </w:pPr>
            <w:r>
              <w:rPr>
                <w:rFonts w:ascii="新宋体" w:hAnsi="新宋体" w:eastAsia="新宋体" w:cs="Arial"/>
                <w:bCs/>
                <w:color w:val="auto"/>
                <w:kern w:val="0"/>
                <w:sz w:val="20"/>
                <w:szCs w:val="20"/>
                <w:highlight w:val="none"/>
              </w:rPr>
              <w:t>13</w:t>
            </w:r>
            <w:r>
              <w:rPr>
                <w:rFonts w:ascii="新宋体" w:hAnsi="新宋体" w:eastAsia="新宋体" w:cs="宋体"/>
                <w:bCs/>
                <w:color w:val="auto"/>
                <w:kern w:val="0"/>
                <w:sz w:val="20"/>
                <w:szCs w:val="20"/>
                <w:highlight w:val="none"/>
              </w:rPr>
              <w:t>、</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7FCC316F">
            <w:pPr>
              <w:widowControl/>
              <w:spacing w:after="0" w:line="360" w:lineRule="auto"/>
              <w:jc w:val="both"/>
              <w:rPr>
                <w:rFonts w:ascii="新宋体" w:hAnsi="新宋体" w:eastAsia="新宋体" w:cs="宋体"/>
                <w:bCs/>
                <w:color w:val="auto"/>
                <w:kern w:val="0"/>
                <w:sz w:val="20"/>
                <w:szCs w:val="20"/>
                <w:highlight w:val="none"/>
              </w:rPr>
            </w:pPr>
            <w:r>
              <w:rPr>
                <w:rFonts w:ascii="新宋体" w:hAnsi="新宋体" w:eastAsia="新宋体" w:cs="宋体"/>
                <w:bCs/>
                <w:color w:val="auto"/>
                <w:kern w:val="0"/>
                <w:sz w:val="20"/>
                <w:szCs w:val="20"/>
                <w:highlight w:val="none"/>
              </w:rPr>
              <w:t>附件</w:t>
            </w:r>
          </w:p>
        </w:tc>
      </w:tr>
      <w:tr w14:paraId="7C30B942">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01AD41EF">
            <w:pPr>
              <w:widowControl/>
              <w:spacing w:after="0" w:line="360" w:lineRule="auto"/>
              <w:jc w:val="right"/>
              <w:rPr>
                <w:rFonts w:ascii="新宋体" w:hAnsi="新宋体" w:eastAsia="新宋体" w:cstheme="minorBidi"/>
                <w:bCs/>
                <w:color w:val="auto"/>
                <w:kern w:val="0"/>
                <w:sz w:val="20"/>
                <w:szCs w:val="20"/>
                <w:highlight w:val="none"/>
              </w:rPr>
            </w:pPr>
            <w:r>
              <w:rPr>
                <w:rFonts w:ascii="新宋体" w:hAnsi="新宋体" w:eastAsia="新宋体" w:cs="Arial"/>
                <w:bCs/>
                <w:color w:val="auto"/>
                <w:kern w:val="0"/>
                <w:sz w:val="20"/>
                <w:szCs w:val="20"/>
                <w:highlight w:val="none"/>
              </w:rPr>
              <w:t>13</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1</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0AFF9FAC">
            <w:pPr>
              <w:widowControl/>
              <w:spacing w:after="0" w:line="360" w:lineRule="auto"/>
              <w:jc w:val="both"/>
              <w:rPr>
                <w:rFonts w:ascii="新宋体" w:hAnsi="新宋体" w:eastAsia="新宋体" w:cs="宋体"/>
                <w:bCs/>
                <w:color w:val="auto"/>
                <w:kern w:val="0"/>
                <w:sz w:val="20"/>
                <w:szCs w:val="20"/>
                <w:highlight w:val="none"/>
              </w:rPr>
            </w:pPr>
            <w:r>
              <w:rPr>
                <w:rFonts w:ascii="新宋体" w:hAnsi="新宋体" w:eastAsia="新宋体" w:cs="宋体"/>
                <w:bCs/>
                <w:color w:val="auto"/>
                <w:kern w:val="0"/>
                <w:sz w:val="20"/>
                <w:szCs w:val="20"/>
                <w:highlight w:val="none"/>
              </w:rPr>
              <w:t>具备整个系统的升级能力</w:t>
            </w:r>
          </w:p>
        </w:tc>
      </w:tr>
      <w:tr w14:paraId="46AE171A">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56BBB1FF">
            <w:pPr>
              <w:widowControl/>
              <w:spacing w:after="0" w:line="360" w:lineRule="auto"/>
              <w:jc w:val="right"/>
              <w:rPr>
                <w:rFonts w:ascii="新宋体" w:hAnsi="新宋体" w:eastAsia="新宋体" w:cstheme="minorBidi"/>
                <w:bCs/>
                <w:color w:val="auto"/>
                <w:kern w:val="0"/>
                <w:sz w:val="20"/>
                <w:szCs w:val="20"/>
                <w:highlight w:val="none"/>
              </w:rPr>
            </w:pPr>
            <w:r>
              <w:rPr>
                <w:rFonts w:ascii="新宋体" w:hAnsi="新宋体" w:eastAsia="新宋体" w:cs="Arial"/>
                <w:bCs/>
                <w:color w:val="auto"/>
                <w:kern w:val="0"/>
                <w:sz w:val="20"/>
                <w:szCs w:val="20"/>
                <w:highlight w:val="none"/>
              </w:rPr>
              <w:t>13</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2</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3A9BB5E3">
            <w:pPr>
              <w:widowControl/>
              <w:spacing w:after="0" w:line="360" w:lineRule="auto"/>
              <w:jc w:val="both"/>
              <w:rPr>
                <w:rFonts w:ascii="新宋体" w:hAnsi="新宋体" w:eastAsia="新宋体" w:cs="宋体"/>
                <w:bCs/>
                <w:color w:val="auto"/>
                <w:kern w:val="0"/>
                <w:sz w:val="20"/>
                <w:szCs w:val="20"/>
                <w:highlight w:val="none"/>
              </w:rPr>
            </w:pPr>
            <w:r>
              <w:rPr>
                <w:rFonts w:ascii="新宋体" w:hAnsi="新宋体" w:eastAsia="新宋体" w:cs="宋体"/>
                <w:bCs/>
                <w:color w:val="auto"/>
                <w:kern w:val="0"/>
                <w:sz w:val="20"/>
                <w:szCs w:val="20"/>
                <w:highlight w:val="none"/>
              </w:rPr>
              <w:t>具有双向对讲系统</w:t>
            </w:r>
          </w:p>
        </w:tc>
      </w:tr>
      <w:tr w14:paraId="54B90F4E">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2B5F190A">
            <w:pPr>
              <w:widowControl/>
              <w:spacing w:after="0" w:line="360" w:lineRule="auto"/>
              <w:jc w:val="right"/>
              <w:rPr>
                <w:rFonts w:ascii="新宋体" w:hAnsi="新宋体" w:eastAsia="新宋体" w:cstheme="minorBidi"/>
                <w:bCs/>
                <w:color w:val="auto"/>
                <w:kern w:val="0"/>
                <w:sz w:val="20"/>
                <w:szCs w:val="20"/>
                <w:highlight w:val="none"/>
              </w:rPr>
            </w:pPr>
            <w:r>
              <w:rPr>
                <w:rFonts w:ascii="新宋体" w:hAnsi="新宋体" w:eastAsia="新宋体" w:cs="Arial"/>
                <w:bCs/>
                <w:color w:val="auto"/>
                <w:kern w:val="0"/>
                <w:sz w:val="20"/>
                <w:szCs w:val="20"/>
                <w:highlight w:val="none"/>
              </w:rPr>
              <w:t>13</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3</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52D7498C">
            <w:pPr>
              <w:widowControl/>
              <w:spacing w:after="0" w:line="360" w:lineRule="auto"/>
              <w:jc w:val="both"/>
              <w:rPr>
                <w:rFonts w:ascii="新宋体" w:hAnsi="新宋体" w:eastAsia="新宋体" w:cs="宋体"/>
                <w:bCs/>
                <w:color w:val="auto"/>
                <w:kern w:val="0"/>
                <w:sz w:val="20"/>
                <w:szCs w:val="20"/>
                <w:highlight w:val="none"/>
              </w:rPr>
            </w:pPr>
            <w:r>
              <w:rPr>
                <w:rFonts w:ascii="新宋体" w:hAnsi="新宋体" w:eastAsia="新宋体" w:cs="宋体"/>
                <w:bCs/>
                <w:color w:val="auto"/>
                <w:kern w:val="0"/>
                <w:sz w:val="20"/>
                <w:szCs w:val="20"/>
                <w:highlight w:val="none"/>
              </w:rPr>
              <w:t>具有图像处理操作面板</w:t>
            </w:r>
          </w:p>
        </w:tc>
      </w:tr>
      <w:tr w14:paraId="0195A04A">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6C6AF718">
            <w:pPr>
              <w:widowControl/>
              <w:spacing w:after="0" w:line="360" w:lineRule="auto"/>
              <w:jc w:val="right"/>
              <w:rPr>
                <w:rFonts w:ascii="新宋体" w:hAnsi="新宋体" w:eastAsia="新宋体" w:cstheme="minorBidi"/>
                <w:bCs/>
                <w:color w:val="auto"/>
                <w:kern w:val="0"/>
                <w:sz w:val="20"/>
                <w:szCs w:val="20"/>
                <w:highlight w:val="none"/>
              </w:rPr>
            </w:pPr>
            <w:r>
              <w:rPr>
                <w:rFonts w:ascii="新宋体" w:hAnsi="新宋体" w:eastAsia="新宋体" w:cs="Arial"/>
                <w:bCs/>
                <w:color w:val="auto"/>
                <w:kern w:val="0"/>
                <w:sz w:val="20"/>
                <w:szCs w:val="20"/>
                <w:highlight w:val="none"/>
              </w:rPr>
              <w:t>13</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4</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40FE8DB8">
            <w:pPr>
              <w:widowControl/>
              <w:spacing w:after="0" w:line="360" w:lineRule="auto"/>
              <w:jc w:val="both"/>
              <w:rPr>
                <w:rFonts w:ascii="新宋体" w:hAnsi="新宋体" w:eastAsia="新宋体" w:cstheme="minorBidi"/>
                <w:bCs/>
                <w:color w:val="auto"/>
                <w:kern w:val="0"/>
                <w:sz w:val="20"/>
                <w:szCs w:val="20"/>
                <w:highlight w:val="none"/>
              </w:rPr>
            </w:pPr>
            <w:r>
              <w:rPr>
                <w:rFonts w:ascii="新宋体" w:hAnsi="新宋体" w:eastAsia="新宋体" w:cs="宋体"/>
                <w:bCs/>
                <w:color w:val="auto"/>
                <w:kern w:val="0"/>
                <w:sz w:val="20"/>
                <w:szCs w:val="20"/>
                <w:highlight w:val="none"/>
              </w:rPr>
              <w:t>具有红外遥控器至少</w:t>
            </w:r>
            <w:r>
              <w:rPr>
                <w:rFonts w:ascii="新宋体" w:hAnsi="新宋体" w:eastAsia="新宋体" w:cs="Arial"/>
                <w:bCs/>
                <w:color w:val="auto"/>
                <w:kern w:val="0"/>
                <w:sz w:val="20"/>
                <w:szCs w:val="20"/>
                <w:highlight w:val="none"/>
              </w:rPr>
              <w:t>2</w:t>
            </w:r>
            <w:r>
              <w:rPr>
                <w:rFonts w:ascii="新宋体" w:hAnsi="新宋体" w:eastAsia="新宋体" w:cs="宋体"/>
                <w:bCs/>
                <w:color w:val="auto"/>
                <w:kern w:val="0"/>
                <w:sz w:val="20"/>
                <w:szCs w:val="20"/>
                <w:highlight w:val="none"/>
              </w:rPr>
              <w:t>个</w:t>
            </w:r>
          </w:p>
        </w:tc>
      </w:tr>
      <w:tr w14:paraId="5F63AD30">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2D958B09">
            <w:pPr>
              <w:widowControl/>
              <w:spacing w:after="0" w:line="360" w:lineRule="auto"/>
              <w:jc w:val="right"/>
              <w:rPr>
                <w:rFonts w:ascii="新宋体" w:hAnsi="新宋体" w:eastAsia="新宋体" w:cstheme="minorBidi"/>
                <w:bCs/>
                <w:color w:val="auto"/>
                <w:kern w:val="0"/>
                <w:sz w:val="20"/>
                <w:szCs w:val="20"/>
                <w:highlight w:val="none"/>
              </w:rPr>
            </w:pPr>
            <w:r>
              <w:rPr>
                <w:rFonts w:ascii="新宋体" w:hAnsi="新宋体" w:eastAsia="新宋体" w:cs="Arial"/>
                <w:bCs/>
                <w:color w:val="auto"/>
                <w:kern w:val="0"/>
                <w:sz w:val="20"/>
                <w:szCs w:val="20"/>
                <w:highlight w:val="none"/>
              </w:rPr>
              <w:t>13</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5</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50016940">
            <w:pPr>
              <w:widowControl/>
              <w:spacing w:after="0" w:line="360" w:lineRule="auto"/>
              <w:jc w:val="both"/>
              <w:rPr>
                <w:rFonts w:ascii="新宋体" w:hAnsi="新宋体" w:eastAsia="新宋体" w:cs="宋体"/>
                <w:bCs/>
                <w:color w:val="auto"/>
                <w:kern w:val="0"/>
                <w:sz w:val="20"/>
                <w:szCs w:val="20"/>
                <w:highlight w:val="none"/>
              </w:rPr>
            </w:pPr>
            <w:r>
              <w:rPr>
                <w:rFonts w:ascii="新宋体" w:hAnsi="新宋体" w:eastAsia="新宋体" w:cs="宋体"/>
                <w:bCs/>
                <w:color w:val="auto"/>
                <w:kern w:val="0"/>
                <w:sz w:val="20"/>
                <w:szCs w:val="20"/>
                <w:highlight w:val="none"/>
              </w:rPr>
              <w:t>红外遥控器具有激光灯指示功能</w:t>
            </w:r>
          </w:p>
        </w:tc>
      </w:tr>
      <w:tr w14:paraId="7BE18E51">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7B08BF0B">
            <w:pPr>
              <w:widowControl/>
              <w:spacing w:after="0" w:line="360" w:lineRule="auto"/>
              <w:jc w:val="right"/>
              <w:rPr>
                <w:rFonts w:ascii="新宋体" w:hAnsi="新宋体" w:eastAsia="新宋体" w:cstheme="minorBidi"/>
                <w:bCs/>
                <w:color w:val="auto"/>
                <w:kern w:val="0"/>
                <w:sz w:val="20"/>
                <w:szCs w:val="20"/>
                <w:highlight w:val="none"/>
              </w:rPr>
            </w:pPr>
            <w:r>
              <w:rPr>
                <w:rFonts w:ascii="新宋体" w:hAnsi="新宋体" w:eastAsia="新宋体" w:cs="Arial"/>
                <w:bCs/>
                <w:color w:val="auto"/>
                <w:kern w:val="0"/>
                <w:sz w:val="20"/>
                <w:szCs w:val="20"/>
                <w:highlight w:val="none"/>
              </w:rPr>
              <w:t>13</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6</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6131641E">
            <w:pPr>
              <w:widowControl/>
              <w:spacing w:after="0" w:line="360" w:lineRule="auto"/>
              <w:jc w:val="both"/>
              <w:rPr>
                <w:rFonts w:ascii="新宋体" w:hAnsi="新宋体" w:eastAsia="新宋体" w:cs="宋体"/>
                <w:bCs/>
                <w:color w:val="auto"/>
                <w:kern w:val="0"/>
                <w:sz w:val="20"/>
                <w:szCs w:val="20"/>
                <w:highlight w:val="none"/>
              </w:rPr>
            </w:pPr>
            <w:r>
              <w:rPr>
                <w:rFonts w:ascii="新宋体" w:hAnsi="新宋体" w:eastAsia="新宋体" w:cs="宋体"/>
                <w:bCs/>
                <w:color w:val="auto"/>
                <w:kern w:val="0"/>
                <w:sz w:val="20"/>
                <w:szCs w:val="20"/>
                <w:highlight w:val="none"/>
              </w:rPr>
              <w:t>具有悬吊式射线防护屏</w:t>
            </w:r>
          </w:p>
        </w:tc>
      </w:tr>
      <w:tr w14:paraId="3CEA6B64">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6D662309">
            <w:pPr>
              <w:widowControl/>
              <w:spacing w:after="0" w:line="360" w:lineRule="auto"/>
              <w:jc w:val="right"/>
              <w:rPr>
                <w:rFonts w:ascii="新宋体" w:hAnsi="新宋体" w:eastAsia="新宋体" w:cstheme="minorBidi"/>
                <w:bCs/>
                <w:color w:val="auto"/>
                <w:kern w:val="0"/>
                <w:sz w:val="20"/>
                <w:szCs w:val="20"/>
                <w:highlight w:val="none"/>
              </w:rPr>
            </w:pPr>
            <w:r>
              <w:rPr>
                <w:rFonts w:ascii="新宋体" w:hAnsi="新宋体" w:eastAsia="新宋体" w:cs="Arial"/>
                <w:bCs/>
                <w:color w:val="auto"/>
                <w:kern w:val="0"/>
                <w:sz w:val="20"/>
                <w:szCs w:val="20"/>
                <w:highlight w:val="none"/>
              </w:rPr>
              <w:t>13</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7</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05166A2A">
            <w:pPr>
              <w:widowControl/>
              <w:spacing w:after="0" w:line="360" w:lineRule="auto"/>
              <w:jc w:val="both"/>
              <w:rPr>
                <w:rFonts w:ascii="新宋体" w:hAnsi="新宋体" w:eastAsia="新宋体" w:cs="宋体"/>
                <w:bCs/>
                <w:color w:val="auto"/>
                <w:kern w:val="0"/>
                <w:sz w:val="20"/>
                <w:szCs w:val="20"/>
                <w:highlight w:val="none"/>
              </w:rPr>
            </w:pPr>
            <w:r>
              <w:rPr>
                <w:rFonts w:ascii="新宋体" w:hAnsi="新宋体" w:eastAsia="新宋体" w:cs="宋体"/>
                <w:bCs/>
                <w:color w:val="auto"/>
                <w:kern w:val="0"/>
                <w:sz w:val="20"/>
                <w:szCs w:val="20"/>
                <w:highlight w:val="none"/>
              </w:rPr>
              <w:t>具有床旁射线防护帘</w:t>
            </w:r>
          </w:p>
        </w:tc>
      </w:tr>
      <w:tr w14:paraId="5BE82EEB">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6B8FCB78">
            <w:pPr>
              <w:widowControl/>
              <w:spacing w:after="0" w:line="360" w:lineRule="auto"/>
              <w:jc w:val="right"/>
              <w:rPr>
                <w:rFonts w:ascii="新宋体" w:hAnsi="新宋体" w:eastAsia="新宋体" w:cstheme="minorBidi"/>
                <w:bCs/>
                <w:color w:val="auto"/>
                <w:kern w:val="0"/>
                <w:sz w:val="20"/>
                <w:szCs w:val="20"/>
                <w:highlight w:val="none"/>
              </w:rPr>
            </w:pPr>
            <w:r>
              <w:rPr>
                <w:rFonts w:ascii="新宋体" w:hAnsi="新宋体" w:eastAsia="新宋体" w:cs="Arial"/>
                <w:bCs/>
                <w:color w:val="auto"/>
                <w:kern w:val="0"/>
                <w:sz w:val="20"/>
                <w:szCs w:val="20"/>
                <w:highlight w:val="none"/>
              </w:rPr>
              <w:t>13</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8</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4A88BE42">
            <w:pPr>
              <w:widowControl/>
              <w:spacing w:after="0" w:line="360" w:lineRule="auto"/>
              <w:jc w:val="both"/>
              <w:rPr>
                <w:rFonts w:ascii="新宋体" w:hAnsi="新宋体" w:eastAsia="新宋体" w:cs="宋体"/>
                <w:bCs/>
                <w:color w:val="auto"/>
                <w:kern w:val="0"/>
                <w:sz w:val="20"/>
                <w:szCs w:val="20"/>
                <w:highlight w:val="none"/>
              </w:rPr>
            </w:pPr>
            <w:r>
              <w:rPr>
                <w:rFonts w:ascii="新宋体" w:hAnsi="新宋体" w:eastAsia="新宋体" w:cs="宋体"/>
                <w:bCs/>
                <w:color w:val="auto"/>
                <w:kern w:val="0"/>
                <w:sz w:val="20"/>
                <w:szCs w:val="20"/>
                <w:highlight w:val="none"/>
              </w:rPr>
              <w:t>具有悬吊式手术灯</w:t>
            </w:r>
          </w:p>
        </w:tc>
      </w:tr>
      <w:tr w14:paraId="4A314250">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2595EB34">
            <w:pPr>
              <w:widowControl/>
              <w:spacing w:after="0" w:line="360" w:lineRule="auto"/>
              <w:jc w:val="right"/>
              <w:rPr>
                <w:rFonts w:ascii="新宋体" w:hAnsi="新宋体" w:eastAsia="新宋体" w:cstheme="minorBidi"/>
                <w:bCs/>
                <w:color w:val="auto"/>
                <w:kern w:val="0"/>
                <w:sz w:val="20"/>
                <w:szCs w:val="20"/>
                <w:highlight w:val="none"/>
              </w:rPr>
            </w:pPr>
            <w:r>
              <w:rPr>
                <w:rFonts w:ascii="新宋体" w:hAnsi="新宋体" w:eastAsia="新宋体" w:cs="Arial"/>
                <w:bCs/>
                <w:color w:val="auto"/>
                <w:kern w:val="0"/>
                <w:sz w:val="20"/>
                <w:szCs w:val="20"/>
                <w:highlight w:val="none"/>
              </w:rPr>
              <w:t>13</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9</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563641AD">
            <w:pPr>
              <w:widowControl/>
              <w:spacing w:after="0" w:line="360" w:lineRule="auto"/>
              <w:jc w:val="both"/>
              <w:rPr>
                <w:rFonts w:ascii="新宋体" w:hAnsi="新宋体" w:eastAsia="新宋体" w:cs="宋体"/>
                <w:bCs/>
                <w:color w:val="auto"/>
                <w:kern w:val="0"/>
                <w:sz w:val="20"/>
                <w:szCs w:val="20"/>
                <w:highlight w:val="none"/>
              </w:rPr>
            </w:pPr>
            <w:r>
              <w:rPr>
                <w:rFonts w:ascii="新宋体" w:hAnsi="新宋体" w:eastAsia="新宋体" w:cs="宋体"/>
                <w:bCs/>
                <w:color w:val="auto"/>
                <w:kern w:val="0"/>
                <w:sz w:val="20"/>
                <w:szCs w:val="20"/>
                <w:highlight w:val="none"/>
              </w:rPr>
              <w:t>具有中文操作手册</w:t>
            </w:r>
          </w:p>
        </w:tc>
      </w:tr>
      <w:tr w14:paraId="16A8F252">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7A2C0074">
            <w:pPr>
              <w:widowControl/>
              <w:spacing w:after="0" w:line="360" w:lineRule="auto"/>
              <w:jc w:val="right"/>
              <w:rPr>
                <w:rFonts w:hint="default" w:ascii="新宋体" w:hAnsi="新宋体" w:eastAsia="新宋体" w:cs="Arial"/>
                <w:bCs/>
                <w:color w:val="auto"/>
                <w:kern w:val="0"/>
                <w:sz w:val="20"/>
                <w:szCs w:val="20"/>
                <w:highlight w:val="none"/>
                <w:lang w:val="en-US" w:eastAsia="zh-CN"/>
              </w:rPr>
            </w:pPr>
            <w:r>
              <w:rPr>
                <w:rFonts w:hint="eastAsia" w:ascii="新宋体" w:hAnsi="新宋体" w:eastAsia="新宋体" w:cs="Arial"/>
                <w:bCs/>
                <w:color w:val="auto"/>
                <w:kern w:val="0"/>
                <w:sz w:val="20"/>
                <w:szCs w:val="20"/>
                <w:highlight w:val="none"/>
                <w:lang w:val="en-US" w:eastAsia="zh-CN"/>
              </w:rPr>
              <w:t>13.10</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369DE6C8">
            <w:pPr>
              <w:widowControl/>
              <w:spacing w:after="0" w:line="360" w:lineRule="auto"/>
              <w:jc w:val="both"/>
              <w:rPr>
                <w:rFonts w:hint="default" w:ascii="新宋体" w:hAnsi="新宋体" w:eastAsia="新宋体" w:cs="宋体"/>
                <w:bCs/>
                <w:color w:val="auto"/>
                <w:kern w:val="0"/>
                <w:sz w:val="20"/>
                <w:szCs w:val="20"/>
                <w:highlight w:val="none"/>
                <w:lang w:val="en-US" w:eastAsia="zh-CN"/>
              </w:rPr>
            </w:pPr>
            <w:r>
              <w:rPr>
                <w:rFonts w:hint="eastAsia" w:ascii="新宋体" w:hAnsi="新宋体" w:eastAsia="新宋体" w:cs="宋体"/>
                <w:bCs/>
                <w:color w:val="auto"/>
                <w:kern w:val="0"/>
                <w:sz w:val="20"/>
                <w:szCs w:val="20"/>
                <w:highlight w:val="none"/>
                <w:lang w:val="en-US" w:eastAsia="zh-CN"/>
              </w:rPr>
              <w:t>具备手托、头托</w:t>
            </w:r>
          </w:p>
        </w:tc>
      </w:tr>
      <w:tr w14:paraId="7D59CE8C">
        <w:tblPrEx>
          <w:tblCellMar>
            <w:top w:w="0" w:type="dxa"/>
            <w:left w:w="10" w:type="dxa"/>
            <w:bottom w:w="0" w:type="dxa"/>
            <w:right w:w="10" w:type="dxa"/>
          </w:tblCellMar>
        </w:tblPrEx>
        <w:trPr>
          <w:trHeight w:val="90" w:hRule="atLeast"/>
        </w:trPr>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3F149E60">
            <w:pPr>
              <w:widowControl/>
              <w:spacing w:after="0" w:line="360" w:lineRule="auto"/>
              <w:jc w:val="right"/>
              <w:rPr>
                <w:rFonts w:hint="default" w:ascii="新宋体" w:hAnsi="新宋体" w:eastAsia="新宋体" w:cs="Arial"/>
                <w:bCs/>
                <w:color w:val="auto"/>
                <w:kern w:val="0"/>
                <w:sz w:val="20"/>
                <w:szCs w:val="20"/>
                <w:highlight w:val="none"/>
                <w:lang w:val="en-US" w:eastAsia="zh-CN"/>
              </w:rPr>
            </w:pPr>
            <w:r>
              <w:rPr>
                <w:rFonts w:hint="eastAsia" w:ascii="新宋体" w:hAnsi="新宋体" w:eastAsia="新宋体" w:cs="Arial"/>
                <w:bCs/>
                <w:color w:val="auto"/>
                <w:kern w:val="0"/>
                <w:sz w:val="20"/>
                <w:szCs w:val="20"/>
                <w:highlight w:val="none"/>
                <w:lang w:val="en-US" w:eastAsia="zh-CN"/>
              </w:rPr>
              <w:t>13.11</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74205883">
            <w:pPr>
              <w:widowControl/>
              <w:spacing w:after="0" w:line="360" w:lineRule="auto"/>
              <w:jc w:val="both"/>
              <w:rPr>
                <w:rFonts w:hint="eastAsia" w:ascii="新宋体" w:hAnsi="新宋体" w:eastAsia="新宋体" w:cs="宋体"/>
                <w:bCs/>
                <w:color w:val="auto"/>
                <w:kern w:val="0"/>
                <w:sz w:val="20"/>
                <w:szCs w:val="20"/>
                <w:highlight w:val="none"/>
                <w:lang w:val="en-US" w:eastAsia="zh-CN"/>
              </w:rPr>
            </w:pPr>
            <w:r>
              <w:rPr>
                <w:rFonts w:hint="eastAsia" w:ascii="新宋体" w:hAnsi="新宋体" w:eastAsia="新宋体" w:cs="宋体"/>
                <w:bCs/>
                <w:color w:val="auto"/>
                <w:kern w:val="0"/>
                <w:sz w:val="20"/>
                <w:szCs w:val="20"/>
                <w:highlight w:val="none"/>
                <w:lang w:val="en-US" w:eastAsia="zh-CN"/>
              </w:rPr>
              <w:t>带DVD刻录</w:t>
            </w:r>
          </w:p>
        </w:tc>
      </w:tr>
      <w:tr w14:paraId="42051A66">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04419845">
            <w:pPr>
              <w:widowControl/>
              <w:spacing w:after="0" w:line="360" w:lineRule="auto"/>
              <w:jc w:val="left"/>
              <w:rPr>
                <w:rFonts w:ascii="新宋体" w:hAnsi="新宋体" w:eastAsia="新宋体" w:cstheme="minorBidi"/>
                <w:bCs/>
                <w:color w:val="auto"/>
                <w:kern w:val="0"/>
                <w:sz w:val="20"/>
                <w:szCs w:val="20"/>
                <w:highlight w:val="none"/>
              </w:rPr>
            </w:pPr>
            <w:r>
              <w:rPr>
                <w:rFonts w:ascii="新宋体" w:hAnsi="新宋体" w:eastAsia="新宋体" w:cs="Arial"/>
                <w:bCs/>
                <w:color w:val="auto"/>
                <w:kern w:val="0"/>
                <w:sz w:val="20"/>
                <w:szCs w:val="20"/>
                <w:highlight w:val="none"/>
              </w:rPr>
              <w:t>1</w:t>
            </w:r>
            <w:r>
              <w:rPr>
                <w:rFonts w:hint="eastAsia" w:ascii="新宋体" w:hAnsi="新宋体" w:eastAsia="新宋体" w:cs="Arial"/>
                <w:bCs/>
                <w:color w:val="auto"/>
                <w:kern w:val="0"/>
                <w:sz w:val="20"/>
                <w:szCs w:val="20"/>
                <w:highlight w:val="none"/>
              </w:rPr>
              <w:t>4</w:t>
            </w:r>
            <w:r>
              <w:rPr>
                <w:rFonts w:ascii="新宋体" w:hAnsi="新宋体" w:eastAsia="新宋体" w:cs="宋体"/>
                <w:bCs/>
                <w:color w:val="auto"/>
                <w:kern w:val="0"/>
                <w:sz w:val="20"/>
                <w:szCs w:val="20"/>
                <w:highlight w:val="none"/>
              </w:rPr>
              <w:t>、</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646DC4A8">
            <w:pPr>
              <w:widowControl/>
              <w:spacing w:after="0" w:line="360" w:lineRule="auto"/>
              <w:jc w:val="both"/>
              <w:rPr>
                <w:rFonts w:ascii="新宋体" w:hAnsi="新宋体" w:eastAsia="新宋体" w:cs="宋体"/>
                <w:bCs/>
                <w:color w:val="auto"/>
                <w:kern w:val="0"/>
                <w:sz w:val="20"/>
                <w:szCs w:val="20"/>
                <w:highlight w:val="none"/>
              </w:rPr>
            </w:pPr>
            <w:r>
              <w:rPr>
                <w:rFonts w:ascii="新宋体" w:hAnsi="新宋体" w:eastAsia="新宋体" w:cs="宋体"/>
                <w:bCs/>
                <w:color w:val="auto"/>
                <w:kern w:val="0"/>
                <w:sz w:val="20"/>
                <w:szCs w:val="20"/>
                <w:highlight w:val="none"/>
              </w:rPr>
              <w:t>智能路径图功能</w:t>
            </w:r>
          </w:p>
        </w:tc>
      </w:tr>
      <w:tr w14:paraId="561B078C">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352CB4C5">
            <w:pPr>
              <w:widowControl/>
              <w:spacing w:after="0" w:line="360" w:lineRule="auto"/>
              <w:jc w:val="right"/>
              <w:rPr>
                <w:rFonts w:ascii="新宋体" w:hAnsi="新宋体" w:eastAsia="新宋体" w:cstheme="minorBidi"/>
                <w:bCs/>
                <w:color w:val="auto"/>
                <w:kern w:val="0"/>
                <w:sz w:val="20"/>
                <w:szCs w:val="20"/>
                <w:highlight w:val="none"/>
              </w:rPr>
            </w:pPr>
            <w:r>
              <w:rPr>
                <w:rFonts w:ascii="新宋体" w:hAnsi="新宋体" w:eastAsia="新宋体" w:cs="Arial"/>
                <w:bCs/>
                <w:color w:val="auto"/>
                <w:kern w:val="0"/>
                <w:sz w:val="20"/>
                <w:szCs w:val="20"/>
                <w:highlight w:val="none"/>
              </w:rPr>
              <w:t>1</w:t>
            </w:r>
            <w:r>
              <w:rPr>
                <w:rFonts w:hint="eastAsia" w:ascii="新宋体" w:hAnsi="新宋体" w:eastAsia="新宋体" w:cs="Arial"/>
                <w:bCs/>
                <w:color w:val="auto"/>
                <w:kern w:val="0"/>
                <w:sz w:val="20"/>
                <w:szCs w:val="20"/>
                <w:highlight w:val="none"/>
              </w:rPr>
              <w:t>4</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1</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45D6ABB9">
            <w:pPr>
              <w:widowControl/>
              <w:spacing w:after="0" w:line="360" w:lineRule="auto"/>
              <w:jc w:val="both"/>
              <w:rPr>
                <w:rFonts w:ascii="新宋体" w:hAnsi="新宋体" w:eastAsia="新宋体" w:cs="宋体"/>
                <w:bCs/>
                <w:color w:val="auto"/>
                <w:kern w:val="0"/>
                <w:sz w:val="20"/>
                <w:szCs w:val="20"/>
                <w:highlight w:val="none"/>
              </w:rPr>
            </w:pPr>
            <w:r>
              <w:rPr>
                <w:rFonts w:ascii="新宋体" w:hAnsi="新宋体" w:eastAsia="新宋体" w:cs="宋体"/>
                <w:bCs/>
                <w:color w:val="auto"/>
                <w:kern w:val="0"/>
                <w:sz w:val="20"/>
                <w:szCs w:val="20"/>
                <w:highlight w:val="none"/>
              </w:rPr>
              <w:t>可针对脑血管、胸部、腹部等不同检查部位，设置专门的路径图参数，并可在床旁液晶触摸屏上直接进行参数调整</w:t>
            </w:r>
          </w:p>
        </w:tc>
      </w:tr>
      <w:tr w14:paraId="3AC78B6C">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6A5E8214">
            <w:pPr>
              <w:widowControl/>
              <w:spacing w:after="0" w:line="360" w:lineRule="auto"/>
              <w:jc w:val="right"/>
              <w:rPr>
                <w:rFonts w:ascii="新宋体" w:hAnsi="新宋体" w:eastAsia="新宋体" w:cstheme="minorBidi"/>
                <w:bCs/>
                <w:color w:val="auto"/>
                <w:kern w:val="0"/>
                <w:sz w:val="20"/>
                <w:szCs w:val="20"/>
                <w:highlight w:val="none"/>
              </w:rPr>
            </w:pPr>
            <w:r>
              <w:rPr>
                <w:rFonts w:ascii="新宋体" w:hAnsi="新宋体" w:eastAsia="新宋体" w:cs="Arial"/>
                <w:bCs/>
                <w:color w:val="auto"/>
                <w:kern w:val="0"/>
                <w:sz w:val="20"/>
                <w:szCs w:val="20"/>
                <w:highlight w:val="none"/>
              </w:rPr>
              <w:t>1</w:t>
            </w:r>
            <w:r>
              <w:rPr>
                <w:rFonts w:hint="eastAsia" w:ascii="新宋体" w:hAnsi="新宋体" w:eastAsia="新宋体" w:cs="Arial"/>
                <w:bCs/>
                <w:color w:val="auto"/>
                <w:kern w:val="0"/>
                <w:sz w:val="20"/>
                <w:szCs w:val="20"/>
                <w:highlight w:val="none"/>
              </w:rPr>
              <w:t>4</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2</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0F8D08EA">
            <w:pPr>
              <w:widowControl/>
              <w:spacing w:after="0" w:line="360" w:lineRule="auto"/>
              <w:jc w:val="both"/>
              <w:rPr>
                <w:rFonts w:ascii="新宋体" w:hAnsi="新宋体" w:eastAsia="新宋体" w:cs="宋体"/>
                <w:bCs/>
                <w:color w:val="auto"/>
                <w:kern w:val="0"/>
                <w:sz w:val="20"/>
                <w:szCs w:val="20"/>
                <w:highlight w:val="none"/>
              </w:rPr>
            </w:pPr>
            <w:r>
              <w:rPr>
                <w:rFonts w:ascii="新宋体" w:hAnsi="新宋体" w:eastAsia="新宋体" w:cs="宋体"/>
                <w:bCs/>
                <w:color w:val="auto"/>
                <w:kern w:val="0"/>
                <w:sz w:val="20"/>
                <w:szCs w:val="20"/>
                <w:highlight w:val="none"/>
              </w:rPr>
              <w:t>可在床旁液晶触摸屏上选择针对导管引导、打胶、放置弹簧圈等不同介入操作的专门路径图模式</w:t>
            </w:r>
          </w:p>
        </w:tc>
      </w:tr>
      <w:tr w14:paraId="6AD04029">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3F33D4BC">
            <w:pPr>
              <w:widowControl/>
              <w:spacing w:after="0" w:line="360" w:lineRule="auto"/>
              <w:jc w:val="right"/>
              <w:rPr>
                <w:rFonts w:ascii="新宋体" w:hAnsi="新宋体" w:eastAsia="新宋体" w:cstheme="minorBidi"/>
                <w:bCs/>
                <w:color w:val="auto"/>
                <w:kern w:val="0"/>
                <w:sz w:val="20"/>
                <w:szCs w:val="20"/>
                <w:highlight w:val="none"/>
              </w:rPr>
            </w:pPr>
            <w:r>
              <w:rPr>
                <w:rFonts w:ascii="新宋体" w:hAnsi="新宋体" w:eastAsia="新宋体" w:cs="Arial"/>
                <w:bCs/>
                <w:color w:val="auto"/>
                <w:kern w:val="0"/>
                <w:sz w:val="20"/>
                <w:szCs w:val="20"/>
                <w:highlight w:val="none"/>
              </w:rPr>
              <w:t>1</w:t>
            </w:r>
            <w:r>
              <w:rPr>
                <w:rFonts w:hint="eastAsia" w:ascii="新宋体" w:hAnsi="新宋体" w:eastAsia="新宋体" w:cs="Arial"/>
                <w:bCs/>
                <w:color w:val="auto"/>
                <w:kern w:val="0"/>
                <w:sz w:val="20"/>
                <w:szCs w:val="20"/>
                <w:highlight w:val="none"/>
              </w:rPr>
              <w:t>4</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3</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1679152F">
            <w:pPr>
              <w:widowControl/>
              <w:spacing w:after="0" w:line="360" w:lineRule="auto"/>
              <w:jc w:val="both"/>
              <w:rPr>
                <w:rFonts w:ascii="新宋体" w:hAnsi="新宋体" w:eastAsia="新宋体" w:cs="宋体"/>
                <w:bCs/>
                <w:color w:val="auto"/>
                <w:kern w:val="0"/>
                <w:sz w:val="20"/>
                <w:szCs w:val="20"/>
                <w:highlight w:val="none"/>
              </w:rPr>
            </w:pPr>
            <w:r>
              <w:rPr>
                <w:rFonts w:ascii="新宋体" w:hAnsi="新宋体" w:eastAsia="新宋体" w:cs="宋体"/>
                <w:bCs/>
                <w:color w:val="auto"/>
                <w:kern w:val="0"/>
                <w:sz w:val="20"/>
                <w:szCs w:val="20"/>
                <w:highlight w:val="none"/>
              </w:rPr>
              <w:t>医生可自定义针对特殊介入操作类型的路径图显示模式</w:t>
            </w:r>
          </w:p>
        </w:tc>
      </w:tr>
      <w:tr w14:paraId="518C51F4">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443C0CF1">
            <w:pPr>
              <w:widowControl/>
              <w:spacing w:after="0" w:line="360" w:lineRule="auto"/>
              <w:jc w:val="right"/>
              <w:rPr>
                <w:rFonts w:ascii="新宋体" w:hAnsi="新宋体" w:eastAsia="新宋体" w:cstheme="minorBidi"/>
                <w:bCs/>
                <w:color w:val="auto"/>
                <w:kern w:val="0"/>
                <w:sz w:val="20"/>
                <w:szCs w:val="20"/>
                <w:highlight w:val="none"/>
              </w:rPr>
            </w:pPr>
            <w:r>
              <w:rPr>
                <w:rFonts w:ascii="新宋体" w:hAnsi="新宋体" w:eastAsia="新宋体" w:cs="Arial"/>
                <w:bCs/>
                <w:color w:val="auto"/>
                <w:kern w:val="0"/>
                <w:sz w:val="20"/>
                <w:szCs w:val="20"/>
                <w:highlight w:val="none"/>
              </w:rPr>
              <w:t>1</w:t>
            </w:r>
            <w:r>
              <w:rPr>
                <w:rFonts w:hint="eastAsia" w:ascii="新宋体" w:hAnsi="新宋体" w:eastAsia="新宋体" w:cs="Arial"/>
                <w:bCs/>
                <w:color w:val="auto"/>
                <w:kern w:val="0"/>
                <w:sz w:val="20"/>
                <w:szCs w:val="20"/>
                <w:highlight w:val="none"/>
              </w:rPr>
              <w:t>4</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4</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499C1814">
            <w:pPr>
              <w:widowControl/>
              <w:spacing w:after="0" w:line="360" w:lineRule="auto"/>
              <w:jc w:val="both"/>
              <w:rPr>
                <w:rFonts w:ascii="新宋体" w:hAnsi="新宋体" w:eastAsia="新宋体" w:cs="宋体"/>
                <w:bCs/>
                <w:color w:val="auto"/>
                <w:kern w:val="0"/>
                <w:sz w:val="20"/>
                <w:szCs w:val="20"/>
                <w:highlight w:val="none"/>
              </w:rPr>
            </w:pPr>
            <w:r>
              <w:rPr>
                <w:rFonts w:ascii="新宋体" w:hAnsi="新宋体" w:eastAsia="新宋体" w:cs="宋体"/>
                <w:bCs/>
                <w:color w:val="auto"/>
                <w:kern w:val="0"/>
                <w:sz w:val="20"/>
                <w:szCs w:val="20"/>
                <w:highlight w:val="none"/>
              </w:rPr>
              <w:t>在不同路径图模式下，可对路径图中的减影血管影像、介入植入物（导丝导管、胶、弹簧圈等）、解剖背景的亮度进行分别的独立调节，以满足复杂介入操作引导的需要</w:t>
            </w:r>
          </w:p>
        </w:tc>
      </w:tr>
      <w:tr w14:paraId="3FE97D2D">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75B08CE6">
            <w:pPr>
              <w:widowControl/>
              <w:spacing w:after="0" w:line="360" w:lineRule="auto"/>
              <w:jc w:val="right"/>
              <w:rPr>
                <w:rFonts w:ascii="新宋体" w:hAnsi="新宋体" w:eastAsia="新宋体" w:cstheme="minorBidi"/>
                <w:bCs/>
                <w:color w:val="auto"/>
                <w:kern w:val="0"/>
                <w:sz w:val="20"/>
                <w:szCs w:val="20"/>
                <w:highlight w:val="none"/>
              </w:rPr>
            </w:pPr>
            <w:r>
              <w:rPr>
                <w:rFonts w:ascii="新宋体" w:hAnsi="新宋体" w:eastAsia="新宋体" w:cs="Arial"/>
                <w:bCs/>
                <w:color w:val="auto"/>
                <w:kern w:val="0"/>
                <w:sz w:val="20"/>
                <w:szCs w:val="20"/>
                <w:highlight w:val="none"/>
              </w:rPr>
              <w:t>1</w:t>
            </w:r>
            <w:r>
              <w:rPr>
                <w:rFonts w:hint="eastAsia" w:ascii="新宋体" w:hAnsi="新宋体" w:eastAsia="新宋体" w:cs="Arial"/>
                <w:bCs/>
                <w:color w:val="auto"/>
                <w:kern w:val="0"/>
                <w:sz w:val="20"/>
                <w:szCs w:val="20"/>
                <w:highlight w:val="none"/>
              </w:rPr>
              <w:t>4</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5</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4F1DCD3B">
            <w:pPr>
              <w:widowControl/>
              <w:spacing w:after="0" w:line="360" w:lineRule="auto"/>
              <w:jc w:val="both"/>
              <w:rPr>
                <w:rFonts w:ascii="新宋体" w:hAnsi="新宋体" w:eastAsia="新宋体" w:cs="宋体"/>
                <w:bCs/>
                <w:color w:val="auto"/>
                <w:kern w:val="0"/>
                <w:sz w:val="20"/>
                <w:szCs w:val="20"/>
                <w:highlight w:val="none"/>
              </w:rPr>
            </w:pPr>
            <w:r>
              <w:rPr>
                <w:rFonts w:ascii="新宋体" w:hAnsi="新宋体" w:eastAsia="新宋体" w:cs="宋体"/>
                <w:bCs/>
                <w:color w:val="auto"/>
                <w:kern w:val="0"/>
                <w:sz w:val="20"/>
                <w:szCs w:val="20"/>
                <w:highlight w:val="none"/>
              </w:rPr>
              <w:t>液晶触摸屏上具有专门的路径图运动伪影自动消除键，可随时对由于病人微小运动导致的路径图伪影（常被误认为漏胶）进行自动实时补偿校正，有效减少运动伪影的影响</w:t>
            </w:r>
          </w:p>
        </w:tc>
      </w:tr>
      <w:tr w14:paraId="12E98F61">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7230A1AE">
            <w:pPr>
              <w:widowControl/>
              <w:spacing w:after="0" w:line="360" w:lineRule="auto"/>
              <w:jc w:val="left"/>
              <w:rPr>
                <w:rFonts w:ascii="新宋体" w:hAnsi="新宋体" w:eastAsia="新宋体" w:cstheme="minorBidi"/>
                <w:bCs/>
                <w:color w:val="auto"/>
                <w:kern w:val="0"/>
                <w:sz w:val="20"/>
                <w:szCs w:val="20"/>
                <w:highlight w:val="none"/>
              </w:rPr>
            </w:pPr>
            <w:r>
              <w:rPr>
                <w:rFonts w:ascii="新宋体" w:hAnsi="新宋体" w:eastAsia="新宋体" w:cs="Arial"/>
                <w:bCs/>
                <w:color w:val="auto"/>
                <w:kern w:val="0"/>
                <w:sz w:val="20"/>
                <w:szCs w:val="20"/>
                <w:highlight w:val="none"/>
              </w:rPr>
              <w:t>1</w:t>
            </w:r>
            <w:r>
              <w:rPr>
                <w:rFonts w:hint="eastAsia" w:ascii="新宋体" w:hAnsi="新宋体" w:eastAsia="新宋体" w:cs="Arial"/>
                <w:bCs/>
                <w:color w:val="auto"/>
                <w:kern w:val="0"/>
                <w:sz w:val="20"/>
                <w:szCs w:val="20"/>
                <w:highlight w:val="none"/>
              </w:rPr>
              <w:t>5</w:t>
            </w:r>
            <w:r>
              <w:rPr>
                <w:rFonts w:ascii="新宋体" w:hAnsi="新宋体" w:eastAsia="新宋体" w:cs="宋体"/>
                <w:bCs/>
                <w:color w:val="auto"/>
                <w:kern w:val="0"/>
                <w:sz w:val="20"/>
                <w:szCs w:val="20"/>
                <w:highlight w:val="none"/>
              </w:rPr>
              <w:t>、</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1C51421B">
            <w:pPr>
              <w:widowControl/>
              <w:spacing w:after="0" w:line="360" w:lineRule="auto"/>
              <w:jc w:val="both"/>
              <w:rPr>
                <w:rFonts w:ascii="新宋体" w:hAnsi="新宋体" w:eastAsia="新宋体" w:cs="宋体"/>
                <w:bCs/>
                <w:color w:val="auto"/>
                <w:kern w:val="0"/>
                <w:sz w:val="20"/>
                <w:szCs w:val="20"/>
                <w:highlight w:val="none"/>
              </w:rPr>
            </w:pPr>
            <w:r>
              <w:rPr>
                <w:rFonts w:hint="eastAsia" w:ascii="新宋体" w:hAnsi="新宋体" w:eastAsia="新宋体" w:cs="宋体"/>
                <w:bCs/>
                <w:color w:val="auto"/>
                <w:kern w:val="0"/>
                <w:sz w:val="20"/>
                <w:szCs w:val="20"/>
                <w:highlight w:val="none"/>
                <w:lang w:val="en-US" w:eastAsia="zh-CN"/>
              </w:rPr>
              <w:t>具备</w:t>
            </w:r>
            <w:r>
              <w:rPr>
                <w:rFonts w:ascii="新宋体" w:hAnsi="新宋体" w:eastAsia="新宋体" w:cs="宋体"/>
                <w:bCs/>
                <w:color w:val="auto"/>
                <w:kern w:val="0"/>
                <w:sz w:val="20"/>
                <w:szCs w:val="20"/>
                <w:highlight w:val="none"/>
              </w:rPr>
              <w:t>蒙片功能</w:t>
            </w:r>
          </w:p>
        </w:tc>
      </w:tr>
      <w:tr w14:paraId="11E9EAB6">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4E000729">
            <w:pPr>
              <w:widowControl/>
              <w:spacing w:after="0" w:line="360" w:lineRule="auto"/>
              <w:jc w:val="right"/>
              <w:rPr>
                <w:rFonts w:ascii="新宋体" w:hAnsi="新宋体" w:eastAsia="新宋体" w:cstheme="minorBidi"/>
                <w:bCs/>
                <w:color w:val="auto"/>
                <w:kern w:val="0"/>
                <w:sz w:val="20"/>
                <w:szCs w:val="20"/>
                <w:highlight w:val="none"/>
              </w:rPr>
            </w:pPr>
            <w:r>
              <w:rPr>
                <w:rFonts w:ascii="新宋体" w:hAnsi="新宋体" w:eastAsia="新宋体" w:cs="宋体"/>
                <w:bCs/>
                <w:color w:val="auto"/>
                <w:kern w:val="0"/>
                <w:sz w:val="20"/>
                <w:szCs w:val="20"/>
                <w:highlight w:val="none"/>
              </w:rPr>
              <w:t>1</w:t>
            </w:r>
            <w:r>
              <w:rPr>
                <w:rFonts w:hint="eastAsia" w:ascii="新宋体" w:hAnsi="新宋体" w:eastAsia="新宋体" w:cs="宋体"/>
                <w:bCs/>
                <w:color w:val="auto"/>
                <w:kern w:val="0"/>
                <w:sz w:val="20"/>
                <w:szCs w:val="20"/>
                <w:highlight w:val="none"/>
              </w:rPr>
              <w:t>5</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1</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2CFB03B9">
            <w:pPr>
              <w:widowControl/>
              <w:spacing w:after="0" w:line="360" w:lineRule="auto"/>
              <w:jc w:val="both"/>
              <w:rPr>
                <w:rFonts w:ascii="新宋体" w:hAnsi="新宋体" w:eastAsia="新宋体" w:cstheme="minorBidi"/>
                <w:bCs/>
                <w:color w:val="auto"/>
                <w:kern w:val="0"/>
                <w:sz w:val="20"/>
                <w:szCs w:val="20"/>
                <w:highlight w:val="none"/>
              </w:rPr>
            </w:pPr>
            <w:r>
              <w:rPr>
                <w:rFonts w:ascii="新宋体" w:hAnsi="新宋体" w:eastAsia="新宋体" w:cs="宋体"/>
                <w:bCs/>
                <w:color w:val="auto"/>
                <w:kern w:val="0"/>
                <w:sz w:val="20"/>
                <w:szCs w:val="20"/>
                <w:highlight w:val="none"/>
              </w:rPr>
              <w:t>可对用于实时</w:t>
            </w:r>
            <w:r>
              <w:rPr>
                <w:rFonts w:ascii="新宋体" w:hAnsi="新宋体" w:eastAsia="新宋体" w:cs="Arial"/>
                <w:bCs/>
                <w:color w:val="auto"/>
                <w:kern w:val="0"/>
                <w:sz w:val="20"/>
                <w:szCs w:val="20"/>
                <w:highlight w:val="none"/>
              </w:rPr>
              <w:t>DSA</w:t>
            </w:r>
            <w:r>
              <w:rPr>
                <w:rFonts w:ascii="新宋体" w:hAnsi="新宋体" w:eastAsia="新宋体" w:cs="宋体"/>
                <w:bCs/>
                <w:color w:val="auto"/>
                <w:kern w:val="0"/>
                <w:sz w:val="20"/>
                <w:szCs w:val="20"/>
                <w:highlight w:val="none"/>
              </w:rPr>
              <w:t>的蒙片数量进行实时组合优化，以明显降低蒙片的背景噪声，显著提高</w:t>
            </w:r>
            <w:r>
              <w:rPr>
                <w:rFonts w:ascii="新宋体" w:hAnsi="新宋体" w:eastAsia="新宋体" w:cs="Arial"/>
                <w:bCs/>
                <w:color w:val="auto"/>
                <w:kern w:val="0"/>
                <w:sz w:val="20"/>
                <w:szCs w:val="20"/>
                <w:highlight w:val="none"/>
              </w:rPr>
              <w:t>DSA</w:t>
            </w:r>
            <w:r>
              <w:rPr>
                <w:rFonts w:ascii="新宋体" w:hAnsi="新宋体" w:eastAsia="新宋体" w:cs="宋体"/>
                <w:bCs/>
                <w:color w:val="auto"/>
                <w:kern w:val="0"/>
                <w:sz w:val="20"/>
                <w:szCs w:val="20"/>
                <w:highlight w:val="none"/>
              </w:rPr>
              <w:t>的图像质量</w:t>
            </w:r>
          </w:p>
        </w:tc>
      </w:tr>
      <w:tr w14:paraId="124F40E7">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4ED47504">
            <w:pPr>
              <w:widowControl/>
              <w:spacing w:after="0" w:line="360" w:lineRule="auto"/>
              <w:jc w:val="right"/>
              <w:rPr>
                <w:rFonts w:ascii="新宋体" w:hAnsi="新宋体" w:eastAsia="新宋体" w:cstheme="minorBidi"/>
                <w:bCs/>
                <w:color w:val="auto"/>
                <w:kern w:val="0"/>
                <w:sz w:val="20"/>
                <w:szCs w:val="20"/>
                <w:highlight w:val="none"/>
              </w:rPr>
            </w:pPr>
            <w:r>
              <w:rPr>
                <w:rFonts w:ascii="新宋体" w:hAnsi="新宋体" w:eastAsia="新宋体" w:cs="Arial"/>
                <w:bCs/>
                <w:color w:val="auto"/>
                <w:kern w:val="0"/>
                <w:sz w:val="20"/>
                <w:szCs w:val="20"/>
                <w:highlight w:val="none"/>
              </w:rPr>
              <w:t>1</w:t>
            </w:r>
            <w:r>
              <w:rPr>
                <w:rFonts w:hint="eastAsia" w:ascii="新宋体" w:hAnsi="新宋体" w:eastAsia="新宋体" w:cs="Arial"/>
                <w:bCs/>
                <w:color w:val="auto"/>
                <w:kern w:val="0"/>
                <w:sz w:val="20"/>
                <w:szCs w:val="20"/>
                <w:highlight w:val="none"/>
              </w:rPr>
              <w:t>5</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2</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428C6B8B">
            <w:pPr>
              <w:widowControl/>
              <w:spacing w:after="0" w:line="360" w:lineRule="auto"/>
              <w:jc w:val="both"/>
              <w:rPr>
                <w:rFonts w:ascii="新宋体" w:hAnsi="新宋体" w:eastAsia="新宋体" w:cstheme="minorBidi"/>
                <w:bCs/>
                <w:color w:val="auto"/>
                <w:kern w:val="0"/>
                <w:sz w:val="20"/>
                <w:szCs w:val="20"/>
                <w:highlight w:val="none"/>
              </w:rPr>
            </w:pPr>
            <w:r>
              <w:rPr>
                <w:rFonts w:ascii="新宋体" w:hAnsi="新宋体" w:eastAsia="新宋体" w:cs="宋体"/>
                <w:bCs/>
                <w:color w:val="auto"/>
                <w:kern w:val="0"/>
                <w:sz w:val="20"/>
                <w:szCs w:val="20"/>
                <w:highlight w:val="none"/>
              </w:rPr>
              <w:t>可对用于实时</w:t>
            </w:r>
            <w:r>
              <w:rPr>
                <w:rFonts w:ascii="新宋体" w:hAnsi="新宋体" w:eastAsia="新宋体" w:cs="Arial"/>
                <w:bCs/>
                <w:color w:val="auto"/>
                <w:kern w:val="0"/>
                <w:sz w:val="20"/>
                <w:szCs w:val="20"/>
                <w:highlight w:val="none"/>
              </w:rPr>
              <w:t>DSA</w:t>
            </w:r>
            <w:r>
              <w:rPr>
                <w:rFonts w:ascii="新宋体" w:hAnsi="新宋体" w:eastAsia="新宋体" w:cs="宋体"/>
                <w:bCs/>
                <w:color w:val="auto"/>
                <w:kern w:val="0"/>
                <w:sz w:val="20"/>
                <w:szCs w:val="20"/>
                <w:highlight w:val="none"/>
              </w:rPr>
              <w:t>的蒙片数量进行实时组合优化，在保持相同噪声水平的前提下，明显降低辐射剂量</w:t>
            </w:r>
          </w:p>
        </w:tc>
      </w:tr>
      <w:tr w14:paraId="2197CE32">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539AE0A1">
            <w:pPr>
              <w:widowControl/>
              <w:spacing w:after="0" w:line="360" w:lineRule="auto"/>
              <w:jc w:val="right"/>
              <w:rPr>
                <w:rFonts w:ascii="新宋体" w:hAnsi="新宋体" w:eastAsia="新宋体" w:cstheme="minorBidi"/>
                <w:bCs/>
                <w:color w:val="auto"/>
                <w:kern w:val="0"/>
                <w:sz w:val="20"/>
                <w:szCs w:val="20"/>
                <w:highlight w:val="none"/>
              </w:rPr>
            </w:pPr>
            <w:r>
              <w:rPr>
                <w:rFonts w:ascii="新宋体" w:hAnsi="新宋体" w:eastAsia="新宋体" w:cs="Arial"/>
                <w:bCs/>
                <w:color w:val="auto"/>
                <w:kern w:val="0"/>
                <w:sz w:val="20"/>
                <w:szCs w:val="20"/>
                <w:highlight w:val="none"/>
              </w:rPr>
              <w:t>1</w:t>
            </w:r>
            <w:r>
              <w:rPr>
                <w:rFonts w:hint="eastAsia" w:ascii="新宋体" w:hAnsi="新宋体" w:eastAsia="新宋体" w:cs="Arial"/>
                <w:bCs/>
                <w:color w:val="auto"/>
                <w:kern w:val="0"/>
                <w:sz w:val="20"/>
                <w:szCs w:val="20"/>
                <w:highlight w:val="none"/>
              </w:rPr>
              <w:t>5</w:t>
            </w:r>
            <w:r>
              <w:rPr>
                <w:rFonts w:ascii="新宋体" w:hAnsi="新宋体" w:eastAsia="新宋体" w:cs="宋体"/>
                <w:bCs/>
                <w:color w:val="auto"/>
                <w:kern w:val="0"/>
                <w:sz w:val="20"/>
                <w:szCs w:val="20"/>
                <w:highlight w:val="none"/>
              </w:rPr>
              <w:t>．</w:t>
            </w:r>
            <w:r>
              <w:rPr>
                <w:rFonts w:ascii="新宋体" w:hAnsi="新宋体" w:eastAsia="新宋体" w:cs="Arial"/>
                <w:bCs/>
                <w:color w:val="auto"/>
                <w:kern w:val="0"/>
                <w:sz w:val="20"/>
                <w:szCs w:val="20"/>
                <w:highlight w:val="none"/>
              </w:rPr>
              <w:t>3</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1771984B">
            <w:pPr>
              <w:widowControl/>
              <w:spacing w:after="0" w:line="360" w:lineRule="auto"/>
              <w:jc w:val="both"/>
              <w:rPr>
                <w:rFonts w:ascii="新宋体" w:hAnsi="新宋体" w:eastAsia="新宋体" w:cstheme="minorBidi"/>
                <w:bCs/>
                <w:color w:val="auto"/>
                <w:kern w:val="0"/>
                <w:sz w:val="20"/>
                <w:szCs w:val="20"/>
                <w:highlight w:val="none"/>
              </w:rPr>
            </w:pPr>
            <w:r>
              <w:rPr>
                <w:rFonts w:ascii="新宋体" w:hAnsi="新宋体" w:eastAsia="新宋体" w:cs="宋体"/>
                <w:bCs/>
                <w:color w:val="auto"/>
                <w:kern w:val="0"/>
                <w:sz w:val="20"/>
                <w:szCs w:val="20"/>
                <w:highlight w:val="none"/>
              </w:rPr>
              <w:t>在实时</w:t>
            </w:r>
            <w:r>
              <w:rPr>
                <w:rFonts w:ascii="新宋体" w:hAnsi="新宋体" w:eastAsia="新宋体" w:cs="Arial"/>
                <w:bCs/>
                <w:color w:val="auto"/>
                <w:kern w:val="0"/>
                <w:sz w:val="20"/>
                <w:szCs w:val="20"/>
                <w:highlight w:val="none"/>
              </w:rPr>
              <w:t>DSA</w:t>
            </w:r>
            <w:r>
              <w:rPr>
                <w:rFonts w:ascii="新宋体" w:hAnsi="新宋体" w:eastAsia="新宋体" w:cs="宋体"/>
                <w:bCs/>
                <w:color w:val="auto"/>
                <w:kern w:val="0"/>
                <w:sz w:val="20"/>
                <w:szCs w:val="20"/>
                <w:highlight w:val="none"/>
              </w:rPr>
              <w:t>图像显示前的瞬间，可显示组合蒙片图像</w:t>
            </w:r>
          </w:p>
        </w:tc>
      </w:tr>
      <w:tr w14:paraId="5499167F">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2570DDE8">
            <w:pPr>
              <w:widowControl/>
              <w:spacing w:after="0" w:line="360" w:lineRule="auto"/>
              <w:jc w:val="left"/>
              <w:rPr>
                <w:rFonts w:ascii="新宋体" w:hAnsi="新宋体" w:eastAsia="新宋体" w:cs="Arial"/>
                <w:bCs/>
                <w:color w:val="auto"/>
                <w:kern w:val="0"/>
                <w:sz w:val="20"/>
                <w:szCs w:val="20"/>
                <w:highlight w:val="none"/>
              </w:rPr>
            </w:pPr>
            <w:r>
              <w:rPr>
                <w:rFonts w:hint="eastAsia" w:ascii="新宋体" w:hAnsi="新宋体" w:eastAsia="新宋体" w:cs="Arial"/>
                <w:bCs/>
                <w:color w:val="auto"/>
                <w:kern w:val="0"/>
                <w:sz w:val="20"/>
                <w:szCs w:val="20"/>
                <w:highlight w:val="none"/>
              </w:rPr>
              <w:t>16</w:t>
            </w:r>
            <w:r>
              <w:rPr>
                <w:rFonts w:hint="eastAsia" w:ascii="新宋体" w:hAnsi="新宋体" w:eastAsia="新宋体" w:cs="微软雅黑"/>
                <w:bCs/>
                <w:color w:val="auto"/>
                <w:kern w:val="0"/>
                <w:sz w:val="20"/>
                <w:szCs w:val="20"/>
                <w:highlight w:val="none"/>
              </w:rPr>
              <w:t>、</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69961772">
            <w:pPr>
              <w:widowControl/>
              <w:spacing w:after="0" w:line="360" w:lineRule="auto"/>
              <w:jc w:val="left"/>
              <w:rPr>
                <w:rFonts w:ascii="新宋体" w:hAnsi="新宋体" w:eastAsia="新宋体" w:cs="Arial"/>
                <w:bCs/>
                <w:color w:val="auto"/>
                <w:kern w:val="0"/>
                <w:sz w:val="20"/>
                <w:szCs w:val="20"/>
                <w:highlight w:val="none"/>
              </w:rPr>
            </w:pPr>
            <w:r>
              <w:rPr>
                <w:rFonts w:hint="eastAsia" w:ascii="新宋体" w:hAnsi="新宋体" w:eastAsia="新宋体" w:cs="微软雅黑"/>
                <w:bCs/>
                <w:color w:val="auto"/>
                <w:kern w:val="0"/>
                <w:sz w:val="20"/>
                <w:szCs w:val="20"/>
                <w:highlight w:val="none"/>
              </w:rPr>
              <w:t>射线剂量防护技术</w:t>
            </w:r>
          </w:p>
        </w:tc>
      </w:tr>
      <w:tr w14:paraId="33710444">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39B586E1">
            <w:pPr>
              <w:widowControl/>
              <w:spacing w:after="0" w:line="360" w:lineRule="auto"/>
              <w:jc w:val="right"/>
              <w:rPr>
                <w:rFonts w:ascii="新宋体" w:hAnsi="新宋体" w:eastAsia="新宋体" w:cs="Arial"/>
                <w:bCs/>
                <w:color w:val="auto"/>
                <w:kern w:val="0"/>
                <w:sz w:val="20"/>
                <w:szCs w:val="20"/>
                <w:highlight w:val="none"/>
              </w:rPr>
            </w:pPr>
            <w:r>
              <w:rPr>
                <w:rFonts w:hint="eastAsia" w:ascii="新宋体" w:hAnsi="新宋体" w:eastAsia="新宋体" w:cs="Arial"/>
                <w:bCs/>
                <w:color w:val="auto"/>
                <w:kern w:val="0"/>
                <w:sz w:val="20"/>
                <w:szCs w:val="20"/>
                <w:highlight w:val="none"/>
              </w:rPr>
              <w:t>16</w:t>
            </w:r>
            <w:r>
              <w:rPr>
                <w:rFonts w:hint="eastAsia" w:ascii="新宋体" w:hAnsi="新宋体" w:eastAsia="新宋体" w:cs="微软雅黑"/>
                <w:bCs/>
                <w:color w:val="auto"/>
                <w:kern w:val="0"/>
                <w:sz w:val="20"/>
                <w:szCs w:val="20"/>
                <w:highlight w:val="none"/>
              </w:rPr>
              <w:t>．</w:t>
            </w:r>
            <w:r>
              <w:rPr>
                <w:rFonts w:hint="eastAsia" w:ascii="新宋体" w:hAnsi="新宋体" w:eastAsia="新宋体" w:cs="Arial"/>
                <w:bCs/>
                <w:color w:val="auto"/>
                <w:kern w:val="0"/>
                <w:sz w:val="20"/>
                <w:szCs w:val="20"/>
                <w:highlight w:val="none"/>
              </w:rPr>
              <w:t>1</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3192B3AF">
            <w:pPr>
              <w:widowControl/>
              <w:spacing w:after="0" w:line="360" w:lineRule="auto"/>
              <w:jc w:val="left"/>
              <w:rPr>
                <w:rFonts w:ascii="新宋体" w:hAnsi="新宋体" w:eastAsia="新宋体" w:cs="Arial"/>
                <w:bCs/>
                <w:color w:val="auto"/>
                <w:kern w:val="0"/>
                <w:sz w:val="20"/>
                <w:szCs w:val="20"/>
                <w:highlight w:val="none"/>
              </w:rPr>
            </w:pPr>
            <w:r>
              <w:rPr>
                <w:rFonts w:hint="eastAsia" w:ascii="新宋体" w:hAnsi="新宋体" w:eastAsia="新宋体" w:cs="微软雅黑"/>
                <w:bCs/>
                <w:color w:val="auto"/>
                <w:kern w:val="0"/>
                <w:sz w:val="20"/>
                <w:szCs w:val="20"/>
                <w:highlight w:val="none"/>
              </w:rPr>
              <w:t>采用铜滤片自动插入技术消除球管软射线，最厚：</w:t>
            </w:r>
            <w:r>
              <w:rPr>
                <w:rFonts w:ascii="新宋体" w:hAnsi="新宋体" w:eastAsia="新宋体" w:cs="Arial"/>
                <w:bCs/>
                <w:color w:val="auto"/>
                <w:kern w:val="0"/>
                <w:sz w:val="20"/>
                <w:szCs w:val="20"/>
                <w:highlight w:val="none"/>
              </w:rPr>
              <w:t>≥</w:t>
            </w:r>
            <w:r>
              <w:rPr>
                <w:rFonts w:hint="eastAsia" w:ascii="新宋体" w:hAnsi="新宋体" w:eastAsia="新宋体" w:cs="Arial"/>
                <w:bCs/>
                <w:color w:val="auto"/>
                <w:kern w:val="0"/>
                <w:sz w:val="20"/>
                <w:szCs w:val="20"/>
                <w:highlight w:val="none"/>
              </w:rPr>
              <w:t>0.9</w:t>
            </w:r>
            <w:r>
              <w:rPr>
                <w:rFonts w:ascii="新宋体" w:hAnsi="新宋体" w:eastAsia="新宋体" w:cs="Arial"/>
                <w:bCs/>
                <w:color w:val="auto"/>
                <w:kern w:val="0"/>
                <w:sz w:val="20"/>
                <w:szCs w:val="20"/>
                <w:highlight w:val="none"/>
              </w:rPr>
              <w:t>mm</w:t>
            </w:r>
          </w:p>
        </w:tc>
      </w:tr>
      <w:tr w14:paraId="5ED3680B">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3D011F44">
            <w:pPr>
              <w:widowControl/>
              <w:spacing w:after="0" w:line="360" w:lineRule="auto"/>
              <w:jc w:val="right"/>
              <w:rPr>
                <w:rFonts w:ascii="新宋体" w:hAnsi="新宋体" w:eastAsia="新宋体" w:cstheme="minorBidi"/>
                <w:bCs/>
                <w:color w:val="auto"/>
                <w:kern w:val="0"/>
                <w:sz w:val="20"/>
                <w:szCs w:val="20"/>
                <w:highlight w:val="none"/>
              </w:rPr>
            </w:pPr>
            <w:r>
              <w:rPr>
                <w:rFonts w:hint="eastAsia" w:ascii="新宋体" w:hAnsi="新宋体" w:eastAsia="新宋体" w:cs="Arial"/>
                <w:bCs/>
                <w:color w:val="auto"/>
                <w:kern w:val="0"/>
                <w:sz w:val="20"/>
                <w:szCs w:val="20"/>
                <w:highlight w:val="none"/>
              </w:rPr>
              <w:t>16</w:t>
            </w:r>
            <w:r>
              <w:rPr>
                <w:rFonts w:hint="eastAsia" w:ascii="新宋体" w:hAnsi="新宋体" w:eastAsia="新宋体" w:cs="微软雅黑"/>
                <w:bCs/>
                <w:color w:val="auto"/>
                <w:kern w:val="0"/>
                <w:sz w:val="20"/>
                <w:szCs w:val="20"/>
                <w:highlight w:val="none"/>
              </w:rPr>
              <w:t>．</w:t>
            </w:r>
            <w:r>
              <w:rPr>
                <w:rFonts w:hint="eastAsia" w:ascii="新宋体" w:hAnsi="新宋体" w:eastAsia="新宋体" w:cs="Arial"/>
                <w:bCs/>
                <w:color w:val="auto"/>
                <w:kern w:val="0"/>
                <w:sz w:val="20"/>
                <w:szCs w:val="20"/>
                <w:highlight w:val="none"/>
              </w:rPr>
              <w:t>2</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15A4BD3F">
            <w:pPr>
              <w:widowControl/>
              <w:spacing w:after="0" w:line="360" w:lineRule="auto"/>
              <w:jc w:val="left"/>
              <w:rPr>
                <w:rFonts w:ascii="新宋体" w:hAnsi="新宋体" w:eastAsia="新宋体" w:cs="Arial"/>
                <w:bCs/>
                <w:color w:val="auto"/>
                <w:kern w:val="0"/>
                <w:sz w:val="20"/>
                <w:szCs w:val="20"/>
                <w:highlight w:val="none"/>
              </w:rPr>
            </w:pPr>
            <w:r>
              <w:rPr>
                <w:rFonts w:hint="eastAsia" w:ascii="新宋体" w:hAnsi="新宋体" w:eastAsia="新宋体" w:cs="微软雅黑"/>
                <w:bCs/>
                <w:color w:val="auto"/>
                <w:kern w:val="0"/>
                <w:sz w:val="20"/>
                <w:szCs w:val="20"/>
                <w:highlight w:val="none"/>
              </w:rPr>
              <w:t>插入铜滤片数：</w:t>
            </w:r>
            <w:r>
              <w:rPr>
                <w:rFonts w:ascii="新宋体" w:hAnsi="新宋体" w:eastAsia="新宋体" w:cs="Arial"/>
                <w:bCs/>
                <w:color w:val="auto"/>
                <w:kern w:val="0"/>
                <w:sz w:val="20"/>
                <w:szCs w:val="20"/>
                <w:highlight w:val="none"/>
              </w:rPr>
              <w:t>≥</w:t>
            </w:r>
            <w:r>
              <w:rPr>
                <w:rFonts w:hint="eastAsia" w:ascii="新宋体" w:hAnsi="新宋体" w:eastAsia="新宋体" w:cs="Arial"/>
                <w:bCs/>
                <w:color w:val="auto"/>
                <w:kern w:val="0"/>
                <w:sz w:val="20"/>
                <w:szCs w:val="20"/>
                <w:highlight w:val="none"/>
              </w:rPr>
              <w:t>3</w:t>
            </w:r>
            <w:r>
              <w:rPr>
                <w:rFonts w:hint="eastAsia" w:ascii="新宋体" w:hAnsi="新宋体" w:eastAsia="新宋体" w:cs="微软雅黑"/>
                <w:bCs/>
                <w:color w:val="auto"/>
                <w:kern w:val="0"/>
                <w:sz w:val="20"/>
                <w:szCs w:val="20"/>
                <w:highlight w:val="none"/>
              </w:rPr>
              <w:t>片，具备自动和手动两种方式</w:t>
            </w:r>
          </w:p>
        </w:tc>
      </w:tr>
      <w:tr w14:paraId="6313D32B">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7290E3C7">
            <w:pPr>
              <w:widowControl/>
              <w:spacing w:after="0" w:line="360" w:lineRule="auto"/>
              <w:jc w:val="right"/>
              <w:rPr>
                <w:rFonts w:ascii="新宋体" w:hAnsi="新宋体" w:eastAsia="新宋体" w:cstheme="minorBidi"/>
                <w:bCs/>
                <w:color w:val="auto"/>
                <w:kern w:val="0"/>
                <w:sz w:val="20"/>
                <w:szCs w:val="20"/>
                <w:highlight w:val="none"/>
              </w:rPr>
            </w:pPr>
            <w:r>
              <w:rPr>
                <w:rFonts w:hint="eastAsia" w:ascii="新宋体" w:hAnsi="新宋体" w:eastAsia="新宋体" w:cs="Arial"/>
                <w:bCs/>
                <w:color w:val="auto"/>
                <w:kern w:val="0"/>
                <w:sz w:val="20"/>
                <w:szCs w:val="20"/>
                <w:highlight w:val="none"/>
              </w:rPr>
              <w:t>16</w:t>
            </w:r>
            <w:r>
              <w:rPr>
                <w:rFonts w:hint="eastAsia" w:ascii="新宋体" w:hAnsi="新宋体" w:eastAsia="新宋体" w:cs="微软雅黑"/>
                <w:bCs/>
                <w:color w:val="auto"/>
                <w:kern w:val="0"/>
                <w:sz w:val="20"/>
                <w:szCs w:val="20"/>
                <w:highlight w:val="none"/>
              </w:rPr>
              <w:t>．</w:t>
            </w:r>
            <w:r>
              <w:rPr>
                <w:rFonts w:hint="eastAsia" w:ascii="新宋体" w:hAnsi="新宋体" w:eastAsia="新宋体" w:cs="Arial"/>
                <w:bCs/>
                <w:color w:val="auto"/>
                <w:kern w:val="0"/>
                <w:sz w:val="20"/>
                <w:szCs w:val="20"/>
                <w:highlight w:val="none"/>
              </w:rPr>
              <w:t>3</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576EFC8F">
            <w:pPr>
              <w:widowControl/>
              <w:spacing w:after="0" w:line="360" w:lineRule="auto"/>
              <w:jc w:val="left"/>
              <w:rPr>
                <w:rFonts w:ascii="新宋体" w:hAnsi="新宋体" w:eastAsia="新宋体" w:cs="Arial"/>
                <w:bCs/>
                <w:color w:val="auto"/>
                <w:kern w:val="0"/>
                <w:sz w:val="20"/>
                <w:szCs w:val="20"/>
                <w:highlight w:val="none"/>
              </w:rPr>
            </w:pPr>
            <w:r>
              <w:rPr>
                <w:rFonts w:hint="eastAsia" w:ascii="新宋体" w:hAnsi="新宋体" w:eastAsia="新宋体" w:cs="微软雅黑"/>
                <w:bCs/>
                <w:color w:val="auto"/>
                <w:kern w:val="0"/>
                <w:sz w:val="20"/>
                <w:szCs w:val="20"/>
                <w:highlight w:val="none"/>
              </w:rPr>
              <w:t>具有管球内置栅控技术，非高压发生器控制脉冲透视，以消除传统脉冲透视产生的软射线</w:t>
            </w:r>
          </w:p>
        </w:tc>
      </w:tr>
      <w:tr w14:paraId="724EDC3D">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03117325">
            <w:pPr>
              <w:widowControl/>
              <w:spacing w:after="0" w:line="360" w:lineRule="auto"/>
              <w:jc w:val="right"/>
              <w:rPr>
                <w:rFonts w:ascii="新宋体" w:hAnsi="新宋体" w:eastAsia="新宋体" w:cstheme="minorBidi"/>
                <w:bCs/>
                <w:color w:val="auto"/>
                <w:kern w:val="0"/>
                <w:sz w:val="20"/>
                <w:szCs w:val="20"/>
                <w:highlight w:val="none"/>
              </w:rPr>
            </w:pPr>
            <w:r>
              <w:rPr>
                <w:rFonts w:hint="eastAsia" w:ascii="新宋体" w:hAnsi="新宋体" w:eastAsia="新宋体" w:cs="Arial"/>
                <w:bCs/>
                <w:color w:val="auto"/>
                <w:kern w:val="0"/>
                <w:sz w:val="20"/>
                <w:szCs w:val="20"/>
                <w:highlight w:val="none"/>
              </w:rPr>
              <w:t>16</w:t>
            </w:r>
            <w:r>
              <w:rPr>
                <w:rFonts w:hint="eastAsia" w:ascii="新宋体" w:hAnsi="新宋体" w:eastAsia="新宋体" w:cs="微软雅黑"/>
                <w:bCs/>
                <w:color w:val="auto"/>
                <w:kern w:val="0"/>
                <w:sz w:val="20"/>
                <w:szCs w:val="20"/>
                <w:highlight w:val="none"/>
              </w:rPr>
              <w:t>．</w:t>
            </w:r>
            <w:r>
              <w:rPr>
                <w:rFonts w:hint="eastAsia" w:ascii="新宋体" w:hAnsi="新宋体" w:eastAsia="新宋体" w:cs="Arial"/>
                <w:bCs/>
                <w:color w:val="auto"/>
                <w:kern w:val="0"/>
                <w:sz w:val="20"/>
                <w:szCs w:val="20"/>
                <w:highlight w:val="none"/>
              </w:rPr>
              <w:t>4</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19248CB9">
            <w:pPr>
              <w:widowControl/>
              <w:spacing w:after="0" w:line="360" w:lineRule="auto"/>
              <w:jc w:val="left"/>
              <w:rPr>
                <w:rFonts w:ascii="新宋体" w:hAnsi="新宋体" w:eastAsia="新宋体" w:cs="Arial"/>
                <w:bCs/>
                <w:color w:val="auto"/>
                <w:kern w:val="0"/>
                <w:sz w:val="20"/>
                <w:szCs w:val="20"/>
                <w:highlight w:val="none"/>
              </w:rPr>
            </w:pPr>
            <w:r>
              <w:rPr>
                <w:rFonts w:hint="eastAsia" w:ascii="新宋体" w:hAnsi="新宋体" w:eastAsia="新宋体" w:cs="微软雅黑"/>
                <w:bCs/>
                <w:color w:val="auto"/>
                <w:kern w:val="0"/>
                <w:sz w:val="20"/>
                <w:szCs w:val="20"/>
                <w:highlight w:val="none"/>
              </w:rPr>
              <w:t>透视图像存储功能：</w:t>
            </w:r>
            <w:r>
              <w:rPr>
                <w:rFonts w:ascii="新宋体" w:hAnsi="新宋体" w:eastAsia="新宋体" w:cs="Arial"/>
                <w:bCs/>
                <w:color w:val="auto"/>
                <w:kern w:val="0"/>
                <w:sz w:val="20"/>
                <w:szCs w:val="20"/>
                <w:highlight w:val="none"/>
              </w:rPr>
              <w:t>≥</w:t>
            </w:r>
            <w:r>
              <w:rPr>
                <w:rFonts w:hint="eastAsia" w:ascii="新宋体" w:hAnsi="新宋体" w:eastAsia="新宋体" w:cs="Arial"/>
                <w:bCs/>
                <w:color w:val="auto"/>
                <w:kern w:val="0"/>
                <w:sz w:val="20"/>
                <w:szCs w:val="20"/>
                <w:highlight w:val="none"/>
              </w:rPr>
              <w:t>600</w:t>
            </w:r>
            <w:r>
              <w:rPr>
                <w:rFonts w:hint="eastAsia" w:ascii="新宋体" w:hAnsi="新宋体" w:eastAsia="新宋体" w:cs="微软雅黑"/>
                <w:bCs/>
                <w:color w:val="auto"/>
                <w:kern w:val="0"/>
                <w:sz w:val="20"/>
                <w:szCs w:val="20"/>
                <w:highlight w:val="none"/>
              </w:rPr>
              <w:t>幅透视图像连续存储</w:t>
            </w:r>
          </w:p>
        </w:tc>
      </w:tr>
      <w:tr w14:paraId="36166182">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03CBB192">
            <w:pPr>
              <w:widowControl/>
              <w:spacing w:after="0" w:line="360" w:lineRule="auto"/>
              <w:jc w:val="right"/>
              <w:rPr>
                <w:rFonts w:ascii="新宋体" w:hAnsi="新宋体" w:eastAsia="新宋体" w:cstheme="minorBidi"/>
                <w:bCs/>
                <w:color w:val="auto"/>
                <w:kern w:val="0"/>
                <w:sz w:val="20"/>
                <w:szCs w:val="20"/>
                <w:highlight w:val="none"/>
              </w:rPr>
            </w:pPr>
            <w:r>
              <w:rPr>
                <w:rFonts w:hint="eastAsia" w:ascii="新宋体" w:hAnsi="新宋体" w:eastAsia="新宋体" w:cs="Arial"/>
                <w:bCs/>
                <w:color w:val="auto"/>
                <w:kern w:val="0"/>
                <w:sz w:val="20"/>
                <w:szCs w:val="20"/>
                <w:highlight w:val="none"/>
              </w:rPr>
              <w:t>16</w:t>
            </w:r>
            <w:r>
              <w:rPr>
                <w:rFonts w:hint="eastAsia" w:ascii="新宋体" w:hAnsi="新宋体" w:eastAsia="新宋体" w:cs="微软雅黑"/>
                <w:bCs/>
                <w:color w:val="auto"/>
                <w:kern w:val="0"/>
                <w:sz w:val="20"/>
                <w:szCs w:val="20"/>
                <w:highlight w:val="none"/>
              </w:rPr>
              <w:t>．</w:t>
            </w:r>
            <w:r>
              <w:rPr>
                <w:rFonts w:hint="eastAsia" w:ascii="新宋体" w:hAnsi="新宋体" w:eastAsia="新宋体" w:cs="Arial"/>
                <w:bCs/>
                <w:color w:val="auto"/>
                <w:kern w:val="0"/>
                <w:sz w:val="20"/>
                <w:szCs w:val="20"/>
                <w:highlight w:val="none"/>
              </w:rPr>
              <w:t>5</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05EEAAF9">
            <w:pPr>
              <w:widowControl/>
              <w:spacing w:after="0" w:line="360" w:lineRule="auto"/>
              <w:jc w:val="left"/>
              <w:rPr>
                <w:rFonts w:ascii="新宋体" w:hAnsi="新宋体" w:eastAsia="新宋体" w:cs="Arial"/>
                <w:bCs/>
                <w:color w:val="auto"/>
                <w:kern w:val="0"/>
                <w:sz w:val="20"/>
                <w:szCs w:val="20"/>
                <w:highlight w:val="none"/>
              </w:rPr>
            </w:pPr>
            <w:r>
              <w:rPr>
                <w:rFonts w:hint="eastAsia" w:ascii="新宋体" w:hAnsi="新宋体" w:eastAsia="新宋体" w:cs="微软雅黑"/>
                <w:bCs/>
                <w:color w:val="auto"/>
                <w:kern w:val="0"/>
                <w:sz w:val="20"/>
                <w:szCs w:val="20"/>
                <w:highlight w:val="none"/>
              </w:rPr>
              <w:t>具有射线剂量监测功能，透视时，表面剂量率显示；透视间期，显示积累剂量，区域剂量和剂量限值</w:t>
            </w:r>
          </w:p>
        </w:tc>
      </w:tr>
      <w:tr w14:paraId="7C88BA78">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49E2DB15">
            <w:pPr>
              <w:widowControl/>
              <w:spacing w:after="0" w:line="360" w:lineRule="auto"/>
              <w:jc w:val="right"/>
              <w:rPr>
                <w:rFonts w:ascii="新宋体" w:hAnsi="新宋体" w:eastAsia="新宋体" w:cstheme="minorBidi"/>
                <w:bCs/>
                <w:color w:val="auto"/>
                <w:kern w:val="0"/>
                <w:sz w:val="20"/>
                <w:szCs w:val="20"/>
                <w:highlight w:val="none"/>
              </w:rPr>
            </w:pPr>
            <w:r>
              <w:rPr>
                <w:rFonts w:hint="eastAsia" w:ascii="新宋体" w:hAnsi="新宋体" w:eastAsia="新宋体" w:cs="Arial"/>
                <w:bCs/>
                <w:color w:val="auto"/>
                <w:kern w:val="0"/>
                <w:sz w:val="20"/>
                <w:szCs w:val="20"/>
                <w:highlight w:val="none"/>
              </w:rPr>
              <w:t>16</w:t>
            </w:r>
            <w:r>
              <w:rPr>
                <w:rFonts w:hint="eastAsia" w:ascii="新宋体" w:hAnsi="新宋体" w:eastAsia="新宋体" w:cs="微软雅黑"/>
                <w:bCs/>
                <w:color w:val="auto"/>
                <w:kern w:val="0"/>
                <w:sz w:val="20"/>
                <w:szCs w:val="20"/>
                <w:highlight w:val="none"/>
              </w:rPr>
              <w:t>．</w:t>
            </w:r>
            <w:r>
              <w:rPr>
                <w:rFonts w:hint="eastAsia" w:ascii="新宋体" w:hAnsi="新宋体" w:eastAsia="新宋体" w:cs="Arial"/>
                <w:bCs/>
                <w:color w:val="auto"/>
                <w:kern w:val="0"/>
                <w:sz w:val="20"/>
                <w:szCs w:val="20"/>
                <w:highlight w:val="none"/>
              </w:rPr>
              <w:t>6</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2D275862">
            <w:pPr>
              <w:widowControl/>
              <w:spacing w:after="0" w:line="360" w:lineRule="auto"/>
              <w:jc w:val="left"/>
              <w:rPr>
                <w:rFonts w:ascii="新宋体" w:hAnsi="新宋体" w:eastAsia="新宋体" w:cs="Arial"/>
                <w:bCs/>
                <w:color w:val="auto"/>
                <w:kern w:val="0"/>
                <w:sz w:val="20"/>
                <w:szCs w:val="20"/>
                <w:highlight w:val="none"/>
              </w:rPr>
            </w:pPr>
            <w:r>
              <w:rPr>
                <w:rFonts w:hint="eastAsia" w:ascii="新宋体" w:hAnsi="新宋体" w:eastAsia="新宋体" w:cs="微软雅黑"/>
                <w:bCs/>
                <w:color w:val="auto"/>
                <w:kern w:val="0"/>
                <w:sz w:val="20"/>
                <w:szCs w:val="20"/>
                <w:highlight w:val="none"/>
              </w:rPr>
              <w:t>具有床下防护铅帘，悬吊式防护铅屏</w:t>
            </w:r>
          </w:p>
        </w:tc>
      </w:tr>
      <w:tr w14:paraId="5B0C291B">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5A77374F">
            <w:pPr>
              <w:widowControl/>
              <w:spacing w:after="0" w:line="360" w:lineRule="auto"/>
              <w:jc w:val="left"/>
              <w:rPr>
                <w:rFonts w:ascii="新宋体" w:hAnsi="新宋体" w:eastAsia="新宋体" w:cs="Arial"/>
                <w:bCs/>
                <w:color w:val="auto"/>
                <w:kern w:val="0"/>
                <w:sz w:val="20"/>
                <w:szCs w:val="20"/>
                <w:highlight w:val="none"/>
              </w:rPr>
            </w:pPr>
            <w:r>
              <w:rPr>
                <w:rFonts w:ascii="新宋体" w:hAnsi="新宋体" w:eastAsia="新宋体" w:cs="Arial"/>
                <w:color w:val="auto"/>
                <w:kern w:val="0"/>
                <w:sz w:val="20"/>
                <w:szCs w:val="20"/>
                <w:highlight w:val="none"/>
              </w:rPr>
              <w:t>17</w:t>
            </w:r>
            <w:r>
              <w:rPr>
                <w:rFonts w:hint="eastAsia" w:ascii="新宋体" w:hAnsi="新宋体" w:eastAsia="新宋体" w:cs="Arial"/>
                <w:color w:val="auto"/>
                <w:kern w:val="0"/>
                <w:sz w:val="20"/>
                <w:szCs w:val="20"/>
                <w:highlight w:val="none"/>
              </w:rPr>
              <w:t>、</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1D3C538B">
            <w:pPr>
              <w:widowControl/>
              <w:spacing w:after="0" w:line="360" w:lineRule="auto"/>
              <w:jc w:val="left"/>
              <w:rPr>
                <w:rFonts w:hint="default" w:ascii="新宋体" w:hAnsi="新宋体" w:eastAsia="新宋体" w:cs="微软雅黑"/>
                <w:bCs/>
                <w:color w:val="auto"/>
                <w:kern w:val="0"/>
                <w:sz w:val="20"/>
                <w:szCs w:val="20"/>
                <w:highlight w:val="none"/>
                <w:lang w:val="en-US" w:eastAsia="zh-CN"/>
              </w:rPr>
            </w:pPr>
            <w:r>
              <w:rPr>
                <w:rFonts w:hint="eastAsia" w:ascii="新宋体" w:hAnsi="新宋体" w:eastAsia="新宋体" w:cs="Arial"/>
                <w:color w:val="auto"/>
                <w:kern w:val="0"/>
                <w:sz w:val="20"/>
                <w:szCs w:val="20"/>
                <w:highlight w:val="none"/>
                <w:lang w:val="en-US" w:eastAsia="zh-CN"/>
              </w:rPr>
              <w:t>具备三维重建功能，具</w:t>
            </w:r>
            <w:r>
              <w:rPr>
                <w:rFonts w:hint="eastAsia" w:ascii="新宋体" w:hAnsi="新宋体" w:eastAsia="新宋体" w:cs="Arial"/>
                <w:color w:val="auto"/>
                <w:kern w:val="0"/>
                <w:sz w:val="20"/>
                <w:szCs w:val="20"/>
                <w:highlight w:val="none"/>
              </w:rPr>
              <w:t>有独立的</w:t>
            </w:r>
            <w:r>
              <w:rPr>
                <w:rFonts w:hint="eastAsia" w:ascii="新宋体" w:hAnsi="新宋体" w:eastAsia="新宋体" w:cs="Arial"/>
                <w:color w:val="auto"/>
                <w:kern w:val="0"/>
                <w:sz w:val="20"/>
                <w:szCs w:val="20"/>
                <w:highlight w:val="none"/>
                <w:lang w:val="en-US" w:eastAsia="zh-CN"/>
              </w:rPr>
              <w:t>原厂</w:t>
            </w:r>
            <w:r>
              <w:rPr>
                <w:rFonts w:hint="eastAsia" w:ascii="新宋体" w:hAnsi="新宋体" w:eastAsia="新宋体" w:cs="Arial"/>
                <w:color w:val="auto"/>
                <w:kern w:val="0"/>
                <w:sz w:val="20"/>
                <w:szCs w:val="20"/>
                <w:highlight w:val="none"/>
              </w:rPr>
              <w:t>三维重建工作站</w:t>
            </w:r>
            <w:r>
              <w:rPr>
                <w:rFonts w:hint="eastAsia" w:ascii="新宋体" w:hAnsi="新宋体" w:eastAsia="新宋体" w:cs="Arial"/>
                <w:color w:val="auto"/>
                <w:kern w:val="0"/>
                <w:sz w:val="20"/>
                <w:szCs w:val="20"/>
                <w:highlight w:val="none"/>
                <w:lang w:eastAsia="zh-CN"/>
              </w:rPr>
              <w:t>（</w:t>
            </w:r>
            <w:r>
              <w:rPr>
                <w:rFonts w:hint="eastAsia" w:ascii="新宋体" w:hAnsi="新宋体" w:eastAsia="新宋体" w:cs="Arial"/>
                <w:color w:val="auto"/>
                <w:kern w:val="0"/>
                <w:sz w:val="20"/>
                <w:szCs w:val="20"/>
                <w:highlight w:val="none"/>
              </w:rPr>
              <w:t>硬件和软件</w:t>
            </w:r>
            <w:r>
              <w:rPr>
                <w:rFonts w:hint="eastAsia" w:ascii="新宋体" w:hAnsi="新宋体" w:eastAsia="新宋体" w:cs="Arial"/>
                <w:color w:val="auto"/>
                <w:kern w:val="0"/>
                <w:sz w:val="20"/>
                <w:szCs w:val="20"/>
                <w:highlight w:val="none"/>
                <w:lang w:eastAsia="zh-CN"/>
              </w:rPr>
              <w:t>）</w:t>
            </w:r>
          </w:p>
        </w:tc>
      </w:tr>
      <w:tr w14:paraId="48453FCF">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478E68B9">
            <w:pPr>
              <w:widowControl/>
              <w:spacing w:after="0" w:line="360" w:lineRule="auto"/>
              <w:jc w:val="left"/>
              <w:rPr>
                <w:rFonts w:ascii="新宋体" w:hAnsi="新宋体" w:eastAsia="新宋体" w:cs="Arial"/>
                <w:color w:val="auto"/>
                <w:kern w:val="0"/>
                <w:sz w:val="20"/>
                <w:szCs w:val="20"/>
                <w:highlight w:val="none"/>
              </w:rPr>
            </w:pPr>
            <w:r>
              <w:rPr>
                <w:rFonts w:ascii="新宋体" w:hAnsi="新宋体" w:eastAsia="新宋体" w:cs="Arial"/>
                <w:color w:val="auto"/>
                <w:kern w:val="0"/>
                <w:sz w:val="20"/>
                <w:szCs w:val="20"/>
                <w:highlight w:val="none"/>
              </w:rPr>
              <w:t>18</w:t>
            </w:r>
            <w:r>
              <w:rPr>
                <w:rFonts w:hint="eastAsia" w:ascii="新宋体" w:hAnsi="新宋体" w:eastAsia="新宋体" w:cs="Arial"/>
                <w:color w:val="auto"/>
                <w:kern w:val="0"/>
                <w:sz w:val="20"/>
                <w:szCs w:val="20"/>
                <w:highlight w:val="none"/>
              </w:rPr>
              <w:t>、</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2AE8D132">
            <w:pPr>
              <w:widowControl/>
              <w:spacing w:after="0" w:line="360" w:lineRule="auto"/>
              <w:jc w:val="left"/>
              <w:rPr>
                <w:rFonts w:ascii="新宋体" w:hAnsi="新宋体" w:eastAsia="新宋体" w:cs="Arial"/>
                <w:color w:val="auto"/>
                <w:kern w:val="0"/>
                <w:sz w:val="20"/>
                <w:szCs w:val="20"/>
                <w:highlight w:val="none"/>
              </w:rPr>
            </w:pPr>
            <w:r>
              <w:rPr>
                <w:rFonts w:hint="eastAsia" w:ascii="新宋体" w:hAnsi="新宋体" w:eastAsia="新宋体" w:cs="Arial"/>
                <w:color w:val="auto"/>
                <w:kern w:val="0"/>
                <w:sz w:val="20"/>
                <w:szCs w:val="20"/>
                <w:highlight w:val="none"/>
              </w:rPr>
              <w:t>具备</w:t>
            </w:r>
            <w:r>
              <w:rPr>
                <w:rFonts w:hint="eastAsia" w:ascii="新宋体" w:hAnsi="新宋体" w:eastAsia="新宋体" w:cs="Arial"/>
                <w:color w:val="auto"/>
                <w:kern w:val="0"/>
                <w:sz w:val="20"/>
                <w:szCs w:val="20"/>
                <w:highlight w:val="none"/>
                <w:lang w:val="en-US" w:eastAsia="zh-CN"/>
              </w:rPr>
              <w:t>实时</w:t>
            </w:r>
            <w:r>
              <w:rPr>
                <w:rFonts w:hint="eastAsia" w:ascii="新宋体" w:hAnsi="新宋体" w:eastAsia="新宋体" w:cs="Arial"/>
                <w:color w:val="auto"/>
                <w:kern w:val="0"/>
                <w:sz w:val="20"/>
                <w:szCs w:val="20"/>
                <w:highlight w:val="none"/>
              </w:rPr>
              <w:t>冠脉支架精显功能</w:t>
            </w:r>
          </w:p>
        </w:tc>
      </w:tr>
      <w:tr w14:paraId="15491CF4">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1DA53BF4">
            <w:pPr>
              <w:widowControl/>
              <w:spacing w:after="0" w:line="360" w:lineRule="auto"/>
              <w:jc w:val="left"/>
              <w:rPr>
                <w:rFonts w:ascii="新宋体" w:hAnsi="新宋体" w:eastAsia="新宋体" w:cs="Arial"/>
                <w:color w:val="auto"/>
                <w:kern w:val="0"/>
                <w:sz w:val="20"/>
                <w:szCs w:val="20"/>
                <w:highlight w:val="none"/>
              </w:rPr>
            </w:pPr>
            <w:r>
              <w:rPr>
                <w:rFonts w:hint="eastAsia" w:ascii="新宋体" w:hAnsi="新宋体" w:eastAsia="新宋体" w:cs="Arial"/>
                <w:color w:val="auto"/>
                <w:kern w:val="0"/>
                <w:sz w:val="20"/>
                <w:szCs w:val="20"/>
                <w:highlight w:val="none"/>
              </w:rPr>
              <w:t>19、</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6F350C83">
            <w:pPr>
              <w:widowControl/>
              <w:spacing w:after="0" w:line="360" w:lineRule="auto"/>
              <w:jc w:val="left"/>
              <w:rPr>
                <w:rFonts w:ascii="新宋体" w:hAnsi="新宋体" w:eastAsia="新宋体" w:cs="Arial"/>
                <w:color w:val="auto"/>
                <w:kern w:val="0"/>
                <w:sz w:val="20"/>
                <w:szCs w:val="20"/>
                <w:highlight w:val="none"/>
              </w:rPr>
            </w:pPr>
            <w:r>
              <w:rPr>
                <w:rFonts w:hint="eastAsia" w:ascii="新宋体" w:hAnsi="新宋体" w:eastAsia="新宋体" w:cs="Arial"/>
                <w:color w:val="auto"/>
                <w:kern w:val="0"/>
                <w:sz w:val="20"/>
                <w:szCs w:val="20"/>
                <w:highlight w:val="none"/>
              </w:rPr>
              <w:t>具备动态冠脉路图功能</w:t>
            </w:r>
          </w:p>
        </w:tc>
      </w:tr>
      <w:tr w14:paraId="0D016303">
        <w:tblPrEx>
          <w:tblCellMar>
            <w:top w:w="0" w:type="dxa"/>
            <w:left w:w="10" w:type="dxa"/>
            <w:bottom w:w="0" w:type="dxa"/>
            <w:right w:w="10" w:type="dxa"/>
          </w:tblCellMar>
        </w:tblPrEx>
        <w:trPr>
          <w:trHeight w:val="504" w:hRule="atLeast"/>
        </w:trPr>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78BEC8D9">
            <w:pPr>
              <w:widowControl/>
              <w:spacing w:after="0" w:line="360" w:lineRule="auto"/>
              <w:jc w:val="left"/>
              <w:rPr>
                <w:rFonts w:hint="default" w:ascii="新宋体" w:hAnsi="新宋体" w:eastAsia="新宋体" w:cs="Arial"/>
                <w:color w:val="auto"/>
                <w:kern w:val="0"/>
                <w:sz w:val="20"/>
                <w:szCs w:val="20"/>
                <w:highlight w:val="none"/>
                <w:lang w:val="en-US" w:eastAsia="zh-CN"/>
              </w:rPr>
            </w:pPr>
            <w:r>
              <w:rPr>
                <w:rFonts w:hint="eastAsia" w:ascii="新宋体" w:hAnsi="新宋体" w:eastAsia="新宋体" w:cs="Arial"/>
                <w:color w:val="auto"/>
                <w:kern w:val="0"/>
                <w:sz w:val="20"/>
                <w:szCs w:val="20"/>
                <w:highlight w:val="none"/>
                <w:lang w:val="en-US" w:eastAsia="zh-CN"/>
              </w:rPr>
              <w:t>20、</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2E73A3C6">
            <w:pPr>
              <w:widowControl/>
              <w:spacing w:after="0" w:line="360" w:lineRule="auto"/>
              <w:jc w:val="left"/>
              <w:rPr>
                <w:rFonts w:hint="default" w:ascii="新宋体" w:hAnsi="新宋体" w:eastAsia="新宋体" w:cs="Arial"/>
                <w:color w:val="auto"/>
                <w:kern w:val="0"/>
                <w:sz w:val="20"/>
                <w:szCs w:val="20"/>
                <w:highlight w:val="none"/>
                <w:lang w:val="en-US" w:eastAsia="zh-CN"/>
              </w:rPr>
            </w:pPr>
            <w:r>
              <w:rPr>
                <w:rFonts w:hint="eastAsia" w:ascii="新宋体" w:hAnsi="新宋体" w:eastAsia="新宋体" w:cs="Arial"/>
                <w:color w:val="auto"/>
                <w:kern w:val="0"/>
                <w:sz w:val="20"/>
                <w:szCs w:val="20"/>
                <w:highlight w:val="none"/>
                <w:lang w:val="en-US" w:eastAsia="zh-CN"/>
              </w:rPr>
              <w:t>第三方附属设备</w:t>
            </w:r>
          </w:p>
        </w:tc>
      </w:tr>
      <w:tr w14:paraId="6A7604B6">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634E5BC0">
            <w:pPr>
              <w:widowControl/>
              <w:spacing w:after="0" w:line="360" w:lineRule="auto"/>
              <w:jc w:val="right"/>
              <w:rPr>
                <w:rFonts w:hint="default" w:ascii="新宋体" w:hAnsi="新宋体" w:eastAsia="新宋体" w:cs="Arial"/>
                <w:color w:val="auto"/>
                <w:kern w:val="0"/>
                <w:sz w:val="20"/>
                <w:szCs w:val="20"/>
                <w:highlight w:val="none"/>
                <w:lang w:val="en-US" w:eastAsia="zh-CN"/>
              </w:rPr>
            </w:pPr>
            <w:r>
              <w:rPr>
                <w:rFonts w:hint="eastAsia" w:ascii="新宋体" w:hAnsi="新宋体" w:eastAsia="新宋体" w:cs="Arial"/>
                <w:color w:val="auto"/>
                <w:kern w:val="0"/>
                <w:sz w:val="20"/>
                <w:szCs w:val="20"/>
                <w:highlight w:val="none"/>
                <w:lang w:val="en-US" w:eastAsia="zh-CN"/>
              </w:rPr>
              <w:t>20. 1</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2F9E20BB">
            <w:pPr>
              <w:widowControl/>
              <w:spacing w:after="0" w:line="360" w:lineRule="auto"/>
              <w:jc w:val="left"/>
              <w:rPr>
                <w:rFonts w:hint="default" w:ascii="新宋体" w:hAnsi="新宋体" w:eastAsia="新宋体" w:cs="Arial"/>
                <w:color w:val="auto"/>
                <w:kern w:val="0"/>
                <w:sz w:val="20"/>
                <w:szCs w:val="20"/>
                <w:highlight w:val="none"/>
                <w:lang w:val="en-US" w:eastAsia="zh-CN"/>
              </w:rPr>
            </w:pPr>
            <w:r>
              <w:rPr>
                <w:rFonts w:hint="eastAsia" w:ascii="新宋体" w:hAnsi="新宋体" w:eastAsia="新宋体" w:cs="Arial"/>
                <w:color w:val="auto"/>
                <w:kern w:val="0"/>
                <w:sz w:val="20"/>
                <w:szCs w:val="20"/>
                <w:highlight w:val="none"/>
                <w:lang w:val="en-US" w:eastAsia="zh-CN"/>
              </w:rPr>
              <w:t>高压注射器一套，具备压力范围：50 - 1200 psi，步长1psi;限压调速功能；在接近压力限制值时，系统自动做微降速处理，确保注射能正常进行；旋合卡位式针筒保护套，对压力传递、检测更有保证、更安全；一体式保温套设计，使用便利，保温效果好；并且具备注射头有IPX2级防渗漏功能。</w:t>
            </w:r>
          </w:p>
        </w:tc>
      </w:tr>
      <w:tr w14:paraId="3F6A6521">
        <w:tblPrEx>
          <w:tblCellMar>
            <w:top w:w="0" w:type="dxa"/>
            <w:left w:w="10" w:type="dxa"/>
            <w:bottom w:w="0" w:type="dxa"/>
            <w:right w:w="10" w:type="dxa"/>
          </w:tblCellMar>
        </w:tblPrEx>
        <w:tc>
          <w:tcPr>
            <w:tcW w:w="165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4B2CFE88">
            <w:pPr>
              <w:widowControl/>
              <w:spacing w:after="0" w:line="360" w:lineRule="auto"/>
              <w:jc w:val="right"/>
              <w:rPr>
                <w:rFonts w:hint="default" w:ascii="新宋体" w:hAnsi="新宋体" w:eastAsia="新宋体" w:cs="Arial"/>
                <w:color w:val="auto"/>
                <w:kern w:val="0"/>
                <w:sz w:val="20"/>
                <w:szCs w:val="20"/>
                <w:highlight w:val="none"/>
                <w:lang w:val="en-US" w:eastAsia="zh-CN"/>
              </w:rPr>
            </w:pPr>
            <w:r>
              <w:rPr>
                <w:rFonts w:hint="eastAsia" w:ascii="新宋体" w:hAnsi="新宋体" w:eastAsia="新宋体" w:cs="Arial"/>
                <w:color w:val="auto"/>
                <w:kern w:val="0"/>
                <w:sz w:val="20"/>
                <w:szCs w:val="20"/>
                <w:highlight w:val="none"/>
                <w:lang w:val="en-US" w:eastAsia="zh-CN"/>
              </w:rPr>
              <w:t>20. 2</w:t>
            </w:r>
          </w:p>
        </w:tc>
        <w:tc>
          <w:tcPr>
            <w:tcW w:w="75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14:paraId="7282B5E9">
            <w:pPr>
              <w:widowControl/>
              <w:spacing w:after="0" w:line="360" w:lineRule="auto"/>
              <w:jc w:val="left"/>
              <w:rPr>
                <w:rFonts w:hint="default" w:ascii="新宋体" w:hAnsi="新宋体" w:eastAsia="新宋体" w:cs="Arial"/>
                <w:color w:val="auto"/>
                <w:kern w:val="0"/>
                <w:sz w:val="20"/>
                <w:szCs w:val="20"/>
                <w:highlight w:val="none"/>
                <w:lang w:val="en-US" w:eastAsia="zh-CN"/>
              </w:rPr>
            </w:pPr>
            <w:r>
              <w:rPr>
                <w:rFonts w:hint="eastAsia" w:ascii="新宋体" w:hAnsi="新宋体" w:eastAsia="新宋体" w:cs="Arial"/>
                <w:color w:val="auto"/>
                <w:kern w:val="0"/>
                <w:sz w:val="20"/>
                <w:szCs w:val="20"/>
                <w:highlight w:val="none"/>
                <w:lang w:val="en-US" w:eastAsia="zh-CN"/>
              </w:rPr>
              <w:t>四套铅衣、铅围脖、铅帽</w:t>
            </w:r>
          </w:p>
        </w:tc>
      </w:tr>
    </w:tbl>
    <w:p w14:paraId="6E51F67E">
      <w:pPr>
        <w:rPr>
          <w:rFonts w:hint="default" w:ascii="黑体" w:hAnsi="黑体" w:eastAsia="黑体"/>
          <w:color w:val="auto"/>
          <w:sz w:val="28"/>
          <w:szCs w:val="28"/>
          <w:highlight w:val="none"/>
          <w:lang w:val="en-US" w:eastAsia="zh-CN"/>
        </w:rPr>
      </w:pPr>
    </w:p>
    <w:p w14:paraId="7796C502">
      <w:pPr>
        <w:pStyle w:val="30"/>
        <w:pageBreakBefore w:val="0"/>
        <w:widowControl w:val="0"/>
        <w:kinsoku/>
        <w:wordWrap/>
        <w:overflowPunct/>
        <w:topLinePunct w:val="0"/>
        <w:autoSpaceDE/>
        <w:autoSpaceDN/>
        <w:bidi w:val="0"/>
        <w:spacing w:line="500" w:lineRule="exact"/>
        <w:ind w:left="0" w:leftChars="0" w:firstLine="400" w:firstLineChars="200"/>
        <w:textAlignment w:val="auto"/>
        <w:rPr>
          <w:rFonts w:hint="eastAsia" w:ascii="黑体" w:hAnsi="黑体" w:eastAsia="黑体"/>
          <w:color w:val="auto"/>
          <w:sz w:val="20"/>
          <w:szCs w:val="20"/>
          <w:highlight w:val="none"/>
        </w:rPr>
      </w:pPr>
      <w:r>
        <w:rPr>
          <w:rFonts w:hint="eastAsia" w:ascii="黑体" w:hAnsi="黑体" w:eastAsia="黑体"/>
          <w:color w:val="auto"/>
          <w:sz w:val="20"/>
          <w:szCs w:val="20"/>
          <w:highlight w:val="none"/>
        </w:rPr>
        <w:br w:type="page"/>
      </w:r>
    </w:p>
    <w:p w14:paraId="4D82AD5D">
      <w:pPr>
        <w:pStyle w:val="3"/>
        <w:pageBreakBefore w:val="0"/>
        <w:widowControl w:val="0"/>
        <w:kinsoku/>
        <w:wordWrap/>
        <w:overflowPunct/>
        <w:topLinePunct w:val="0"/>
        <w:autoSpaceDE/>
        <w:autoSpaceDN/>
        <w:bidi w:val="0"/>
        <w:adjustRightInd w:val="0"/>
        <w:snapToGrid w:val="0"/>
        <w:spacing w:before="156" w:beforeLines="50" w:line="500" w:lineRule="exact"/>
        <w:jc w:val="center"/>
        <w:textAlignment w:val="auto"/>
        <w:rPr>
          <w:rFonts w:hint="eastAsia" w:ascii="黑体" w:hAnsi="黑体" w:eastAsia="黑体"/>
          <w:color w:val="auto"/>
          <w:sz w:val="28"/>
          <w:szCs w:val="28"/>
          <w:highlight w:val="none"/>
        </w:rPr>
        <w:sectPr>
          <w:pgSz w:w="11905" w:h="16838"/>
          <w:pgMar w:top="1440" w:right="1587" w:bottom="1440" w:left="1587" w:header="1020" w:footer="567" w:gutter="0"/>
          <w:pgNumType w:fmt="decimal"/>
          <w:cols w:space="0" w:num="1"/>
          <w:docGrid w:type="lines" w:linePitch="323" w:charSpace="0"/>
        </w:sectPr>
      </w:pPr>
    </w:p>
    <w:p w14:paraId="4587C0A6">
      <w:pPr>
        <w:pStyle w:val="3"/>
        <w:pageBreakBefore w:val="0"/>
        <w:widowControl w:val="0"/>
        <w:numPr>
          <w:ilvl w:val="0"/>
          <w:numId w:val="0"/>
        </w:numPr>
        <w:kinsoku/>
        <w:wordWrap/>
        <w:overflowPunct/>
        <w:topLinePunct w:val="0"/>
        <w:autoSpaceDE/>
        <w:autoSpaceDN/>
        <w:bidi w:val="0"/>
        <w:adjustRightInd w:val="0"/>
        <w:snapToGrid w:val="0"/>
        <w:spacing w:before="156" w:beforeLines="50" w:line="500" w:lineRule="exact"/>
        <w:jc w:val="both"/>
        <w:textAlignment w:val="auto"/>
        <w:rPr>
          <w:rFonts w:hint="eastAsia" w:ascii="黑体" w:hAnsi="黑体" w:eastAsia="黑体" w:cs="Times New Roman"/>
          <w:color w:val="auto"/>
          <w:sz w:val="28"/>
          <w:szCs w:val="28"/>
          <w:highlight w:val="none"/>
          <w:lang w:val="en-US" w:eastAsia="zh-CN"/>
        </w:rPr>
      </w:pPr>
      <w:bookmarkStart w:id="92" w:name="_Toc30864"/>
      <w:bookmarkStart w:id="93" w:name="_Toc32593"/>
      <w:r>
        <w:rPr>
          <w:rFonts w:hint="eastAsia" w:ascii="黑体" w:hAnsi="黑体" w:eastAsia="黑体" w:cs="Times New Roman"/>
          <w:b/>
          <w:bCs/>
          <w:color w:val="auto"/>
          <w:kern w:val="2"/>
          <w:sz w:val="28"/>
          <w:szCs w:val="28"/>
          <w:highlight w:val="none"/>
          <w:lang w:val="en-US" w:eastAsia="zh-CN" w:bidi="ar-SA"/>
        </w:rPr>
        <w:t>二、</w:t>
      </w:r>
      <w:r>
        <w:rPr>
          <w:rFonts w:hint="eastAsia" w:ascii="黑体" w:hAnsi="黑体" w:eastAsia="黑体" w:cs="Times New Roman"/>
          <w:color w:val="auto"/>
          <w:sz w:val="28"/>
          <w:szCs w:val="28"/>
          <w:highlight w:val="none"/>
          <w:lang w:val="en-US" w:eastAsia="zh-CN"/>
        </w:rPr>
        <w:t>主动脉球囊反搏泵</w:t>
      </w:r>
      <w:bookmarkEnd w:id="92"/>
      <w:bookmarkEnd w:id="93"/>
    </w:p>
    <w:p w14:paraId="18E30A77">
      <w:pPr>
        <w:widowControl w:val="0"/>
        <w:numPr>
          <w:ilvl w:val="0"/>
          <w:numId w:val="0"/>
        </w:numPr>
        <w:jc w:val="both"/>
        <w:rPr>
          <w:rFonts w:hint="default"/>
          <w:color w:val="auto"/>
          <w:highlight w:val="none"/>
          <w:lang w:val="en-US" w:eastAsia="zh-CN"/>
        </w:rPr>
      </w:pPr>
    </w:p>
    <w:p w14:paraId="4F280949">
      <w:pPr>
        <w:widowControl w:val="0"/>
        <w:numPr>
          <w:ilvl w:val="0"/>
          <w:numId w:val="0"/>
        </w:numPr>
        <w:spacing w:line="360" w:lineRule="auto"/>
        <w:jc w:val="both"/>
        <w:rPr>
          <w:rFonts w:hint="eastAsia" w:ascii="宋体" w:hAnsi="宋体" w:eastAsia="宋体" w:cs="宋体"/>
          <w:color w:val="auto"/>
          <w:highlight w:val="none"/>
          <w:lang w:val="en-US" w:eastAsia="zh-CN"/>
        </w:rPr>
      </w:pPr>
      <w:r>
        <w:rPr>
          <w:rFonts w:hint="eastAsia" w:ascii="宋体" w:hAnsi="宋体" w:eastAsia="宋体" w:cs="宋体"/>
          <w:color w:val="auto"/>
          <w:kern w:val="2"/>
          <w:sz w:val="21"/>
          <w:szCs w:val="24"/>
          <w:highlight w:val="none"/>
          <w:lang w:val="en-US" w:eastAsia="zh-CN" w:bidi="ar-SA"/>
        </w:rPr>
        <w:t>1.</w:t>
      </w:r>
      <w:r>
        <w:rPr>
          <w:rFonts w:hint="eastAsia" w:ascii="宋体" w:hAnsi="宋体" w:eastAsia="宋体" w:cs="宋体"/>
          <w:color w:val="auto"/>
          <w:highlight w:val="none"/>
          <w:lang w:val="en-US" w:eastAsia="zh-CN"/>
        </w:rPr>
        <w:t>操作系统:全中文操作系统，显示、报警、操作菜单均为中文。</w:t>
      </w:r>
    </w:p>
    <w:p w14:paraId="71870B9D">
      <w:pPr>
        <w:widowControl w:val="0"/>
        <w:numPr>
          <w:ilvl w:val="0"/>
          <w:numId w:val="0"/>
        </w:numPr>
        <w:spacing w:line="360" w:lineRule="auto"/>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w:t>
      </w:r>
      <w:r>
        <w:rPr>
          <w:rFonts w:hint="eastAsia" w:ascii="宋体" w:hAnsi="宋体" w:eastAsia="宋体" w:cs="宋体"/>
          <w:color w:val="auto"/>
          <w:szCs w:val="21"/>
          <w:highlight w:val="none"/>
        </w:rPr>
        <w:t>▲</w:t>
      </w:r>
      <w:r>
        <w:rPr>
          <w:rFonts w:hint="eastAsia" w:ascii="宋体" w:hAnsi="宋体" w:eastAsia="宋体" w:cs="宋体"/>
          <w:color w:val="auto"/>
          <w:highlight w:val="none"/>
          <w:lang w:val="en-US" w:eastAsia="zh-CN"/>
        </w:rPr>
        <w:t>触控显示屏:≥12英寸，分辨率≥1280*800，可以多角度转动，可脱离，可视角度大，在不同角度时均可清晰地观察到屏幕上的波形。</w:t>
      </w:r>
    </w:p>
    <w:p w14:paraId="6C7DC74D">
      <w:pPr>
        <w:widowControl w:val="0"/>
        <w:numPr>
          <w:ilvl w:val="0"/>
          <w:numId w:val="0"/>
        </w:numPr>
        <w:spacing w:line="360" w:lineRule="auto"/>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3.配备触控屏和实体按键，支持关键常用功能双重操作。</w:t>
      </w:r>
    </w:p>
    <w:p w14:paraId="21CA355A">
      <w:pPr>
        <w:widowControl w:val="0"/>
        <w:numPr>
          <w:ilvl w:val="0"/>
          <w:numId w:val="0"/>
        </w:numPr>
        <w:spacing w:line="360" w:lineRule="auto"/>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4.显示内容:包含ECG和血压波形，有收缩压、舒张压、平均压、反搏增压的显示。显示当前所用触发信号及来源，心电导联有故障时可明确显示;要求血压波形能自动取标，自动将压差显示到最大。要求有球囊工作状态模拟、氦气瓶容量及电池剩余容量显示。</w:t>
      </w:r>
    </w:p>
    <w:p w14:paraId="1725EA8F">
      <w:pPr>
        <w:widowControl w:val="0"/>
        <w:numPr>
          <w:ilvl w:val="0"/>
          <w:numId w:val="0"/>
        </w:numPr>
        <w:spacing w:line="360" w:lineRule="auto"/>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5.采用双头隔膜泵气动系统或涡旋式气泵驱动，马达速度可自适应患者心率，使辅助始终处于最佳状态。</w:t>
      </w:r>
    </w:p>
    <w:p w14:paraId="5D017018">
      <w:pPr>
        <w:widowControl w:val="0"/>
        <w:numPr>
          <w:ilvl w:val="0"/>
          <w:numId w:val="0"/>
        </w:numPr>
        <w:spacing w:line="360" w:lineRule="auto"/>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6.反搏频率:1:1,1:2,1:3,。反</w:t>
      </w:r>
      <w:r>
        <w:rPr>
          <w:rFonts w:hint="eastAsia" w:ascii="宋体" w:hAnsi="宋体" w:cs="宋体"/>
          <w:color w:val="auto"/>
          <w:highlight w:val="none"/>
          <w:lang w:val="en-US" w:eastAsia="zh-CN"/>
        </w:rPr>
        <w:t>搏</w:t>
      </w:r>
      <w:r>
        <w:rPr>
          <w:rFonts w:hint="eastAsia" w:ascii="宋体" w:hAnsi="宋体" w:eastAsia="宋体" w:cs="宋体"/>
          <w:color w:val="auto"/>
          <w:highlight w:val="none"/>
          <w:lang w:val="en-US" w:eastAsia="zh-CN"/>
        </w:rPr>
        <w:t>频率与心率可实时同步，可跟踪心率范围20bpm~210bpm。</w:t>
      </w:r>
    </w:p>
    <w:p w14:paraId="53376B08">
      <w:pPr>
        <w:widowControl w:val="0"/>
        <w:numPr>
          <w:ilvl w:val="0"/>
          <w:numId w:val="0"/>
        </w:numPr>
        <w:spacing w:line="360" w:lineRule="auto"/>
        <w:ind w:left="0" w:leftChars="0" w:firstLine="0" w:firstLineChars="0"/>
        <w:jc w:val="both"/>
        <w:rPr>
          <w:rFonts w:hint="eastAsia" w:ascii="宋体" w:hAnsi="宋体" w:eastAsia="宋体" w:cs="宋体"/>
          <w:color w:val="auto"/>
          <w:highlight w:val="none"/>
          <w:lang w:val="en-US" w:eastAsia="zh-CN"/>
        </w:rPr>
      </w:pPr>
      <w:r>
        <w:rPr>
          <w:rFonts w:hint="eastAsia" w:ascii="宋体" w:hAnsi="宋体" w:eastAsia="宋体" w:cs="宋体"/>
          <w:color w:val="auto"/>
          <w:kern w:val="2"/>
          <w:sz w:val="21"/>
          <w:szCs w:val="24"/>
          <w:highlight w:val="none"/>
          <w:lang w:val="en-US" w:eastAsia="zh-CN" w:bidi="ar-SA"/>
        </w:rPr>
        <w:t>7.</w:t>
      </w:r>
      <w:r>
        <w:rPr>
          <w:rFonts w:hint="eastAsia" w:ascii="宋体" w:hAnsi="宋体" w:eastAsia="宋体" w:cs="宋体"/>
          <w:color w:val="auto"/>
          <w:highlight w:val="none"/>
          <w:lang w:val="en-US" w:eastAsia="zh-CN"/>
        </w:rPr>
        <w:t>工作模式:自动和半自动可选，自动模式下机器可以自动根据病人情况选择最佳触发信号，选取最合适的充放气点，并保持动态监测随时根据患者病情变化自动调整充放气时相。</w:t>
      </w:r>
    </w:p>
    <w:p w14:paraId="7CDD7175">
      <w:pPr>
        <w:widowControl w:val="0"/>
        <w:numPr>
          <w:ilvl w:val="0"/>
          <w:numId w:val="0"/>
        </w:numPr>
        <w:spacing w:line="360" w:lineRule="auto"/>
        <w:ind w:left="0" w:leftChars="0" w:firstLine="0" w:firstLineChars="0"/>
        <w:jc w:val="both"/>
        <w:rPr>
          <w:rFonts w:hint="eastAsia" w:ascii="宋体" w:hAnsi="宋体" w:eastAsia="宋体" w:cs="宋体"/>
          <w:color w:val="auto"/>
          <w:highlight w:val="none"/>
          <w:lang w:val="en-US" w:eastAsia="zh-CN"/>
        </w:rPr>
      </w:pPr>
      <w:r>
        <w:rPr>
          <w:rFonts w:hint="eastAsia" w:ascii="宋体" w:hAnsi="宋体" w:eastAsia="宋体" w:cs="宋体"/>
          <w:color w:val="auto"/>
          <w:kern w:val="2"/>
          <w:sz w:val="21"/>
          <w:szCs w:val="24"/>
          <w:highlight w:val="none"/>
          <w:lang w:val="en-US" w:eastAsia="zh-CN" w:bidi="ar-SA"/>
        </w:rPr>
        <w:t>8.</w:t>
      </w:r>
      <w:r>
        <w:rPr>
          <w:rFonts w:hint="eastAsia" w:ascii="宋体" w:hAnsi="宋体" w:eastAsia="宋体" w:cs="宋体"/>
          <w:color w:val="auto"/>
          <w:highlight w:val="none"/>
          <w:lang w:val="en-US" w:eastAsia="zh-CN"/>
        </w:rPr>
        <w:t>具备</w:t>
      </w:r>
      <w:r>
        <w:rPr>
          <w:rFonts w:hint="eastAsia" w:ascii="宋体" w:hAnsi="宋体" w:cs="宋体"/>
          <w:color w:val="auto"/>
          <w:highlight w:val="none"/>
          <w:lang w:val="en-US" w:eastAsia="zh-CN"/>
        </w:rPr>
        <w:t>5</w:t>
      </w:r>
      <w:r>
        <w:rPr>
          <w:rFonts w:hint="eastAsia" w:ascii="宋体" w:hAnsi="宋体" w:eastAsia="宋体" w:cs="宋体"/>
          <w:color w:val="auto"/>
          <w:highlight w:val="none"/>
          <w:lang w:val="en-US" w:eastAsia="zh-CN"/>
        </w:rPr>
        <w:t>种触发模式:(1)ECG触发;(2)血压触发;(3)内置触发;(4)A起搏触发;(5)V/A-V起搏触发。</w:t>
      </w:r>
    </w:p>
    <w:p w14:paraId="3FCE5BF0">
      <w:pPr>
        <w:widowControl w:val="0"/>
        <w:numPr>
          <w:ilvl w:val="0"/>
          <w:numId w:val="0"/>
        </w:numPr>
        <w:spacing w:line="360" w:lineRule="auto"/>
        <w:ind w:left="0" w:leftChars="0" w:firstLine="0" w:firstLineChars="0"/>
        <w:jc w:val="both"/>
        <w:rPr>
          <w:rFonts w:hint="eastAsia" w:ascii="宋体" w:hAnsi="宋体" w:eastAsia="宋体" w:cs="宋体"/>
          <w:color w:val="auto"/>
          <w:highlight w:val="none"/>
          <w:lang w:val="en-US" w:eastAsia="zh-CN"/>
        </w:rPr>
      </w:pPr>
      <w:r>
        <w:rPr>
          <w:rFonts w:hint="eastAsia" w:ascii="宋体" w:hAnsi="宋体" w:eastAsia="宋体" w:cs="宋体"/>
          <w:color w:val="auto"/>
          <w:kern w:val="2"/>
          <w:sz w:val="21"/>
          <w:szCs w:val="24"/>
          <w:highlight w:val="none"/>
          <w:lang w:val="en-US" w:eastAsia="zh-CN" w:bidi="ar-SA"/>
        </w:rPr>
        <w:t>9.</w:t>
      </w:r>
      <w:r>
        <w:rPr>
          <w:rFonts w:hint="eastAsia" w:ascii="宋体" w:hAnsi="宋体" w:eastAsia="宋体" w:cs="宋体"/>
          <w:color w:val="auto"/>
          <w:highlight w:val="none"/>
          <w:lang w:val="en-US" w:eastAsia="zh-CN"/>
        </w:rPr>
        <w:t>血压触发情况下，血压显示范围:0~300mmHg。</w:t>
      </w:r>
    </w:p>
    <w:p w14:paraId="795343C1">
      <w:pPr>
        <w:widowControl w:val="0"/>
        <w:numPr>
          <w:ilvl w:val="0"/>
          <w:numId w:val="0"/>
        </w:numPr>
        <w:spacing w:line="360" w:lineRule="auto"/>
        <w:ind w:left="0" w:leftChars="0" w:firstLine="0" w:firstLineChars="0"/>
        <w:jc w:val="both"/>
        <w:rPr>
          <w:rFonts w:hint="eastAsia" w:ascii="宋体" w:hAnsi="宋体" w:eastAsia="宋体" w:cs="宋体"/>
          <w:color w:val="auto"/>
          <w:highlight w:val="none"/>
          <w:lang w:val="en-US" w:eastAsia="zh-CN"/>
        </w:rPr>
      </w:pPr>
      <w:r>
        <w:rPr>
          <w:rFonts w:hint="eastAsia" w:ascii="宋体" w:hAnsi="宋体" w:eastAsia="宋体" w:cs="宋体"/>
          <w:color w:val="auto"/>
          <w:kern w:val="2"/>
          <w:sz w:val="21"/>
          <w:szCs w:val="24"/>
          <w:highlight w:val="none"/>
          <w:lang w:val="en-US" w:eastAsia="zh-CN" w:bidi="ar-SA"/>
        </w:rPr>
        <w:t>10.</w:t>
      </w:r>
      <w:r>
        <w:rPr>
          <w:rFonts w:hint="eastAsia" w:ascii="宋体" w:hAnsi="宋体" w:eastAsia="宋体" w:cs="宋体"/>
          <w:color w:val="auto"/>
          <w:highlight w:val="none"/>
          <w:lang w:val="en-US" w:eastAsia="zh-CN"/>
        </w:rPr>
        <w:t>具备安全盘隔离保护装置，有效隔离高压氦气保护病人更安全。</w:t>
      </w:r>
    </w:p>
    <w:p w14:paraId="7BE7EF2A">
      <w:pPr>
        <w:widowControl w:val="0"/>
        <w:numPr>
          <w:ilvl w:val="0"/>
          <w:numId w:val="0"/>
        </w:numPr>
        <w:spacing w:line="360" w:lineRule="auto"/>
        <w:ind w:left="0" w:leftChars="0" w:firstLine="0" w:firstLineChars="0"/>
        <w:jc w:val="both"/>
        <w:rPr>
          <w:rFonts w:hint="eastAsia" w:ascii="宋体" w:hAnsi="宋体" w:eastAsia="宋体" w:cs="宋体"/>
          <w:color w:val="auto"/>
          <w:highlight w:val="none"/>
          <w:lang w:val="en-US" w:eastAsia="zh-CN"/>
        </w:rPr>
      </w:pPr>
      <w:r>
        <w:rPr>
          <w:rFonts w:hint="eastAsia" w:ascii="宋体" w:hAnsi="宋体" w:eastAsia="宋体" w:cs="宋体"/>
          <w:color w:val="auto"/>
          <w:kern w:val="2"/>
          <w:sz w:val="21"/>
          <w:szCs w:val="24"/>
          <w:highlight w:val="none"/>
          <w:lang w:val="en-US" w:eastAsia="zh-CN" w:bidi="ar-SA"/>
        </w:rPr>
        <w:t>11.</w:t>
      </w:r>
      <w:r>
        <w:rPr>
          <w:rFonts w:hint="eastAsia" w:ascii="宋体" w:hAnsi="宋体" w:eastAsia="宋体" w:cs="宋体"/>
          <w:color w:val="auto"/>
          <w:szCs w:val="21"/>
          <w:highlight w:val="none"/>
        </w:rPr>
        <w:t>▲</w:t>
      </w:r>
      <w:r>
        <w:rPr>
          <w:rFonts w:hint="eastAsia" w:ascii="宋体" w:hAnsi="宋体" w:eastAsia="宋体" w:cs="宋体"/>
          <w:color w:val="auto"/>
          <w:highlight w:val="none"/>
          <w:lang w:val="en-US" w:eastAsia="zh-CN"/>
        </w:rPr>
        <w:t>具备防回血监测安全装置，保护病人安全，防止血液回流入机器内部气动系统，造成机器损坏。</w:t>
      </w:r>
    </w:p>
    <w:p w14:paraId="7747F1B1">
      <w:pPr>
        <w:widowControl w:val="0"/>
        <w:numPr>
          <w:ilvl w:val="0"/>
          <w:numId w:val="0"/>
        </w:numPr>
        <w:spacing w:line="360" w:lineRule="auto"/>
        <w:ind w:left="0" w:leftChars="0" w:firstLine="0" w:firstLineChars="0"/>
        <w:jc w:val="both"/>
        <w:rPr>
          <w:rFonts w:hint="eastAsia" w:ascii="宋体" w:hAnsi="宋体" w:eastAsia="宋体" w:cs="宋体"/>
          <w:color w:val="auto"/>
          <w:highlight w:val="none"/>
          <w:lang w:val="en-US" w:eastAsia="zh-CN"/>
        </w:rPr>
      </w:pPr>
      <w:r>
        <w:rPr>
          <w:rFonts w:hint="eastAsia" w:ascii="宋体" w:hAnsi="宋体" w:eastAsia="宋体" w:cs="宋体"/>
          <w:color w:val="auto"/>
          <w:kern w:val="2"/>
          <w:sz w:val="21"/>
          <w:szCs w:val="24"/>
          <w:highlight w:val="none"/>
          <w:lang w:val="en-US" w:eastAsia="zh-CN" w:bidi="ar-SA"/>
        </w:rPr>
        <w:t>12.</w:t>
      </w:r>
      <w:r>
        <w:rPr>
          <w:rFonts w:hint="eastAsia" w:ascii="宋体" w:hAnsi="宋体" w:eastAsia="宋体" w:cs="宋体"/>
          <w:color w:val="auto"/>
          <w:highlight w:val="none"/>
          <w:lang w:val="en-US" w:eastAsia="zh-CN"/>
        </w:rPr>
        <w:t>报警系统:分级报警设计，全中文帮助信息。</w:t>
      </w:r>
    </w:p>
    <w:p w14:paraId="30B5741B">
      <w:pPr>
        <w:widowControl w:val="0"/>
        <w:numPr>
          <w:ilvl w:val="0"/>
          <w:numId w:val="0"/>
        </w:numPr>
        <w:spacing w:line="360" w:lineRule="auto"/>
        <w:ind w:left="0" w:leftChars="0" w:firstLine="0" w:firstLineChars="0"/>
        <w:jc w:val="both"/>
        <w:rPr>
          <w:rFonts w:hint="eastAsia" w:ascii="宋体" w:hAnsi="宋体" w:eastAsia="宋体" w:cs="宋体"/>
          <w:color w:val="auto"/>
          <w:highlight w:val="none"/>
          <w:lang w:val="en-US" w:eastAsia="zh-CN"/>
        </w:rPr>
      </w:pPr>
      <w:r>
        <w:rPr>
          <w:rFonts w:hint="eastAsia" w:ascii="宋体" w:hAnsi="宋体" w:eastAsia="宋体" w:cs="宋体"/>
          <w:color w:val="auto"/>
          <w:kern w:val="2"/>
          <w:sz w:val="21"/>
          <w:szCs w:val="24"/>
          <w:highlight w:val="none"/>
          <w:lang w:val="en-US" w:eastAsia="zh-CN" w:bidi="ar-SA"/>
        </w:rPr>
        <w:t>13.</w:t>
      </w:r>
      <w:r>
        <w:rPr>
          <w:rFonts w:hint="eastAsia" w:ascii="宋体" w:hAnsi="宋体" w:eastAsia="宋体" w:cs="宋体"/>
          <w:color w:val="auto"/>
          <w:highlight w:val="none"/>
          <w:lang w:val="en-US" w:eastAsia="zh-CN"/>
        </w:rPr>
        <w:t>除水系统:采用全氟磺酸除凝系统持续除凝，无需积水瓶或电热除凝，减少人力消耗及能耗。</w:t>
      </w:r>
    </w:p>
    <w:p w14:paraId="32BC9FD9">
      <w:pPr>
        <w:widowControl w:val="0"/>
        <w:numPr>
          <w:ilvl w:val="0"/>
          <w:numId w:val="0"/>
        </w:numPr>
        <w:spacing w:line="360" w:lineRule="auto"/>
        <w:ind w:left="0" w:leftChars="0" w:firstLine="0" w:firstLineChars="0"/>
        <w:jc w:val="both"/>
        <w:rPr>
          <w:rFonts w:hint="eastAsia" w:ascii="宋体" w:hAnsi="宋体" w:eastAsia="宋体" w:cs="宋体"/>
          <w:color w:val="auto"/>
          <w:highlight w:val="none"/>
          <w:lang w:val="en-US" w:eastAsia="zh-CN"/>
        </w:rPr>
      </w:pPr>
      <w:r>
        <w:rPr>
          <w:rFonts w:hint="eastAsia" w:ascii="宋体" w:hAnsi="宋体" w:eastAsia="宋体" w:cs="宋体"/>
          <w:color w:val="auto"/>
          <w:kern w:val="2"/>
          <w:sz w:val="21"/>
          <w:szCs w:val="24"/>
          <w:highlight w:val="none"/>
          <w:lang w:val="en-US" w:eastAsia="zh-CN" w:bidi="ar-SA"/>
        </w:rPr>
        <w:t>14.</w:t>
      </w:r>
      <w:r>
        <w:rPr>
          <w:rFonts w:hint="eastAsia" w:ascii="宋体" w:hAnsi="宋体" w:eastAsia="宋体" w:cs="宋体"/>
          <w:color w:val="auto"/>
          <w:highlight w:val="none"/>
          <w:lang w:val="en-US" w:eastAsia="zh-CN"/>
        </w:rPr>
        <w:t>配备可热插拔锂电池，满电后工作时间≥180分钟。</w:t>
      </w:r>
    </w:p>
    <w:p w14:paraId="65F8ECBC">
      <w:pPr>
        <w:widowControl w:val="0"/>
        <w:numPr>
          <w:ilvl w:val="0"/>
          <w:numId w:val="0"/>
        </w:numPr>
        <w:spacing w:line="360" w:lineRule="auto"/>
        <w:ind w:left="0" w:leftChars="0" w:firstLine="0" w:firstLineChars="0"/>
        <w:jc w:val="both"/>
        <w:rPr>
          <w:rFonts w:hint="eastAsia" w:ascii="宋体" w:hAnsi="宋体" w:eastAsia="宋体" w:cs="宋体"/>
          <w:color w:val="auto"/>
          <w:highlight w:val="none"/>
          <w:lang w:val="en-US" w:eastAsia="zh-CN"/>
        </w:rPr>
      </w:pPr>
      <w:r>
        <w:rPr>
          <w:rFonts w:hint="eastAsia" w:ascii="宋体" w:hAnsi="宋体" w:eastAsia="宋体" w:cs="宋体"/>
          <w:color w:val="auto"/>
          <w:kern w:val="2"/>
          <w:sz w:val="21"/>
          <w:szCs w:val="24"/>
          <w:highlight w:val="none"/>
          <w:lang w:val="en-US" w:eastAsia="zh-CN" w:bidi="ar-SA"/>
        </w:rPr>
        <w:t>15.</w:t>
      </w:r>
      <w:r>
        <w:rPr>
          <w:rFonts w:hint="eastAsia" w:ascii="宋体" w:hAnsi="宋体" w:eastAsia="宋体" w:cs="宋体"/>
          <w:color w:val="auto"/>
          <w:szCs w:val="21"/>
          <w:highlight w:val="none"/>
        </w:rPr>
        <w:t>▲</w:t>
      </w:r>
      <w:r>
        <w:rPr>
          <w:rFonts w:hint="eastAsia" w:ascii="宋体" w:hAnsi="宋体" w:eastAsia="宋体" w:cs="宋体"/>
          <w:color w:val="auto"/>
          <w:highlight w:val="none"/>
          <w:lang w:val="en-US" w:eastAsia="zh-CN"/>
        </w:rPr>
        <w:t>主机转运时可快速分离车架，屏幕与主机一体无需重新拆装，主机重量≤35kg，方便转运。</w:t>
      </w:r>
    </w:p>
    <w:p w14:paraId="02A19F78">
      <w:pPr>
        <w:widowControl w:val="0"/>
        <w:numPr>
          <w:ilvl w:val="0"/>
          <w:numId w:val="0"/>
        </w:numPr>
        <w:spacing w:line="360" w:lineRule="auto"/>
        <w:ind w:left="0" w:leftChars="0" w:firstLine="0" w:firstLineChars="0"/>
        <w:jc w:val="both"/>
        <w:rPr>
          <w:rFonts w:hint="eastAsia" w:ascii="宋体" w:hAnsi="宋体" w:eastAsia="宋体" w:cs="宋体"/>
          <w:color w:val="auto"/>
          <w:highlight w:val="none"/>
          <w:lang w:val="en-US" w:eastAsia="zh-CN"/>
        </w:rPr>
      </w:pPr>
      <w:r>
        <w:rPr>
          <w:rFonts w:hint="eastAsia" w:ascii="宋体" w:hAnsi="宋体" w:eastAsia="宋体" w:cs="宋体"/>
          <w:color w:val="auto"/>
          <w:kern w:val="2"/>
          <w:sz w:val="21"/>
          <w:szCs w:val="24"/>
          <w:highlight w:val="none"/>
          <w:lang w:val="en-US" w:eastAsia="zh-CN" w:bidi="ar-SA"/>
        </w:rPr>
        <w:t>16.</w:t>
      </w:r>
      <w:r>
        <w:rPr>
          <w:rFonts w:hint="eastAsia" w:ascii="宋体" w:hAnsi="宋体" w:eastAsia="宋体" w:cs="宋体"/>
          <w:color w:val="auto"/>
          <w:highlight w:val="none"/>
          <w:lang w:val="en-US" w:eastAsia="zh-CN"/>
        </w:rPr>
        <w:t>能够在空气中模拟球囊充放气工作状态，用于教学演示和维护保养。</w:t>
      </w:r>
    </w:p>
    <w:p w14:paraId="17D24BCA">
      <w:pPr>
        <w:widowControl w:val="0"/>
        <w:numPr>
          <w:ilvl w:val="0"/>
          <w:numId w:val="0"/>
        </w:numPr>
        <w:spacing w:line="360" w:lineRule="auto"/>
        <w:ind w:left="0" w:leftChars="0" w:firstLine="0" w:firstLineChars="0"/>
        <w:jc w:val="both"/>
        <w:rPr>
          <w:rFonts w:hint="eastAsia" w:ascii="宋体" w:hAnsi="宋体" w:eastAsia="宋体" w:cs="宋体"/>
          <w:color w:val="auto"/>
          <w:highlight w:val="none"/>
          <w:lang w:val="en-US" w:eastAsia="zh-CN"/>
        </w:rPr>
      </w:pPr>
      <w:r>
        <w:rPr>
          <w:rFonts w:hint="eastAsia" w:ascii="宋体" w:hAnsi="宋体" w:eastAsia="宋体" w:cs="宋体"/>
          <w:color w:val="auto"/>
          <w:kern w:val="2"/>
          <w:sz w:val="21"/>
          <w:szCs w:val="24"/>
          <w:highlight w:val="none"/>
          <w:lang w:val="en-US" w:eastAsia="zh-CN" w:bidi="ar-SA"/>
        </w:rPr>
        <w:t>17.</w:t>
      </w:r>
      <w:r>
        <w:rPr>
          <w:rFonts w:hint="eastAsia" w:ascii="宋体" w:hAnsi="宋体" w:eastAsia="宋体" w:cs="宋体"/>
          <w:color w:val="auto"/>
          <w:highlight w:val="none"/>
          <w:lang w:val="en-US" w:eastAsia="zh-CN"/>
        </w:rPr>
        <w:t>主机内置</w:t>
      </w:r>
      <w:r>
        <w:rPr>
          <w:rFonts w:hint="eastAsia" w:ascii="宋体" w:hAnsi="宋体" w:cs="宋体"/>
          <w:color w:val="auto"/>
          <w:highlight w:val="none"/>
          <w:lang w:val="en-US" w:eastAsia="zh-CN"/>
        </w:rPr>
        <w:t>氦气</w:t>
      </w:r>
      <w:r>
        <w:rPr>
          <w:rFonts w:hint="eastAsia" w:ascii="宋体" w:hAnsi="宋体" w:eastAsia="宋体" w:cs="宋体"/>
          <w:color w:val="auto"/>
          <w:highlight w:val="none"/>
          <w:lang w:val="en-US" w:eastAsia="zh-CN"/>
        </w:rPr>
        <w:t>瓶，无需额外配备，配备</w:t>
      </w:r>
      <w:r>
        <w:rPr>
          <w:rFonts w:hint="eastAsia" w:ascii="宋体" w:hAnsi="宋体" w:cs="宋体"/>
          <w:color w:val="auto"/>
          <w:highlight w:val="none"/>
          <w:lang w:val="en-US" w:eastAsia="zh-CN"/>
        </w:rPr>
        <w:t>氦气</w:t>
      </w:r>
      <w:r>
        <w:rPr>
          <w:rFonts w:hint="eastAsia" w:ascii="宋体" w:hAnsi="宋体" w:eastAsia="宋体" w:cs="宋体"/>
          <w:color w:val="auto"/>
          <w:highlight w:val="none"/>
          <w:lang w:val="en-US" w:eastAsia="zh-CN"/>
        </w:rPr>
        <w:t>瓶为可再充式气瓶。</w:t>
      </w:r>
    </w:p>
    <w:p w14:paraId="387B6925">
      <w:pPr>
        <w:widowControl w:val="0"/>
        <w:numPr>
          <w:ilvl w:val="0"/>
          <w:numId w:val="0"/>
        </w:numPr>
        <w:spacing w:line="360" w:lineRule="auto"/>
        <w:jc w:val="both"/>
        <w:rPr>
          <w:rFonts w:hint="eastAsia" w:ascii="宋体" w:hAnsi="宋体" w:eastAsia="宋体" w:cs="宋体"/>
          <w:color w:val="auto"/>
          <w:highlight w:val="none"/>
          <w:lang w:val="en-US" w:eastAsia="zh-CN"/>
        </w:rPr>
        <w:sectPr>
          <w:pgSz w:w="11905" w:h="16838"/>
          <w:pgMar w:top="1440" w:right="1587" w:bottom="1440" w:left="1587" w:header="1020" w:footer="567" w:gutter="0"/>
          <w:pgNumType w:fmt="decimal"/>
          <w:cols w:space="0" w:num="1"/>
          <w:docGrid w:type="lines" w:linePitch="323" w:charSpace="0"/>
        </w:sectPr>
      </w:pPr>
      <w:r>
        <w:rPr>
          <w:rFonts w:hint="eastAsia" w:ascii="宋体" w:hAnsi="宋体" w:eastAsia="宋体" w:cs="宋体"/>
          <w:color w:val="auto"/>
          <w:highlight w:val="none"/>
          <w:lang w:val="en-US" w:eastAsia="zh-CN"/>
        </w:rPr>
        <w:t>18.</w:t>
      </w:r>
      <w:r>
        <w:rPr>
          <w:rFonts w:hint="eastAsia" w:ascii="宋体" w:hAnsi="宋体" w:eastAsia="宋体" w:cs="宋体"/>
          <w:color w:val="auto"/>
          <w:szCs w:val="21"/>
          <w:highlight w:val="none"/>
        </w:rPr>
        <w:t>▲</w:t>
      </w:r>
      <w:r>
        <w:rPr>
          <w:rFonts w:hint="eastAsia" w:ascii="宋体" w:hAnsi="宋体" w:eastAsia="宋体" w:cs="宋体"/>
          <w:color w:val="auto"/>
          <w:highlight w:val="none"/>
          <w:lang w:val="en-US" w:eastAsia="zh-CN"/>
        </w:rPr>
        <w:t>产品使用年限不少于</w:t>
      </w:r>
      <w:r>
        <w:rPr>
          <w:rFonts w:hint="eastAsia" w:ascii="宋体" w:hAnsi="宋体" w:cs="宋体"/>
          <w:color w:val="auto"/>
          <w:highlight w:val="none"/>
          <w:lang w:val="en-US" w:eastAsia="zh-CN"/>
        </w:rPr>
        <w:t>10</w:t>
      </w:r>
      <w:r>
        <w:rPr>
          <w:rFonts w:hint="eastAsia" w:ascii="宋体" w:hAnsi="宋体" w:eastAsia="宋体" w:cs="宋体"/>
          <w:color w:val="auto"/>
          <w:highlight w:val="none"/>
          <w:lang w:val="en-US" w:eastAsia="zh-CN"/>
        </w:rPr>
        <w:t>年</w:t>
      </w:r>
      <w:r>
        <w:rPr>
          <w:rFonts w:hint="eastAsia" w:ascii="宋体" w:hAnsi="宋体" w:cs="宋体"/>
          <w:color w:val="auto"/>
          <w:highlight w:val="none"/>
          <w:lang w:val="en-US" w:eastAsia="zh-CN"/>
        </w:rPr>
        <w:t>，提供设备铭牌作为证明材料</w:t>
      </w:r>
      <w:r>
        <w:rPr>
          <w:rFonts w:hint="eastAsia" w:ascii="宋体" w:hAnsi="宋体" w:eastAsia="宋体" w:cs="宋体"/>
          <w:color w:val="auto"/>
          <w:highlight w:val="none"/>
          <w:lang w:val="en-US" w:eastAsia="zh-CN"/>
        </w:rPr>
        <w:t>。</w:t>
      </w:r>
    </w:p>
    <w:p w14:paraId="57508DA9">
      <w:pPr>
        <w:pStyle w:val="3"/>
        <w:pageBreakBefore w:val="0"/>
        <w:widowControl w:val="0"/>
        <w:numPr>
          <w:ilvl w:val="0"/>
          <w:numId w:val="0"/>
        </w:numPr>
        <w:kinsoku/>
        <w:wordWrap/>
        <w:overflowPunct/>
        <w:topLinePunct w:val="0"/>
        <w:autoSpaceDE/>
        <w:autoSpaceDN/>
        <w:bidi w:val="0"/>
        <w:adjustRightInd w:val="0"/>
        <w:snapToGrid w:val="0"/>
        <w:spacing w:before="156" w:beforeLines="50" w:line="500" w:lineRule="exact"/>
        <w:jc w:val="both"/>
        <w:textAlignment w:val="auto"/>
        <w:rPr>
          <w:rFonts w:hint="eastAsia" w:ascii="黑体" w:hAnsi="黑体" w:eastAsia="黑体" w:cs="Times New Roman"/>
          <w:color w:val="auto"/>
          <w:sz w:val="28"/>
          <w:szCs w:val="28"/>
          <w:highlight w:val="none"/>
          <w:lang w:val="en-US" w:eastAsia="zh-CN"/>
        </w:rPr>
      </w:pPr>
      <w:bookmarkStart w:id="94" w:name="_Toc29094"/>
      <w:bookmarkStart w:id="95" w:name="_Toc8899"/>
      <w:r>
        <w:rPr>
          <w:rFonts w:hint="eastAsia" w:ascii="黑体" w:hAnsi="黑体" w:eastAsia="黑体" w:cs="Times New Roman"/>
          <w:color w:val="auto"/>
          <w:sz w:val="28"/>
          <w:szCs w:val="28"/>
          <w:highlight w:val="none"/>
          <w:lang w:val="en-US" w:eastAsia="zh-CN"/>
        </w:rPr>
        <w:t>三、腹腔镜</w:t>
      </w:r>
      <w:bookmarkEnd w:id="94"/>
      <w:bookmarkEnd w:id="95"/>
    </w:p>
    <w:p w14:paraId="14482682">
      <w:pPr>
        <w:rPr>
          <w:rFonts w:hint="eastAsia"/>
          <w:color w:val="auto"/>
          <w:highlight w:val="none"/>
          <w:lang w:val="en-US" w:eastAsia="zh-CN"/>
        </w:rPr>
      </w:pPr>
    </w:p>
    <w:p w14:paraId="54F6A504">
      <w:pP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1</w:t>
      </w:r>
      <w:r>
        <w:rPr>
          <w:rFonts w:hint="eastAsia" w:ascii="宋体" w:hAnsi="宋体" w:eastAsia="宋体" w:cs="宋体"/>
          <w:b/>
          <w:bCs/>
          <w:color w:val="auto"/>
          <w:highlight w:val="none"/>
          <w:lang w:eastAsia="zh-CN"/>
        </w:rPr>
        <w:t>）</w:t>
      </w:r>
      <w:r>
        <w:rPr>
          <w:rFonts w:hint="eastAsia" w:ascii="宋体" w:hAnsi="宋体" w:eastAsia="宋体" w:cs="宋体"/>
          <w:b/>
          <w:bCs/>
          <w:color w:val="auto"/>
          <w:highlight w:val="none"/>
        </w:rPr>
        <w:t>图像处理主机2台</w:t>
      </w:r>
    </w:p>
    <w:p w14:paraId="1D0857AE">
      <w:pPr>
        <w:numPr>
          <w:ilvl w:val="0"/>
          <w:numId w:val="8"/>
        </w:numPr>
        <w:spacing w:line="360" w:lineRule="auto"/>
        <w:rPr>
          <w:rFonts w:hint="eastAsia" w:ascii="宋体" w:hAnsi="宋体" w:eastAsia="宋体" w:cs="宋体"/>
          <w:color w:val="auto"/>
          <w:highlight w:val="none"/>
        </w:rPr>
      </w:pPr>
      <w:r>
        <w:rPr>
          <w:rFonts w:hint="eastAsia" w:ascii="宋体" w:hAnsi="宋体" w:cs="宋体"/>
          <w:color w:val="auto"/>
          <w:highlight w:val="none"/>
          <w:lang w:eastAsia="zh-CN"/>
        </w:rPr>
        <w:t>具有</w:t>
      </w:r>
      <w:r>
        <w:rPr>
          <w:rFonts w:hint="eastAsia" w:ascii="宋体" w:hAnsi="宋体" w:eastAsia="宋体" w:cs="宋体"/>
          <w:color w:val="auto"/>
          <w:highlight w:val="none"/>
        </w:rPr>
        <w:t>4K、3D、荧光功能，能够输出3840*2160 和 4096*2160 超高清像素影像。支持16:9和17:9图像比例，逐行扫描，像素≥800万。</w:t>
      </w:r>
    </w:p>
    <w:p w14:paraId="3D41955B">
      <w:pPr>
        <w:numPr>
          <w:ilvl w:val="0"/>
          <w:numId w:val="8"/>
        </w:num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支持≥8种图像模式：白光、绿色荧光、彩色荧光、黑白荧光、白光主屏 -四分屏、绿色荧光 - 四分屏、黑白荧光 -四分屏、彩色荧光 - 四分屏。不同图像显示同一画面，实时动态同步观察识别对比判断病灶组织情况。</w:t>
      </w:r>
    </w:p>
    <w:p w14:paraId="0DECB322">
      <w:pPr>
        <w:numPr>
          <w:ilvl w:val="0"/>
          <w:numId w:val="8"/>
        </w:num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具有血管增强功能，有针对性地对黏膜层血管网进行深度透视，便于区分异形血管，辅助临床诊断。</w:t>
      </w:r>
    </w:p>
    <w:p w14:paraId="7B7B4F8A">
      <w:pPr>
        <w:numPr>
          <w:ilvl w:val="0"/>
          <w:numId w:val="8"/>
        </w:num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预期用途：预期与医用内窥镜、荧光造影剂吲哚菁绿（ICG）配合使用，适用于在微创内窥镜手术中提供实时的可见光影像及近红外荧光影像。</w:t>
      </w:r>
    </w:p>
    <w:p w14:paraId="2228EDA5">
      <w:pPr>
        <w:numPr>
          <w:ilvl w:val="0"/>
          <w:numId w:val="8"/>
        </w:num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具有细节增强、颜色增强、亮度均匀、去雾优化等多种智能图像算法。</w:t>
      </w:r>
    </w:p>
    <w:p w14:paraId="53B9E82A">
      <w:pPr>
        <w:numPr>
          <w:ilvl w:val="0"/>
          <w:numId w:val="8"/>
        </w:num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采用触摸屏设计，屏幕尺寸≥7英寸，可在触摸屏上进行功能设置和常用参数显示。</w:t>
      </w:r>
    </w:p>
    <w:p w14:paraId="198E9106">
      <w:pPr>
        <w:numPr>
          <w:ilvl w:val="0"/>
          <w:numId w:val="8"/>
        </w:num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屏幕具备防误触功能，主机屏幕长时间不使用自动锁定，需滑动解锁才能触摸控制。</w:t>
      </w:r>
    </w:p>
    <w:p w14:paraId="4C34C80F">
      <w:pPr>
        <w:numPr>
          <w:ilvl w:val="0"/>
          <w:numId w:val="8"/>
        </w:num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具有荧光亮度调节功能，便于临床在不同荧光应用场景中做个性化处理。</w:t>
      </w:r>
    </w:p>
    <w:p w14:paraId="3E725B50">
      <w:pPr>
        <w:numPr>
          <w:ilvl w:val="0"/>
          <w:numId w:val="8"/>
        </w:num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内置4K刻录功能，可进行静态和动态图像采集，并通过USB端口进行录像和图片输出。</w:t>
      </w:r>
    </w:p>
    <w:p w14:paraId="6A3D1056">
      <w:pPr>
        <w:numPr>
          <w:ilvl w:val="0"/>
          <w:numId w:val="8"/>
        </w:num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主机自带内置 USB3.0 接口刻录系统，USB 接口支持 U 盘、移动硬盘存储设备即插即用，录像储存有动画。并在触摸屏上显示移动设备状态和可录制时间。</w:t>
      </w:r>
    </w:p>
    <w:p w14:paraId="25BCF1F2">
      <w:pPr>
        <w:numPr>
          <w:ilvl w:val="0"/>
          <w:numId w:val="8"/>
        </w:num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前面板具备≥2个USB 接口均可录制，当其中一个 USB 设备存满后会自动切换到另一个USB设备进行存储。</w:t>
      </w:r>
    </w:p>
    <w:p w14:paraId="2C55A59D">
      <w:pPr>
        <w:numPr>
          <w:ilvl w:val="0"/>
          <w:numId w:val="8"/>
        </w:num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▲具有≥4种录像格式选择，录像文件大小可选，储存文件更自由。其中最大录像码率≥120Mbps，提供说明书或检测报告证明。</w:t>
      </w:r>
    </w:p>
    <w:p w14:paraId="783D29C8">
      <w:pPr>
        <w:numPr>
          <w:ilvl w:val="0"/>
          <w:numId w:val="8"/>
        </w:num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录像文件支持exFAT、 FAT32、 NTFS文件格式。</w:t>
      </w:r>
    </w:p>
    <w:p w14:paraId="600D0292">
      <w:pPr>
        <w:numPr>
          <w:ilvl w:val="0"/>
          <w:numId w:val="8"/>
        </w:numPr>
        <w:spacing w:line="360" w:lineRule="auto"/>
        <w:rPr>
          <w:rFonts w:hint="eastAsia" w:ascii="宋体" w:hAnsi="宋体" w:eastAsia="宋体" w:cs="宋体"/>
          <w:color w:val="auto"/>
          <w:highlight w:val="none"/>
        </w:rPr>
      </w:pPr>
      <w:r>
        <w:rPr>
          <w:rFonts w:hint="eastAsia" w:ascii="宋体" w:hAnsi="宋体" w:cs="宋体"/>
          <w:color w:val="auto"/>
          <w:highlight w:val="none"/>
          <w:lang w:eastAsia="zh-CN"/>
        </w:rPr>
        <w:t>须</w:t>
      </w:r>
      <w:r>
        <w:rPr>
          <w:rFonts w:hint="eastAsia" w:ascii="宋体" w:hAnsi="宋体" w:eastAsia="宋体" w:cs="宋体"/>
          <w:color w:val="auto"/>
          <w:highlight w:val="none"/>
        </w:rPr>
        <w:t>具有U盘设置功能，支持格式化功能</w:t>
      </w:r>
    </w:p>
    <w:p w14:paraId="17AF8245">
      <w:pPr>
        <w:numPr>
          <w:ilvl w:val="0"/>
          <w:numId w:val="8"/>
        </w:num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▲信号接口数量：HDMI输出≥2、HDMI输入≥1、DVI输出≥1、12G SDI输出≥1。</w:t>
      </w:r>
    </w:p>
    <w:p w14:paraId="3E886A2D">
      <w:pPr>
        <w:numPr>
          <w:ilvl w:val="0"/>
          <w:numId w:val="8"/>
        </w:numPr>
        <w:spacing w:line="360" w:lineRule="auto"/>
        <w:rPr>
          <w:rFonts w:hint="eastAsia" w:ascii="宋体" w:hAnsi="宋体" w:eastAsia="宋体" w:cs="宋体"/>
          <w:color w:val="auto"/>
          <w:highlight w:val="none"/>
        </w:rPr>
      </w:pPr>
      <w:bookmarkStart w:id="96" w:name="_Hlk162039697"/>
      <w:bookmarkEnd w:id="96"/>
      <w:r>
        <w:rPr>
          <w:rFonts w:hint="eastAsia" w:ascii="宋体" w:hAnsi="宋体" w:eastAsia="宋体" w:cs="宋体"/>
          <w:color w:val="auto"/>
          <w:highlight w:val="none"/>
        </w:rPr>
        <w:t>具有自动对焦功能，可短按摄像头实现一键自动对焦。</w:t>
      </w:r>
    </w:p>
    <w:p w14:paraId="1B0A1316">
      <w:pPr>
        <w:numPr>
          <w:ilvl w:val="0"/>
          <w:numId w:val="8"/>
        </w:num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具有用户配置功能，医生可自定义≥5种喜好的参数保存，并直接调用自定义模式。</w:t>
      </w:r>
    </w:p>
    <w:p w14:paraId="742BFF1C">
      <w:pPr>
        <w:numPr>
          <w:ilvl w:val="0"/>
          <w:numId w:val="8"/>
        </w:num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具有去网格功能，便于连接纤维镜使用。</w:t>
      </w:r>
    </w:p>
    <w:p w14:paraId="1895BD30">
      <w:pPr>
        <w:numPr>
          <w:ilvl w:val="0"/>
          <w:numId w:val="8"/>
        </w:num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主机具备输入信号接口，可输入超声图像，传输至显示器同屏显示超声和腹腔镜画面。</w:t>
      </w:r>
    </w:p>
    <w:p w14:paraId="3D13E930">
      <w:pPr>
        <w:numPr>
          <w:ilvl w:val="0"/>
          <w:numId w:val="8"/>
        </w:num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图像处理主机使用寿命≥10年。</w:t>
      </w:r>
    </w:p>
    <w:p w14:paraId="06ACE692">
      <w:pPr>
        <w:numPr>
          <w:ilvl w:val="0"/>
          <w:numId w:val="8"/>
        </w:num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具有画幅自适应调控功能开关，开启后腹腔镜图像能够自动全屏显示。</w:t>
      </w:r>
      <w:bookmarkStart w:id="97" w:name="_Hlk162037186"/>
      <w:bookmarkEnd w:id="97"/>
    </w:p>
    <w:p w14:paraId="005F30E6">
      <w:pPr>
        <w:numPr>
          <w:ilvl w:val="0"/>
          <w:numId w:val="8"/>
        </w:num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具备自动场景识别功能，无需手动切换各种科室模式，一种模式适用于所有科室，提供说明书或检测报告证明。</w:t>
      </w:r>
    </w:p>
    <w:p w14:paraId="6FC2EB6E">
      <w:pPr>
        <w:numPr>
          <w:ilvl w:val="0"/>
          <w:numId w:val="8"/>
        </w:num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▲具有病人信息管理功能，病人信息管理功能设置有密码保护，防止数据泄露，可录入≥50条病人信息，提供说明书或检测报告证明。</w:t>
      </w:r>
    </w:p>
    <w:p w14:paraId="076DAF3B">
      <w:pPr>
        <w:numPr>
          <w:ilvl w:val="0"/>
          <w:numId w:val="8"/>
        </w:num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具备将监护仪中心静脉压CVP数值在腔镜屏幕中实时显示功能（仅显示数值，非画中画投屏），提供操作说明书或产品实物证明。</w:t>
      </w:r>
    </w:p>
    <w:p w14:paraId="3F7E22E7">
      <w:pPr>
        <w:numPr>
          <w:ilvl w:val="0"/>
          <w:numId w:val="8"/>
        </w:num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▲可搭配选择≥5种非电子摄像头，≥2种电子内窥镜，其中必须包含重量＜120g的摄像头，提供说明书或检测报告证明。</w:t>
      </w:r>
    </w:p>
    <w:p w14:paraId="506369C3">
      <w:pPr>
        <w:numPr>
          <w:ilvl w:val="0"/>
          <w:numId w:val="8"/>
        </w:num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▲可兼容≥3种一次性内窥镜，提供说明书或检测报告证明。</w:t>
      </w:r>
    </w:p>
    <w:p w14:paraId="5FDDB335">
      <w:pPr>
        <w:numPr>
          <w:ilvl w:val="0"/>
          <w:numId w:val="8"/>
        </w:num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▲可兼容3D腹腔镜镜头</w:t>
      </w:r>
    </w:p>
    <w:p w14:paraId="58E122C5">
      <w:pPr>
        <w:spacing w:line="360" w:lineRule="auto"/>
        <w:rPr>
          <w:rFonts w:hint="eastAsia" w:ascii="宋体" w:hAnsi="宋体" w:eastAsia="宋体" w:cs="宋体"/>
          <w:color w:val="auto"/>
          <w:highlight w:val="none"/>
        </w:rPr>
      </w:pPr>
    </w:p>
    <w:p w14:paraId="6B11ADBC">
      <w:pP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2）</w:t>
      </w:r>
      <w:r>
        <w:rPr>
          <w:rFonts w:hint="eastAsia" w:ascii="宋体" w:hAnsi="宋体" w:eastAsia="宋体" w:cs="宋体"/>
          <w:b/>
          <w:bCs/>
          <w:color w:val="auto"/>
          <w:highlight w:val="none"/>
        </w:rPr>
        <w:t>内窥镜摄像头2个</w:t>
      </w:r>
    </w:p>
    <w:p w14:paraId="0EB4F213">
      <w:pPr>
        <w:numPr>
          <w:ilvl w:val="0"/>
          <w:numId w:val="9"/>
        </w:num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摄像头防电击程度分类CF 级别I 类</w:t>
      </w:r>
    </w:p>
    <w:p w14:paraId="12DC323A">
      <w:pPr>
        <w:numPr>
          <w:ilvl w:val="0"/>
          <w:numId w:val="9"/>
        </w:num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▲具备防除颤功能，除颤恢复时间≤1s，提供说明书或检测报告证明。</w:t>
      </w:r>
    </w:p>
    <w:p w14:paraId="60E46FDC">
      <w:pPr>
        <w:numPr>
          <w:ilvl w:val="0"/>
          <w:numId w:val="9"/>
        </w:num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荧光摄像头重量≤ 260g。 </w:t>
      </w:r>
    </w:p>
    <w:p w14:paraId="788A9AB3">
      <w:pPr>
        <w:numPr>
          <w:ilvl w:val="0"/>
          <w:numId w:val="9"/>
        </w:num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摄像头防护等级：≥IPX7。</w:t>
      </w:r>
    </w:p>
    <w:p w14:paraId="1549AB72">
      <w:pPr>
        <w:numPr>
          <w:ilvl w:val="0"/>
          <w:numId w:val="9"/>
        </w:num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内置CMOS尺寸≥1/1.8英寸。</w:t>
      </w:r>
    </w:p>
    <w:p w14:paraId="2A227E49">
      <w:pPr>
        <w:numPr>
          <w:ilvl w:val="0"/>
          <w:numId w:val="9"/>
        </w:num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内置CMOS数量≥2，分别针对白光和荧光成像。</w:t>
      </w:r>
    </w:p>
    <w:p w14:paraId="302D0D4D">
      <w:pPr>
        <w:numPr>
          <w:ilvl w:val="0"/>
          <w:numId w:val="9"/>
        </w:num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仅需1个CMOS即可实现原生4K白光成像，无需多组CMOS芯片合成。</w:t>
      </w:r>
    </w:p>
    <w:p w14:paraId="0631A64A">
      <w:pPr>
        <w:numPr>
          <w:ilvl w:val="0"/>
          <w:numId w:val="9"/>
        </w:num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摄像头可耐受高温高压、环氧乙烷灭菌和低温等离子灭菌方式。</w:t>
      </w:r>
    </w:p>
    <w:p w14:paraId="13713953">
      <w:pPr>
        <w:numPr>
          <w:ilvl w:val="0"/>
          <w:numId w:val="9"/>
        </w:num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摄像头具有≥4功能键，支持≥3个按键的功能可自定义。能支持≥6个自定义功能，有≥20种可定义功能。可进行白平衡、拍照、录像、切换图像模式等功能设置。</w:t>
      </w:r>
    </w:p>
    <w:p w14:paraId="7C4A21A7">
      <w:pPr>
        <w:numPr>
          <w:ilvl w:val="0"/>
          <w:numId w:val="9"/>
        </w:num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摄像头可连接目镜杯卡口为32mm直径的各类光学视管。</w:t>
      </w:r>
    </w:p>
    <w:p w14:paraId="6422046F">
      <w:pPr>
        <w:numPr>
          <w:ilvl w:val="0"/>
          <w:numId w:val="9"/>
        </w:num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具有摄像头按键开启冷光源并调节亮度的功能。</w:t>
      </w:r>
    </w:p>
    <w:p w14:paraId="7FA1EC66">
      <w:pPr>
        <w:numPr>
          <w:ilvl w:val="0"/>
          <w:numId w:val="9"/>
        </w:num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具有计时器功能，开启后在显示器上显示计时信息。可设置摄像头按键控制计时开始、停止和复位。</w:t>
      </w:r>
    </w:p>
    <w:p w14:paraId="55CB5197">
      <w:pPr>
        <w:numPr>
          <w:ilvl w:val="0"/>
          <w:numId w:val="9"/>
        </w:num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具有≥3m、≥4.5m摄像头可选，便于长距离使用。</w:t>
      </w:r>
    </w:p>
    <w:p w14:paraId="5DB7A6C0">
      <w:pPr>
        <w:numPr>
          <w:ilvl w:val="0"/>
          <w:numId w:val="9"/>
        </w:num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摄像头与光学适配器为一体化设计，不可拆卸，防止灰尘进入。</w:t>
      </w:r>
    </w:p>
    <w:p w14:paraId="3C53481E">
      <w:pPr>
        <w:numPr>
          <w:ilvl w:val="0"/>
          <w:numId w:val="9"/>
        </w:num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▲可通过摄像头按键对气腹机进行控制，实现供气交互，在监视器上显示排烟、供气的状态显示（仅显示数值，非画中画投屏），提供说明书或产品实物照片证明。</w:t>
      </w:r>
    </w:p>
    <w:p w14:paraId="05538C4C">
      <w:pPr>
        <w:spacing w:line="360" w:lineRule="auto"/>
        <w:rPr>
          <w:rFonts w:hint="eastAsia" w:ascii="宋体" w:hAnsi="宋体" w:eastAsia="宋体" w:cs="宋体"/>
          <w:color w:val="auto"/>
          <w:highlight w:val="none"/>
        </w:rPr>
      </w:pPr>
    </w:p>
    <w:p w14:paraId="661877D4">
      <w:pP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3）</w:t>
      </w:r>
      <w:r>
        <w:rPr>
          <w:rFonts w:hint="eastAsia" w:ascii="宋体" w:hAnsi="宋体" w:eastAsia="宋体" w:cs="宋体"/>
          <w:b/>
          <w:bCs/>
          <w:color w:val="auto"/>
          <w:highlight w:val="none"/>
        </w:rPr>
        <w:t>冷光源2台</w:t>
      </w:r>
    </w:p>
    <w:p w14:paraId="1DC71EC0">
      <w:pPr>
        <w:numPr>
          <w:ilvl w:val="0"/>
          <w:numId w:val="10"/>
        </w:num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支持同时输出近红外激光和白光，且激光为3R级医用激光光源。</w:t>
      </w:r>
    </w:p>
    <w:p w14:paraId="032DF3BA">
      <w:pPr>
        <w:numPr>
          <w:ilvl w:val="0"/>
          <w:numId w:val="10"/>
        </w:num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采用触摸屏设计，屏幕尺寸≥7英寸，可在触摸屏上进行LED光源的常用参数调整。</w:t>
      </w:r>
    </w:p>
    <w:p w14:paraId="565334E4">
      <w:pPr>
        <w:numPr>
          <w:ilvl w:val="0"/>
          <w:numId w:val="10"/>
        </w:num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具备防误触功能，主机屏幕长时间不使用自动锁定，需滑动解锁才能触摸控制。</w:t>
      </w:r>
    </w:p>
    <w:p w14:paraId="2009D683">
      <w:pPr>
        <w:numPr>
          <w:ilvl w:val="0"/>
          <w:numId w:val="10"/>
        </w:numPr>
        <w:spacing w:line="360" w:lineRule="auto"/>
        <w:rPr>
          <w:rFonts w:hint="eastAsia" w:ascii="宋体" w:hAnsi="宋体" w:eastAsia="宋体" w:cs="宋体"/>
          <w:color w:val="auto"/>
          <w:highlight w:val="none"/>
        </w:rPr>
      </w:pPr>
      <w:bookmarkStart w:id="98" w:name="_Hlk162038972"/>
      <w:bookmarkEnd w:id="98"/>
      <w:r>
        <w:rPr>
          <w:rFonts w:hint="eastAsia" w:ascii="宋体" w:hAnsi="宋体" w:eastAsia="宋体" w:cs="宋体"/>
          <w:color w:val="auto"/>
          <w:highlight w:val="none"/>
        </w:rPr>
        <w:t>设备类型：Ⅰ类CF型，可应用于心脏手术</w:t>
      </w:r>
    </w:p>
    <w:p w14:paraId="285DE46C">
      <w:pPr>
        <w:numPr>
          <w:ilvl w:val="0"/>
          <w:numId w:val="10"/>
        </w:num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▲具备防除颤功能，具有对除颤放电效应防护的应用部分，提供说明书或检测报告证明。</w:t>
      </w:r>
    </w:p>
    <w:p w14:paraId="73F01748">
      <w:pPr>
        <w:numPr>
          <w:ilvl w:val="0"/>
          <w:numId w:val="10"/>
        </w:num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冷光源300nm-1700nm波长范围内的辐射通量和光通量比值≤6mW/lm。</w:t>
      </w:r>
    </w:p>
    <w:p w14:paraId="40CD9C59">
      <w:pPr>
        <w:numPr>
          <w:ilvl w:val="0"/>
          <w:numId w:val="10"/>
        </w:num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白光冷光源的输出总光通量应≥2000lm，确保大量出血后仍然能够保证高亮度。</w:t>
      </w:r>
    </w:p>
    <w:p w14:paraId="506A6D70">
      <w:pPr>
        <w:numPr>
          <w:ilvl w:val="0"/>
          <w:numId w:val="10"/>
        </w:num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LED灯泡工作寿命≥58000小时，节约医院后续维护成本。</w:t>
      </w:r>
    </w:p>
    <w:p w14:paraId="74213933">
      <w:pPr>
        <w:numPr>
          <w:ilvl w:val="0"/>
          <w:numId w:val="10"/>
        </w:num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光输出最大中心照度≥ 3000000Lux,确保照明充足。</w:t>
      </w:r>
    </w:p>
    <w:p w14:paraId="369DE47C">
      <w:pPr>
        <w:numPr>
          <w:ilvl w:val="0"/>
          <w:numId w:val="10"/>
        </w:num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具有主机光源联动功能，可根据当前手术视野的情况自动调节互联光源亮度，以保证手术视野清晰，光源亮度均衡。</w:t>
      </w:r>
    </w:p>
    <w:p w14:paraId="369FA7DA">
      <w:pPr>
        <w:numPr>
          <w:ilvl w:val="0"/>
          <w:numId w:val="10"/>
        </w:num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可进行多级亮度调节，满足不同临床手术的亮度要求；</w:t>
      </w:r>
    </w:p>
    <w:p w14:paraId="65E3672D">
      <w:pPr>
        <w:numPr>
          <w:ilvl w:val="0"/>
          <w:numId w:val="10"/>
        </w:num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冷光源在正常运行时产生的最大</w:t>
      </w:r>
      <w:r>
        <w:rPr>
          <w:rFonts w:hint="eastAsia" w:ascii="宋体" w:hAnsi="宋体" w:cs="宋体"/>
          <w:color w:val="auto"/>
          <w:highlight w:val="none"/>
          <w:lang w:eastAsia="zh-CN"/>
        </w:rPr>
        <w:t>噪声</w:t>
      </w:r>
      <w:r>
        <w:rPr>
          <w:rFonts w:hint="eastAsia" w:ascii="宋体" w:hAnsi="宋体" w:eastAsia="宋体" w:cs="宋体"/>
          <w:color w:val="auto"/>
          <w:highlight w:val="none"/>
        </w:rPr>
        <w:t>噪音≤55dB（A），能保证在手术室安静运行，不影响手术室环境。</w:t>
      </w:r>
    </w:p>
    <w:p w14:paraId="0516B6D6">
      <w:pPr>
        <w:numPr>
          <w:ilvl w:val="0"/>
          <w:numId w:val="10"/>
        </w:num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具有一键待机功能，以便手术过程中短时关闭光源，无需频繁开关机，提高光源寿命。</w:t>
      </w:r>
    </w:p>
    <w:p w14:paraId="584371D2">
      <w:pPr>
        <w:numPr>
          <w:ilvl w:val="0"/>
          <w:numId w:val="10"/>
        </w:num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具有高温报警、灯泡寿命警示功能。</w:t>
      </w:r>
    </w:p>
    <w:p w14:paraId="403204FA">
      <w:pPr>
        <w:numPr>
          <w:ilvl w:val="0"/>
          <w:numId w:val="10"/>
        </w:num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冷光源使用寿命≥10年。</w:t>
      </w:r>
    </w:p>
    <w:p w14:paraId="1B965AD7">
      <w:pPr>
        <w:numPr>
          <w:ilvl w:val="0"/>
          <w:numId w:val="10"/>
        </w:num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在白光照明下，显色指数≥90。</w:t>
      </w:r>
    </w:p>
    <w:p w14:paraId="11FD344D">
      <w:pPr>
        <w:numPr>
          <w:ilvl w:val="0"/>
          <w:numId w:val="10"/>
        </w:num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配套导光束4根</w:t>
      </w:r>
    </w:p>
    <w:p w14:paraId="3CC3575D">
      <w:pPr>
        <w:spacing w:line="360" w:lineRule="auto"/>
        <w:rPr>
          <w:rFonts w:hint="eastAsia" w:ascii="宋体" w:hAnsi="宋体" w:eastAsia="宋体" w:cs="宋体"/>
          <w:color w:val="auto"/>
          <w:highlight w:val="none"/>
        </w:rPr>
      </w:pPr>
    </w:p>
    <w:p w14:paraId="7E94D658">
      <w:pP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4）</w:t>
      </w:r>
      <w:r>
        <w:rPr>
          <w:rFonts w:hint="eastAsia" w:ascii="宋体" w:hAnsi="宋体" w:eastAsia="宋体" w:cs="宋体"/>
          <w:b/>
          <w:bCs/>
          <w:color w:val="auto"/>
          <w:highlight w:val="none"/>
        </w:rPr>
        <w:t>荧光胸腹腔内窥镜</w:t>
      </w:r>
      <w:r>
        <w:rPr>
          <w:rFonts w:hint="eastAsia" w:ascii="宋体" w:hAnsi="宋体" w:eastAsia="宋体" w:cs="宋体"/>
          <w:b/>
          <w:bCs/>
          <w:color w:val="auto"/>
          <w:highlight w:val="none"/>
          <w:lang w:val="en-US" w:eastAsia="zh-CN"/>
        </w:rPr>
        <w:t>4</w:t>
      </w:r>
      <w:r>
        <w:rPr>
          <w:rFonts w:hint="eastAsia" w:ascii="宋体" w:hAnsi="宋体" w:eastAsia="宋体" w:cs="宋体"/>
          <w:b/>
          <w:bCs/>
          <w:color w:val="auto"/>
          <w:highlight w:val="none"/>
        </w:rPr>
        <w:t>根</w:t>
      </w:r>
    </w:p>
    <w:p w14:paraId="3CE8229E">
      <w:pPr>
        <w:numPr>
          <w:ilvl w:val="0"/>
          <w:numId w:val="11"/>
        </w:num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支持高温高压、</w:t>
      </w:r>
      <w:r>
        <w:rPr>
          <w:rFonts w:hint="eastAsia" w:ascii="宋体" w:hAnsi="宋体" w:cs="宋体"/>
          <w:color w:val="auto"/>
          <w:highlight w:val="none"/>
          <w:lang w:val="en-US" w:eastAsia="zh-CN"/>
        </w:rPr>
        <w:t>低</w:t>
      </w:r>
      <w:r>
        <w:rPr>
          <w:rFonts w:hint="eastAsia" w:ascii="宋体" w:hAnsi="宋体" w:eastAsia="宋体" w:cs="宋体"/>
          <w:color w:val="auto"/>
          <w:highlight w:val="none"/>
        </w:rPr>
        <w:t>温等离子等消毒灭菌方式。</w:t>
      </w:r>
    </w:p>
    <w:p w14:paraId="4E789848">
      <w:pPr>
        <w:numPr>
          <w:ilvl w:val="0"/>
          <w:numId w:val="11"/>
        </w:numPr>
        <w:spacing w:line="360" w:lineRule="auto"/>
        <w:rPr>
          <w:rFonts w:hint="eastAsia" w:ascii="宋体" w:hAnsi="宋体" w:eastAsia="宋体" w:cs="宋体"/>
          <w:color w:val="auto"/>
          <w:highlight w:val="none"/>
        </w:rPr>
      </w:pPr>
      <w:bookmarkStart w:id="99" w:name="_Hlk164801795"/>
      <w:bookmarkEnd w:id="99"/>
      <w:r>
        <w:rPr>
          <w:rFonts w:hint="eastAsia" w:ascii="宋体" w:hAnsi="宋体" w:eastAsia="宋体" w:cs="宋体"/>
          <w:color w:val="auto"/>
          <w:highlight w:val="none"/>
        </w:rPr>
        <w:t>与摄像主机为同一品牌，以确保成像链的匹配程度高。</w:t>
      </w:r>
    </w:p>
    <w:p w14:paraId="741045A4">
      <w:pPr>
        <w:numPr>
          <w:ilvl w:val="0"/>
          <w:numId w:val="11"/>
        </w:num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直径≥10mm、≤6mm可选。</w:t>
      </w:r>
    </w:p>
    <w:p w14:paraId="44CEA4EE">
      <w:pPr>
        <w:numPr>
          <w:ilvl w:val="0"/>
          <w:numId w:val="11"/>
        </w:num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30度视野方向，视野角度≥80°。</w:t>
      </w:r>
    </w:p>
    <w:p w14:paraId="5D2FF366">
      <w:pPr>
        <w:numPr>
          <w:ilvl w:val="0"/>
          <w:numId w:val="11"/>
        </w:num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工作长度≥320mm、≥450mm可选。 </w:t>
      </w:r>
    </w:p>
    <w:p w14:paraId="347F24A0">
      <w:pPr>
        <w:numPr>
          <w:ilvl w:val="0"/>
          <w:numId w:val="11"/>
        </w:num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视场中心角分辨率≥7.0C/(°)。</w:t>
      </w:r>
    </w:p>
    <w:p w14:paraId="721FAC12">
      <w:pPr>
        <w:numPr>
          <w:ilvl w:val="0"/>
          <w:numId w:val="11"/>
        </w:num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大景深光学视管，有效景深3mm-200mm。</w:t>
      </w:r>
    </w:p>
    <w:p w14:paraId="2D8E21EC">
      <w:pPr>
        <w:numPr>
          <w:ilvl w:val="0"/>
          <w:numId w:val="11"/>
        </w:num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镜头前</w:t>
      </w:r>
      <w:r>
        <w:rPr>
          <w:rFonts w:hint="eastAsia" w:ascii="宋体" w:hAnsi="宋体" w:cs="宋体"/>
          <w:color w:val="auto"/>
          <w:highlight w:val="none"/>
          <w:lang w:val="en-US" w:eastAsia="zh-CN"/>
        </w:rPr>
        <w:t>端</w:t>
      </w:r>
      <w:r>
        <w:rPr>
          <w:rFonts w:hint="eastAsia" w:ascii="宋体" w:hAnsi="宋体" w:eastAsia="宋体" w:cs="宋体"/>
          <w:color w:val="auto"/>
          <w:highlight w:val="none"/>
        </w:rPr>
        <w:t>具备防雾涂层，防止术中起雾。</w:t>
      </w:r>
    </w:p>
    <w:p w14:paraId="2F84AB73">
      <w:pPr>
        <w:numPr>
          <w:ilvl w:val="0"/>
          <w:numId w:val="11"/>
        </w:num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▲配套同品牌腹腔镜下抓钳1把，提供注册证证明。</w:t>
      </w:r>
    </w:p>
    <w:p w14:paraId="63161E9F">
      <w:pPr>
        <w:numPr>
          <w:ilvl w:val="0"/>
          <w:numId w:val="11"/>
        </w:num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配套消毒盒4个。</w:t>
      </w:r>
    </w:p>
    <w:p w14:paraId="0EF8C939">
      <w:pPr>
        <w:spacing w:line="360" w:lineRule="auto"/>
        <w:rPr>
          <w:rFonts w:hint="eastAsia" w:ascii="宋体" w:hAnsi="宋体" w:eastAsia="宋体" w:cs="宋体"/>
          <w:color w:val="auto"/>
          <w:highlight w:val="none"/>
        </w:rPr>
      </w:pPr>
    </w:p>
    <w:p w14:paraId="2B7E5348">
      <w:pP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lang w:val="en-US" w:eastAsia="zh-CN"/>
        </w:rPr>
        <w:t>5）</w:t>
      </w:r>
      <w:r>
        <w:rPr>
          <w:rFonts w:hint="eastAsia" w:ascii="宋体" w:hAnsi="宋体" w:eastAsia="宋体" w:cs="宋体"/>
          <w:b/>
          <w:color w:val="auto"/>
          <w:highlight w:val="none"/>
        </w:rPr>
        <w:t>3D电子镜</w:t>
      </w:r>
      <w:r>
        <w:rPr>
          <w:rFonts w:hint="eastAsia" w:ascii="宋体" w:hAnsi="宋体" w:eastAsia="宋体" w:cs="宋体"/>
          <w:b/>
          <w:color w:val="auto"/>
          <w:highlight w:val="none"/>
          <w:lang w:val="en-US" w:eastAsia="zh-CN"/>
        </w:rPr>
        <w:t>2</w:t>
      </w:r>
      <w:r>
        <w:rPr>
          <w:rFonts w:hint="eastAsia" w:ascii="宋体" w:hAnsi="宋体" w:eastAsia="宋体" w:cs="宋体"/>
          <w:b/>
          <w:color w:val="auto"/>
          <w:highlight w:val="none"/>
        </w:rPr>
        <w:t>根</w:t>
      </w:r>
    </w:p>
    <w:p w14:paraId="141BAF67">
      <w:pPr>
        <w:numPr>
          <w:ilvl w:val="0"/>
          <w:numId w:val="12"/>
        </w:numPr>
        <w:spacing w:line="360" w:lineRule="auto"/>
        <w:ind w:left="0" w:firstLine="0"/>
        <w:rPr>
          <w:rFonts w:hint="eastAsia" w:ascii="宋体" w:hAnsi="宋体" w:eastAsia="宋体" w:cs="宋体"/>
          <w:color w:val="auto"/>
          <w:highlight w:val="none"/>
        </w:rPr>
      </w:pPr>
      <w:r>
        <w:rPr>
          <w:rFonts w:hint="eastAsia" w:ascii="宋体" w:hAnsi="宋体" w:eastAsia="宋体" w:cs="宋体"/>
          <w:color w:val="auto"/>
          <w:highlight w:val="none"/>
        </w:rPr>
        <w:t>一体化电子镜，采用双路4K CMOS设计，支持 3840*2160 和4096*2160 像素超高清视频显示。</w:t>
      </w:r>
    </w:p>
    <w:p w14:paraId="7795A328">
      <w:pPr>
        <w:numPr>
          <w:ilvl w:val="0"/>
          <w:numId w:val="12"/>
        </w:numPr>
        <w:spacing w:line="360" w:lineRule="auto"/>
        <w:ind w:left="0" w:firstLine="0"/>
        <w:rPr>
          <w:rFonts w:hint="eastAsia" w:ascii="宋体" w:hAnsi="宋体" w:eastAsia="宋体" w:cs="宋体"/>
          <w:color w:val="auto"/>
          <w:highlight w:val="none"/>
        </w:rPr>
      </w:pPr>
      <w:r>
        <w:rPr>
          <w:rFonts w:hint="eastAsia" w:ascii="宋体" w:hAnsi="宋体" w:eastAsia="宋体" w:cs="宋体"/>
          <w:color w:val="auto"/>
          <w:highlight w:val="none"/>
        </w:rPr>
        <w:t>Ⅰ类CF型，极低漏电流控制，近心手术更安全。</w:t>
      </w:r>
    </w:p>
    <w:p w14:paraId="417C44CD">
      <w:pPr>
        <w:numPr>
          <w:ilvl w:val="0"/>
          <w:numId w:val="12"/>
        </w:numPr>
        <w:spacing w:line="360" w:lineRule="auto"/>
        <w:ind w:left="0" w:firstLine="0"/>
        <w:rPr>
          <w:rFonts w:hint="eastAsia" w:ascii="宋体" w:hAnsi="宋体" w:eastAsia="宋体" w:cs="宋体"/>
          <w:color w:val="auto"/>
          <w:highlight w:val="none"/>
        </w:rPr>
      </w:pPr>
      <w:r>
        <w:rPr>
          <w:rFonts w:hint="eastAsia" w:ascii="宋体" w:hAnsi="宋体" w:eastAsia="宋体" w:cs="宋体"/>
          <w:color w:val="auto"/>
          <w:highlight w:val="none"/>
        </w:rPr>
        <w:t>具有防除颤保护认证，可用于术中除颤场景下。</w:t>
      </w:r>
    </w:p>
    <w:p w14:paraId="6156848F">
      <w:pPr>
        <w:numPr>
          <w:ilvl w:val="0"/>
          <w:numId w:val="12"/>
        </w:numPr>
        <w:spacing w:line="360" w:lineRule="auto"/>
        <w:ind w:left="0" w:firstLine="0"/>
        <w:rPr>
          <w:rFonts w:hint="eastAsia" w:ascii="宋体" w:hAnsi="宋体" w:eastAsia="宋体" w:cs="宋体"/>
          <w:color w:val="auto"/>
          <w:highlight w:val="none"/>
        </w:rPr>
      </w:pPr>
      <w:r>
        <w:rPr>
          <w:rFonts w:hint="eastAsia" w:ascii="宋体" w:hAnsi="宋体" w:eastAsia="宋体" w:cs="宋体"/>
          <w:color w:val="auto"/>
          <w:highlight w:val="none"/>
        </w:rPr>
        <w:t>电子镜前端镜头+握持手柄整体重量≤420g，轻便易操作。</w:t>
      </w:r>
    </w:p>
    <w:p w14:paraId="1C0D5BA0">
      <w:pPr>
        <w:numPr>
          <w:ilvl w:val="0"/>
          <w:numId w:val="12"/>
        </w:numPr>
        <w:spacing w:line="360" w:lineRule="auto"/>
        <w:ind w:left="0" w:firstLine="0"/>
        <w:rPr>
          <w:rFonts w:hint="eastAsia" w:ascii="宋体" w:hAnsi="宋体" w:eastAsia="宋体" w:cs="宋体"/>
          <w:color w:val="auto"/>
          <w:highlight w:val="none"/>
        </w:rPr>
      </w:pPr>
      <w:r>
        <w:rPr>
          <w:rFonts w:hint="eastAsia" w:ascii="宋体" w:hAnsi="宋体" w:eastAsia="宋体" w:cs="宋体"/>
          <w:color w:val="auto"/>
          <w:highlight w:val="none"/>
        </w:rPr>
        <w:t>具有≥3个自定义按键，可设置≥20种快捷功能，可实现白平衡、拍照、录像、一键切换2D/3D模式等功能。</w:t>
      </w:r>
    </w:p>
    <w:p w14:paraId="1924F6B3">
      <w:pPr>
        <w:numPr>
          <w:ilvl w:val="0"/>
          <w:numId w:val="12"/>
        </w:numPr>
        <w:spacing w:line="360" w:lineRule="auto"/>
        <w:ind w:left="0" w:firstLine="0"/>
        <w:rPr>
          <w:rFonts w:hint="eastAsia" w:ascii="宋体" w:hAnsi="宋体" w:eastAsia="宋体" w:cs="宋体"/>
          <w:color w:val="auto"/>
          <w:highlight w:val="none"/>
        </w:rPr>
      </w:pPr>
      <w:r>
        <w:rPr>
          <w:rFonts w:hint="eastAsia" w:ascii="宋体" w:hAnsi="宋体" w:eastAsia="宋体" w:cs="宋体"/>
          <w:color w:val="auto"/>
          <w:highlight w:val="none"/>
        </w:rPr>
        <w:t>直径10mm，30/0度视向角可选，工作长度≥320mm。</w:t>
      </w:r>
    </w:p>
    <w:p w14:paraId="1BE65D5E">
      <w:pPr>
        <w:numPr>
          <w:ilvl w:val="0"/>
          <w:numId w:val="12"/>
        </w:numPr>
        <w:spacing w:line="360" w:lineRule="auto"/>
        <w:ind w:left="0" w:firstLine="0"/>
        <w:rPr>
          <w:rFonts w:hint="eastAsia" w:ascii="宋体" w:hAnsi="宋体" w:eastAsia="宋体" w:cs="宋体"/>
          <w:color w:val="auto"/>
          <w:highlight w:val="none"/>
        </w:rPr>
      </w:pPr>
      <w:r>
        <w:rPr>
          <w:rFonts w:hint="eastAsia" w:ascii="宋体" w:hAnsi="宋体" w:eastAsia="宋体" w:cs="宋体"/>
          <w:color w:val="auto"/>
          <w:highlight w:val="none"/>
        </w:rPr>
        <w:t>视场角≥80度，观察范围更大，更便于腹腔探查。</w:t>
      </w:r>
    </w:p>
    <w:p w14:paraId="773F773D">
      <w:pPr>
        <w:numPr>
          <w:ilvl w:val="0"/>
          <w:numId w:val="12"/>
        </w:numPr>
        <w:spacing w:line="360" w:lineRule="auto"/>
        <w:ind w:left="0" w:firstLine="0"/>
        <w:rPr>
          <w:rFonts w:hint="eastAsia" w:ascii="宋体" w:hAnsi="宋体" w:eastAsia="宋体" w:cs="宋体"/>
          <w:color w:val="auto"/>
          <w:highlight w:val="none"/>
        </w:rPr>
      </w:pPr>
      <w:r>
        <w:rPr>
          <w:rFonts w:hint="eastAsia" w:ascii="宋体" w:hAnsi="宋体" w:eastAsia="宋体" w:cs="宋体"/>
          <w:color w:val="auto"/>
          <w:highlight w:val="none"/>
        </w:rPr>
        <w:t>▲整镜支持高温高压、低温等离子、环氧乙烷灭菌方式，支持高温高压消毒次数≥500次，提供说明书或检测报告证明。</w:t>
      </w:r>
    </w:p>
    <w:p w14:paraId="74D49A38">
      <w:pPr>
        <w:numPr>
          <w:ilvl w:val="0"/>
          <w:numId w:val="12"/>
        </w:numPr>
        <w:spacing w:line="360" w:lineRule="auto"/>
        <w:ind w:left="0" w:firstLine="0"/>
        <w:rPr>
          <w:rFonts w:hint="eastAsia" w:ascii="宋体" w:hAnsi="宋体" w:eastAsia="宋体" w:cs="宋体"/>
          <w:color w:val="auto"/>
          <w:highlight w:val="none"/>
        </w:rPr>
      </w:pPr>
      <w:r>
        <w:rPr>
          <w:rFonts w:hint="eastAsia" w:ascii="宋体" w:hAnsi="宋体" w:eastAsia="宋体" w:cs="宋体"/>
          <w:color w:val="auto"/>
          <w:highlight w:val="none"/>
        </w:rPr>
        <w:t>支持3D/2D自动旋转功能，可实现旋转状态下，图像自动回正。</w:t>
      </w:r>
    </w:p>
    <w:p w14:paraId="049563FE">
      <w:pPr>
        <w:numPr>
          <w:ilvl w:val="0"/>
          <w:numId w:val="12"/>
        </w:numPr>
        <w:spacing w:line="360" w:lineRule="auto"/>
        <w:ind w:left="0" w:firstLine="0"/>
        <w:rPr>
          <w:rFonts w:hint="eastAsia" w:ascii="宋体" w:hAnsi="宋体" w:eastAsia="宋体" w:cs="宋体"/>
          <w:color w:val="auto"/>
          <w:highlight w:val="none"/>
        </w:rPr>
      </w:pPr>
      <w:r>
        <w:rPr>
          <w:rFonts w:hint="eastAsia" w:ascii="宋体" w:hAnsi="宋体" w:eastAsia="宋体" w:cs="宋体"/>
          <w:color w:val="auto"/>
          <w:highlight w:val="none"/>
        </w:rPr>
        <w:t>免对焦设计，无需手动对焦，手术操控更便捷。</w:t>
      </w:r>
    </w:p>
    <w:p w14:paraId="34D7FD1E">
      <w:pPr>
        <w:numPr>
          <w:ilvl w:val="0"/>
          <w:numId w:val="12"/>
        </w:numPr>
        <w:spacing w:line="360" w:lineRule="auto"/>
        <w:ind w:left="0" w:firstLine="0"/>
        <w:rPr>
          <w:rFonts w:hint="eastAsia" w:ascii="宋体" w:hAnsi="宋体" w:eastAsia="宋体" w:cs="宋体"/>
          <w:color w:val="auto"/>
          <w:highlight w:val="none"/>
        </w:rPr>
      </w:pPr>
      <w:r>
        <w:rPr>
          <w:rFonts w:hint="eastAsia" w:ascii="宋体" w:hAnsi="宋体" w:eastAsia="宋体" w:cs="宋体"/>
          <w:color w:val="auto"/>
          <w:highlight w:val="none"/>
        </w:rPr>
        <w:t>具有主动防雾功能，有效避免镜体起雾，手术进程更流畅。</w:t>
      </w:r>
    </w:p>
    <w:p w14:paraId="5CB3581A">
      <w:pPr>
        <w:numPr>
          <w:ilvl w:val="0"/>
          <w:numId w:val="12"/>
        </w:numPr>
        <w:spacing w:line="360" w:lineRule="auto"/>
        <w:ind w:left="0" w:firstLine="0"/>
        <w:rPr>
          <w:rFonts w:hint="eastAsia" w:ascii="宋体" w:hAnsi="宋体" w:eastAsia="宋体" w:cs="宋体"/>
          <w:color w:val="auto"/>
          <w:highlight w:val="none"/>
        </w:rPr>
      </w:pPr>
      <w:r>
        <w:rPr>
          <w:rFonts w:hint="eastAsia" w:ascii="宋体" w:hAnsi="宋体" w:eastAsia="宋体" w:cs="宋体"/>
          <w:color w:val="auto"/>
          <w:highlight w:val="none"/>
        </w:rPr>
        <w:t>▲电子镜景深范围20-200mm，提供说明书或检测报告证明。</w:t>
      </w:r>
    </w:p>
    <w:p w14:paraId="6B3907D1">
      <w:pPr>
        <w:numPr>
          <w:ilvl w:val="0"/>
          <w:numId w:val="12"/>
        </w:numPr>
        <w:spacing w:line="360" w:lineRule="auto"/>
        <w:ind w:left="0" w:firstLine="0"/>
        <w:rPr>
          <w:rFonts w:hint="eastAsia" w:ascii="宋体" w:hAnsi="宋体" w:eastAsia="宋体" w:cs="宋体"/>
          <w:color w:val="auto"/>
          <w:highlight w:val="none"/>
        </w:rPr>
      </w:pPr>
      <w:r>
        <w:rPr>
          <w:rFonts w:hint="eastAsia" w:ascii="宋体" w:hAnsi="宋体" w:eastAsia="宋体" w:cs="宋体"/>
          <w:color w:val="auto"/>
          <w:highlight w:val="none"/>
        </w:rPr>
        <w:t>配套消毒盒3个</w:t>
      </w:r>
    </w:p>
    <w:p w14:paraId="4728506B">
      <w:pPr>
        <w:spacing w:line="360" w:lineRule="auto"/>
        <w:rPr>
          <w:rFonts w:hint="eastAsia" w:ascii="宋体" w:hAnsi="宋体" w:eastAsia="宋体" w:cs="宋体"/>
          <w:color w:val="auto"/>
          <w:highlight w:val="none"/>
        </w:rPr>
      </w:pPr>
    </w:p>
    <w:p w14:paraId="07C28404">
      <w:pP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6）</w:t>
      </w:r>
      <w:r>
        <w:rPr>
          <w:rFonts w:hint="eastAsia" w:ascii="宋体" w:hAnsi="宋体" w:eastAsia="宋体" w:cs="宋体"/>
          <w:b/>
          <w:bCs/>
          <w:color w:val="auto"/>
          <w:highlight w:val="none"/>
        </w:rPr>
        <w:t>显示器2台</w:t>
      </w:r>
    </w:p>
    <w:p w14:paraId="1B6C21C5">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1、4K医用LCD显示器，尺寸≥32寸，分辨率达到3840*2160像素。</w:t>
      </w:r>
    </w:p>
    <w:p w14:paraId="4C60D6C1">
      <w:pPr>
        <w:numPr>
          <w:ilvl w:val="0"/>
          <w:numId w:val="13"/>
        </w:num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具有HDMI和12G-SDI的4K超高清输入接口，可满足4K图像显示。</w:t>
      </w:r>
    </w:p>
    <w:p w14:paraId="7422AFB6">
      <w:pPr>
        <w:numPr>
          <w:ilvl w:val="0"/>
          <w:numId w:val="13"/>
        </w:num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具有3G-SDI或DVI的全高清输入接口，可满足全高清图像显示。</w:t>
      </w:r>
    </w:p>
    <w:p w14:paraId="1FC4703A">
      <w:pPr>
        <w:numPr>
          <w:ilvl w:val="0"/>
          <w:numId w:val="13"/>
        </w:numPr>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支持4K和高清环出功能，可通过监视器输出连接到其它同信号监视器。</w:t>
      </w:r>
    </w:p>
    <w:p w14:paraId="2FDFCE1D">
      <w:pPr>
        <w:numPr>
          <w:ilvl w:val="0"/>
          <w:numId w:val="13"/>
        </w:num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最大背光亮度≥1750cd/</w:t>
      </w:r>
      <w:r>
        <w:rPr>
          <w:rFonts w:hint="eastAsia" w:ascii="宋体" w:hAnsi="宋体" w:eastAsia="宋体" w:cs="宋体"/>
          <w:color w:val="auto"/>
          <w:szCs w:val="21"/>
          <w:highlight w:val="none"/>
          <w:shd w:val="clear" w:color="auto" w:fill="FFFFFF"/>
        </w:rPr>
        <w:t>m²</w:t>
      </w:r>
      <w:r>
        <w:rPr>
          <w:rFonts w:hint="eastAsia" w:ascii="宋体" w:hAnsi="宋体" w:eastAsia="宋体" w:cs="宋体"/>
          <w:color w:val="auto"/>
          <w:highlight w:val="none"/>
        </w:rPr>
        <w:t>，能更清晰显示暗部细节，提升手术安全性。</w:t>
      </w:r>
    </w:p>
    <w:p w14:paraId="1DBABAAC">
      <w:pPr>
        <w:numPr>
          <w:ilvl w:val="0"/>
          <w:numId w:val="13"/>
        </w:num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显示器对比度≥1000000。</w:t>
      </w:r>
    </w:p>
    <w:p w14:paraId="1E433531">
      <w:pPr>
        <w:numPr>
          <w:ilvl w:val="0"/>
          <w:numId w:val="13"/>
        </w:num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具有≥178°可视角度，满足手术室不同站位需求。</w:t>
      </w:r>
    </w:p>
    <w:p w14:paraId="7867E22D">
      <w:pPr>
        <w:numPr>
          <w:ilvl w:val="0"/>
          <w:numId w:val="13"/>
        </w:num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显示模式：单画面、左右画面、画中画。</w:t>
      </w:r>
    </w:p>
    <w:p w14:paraId="611C65E3">
      <w:pPr>
        <w:numPr>
          <w:ilvl w:val="0"/>
          <w:numId w:val="13"/>
        </w:num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显示器色域达到:BT.2020。</w:t>
      </w:r>
    </w:p>
    <w:p w14:paraId="2FA3945B">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p>
    <w:p w14:paraId="7B427C85">
      <w:pP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7）</w:t>
      </w:r>
      <w:r>
        <w:rPr>
          <w:rFonts w:hint="eastAsia" w:ascii="宋体" w:hAnsi="宋体" w:eastAsia="宋体" w:cs="宋体"/>
          <w:b/>
          <w:bCs/>
          <w:color w:val="auto"/>
          <w:highlight w:val="none"/>
        </w:rPr>
        <w:t>气腹机2台</w:t>
      </w:r>
    </w:p>
    <w:p w14:paraId="39A7741F">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1、流速≥50升/分钟，流量调节范围0.1-50L/min，以满足精确调节和高流速供气的需求。</w:t>
      </w:r>
    </w:p>
    <w:p w14:paraId="75A8E2A3">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2、压力范围：1mmHg-30mmHg，气压显示准确性±2mmHg。</w:t>
      </w:r>
    </w:p>
    <w:p w14:paraId="500C0F96">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3、采用触摸屏设计，能够更好进行设置操作，显示参数和故障信息。</w:t>
      </w:r>
    </w:p>
    <w:p w14:paraId="5CCBD81A">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4、具备小儿模式、成人模式、肥胖模式，亦可自定义模式，满足不同手术需求。</w:t>
      </w:r>
    </w:p>
    <w:p w14:paraId="0BE45D7C">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5、具有双重报警系统，气压过高、管道堵塞、供气不足、自检失败、温度过高等情况下，既有声音提醒，亦有文字提示。</w:t>
      </w:r>
    </w:p>
    <w:p w14:paraId="5304C96A">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6、气压过高时，具有自动排气功能，防止体内压力过高。</w:t>
      </w:r>
    </w:p>
    <w:p w14:paraId="76DB11E3">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7、具有排烟功能，在负压吸力为0.04-0.06MPa的情况下，最大排烟流量≥10L/min。</w:t>
      </w:r>
    </w:p>
    <w:p w14:paraId="63B7D081">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8、气腹机末端CO2气体加热功能，加热温度理论值为37℃，可有效减少病人肌体刺激反应，加速病人康复。</w:t>
      </w:r>
    </w:p>
    <w:p w14:paraId="2802B15A">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9、与摄像主机为同一品牌，以确保腹腔镜系统各项功能稳定。</w:t>
      </w:r>
    </w:p>
    <w:p w14:paraId="08DAB5C5">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10、使用寿命≥10年。</w:t>
      </w:r>
    </w:p>
    <w:p w14:paraId="62FB380A">
      <w:pPr>
        <w:spacing w:line="360" w:lineRule="auto"/>
        <w:rPr>
          <w:rFonts w:hint="eastAsia" w:ascii="宋体" w:hAnsi="宋体" w:eastAsia="宋体" w:cs="宋体"/>
          <w:color w:val="auto"/>
          <w:highlight w:val="none"/>
        </w:rPr>
      </w:pPr>
    </w:p>
    <w:p w14:paraId="73B5C860">
      <w:pP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8）</w:t>
      </w:r>
      <w:r>
        <w:rPr>
          <w:rFonts w:hint="eastAsia" w:ascii="宋体" w:hAnsi="宋体" w:eastAsia="宋体" w:cs="宋体"/>
          <w:b/>
          <w:bCs/>
          <w:color w:val="auto"/>
          <w:highlight w:val="none"/>
        </w:rPr>
        <w:t>台车2台</w:t>
      </w:r>
    </w:p>
    <w:p w14:paraId="3A59D78E">
      <w:pPr>
        <w:numPr>
          <w:ilvl w:val="0"/>
          <w:numId w:val="14"/>
        </w:num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台车可放置本整套腹腔镜系统设备，包括32寸显示器</w:t>
      </w:r>
    </w:p>
    <w:p w14:paraId="007F1949">
      <w:pPr>
        <w:numPr>
          <w:ilvl w:val="0"/>
          <w:numId w:val="14"/>
        </w:num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台车具备一键启动功能，可一键启动和关闭主机、光源、显示器等设备。</w:t>
      </w:r>
    </w:p>
    <w:p w14:paraId="66917E04">
      <w:pPr>
        <w:spacing w:line="360" w:lineRule="auto"/>
        <w:rPr>
          <w:rFonts w:hint="eastAsia" w:ascii="宋体" w:hAnsi="宋体" w:eastAsia="宋体" w:cs="宋体"/>
          <w:color w:val="auto"/>
          <w:highlight w:val="none"/>
        </w:rPr>
      </w:pPr>
      <w:bookmarkStart w:id="100" w:name="_Hlk163481581"/>
      <w:bookmarkEnd w:id="100"/>
      <w:r>
        <w:rPr>
          <w:rFonts w:hint="eastAsia" w:ascii="宋体" w:hAnsi="宋体" w:eastAsia="宋体" w:cs="宋体"/>
          <w:color w:val="auto"/>
          <w:highlight w:val="none"/>
        </w:rPr>
        <w:t xml:space="preserve">  </w:t>
      </w:r>
    </w:p>
    <w:p w14:paraId="780A63F0">
      <w:pP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9）</w:t>
      </w:r>
      <w:r>
        <w:rPr>
          <w:rFonts w:hint="eastAsia" w:ascii="宋体" w:hAnsi="宋体" w:eastAsia="宋体" w:cs="宋体"/>
          <w:b/>
          <w:bCs/>
          <w:color w:val="auto"/>
          <w:highlight w:val="none"/>
          <w:lang w:eastAsia="zh-Hans"/>
        </w:rPr>
        <w:t>超声高频电刀</w:t>
      </w:r>
      <w:r>
        <w:rPr>
          <w:rFonts w:hint="eastAsia" w:ascii="宋体" w:hAnsi="宋体" w:eastAsia="宋体" w:cs="宋体"/>
          <w:b/>
          <w:bCs/>
          <w:color w:val="auto"/>
          <w:highlight w:val="none"/>
        </w:rPr>
        <w:t>2台</w:t>
      </w:r>
    </w:p>
    <w:p w14:paraId="3E5841DB">
      <w:pPr>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1、</w:t>
      </w:r>
      <w:r>
        <w:rPr>
          <w:rFonts w:hint="eastAsia" w:ascii="宋体" w:hAnsi="宋体" w:eastAsia="宋体" w:cs="宋体"/>
          <w:color w:val="auto"/>
          <w:szCs w:val="21"/>
          <w:highlight w:val="none"/>
        </w:rPr>
        <w:t>可同时连接超声刀头、单极器械、双极器械。</w:t>
      </w:r>
    </w:p>
    <w:p w14:paraId="133C00A8">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2、屏幕尺寸≥8英寸。</w:t>
      </w:r>
    </w:p>
    <w:p w14:paraId="214B4CEF">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3、报警发生时，可点击查看解决措施。</w:t>
      </w:r>
    </w:p>
    <w:p w14:paraId="609B3716">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4、提供一键恢复键。</w:t>
      </w:r>
    </w:p>
    <w:p w14:paraId="58090727">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5、具备USB设备进行系统升级。</w:t>
      </w:r>
    </w:p>
    <w:p w14:paraId="67B8CACF">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6、可凝闭最大直径7mm 的血管。</w:t>
      </w:r>
    </w:p>
    <w:p w14:paraId="77F3F258">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7、单极切割模式可设置为纯切、混切。单极凝结模式可设置为软凝、电灼、喷凝。</w:t>
      </w:r>
    </w:p>
    <w:p w14:paraId="69996001">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8、使用寿命≥10年。</w:t>
      </w:r>
    </w:p>
    <w:p w14:paraId="474F81F1">
      <w:pPr>
        <w:spacing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rPr>
        <w:t>9、与摄像系统为同一品牌，便于设备管理。</w:t>
      </w:r>
    </w:p>
    <w:p w14:paraId="1055A77C">
      <w:pPr>
        <w:spacing w:line="360" w:lineRule="auto"/>
        <w:rPr>
          <w:rFonts w:hint="default" w:ascii="宋体" w:hAnsi="宋体" w:eastAsia="宋体" w:cs="宋体"/>
          <w:color w:val="auto"/>
          <w:highlight w:val="none"/>
          <w:lang w:val="en-US" w:eastAsia="zh-CN"/>
        </w:rPr>
        <w:sectPr>
          <w:pgSz w:w="11905" w:h="16838"/>
          <w:pgMar w:top="1440" w:right="1587" w:bottom="1440" w:left="1587" w:header="1020" w:footer="567" w:gutter="0"/>
          <w:pgNumType w:fmt="decimal"/>
          <w:cols w:space="0" w:num="1"/>
          <w:docGrid w:type="lines" w:linePitch="323" w:charSpace="0"/>
        </w:sectPr>
      </w:pPr>
      <w:r>
        <w:rPr>
          <w:rFonts w:hint="eastAsia" w:ascii="宋体" w:hAnsi="宋体" w:eastAsia="宋体" w:cs="宋体"/>
          <w:color w:val="auto"/>
          <w:highlight w:val="none"/>
          <w:lang w:val="en-US" w:eastAsia="zh-CN"/>
        </w:rPr>
        <w:t>10</w:t>
      </w:r>
      <w:r>
        <w:rPr>
          <w:rFonts w:hint="eastAsia" w:ascii="宋体" w:hAnsi="宋体" w:cs="宋体"/>
          <w:color w:val="auto"/>
          <w:highlight w:val="none"/>
          <w:lang w:val="en-US" w:eastAsia="zh-CN"/>
        </w:rPr>
        <w:t>、</w:t>
      </w:r>
      <w:r>
        <w:rPr>
          <w:rFonts w:hint="eastAsia" w:ascii="宋体" w:hAnsi="宋体" w:eastAsia="宋体" w:cs="宋体"/>
          <w:color w:val="auto"/>
          <w:highlight w:val="none"/>
        </w:rPr>
        <w:t>▲</w:t>
      </w:r>
      <w:r>
        <w:rPr>
          <w:rFonts w:hint="eastAsia" w:ascii="宋体" w:hAnsi="宋体" w:cs="宋体"/>
          <w:color w:val="auto"/>
          <w:highlight w:val="none"/>
          <w:lang w:val="en-US" w:eastAsia="zh-CN"/>
        </w:rPr>
        <w:t>配备脚踏，可控制单极电凝电切、双极电凝</w:t>
      </w:r>
    </w:p>
    <w:p w14:paraId="4F9EFF3B">
      <w:pPr>
        <w:pStyle w:val="3"/>
        <w:pageBreakBefore w:val="0"/>
        <w:widowControl w:val="0"/>
        <w:numPr>
          <w:ilvl w:val="0"/>
          <w:numId w:val="0"/>
        </w:numPr>
        <w:kinsoku/>
        <w:wordWrap/>
        <w:overflowPunct/>
        <w:topLinePunct w:val="0"/>
        <w:autoSpaceDE/>
        <w:autoSpaceDN/>
        <w:bidi w:val="0"/>
        <w:adjustRightInd w:val="0"/>
        <w:snapToGrid w:val="0"/>
        <w:spacing w:before="156" w:beforeLines="50" w:line="500" w:lineRule="exact"/>
        <w:jc w:val="both"/>
        <w:textAlignment w:val="auto"/>
        <w:rPr>
          <w:rFonts w:hint="eastAsia" w:ascii="黑体" w:hAnsi="黑体" w:eastAsia="黑体" w:cs="Times New Roman"/>
          <w:color w:val="auto"/>
          <w:sz w:val="28"/>
          <w:szCs w:val="28"/>
          <w:highlight w:val="none"/>
          <w:lang w:val="en-US" w:eastAsia="zh-CN"/>
        </w:rPr>
      </w:pPr>
      <w:bookmarkStart w:id="101" w:name="_Toc21397"/>
      <w:bookmarkStart w:id="102" w:name="_Toc20039"/>
      <w:r>
        <w:rPr>
          <w:rFonts w:hint="eastAsia" w:ascii="黑体" w:hAnsi="黑体" w:eastAsia="黑体" w:cs="Times New Roman"/>
          <w:color w:val="auto"/>
          <w:sz w:val="28"/>
          <w:szCs w:val="28"/>
          <w:highlight w:val="none"/>
          <w:lang w:val="en-US" w:eastAsia="zh-CN"/>
        </w:rPr>
        <w:t>四、数字化手术室</w:t>
      </w:r>
      <w:bookmarkEnd w:id="101"/>
      <w:bookmarkEnd w:id="102"/>
    </w:p>
    <w:p w14:paraId="0679ACD6">
      <w:pPr>
        <w:spacing w:line="36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第一部分  </w:t>
      </w:r>
      <w:r>
        <w:rPr>
          <w:rFonts w:hint="eastAsia" w:ascii="宋体" w:hAnsi="宋体" w:eastAsia="宋体" w:cs="宋体"/>
          <w:b/>
          <w:color w:val="auto"/>
          <w:sz w:val="24"/>
          <w:szCs w:val="24"/>
          <w:highlight w:val="none"/>
        </w:rPr>
        <w:tab/>
      </w:r>
      <w:r>
        <w:rPr>
          <w:rFonts w:hint="eastAsia" w:ascii="宋体" w:hAnsi="宋体" w:eastAsia="宋体" w:cs="宋体"/>
          <w:b/>
          <w:color w:val="auto"/>
          <w:sz w:val="24"/>
          <w:szCs w:val="24"/>
          <w:highlight w:val="none"/>
        </w:rPr>
        <w:t>商务补充需求</w:t>
      </w:r>
    </w:p>
    <w:p w14:paraId="1E8468EE">
      <w:pPr>
        <w:spacing w:line="360" w:lineRule="exact"/>
        <w:jc w:val="center"/>
        <w:rPr>
          <w:color w:val="auto"/>
          <w:highlight w:val="none"/>
        </w:rPr>
      </w:pPr>
    </w:p>
    <w:tbl>
      <w:tblPr>
        <w:tblStyle w:val="26"/>
        <w:tblW w:w="9660" w:type="dxa"/>
        <w:tblInd w:w="-4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8"/>
        <w:gridCol w:w="8822"/>
      </w:tblGrid>
      <w:tr w14:paraId="44616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838" w:type="dxa"/>
          </w:tcPr>
          <w:p w14:paraId="4EA336E0">
            <w:pPr>
              <w:spacing w:line="360" w:lineRule="exact"/>
              <w:jc w:val="center"/>
              <w:rPr>
                <w:b/>
                <w:bCs/>
                <w:color w:val="auto"/>
                <w:highlight w:val="none"/>
              </w:rPr>
            </w:pPr>
            <w:r>
              <w:rPr>
                <w:rFonts w:hint="eastAsia"/>
                <w:b/>
                <w:bCs/>
                <w:color w:val="auto"/>
                <w:highlight w:val="none"/>
              </w:rPr>
              <w:t>序号</w:t>
            </w:r>
          </w:p>
        </w:tc>
        <w:tc>
          <w:tcPr>
            <w:tcW w:w="8822" w:type="dxa"/>
          </w:tcPr>
          <w:p w14:paraId="295ACC13">
            <w:pPr>
              <w:spacing w:line="360" w:lineRule="exact"/>
              <w:jc w:val="center"/>
              <w:rPr>
                <w:b/>
                <w:bCs/>
                <w:color w:val="auto"/>
                <w:highlight w:val="none"/>
              </w:rPr>
            </w:pPr>
            <w:r>
              <w:rPr>
                <w:rFonts w:hint="eastAsia"/>
                <w:b/>
                <w:bCs/>
                <w:color w:val="auto"/>
                <w:highlight w:val="none"/>
              </w:rPr>
              <w:t>项目</w:t>
            </w:r>
          </w:p>
        </w:tc>
      </w:tr>
      <w:tr w14:paraId="0DF25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trPr>
        <w:tc>
          <w:tcPr>
            <w:tcW w:w="838" w:type="dxa"/>
            <w:noWrap/>
          </w:tcPr>
          <w:p w14:paraId="029647D4">
            <w:pPr>
              <w:spacing w:line="360" w:lineRule="exact"/>
              <w:jc w:val="center"/>
              <w:rPr>
                <w:color w:val="auto"/>
                <w:highlight w:val="none"/>
              </w:rPr>
            </w:pPr>
            <w:r>
              <w:rPr>
                <w:rFonts w:hint="eastAsia"/>
                <w:color w:val="auto"/>
                <w:highlight w:val="none"/>
              </w:rPr>
              <w:t>1</w:t>
            </w:r>
          </w:p>
        </w:tc>
        <w:tc>
          <w:tcPr>
            <w:tcW w:w="8822" w:type="dxa"/>
          </w:tcPr>
          <w:p w14:paraId="64340D7F">
            <w:pPr>
              <w:spacing w:line="360" w:lineRule="exact"/>
              <w:jc w:val="left"/>
              <w:rPr>
                <w:color w:val="auto"/>
                <w:highlight w:val="none"/>
              </w:rPr>
            </w:pPr>
            <w:r>
              <w:rPr>
                <w:rFonts w:hint="eastAsia"/>
                <w:color w:val="auto"/>
                <w:highlight w:val="none"/>
              </w:rPr>
              <w:t>数字化手术室系统软件需提供软件著作权登记证书，登记证书著作权人信息须和数字化手术室产品生产供应商保持一致。</w:t>
            </w:r>
          </w:p>
        </w:tc>
      </w:tr>
      <w:tr w14:paraId="23712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trPr>
        <w:tc>
          <w:tcPr>
            <w:tcW w:w="838" w:type="dxa"/>
            <w:noWrap/>
          </w:tcPr>
          <w:p w14:paraId="0991AF92">
            <w:pPr>
              <w:spacing w:line="360" w:lineRule="exact"/>
              <w:jc w:val="center"/>
              <w:rPr>
                <w:color w:val="auto"/>
                <w:highlight w:val="none"/>
              </w:rPr>
            </w:pPr>
            <w:r>
              <w:rPr>
                <w:rFonts w:hint="eastAsia"/>
                <w:color w:val="auto"/>
                <w:highlight w:val="none"/>
              </w:rPr>
              <w:t>2</w:t>
            </w:r>
          </w:p>
        </w:tc>
        <w:tc>
          <w:tcPr>
            <w:tcW w:w="8822" w:type="dxa"/>
          </w:tcPr>
          <w:p w14:paraId="058DF843">
            <w:pPr>
              <w:spacing w:line="360" w:lineRule="exact"/>
              <w:jc w:val="left"/>
              <w:rPr>
                <w:color w:val="auto"/>
                <w:highlight w:val="none"/>
              </w:rPr>
            </w:pPr>
            <w:r>
              <w:rPr>
                <w:rFonts w:hint="eastAsia"/>
                <w:color w:val="auto"/>
                <w:highlight w:val="none"/>
              </w:rPr>
              <w:t>数字化手术室系统需提供企业标准备案文件官网查验网络链接地址，可通过国家标准化管理委员会官网查验</w:t>
            </w:r>
          </w:p>
        </w:tc>
      </w:tr>
      <w:tr w14:paraId="67275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trPr>
        <w:tc>
          <w:tcPr>
            <w:tcW w:w="838" w:type="dxa"/>
            <w:noWrap/>
          </w:tcPr>
          <w:p w14:paraId="3BBDBDD1">
            <w:pPr>
              <w:spacing w:line="360" w:lineRule="exact"/>
              <w:jc w:val="center"/>
              <w:rPr>
                <w:color w:val="auto"/>
                <w:highlight w:val="none"/>
              </w:rPr>
            </w:pPr>
            <w:r>
              <w:rPr>
                <w:rFonts w:hint="eastAsia"/>
                <w:color w:val="auto"/>
                <w:highlight w:val="none"/>
              </w:rPr>
              <w:t>3</w:t>
            </w:r>
          </w:p>
        </w:tc>
        <w:tc>
          <w:tcPr>
            <w:tcW w:w="8822" w:type="dxa"/>
          </w:tcPr>
          <w:p w14:paraId="0BC7CFD9">
            <w:pPr>
              <w:spacing w:line="360" w:lineRule="exact"/>
              <w:jc w:val="left"/>
              <w:rPr>
                <w:color w:val="auto"/>
                <w:highlight w:val="none"/>
              </w:rPr>
            </w:pPr>
            <w:r>
              <w:rPr>
                <w:rFonts w:hint="eastAsia" w:ascii="华文细黑" w:hAnsi="华文细黑" w:eastAsia="华文细黑"/>
                <w:color w:val="auto"/>
                <w:kern w:val="0"/>
                <w:szCs w:val="21"/>
                <w:highlight w:val="none"/>
              </w:rPr>
              <w:t>▲</w:t>
            </w:r>
            <w:r>
              <w:rPr>
                <w:rFonts w:hint="eastAsia"/>
                <w:color w:val="auto"/>
                <w:highlight w:val="none"/>
              </w:rPr>
              <w:t>数字化手术室生产商需提供数字一体化手术室产品三方检测报告，报告委托单位需要和生产供应商保持一致，检测型号与所投标型号保持一致，三方检测机构需具备并提供CNAS中国合格评定国家认可委员会颁发的认可证书扫描件。</w:t>
            </w:r>
          </w:p>
        </w:tc>
      </w:tr>
      <w:tr w14:paraId="47792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24" w:hRule="atLeast"/>
        </w:trPr>
        <w:tc>
          <w:tcPr>
            <w:tcW w:w="838" w:type="dxa"/>
            <w:noWrap/>
          </w:tcPr>
          <w:p w14:paraId="7177DC28">
            <w:pPr>
              <w:spacing w:line="360" w:lineRule="exact"/>
              <w:jc w:val="center"/>
              <w:rPr>
                <w:color w:val="auto"/>
                <w:highlight w:val="none"/>
              </w:rPr>
            </w:pPr>
            <w:r>
              <w:rPr>
                <w:rFonts w:hint="eastAsia"/>
                <w:color w:val="auto"/>
                <w:highlight w:val="none"/>
              </w:rPr>
              <w:t>4</w:t>
            </w:r>
          </w:p>
        </w:tc>
        <w:tc>
          <w:tcPr>
            <w:tcW w:w="8822" w:type="dxa"/>
          </w:tcPr>
          <w:p w14:paraId="06C70FDC">
            <w:pPr>
              <w:spacing w:line="360" w:lineRule="exact"/>
              <w:jc w:val="left"/>
              <w:rPr>
                <w:color w:val="auto"/>
                <w:highlight w:val="none"/>
              </w:rPr>
            </w:pPr>
            <w:r>
              <w:rPr>
                <w:rFonts w:hint="eastAsia"/>
                <w:color w:val="auto"/>
                <w:highlight w:val="none"/>
              </w:rPr>
              <w:t>数字化手术室生产商需提供ISO 9001质量管理体系认证证书复印件并加盖公章。证书体系覆盖中需包含数字一体化手术室系统的设计、开发、生产、安装服务项目。</w:t>
            </w:r>
          </w:p>
        </w:tc>
      </w:tr>
      <w:tr w14:paraId="0E25A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trPr>
        <w:tc>
          <w:tcPr>
            <w:tcW w:w="838" w:type="dxa"/>
            <w:noWrap/>
          </w:tcPr>
          <w:p w14:paraId="50FFB60A">
            <w:pPr>
              <w:spacing w:line="360" w:lineRule="exact"/>
              <w:jc w:val="center"/>
              <w:rPr>
                <w:color w:val="auto"/>
                <w:highlight w:val="none"/>
              </w:rPr>
            </w:pPr>
            <w:r>
              <w:rPr>
                <w:rFonts w:hint="eastAsia"/>
                <w:color w:val="auto"/>
                <w:highlight w:val="none"/>
              </w:rPr>
              <w:t>5</w:t>
            </w:r>
          </w:p>
        </w:tc>
        <w:tc>
          <w:tcPr>
            <w:tcW w:w="8822" w:type="dxa"/>
          </w:tcPr>
          <w:p w14:paraId="1841A9C0">
            <w:pPr>
              <w:spacing w:line="360" w:lineRule="exact"/>
              <w:jc w:val="left"/>
              <w:rPr>
                <w:color w:val="auto"/>
                <w:highlight w:val="none"/>
              </w:rPr>
            </w:pPr>
            <w:r>
              <w:rPr>
                <w:rFonts w:hint="eastAsia"/>
                <w:color w:val="auto"/>
                <w:highlight w:val="none"/>
              </w:rPr>
              <w:t>数字化手术室生产商需提供ISO13485认证证书复印件并加盖公章。证书认证范围需包含数字一体化手术室系统。</w:t>
            </w:r>
          </w:p>
        </w:tc>
      </w:tr>
      <w:tr w14:paraId="668CCC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trPr>
        <w:tc>
          <w:tcPr>
            <w:tcW w:w="838" w:type="dxa"/>
            <w:noWrap/>
          </w:tcPr>
          <w:p w14:paraId="038796C3">
            <w:pPr>
              <w:spacing w:line="360" w:lineRule="exact"/>
              <w:jc w:val="center"/>
              <w:rPr>
                <w:color w:val="auto"/>
                <w:highlight w:val="none"/>
              </w:rPr>
            </w:pPr>
            <w:r>
              <w:rPr>
                <w:rFonts w:hint="eastAsia"/>
                <w:color w:val="auto"/>
                <w:highlight w:val="none"/>
              </w:rPr>
              <w:t>6</w:t>
            </w:r>
          </w:p>
        </w:tc>
        <w:tc>
          <w:tcPr>
            <w:tcW w:w="8822" w:type="dxa"/>
          </w:tcPr>
          <w:p w14:paraId="3294FAF4">
            <w:pPr>
              <w:spacing w:line="360" w:lineRule="exact"/>
              <w:jc w:val="left"/>
              <w:rPr>
                <w:color w:val="auto"/>
                <w:highlight w:val="none"/>
              </w:rPr>
            </w:pPr>
            <w:r>
              <w:rPr>
                <w:rFonts w:hint="eastAsia"/>
                <w:color w:val="auto"/>
                <w:highlight w:val="none"/>
              </w:rPr>
              <w:t>数字化手术室生产商需提供QC 080000认证证书复印件并加盖公章。</w:t>
            </w:r>
          </w:p>
        </w:tc>
      </w:tr>
      <w:tr w14:paraId="5CFD9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trPr>
        <w:tc>
          <w:tcPr>
            <w:tcW w:w="838" w:type="dxa"/>
            <w:noWrap/>
          </w:tcPr>
          <w:p w14:paraId="2B60830F">
            <w:pPr>
              <w:spacing w:line="360" w:lineRule="exact"/>
              <w:jc w:val="center"/>
              <w:rPr>
                <w:color w:val="auto"/>
                <w:highlight w:val="none"/>
              </w:rPr>
            </w:pPr>
            <w:r>
              <w:rPr>
                <w:rFonts w:hint="eastAsia"/>
                <w:color w:val="auto"/>
                <w:highlight w:val="none"/>
              </w:rPr>
              <w:t>7</w:t>
            </w:r>
          </w:p>
        </w:tc>
        <w:tc>
          <w:tcPr>
            <w:tcW w:w="8822" w:type="dxa"/>
          </w:tcPr>
          <w:p w14:paraId="0A0690E9">
            <w:pPr>
              <w:spacing w:line="360" w:lineRule="exact"/>
              <w:jc w:val="left"/>
              <w:rPr>
                <w:color w:val="auto"/>
                <w:highlight w:val="none"/>
              </w:rPr>
            </w:pPr>
            <w:r>
              <w:rPr>
                <w:rFonts w:hint="eastAsia"/>
                <w:color w:val="auto"/>
                <w:highlight w:val="none"/>
              </w:rPr>
              <w:t>数字化手术室生产商需提供ISO 14001认证证书复印件并加盖公章。证书认证范围需包含数字一体化手术室系统。</w:t>
            </w:r>
          </w:p>
        </w:tc>
      </w:tr>
      <w:tr w14:paraId="11008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trPr>
        <w:tc>
          <w:tcPr>
            <w:tcW w:w="838" w:type="dxa"/>
            <w:noWrap/>
          </w:tcPr>
          <w:p w14:paraId="6DFC357E">
            <w:pPr>
              <w:spacing w:line="360" w:lineRule="exact"/>
              <w:jc w:val="center"/>
              <w:rPr>
                <w:color w:val="auto"/>
                <w:highlight w:val="none"/>
              </w:rPr>
            </w:pPr>
            <w:r>
              <w:rPr>
                <w:rFonts w:hint="eastAsia"/>
                <w:color w:val="auto"/>
                <w:highlight w:val="none"/>
              </w:rPr>
              <w:t>8</w:t>
            </w:r>
          </w:p>
        </w:tc>
        <w:tc>
          <w:tcPr>
            <w:tcW w:w="8822" w:type="dxa"/>
          </w:tcPr>
          <w:p w14:paraId="7F7413B3">
            <w:pPr>
              <w:spacing w:line="360" w:lineRule="exact"/>
              <w:jc w:val="left"/>
              <w:rPr>
                <w:color w:val="auto"/>
                <w:highlight w:val="none"/>
              </w:rPr>
            </w:pPr>
            <w:r>
              <w:rPr>
                <w:rFonts w:hint="eastAsia"/>
                <w:color w:val="auto"/>
                <w:highlight w:val="none"/>
              </w:rPr>
              <w:t>数字化手术室生产商需提供ISO 45001认证证书复印件并加盖公章。证书认证范围需包含数字一体化手术室系统。</w:t>
            </w:r>
          </w:p>
        </w:tc>
      </w:tr>
      <w:tr w14:paraId="394FA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trPr>
        <w:tc>
          <w:tcPr>
            <w:tcW w:w="838" w:type="dxa"/>
            <w:noWrap/>
          </w:tcPr>
          <w:p w14:paraId="28260845">
            <w:pPr>
              <w:spacing w:line="360" w:lineRule="exact"/>
              <w:jc w:val="center"/>
              <w:rPr>
                <w:color w:val="auto"/>
                <w:highlight w:val="none"/>
              </w:rPr>
            </w:pPr>
            <w:r>
              <w:rPr>
                <w:rFonts w:hint="eastAsia"/>
                <w:color w:val="auto"/>
                <w:highlight w:val="none"/>
              </w:rPr>
              <w:t>9</w:t>
            </w:r>
          </w:p>
        </w:tc>
        <w:tc>
          <w:tcPr>
            <w:tcW w:w="8822" w:type="dxa"/>
          </w:tcPr>
          <w:p w14:paraId="371C1442">
            <w:pPr>
              <w:spacing w:line="360" w:lineRule="exact"/>
              <w:jc w:val="left"/>
              <w:rPr>
                <w:color w:val="auto"/>
                <w:highlight w:val="none"/>
              </w:rPr>
            </w:pPr>
            <w:r>
              <w:rPr>
                <w:rFonts w:hint="eastAsia"/>
                <w:color w:val="auto"/>
                <w:highlight w:val="none"/>
              </w:rPr>
              <w:t>数字化手术室产品配置清单如包含有本地采购生产的物料，投标产品品牌商的营业执照经营范围需包含研发或开发以及制造或生产字眼，代表其具备相关能力。</w:t>
            </w:r>
          </w:p>
        </w:tc>
      </w:tr>
    </w:tbl>
    <w:p w14:paraId="6C49F7DD">
      <w:pPr>
        <w:spacing w:line="360" w:lineRule="exact"/>
        <w:jc w:val="center"/>
        <w:rPr>
          <w:color w:val="auto"/>
          <w:highlight w:val="none"/>
        </w:rPr>
      </w:pPr>
    </w:p>
    <w:p w14:paraId="2287B1DC">
      <w:pPr>
        <w:spacing w:line="36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第二部分  </w:t>
      </w:r>
      <w:r>
        <w:rPr>
          <w:rFonts w:hint="eastAsia" w:ascii="宋体" w:hAnsi="宋体" w:eastAsia="宋体" w:cs="宋体"/>
          <w:b/>
          <w:color w:val="auto"/>
          <w:sz w:val="24"/>
          <w:szCs w:val="24"/>
          <w:highlight w:val="none"/>
        </w:rPr>
        <w:tab/>
      </w:r>
      <w:r>
        <w:rPr>
          <w:rFonts w:hint="eastAsia" w:ascii="宋体" w:hAnsi="宋体" w:eastAsia="宋体" w:cs="宋体"/>
          <w:b/>
          <w:color w:val="auto"/>
          <w:sz w:val="24"/>
          <w:szCs w:val="24"/>
          <w:highlight w:val="none"/>
        </w:rPr>
        <w:t>数字一体化手术室及示教会议室具体需求描述</w:t>
      </w:r>
    </w:p>
    <w:p w14:paraId="45095943">
      <w:pPr>
        <w:spacing w:line="360" w:lineRule="exact"/>
        <w:jc w:val="center"/>
        <w:rPr>
          <w:color w:val="auto"/>
          <w:highlight w:val="none"/>
        </w:rPr>
      </w:pPr>
    </w:p>
    <w:tbl>
      <w:tblPr>
        <w:tblStyle w:val="26"/>
        <w:tblW w:w="10065" w:type="dxa"/>
        <w:tblInd w:w="-8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02"/>
        <w:gridCol w:w="850"/>
        <w:gridCol w:w="7513"/>
      </w:tblGrid>
      <w:tr w14:paraId="7E404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1702" w:type="dxa"/>
          </w:tcPr>
          <w:p w14:paraId="3DBB2DA2">
            <w:pPr>
              <w:spacing w:line="360" w:lineRule="exact"/>
              <w:jc w:val="center"/>
              <w:rPr>
                <w:b/>
                <w:bCs/>
                <w:color w:val="auto"/>
                <w:highlight w:val="none"/>
              </w:rPr>
            </w:pPr>
            <w:r>
              <w:rPr>
                <w:rFonts w:hint="eastAsia"/>
                <w:b/>
                <w:bCs/>
                <w:color w:val="auto"/>
                <w:highlight w:val="none"/>
              </w:rPr>
              <w:t>类型</w:t>
            </w:r>
          </w:p>
        </w:tc>
        <w:tc>
          <w:tcPr>
            <w:tcW w:w="850" w:type="dxa"/>
          </w:tcPr>
          <w:p w14:paraId="37B128FB">
            <w:pPr>
              <w:spacing w:line="360" w:lineRule="exact"/>
              <w:jc w:val="center"/>
              <w:rPr>
                <w:b/>
                <w:bCs/>
                <w:color w:val="auto"/>
                <w:highlight w:val="none"/>
              </w:rPr>
            </w:pPr>
            <w:r>
              <w:rPr>
                <w:rFonts w:hint="eastAsia"/>
                <w:b/>
                <w:bCs/>
                <w:color w:val="auto"/>
                <w:highlight w:val="none"/>
              </w:rPr>
              <w:t>数量</w:t>
            </w:r>
          </w:p>
        </w:tc>
        <w:tc>
          <w:tcPr>
            <w:tcW w:w="7513" w:type="dxa"/>
          </w:tcPr>
          <w:p w14:paraId="4CC47E95">
            <w:pPr>
              <w:spacing w:line="360" w:lineRule="exact"/>
              <w:jc w:val="center"/>
              <w:rPr>
                <w:b/>
                <w:bCs/>
                <w:color w:val="auto"/>
                <w:highlight w:val="none"/>
              </w:rPr>
            </w:pPr>
            <w:r>
              <w:rPr>
                <w:rFonts w:hint="eastAsia"/>
                <w:b/>
                <w:bCs/>
                <w:color w:val="auto"/>
                <w:highlight w:val="none"/>
              </w:rPr>
              <w:t>功能需求描述</w:t>
            </w:r>
          </w:p>
        </w:tc>
      </w:tr>
      <w:tr w14:paraId="5048F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702" w:type="dxa"/>
            <w:vMerge w:val="restart"/>
          </w:tcPr>
          <w:p w14:paraId="263C183C">
            <w:pPr>
              <w:spacing w:line="360" w:lineRule="exact"/>
              <w:jc w:val="center"/>
              <w:rPr>
                <w:b/>
                <w:bCs/>
                <w:color w:val="auto"/>
                <w:highlight w:val="none"/>
              </w:rPr>
            </w:pPr>
          </w:p>
          <w:p w14:paraId="0A1420E6">
            <w:pPr>
              <w:spacing w:line="360" w:lineRule="exact"/>
              <w:jc w:val="center"/>
              <w:rPr>
                <w:b/>
                <w:bCs/>
                <w:color w:val="auto"/>
                <w:highlight w:val="none"/>
              </w:rPr>
            </w:pPr>
            <w:r>
              <w:rPr>
                <w:rFonts w:hint="eastAsia"/>
                <w:b/>
                <w:bCs/>
                <w:color w:val="auto"/>
                <w:highlight w:val="none"/>
              </w:rPr>
              <w:t>数字一体化手术室</w:t>
            </w:r>
          </w:p>
        </w:tc>
        <w:tc>
          <w:tcPr>
            <w:tcW w:w="850" w:type="dxa"/>
            <w:vMerge w:val="restart"/>
            <w:noWrap/>
          </w:tcPr>
          <w:p w14:paraId="0BC77EA1">
            <w:pPr>
              <w:spacing w:line="360" w:lineRule="exact"/>
              <w:jc w:val="center"/>
              <w:rPr>
                <w:color w:val="auto"/>
                <w:highlight w:val="none"/>
              </w:rPr>
            </w:pPr>
            <w:r>
              <w:rPr>
                <w:rFonts w:hint="eastAsia"/>
                <w:color w:val="auto"/>
                <w:highlight w:val="none"/>
              </w:rPr>
              <w:t>1</w:t>
            </w:r>
          </w:p>
        </w:tc>
        <w:tc>
          <w:tcPr>
            <w:tcW w:w="7513" w:type="dxa"/>
          </w:tcPr>
          <w:p w14:paraId="2436276D">
            <w:pPr>
              <w:spacing w:line="360" w:lineRule="exact"/>
              <w:jc w:val="left"/>
              <w:rPr>
                <w:color w:val="auto"/>
                <w:highlight w:val="none"/>
              </w:rPr>
            </w:pPr>
            <w:r>
              <w:rPr>
                <w:rFonts w:hint="eastAsia"/>
                <w:color w:val="auto"/>
                <w:highlight w:val="none"/>
              </w:rPr>
              <w:t>在手术室墙壁内嵌1台不小于23英寸的数字化手术室触摸控制工作站，包含医用键盘，支持系统一键启动；</w:t>
            </w:r>
          </w:p>
        </w:tc>
      </w:tr>
      <w:tr w14:paraId="26CCF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702" w:type="dxa"/>
            <w:vMerge w:val="continue"/>
          </w:tcPr>
          <w:p w14:paraId="21282DBC">
            <w:pPr>
              <w:spacing w:line="360" w:lineRule="exact"/>
              <w:jc w:val="center"/>
              <w:rPr>
                <w:b/>
                <w:bCs/>
                <w:color w:val="auto"/>
                <w:highlight w:val="none"/>
              </w:rPr>
            </w:pPr>
          </w:p>
        </w:tc>
        <w:tc>
          <w:tcPr>
            <w:tcW w:w="850" w:type="dxa"/>
            <w:vMerge w:val="continue"/>
          </w:tcPr>
          <w:p w14:paraId="4206A732">
            <w:pPr>
              <w:spacing w:line="360" w:lineRule="exact"/>
              <w:jc w:val="center"/>
              <w:rPr>
                <w:color w:val="auto"/>
                <w:highlight w:val="none"/>
              </w:rPr>
            </w:pPr>
          </w:p>
        </w:tc>
        <w:tc>
          <w:tcPr>
            <w:tcW w:w="7513" w:type="dxa"/>
          </w:tcPr>
          <w:p w14:paraId="3E699885">
            <w:pPr>
              <w:spacing w:line="360" w:lineRule="exact"/>
              <w:jc w:val="left"/>
              <w:rPr>
                <w:color w:val="auto"/>
                <w:highlight w:val="none"/>
              </w:rPr>
            </w:pPr>
            <w:r>
              <w:rPr>
                <w:rFonts w:hint="eastAsia"/>
                <w:color w:val="auto"/>
                <w:highlight w:val="none"/>
              </w:rPr>
              <w:t>支持手术室医疗设备</w:t>
            </w:r>
            <w:r>
              <w:rPr>
                <w:rFonts w:hint="eastAsia"/>
                <w:b/>
                <w:bCs/>
                <w:color w:val="auto"/>
                <w:highlight w:val="none"/>
              </w:rPr>
              <w:t>6</w:t>
            </w:r>
            <w:r>
              <w:rPr>
                <w:rFonts w:hint="eastAsia"/>
                <w:color w:val="auto"/>
                <w:highlight w:val="none"/>
              </w:rPr>
              <w:t>路信号源的输入。每路信号均支持1080P分辨率，60fps信号源输入，并支持向下兼容；</w:t>
            </w:r>
          </w:p>
        </w:tc>
      </w:tr>
      <w:tr w14:paraId="68B86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702" w:type="dxa"/>
            <w:vMerge w:val="continue"/>
          </w:tcPr>
          <w:p w14:paraId="2E31E93E">
            <w:pPr>
              <w:spacing w:line="360" w:lineRule="exact"/>
              <w:jc w:val="center"/>
              <w:rPr>
                <w:b/>
                <w:bCs/>
                <w:color w:val="auto"/>
                <w:highlight w:val="none"/>
              </w:rPr>
            </w:pPr>
          </w:p>
        </w:tc>
        <w:tc>
          <w:tcPr>
            <w:tcW w:w="850" w:type="dxa"/>
            <w:vMerge w:val="continue"/>
          </w:tcPr>
          <w:p w14:paraId="33BDF517">
            <w:pPr>
              <w:spacing w:line="360" w:lineRule="exact"/>
              <w:jc w:val="center"/>
              <w:rPr>
                <w:color w:val="auto"/>
                <w:highlight w:val="none"/>
              </w:rPr>
            </w:pPr>
          </w:p>
        </w:tc>
        <w:tc>
          <w:tcPr>
            <w:tcW w:w="7513" w:type="dxa"/>
          </w:tcPr>
          <w:p w14:paraId="6D0DA52D">
            <w:pPr>
              <w:spacing w:line="360" w:lineRule="exact"/>
              <w:jc w:val="left"/>
              <w:rPr>
                <w:color w:val="auto"/>
                <w:highlight w:val="none"/>
              </w:rPr>
            </w:pPr>
            <w:r>
              <w:rPr>
                <w:rFonts w:hint="eastAsia"/>
                <w:color w:val="auto"/>
                <w:highlight w:val="none"/>
              </w:rPr>
              <w:t>可通过手术室嵌墙触屏完成对手术环境的预设，需实现对全景摄像头、背景音乐模块等设备的控制功能；</w:t>
            </w:r>
          </w:p>
        </w:tc>
      </w:tr>
      <w:tr w14:paraId="467B5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702" w:type="dxa"/>
            <w:vMerge w:val="continue"/>
          </w:tcPr>
          <w:p w14:paraId="631BDD7D">
            <w:pPr>
              <w:spacing w:line="360" w:lineRule="exact"/>
              <w:jc w:val="center"/>
              <w:rPr>
                <w:b/>
                <w:bCs/>
                <w:color w:val="auto"/>
                <w:highlight w:val="none"/>
              </w:rPr>
            </w:pPr>
          </w:p>
        </w:tc>
        <w:tc>
          <w:tcPr>
            <w:tcW w:w="850" w:type="dxa"/>
            <w:vMerge w:val="continue"/>
          </w:tcPr>
          <w:p w14:paraId="1CBA6BD5">
            <w:pPr>
              <w:spacing w:line="360" w:lineRule="exact"/>
              <w:jc w:val="center"/>
              <w:rPr>
                <w:color w:val="auto"/>
                <w:highlight w:val="none"/>
              </w:rPr>
            </w:pPr>
          </w:p>
        </w:tc>
        <w:tc>
          <w:tcPr>
            <w:tcW w:w="7513" w:type="dxa"/>
          </w:tcPr>
          <w:p w14:paraId="7DD239C6">
            <w:pPr>
              <w:spacing w:line="360" w:lineRule="exact"/>
              <w:jc w:val="left"/>
              <w:rPr>
                <w:color w:val="auto"/>
                <w:highlight w:val="none"/>
              </w:rPr>
            </w:pPr>
            <w:r>
              <w:rPr>
                <w:rFonts w:hint="eastAsia"/>
                <w:color w:val="auto"/>
                <w:highlight w:val="none"/>
              </w:rPr>
              <w:t>可通过手术室嵌墙触屏完成对接入系统的所有信号源实现1080P刷新率画质的画中画和4分屏控制；</w:t>
            </w:r>
          </w:p>
        </w:tc>
      </w:tr>
      <w:tr w14:paraId="05D73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702" w:type="dxa"/>
            <w:vMerge w:val="continue"/>
          </w:tcPr>
          <w:p w14:paraId="4CDD23C3">
            <w:pPr>
              <w:spacing w:line="360" w:lineRule="exact"/>
              <w:jc w:val="center"/>
              <w:rPr>
                <w:b/>
                <w:bCs/>
                <w:color w:val="auto"/>
                <w:highlight w:val="none"/>
              </w:rPr>
            </w:pPr>
          </w:p>
        </w:tc>
        <w:tc>
          <w:tcPr>
            <w:tcW w:w="850" w:type="dxa"/>
            <w:vMerge w:val="continue"/>
          </w:tcPr>
          <w:p w14:paraId="5A235C8A">
            <w:pPr>
              <w:spacing w:line="360" w:lineRule="exact"/>
              <w:jc w:val="center"/>
              <w:rPr>
                <w:color w:val="auto"/>
                <w:highlight w:val="none"/>
              </w:rPr>
            </w:pPr>
          </w:p>
        </w:tc>
        <w:tc>
          <w:tcPr>
            <w:tcW w:w="7513" w:type="dxa"/>
          </w:tcPr>
          <w:p w14:paraId="4BAEBEF1">
            <w:pPr>
              <w:spacing w:line="360" w:lineRule="exact"/>
              <w:jc w:val="left"/>
              <w:rPr>
                <w:color w:val="auto"/>
                <w:highlight w:val="none"/>
              </w:rPr>
            </w:pPr>
            <w:r>
              <w:rPr>
                <w:rFonts w:hint="eastAsia"/>
                <w:color w:val="auto"/>
                <w:highlight w:val="none"/>
              </w:rPr>
              <w:t>可通过手术室嵌墙触屏发起或加入任意一间4K数字化手术室、示教室、会议室、医院内网办公室的视音频会议；</w:t>
            </w:r>
          </w:p>
        </w:tc>
      </w:tr>
      <w:tr w14:paraId="00FD1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702" w:type="dxa"/>
            <w:vMerge w:val="continue"/>
          </w:tcPr>
          <w:p w14:paraId="324D97A0">
            <w:pPr>
              <w:spacing w:line="360" w:lineRule="exact"/>
              <w:jc w:val="center"/>
              <w:rPr>
                <w:b/>
                <w:bCs/>
                <w:color w:val="auto"/>
                <w:highlight w:val="none"/>
              </w:rPr>
            </w:pPr>
          </w:p>
        </w:tc>
        <w:tc>
          <w:tcPr>
            <w:tcW w:w="850" w:type="dxa"/>
            <w:vMerge w:val="continue"/>
          </w:tcPr>
          <w:p w14:paraId="5CDEDFB1">
            <w:pPr>
              <w:spacing w:line="360" w:lineRule="exact"/>
              <w:jc w:val="center"/>
              <w:rPr>
                <w:color w:val="auto"/>
                <w:highlight w:val="none"/>
              </w:rPr>
            </w:pPr>
          </w:p>
        </w:tc>
        <w:tc>
          <w:tcPr>
            <w:tcW w:w="7513" w:type="dxa"/>
          </w:tcPr>
          <w:p w14:paraId="48B38011">
            <w:pPr>
              <w:spacing w:line="360" w:lineRule="exact"/>
              <w:jc w:val="left"/>
              <w:rPr>
                <w:color w:val="auto"/>
                <w:highlight w:val="none"/>
              </w:rPr>
            </w:pPr>
            <w:r>
              <w:rPr>
                <w:rFonts w:hint="eastAsia"/>
                <w:color w:val="auto"/>
                <w:highlight w:val="none"/>
              </w:rPr>
              <w:t>可通过手术室嵌墙触屏同时完成1080P信号的采集录制功能；</w:t>
            </w:r>
          </w:p>
        </w:tc>
      </w:tr>
      <w:tr w14:paraId="1BA9A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702" w:type="dxa"/>
            <w:vMerge w:val="continue"/>
          </w:tcPr>
          <w:p w14:paraId="72B8D655">
            <w:pPr>
              <w:spacing w:line="360" w:lineRule="exact"/>
              <w:jc w:val="center"/>
              <w:rPr>
                <w:b/>
                <w:bCs/>
                <w:color w:val="auto"/>
                <w:highlight w:val="none"/>
              </w:rPr>
            </w:pPr>
          </w:p>
        </w:tc>
        <w:tc>
          <w:tcPr>
            <w:tcW w:w="850" w:type="dxa"/>
            <w:vMerge w:val="continue"/>
          </w:tcPr>
          <w:p w14:paraId="51EAF9E5">
            <w:pPr>
              <w:spacing w:line="360" w:lineRule="exact"/>
              <w:jc w:val="center"/>
              <w:rPr>
                <w:color w:val="auto"/>
                <w:highlight w:val="none"/>
              </w:rPr>
            </w:pPr>
          </w:p>
        </w:tc>
        <w:tc>
          <w:tcPr>
            <w:tcW w:w="7513" w:type="dxa"/>
          </w:tcPr>
          <w:p w14:paraId="06AE384B">
            <w:pPr>
              <w:spacing w:line="360" w:lineRule="exact"/>
              <w:jc w:val="left"/>
              <w:rPr>
                <w:color w:val="auto"/>
                <w:highlight w:val="none"/>
              </w:rPr>
            </w:pPr>
            <w:r>
              <w:rPr>
                <w:rFonts w:hint="eastAsia"/>
                <w:color w:val="auto"/>
                <w:highlight w:val="none"/>
              </w:rPr>
              <w:t>可通过手术室嵌墙触屏同时完成录制文档和拍摄相片的调阅管理；</w:t>
            </w:r>
          </w:p>
        </w:tc>
      </w:tr>
      <w:tr w14:paraId="1F774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702" w:type="dxa"/>
            <w:vMerge w:val="continue"/>
          </w:tcPr>
          <w:p w14:paraId="6E2D9AAE">
            <w:pPr>
              <w:spacing w:line="360" w:lineRule="exact"/>
              <w:jc w:val="center"/>
              <w:rPr>
                <w:b/>
                <w:bCs/>
                <w:color w:val="auto"/>
                <w:highlight w:val="none"/>
              </w:rPr>
            </w:pPr>
          </w:p>
        </w:tc>
        <w:tc>
          <w:tcPr>
            <w:tcW w:w="850" w:type="dxa"/>
            <w:vMerge w:val="continue"/>
          </w:tcPr>
          <w:p w14:paraId="65B979E0">
            <w:pPr>
              <w:spacing w:line="360" w:lineRule="exact"/>
              <w:jc w:val="center"/>
              <w:rPr>
                <w:color w:val="auto"/>
                <w:highlight w:val="none"/>
              </w:rPr>
            </w:pPr>
          </w:p>
        </w:tc>
        <w:tc>
          <w:tcPr>
            <w:tcW w:w="7513" w:type="dxa"/>
          </w:tcPr>
          <w:p w14:paraId="623EEF6D">
            <w:pPr>
              <w:spacing w:line="360" w:lineRule="exact"/>
              <w:jc w:val="left"/>
              <w:rPr>
                <w:color w:val="auto"/>
                <w:highlight w:val="none"/>
              </w:rPr>
            </w:pPr>
            <w:r>
              <w:rPr>
                <w:rFonts w:hint="eastAsia"/>
                <w:color w:val="auto"/>
                <w:highlight w:val="none"/>
              </w:rPr>
              <w:t>在手术室墙壁内嵌1台4K，65英寸触控大屏，可安装手术室管理系统及PACS、LIS用来支持手术室对于影像和检验信息的调阅和日常操作。同时可通过路由显示采集到的任意图像；支持PACS/LIS图像与显示器实时画面的一键切换</w:t>
            </w:r>
          </w:p>
        </w:tc>
      </w:tr>
      <w:tr w14:paraId="0EBDC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702" w:type="dxa"/>
            <w:vMerge w:val="continue"/>
          </w:tcPr>
          <w:p w14:paraId="24CC0173">
            <w:pPr>
              <w:spacing w:line="360" w:lineRule="exact"/>
              <w:jc w:val="center"/>
              <w:rPr>
                <w:b/>
                <w:bCs/>
                <w:color w:val="auto"/>
                <w:highlight w:val="none"/>
              </w:rPr>
            </w:pPr>
          </w:p>
        </w:tc>
        <w:tc>
          <w:tcPr>
            <w:tcW w:w="850" w:type="dxa"/>
            <w:vMerge w:val="continue"/>
          </w:tcPr>
          <w:p w14:paraId="34C05C50">
            <w:pPr>
              <w:spacing w:line="360" w:lineRule="exact"/>
              <w:jc w:val="center"/>
              <w:rPr>
                <w:color w:val="auto"/>
                <w:highlight w:val="none"/>
              </w:rPr>
            </w:pPr>
          </w:p>
        </w:tc>
        <w:tc>
          <w:tcPr>
            <w:tcW w:w="7513" w:type="dxa"/>
          </w:tcPr>
          <w:p w14:paraId="7BED3221">
            <w:pPr>
              <w:spacing w:line="360" w:lineRule="exact"/>
              <w:jc w:val="left"/>
              <w:rPr>
                <w:color w:val="auto"/>
                <w:highlight w:val="none"/>
              </w:rPr>
            </w:pPr>
            <w:r>
              <w:rPr>
                <w:rFonts w:hint="eastAsia"/>
                <w:color w:val="auto"/>
                <w:highlight w:val="none"/>
              </w:rPr>
              <w:t>安装</w:t>
            </w:r>
            <w:r>
              <w:rPr>
                <w:rFonts w:hint="eastAsia"/>
                <w:b/>
                <w:bCs/>
                <w:color w:val="auto"/>
                <w:highlight w:val="none"/>
              </w:rPr>
              <w:t>1</w:t>
            </w:r>
            <w:r>
              <w:rPr>
                <w:rFonts w:hint="eastAsia"/>
                <w:color w:val="auto"/>
                <w:highlight w:val="none"/>
              </w:rPr>
              <w:t>个全景摄像机，可完成术内外视频互动，摄像头的云台以及画面缩放均可在控制终端界面上进行调节；</w:t>
            </w:r>
          </w:p>
        </w:tc>
      </w:tr>
      <w:tr w14:paraId="16F2E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702" w:type="dxa"/>
            <w:vMerge w:val="continue"/>
          </w:tcPr>
          <w:p w14:paraId="4AAB1594">
            <w:pPr>
              <w:spacing w:line="360" w:lineRule="exact"/>
              <w:jc w:val="center"/>
              <w:rPr>
                <w:b/>
                <w:bCs/>
                <w:color w:val="auto"/>
                <w:highlight w:val="none"/>
              </w:rPr>
            </w:pPr>
          </w:p>
        </w:tc>
        <w:tc>
          <w:tcPr>
            <w:tcW w:w="850" w:type="dxa"/>
            <w:vMerge w:val="continue"/>
          </w:tcPr>
          <w:p w14:paraId="4095CD15">
            <w:pPr>
              <w:spacing w:line="360" w:lineRule="exact"/>
              <w:jc w:val="center"/>
              <w:rPr>
                <w:color w:val="auto"/>
                <w:highlight w:val="none"/>
              </w:rPr>
            </w:pPr>
          </w:p>
        </w:tc>
        <w:tc>
          <w:tcPr>
            <w:tcW w:w="7513" w:type="dxa"/>
          </w:tcPr>
          <w:p w14:paraId="0EFB902D">
            <w:pPr>
              <w:spacing w:line="360" w:lineRule="exact"/>
              <w:jc w:val="left"/>
              <w:rPr>
                <w:color w:val="auto"/>
                <w:highlight w:val="none"/>
              </w:rPr>
            </w:pPr>
            <w:r>
              <w:rPr>
                <w:rFonts w:hint="eastAsia"/>
                <w:color w:val="auto"/>
                <w:highlight w:val="none"/>
              </w:rPr>
              <w:t>数字化供应商与悬吊支臂供应商配合完成安装</w:t>
            </w:r>
            <w:r>
              <w:rPr>
                <w:rFonts w:hint="eastAsia"/>
                <w:b/>
                <w:bCs/>
                <w:color w:val="auto"/>
                <w:highlight w:val="none"/>
              </w:rPr>
              <w:t>2</w:t>
            </w:r>
            <w:r>
              <w:rPr>
                <w:rFonts w:hint="eastAsia"/>
                <w:color w:val="auto"/>
                <w:highlight w:val="none"/>
              </w:rPr>
              <w:t>台27英寸1080P医用显示器，显示器可通过路由显示采集到的任意图像；</w:t>
            </w:r>
          </w:p>
        </w:tc>
      </w:tr>
      <w:tr w14:paraId="73544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702" w:type="dxa"/>
            <w:vMerge w:val="continue"/>
          </w:tcPr>
          <w:p w14:paraId="07442B3D">
            <w:pPr>
              <w:spacing w:line="360" w:lineRule="exact"/>
              <w:jc w:val="center"/>
              <w:rPr>
                <w:b/>
                <w:bCs/>
                <w:color w:val="auto"/>
                <w:highlight w:val="none"/>
              </w:rPr>
            </w:pPr>
          </w:p>
        </w:tc>
        <w:tc>
          <w:tcPr>
            <w:tcW w:w="850" w:type="dxa"/>
            <w:vMerge w:val="continue"/>
          </w:tcPr>
          <w:p w14:paraId="41EF0016">
            <w:pPr>
              <w:spacing w:line="360" w:lineRule="exact"/>
              <w:jc w:val="center"/>
              <w:rPr>
                <w:color w:val="auto"/>
                <w:highlight w:val="none"/>
              </w:rPr>
            </w:pPr>
          </w:p>
        </w:tc>
        <w:tc>
          <w:tcPr>
            <w:tcW w:w="7513" w:type="dxa"/>
          </w:tcPr>
          <w:p w14:paraId="49357E84">
            <w:pPr>
              <w:spacing w:line="360" w:lineRule="exact"/>
              <w:jc w:val="left"/>
              <w:rPr>
                <w:color w:val="auto"/>
                <w:highlight w:val="none"/>
              </w:rPr>
            </w:pPr>
            <w:r>
              <w:rPr>
                <w:rFonts w:hint="eastAsia"/>
                <w:color w:val="auto"/>
                <w:highlight w:val="none"/>
              </w:rPr>
              <w:t xml:space="preserve"> 扩音音箱采用吸顶的安装方式，医生佩戴无线话筒实现语音的互动；</w:t>
            </w:r>
          </w:p>
        </w:tc>
      </w:tr>
      <w:tr w14:paraId="66C87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1702" w:type="dxa"/>
            <w:vMerge w:val="continue"/>
          </w:tcPr>
          <w:p w14:paraId="01EB9BE8">
            <w:pPr>
              <w:spacing w:line="360" w:lineRule="exact"/>
              <w:jc w:val="center"/>
              <w:rPr>
                <w:b/>
                <w:bCs/>
                <w:color w:val="auto"/>
                <w:highlight w:val="none"/>
              </w:rPr>
            </w:pPr>
          </w:p>
        </w:tc>
        <w:tc>
          <w:tcPr>
            <w:tcW w:w="850" w:type="dxa"/>
            <w:vMerge w:val="continue"/>
          </w:tcPr>
          <w:p w14:paraId="6948740B">
            <w:pPr>
              <w:spacing w:line="360" w:lineRule="exact"/>
              <w:jc w:val="center"/>
              <w:rPr>
                <w:color w:val="auto"/>
                <w:highlight w:val="none"/>
              </w:rPr>
            </w:pPr>
          </w:p>
        </w:tc>
        <w:tc>
          <w:tcPr>
            <w:tcW w:w="7513" w:type="dxa"/>
          </w:tcPr>
          <w:p w14:paraId="0E1552C2">
            <w:pPr>
              <w:spacing w:line="360" w:lineRule="exact"/>
              <w:jc w:val="left"/>
              <w:rPr>
                <w:color w:val="auto"/>
                <w:highlight w:val="none"/>
              </w:rPr>
            </w:pPr>
            <w:r>
              <w:rPr>
                <w:rFonts w:hint="eastAsia"/>
                <w:color w:val="auto"/>
                <w:highlight w:val="none"/>
              </w:rPr>
              <w:t>在手术室墙壁内嵌1台不小于23英寸护士工作站，外观及规格与数字化手术室触摸控制工作站保持一直，可用于支持护士日常电脑软件的应用及处理需求，工作软件由院方自行安装；</w:t>
            </w:r>
          </w:p>
        </w:tc>
      </w:tr>
      <w:tr w14:paraId="58B5B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702" w:type="dxa"/>
            <w:vMerge w:val="restart"/>
          </w:tcPr>
          <w:p w14:paraId="3FBF36C1">
            <w:pPr>
              <w:spacing w:line="360" w:lineRule="exact"/>
              <w:jc w:val="center"/>
              <w:rPr>
                <w:b/>
                <w:bCs/>
                <w:color w:val="auto"/>
                <w:highlight w:val="none"/>
              </w:rPr>
            </w:pPr>
            <w:r>
              <w:rPr>
                <w:rFonts w:hint="eastAsia"/>
                <w:b/>
                <w:bCs/>
                <w:color w:val="auto"/>
                <w:highlight w:val="none"/>
              </w:rPr>
              <w:t>会议室</w:t>
            </w:r>
          </w:p>
          <w:p w14:paraId="7780D16F">
            <w:pPr>
              <w:spacing w:line="360" w:lineRule="exact"/>
              <w:jc w:val="center"/>
              <w:rPr>
                <w:b/>
                <w:bCs/>
                <w:color w:val="auto"/>
                <w:highlight w:val="none"/>
              </w:rPr>
            </w:pPr>
            <w:r>
              <w:rPr>
                <w:rFonts w:hint="eastAsia"/>
                <w:b/>
                <w:bCs/>
                <w:color w:val="auto"/>
                <w:highlight w:val="none"/>
              </w:rPr>
              <w:t>（网络版）</w:t>
            </w:r>
          </w:p>
        </w:tc>
        <w:tc>
          <w:tcPr>
            <w:tcW w:w="850" w:type="dxa"/>
            <w:vMerge w:val="restart"/>
            <w:noWrap/>
          </w:tcPr>
          <w:p w14:paraId="29872045">
            <w:pPr>
              <w:spacing w:line="360" w:lineRule="exact"/>
              <w:jc w:val="center"/>
              <w:rPr>
                <w:rFonts w:hint="default" w:eastAsia="宋体"/>
                <w:color w:val="auto"/>
                <w:highlight w:val="none"/>
                <w:lang w:val="en-US" w:eastAsia="zh-CN"/>
              </w:rPr>
            </w:pPr>
            <w:r>
              <w:rPr>
                <w:rFonts w:hint="eastAsia"/>
                <w:color w:val="auto"/>
                <w:highlight w:val="none"/>
                <w:lang w:val="en-US" w:eastAsia="zh-CN"/>
              </w:rPr>
              <w:t>1</w:t>
            </w:r>
          </w:p>
        </w:tc>
        <w:tc>
          <w:tcPr>
            <w:tcW w:w="7513" w:type="dxa"/>
          </w:tcPr>
          <w:p w14:paraId="613DDBAB">
            <w:pPr>
              <w:spacing w:line="360" w:lineRule="exact"/>
              <w:jc w:val="left"/>
              <w:rPr>
                <w:color w:val="auto"/>
                <w:highlight w:val="none"/>
              </w:rPr>
            </w:pPr>
            <w:r>
              <w:rPr>
                <w:rFonts w:hint="eastAsia"/>
                <w:color w:val="auto"/>
                <w:highlight w:val="none"/>
              </w:rPr>
              <w:t>在示教会议室安装1台不小于85英寸的4K显示屏,可通过数字化会议系统实现发起或加入任意一间数字化手术室、示教室、会议室、医院内网办公室的视音频会议</w:t>
            </w:r>
          </w:p>
        </w:tc>
      </w:tr>
      <w:tr w14:paraId="0320A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702" w:type="dxa"/>
            <w:vMerge w:val="continue"/>
          </w:tcPr>
          <w:p w14:paraId="45F3D44F">
            <w:pPr>
              <w:spacing w:line="360" w:lineRule="exact"/>
              <w:jc w:val="center"/>
              <w:rPr>
                <w:b/>
                <w:bCs/>
                <w:color w:val="auto"/>
                <w:highlight w:val="none"/>
              </w:rPr>
            </w:pPr>
          </w:p>
        </w:tc>
        <w:tc>
          <w:tcPr>
            <w:tcW w:w="850" w:type="dxa"/>
            <w:vMerge w:val="continue"/>
          </w:tcPr>
          <w:p w14:paraId="6CAE4F3A">
            <w:pPr>
              <w:spacing w:line="360" w:lineRule="exact"/>
              <w:jc w:val="center"/>
              <w:rPr>
                <w:color w:val="auto"/>
                <w:highlight w:val="none"/>
              </w:rPr>
            </w:pPr>
          </w:p>
        </w:tc>
        <w:tc>
          <w:tcPr>
            <w:tcW w:w="7513" w:type="dxa"/>
          </w:tcPr>
          <w:p w14:paraId="178A677E">
            <w:pPr>
              <w:spacing w:line="360" w:lineRule="exact"/>
              <w:jc w:val="left"/>
              <w:rPr>
                <w:color w:val="auto"/>
                <w:highlight w:val="none"/>
              </w:rPr>
            </w:pPr>
            <w:r>
              <w:rPr>
                <w:rFonts w:hint="eastAsia"/>
                <w:color w:val="auto"/>
                <w:highlight w:val="none"/>
              </w:rPr>
              <w:t>可发起或加入任意一间数字化手术室、示教室、会议室、医院内网办公室的视音频会议</w:t>
            </w:r>
          </w:p>
        </w:tc>
      </w:tr>
      <w:tr w14:paraId="4D1C7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702" w:type="dxa"/>
            <w:vMerge w:val="continue"/>
          </w:tcPr>
          <w:p w14:paraId="29F67A81">
            <w:pPr>
              <w:spacing w:line="360" w:lineRule="exact"/>
              <w:jc w:val="center"/>
              <w:rPr>
                <w:b/>
                <w:bCs/>
                <w:color w:val="auto"/>
                <w:highlight w:val="none"/>
              </w:rPr>
            </w:pPr>
          </w:p>
        </w:tc>
        <w:tc>
          <w:tcPr>
            <w:tcW w:w="850" w:type="dxa"/>
            <w:vMerge w:val="continue"/>
          </w:tcPr>
          <w:p w14:paraId="6C849AB4">
            <w:pPr>
              <w:spacing w:line="360" w:lineRule="exact"/>
              <w:jc w:val="center"/>
              <w:rPr>
                <w:color w:val="auto"/>
                <w:highlight w:val="none"/>
              </w:rPr>
            </w:pPr>
          </w:p>
        </w:tc>
        <w:tc>
          <w:tcPr>
            <w:tcW w:w="7513" w:type="dxa"/>
          </w:tcPr>
          <w:p w14:paraId="6E112A68">
            <w:pPr>
              <w:spacing w:line="360" w:lineRule="exact"/>
              <w:jc w:val="left"/>
              <w:rPr>
                <w:color w:val="auto"/>
                <w:highlight w:val="none"/>
              </w:rPr>
            </w:pPr>
            <w:r>
              <w:rPr>
                <w:rFonts w:hint="eastAsia"/>
                <w:color w:val="auto"/>
                <w:highlight w:val="none"/>
              </w:rPr>
              <w:t>可同时完成对录制文档和拍摄相片的调阅、删除，信息编辑；</w:t>
            </w:r>
          </w:p>
        </w:tc>
      </w:tr>
    </w:tbl>
    <w:p w14:paraId="513A09F9">
      <w:pPr>
        <w:spacing w:line="360" w:lineRule="exact"/>
        <w:jc w:val="both"/>
        <w:rPr>
          <w:rFonts w:hint="eastAsia" w:ascii="宋体" w:hAnsi="宋体" w:eastAsia="宋体" w:cs="宋体"/>
          <w:b/>
          <w:color w:val="auto"/>
          <w:sz w:val="24"/>
          <w:szCs w:val="24"/>
          <w:highlight w:val="none"/>
        </w:rPr>
      </w:pPr>
    </w:p>
    <w:p w14:paraId="348DF7C2">
      <w:pPr>
        <w:spacing w:line="36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第三部分  数字一体化手术室项目设备需求清单</w:t>
      </w:r>
    </w:p>
    <w:p w14:paraId="67F83606">
      <w:pPr>
        <w:spacing w:line="360" w:lineRule="exact"/>
        <w:jc w:val="center"/>
        <w:rPr>
          <w:color w:val="auto"/>
          <w:highlight w:val="none"/>
        </w:rPr>
      </w:pPr>
    </w:p>
    <w:tbl>
      <w:tblPr>
        <w:tblStyle w:val="26"/>
        <w:tblW w:w="9923" w:type="dxa"/>
        <w:tblInd w:w="-7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9"/>
        <w:gridCol w:w="2695"/>
        <w:gridCol w:w="5527"/>
        <w:gridCol w:w="992"/>
      </w:tblGrid>
      <w:tr w14:paraId="48AE0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trPr>
        <w:tc>
          <w:tcPr>
            <w:tcW w:w="8931" w:type="dxa"/>
            <w:gridSpan w:val="3"/>
          </w:tcPr>
          <w:p w14:paraId="2AE8DAF1">
            <w:pPr>
              <w:spacing w:line="360" w:lineRule="exact"/>
              <w:jc w:val="center"/>
              <w:rPr>
                <w:b/>
                <w:bCs/>
                <w:color w:val="auto"/>
                <w:highlight w:val="none"/>
              </w:rPr>
            </w:pPr>
            <w:r>
              <w:rPr>
                <w:rFonts w:hint="eastAsia"/>
                <w:b/>
                <w:bCs/>
                <w:color w:val="auto"/>
                <w:highlight w:val="none"/>
              </w:rPr>
              <w:t>数字一体化手术室</w:t>
            </w:r>
          </w:p>
        </w:tc>
        <w:tc>
          <w:tcPr>
            <w:tcW w:w="992" w:type="dxa"/>
          </w:tcPr>
          <w:p w14:paraId="6B9895C5">
            <w:pPr>
              <w:spacing w:line="360" w:lineRule="exact"/>
              <w:jc w:val="center"/>
              <w:rPr>
                <w:rFonts w:hint="default" w:eastAsia="宋体"/>
                <w:b/>
                <w:bCs/>
                <w:color w:val="auto"/>
                <w:highlight w:val="none"/>
                <w:lang w:val="en-US" w:eastAsia="zh-CN"/>
              </w:rPr>
            </w:pPr>
            <w:r>
              <w:rPr>
                <w:rFonts w:hint="eastAsia"/>
                <w:b/>
                <w:bCs/>
                <w:color w:val="auto"/>
                <w:highlight w:val="none"/>
                <w:lang w:val="en-US" w:eastAsia="zh-CN"/>
              </w:rPr>
              <w:t>1间</w:t>
            </w:r>
          </w:p>
        </w:tc>
      </w:tr>
      <w:tr w14:paraId="7D879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trPr>
        <w:tc>
          <w:tcPr>
            <w:tcW w:w="709" w:type="dxa"/>
          </w:tcPr>
          <w:p w14:paraId="3236E76B">
            <w:pPr>
              <w:spacing w:line="360" w:lineRule="exact"/>
              <w:jc w:val="center"/>
              <w:rPr>
                <w:b/>
                <w:bCs/>
                <w:color w:val="auto"/>
                <w:highlight w:val="none"/>
              </w:rPr>
            </w:pPr>
            <w:r>
              <w:rPr>
                <w:rFonts w:hint="eastAsia"/>
                <w:b/>
                <w:bCs/>
                <w:color w:val="auto"/>
                <w:highlight w:val="none"/>
              </w:rPr>
              <w:t>序号</w:t>
            </w:r>
          </w:p>
        </w:tc>
        <w:tc>
          <w:tcPr>
            <w:tcW w:w="2695" w:type="dxa"/>
          </w:tcPr>
          <w:p w14:paraId="542CEDD6">
            <w:pPr>
              <w:spacing w:line="360" w:lineRule="exact"/>
              <w:jc w:val="center"/>
              <w:rPr>
                <w:b/>
                <w:bCs/>
                <w:color w:val="auto"/>
                <w:highlight w:val="none"/>
              </w:rPr>
            </w:pPr>
            <w:r>
              <w:rPr>
                <w:rFonts w:hint="eastAsia"/>
                <w:b/>
                <w:bCs/>
                <w:color w:val="auto"/>
                <w:highlight w:val="none"/>
              </w:rPr>
              <w:t>功能模块</w:t>
            </w:r>
          </w:p>
        </w:tc>
        <w:tc>
          <w:tcPr>
            <w:tcW w:w="5527" w:type="dxa"/>
          </w:tcPr>
          <w:p w14:paraId="08B6C991">
            <w:pPr>
              <w:spacing w:line="360" w:lineRule="exact"/>
              <w:jc w:val="center"/>
              <w:rPr>
                <w:b/>
                <w:bCs/>
                <w:color w:val="auto"/>
                <w:highlight w:val="none"/>
              </w:rPr>
            </w:pPr>
            <w:r>
              <w:rPr>
                <w:rFonts w:hint="eastAsia"/>
                <w:b/>
                <w:bCs/>
                <w:color w:val="auto"/>
                <w:highlight w:val="none"/>
              </w:rPr>
              <w:t>产品项目</w:t>
            </w:r>
          </w:p>
        </w:tc>
        <w:tc>
          <w:tcPr>
            <w:tcW w:w="992" w:type="dxa"/>
          </w:tcPr>
          <w:p w14:paraId="30617D86">
            <w:pPr>
              <w:spacing w:line="360" w:lineRule="exact"/>
              <w:jc w:val="center"/>
              <w:rPr>
                <w:b/>
                <w:bCs/>
                <w:color w:val="auto"/>
                <w:highlight w:val="none"/>
              </w:rPr>
            </w:pPr>
            <w:r>
              <w:rPr>
                <w:rFonts w:hint="eastAsia"/>
                <w:b/>
                <w:bCs/>
                <w:color w:val="auto"/>
                <w:highlight w:val="none"/>
              </w:rPr>
              <w:t>数量</w:t>
            </w:r>
          </w:p>
        </w:tc>
      </w:tr>
      <w:tr w14:paraId="0253E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9" w:type="dxa"/>
            <w:noWrap/>
          </w:tcPr>
          <w:p w14:paraId="789B9F53">
            <w:pPr>
              <w:spacing w:line="360" w:lineRule="exact"/>
              <w:jc w:val="center"/>
              <w:rPr>
                <w:color w:val="auto"/>
                <w:highlight w:val="none"/>
              </w:rPr>
            </w:pPr>
            <w:r>
              <w:rPr>
                <w:rFonts w:hint="eastAsia"/>
                <w:color w:val="auto"/>
                <w:highlight w:val="none"/>
              </w:rPr>
              <w:t>1</w:t>
            </w:r>
          </w:p>
        </w:tc>
        <w:tc>
          <w:tcPr>
            <w:tcW w:w="2695" w:type="dxa"/>
            <w:vMerge w:val="restart"/>
            <w:noWrap/>
          </w:tcPr>
          <w:p w14:paraId="4B19D2BF">
            <w:pPr>
              <w:spacing w:line="360" w:lineRule="exact"/>
              <w:jc w:val="center"/>
              <w:rPr>
                <w:color w:val="auto"/>
                <w:highlight w:val="none"/>
              </w:rPr>
            </w:pPr>
            <w:r>
              <w:rPr>
                <w:rFonts w:hint="eastAsia"/>
                <w:color w:val="auto"/>
                <w:highlight w:val="none"/>
              </w:rPr>
              <w:t>中央处理系统</w:t>
            </w:r>
          </w:p>
        </w:tc>
        <w:tc>
          <w:tcPr>
            <w:tcW w:w="5527" w:type="dxa"/>
          </w:tcPr>
          <w:p w14:paraId="256DC180">
            <w:pPr>
              <w:spacing w:line="360" w:lineRule="exact"/>
              <w:jc w:val="center"/>
              <w:rPr>
                <w:color w:val="auto"/>
                <w:highlight w:val="none"/>
              </w:rPr>
            </w:pPr>
            <w:r>
              <w:rPr>
                <w:rFonts w:hint="eastAsia"/>
                <w:color w:val="auto"/>
                <w:highlight w:val="none"/>
              </w:rPr>
              <w:t>数字一体化手术室系统主机(手术室)</w:t>
            </w:r>
          </w:p>
        </w:tc>
        <w:tc>
          <w:tcPr>
            <w:tcW w:w="992" w:type="dxa"/>
            <w:noWrap/>
          </w:tcPr>
          <w:p w14:paraId="035E100D">
            <w:pPr>
              <w:spacing w:line="360" w:lineRule="exact"/>
              <w:jc w:val="center"/>
              <w:rPr>
                <w:color w:val="auto"/>
                <w:highlight w:val="none"/>
              </w:rPr>
            </w:pPr>
            <w:r>
              <w:rPr>
                <w:rFonts w:hint="eastAsia"/>
                <w:color w:val="auto"/>
                <w:highlight w:val="none"/>
              </w:rPr>
              <w:t>1</w:t>
            </w:r>
          </w:p>
        </w:tc>
      </w:tr>
      <w:tr w14:paraId="39585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9" w:type="dxa"/>
            <w:noWrap/>
          </w:tcPr>
          <w:p w14:paraId="17EAC3FD">
            <w:pPr>
              <w:spacing w:line="360" w:lineRule="exact"/>
              <w:jc w:val="center"/>
              <w:rPr>
                <w:color w:val="auto"/>
                <w:highlight w:val="none"/>
              </w:rPr>
            </w:pPr>
            <w:r>
              <w:rPr>
                <w:rFonts w:hint="eastAsia"/>
                <w:color w:val="auto"/>
                <w:highlight w:val="none"/>
              </w:rPr>
              <w:t>2</w:t>
            </w:r>
          </w:p>
        </w:tc>
        <w:tc>
          <w:tcPr>
            <w:tcW w:w="2695" w:type="dxa"/>
            <w:vMerge w:val="continue"/>
          </w:tcPr>
          <w:p w14:paraId="0E57DF22">
            <w:pPr>
              <w:spacing w:line="360" w:lineRule="exact"/>
              <w:jc w:val="center"/>
              <w:rPr>
                <w:color w:val="auto"/>
                <w:highlight w:val="none"/>
              </w:rPr>
            </w:pPr>
          </w:p>
        </w:tc>
        <w:tc>
          <w:tcPr>
            <w:tcW w:w="5527" w:type="dxa"/>
          </w:tcPr>
          <w:p w14:paraId="00633A97">
            <w:pPr>
              <w:spacing w:line="360" w:lineRule="exact"/>
              <w:jc w:val="center"/>
              <w:rPr>
                <w:color w:val="auto"/>
                <w:highlight w:val="none"/>
              </w:rPr>
            </w:pPr>
            <w:r>
              <w:rPr>
                <w:rFonts w:hint="eastAsia"/>
                <w:color w:val="auto"/>
                <w:highlight w:val="none"/>
              </w:rPr>
              <w:t>中央触控终端（嵌入式）</w:t>
            </w:r>
          </w:p>
        </w:tc>
        <w:tc>
          <w:tcPr>
            <w:tcW w:w="992" w:type="dxa"/>
            <w:noWrap/>
          </w:tcPr>
          <w:p w14:paraId="35158A79">
            <w:pPr>
              <w:spacing w:line="360" w:lineRule="exact"/>
              <w:jc w:val="center"/>
              <w:rPr>
                <w:color w:val="auto"/>
                <w:highlight w:val="none"/>
              </w:rPr>
            </w:pPr>
            <w:r>
              <w:rPr>
                <w:rFonts w:hint="eastAsia"/>
                <w:color w:val="auto"/>
                <w:highlight w:val="none"/>
              </w:rPr>
              <w:t>1</w:t>
            </w:r>
          </w:p>
        </w:tc>
      </w:tr>
      <w:tr w14:paraId="7C5E3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9" w:type="dxa"/>
            <w:noWrap/>
          </w:tcPr>
          <w:p w14:paraId="1A48D8D5">
            <w:pPr>
              <w:spacing w:line="360" w:lineRule="exact"/>
              <w:jc w:val="center"/>
              <w:rPr>
                <w:color w:val="auto"/>
                <w:highlight w:val="none"/>
              </w:rPr>
            </w:pPr>
            <w:r>
              <w:rPr>
                <w:rFonts w:hint="eastAsia"/>
                <w:color w:val="auto"/>
                <w:highlight w:val="none"/>
              </w:rPr>
              <w:t>3</w:t>
            </w:r>
          </w:p>
        </w:tc>
        <w:tc>
          <w:tcPr>
            <w:tcW w:w="2695" w:type="dxa"/>
            <w:vMerge w:val="continue"/>
          </w:tcPr>
          <w:p w14:paraId="779CB254">
            <w:pPr>
              <w:spacing w:line="360" w:lineRule="exact"/>
              <w:jc w:val="center"/>
              <w:rPr>
                <w:color w:val="auto"/>
                <w:highlight w:val="none"/>
              </w:rPr>
            </w:pPr>
          </w:p>
        </w:tc>
        <w:tc>
          <w:tcPr>
            <w:tcW w:w="5527" w:type="dxa"/>
          </w:tcPr>
          <w:p w14:paraId="2005406C">
            <w:pPr>
              <w:spacing w:line="360" w:lineRule="exact"/>
              <w:jc w:val="center"/>
              <w:rPr>
                <w:color w:val="auto"/>
                <w:highlight w:val="none"/>
              </w:rPr>
            </w:pPr>
            <w:r>
              <w:rPr>
                <w:rFonts w:hint="eastAsia"/>
                <w:color w:val="auto"/>
                <w:highlight w:val="none"/>
              </w:rPr>
              <w:t>交换机</w:t>
            </w:r>
          </w:p>
        </w:tc>
        <w:tc>
          <w:tcPr>
            <w:tcW w:w="992" w:type="dxa"/>
            <w:noWrap/>
          </w:tcPr>
          <w:p w14:paraId="0FC282C7">
            <w:pPr>
              <w:spacing w:line="360" w:lineRule="exact"/>
              <w:jc w:val="center"/>
              <w:rPr>
                <w:color w:val="auto"/>
                <w:highlight w:val="none"/>
              </w:rPr>
            </w:pPr>
            <w:r>
              <w:rPr>
                <w:rFonts w:hint="eastAsia"/>
                <w:color w:val="auto"/>
                <w:highlight w:val="none"/>
              </w:rPr>
              <w:t>1</w:t>
            </w:r>
          </w:p>
        </w:tc>
      </w:tr>
      <w:tr w14:paraId="21880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9" w:type="dxa"/>
            <w:noWrap/>
          </w:tcPr>
          <w:p w14:paraId="1F479EDB">
            <w:pPr>
              <w:spacing w:line="360" w:lineRule="exact"/>
              <w:jc w:val="center"/>
              <w:rPr>
                <w:color w:val="auto"/>
                <w:highlight w:val="none"/>
              </w:rPr>
            </w:pPr>
            <w:r>
              <w:rPr>
                <w:rFonts w:hint="eastAsia"/>
                <w:color w:val="auto"/>
                <w:highlight w:val="none"/>
              </w:rPr>
              <w:t>4</w:t>
            </w:r>
          </w:p>
        </w:tc>
        <w:tc>
          <w:tcPr>
            <w:tcW w:w="2695" w:type="dxa"/>
            <w:vMerge w:val="continue"/>
          </w:tcPr>
          <w:p w14:paraId="0C73621B">
            <w:pPr>
              <w:spacing w:line="360" w:lineRule="exact"/>
              <w:jc w:val="center"/>
              <w:rPr>
                <w:color w:val="auto"/>
                <w:highlight w:val="none"/>
              </w:rPr>
            </w:pPr>
          </w:p>
        </w:tc>
        <w:tc>
          <w:tcPr>
            <w:tcW w:w="5527" w:type="dxa"/>
          </w:tcPr>
          <w:p w14:paraId="3181D210">
            <w:pPr>
              <w:spacing w:line="360" w:lineRule="exact"/>
              <w:jc w:val="center"/>
              <w:rPr>
                <w:color w:val="auto"/>
                <w:highlight w:val="none"/>
              </w:rPr>
            </w:pPr>
            <w:r>
              <w:rPr>
                <w:rFonts w:hint="eastAsia"/>
                <w:color w:val="auto"/>
                <w:highlight w:val="none"/>
              </w:rPr>
              <w:t>视频画面处理器（手术室）</w:t>
            </w:r>
          </w:p>
        </w:tc>
        <w:tc>
          <w:tcPr>
            <w:tcW w:w="992" w:type="dxa"/>
            <w:noWrap/>
          </w:tcPr>
          <w:p w14:paraId="4DFE9FF9">
            <w:pPr>
              <w:spacing w:line="360" w:lineRule="exact"/>
              <w:jc w:val="center"/>
              <w:rPr>
                <w:color w:val="auto"/>
                <w:highlight w:val="none"/>
              </w:rPr>
            </w:pPr>
            <w:r>
              <w:rPr>
                <w:rFonts w:hint="eastAsia"/>
                <w:color w:val="auto"/>
                <w:highlight w:val="none"/>
              </w:rPr>
              <w:t>1</w:t>
            </w:r>
          </w:p>
        </w:tc>
      </w:tr>
      <w:tr w14:paraId="3892A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9" w:type="dxa"/>
            <w:noWrap/>
          </w:tcPr>
          <w:p w14:paraId="6A9FF53A">
            <w:pPr>
              <w:spacing w:line="360" w:lineRule="exact"/>
              <w:jc w:val="center"/>
              <w:rPr>
                <w:color w:val="auto"/>
                <w:highlight w:val="none"/>
              </w:rPr>
            </w:pPr>
            <w:r>
              <w:rPr>
                <w:rFonts w:hint="eastAsia"/>
                <w:color w:val="auto"/>
                <w:highlight w:val="none"/>
              </w:rPr>
              <w:t>5</w:t>
            </w:r>
          </w:p>
        </w:tc>
        <w:tc>
          <w:tcPr>
            <w:tcW w:w="2695" w:type="dxa"/>
            <w:vMerge w:val="continue"/>
          </w:tcPr>
          <w:p w14:paraId="7753D8FA">
            <w:pPr>
              <w:spacing w:line="360" w:lineRule="exact"/>
              <w:jc w:val="center"/>
              <w:rPr>
                <w:color w:val="auto"/>
                <w:highlight w:val="none"/>
              </w:rPr>
            </w:pPr>
          </w:p>
        </w:tc>
        <w:tc>
          <w:tcPr>
            <w:tcW w:w="5527" w:type="dxa"/>
          </w:tcPr>
          <w:p w14:paraId="7B516D78">
            <w:pPr>
              <w:spacing w:line="360" w:lineRule="exact"/>
              <w:jc w:val="center"/>
              <w:rPr>
                <w:color w:val="auto"/>
                <w:highlight w:val="none"/>
              </w:rPr>
            </w:pPr>
            <w:r>
              <w:rPr>
                <w:rFonts w:hint="eastAsia"/>
                <w:color w:val="auto"/>
                <w:highlight w:val="none"/>
              </w:rPr>
              <w:t>音频功放</w:t>
            </w:r>
          </w:p>
        </w:tc>
        <w:tc>
          <w:tcPr>
            <w:tcW w:w="992" w:type="dxa"/>
            <w:noWrap/>
          </w:tcPr>
          <w:p w14:paraId="0EEA3378">
            <w:pPr>
              <w:spacing w:line="360" w:lineRule="exact"/>
              <w:jc w:val="center"/>
              <w:rPr>
                <w:color w:val="auto"/>
                <w:highlight w:val="none"/>
              </w:rPr>
            </w:pPr>
            <w:r>
              <w:rPr>
                <w:rFonts w:hint="eastAsia"/>
                <w:color w:val="auto"/>
                <w:highlight w:val="none"/>
              </w:rPr>
              <w:t>1</w:t>
            </w:r>
          </w:p>
        </w:tc>
      </w:tr>
      <w:tr w14:paraId="039A9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9" w:type="dxa"/>
            <w:noWrap/>
          </w:tcPr>
          <w:p w14:paraId="63201E0E">
            <w:pPr>
              <w:spacing w:line="360" w:lineRule="exact"/>
              <w:jc w:val="center"/>
              <w:rPr>
                <w:color w:val="auto"/>
                <w:highlight w:val="none"/>
              </w:rPr>
            </w:pPr>
            <w:r>
              <w:rPr>
                <w:rFonts w:hint="eastAsia"/>
                <w:color w:val="auto"/>
                <w:highlight w:val="none"/>
              </w:rPr>
              <w:t>6</w:t>
            </w:r>
          </w:p>
        </w:tc>
        <w:tc>
          <w:tcPr>
            <w:tcW w:w="2695" w:type="dxa"/>
            <w:vMerge w:val="restart"/>
            <w:noWrap/>
          </w:tcPr>
          <w:p w14:paraId="748E92AF">
            <w:pPr>
              <w:spacing w:line="360" w:lineRule="exact"/>
              <w:jc w:val="center"/>
              <w:rPr>
                <w:color w:val="auto"/>
                <w:highlight w:val="none"/>
              </w:rPr>
            </w:pPr>
            <w:r>
              <w:rPr>
                <w:rFonts w:hint="eastAsia"/>
                <w:color w:val="auto"/>
                <w:highlight w:val="none"/>
              </w:rPr>
              <w:t>视频编解码设备</w:t>
            </w:r>
          </w:p>
        </w:tc>
        <w:tc>
          <w:tcPr>
            <w:tcW w:w="5527" w:type="dxa"/>
          </w:tcPr>
          <w:p w14:paraId="16BC0CFD">
            <w:pPr>
              <w:spacing w:line="360" w:lineRule="exact"/>
              <w:jc w:val="center"/>
              <w:rPr>
                <w:color w:val="auto"/>
                <w:highlight w:val="none"/>
              </w:rPr>
            </w:pPr>
            <w:r>
              <w:rPr>
                <w:rFonts w:hint="eastAsia"/>
                <w:color w:val="auto"/>
                <w:highlight w:val="none"/>
              </w:rPr>
              <w:t>全景编码器</w:t>
            </w:r>
          </w:p>
        </w:tc>
        <w:tc>
          <w:tcPr>
            <w:tcW w:w="992" w:type="dxa"/>
            <w:noWrap/>
          </w:tcPr>
          <w:p w14:paraId="0C84FD29">
            <w:pPr>
              <w:spacing w:line="360" w:lineRule="exact"/>
              <w:jc w:val="center"/>
              <w:rPr>
                <w:color w:val="auto"/>
                <w:highlight w:val="none"/>
              </w:rPr>
            </w:pPr>
            <w:r>
              <w:rPr>
                <w:rFonts w:hint="eastAsia"/>
                <w:color w:val="auto"/>
                <w:highlight w:val="none"/>
              </w:rPr>
              <w:t>1</w:t>
            </w:r>
          </w:p>
        </w:tc>
      </w:tr>
      <w:tr w14:paraId="66F6D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9" w:type="dxa"/>
            <w:noWrap/>
          </w:tcPr>
          <w:p w14:paraId="579DE5E9">
            <w:pPr>
              <w:spacing w:line="360" w:lineRule="exact"/>
              <w:jc w:val="center"/>
              <w:rPr>
                <w:color w:val="auto"/>
                <w:highlight w:val="none"/>
              </w:rPr>
            </w:pPr>
            <w:r>
              <w:rPr>
                <w:rFonts w:hint="eastAsia"/>
                <w:color w:val="auto"/>
                <w:highlight w:val="none"/>
              </w:rPr>
              <w:t>7</w:t>
            </w:r>
          </w:p>
        </w:tc>
        <w:tc>
          <w:tcPr>
            <w:tcW w:w="2695" w:type="dxa"/>
            <w:vMerge w:val="continue"/>
          </w:tcPr>
          <w:p w14:paraId="0E248683">
            <w:pPr>
              <w:spacing w:line="360" w:lineRule="exact"/>
              <w:jc w:val="center"/>
              <w:rPr>
                <w:color w:val="auto"/>
                <w:highlight w:val="none"/>
              </w:rPr>
            </w:pPr>
          </w:p>
        </w:tc>
        <w:tc>
          <w:tcPr>
            <w:tcW w:w="5527" w:type="dxa"/>
          </w:tcPr>
          <w:p w14:paraId="3740E969">
            <w:pPr>
              <w:spacing w:line="360" w:lineRule="exact"/>
              <w:jc w:val="center"/>
              <w:rPr>
                <w:color w:val="auto"/>
                <w:highlight w:val="none"/>
              </w:rPr>
            </w:pPr>
            <w:r>
              <w:rPr>
                <w:rFonts w:hint="eastAsia"/>
                <w:color w:val="auto"/>
                <w:highlight w:val="none"/>
              </w:rPr>
              <w:t>视频编码器</w:t>
            </w:r>
          </w:p>
        </w:tc>
        <w:tc>
          <w:tcPr>
            <w:tcW w:w="992" w:type="dxa"/>
            <w:noWrap/>
          </w:tcPr>
          <w:p w14:paraId="42A3B388">
            <w:pPr>
              <w:spacing w:line="360" w:lineRule="exact"/>
              <w:jc w:val="center"/>
              <w:rPr>
                <w:color w:val="auto"/>
                <w:highlight w:val="none"/>
              </w:rPr>
            </w:pPr>
            <w:r>
              <w:rPr>
                <w:rFonts w:hint="eastAsia"/>
                <w:color w:val="auto"/>
                <w:highlight w:val="none"/>
              </w:rPr>
              <w:t>5</w:t>
            </w:r>
          </w:p>
        </w:tc>
      </w:tr>
      <w:tr w14:paraId="779A3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9" w:type="dxa"/>
            <w:noWrap/>
          </w:tcPr>
          <w:p w14:paraId="2E9FBD37">
            <w:pPr>
              <w:spacing w:line="360" w:lineRule="exact"/>
              <w:jc w:val="center"/>
              <w:rPr>
                <w:color w:val="auto"/>
                <w:highlight w:val="none"/>
              </w:rPr>
            </w:pPr>
            <w:r>
              <w:rPr>
                <w:rFonts w:hint="eastAsia"/>
                <w:color w:val="auto"/>
                <w:highlight w:val="none"/>
              </w:rPr>
              <w:t>8</w:t>
            </w:r>
          </w:p>
        </w:tc>
        <w:tc>
          <w:tcPr>
            <w:tcW w:w="2695" w:type="dxa"/>
            <w:vMerge w:val="continue"/>
          </w:tcPr>
          <w:p w14:paraId="4002AD10">
            <w:pPr>
              <w:spacing w:line="360" w:lineRule="exact"/>
              <w:jc w:val="center"/>
              <w:rPr>
                <w:color w:val="auto"/>
                <w:highlight w:val="none"/>
              </w:rPr>
            </w:pPr>
          </w:p>
        </w:tc>
        <w:tc>
          <w:tcPr>
            <w:tcW w:w="5527" w:type="dxa"/>
          </w:tcPr>
          <w:p w14:paraId="3337C2DB">
            <w:pPr>
              <w:spacing w:line="360" w:lineRule="exact"/>
              <w:jc w:val="center"/>
              <w:rPr>
                <w:color w:val="auto"/>
                <w:highlight w:val="none"/>
              </w:rPr>
            </w:pPr>
            <w:r>
              <w:rPr>
                <w:rFonts w:hint="eastAsia"/>
                <w:color w:val="auto"/>
                <w:highlight w:val="none"/>
              </w:rPr>
              <w:t>视频解码器</w:t>
            </w:r>
          </w:p>
        </w:tc>
        <w:tc>
          <w:tcPr>
            <w:tcW w:w="992" w:type="dxa"/>
            <w:noWrap/>
          </w:tcPr>
          <w:p w14:paraId="4EB3288D">
            <w:pPr>
              <w:spacing w:line="360" w:lineRule="exact"/>
              <w:jc w:val="center"/>
              <w:rPr>
                <w:color w:val="auto"/>
                <w:highlight w:val="none"/>
              </w:rPr>
            </w:pPr>
            <w:r>
              <w:rPr>
                <w:rFonts w:hint="eastAsia"/>
                <w:color w:val="auto"/>
                <w:highlight w:val="none"/>
              </w:rPr>
              <w:t>3</w:t>
            </w:r>
          </w:p>
        </w:tc>
      </w:tr>
      <w:tr w14:paraId="67828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9" w:type="dxa"/>
            <w:noWrap/>
          </w:tcPr>
          <w:p w14:paraId="7D0E0A2C">
            <w:pPr>
              <w:spacing w:line="360" w:lineRule="exact"/>
              <w:jc w:val="center"/>
              <w:rPr>
                <w:color w:val="auto"/>
                <w:highlight w:val="none"/>
              </w:rPr>
            </w:pPr>
            <w:r>
              <w:rPr>
                <w:rFonts w:hint="eastAsia"/>
                <w:color w:val="auto"/>
                <w:highlight w:val="none"/>
              </w:rPr>
              <w:t>9</w:t>
            </w:r>
          </w:p>
        </w:tc>
        <w:tc>
          <w:tcPr>
            <w:tcW w:w="2695" w:type="dxa"/>
            <w:vMerge w:val="restart"/>
            <w:noWrap/>
          </w:tcPr>
          <w:p w14:paraId="318490AC">
            <w:pPr>
              <w:spacing w:line="360" w:lineRule="exact"/>
              <w:jc w:val="center"/>
              <w:rPr>
                <w:color w:val="auto"/>
                <w:highlight w:val="none"/>
              </w:rPr>
            </w:pPr>
            <w:r>
              <w:rPr>
                <w:rFonts w:hint="eastAsia"/>
                <w:color w:val="auto"/>
                <w:highlight w:val="none"/>
              </w:rPr>
              <w:t>视频显示设备</w:t>
            </w:r>
          </w:p>
        </w:tc>
        <w:tc>
          <w:tcPr>
            <w:tcW w:w="5527" w:type="dxa"/>
          </w:tcPr>
          <w:p w14:paraId="3C5AAC00">
            <w:pPr>
              <w:spacing w:line="360" w:lineRule="exact"/>
              <w:jc w:val="center"/>
              <w:rPr>
                <w:color w:val="auto"/>
                <w:highlight w:val="none"/>
              </w:rPr>
            </w:pPr>
            <w:r>
              <w:rPr>
                <w:rFonts w:hint="eastAsia"/>
                <w:color w:val="auto"/>
                <w:highlight w:val="none"/>
              </w:rPr>
              <w:t>27英寸医用显示器</w:t>
            </w:r>
          </w:p>
        </w:tc>
        <w:tc>
          <w:tcPr>
            <w:tcW w:w="992" w:type="dxa"/>
            <w:noWrap/>
          </w:tcPr>
          <w:p w14:paraId="6DE7ADD6">
            <w:pPr>
              <w:spacing w:line="360" w:lineRule="exact"/>
              <w:jc w:val="center"/>
              <w:rPr>
                <w:color w:val="auto"/>
                <w:highlight w:val="none"/>
              </w:rPr>
            </w:pPr>
            <w:r>
              <w:rPr>
                <w:rFonts w:hint="eastAsia"/>
                <w:color w:val="auto"/>
                <w:highlight w:val="none"/>
              </w:rPr>
              <w:t>2</w:t>
            </w:r>
          </w:p>
        </w:tc>
      </w:tr>
      <w:tr w14:paraId="2289F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9" w:type="dxa"/>
            <w:noWrap/>
          </w:tcPr>
          <w:p w14:paraId="6AE3CA75">
            <w:pPr>
              <w:spacing w:line="360" w:lineRule="exact"/>
              <w:jc w:val="center"/>
              <w:rPr>
                <w:color w:val="auto"/>
                <w:highlight w:val="none"/>
              </w:rPr>
            </w:pPr>
            <w:r>
              <w:rPr>
                <w:rFonts w:hint="eastAsia"/>
                <w:color w:val="auto"/>
                <w:highlight w:val="none"/>
              </w:rPr>
              <w:t>10</w:t>
            </w:r>
          </w:p>
        </w:tc>
        <w:tc>
          <w:tcPr>
            <w:tcW w:w="2695" w:type="dxa"/>
            <w:vMerge w:val="continue"/>
          </w:tcPr>
          <w:p w14:paraId="532694B2">
            <w:pPr>
              <w:spacing w:line="360" w:lineRule="exact"/>
              <w:jc w:val="center"/>
              <w:rPr>
                <w:color w:val="auto"/>
                <w:highlight w:val="none"/>
              </w:rPr>
            </w:pPr>
          </w:p>
        </w:tc>
        <w:tc>
          <w:tcPr>
            <w:tcW w:w="5527" w:type="dxa"/>
          </w:tcPr>
          <w:p w14:paraId="65607E83">
            <w:pPr>
              <w:spacing w:line="360" w:lineRule="exact"/>
              <w:jc w:val="center"/>
              <w:rPr>
                <w:color w:val="auto"/>
                <w:highlight w:val="none"/>
              </w:rPr>
            </w:pPr>
            <w:r>
              <w:rPr>
                <w:rFonts w:hint="eastAsia"/>
                <w:color w:val="auto"/>
                <w:highlight w:val="none"/>
              </w:rPr>
              <w:t>65英寸4K触控显示器（嵌墙式)</w:t>
            </w:r>
          </w:p>
        </w:tc>
        <w:tc>
          <w:tcPr>
            <w:tcW w:w="992" w:type="dxa"/>
            <w:noWrap/>
          </w:tcPr>
          <w:p w14:paraId="335A22D4">
            <w:pPr>
              <w:spacing w:line="360" w:lineRule="exact"/>
              <w:jc w:val="center"/>
              <w:rPr>
                <w:color w:val="auto"/>
                <w:highlight w:val="none"/>
              </w:rPr>
            </w:pPr>
            <w:r>
              <w:rPr>
                <w:rFonts w:hint="eastAsia"/>
                <w:color w:val="auto"/>
                <w:highlight w:val="none"/>
              </w:rPr>
              <w:t>1</w:t>
            </w:r>
          </w:p>
        </w:tc>
      </w:tr>
      <w:tr w14:paraId="00FCA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9" w:type="dxa"/>
            <w:noWrap/>
          </w:tcPr>
          <w:p w14:paraId="40F80DF6">
            <w:pPr>
              <w:spacing w:line="360" w:lineRule="exact"/>
              <w:jc w:val="center"/>
              <w:rPr>
                <w:rFonts w:hint="eastAsia" w:eastAsia="宋体"/>
                <w:color w:val="auto"/>
                <w:highlight w:val="none"/>
                <w:lang w:val="en-US" w:eastAsia="zh-CN"/>
              </w:rPr>
            </w:pPr>
            <w:r>
              <w:rPr>
                <w:rFonts w:hint="eastAsia"/>
                <w:color w:val="auto"/>
                <w:highlight w:val="none"/>
              </w:rPr>
              <w:t>1</w:t>
            </w:r>
            <w:r>
              <w:rPr>
                <w:rFonts w:hint="eastAsia"/>
                <w:color w:val="auto"/>
                <w:highlight w:val="none"/>
                <w:lang w:val="en-US" w:eastAsia="zh-CN"/>
              </w:rPr>
              <w:t>1</w:t>
            </w:r>
          </w:p>
        </w:tc>
        <w:tc>
          <w:tcPr>
            <w:tcW w:w="2695" w:type="dxa"/>
            <w:vMerge w:val="restart"/>
            <w:noWrap/>
          </w:tcPr>
          <w:p w14:paraId="00122A7F">
            <w:pPr>
              <w:spacing w:line="360" w:lineRule="exact"/>
              <w:jc w:val="center"/>
              <w:rPr>
                <w:color w:val="auto"/>
                <w:highlight w:val="none"/>
              </w:rPr>
            </w:pPr>
            <w:r>
              <w:rPr>
                <w:rFonts w:hint="eastAsia"/>
                <w:color w:val="auto"/>
                <w:highlight w:val="none"/>
              </w:rPr>
              <w:t>视音频外设</w:t>
            </w:r>
          </w:p>
        </w:tc>
        <w:tc>
          <w:tcPr>
            <w:tcW w:w="5527" w:type="dxa"/>
          </w:tcPr>
          <w:p w14:paraId="4DD458C2">
            <w:pPr>
              <w:spacing w:line="360" w:lineRule="exact"/>
              <w:jc w:val="center"/>
              <w:rPr>
                <w:color w:val="auto"/>
                <w:highlight w:val="none"/>
              </w:rPr>
            </w:pPr>
            <w:r>
              <w:rPr>
                <w:rFonts w:hint="eastAsia"/>
                <w:color w:val="auto"/>
                <w:highlight w:val="none"/>
              </w:rPr>
              <w:t>4K全景摄像机</w:t>
            </w:r>
          </w:p>
        </w:tc>
        <w:tc>
          <w:tcPr>
            <w:tcW w:w="992" w:type="dxa"/>
            <w:noWrap/>
          </w:tcPr>
          <w:p w14:paraId="39F6A6F5">
            <w:pPr>
              <w:spacing w:line="360" w:lineRule="exact"/>
              <w:jc w:val="center"/>
              <w:rPr>
                <w:color w:val="auto"/>
                <w:highlight w:val="none"/>
              </w:rPr>
            </w:pPr>
            <w:r>
              <w:rPr>
                <w:rFonts w:hint="eastAsia"/>
                <w:color w:val="auto"/>
                <w:highlight w:val="none"/>
              </w:rPr>
              <w:t>1</w:t>
            </w:r>
          </w:p>
        </w:tc>
      </w:tr>
      <w:tr w14:paraId="31334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9" w:type="dxa"/>
            <w:noWrap/>
          </w:tcPr>
          <w:p w14:paraId="444369A1">
            <w:pPr>
              <w:spacing w:line="360" w:lineRule="exact"/>
              <w:jc w:val="center"/>
              <w:rPr>
                <w:rFonts w:hint="eastAsia" w:eastAsia="宋体"/>
                <w:color w:val="auto"/>
                <w:highlight w:val="none"/>
                <w:lang w:val="en-US" w:eastAsia="zh-CN"/>
              </w:rPr>
            </w:pPr>
            <w:r>
              <w:rPr>
                <w:rFonts w:hint="eastAsia"/>
                <w:color w:val="auto"/>
                <w:highlight w:val="none"/>
              </w:rPr>
              <w:t>1</w:t>
            </w:r>
            <w:r>
              <w:rPr>
                <w:rFonts w:hint="eastAsia"/>
                <w:color w:val="auto"/>
                <w:highlight w:val="none"/>
                <w:lang w:val="en-US" w:eastAsia="zh-CN"/>
              </w:rPr>
              <w:t>2</w:t>
            </w:r>
          </w:p>
        </w:tc>
        <w:tc>
          <w:tcPr>
            <w:tcW w:w="2695" w:type="dxa"/>
            <w:vMerge w:val="continue"/>
          </w:tcPr>
          <w:p w14:paraId="34081881">
            <w:pPr>
              <w:spacing w:line="360" w:lineRule="exact"/>
              <w:jc w:val="center"/>
              <w:rPr>
                <w:color w:val="auto"/>
                <w:highlight w:val="none"/>
              </w:rPr>
            </w:pPr>
          </w:p>
        </w:tc>
        <w:tc>
          <w:tcPr>
            <w:tcW w:w="5527" w:type="dxa"/>
          </w:tcPr>
          <w:p w14:paraId="1A1301CD">
            <w:pPr>
              <w:spacing w:line="360" w:lineRule="exact"/>
              <w:jc w:val="center"/>
              <w:rPr>
                <w:color w:val="auto"/>
                <w:highlight w:val="none"/>
              </w:rPr>
            </w:pPr>
            <w:r>
              <w:rPr>
                <w:rFonts w:hint="eastAsia"/>
                <w:color w:val="auto"/>
                <w:highlight w:val="none"/>
              </w:rPr>
              <w:t>领夹无线麦克风</w:t>
            </w:r>
          </w:p>
        </w:tc>
        <w:tc>
          <w:tcPr>
            <w:tcW w:w="992" w:type="dxa"/>
            <w:noWrap/>
          </w:tcPr>
          <w:p w14:paraId="097A391D">
            <w:pPr>
              <w:spacing w:line="360" w:lineRule="exact"/>
              <w:jc w:val="center"/>
              <w:rPr>
                <w:color w:val="auto"/>
                <w:highlight w:val="none"/>
              </w:rPr>
            </w:pPr>
            <w:r>
              <w:rPr>
                <w:rFonts w:hint="eastAsia"/>
                <w:color w:val="auto"/>
                <w:highlight w:val="none"/>
              </w:rPr>
              <w:t>1</w:t>
            </w:r>
          </w:p>
        </w:tc>
      </w:tr>
      <w:tr w14:paraId="5F586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9" w:type="dxa"/>
            <w:noWrap/>
          </w:tcPr>
          <w:p w14:paraId="4C0D9AAA">
            <w:pPr>
              <w:spacing w:line="360" w:lineRule="exact"/>
              <w:jc w:val="center"/>
              <w:rPr>
                <w:rFonts w:hint="eastAsia" w:eastAsia="宋体"/>
                <w:color w:val="auto"/>
                <w:highlight w:val="none"/>
                <w:lang w:val="en-US" w:eastAsia="zh-CN"/>
              </w:rPr>
            </w:pPr>
            <w:r>
              <w:rPr>
                <w:rFonts w:hint="eastAsia"/>
                <w:color w:val="auto"/>
                <w:highlight w:val="none"/>
              </w:rPr>
              <w:t>1</w:t>
            </w:r>
            <w:r>
              <w:rPr>
                <w:rFonts w:hint="eastAsia"/>
                <w:color w:val="auto"/>
                <w:highlight w:val="none"/>
                <w:lang w:val="en-US" w:eastAsia="zh-CN"/>
              </w:rPr>
              <w:t>3</w:t>
            </w:r>
          </w:p>
        </w:tc>
        <w:tc>
          <w:tcPr>
            <w:tcW w:w="2695" w:type="dxa"/>
            <w:vMerge w:val="continue"/>
          </w:tcPr>
          <w:p w14:paraId="39EE18ED">
            <w:pPr>
              <w:spacing w:line="360" w:lineRule="exact"/>
              <w:jc w:val="center"/>
              <w:rPr>
                <w:color w:val="auto"/>
                <w:highlight w:val="none"/>
              </w:rPr>
            </w:pPr>
          </w:p>
        </w:tc>
        <w:tc>
          <w:tcPr>
            <w:tcW w:w="5527" w:type="dxa"/>
          </w:tcPr>
          <w:p w14:paraId="73505B33">
            <w:pPr>
              <w:spacing w:line="360" w:lineRule="exact"/>
              <w:jc w:val="center"/>
              <w:rPr>
                <w:color w:val="auto"/>
                <w:highlight w:val="none"/>
              </w:rPr>
            </w:pPr>
            <w:r>
              <w:rPr>
                <w:rFonts w:hint="eastAsia"/>
                <w:color w:val="auto"/>
                <w:highlight w:val="none"/>
              </w:rPr>
              <w:t>吸顶音箱</w:t>
            </w:r>
          </w:p>
        </w:tc>
        <w:tc>
          <w:tcPr>
            <w:tcW w:w="992" w:type="dxa"/>
            <w:noWrap/>
          </w:tcPr>
          <w:p w14:paraId="359EC013">
            <w:pPr>
              <w:spacing w:line="360" w:lineRule="exact"/>
              <w:jc w:val="center"/>
              <w:rPr>
                <w:color w:val="auto"/>
                <w:highlight w:val="none"/>
              </w:rPr>
            </w:pPr>
            <w:r>
              <w:rPr>
                <w:rFonts w:hint="eastAsia"/>
                <w:color w:val="auto"/>
                <w:highlight w:val="none"/>
              </w:rPr>
              <w:t>1</w:t>
            </w:r>
          </w:p>
        </w:tc>
      </w:tr>
      <w:tr w14:paraId="13F6C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9" w:type="dxa"/>
            <w:noWrap/>
          </w:tcPr>
          <w:p w14:paraId="374502F3">
            <w:pPr>
              <w:spacing w:line="360" w:lineRule="exact"/>
              <w:jc w:val="center"/>
              <w:rPr>
                <w:rFonts w:hint="eastAsia" w:eastAsia="宋体"/>
                <w:color w:val="auto"/>
                <w:highlight w:val="none"/>
                <w:lang w:val="en-US" w:eastAsia="zh-CN"/>
              </w:rPr>
            </w:pPr>
            <w:r>
              <w:rPr>
                <w:rFonts w:hint="eastAsia"/>
                <w:color w:val="auto"/>
                <w:highlight w:val="none"/>
              </w:rPr>
              <w:t>1</w:t>
            </w:r>
            <w:r>
              <w:rPr>
                <w:rFonts w:hint="eastAsia"/>
                <w:color w:val="auto"/>
                <w:highlight w:val="none"/>
                <w:lang w:val="en-US" w:eastAsia="zh-CN"/>
              </w:rPr>
              <w:t>4</w:t>
            </w:r>
          </w:p>
        </w:tc>
        <w:tc>
          <w:tcPr>
            <w:tcW w:w="2695" w:type="dxa"/>
          </w:tcPr>
          <w:p w14:paraId="79898674">
            <w:pPr>
              <w:spacing w:line="360" w:lineRule="exact"/>
              <w:jc w:val="center"/>
              <w:rPr>
                <w:color w:val="auto"/>
                <w:highlight w:val="none"/>
              </w:rPr>
            </w:pPr>
            <w:r>
              <w:rPr>
                <w:rFonts w:hint="eastAsia"/>
                <w:color w:val="auto"/>
                <w:highlight w:val="none"/>
              </w:rPr>
              <w:t>手术室设备集总控制系统</w:t>
            </w:r>
          </w:p>
        </w:tc>
        <w:tc>
          <w:tcPr>
            <w:tcW w:w="5527" w:type="dxa"/>
          </w:tcPr>
          <w:p w14:paraId="28F91F09">
            <w:pPr>
              <w:spacing w:line="360" w:lineRule="exact"/>
              <w:jc w:val="center"/>
              <w:rPr>
                <w:color w:val="auto"/>
                <w:highlight w:val="none"/>
              </w:rPr>
            </w:pPr>
            <w:r>
              <w:rPr>
                <w:rFonts w:hint="eastAsia"/>
                <w:color w:val="auto"/>
                <w:highlight w:val="none"/>
              </w:rPr>
              <w:t>非医疗设备控制模块</w:t>
            </w:r>
          </w:p>
        </w:tc>
        <w:tc>
          <w:tcPr>
            <w:tcW w:w="992" w:type="dxa"/>
            <w:noWrap/>
          </w:tcPr>
          <w:p w14:paraId="228A0BE4">
            <w:pPr>
              <w:spacing w:line="360" w:lineRule="exact"/>
              <w:jc w:val="center"/>
              <w:rPr>
                <w:color w:val="auto"/>
                <w:highlight w:val="none"/>
              </w:rPr>
            </w:pPr>
            <w:r>
              <w:rPr>
                <w:rFonts w:hint="eastAsia"/>
                <w:color w:val="auto"/>
                <w:highlight w:val="none"/>
              </w:rPr>
              <w:t>1</w:t>
            </w:r>
          </w:p>
        </w:tc>
      </w:tr>
      <w:tr w14:paraId="51DA7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9" w:type="dxa"/>
            <w:noWrap/>
          </w:tcPr>
          <w:p w14:paraId="43158ABE">
            <w:pPr>
              <w:spacing w:line="360" w:lineRule="exact"/>
              <w:jc w:val="center"/>
              <w:rPr>
                <w:rFonts w:hint="default" w:eastAsia="宋体"/>
                <w:color w:val="auto"/>
                <w:highlight w:val="none"/>
                <w:lang w:val="en-US" w:eastAsia="zh-CN"/>
              </w:rPr>
            </w:pPr>
            <w:r>
              <w:rPr>
                <w:rFonts w:hint="eastAsia"/>
                <w:color w:val="auto"/>
                <w:highlight w:val="none"/>
                <w:lang w:val="en-US" w:eastAsia="zh-CN"/>
              </w:rPr>
              <w:t>15</w:t>
            </w:r>
          </w:p>
        </w:tc>
        <w:tc>
          <w:tcPr>
            <w:tcW w:w="2695" w:type="dxa"/>
          </w:tcPr>
          <w:p w14:paraId="73818948">
            <w:pPr>
              <w:spacing w:line="360" w:lineRule="exact"/>
              <w:jc w:val="center"/>
              <w:rPr>
                <w:rFonts w:hint="eastAsia" w:eastAsia="宋体"/>
                <w:color w:val="auto"/>
                <w:highlight w:val="none"/>
                <w:lang w:eastAsia="zh-CN"/>
              </w:rPr>
            </w:pPr>
            <w:r>
              <w:rPr>
                <w:rFonts w:hint="eastAsia"/>
                <w:color w:val="auto"/>
                <w:highlight w:val="none"/>
                <w:lang w:eastAsia="zh-CN"/>
              </w:rPr>
              <w:t>墙面改造</w:t>
            </w:r>
          </w:p>
        </w:tc>
        <w:tc>
          <w:tcPr>
            <w:tcW w:w="5527" w:type="dxa"/>
          </w:tcPr>
          <w:p w14:paraId="07123DEA">
            <w:pPr>
              <w:spacing w:line="360" w:lineRule="exact"/>
              <w:jc w:val="center"/>
              <w:rPr>
                <w:rFonts w:hint="eastAsia" w:eastAsia="宋体"/>
                <w:color w:val="auto"/>
                <w:highlight w:val="none"/>
                <w:lang w:eastAsia="zh-CN"/>
              </w:rPr>
            </w:pPr>
            <w:r>
              <w:rPr>
                <w:rFonts w:hint="eastAsia"/>
                <w:color w:val="auto"/>
                <w:highlight w:val="none"/>
                <w:lang w:eastAsia="zh-CN"/>
              </w:rPr>
              <w:t>电解钢板</w:t>
            </w:r>
          </w:p>
        </w:tc>
        <w:tc>
          <w:tcPr>
            <w:tcW w:w="992" w:type="dxa"/>
            <w:noWrap/>
          </w:tcPr>
          <w:p w14:paraId="4349D620">
            <w:pPr>
              <w:spacing w:line="360" w:lineRule="exact"/>
              <w:jc w:val="center"/>
              <w:rPr>
                <w:rFonts w:hint="eastAsia" w:eastAsia="宋体"/>
                <w:color w:val="auto"/>
                <w:highlight w:val="none"/>
                <w:lang w:val="en-US" w:eastAsia="zh-CN"/>
              </w:rPr>
            </w:pPr>
            <w:r>
              <w:rPr>
                <w:rFonts w:hint="eastAsia"/>
                <w:color w:val="auto"/>
                <w:highlight w:val="none"/>
                <w:lang w:val="en-US" w:eastAsia="zh-CN"/>
              </w:rPr>
              <w:t>1套</w:t>
            </w:r>
          </w:p>
        </w:tc>
      </w:tr>
      <w:tr w14:paraId="2FFA6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trPr>
        <w:tc>
          <w:tcPr>
            <w:tcW w:w="8931" w:type="dxa"/>
            <w:gridSpan w:val="3"/>
          </w:tcPr>
          <w:p w14:paraId="1EC068F4">
            <w:pPr>
              <w:spacing w:line="360" w:lineRule="exact"/>
              <w:jc w:val="center"/>
              <w:rPr>
                <w:b/>
                <w:bCs/>
                <w:color w:val="auto"/>
                <w:highlight w:val="none"/>
              </w:rPr>
            </w:pPr>
            <w:r>
              <w:rPr>
                <w:rFonts w:hint="eastAsia"/>
                <w:b/>
                <w:bCs/>
                <w:color w:val="auto"/>
                <w:highlight w:val="none"/>
              </w:rPr>
              <w:t>数字化存储服务站</w:t>
            </w:r>
          </w:p>
        </w:tc>
        <w:tc>
          <w:tcPr>
            <w:tcW w:w="992" w:type="dxa"/>
          </w:tcPr>
          <w:p w14:paraId="30C2552B">
            <w:pPr>
              <w:spacing w:line="360" w:lineRule="exact"/>
              <w:jc w:val="center"/>
              <w:rPr>
                <w:b/>
                <w:bCs/>
                <w:color w:val="auto"/>
                <w:highlight w:val="none"/>
              </w:rPr>
            </w:pPr>
            <w:r>
              <w:rPr>
                <w:rFonts w:hint="eastAsia"/>
                <w:b/>
                <w:bCs/>
                <w:color w:val="auto"/>
                <w:highlight w:val="none"/>
              </w:rPr>
              <w:t>1套</w:t>
            </w:r>
          </w:p>
        </w:tc>
      </w:tr>
      <w:tr w14:paraId="0DB56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trPr>
        <w:tc>
          <w:tcPr>
            <w:tcW w:w="709" w:type="dxa"/>
          </w:tcPr>
          <w:p w14:paraId="3D78B758">
            <w:pPr>
              <w:spacing w:line="360" w:lineRule="exact"/>
              <w:jc w:val="center"/>
              <w:rPr>
                <w:b/>
                <w:bCs/>
                <w:color w:val="auto"/>
                <w:highlight w:val="none"/>
              </w:rPr>
            </w:pPr>
            <w:r>
              <w:rPr>
                <w:rFonts w:hint="eastAsia"/>
                <w:b/>
                <w:bCs/>
                <w:color w:val="auto"/>
                <w:highlight w:val="none"/>
              </w:rPr>
              <w:t>序号</w:t>
            </w:r>
          </w:p>
        </w:tc>
        <w:tc>
          <w:tcPr>
            <w:tcW w:w="2695" w:type="dxa"/>
          </w:tcPr>
          <w:p w14:paraId="3A37A593">
            <w:pPr>
              <w:spacing w:line="360" w:lineRule="exact"/>
              <w:jc w:val="center"/>
              <w:rPr>
                <w:b/>
                <w:bCs/>
                <w:color w:val="auto"/>
                <w:highlight w:val="none"/>
              </w:rPr>
            </w:pPr>
            <w:r>
              <w:rPr>
                <w:rFonts w:hint="eastAsia"/>
                <w:b/>
                <w:bCs/>
                <w:color w:val="auto"/>
                <w:highlight w:val="none"/>
              </w:rPr>
              <w:t>功能模块</w:t>
            </w:r>
          </w:p>
        </w:tc>
        <w:tc>
          <w:tcPr>
            <w:tcW w:w="5527" w:type="dxa"/>
          </w:tcPr>
          <w:p w14:paraId="63413610">
            <w:pPr>
              <w:spacing w:line="360" w:lineRule="exact"/>
              <w:jc w:val="center"/>
              <w:rPr>
                <w:b/>
                <w:bCs/>
                <w:color w:val="auto"/>
                <w:highlight w:val="none"/>
              </w:rPr>
            </w:pPr>
            <w:r>
              <w:rPr>
                <w:rFonts w:hint="eastAsia"/>
                <w:b/>
                <w:bCs/>
                <w:color w:val="auto"/>
                <w:highlight w:val="none"/>
              </w:rPr>
              <w:t>产品项目</w:t>
            </w:r>
          </w:p>
        </w:tc>
        <w:tc>
          <w:tcPr>
            <w:tcW w:w="992" w:type="dxa"/>
          </w:tcPr>
          <w:p w14:paraId="00CC71B2">
            <w:pPr>
              <w:spacing w:line="360" w:lineRule="exact"/>
              <w:jc w:val="center"/>
              <w:rPr>
                <w:b/>
                <w:bCs/>
                <w:color w:val="auto"/>
                <w:highlight w:val="none"/>
              </w:rPr>
            </w:pPr>
            <w:r>
              <w:rPr>
                <w:rFonts w:hint="eastAsia"/>
                <w:b/>
                <w:bCs/>
                <w:color w:val="auto"/>
                <w:highlight w:val="none"/>
              </w:rPr>
              <w:t>数量</w:t>
            </w:r>
          </w:p>
        </w:tc>
      </w:tr>
      <w:tr w14:paraId="32141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9" w:type="dxa"/>
            <w:noWrap/>
          </w:tcPr>
          <w:p w14:paraId="465C0755">
            <w:pPr>
              <w:spacing w:line="360" w:lineRule="exact"/>
              <w:jc w:val="center"/>
              <w:rPr>
                <w:color w:val="auto"/>
                <w:highlight w:val="none"/>
              </w:rPr>
            </w:pPr>
            <w:r>
              <w:rPr>
                <w:rFonts w:hint="eastAsia"/>
                <w:color w:val="auto"/>
                <w:highlight w:val="none"/>
              </w:rPr>
              <w:t>1</w:t>
            </w:r>
          </w:p>
        </w:tc>
        <w:tc>
          <w:tcPr>
            <w:tcW w:w="2695" w:type="dxa"/>
            <w:vMerge w:val="restart"/>
            <w:noWrap/>
          </w:tcPr>
          <w:p w14:paraId="14082222">
            <w:pPr>
              <w:spacing w:line="360" w:lineRule="exact"/>
              <w:jc w:val="center"/>
              <w:rPr>
                <w:color w:val="auto"/>
                <w:highlight w:val="none"/>
              </w:rPr>
            </w:pPr>
            <w:r>
              <w:rPr>
                <w:rFonts w:hint="eastAsia"/>
                <w:color w:val="auto"/>
                <w:highlight w:val="none"/>
              </w:rPr>
              <w:t>服务工作站</w:t>
            </w:r>
          </w:p>
        </w:tc>
        <w:tc>
          <w:tcPr>
            <w:tcW w:w="5527" w:type="dxa"/>
          </w:tcPr>
          <w:p w14:paraId="1EC45E1E">
            <w:pPr>
              <w:spacing w:line="360" w:lineRule="exact"/>
              <w:jc w:val="center"/>
              <w:rPr>
                <w:color w:val="auto"/>
                <w:highlight w:val="none"/>
              </w:rPr>
            </w:pPr>
            <w:r>
              <w:rPr>
                <w:rFonts w:hint="eastAsia"/>
                <w:color w:val="auto"/>
                <w:highlight w:val="none"/>
              </w:rPr>
              <w:t>服务工作站（12TB）</w:t>
            </w:r>
          </w:p>
        </w:tc>
        <w:tc>
          <w:tcPr>
            <w:tcW w:w="992" w:type="dxa"/>
            <w:noWrap/>
          </w:tcPr>
          <w:p w14:paraId="5DC7B70F">
            <w:pPr>
              <w:spacing w:line="360" w:lineRule="exact"/>
              <w:jc w:val="center"/>
              <w:rPr>
                <w:color w:val="auto"/>
                <w:highlight w:val="none"/>
              </w:rPr>
            </w:pPr>
            <w:r>
              <w:rPr>
                <w:rFonts w:hint="eastAsia"/>
                <w:color w:val="auto"/>
                <w:highlight w:val="none"/>
              </w:rPr>
              <w:t>1</w:t>
            </w:r>
          </w:p>
        </w:tc>
      </w:tr>
      <w:tr w14:paraId="5044AB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9" w:type="dxa"/>
            <w:noWrap/>
          </w:tcPr>
          <w:p w14:paraId="2E990732">
            <w:pPr>
              <w:spacing w:line="360" w:lineRule="exact"/>
              <w:jc w:val="center"/>
              <w:rPr>
                <w:rFonts w:hint="eastAsia" w:eastAsia="宋体"/>
                <w:color w:val="auto"/>
                <w:highlight w:val="none"/>
                <w:lang w:eastAsia="zh-CN"/>
              </w:rPr>
            </w:pPr>
            <w:r>
              <w:rPr>
                <w:rFonts w:hint="eastAsia"/>
                <w:color w:val="auto"/>
                <w:highlight w:val="none"/>
                <w:lang w:val="en-US" w:eastAsia="zh-CN"/>
              </w:rPr>
              <w:t>2</w:t>
            </w:r>
          </w:p>
        </w:tc>
        <w:tc>
          <w:tcPr>
            <w:tcW w:w="2695" w:type="dxa"/>
            <w:vMerge w:val="continue"/>
          </w:tcPr>
          <w:p w14:paraId="341B1960">
            <w:pPr>
              <w:spacing w:line="360" w:lineRule="exact"/>
              <w:jc w:val="center"/>
              <w:rPr>
                <w:color w:val="auto"/>
                <w:highlight w:val="none"/>
              </w:rPr>
            </w:pPr>
          </w:p>
        </w:tc>
        <w:tc>
          <w:tcPr>
            <w:tcW w:w="5527" w:type="dxa"/>
          </w:tcPr>
          <w:p w14:paraId="49106166">
            <w:pPr>
              <w:spacing w:line="360" w:lineRule="exact"/>
              <w:jc w:val="center"/>
              <w:rPr>
                <w:color w:val="auto"/>
                <w:highlight w:val="none"/>
              </w:rPr>
            </w:pPr>
            <w:r>
              <w:rPr>
                <w:rFonts w:hint="eastAsia"/>
                <w:color w:val="auto"/>
                <w:highlight w:val="none"/>
              </w:rPr>
              <w:t>服务器机柜</w:t>
            </w:r>
          </w:p>
        </w:tc>
        <w:tc>
          <w:tcPr>
            <w:tcW w:w="992" w:type="dxa"/>
            <w:noWrap/>
          </w:tcPr>
          <w:p w14:paraId="51CA878D">
            <w:pPr>
              <w:spacing w:line="360" w:lineRule="exact"/>
              <w:jc w:val="center"/>
              <w:rPr>
                <w:color w:val="auto"/>
                <w:highlight w:val="none"/>
              </w:rPr>
            </w:pPr>
            <w:r>
              <w:rPr>
                <w:rFonts w:hint="eastAsia"/>
                <w:color w:val="auto"/>
                <w:highlight w:val="none"/>
              </w:rPr>
              <w:t>1</w:t>
            </w:r>
          </w:p>
        </w:tc>
      </w:tr>
      <w:tr w14:paraId="27936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9" w:type="dxa"/>
            <w:noWrap/>
          </w:tcPr>
          <w:p w14:paraId="2F38725C">
            <w:pPr>
              <w:spacing w:line="360" w:lineRule="exact"/>
              <w:jc w:val="center"/>
              <w:rPr>
                <w:rFonts w:hint="eastAsia" w:eastAsia="宋体"/>
                <w:color w:val="auto"/>
                <w:highlight w:val="none"/>
                <w:lang w:eastAsia="zh-CN"/>
              </w:rPr>
            </w:pPr>
            <w:r>
              <w:rPr>
                <w:rFonts w:hint="eastAsia"/>
                <w:color w:val="auto"/>
                <w:highlight w:val="none"/>
                <w:lang w:val="en-US" w:eastAsia="zh-CN"/>
              </w:rPr>
              <w:t>3</w:t>
            </w:r>
          </w:p>
        </w:tc>
        <w:tc>
          <w:tcPr>
            <w:tcW w:w="2695" w:type="dxa"/>
            <w:vMerge w:val="continue"/>
          </w:tcPr>
          <w:p w14:paraId="12497FC4">
            <w:pPr>
              <w:spacing w:line="360" w:lineRule="exact"/>
              <w:jc w:val="center"/>
              <w:rPr>
                <w:color w:val="auto"/>
                <w:highlight w:val="none"/>
              </w:rPr>
            </w:pPr>
          </w:p>
        </w:tc>
        <w:tc>
          <w:tcPr>
            <w:tcW w:w="5527" w:type="dxa"/>
          </w:tcPr>
          <w:p w14:paraId="4DFE2906">
            <w:pPr>
              <w:spacing w:line="360" w:lineRule="exact"/>
              <w:jc w:val="center"/>
              <w:rPr>
                <w:color w:val="auto"/>
                <w:highlight w:val="none"/>
              </w:rPr>
            </w:pPr>
            <w:r>
              <w:rPr>
                <w:rFonts w:hint="eastAsia"/>
                <w:color w:val="auto"/>
                <w:highlight w:val="none"/>
              </w:rPr>
              <w:t>HIS对接模块</w:t>
            </w:r>
          </w:p>
        </w:tc>
        <w:tc>
          <w:tcPr>
            <w:tcW w:w="992" w:type="dxa"/>
            <w:noWrap/>
          </w:tcPr>
          <w:p w14:paraId="4A05D50D">
            <w:pPr>
              <w:spacing w:line="360" w:lineRule="exact"/>
              <w:jc w:val="center"/>
              <w:rPr>
                <w:color w:val="auto"/>
                <w:highlight w:val="none"/>
              </w:rPr>
            </w:pPr>
            <w:r>
              <w:rPr>
                <w:rFonts w:hint="eastAsia"/>
                <w:color w:val="auto"/>
                <w:highlight w:val="none"/>
              </w:rPr>
              <w:t>1</w:t>
            </w:r>
          </w:p>
        </w:tc>
      </w:tr>
      <w:tr w14:paraId="2D441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9" w:type="dxa"/>
            <w:noWrap/>
          </w:tcPr>
          <w:p w14:paraId="240CE293">
            <w:pPr>
              <w:spacing w:line="360" w:lineRule="exact"/>
              <w:jc w:val="center"/>
              <w:rPr>
                <w:rFonts w:hint="eastAsia" w:eastAsia="宋体"/>
                <w:color w:val="auto"/>
                <w:highlight w:val="none"/>
                <w:lang w:eastAsia="zh-CN"/>
              </w:rPr>
            </w:pPr>
            <w:r>
              <w:rPr>
                <w:rFonts w:hint="eastAsia"/>
                <w:color w:val="auto"/>
                <w:highlight w:val="none"/>
                <w:lang w:val="en-US" w:eastAsia="zh-CN"/>
              </w:rPr>
              <w:t>4</w:t>
            </w:r>
          </w:p>
        </w:tc>
        <w:tc>
          <w:tcPr>
            <w:tcW w:w="2695" w:type="dxa"/>
            <w:vMerge w:val="continue"/>
          </w:tcPr>
          <w:p w14:paraId="71E7ABFD">
            <w:pPr>
              <w:spacing w:line="360" w:lineRule="exact"/>
              <w:jc w:val="center"/>
              <w:rPr>
                <w:color w:val="auto"/>
                <w:highlight w:val="none"/>
              </w:rPr>
            </w:pPr>
          </w:p>
        </w:tc>
        <w:tc>
          <w:tcPr>
            <w:tcW w:w="5527" w:type="dxa"/>
          </w:tcPr>
          <w:p w14:paraId="3EDFDDB1">
            <w:pPr>
              <w:spacing w:line="360" w:lineRule="exact"/>
              <w:jc w:val="center"/>
              <w:rPr>
                <w:color w:val="auto"/>
                <w:highlight w:val="none"/>
              </w:rPr>
            </w:pPr>
            <w:r>
              <w:rPr>
                <w:rFonts w:hint="eastAsia"/>
                <w:color w:val="auto"/>
                <w:highlight w:val="none"/>
              </w:rPr>
              <w:t>PC端软件</w:t>
            </w:r>
          </w:p>
        </w:tc>
        <w:tc>
          <w:tcPr>
            <w:tcW w:w="992" w:type="dxa"/>
            <w:noWrap/>
          </w:tcPr>
          <w:p w14:paraId="26B44174">
            <w:pPr>
              <w:spacing w:line="360" w:lineRule="exact"/>
              <w:jc w:val="center"/>
              <w:rPr>
                <w:color w:val="auto"/>
                <w:highlight w:val="none"/>
              </w:rPr>
            </w:pPr>
            <w:r>
              <w:rPr>
                <w:rFonts w:hint="eastAsia"/>
                <w:color w:val="auto"/>
                <w:highlight w:val="none"/>
              </w:rPr>
              <w:t>1</w:t>
            </w:r>
          </w:p>
        </w:tc>
      </w:tr>
      <w:tr w14:paraId="14C20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9" w:type="dxa"/>
            <w:noWrap/>
          </w:tcPr>
          <w:p w14:paraId="0B37CA7A">
            <w:pPr>
              <w:spacing w:line="360" w:lineRule="exact"/>
              <w:jc w:val="center"/>
              <w:rPr>
                <w:rFonts w:hint="eastAsia" w:eastAsia="宋体"/>
                <w:color w:val="auto"/>
                <w:highlight w:val="none"/>
                <w:lang w:eastAsia="zh-CN"/>
              </w:rPr>
            </w:pPr>
            <w:r>
              <w:rPr>
                <w:rFonts w:hint="eastAsia"/>
                <w:color w:val="auto"/>
                <w:highlight w:val="none"/>
                <w:lang w:val="en-US" w:eastAsia="zh-CN"/>
              </w:rPr>
              <w:t>5</w:t>
            </w:r>
          </w:p>
        </w:tc>
        <w:tc>
          <w:tcPr>
            <w:tcW w:w="2695" w:type="dxa"/>
            <w:vMerge w:val="continue"/>
          </w:tcPr>
          <w:p w14:paraId="690E9BBF">
            <w:pPr>
              <w:spacing w:line="360" w:lineRule="exact"/>
              <w:jc w:val="center"/>
              <w:rPr>
                <w:color w:val="auto"/>
                <w:highlight w:val="none"/>
              </w:rPr>
            </w:pPr>
          </w:p>
        </w:tc>
        <w:tc>
          <w:tcPr>
            <w:tcW w:w="5527" w:type="dxa"/>
          </w:tcPr>
          <w:p w14:paraId="29E54A3C">
            <w:pPr>
              <w:spacing w:line="360" w:lineRule="exact"/>
              <w:jc w:val="center"/>
              <w:rPr>
                <w:color w:val="auto"/>
                <w:highlight w:val="none"/>
              </w:rPr>
            </w:pPr>
            <w:r>
              <w:rPr>
                <w:rFonts w:hint="eastAsia"/>
                <w:color w:val="auto"/>
                <w:highlight w:val="none"/>
              </w:rPr>
              <w:t>线缆及光模块</w:t>
            </w:r>
          </w:p>
        </w:tc>
        <w:tc>
          <w:tcPr>
            <w:tcW w:w="992" w:type="dxa"/>
            <w:noWrap/>
          </w:tcPr>
          <w:p w14:paraId="758BA43F">
            <w:pPr>
              <w:spacing w:line="360" w:lineRule="exact"/>
              <w:jc w:val="center"/>
              <w:rPr>
                <w:color w:val="auto"/>
                <w:highlight w:val="none"/>
              </w:rPr>
            </w:pPr>
            <w:r>
              <w:rPr>
                <w:rFonts w:hint="eastAsia"/>
                <w:color w:val="auto"/>
                <w:highlight w:val="none"/>
              </w:rPr>
              <w:t>按需提供</w:t>
            </w:r>
          </w:p>
        </w:tc>
      </w:tr>
      <w:tr w14:paraId="5BD9C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trPr>
        <w:tc>
          <w:tcPr>
            <w:tcW w:w="8931" w:type="dxa"/>
            <w:gridSpan w:val="3"/>
          </w:tcPr>
          <w:p w14:paraId="442506CD">
            <w:pPr>
              <w:spacing w:line="360" w:lineRule="exact"/>
              <w:jc w:val="center"/>
              <w:rPr>
                <w:b/>
                <w:bCs/>
                <w:color w:val="auto"/>
                <w:highlight w:val="none"/>
              </w:rPr>
            </w:pPr>
            <w:r>
              <w:rPr>
                <w:rFonts w:hint="eastAsia"/>
                <w:b/>
                <w:bCs/>
                <w:color w:val="auto"/>
                <w:highlight w:val="none"/>
              </w:rPr>
              <w:t>会议室（网络版）</w:t>
            </w:r>
          </w:p>
        </w:tc>
        <w:tc>
          <w:tcPr>
            <w:tcW w:w="992" w:type="dxa"/>
          </w:tcPr>
          <w:p w14:paraId="59E2D96D">
            <w:pPr>
              <w:spacing w:line="360" w:lineRule="exact"/>
              <w:jc w:val="center"/>
              <w:rPr>
                <w:b/>
                <w:bCs/>
                <w:color w:val="auto"/>
                <w:highlight w:val="none"/>
              </w:rPr>
            </w:pPr>
            <w:r>
              <w:rPr>
                <w:rFonts w:hint="eastAsia"/>
                <w:b/>
                <w:bCs/>
                <w:color w:val="auto"/>
                <w:highlight w:val="none"/>
              </w:rPr>
              <w:t>1间</w:t>
            </w:r>
          </w:p>
        </w:tc>
      </w:tr>
      <w:tr w14:paraId="4D7E8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trPr>
        <w:tc>
          <w:tcPr>
            <w:tcW w:w="709" w:type="dxa"/>
          </w:tcPr>
          <w:p w14:paraId="6382A12D">
            <w:pPr>
              <w:spacing w:line="360" w:lineRule="exact"/>
              <w:jc w:val="center"/>
              <w:rPr>
                <w:b/>
                <w:bCs/>
                <w:color w:val="auto"/>
                <w:highlight w:val="none"/>
              </w:rPr>
            </w:pPr>
            <w:r>
              <w:rPr>
                <w:rFonts w:hint="eastAsia"/>
                <w:b/>
                <w:bCs/>
                <w:color w:val="auto"/>
                <w:highlight w:val="none"/>
              </w:rPr>
              <w:t>序号</w:t>
            </w:r>
          </w:p>
        </w:tc>
        <w:tc>
          <w:tcPr>
            <w:tcW w:w="2695" w:type="dxa"/>
          </w:tcPr>
          <w:p w14:paraId="063742B8">
            <w:pPr>
              <w:spacing w:line="360" w:lineRule="exact"/>
              <w:jc w:val="center"/>
              <w:rPr>
                <w:b/>
                <w:bCs/>
                <w:color w:val="auto"/>
                <w:highlight w:val="none"/>
              </w:rPr>
            </w:pPr>
            <w:r>
              <w:rPr>
                <w:rFonts w:hint="eastAsia"/>
                <w:b/>
                <w:bCs/>
                <w:color w:val="auto"/>
                <w:highlight w:val="none"/>
              </w:rPr>
              <w:t>功能模块</w:t>
            </w:r>
          </w:p>
        </w:tc>
        <w:tc>
          <w:tcPr>
            <w:tcW w:w="5527" w:type="dxa"/>
          </w:tcPr>
          <w:p w14:paraId="6C83811E">
            <w:pPr>
              <w:spacing w:line="360" w:lineRule="exact"/>
              <w:jc w:val="center"/>
              <w:rPr>
                <w:b/>
                <w:bCs/>
                <w:color w:val="auto"/>
                <w:highlight w:val="none"/>
              </w:rPr>
            </w:pPr>
            <w:r>
              <w:rPr>
                <w:rFonts w:hint="eastAsia"/>
                <w:b/>
                <w:bCs/>
                <w:color w:val="auto"/>
                <w:highlight w:val="none"/>
              </w:rPr>
              <w:t>产品项目</w:t>
            </w:r>
          </w:p>
        </w:tc>
        <w:tc>
          <w:tcPr>
            <w:tcW w:w="992" w:type="dxa"/>
          </w:tcPr>
          <w:p w14:paraId="0AC794B3">
            <w:pPr>
              <w:spacing w:line="360" w:lineRule="exact"/>
              <w:jc w:val="center"/>
              <w:rPr>
                <w:b/>
                <w:bCs/>
                <w:color w:val="auto"/>
                <w:highlight w:val="none"/>
              </w:rPr>
            </w:pPr>
            <w:r>
              <w:rPr>
                <w:rFonts w:hint="eastAsia"/>
                <w:b/>
                <w:bCs/>
                <w:color w:val="auto"/>
                <w:highlight w:val="none"/>
              </w:rPr>
              <w:t>数量</w:t>
            </w:r>
          </w:p>
        </w:tc>
      </w:tr>
      <w:tr w14:paraId="537C1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9" w:type="dxa"/>
            <w:noWrap/>
          </w:tcPr>
          <w:p w14:paraId="17A2894F">
            <w:pPr>
              <w:spacing w:line="360" w:lineRule="exact"/>
              <w:jc w:val="center"/>
              <w:rPr>
                <w:color w:val="auto"/>
                <w:highlight w:val="none"/>
              </w:rPr>
            </w:pPr>
            <w:r>
              <w:rPr>
                <w:rFonts w:hint="eastAsia"/>
                <w:color w:val="auto"/>
                <w:highlight w:val="none"/>
              </w:rPr>
              <w:t>1</w:t>
            </w:r>
          </w:p>
        </w:tc>
        <w:tc>
          <w:tcPr>
            <w:tcW w:w="2695" w:type="dxa"/>
            <w:noWrap/>
          </w:tcPr>
          <w:p w14:paraId="60110628">
            <w:pPr>
              <w:spacing w:line="360" w:lineRule="exact"/>
              <w:jc w:val="center"/>
              <w:rPr>
                <w:color w:val="auto"/>
                <w:highlight w:val="none"/>
              </w:rPr>
            </w:pPr>
            <w:r>
              <w:rPr>
                <w:rFonts w:hint="eastAsia"/>
                <w:color w:val="auto"/>
                <w:highlight w:val="none"/>
              </w:rPr>
              <w:t>触控会议终端</w:t>
            </w:r>
          </w:p>
        </w:tc>
        <w:tc>
          <w:tcPr>
            <w:tcW w:w="5527" w:type="dxa"/>
          </w:tcPr>
          <w:p w14:paraId="33252A73">
            <w:pPr>
              <w:spacing w:line="360" w:lineRule="exact"/>
              <w:jc w:val="center"/>
              <w:rPr>
                <w:color w:val="auto"/>
                <w:highlight w:val="none"/>
              </w:rPr>
            </w:pPr>
            <w:r>
              <w:rPr>
                <w:rFonts w:hint="eastAsia"/>
                <w:color w:val="auto"/>
                <w:highlight w:val="none"/>
              </w:rPr>
              <w:t>4K触控会议显示器</w:t>
            </w:r>
          </w:p>
        </w:tc>
        <w:tc>
          <w:tcPr>
            <w:tcW w:w="992" w:type="dxa"/>
            <w:noWrap/>
          </w:tcPr>
          <w:p w14:paraId="6055C294">
            <w:pPr>
              <w:spacing w:line="360" w:lineRule="exact"/>
              <w:jc w:val="center"/>
              <w:rPr>
                <w:color w:val="auto"/>
                <w:highlight w:val="none"/>
              </w:rPr>
            </w:pPr>
            <w:r>
              <w:rPr>
                <w:rFonts w:hint="eastAsia"/>
                <w:color w:val="auto"/>
                <w:highlight w:val="none"/>
              </w:rPr>
              <w:t>1</w:t>
            </w:r>
          </w:p>
        </w:tc>
      </w:tr>
      <w:tr w14:paraId="3DD40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9" w:type="dxa"/>
            <w:noWrap/>
          </w:tcPr>
          <w:p w14:paraId="72491F3C">
            <w:pPr>
              <w:spacing w:line="360" w:lineRule="exact"/>
              <w:jc w:val="center"/>
              <w:rPr>
                <w:color w:val="auto"/>
                <w:highlight w:val="none"/>
              </w:rPr>
            </w:pPr>
            <w:r>
              <w:rPr>
                <w:rFonts w:hint="eastAsia"/>
                <w:color w:val="auto"/>
                <w:highlight w:val="none"/>
              </w:rPr>
              <w:t>2</w:t>
            </w:r>
          </w:p>
        </w:tc>
        <w:tc>
          <w:tcPr>
            <w:tcW w:w="2695" w:type="dxa"/>
            <w:noWrap/>
          </w:tcPr>
          <w:p w14:paraId="268B2B2D">
            <w:pPr>
              <w:spacing w:line="360" w:lineRule="exact"/>
              <w:jc w:val="center"/>
              <w:rPr>
                <w:color w:val="auto"/>
                <w:highlight w:val="none"/>
              </w:rPr>
            </w:pPr>
            <w:r>
              <w:rPr>
                <w:rFonts w:hint="eastAsia"/>
                <w:color w:val="auto"/>
                <w:highlight w:val="none"/>
              </w:rPr>
              <w:t>会议软件</w:t>
            </w:r>
          </w:p>
        </w:tc>
        <w:tc>
          <w:tcPr>
            <w:tcW w:w="5527" w:type="dxa"/>
          </w:tcPr>
          <w:p w14:paraId="02813FDB">
            <w:pPr>
              <w:spacing w:line="360" w:lineRule="exact"/>
              <w:jc w:val="center"/>
              <w:rPr>
                <w:color w:val="auto"/>
                <w:highlight w:val="none"/>
              </w:rPr>
            </w:pPr>
            <w:r>
              <w:rPr>
                <w:rFonts w:hint="eastAsia"/>
                <w:color w:val="auto"/>
                <w:highlight w:val="none"/>
              </w:rPr>
              <w:t>PC端软件</w:t>
            </w:r>
          </w:p>
        </w:tc>
        <w:tc>
          <w:tcPr>
            <w:tcW w:w="992" w:type="dxa"/>
            <w:noWrap/>
          </w:tcPr>
          <w:p w14:paraId="7C04CBCA">
            <w:pPr>
              <w:spacing w:line="360" w:lineRule="exact"/>
              <w:jc w:val="center"/>
              <w:rPr>
                <w:color w:val="auto"/>
                <w:highlight w:val="none"/>
              </w:rPr>
            </w:pPr>
            <w:r>
              <w:rPr>
                <w:rFonts w:hint="eastAsia"/>
                <w:color w:val="auto"/>
                <w:highlight w:val="none"/>
              </w:rPr>
              <w:t>1</w:t>
            </w:r>
          </w:p>
        </w:tc>
      </w:tr>
      <w:tr w14:paraId="260D8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9" w:type="dxa"/>
            <w:noWrap/>
          </w:tcPr>
          <w:p w14:paraId="3CF93395">
            <w:pPr>
              <w:spacing w:line="360" w:lineRule="exact"/>
              <w:jc w:val="center"/>
              <w:rPr>
                <w:color w:val="auto"/>
                <w:highlight w:val="none"/>
              </w:rPr>
            </w:pPr>
            <w:r>
              <w:rPr>
                <w:rFonts w:hint="eastAsia"/>
                <w:color w:val="auto"/>
                <w:highlight w:val="none"/>
              </w:rPr>
              <w:t>3</w:t>
            </w:r>
          </w:p>
        </w:tc>
        <w:tc>
          <w:tcPr>
            <w:tcW w:w="2695" w:type="dxa"/>
            <w:noWrap/>
          </w:tcPr>
          <w:p w14:paraId="548836A4">
            <w:pPr>
              <w:spacing w:line="360" w:lineRule="exact"/>
              <w:jc w:val="center"/>
              <w:rPr>
                <w:color w:val="auto"/>
                <w:highlight w:val="none"/>
              </w:rPr>
            </w:pPr>
            <w:r>
              <w:rPr>
                <w:rFonts w:hint="eastAsia"/>
                <w:color w:val="auto"/>
                <w:highlight w:val="none"/>
              </w:rPr>
              <w:t>线缆包</w:t>
            </w:r>
          </w:p>
        </w:tc>
        <w:tc>
          <w:tcPr>
            <w:tcW w:w="5527" w:type="dxa"/>
          </w:tcPr>
          <w:p w14:paraId="49BE1886">
            <w:pPr>
              <w:spacing w:line="360" w:lineRule="exact"/>
              <w:jc w:val="center"/>
              <w:rPr>
                <w:color w:val="auto"/>
                <w:highlight w:val="none"/>
              </w:rPr>
            </w:pPr>
            <w:r>
              <w:rPr>
                <w:rFonts w:hint="eastAsia"/>
                <w:color w:val="auto"/>
                <w:highlight w:val="none"/>
              </w:rPr>
              <w:t>4K数字化示教会议室线缆包及安装：</w:t>
            </w:r>
          </w:p>
        </w:tc>
        <w:tc>
          <w:tcPr>
            <w:tcW w:w="992" w:type="dxa"/>
            <w:noWrap/>
          </w:tcPr>
          <w:p w14:paraId="2F0312C2">
            <w:pPr>
              <w:spacing w:line="360" w:lineRule="exact"/>
              <w:jc w:val="center"/>
              <w:rPr>
                <w:color w:val="auto"/>
                <w:highlight w:val="none"/>
              </w:rPr>
            </w:pPr>
            <w:r>
              <w:rPr>
                <w:rFonts w:hint="eastAsia"/>
                <w:color w:val="auto"/>
                <w:highlight w:val="none"/>
              </w:rPr>
              <w:t>按需提供</w:t>
            </w:r>
          </w:p>
        </w:tc>
      </w:tr>
    </w:tbl>
    <w:p w14:paraId="00B838CB">
      <w:pPr>
        <w:spacing w:line="360" w:lineRule="exact"/>
        <w:jc w:val="both"/>
        <w:rPr>
          <w:rFonts w:hint="eastAsia" w:ascii="华文细黑" w:hAnsi="华文细黑" w:eastAsia="华文细黑"/>
          <w:b/>
          <w:color w:val="auto"/>
          <w:sz w:val="30"/>
          <w:szCs w:val="30"/>
          <w:highlight w:val="none"/>
        </w:rPr>
      </w:pPr>
    </w:p>
    <w:p w14:paraId="087A54E7">
      <w:pPr>
        <w:spacing w:line="36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第四部分  数字一体化手术室主体硬件要求</w:t>
      </w:r>
    </w:p>
    <w:p w14:paraId="14FDA3DE">
      <w:pPr>
        <w:spacing w:line="360" w:lineRule="exact"/>
        <w:rPr>
          <w:color w:val="auto"/>
          <w:highlight w:val="none"/>
        </w:rPr>
      </w:pPr>
    </w:p>
    <w:tbl>
      <w:tblPr>
        <w:tblStyle w:val="26"/>
        <w:tblW w:w="9923" w:type="dxa"/>
        <w:tblInd w:w="-7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9"/>
        <w:gridCol w:w="1276"/>
        <w:gridCol w:w="5528"/>
        <w:gridCol w:w="2410"/>
      </w:tblGrid>
      <w:tr w14:paraId="36A78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8" w:hRule="atLeast"/>
        </w:trPr>
        <w:tc>
          <w:tcPr>
            <w:tcW w:w="709" w:type="dxa"/>
          </w:tcPr>
          <w:p w14:paraId="48682AED">
            <w:pPr>
              <w:spacing w:line="360" w:lineRule="exact"/>
              <w:rPr>
                <w:color w:val="auto"/>
                <w:highlight w:val="none"/>
              </w:rPr>
            </w:pPr>
            <w:r>
              <w:rPr>
                <w:rFonts w:hint="eastAsia"/>
                <w:color w:val="auto"/>
                <w:highlight w:val="none"/>
              </w:rPr>
              <w:t>序号</w:t>
            </w:r>
          </w:p>
        </w:tc>
        <w:tc>
          <w:tcPr>
            <w:tcW w:w="1276" w:type="dxa"/>
          </w:tcPr>
          <w:p w14:paraId="33234BFA">
            <w:pPr>
              <w:spacing w:line="360" w:lineRule="exact"/>
              <w:rPr>
                <w:color w:val="auto"/>
                <w:highlight w:val="none"/>
              </w:rPr>
            </w:pPr>
            <w:r>
              <w:rPr>
                <w:rFonts w:hint="eastAsia"/>
                <w:color w:val="auto"/>
                <w:highlight w:val="none"/>
              </w:rPr>
              <w:t>产品项目</w:t>
            </w:r>
          </w:p>
        </w:tc>
        <w:tc>
          <w:tcPr>
            <w:tcW w:w="5528" w:type="dxa"/>
          </w:tcPr>
          <w:p w14:paraId="0DDC6507">
            <w:pPr>
              <w:spacing w:line="360" w:lineRule="exact"/>
              <w:rPr>
                <w:color w:val="auto"/>
                <w:highlight w:val="none"/>
              </w:rPr>
            </w:pPr>
            <w:r>
              <w:rPr>
                <w:rFonts w:hint="eastAsia"/>
                <w:color w:val="auto"/>
                <w:highlight w:val="none"/>
              </w:rPr>
              <w:t>参数要求</w:t>
            </w:r>
          </w:p>
        </w:tc>
        <w:tc>
          <w:tcPr>
            <w:tcW w:w="2410" w:type="dxa"/>
          </w:tcPr>
          <w:p w14:paraId="6AAC639B">
            <w:pPr>
              <w:spacing w:line="360" w:lineRule="exact"/>
              <w:rPr>
                <w:b/>
                <w:bCs/>
                <w:color w:val="auto"/>
                <w:highlight w:val="none"/>
              </w:rPr>
            </w:pPr>
            <w:r>
              <w:rPr>
                <w:rFonts w:hint="eastAsia"/>
                <w:b/>
                <w:bCs/>
                <w:color w:val="auto"/>
                <w:highlight w:val="none"/>
              </w:rPr>
              <w:t>证明材料要求</w:t>
            </w:r>
          </w:p>
        </w:tc>
      </w:tr>
      <w:tr w14:paraId="65452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5" w:hRule="atLeast"/>
        </w:trPr>
        <w:tc>
          <w:tcPr>
            <w:tcW w:w="709" w:type="dxa"/>
          </w:tcPr>
          <w:p w14:paraId="7D4750E9">
            <w:pPr>
              <w:spacing w:line="360" w:lineRule="exact"/>
              <w:rPr>
                <w:color w:val="auto"/>
                <w:highlight w:val="none"/>
              </w:rPr>
            </w:pPr>
            <w:r>
              <w:rPr>
                <w:rFonts w:hint="eastAsia"/>
                <w:color w:val="auto"/>
                <w:highlight w:val="none"/>
              </w:rPr>
              <w:t>1</w:t>
            </w:r>
          </w:p>
        </w:tc>
        <w:tc>
          <w:tcPr>
            <w:tcW w:w="1276" w:type="dxa"/>
          </w:tcPr>
          <w:p w14:paraId="27F8E87B">
            <w:pPr>
              <w:spacing w:line="360" w:lineRule="exact"/>
              <w:rPr>
                <w:b/>
                <w:bCs/>
                <w:color w:val="auto"/>
                <w:highlight w:val="none"/>
              </w:rPr>
            </w:pPr>
            <w:r>
              <w:rPr>
                <w:rFonts w:hint="eastAsia"/>
                <w:b/>
                <w:bCs/>
                <w:color w:val="auto"/>
                <w:highlight w:val="none"/>
              </w:rPr>
              <w:t>数字一体化手术室系统主机(手术室)</w:t>
            </w:r>
          </w:p>
        </w:tc>
        <w:tc>
          <w:tcPr>
            <w:tcW w:w="5528" w:type="dxa"/>
          </w:tcPr>
          <w:p w14:paraId="312FEB47">
            <w:pPr>
              <w:spacing w:line="360" w:lineRule="exact"/>
              <w:rPr>
                <w:color w:val="auto"/>
                <w:highlight w:val="none"/>
              </w:rPr>
            </w:pPr>
            <w:r>
              <w:rPr>
                <w:rFonts w:hint="eastAsia"/>
                <w:color w:val="auto"/>
                <w:highlight w:val="none"/>
                <w:lang w:val="en-US" w:eastAsia="zh-CN"/>
              </w:rPr>
              <w:t xml:space="preserve">1.1. </w:t>
            </w:r>
            <w:r>
              <w:rPr>
                <w:rFonts w:hint="eastAsia"/>
                <w:color w:val="auto"/>
                <w:highlight w:val="none"/>
              </w:rPr>
              <w:t>对前端触控系统的信号路由、手术视频会议、手术视音频录制、环境预设以及文档管理功能提供支持；</w:t>
            </w:r>
            <w:r>
              <w:rPr>
                <w:rFonts w:hint="eastAsia"/>
                <w:color w:val="auto"/>
                <w:highlight w:val="none"/>
              </w:rPr>
              <w:br w:type="textWrapping"/>
            </w:r>
            <w:r>
              <w:rPr>
                <w:rFonts w:hint="eastAsia"/>
                <w:color w:val="auto"/>
                <w:highlight w:val="none"/>
                <w:lang w:val="en-US" w:eastAsia="zh-CN"/>
              </w:rPr>
              <w:t xml:space="preserve">1.2. </w:t>
            </w:r>
            <w:r>
              <w:rPr>
                <w:rFonts w:hint="eastAsia"/>
                <w:color w:val="auto"/>
                <w:highlight w:val="none"/>
              </w:rPr>
              <w:t>支持对手术室内所有视频信号、音频信号及控制信号的集中管控和分配；</w:t>
            </w:r>
            <w:r>
              <w:rPr>
                <w:rFonts w:hint="eastAsia"/>
                <w:color w:val="auto"/>
                <w:highlight w:val="none"/>
              </w:rPr>
              <w:br w:type="textWrapping"/>
            </w:r>
            <w:r>
              <w:rPr>
                <w:rFonts w:hint="eastAsia"/>
                <w:color w:val="auto"/>
                <w:highlight w:val="none"/>
                <w:lang w:val="en-US" w:eastAsia="zh-CN"/>
              </w:rPr>
              <w:t xml:space="preserve">1.3. </w:t>
            </w:r>
            <w:r>
              <w:rPr>
                <w:rFonts w:hint="eastAsia"/>
                <w:color w:val="auto"/>
                <w:highlight w:val="none"/>
              </w:rPr>
              <w:t>需支持手术室内系统整体对视频的4K级别的画质处理能力；</w:t>
            </w:r>
            <w:r>
              <w:rPr>
                <w:rFonts w:hint="eastAsia"/>
                <w:color w:val="auto"/>
                <w:highlight w:val="none"/>
              </w:rPr>
              <w:br w:type="textWrapping"/>
            </w:r>
            <w:r>
              <w:rPr>
                <w:rFonts w:hint="eastAsia"/>
                <w:color w:val="auto"/>
                <w:highlight w:val="none"/>
                <w:lang w:val="en-US" w:eastAsia="zh-CN"/>
              </w:rPr>
              <w:t xml:space="preserve">1.4. </w:t>
            </w:r>
            <w:r>
              <w:rPr>
                <w:rFonts w:hint="eastAsia"/>
                <w:color w:val="auto"/>
                <w:highlight w:val="none"/>
              </w:rPr>
              <w:t>包含一台系统主机，CPU为主频不低于1.5GHz，内存不低于8GB，硬盘不低于128GB；</w:t>
            </w:r>
            <w:r>
              <w:rPr>
                <w:rFonts w:hint="eastAsia"/>
                <w:color w:val="auto"/>
                <w:highlight w:val="none"/>
              </w:rPr>
              <w:br w:type="textWrapping"/>
            </w:r>
            <w:r>
              <w:rPr>
                <w:rFonts w:hint="eastAsia"/>
                <w:color w:val="auto"/>
                <w:highlight w:val="none"/>
                <w:lang w:val="en-US" w:eastAsia="zh-CN"/>
              </w:rPr>
              <w:t xml:space="preserve">1.5. </w:t>
            </w:r>
            <w:r>
              <w:rPr>
                <w:rFonts w:hint="eastAsia"/>
                <w:color w:val="auto"/>
                <w:highlight w:val="none"/>
              </w:rPr>
              <w:t>可支持系统一键开关机，最多支持12个电源输出，电源输出满足220V 50/60Hz；支持上电自启动；</w:t>
            </w:r>
            <w:r>
              <w:rPr>
                <w:rFonts w:hint="eastAsia"/>
                <w:color w:val="auto"/>
                <w:highlight w:val="none"/>
              </w:rPr>
              <w:br w:type="textWrapping"/>
            </w:r>
            <w:r>
              <w:rPr>
                <w:rFonts w:hint="eastAsia"/>
                <w:color w:val="auto"/>
                <w:highlight w:val="none"/>
                <w:lang w:val="en-US" w:eastAsia="zh-CN"/>
              </w:rPr>
              <w:t xml:space="preserve">1.6. </w:t>
            </w:r>
            <w:r>
              <w:rPr>
                <w:rFonts w:hint="eastAsia"/>
                <w:color w:val="auto"/>
                <w:highlight w:val="none"/>
              </w:rPr>
              <w:t>可支持录制4K 60Hz视频；最多支持4路同时录制，最高可支持32Mbps码率的录制和直播；</w:t>
            </w:r>
            <w:r>
              <w:rPr>
                <w:rFonts w:hint="eastAsia"/>
                <w:color w:val="auto"/>
                <w:highlight w:val="none"/>
              </w:rPr>
              <w:br w:type="textWrapping"/>
            </w:r>
            <w:r>
              <w:rPr>
                <w:rFonts w:hint="eastAsia"/>
                <w:color w:val="auto"/>
                <w:highlight w:val="none"/>
                <w:lang w:val="en-US" w:eastAsia="zh-CN"/>
              </w:rPr>
              <w:t xml:space="preserve">1.7. </w:t>
            </w:r>
            <w:r>
              <w:rPr>
                <w:rFonts w:hint="eastAsia"/>
                <w:color w:val="auto"/>
                <w:highlight w:val="none"/>
              </w:rPr>
              <w:t>支持不少于2个网口、1个DP、1个HDMI视频输出口、4个USB3.0接口；</w:t>
            </w:r>
            <w:r>
              <w:rPr>
                <w:rFonts w:hint="eastAsia"/>
                <w:color w:val="auto"/>
                <w:highlight w:val="none"/>
              </w:rPr>
              <w:br w:type="textWrapping"/>
            </w:r>
            <w:r>
              <w:rPr>
                <w:rFonts w:hint="eastAsia"/>
                <w:color w:val="auto"/>
                <w:highlight w:val="none"/>
              </w:rPr>
              <w:t>▲</w:t>
            </w:r>
            <w:r>
              <w:rPr>
                <w:rFonts w:hint="eastAsia"/>
                <w:color w:val="auto"/>
                <w:highlight w:val="none"/>
                <w:lang w:val="en-US" w:eastAsia="zh-CN"/>
              </w:rPr>
              <w:t xml:space="preserve">1.8. </w:t>
            </w:r>
            <w:r>
              <w:rPr>
                <w:rFonts w:hint="eastAsia"/>
                <w:color w:val="auto"/>
                <w:highlight w:val="none"/>
              </w:rPr>
              <w:t>本地视频路由切换时间：不超过0.2秒；</w:t>
            </w:r>
            <w:r>
              <w:rPr>
                <w:rFonts w:hint="eastAsia"/>
                <w:color w:val="auto"/>
                <w:highlight w:val="none"/>
              </w:rPr>
              <w:br w:type="textWrapping"/>
            </w:r>
            <w:r>
              <w:rPr>
                <w:rFonts w:hint="eastAsia"/>
                <w:color w:val="auto"/>
                <w:highlight w:val="none"/>
                <w:lang w:val="en-US" w:eastAsia="zh-CN"/>
              </w:rPr>
              <w:t xml:space="preserve">1.9. </w:t>
            </w:r>
            <w:r>
              <w:rPr>
                <w:rFonts w:hint="eastAsia"/>
                <w:color w:val="auto"/>
                <w:highlight w:val="none"/>
              </w:rPr>
              <w:t>会议系统可同时至少提供4方头像音视频会议的开展，保证会议开展期间音视频同步无延迟。会议发起方可对会议加密，排除无关人员误入会议系统。</w:t>
            </w:r>
            <w:r>
              <w:rPr>
                <w:rFonts w:hint="eastAsia"/>
                <w:color w:val="auto"/>
                <w:highlight w:val="none"/>
              </w:rPr>
              <w:br w:type="textWrapping"/>
            </w:r>
            <w:r>
              <w:rPr>
                <w:rFonts w:hint="eastAsia"/>
                <w:color w:val="auto"/>
                <w:highlight w:val="none"/>
                <w:lang w:val="en-US" w:eastAsia="zh-CN"/>
              </w:rPr>
              <w:t xml:space="preserve">1.10. </w:t>
            </w:r>
            <w:r>
              <w:rPr>
                <w:rFonts w:hint="eastAsia"/>
                <w:color w:val="auto"/>
                <w:highlight w:val="none"/>
              </w:rPr>
              <w:t>在会议过程中，可按需求随意邀请或删减会议加入方。新建一场会议步骤不能超过3步，保证会议建立的便捷性。</w:t>
            </w:r>
            <w:r>
              <w:rPr>
                <w:rFonts w:hint="eastAsia"/>
                <w:color w:val="auto"/>
                <w:highlight w:val="none"/>
              </w:rPr>
              <w:br w:type="textWrapping"/>
            </w:r>
            <w:r>
              <w:rPr>
                <w:rFonts w:hint="eastAsia"/>
                <w:color w:val="auto"/>
                <w:highlight w:val="none"/>
                <w:lang w:val="en-US" w:eastAsia="zh-CN"/>
              </w:rPr>
              <w:t xml:space="preserve">1.11. </w:t>
            </w:r>
            <w:r>
              <w:rPr>
                <w:rFonts w:hint="eastAsia"/>
                <w:color w:val="auto"/>
                <w:highlight w:val="none"/>
              </w:rPr>
              <w:t>手术室传输至会议室的视频显示分辨率可达1920×1080P，刷新率不低于60fps，同时画面色度采样YCbCr支持4:4:4视频源输入标准。</w:t>
            </w:r>
            <w:r>
              <w:rPr>
                <w:rFonts w:hint="eastAsia"/>
                <w:color w:val="auto"/>
                <w:highlight w:val="none"/>
              </w:rPr>
              <w:br w:type="textWrapping"/>
            </w:r>
            <w:r>
              <w:rPr>
                <w:rFonts w:hint="eastAsia"/>
                <w:color w:val="auto"/>
                <w:highlight w:val="none"/>
                <w:lang w:val="en-US" w:eastAsia="zh-CN"/>
              </w:rPr>
              <w:t xml:space="preserve">1.12. </w:t>
            </w:r>
            <w:r>
              <w:rPr>
                <w:rFonts w:hint="eastAsia"/>
                <w:color w:val="auto"/>
                <w:highlight w:val="none"/>
              </w:rPr>
              <w:t>选择信号源可点击录制按钮，进行影像录制，同时录制视频的分辨率均不低于1920×1080P，刷新率不低于60fps；</w:t>
            </w:r>
            <w:r>
              <w:rPr>
                <w:rFonts w:hint="eastAsia"/>
                <w:color w:val="auto"/>
                <w:highlight w:val="none"/>
              </w:rPr>
              <w:br w:type="textWrapping"/>
            </w:r>
            <w:r>
              <w:rPr>
                <w:rFonts w:hint="eastAsia"/>
                <w:color w:val="auto"/>
                <w:highlight w:val="none"/>
                <w:lang w:val="en-US" w:eastAsia="zh-CN"/>
              </w:rPr>
              <w:t xml:space="preserve">1.13. </w:t>
            </w:r>
            <w:r>
              <w:rPr>
                <w:rFonts w:hint="eastAsia"/>
                <w:color w:val="auto"/>
                <w:highlight w:val="none"/>
              </w:rPr>
              <w:t>录制过程中可随时暂停、恢复录制；支持选择有声录制和无声录制两种录制方式；</w:t>
            </w:r>
            <w:r>
              <w:rPr>
                <w:rFonts w:hint="eastAsia"/>
                <w:color w:val="auto"/>
                <w:highlight w:val="none"/>
              </w:rPr>
              <w:br w:type="textWrapping"/>
            </w:r>
            <w:r>
              <w:rPr>
                <w:rFonts w:hint="eastAsia"/>
                <w:color w:val="auto"/>
                <w:highlight w:val="none"/>
                <w:lang w:val="en-US" w:eastAsia="zh-CN"/>
              </w:rPr>
              <w:t xml:space="preserve">1.14. </w:t>
            </w:r>
            <w:r>
              <w:rPr>
                <w:rFonts w:hint="eastAsia"/>
                <w:color w:val="auto"/>
                <w:highlight w:val="none"/>
              </w:rPr>
              <w:t>支持录制过程中可预览录制信号源的实时画面，确保录制画面符合临床所需，为后期影像处理做好准备；</w:t>
            </w:r>
            <w:r>
              <w:rPr>
                <w:rFonts w:hint="eastAsia"/>
                <w:color w:val="auto"/>
                <w:highlight w:val="none"/>
              </w:rPr>
              <w:br w:type="textWrapping"/>
            </w:r>
            <w:r>
              <w:rPr>
                <w:rFonts w:hint="eastAsia"/>
                <w:color w:val="auto"/>
                <w:highlight w:val="none"/>
                <w:lang w:val="en-US" w:eastAsia="zh-CN"/>
              </w:rPr>
              <w:t xml:space="preserve">1.15. </w:t>
            </w:r>
            <w:r>
              <w:rPr>
                <w:rFonts w:hint="eastAsia"/>
                <w:color w:val="auto"/>
                <w:highlight w:val="none"/>
              </w:rPr>
              <w:t>支持录制过程中对服务器硬盘、外接USB设备容量进行实时显示，同时实时为临床手术监测录制剩余磁盘空间；</w:t>
            </w:r>
            <w:r>
              <w:rPr>
                <w:rFonts w:hint="eastAsia"/>
                <w:color w:val="auto"/>
                <w:highlight w:val="none"/>
              </w:rPr>
              <w:br w:type="textWrapping"/>
            </w:r>
            <w:r>
              <w:rPr>
                <w:rFonts w:hint="eastAsia"/>
                <w:color w:val="auto"/>
                <w:highlight w:val="none"/>
              </w:rPr>
              <w:t>当磁盘空间不足时显示提示，及时提醒医护人员更换磁盘；</w:t>
            </w:r>
            <w:r>
              <w:rPr>
                <w:rFonts w:hint="eastAsia"/>
                <w:color w:val="auto"/>
                <w:highlight w:val="none"/>
              </w:rPr>
              <w:br w:type="textWrapping"/>
            </w:r>
            <w:r>
              <w:rPr>
                <w:rFonts w:hint="eastAsia"/>
                <w:color w:val="auto"/>
                <w:highlight w:val="none"/>
              </w:rPr>
              <w:t>手术视频录制可根据磁盘容量大小以及临床需求，选择所要录制影像的清晰度；</w:t>
            </w:r>
            <w:r>
              <w:rPr>
                <w:rFonts w:hint="eastAsia"/>
                <w:color w:val="auto"/>
                <w:highlight w:val="none"/>
              </w:rPr>
              <w:br w:type="textWrapping"/>
            </w:r>
            <w:r>
              <w:rPr>
                <w:rFonts w:hint="eastAsia"/>
                <w:color w:val="auto"/>
                <w:highlight w:val="none"/>
                <w:lang w:val="en-US" w:eastAsia="zh-CN"/>
              </w:rPr>
              <w:t xml:space="preserve">1.16. </w:t>
            </w:r>
            <w:r>
              <w:rPr>
                <w:rFonts w:hint="eastAsia"/>
                <w:color w:val="auto"/>
                <w:highlight w:val="none"/>
              </w:rPr>
              <w:t>通过等级权限管理来限制录制文件的查看、编辑、删除；在专属账户下对数据下载时，需要输入密码进行身份验证。</w:t>
            </w:r>
            <w:r>
              <w:rPr>
                <w:rFonts w:hint="eastAsia"/>
                <w:color w:val="auto"/>
                <w:highlight w:val="none"/>
              </w:rPr>
              <w:br w:type="textWrapping"/>
            </w:r>
            <w:r>
              <w:rPr>
                <w:rFonts w:hint="eastAsia"/>
                <w:color w:val="auto"/>
                <w:highlight w:val="none"/>
                <w:lang w:val="en-US" w:eastAsia="zh-CN"/>
              </w:rPr>
              <w:t xml:space="preserve">1.17. </w:t>
            </w:r>
            <w:r>
              <w:rPr>
                <w:rFonts w:hint="eastAsia"/>
                <w:color w:val="auto"/>
                <w:highlight w:val="none"/>
              </w:rPr>
              <w:t>可按用病人ID、病人姓名、用户名和文件日期、文件大小、文件类型等关键字对服务器存储的文档进行快速检索和排序；</w:t>
            </w:r>
            <w:r>
              <w:rPr>
                <w:rFonts w:hint="eastAsia"/>
                <w:color w:val="auto"/>
                <w:highlight w:val="none"/>
              </w:rPr>
              <w:br w:type="textWrapping"/>
            </w:r>
            <w:r>
              <w:rPr>
                <w:rFonts w:hint="eastAsia"/>
                <w:color w:val="auto"/>
                <w:highlight w:val="none"/>
                <w:lang w:val="en-US" w:eastAsia="zh-CN"/>
              </w:rPr>
              <w:t xml:space="preserve">1.18. </w:t>
            </w:r>
            <w:r>
              <w:rPr>
                <w:rFonts w:hint="eastAsia"/>
                <w:color w:val="auto"/>
                <w:highlight w:val="none"/>
              </w:rPr>
              <w:t>文档管理系统以患者为中心，为医护人员按照手术室、手术名称、手术医师、手术时间、患者姓名进行分类管理，患者文件夹管理方式；</w:t>
            </w:r>
            <w:r>
              <w:rPr>
                <w:rFonts w:hint="eastAsia"/>
                <w:color w:val="auto"/>
                <w:highlight w:val="none"/>
              </w:rPr>
              <w:br w:type="textWrapping"/>
            </w:r>
            <w:r>
              <w:rPr>
                <w:rFonts w:hint="eastAsia"/>
                <w:color w:val="auto"/>
                <w:highlight w:val="none"/>
                <w:lang w:val="en-US" w:eastAsia="zh-CN"/>
              </w:rPr>
              <w:t xml:space="preserve">1.19. </w:t>
            </w:r>
            <w:r>
              <w:rPr>
                <w:rFonts w:hint="eastAsia"/>
                <w:color w:val="auto"/>
                <w:highlight w:val="none"/>
              </w:rPr>
              <w:t>支持设备故障、操作失败、录制异常、连接异常情况下的报警模式，警报功能分为三级，并以不同颜色显示：严重级别，必须马上处理；非严重级别，手术结束后可以处理；外加信息提示级别；</w:t>
            </w:r>
            <w:r>
              <w:rPr>
                <w:rFonts w:hint="eastAsia"/>
                <w:color w:val="auto"/>
                <w:highlight w:val="none"/>
              </w:rPr>
              <w:br w:type="textWrapping"/>
            </w:r>
            <w:r>
              <w:rPr>
                <w:rFonts w:hint="eastAsia"/>
                <w:color w:val="auto"/>
                <w:highlight w:val="none"/>
                <w:lang w:val="en-US" w:eastAsia="zh-CN"/>
              </w:rPr>
              <w:t xml:space="preserve">1.20. </w:t>
            </w:r>
            <w:r>
              <w:rPr>
                <w:rFonts w:hint="eastAsia"/>
                <w:color w:val="auto"/>
                <w:highlight w:val="none"/>
              </w:rPr>
              <w:t>支持在视频会议中对共享视频内容进行互动圈注标记；支持手术室、示教室、办公室、移动端参与进行互动圈注标记；</w:t>
            </w:r>
            <w:r>
              <w:rPr>
                <w:rFonts w:hint="eastAsia"/>
                <w:color w:val="auto"/>
                <w:highlight w:val="none"/>
              </w:rPr>
              <w:br w:type="textWrapping"/>
            </w:r>
            <w:r>
              <w:rPr>
                <w:rFonts w:hint="eastAsia"/>
                <w:color w:val="auto"/>
                <w:highlight w:val="none"/>
                <w:lang w:val="en-US" w:eastAsia="zh-CN"/>
              </w:rPr>
              <w:t xml:space="preserve">1.21. </w:t>
            </w:r>
            <w:r>
              <w:rPr>
                <w:rFonts w:hint="eastAsia"/>
                <w:color w:val="auto"/>
                <w:highlight w:val="none"/>
              </w:rPr>
              <w:t>支持更换圈注标记的共享视频信号；支持最多四方同时互动圈注标记；支持改变手写笔颜色，改变橡皮擦大小，一键清屏常用功能；</w:t>
            </w:r>
          </w:p>
        </w:tc>
        <w:tc>
          <w:tcPr>
            <w:tcW w:w="2410" w:type="dxa"/>
          </w:tcPr>
          <w:p w14:paraId="68B10D55">
            <w:pPr>
              <w:spacing w:line="360" w:lineRule="exact"/>
              <w:rPr>
                <w:color w:val="auto"/>
                <w:highlight w:val="none"/>
              </w:rPr>
            </w:pPr>
            <w:r>
              <w:rPr>
                <w:rFonts w:hint="eastAsia"/>
                <w:color w:val="auto"/>
                <w:highlight w:val="none"/>
              </w:rPr>
              <w:t>提供</w:t>
            </w:r>
            <w:r>
              <w:rPr>
                <w:rFonts w:hint="eastAsia"/>
                <w:color w:val="auto"/>
                <w:highlight w:val="none"/>
                <w:lang w:val="en-US" w:eastAsia="zh-CN"/>
              </w:rPr>
              <w:t>第</w:t>
            </w:r>
            <w:r>
              <w:rPr>
                <w:rFonts w:hint="eastAsia"/>
                <w:color w:val="auto"/>
                <w:highlight w:val="none"/>
              </w:rPr>
              <w:t>三方检测报告证明视频路由的画面切换响应时间不超过0.2秒；</w:t>
            </w:r>
            <w:r>
              <w:rPr>
                <w:rFonts w:hint="eastAsia"/>
                <w:color w:val="auto"/>
                <w:highlight w:val="none"/>
              </w:rPr>
              <w:br w:type="textWrapping"/>
            </w:r>
            <w:r>
              <w:rPr>
                <w:rFonts w:hint="eastAsia"/>
                <w:color w:val="auto"/>
                <w:highlight w:val="none"/>
              </w:rPr>
              <w:t>提供4方头像会议的画面界面截图，提供建立新会议的3步软件截图。</w:t>
            </w:r>
            <w:r>
              <w:rPr>
                <w:rFonts w:hint="eastAsia"/>
                <w:color w:val="auto"/>
                <w:highlight w:val="none"/>
              </w:rPr>
              <w:br w:type="textWrapping"/>
            </w:r>
            <w:r>
              <w:rPr>
                <w:rFonts w:hint="eastAsia"/>
                <w:color w:val="auto"/>
                <w:highlight w:val="none"/>
              </w:rPr>
              <w:t>提供系统界面截图证明录制时提供剩余录制空间以及剩余录制时间提示；</w:t>
            </w:r>
            <w:r>
              <w:rPr>
                <w:rFonts w:hint="eastAsia"/>
                <w:color w:val="auto"/>
                <w:highlight w:val="none"/>
              </w:rPr>
              <w:br w:type="textWrapping"/>
            </w:r>
            <w:r>
              <w:rPr>
                <w:rFonts w:hint="eastAsia"/>
                <w:color w:val="auto"/>
                <w:highlight w:val="none"/>
              </w:rPr>
              <w:t>提供图片，证明可调节录制清晰度；</w:t>
            </w:r>
            <w:r>
              <w:rPr>
                <w:rFonts w:hint="eastAsia"/>
                <w:color w:val="auto"/>
                <w:highlight w:val="none"/>
              </w:rPr>
              <w:br w:type="textWrapping"/>
            </w:r>
            <w:r>
              <w:rPr>
                <w:rFonts w:hint="eastAsia"/>
                <w:color w:val="auto"/>
                <w:highlight w:val="none"/>
              </w:rPr>
              <w:t>提供权限分级管理的说明文档，同时提供下载时进行密码验证的界面截图；</w:t>
            </w:r>
            <w:r>
              <w:rPr>
                <w:rFonts w:hint="eastAsia"/>
                <w:color w:val="auto"/>
                <w:highlight w:val="none"/>
              </w:rPr>
              <w:br w:type="textWrapping"/>
            </w:r>
            <w:r>
              <w:rPr>
                <w:rFonts w:hint="eastAsia"/>
                <w:color w:val="auto"/>
                <w:highlight w:val="none"/>
              </w:rPr>
              <w:t>提供文档检索界面截图，证明支持可按用病人ID、病人姓名、用户名和文件日期、文件大小、文件类型等关键字完成检索功能；</w:t>
            </w:r>
            <w:r>
              <w:rPr>
                <w:rFonts w:hint="eastAsia"/>
                <w:color w:val="auto"/>
                <w:highlight w:val="none"/>
              </w:rPr>
              <w:br w:type="textWrapping"/>
            </w:r>
            <w:r>
              <w:rPr>
                <w:rFonts w:hint="eastAsia"/>
                <w:color w:val="auto"/>
                <w:highlight w:val="none"/>
              </w:rPr>
              <w:t>提供报警功能提示界面截图证明满足三级警报功能；</w:t>
            </w:r>
          </w:p>
        </w:tc>
      </w:tr>
      <w:tr w14:paraId="57AA5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8" w:hRule="atLeast"/>
        </w:trPr>
        <w:tc>
          <w:tcPr>
            <w:tcW w:w="709" w:type="dxa"/>
          </w:tcPr>
          <w:p w14:paraId="5593E95F">
            <w:pPr>
              <w:spacing w:line="360" w:lineRule="exact"/>
              <w:rPr>
                <w:color w:val="auto"/>
                <w:highlight w:val="none"/>
              </w:rPr>
            </w:pPr>
            <w:r>
              <w:rPr>
                <w:rFonts w:hint="eastAsia"/>
                <w:color w:val="auto"/>
                <w:highlight w:val="none"/>
              </w:rPr>
              <w:t>　2</w:t>
            </w:r>
          </w:p>
        </w:tc>
        <w:tc>
          <w:tcPr>
            <w:tcW w:w="1276" w:type="dxa"/>
          </w:tcPr>
          <w:p w14:paraId="5630A148">
            <w:pPr>
              <w:spacing w:line="360" w:lineRule="exact"/>
              <w:rPr>
                <w:b/>
                <w:bCs/>
                <w:color w:val="auto"/>
                <w:highlight w:val="none"/>
              </w:rPr>
            </w:pPr>
            <w:r>
              <w:rPr>
                <w:rFonts w:hint="eastAsia"/>
                <w:b/>
                <w:bCs/>
                <w:color w:val="auto"/>
                <w:highlight w:val="none"/>
              </w:rPr>
              <w:t>数字一体化手术室系统主机(示教/会议室)</w:t>
            </w:r>
          </w:p>
        </w:tc>
        <w:tc>
          <w:tcPr>
            <w:tcW w:w="5528" w:type="dxa"/>
          </w:tcPr>
          <w:p w14:paraId="08C691EA">
            <w:pPr>
              <w:spacing w:line="360" w:lineRule="exact"/>
              <w:rPr>
                <w:color w:val="auto"/>
                <w:highlight w:val="none"/>
              </w:rPr>
            </w:pPr>
            <w:r>
              <w:rPr>
                <w:rFonts w:hint="eastAsia"/>
                <w:color w:val="auto"/>
                <w:highlight w:val="none"/>
                <w:lang w:val="en-US" w:eastAsia="zh-CN"/>
              </w:rPr>
              <w:t xml:space="preserve">2.1. </w:t>
            </w:r>
            <w:r>
              <w:rPr>
                <w:rFonts w:hint="eastAsia"/>
                <w:color w:val="auto"/>
                <w:highlight w:val="none"/>
              </w:rPr>
              <w:t>对前端触控系统的信号路由、手术视频会议以及文档管理功能提供支持；</w:t>
            </w:r>
            <w:r>
              <w:rPr>
                <w:rFonts w:hint="eastAsia"/>
                <w:color w:val="auto"/>
                <w:highlight w:val="none"/>
              </w:rPr>
              <w:br w:type="textWrapping"/>
            </w:r>
            <w:r>
              <w:rPr>
                <w:rFonts w:hint="eastAsia"/>
                <w:color w:val="auto"/>
                <w:highlight w:val="none"/>
                <w:lang w:val="en-US" w:eastAsia="zh-CN"/>
              </w:rPr>
              <w:t xml:space="preserve">2.2. </w:t>
            </w:r>
            <w:r>
              <w:rPr>
                <w:rFonts w:hint="eastAsia"/>
                <w:color w:val="auto"/>
                <w:highlight w:val="none"/>
              </w:rPr>
              <w:t>支持对示教室内所有视频信号、音频信号及控制信号的集中管控和分配；</w:t>
            </w:r>
            <w:r>
              <w:rPr>
                <w:rFonts w:hint="eastAsia"/>
                <w:color w:val="auto"/>
                <w:highlight w:val="none"/>
              </w:rPr>
              <w:br w:type="textWrapping"/>
            </w:r>
            <w:r>
              <w:rPr>
                <w:rFonts w:hint="eastAsia"/>
                <w:color w:val="auto"/>
                <w:highlight w:val="none"/>
                <w:lang w:val="en-US" w:eastAsia="zh-CN"/>
              </w:rPr>
              <w:t xml:space="preserve">2.3. </w:t>
            </w:r>
            <w:r>
              <w:rPr>
                <w:rFonts w:hint="eastAsia"/>
                <w:color w:val="auto"/>
                <w:highlight w:val="none"/>
              </w:rPr>
              <w:t>需支持会议室内系统整体对视频画质处理能力，确保画质的真实和画面的时效性；</w:t>
            </w:r>
            <w:r>
              <w:rPr>
                <w:rFonts w:hint="eastAsia"/>
                <w:color w:val="auto"/>
                <w:highlight w:val="none"/>
              </w:rPr>
              <w:br w:type="textWrapping"/>
            </w:r>
            <w:r>
              <w:rPr>
                <w:rFonts w:hint="eastAsia"/>
                <w:color w:val="auto"/>
                <w:highlight w:val="none"/>
                <w:lang w:val="en-US" w:eastAsia="zh-CN"/>
              </w:rPr>
              <w:t xml:space="preserve">2.4. </w:t>
            </w:r>
            <w:r>
              <w:rPr>
                <w:rFonts w:hint="eastAsia"/>
                <w:color w:val="auto"/>
                <w:highlight w:val="none"/>
              </w:rPr>
              <w:t>可支持系统一键开关机，最多支持12个电源输出，电源输出满足220V 50/60Hz；</w:t>
            </w:r>
            <w:r>
              <w:rPr>
                <w:rFonts w:hint="eastAsia"/>
                <w:color w:val="auto"/>
                <w:highlight w:val="none"/>
              </w:rPr>
              <w:br w:type="textWrapping"/>
            </w:r>
            <w:r>
              <w:rPr>
                <w:rFonts w:hint="eastAsia"/>
                <w:color w:val="auto"/>
                <w:highlight w:val="none"/>
                <w:lang w:val="en-US" w:eastAsia="zh-CN"/>
              </w:rPr>
              <w:t xml:space="preserve">2.5. </w:t>
            </w:r>
            <w:r>
              <w:rPr>
                <w:rFonts w:hint="eastAsia"/>
                <w:color w:val="auto"/>
                <w:highlight w:val="none"/>
              </w:rPr>
              <w:t>会议系统可同时至少提供4方头像音视频会议的开展，保证会议开展期间音视频同步无延迟。会议发起方可对会议加密，排除无关人员误入会议系统；</w:t>
            </w:r>
            <w:r>
              <w:rPr>
                <w:rFonts w:hint="eastAsia"/>
                <w:color w:val="auto"/>
                <w:highlight w:val="none"/>
              </w:rPr>
              <w:br w:type="textWrapping"/>
            </w:r>
            <w:r>
              <w:rPr>
                <w:rFonts w:hint="eastAsia"/>
                <w:color w:val="auto"/>
                <w:highlight w:val="none"/>
                <w:lang w:val="en-US" w:eastAsia="zh-CN"/>
              </w:rPr>
              <w:t xml:space="preserve">2.6. </w:t>
            </w:r>
            <w:r>
              <w:rPr>
                <w:rFonts w:hint="eastAsia"/>
                <w:color w:val="auto"/>
                <w:highlight w:val="none"/>
              </w:rPr>
              <w:t>在会议过程中，可按需求随意邀请或删减会议加入方。新建一场会议步骤不能超过3步，保证会议建立的便捷性;</w:t>
            </w:r>
            <w:r>
              <w:rPr>
                <w:rFonts w:hint="eastAsia"/>
                <w:color w:val="auto"/>
                <w:highlight w:val="none"/>
              </w:rPr>
              <w:br w:type="textWrapping"/>
            </w:r>
            <w:r>
              <w:rPr>
                <w:rFonts w:hint="eastAsia"/>
                <w:color w:val="auto"/>
                <w:highlight w:val="none"/>
              </w:rPr>
              <w:t>手术室传输至会议室的视频显示分辨率可达3840×2160P，刷新率不低于60fps，同时画面色度采样YCbCr支持4:4:4视频源输入标准；</w:t>
            </w:r>
            <w:r>
              <w:rPr>
                <w:rFonts w:hint="eastAsia"/>
                <w:color w:val="auto"/>
                <w:highlight w:val="none"/>
              </w:rPr>
              <w:br w:type="textWrapping"/>
            </w:r>
            <w:r>
              <w:rPr>
                <w:rFonts w:hint="eastAsia"/>
                <w:color w:val="auto"/>
                <w:highlight w:val="none"/>
                <w:lang w:val="en-US" w:eastAsia="zh-CN"/>
              </w:rPr>
              <w:t xml:space="preserve">2.7. </w:t>
            </w:r>
            <w:r>
              <w:rPr>
                <w:rFonts w:hint="eastAsia"/>
                <w:color w:val="auto"/>
                <w:highlight w:val="none"/>
              </w:rPr>
              <w:t>可对手术内完成后对已存储文档浏览、编辑和删除；通过等级权限管理来限制录制文档的查看、编辑、删除；</w:t>
            </w:r>
            <w:r>
              <w:rPr>
                <w:rFonts w:hint="eastAsia"/>
                <w:color w:val="auto"/>
                <w:highlight w:val="none"/>
              </w:rPr>
              <w:br w:type="textWrapping"/>
            </w:r>
            <w:r>
              <w:rPr>
                <w:rFonts w:hint="eastAsia"/>
                <w:color w:val="auto"/>
                <w:highlight w:val="none"/>
                <w:lang w:val="en-US" w:eastAsia="zh-CN"/>
              </w:rPr>
              <w:t xml:space="preserve">2.8. </w:t>
            </w:r>
            <w:r>
              <w:rPr>
                <w:rFonts w:hint="eastAsia"/>
                <w:color w:val="auto"/>
                <w:highlight w:val="none"/>
              </w:rPr>
              <w:t>可按用病人ID、病人姓名、用户名和文件日期、文件大小、文件类型等关键字对服务器存储的文档进行快速检索和排序；</w:t>
            </w:r>
            <w:r>
              <w:rPr>
                <w:rFonts w:hint="eastAsia"/>
                <w:color w:val="auto"/>
                <w:highlight w:val="none"/>
              </w:rPr>
              <w:br w:type="textWrapping"/>
            </w:r>
            <w:r>
              <w:rPr>
                <w:rFonts w:hint="eastAsia"/>
                <w:color w:val="auto"/>
                <w:highlight w:val="none"/>
                <w:lang w:val="en-US" w:eastAsia="zh-CN"/>
              </w:rPr>
              <w:t xml:space="preserve">2.9. </w:t>
            </w:r>
            <w:r>
              <w:rPr>
                <w:rFonts w:hint="eastAsia"/>
                <w:color w:val="auto"/>
                <w:highlight w:val="none"/>
              </w:rPr>
              <w:t>文档管理系统以患者为中心，为医护人员按照手术室、手术名称、手术医师、手术时间、患者姓名进行分类管理，患者文件夹管理方式；</w:t>
            </w:r>
            <w:r>
              <w:rPr>
                <w:rFonts w:hint="eastAsia"/>
                <w:color w:val="auto"/>
                <w:highlight w:val="none"/>
              </w:rPr>
              <w:br w:type="textWrapping"/>
            </w:r>
            <w:r>
              <w:rPr>
                <w:rFonts w:hint="eastAsia"/>
                <w:color w:val="auto"/>
                <w:highlight w:val="none"/>
                <w:lang w:val="en-US" w:eastAsia="zh-CN"/>
              </w:rPr>
              <w:t xml:space="preserve">2.10. </w:t>
            </w:r>
            <w:r>
              <w:rPr>
                <w:rFonts w:hint="eastAsia"/>
                <w:color w:val="auto"/>
                <w:highlight w:val="none"/>
              </w:rPr>
              <w:t>支持设备故障、操作失败、录制异常、连接异常情况下的报警模式，警报功能分为三级，并以不同颜色相似：严重级别，必须马上处理；非严重级别，手术结束后可以处理；外加信息提示级别；</w:t>
            </w:r>
          </w:p>
        </w:tc>
        <w:tc>
          <w:tcPr>
            <w:tcW w:w="2410" w:type="dxa"/>
          </w:tcPr>
          <w:p w14:paraId="241308F3">
            <w:pPr>
              <w:spacing w:line="360" w:lineRule="exact"/>
              <w:rPr>
                <w:color w:val="auto"/>
                <w:highlight w:val="none"/>
              </w:rPr>
            </w:pPr>
            <w:r>
              <w:rPr>
                <w:rFonts w:hint="eastAsia"/>
                <w:color w:val="auto"/>
                <w:highlight w:val="none"/>
              </w:rPr>
              <w:t>　</w:t>
            </w:r>
          </w:p>
        </w:tc>
      </w:tr>
      <w:tr w14:paraId="2157B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0" w:hRule="atLeast"/>
        </w:trPr>
        <w:tc>
          <w:tcPr>
            <w:tcW w:w="709" w:type="dxa"/>
          </w:tcPr>
          <w:p w14:paraId="7C884A47">
            <w:pPr>
              <w:spacing w:line="360" w:lineRule="exact"/>
              <w:rPr>
                <w:color w:val="auto"/>
                <w:highlight w:val="none"/>
              </w:rPr>
            </w:pPr>
            <w:r>
              <w:rPr>
                <w:rFonts w:hint="eastAsia"/>
                <w:color w:val="auto"/>
                <w:highlight w:val="none"/>
              </w:rPr>
              <w:t>3</w:t>
            </w:r>
          </w:p>
        </w:tc>
        <w:tc>
          <w:tcPr>
            <w:tcW w:w="1276" w:type="dxa"/>
          </w:tcPr>
          <w:p w14:paraId="33F309F9">
            <w:pPr>
              <w:spacing w:line="360" w:lineRule="exact"/>
              <w:rPr>
                <w:b/>
                <w:bCs/>
                <w:color w:val="auto"/>
                <w:highlight w:val="none"/>
              </w:rPr>
            </w:pPr>
            <w:r>
              <w:rPr>
                <w:rFonts w:hint="eastAsia"/>
                <w:b/>
                <w:bCs/>
                <w:color w:val="auto"/>
                <w:highlight w:val="none"/>
              </w:rPr>
              <w:t>视频画面处理器（手术室）</w:t>
            </w:r>
          </w:p>
        </w:tc>
        <w:tc>
          <w:tcPr>
            <w:tcW w:w="5528" w:type="dxa"/>
          </w:tcPr>
          <w:p w14:paraId="5E9583E5">
            <w:pPr>
              <w:spacing w:line="360" w:lineRule="exact"/>
              <w:rPr>
                <w:color w:val="auto"/>
                <w:highlight w:val="none"/>
              </w:rPr>
            </w:pPr>
            <w:r>
              <w:rPr>
                <w:rFonts w:hint="eastAsia"/>
                <w:color w:val="auto"/>
                <w:highlight w:val="none"/>
                <w:lang w:val="en-US" w:eastAsia="zh-CN"/>
              </w:rPr>
              <w:t xml:space="preserve">3.1. </w:t>
            </w:r>
            <w:r>
              <w:rPr>
                <w:rFonts w:hint="eastAsia"/>
                <w:color w:val="auto"/>
                <w:highlight w:val="none"/>
              </w:rPr>
              <w:t>系统采用硬件设备实现画中画及四分屏功能；</w:t>
            </w:r>
            <w:r>
              <w:rPr>
                <w:rFonts w:hint="eastAsia"/>
                <w:color w:val="auto"/>
                <w:highlight w:val="none"/>
              </w:rPr>
              <w:br w:type="textWrapping"/>
            </w:r>
            <w:r>
              <w:rPr>
                <w:rFonts w:hint="eastAsia"/>
                <w:color w:val="auto"/>
                <w:highlight w:val="none"/>
                <w:lang w:val="en-US" w:eastAsia="zh-CN"/>
              </w:rPr>
              <w:t xml:space="preserve">3.2. </w:t>
            </w:r>
            <w:r>
              <w:rPr>
                <w:rFonts w:hint="eastAsia"/>
                <w:color w:val="auto"/>
                <w:highlight w:val="none"/>
              </w:rPr>
              <w:t>支持输入分辨率不低于3840×2160p@60fps；</w:t>
            </w:r>
            <w:r>
              <w:rPr>
                <w:rFonts w:hint="eastAsia"/>
                <w:color w:val="auto"/>
                <w:highlight w:val="none"/>
              </w:rPr>
              <w:br w:type="textWrapping"/>
            </w:r>
            <w:r>
              <w:rPr>
                <w:rFonts w:hint="eastAsia"/>
                <w:color w:val="auto"/>
                <w:highlight w:val="none"/>
                <w:lang w:val="en-US" w:eastAsia="zh-CN"/>
              </w:rPr>
              <w:t xml:space="preserve">3.3. </w:t>
            </w:r>
            <w:r>
              <w:rPr>
                <w:rFonts w:hint="eastAsia"/>
                <w:color w:val="auto"/>
                <w:highlight w:val="none"/>
              </w:rPr>
              <w:t>提供不少于1个SPF+输入口和1个HDMI输出口；</w:t>
            </w:r>
            <w:r>
              <w:rPr>
                <w:rFonts w:hint="eastAsia"/>
                <w:color w:val="auto"/>
                <w:highlight w:val="none"/>
              </w:rPr>
              <w:br w:type="textWrapping"/>
            </w:r>
            <w:r>
              <w:rPr>
                <w:rFonts w:hint="eastAsia"/>
                <w:color w:val="auto"/>
                <w:highlight w:val="none"/>
                <w:lang w:val="en-US" w:eastAsia="zh-CN"/>
              </w:rPr>
              <w:t xml:space="preserve">3.4. </w:t>
            </w:r>
            <w:r>
              <w:rPr>
                <w:rFonts w:hint="eastAsia"/>
                <w:color w:val="auto"/>
                <w:highlight w:val="none"/>
              </w:rPr>
              <w:t>输出分辨率最高支持3840×2160p@60fps；</w:t>
            </w:r>
            <w:r>
              <w:rPr>
                <w:rFonts w:hint="eastAsia"/>
                <w:color w:val="auto"/>
                <w:highlight w:val="none"/>
              </w:rPr>
              <w:br w:type="textWrapping"/>
            </w:r>
            <w:r>
              <w:rPr>
                <w:rFonts w:hint="eastAsia"/>
                <w:color w:val="auto"/>
                <w:highlight w:val="none"/>
                <w:lang w:val="en-US" w:eastAsia="zh-CN"/>
              </w:rPr>
              <w:t xml:space="preserve">3.5. </w:t>
            </w:r>
            <w:r>
              <w:rPr>
                <w:rFonts w:hint="eastAsia"/>
                <w:color w:val="auto"/>
                <w:highlight w:val="none"/>
              </w:rPr>
              <w:t>具备对四分屏、画中画画面的自由信号拼接及小画面四周定位功能；</w:t>
            </w:r>
          </w:p>
        </w:tc>
        <w:tc>
          <w:tcPr>
            <w:tcW w:w="2410" w:type="dxa"/>
          </w:tcPr>
          <w:p w14:paraId="532EAC26">
            <w:pPr>
              <w:spacing w:line="360" w:lineRule="exact"/>
              <w:rPr>
                <w:color w:val="auto"/>
                <w:highlight w:val="none"/>
              </w:rPr>
            </w:pPr>
            <w:r>
              <w:rPr>
                <w:rFonts w:hint="eastAsia"/>
                <w:color w:val="auto"/>
                <w:highlight w:val="none"/>
              </w:rPr>
              <w:t>提供三方检验报告，证明系统连接硬件画中画，非软件画中画，支持PIP和PBP两种格式；同时提供硬件画面处理器实物证明图片；</w:t>
            </w:r>
            <w:r>
              <w:rPr>
                <w:rFonts w:hint="eastAsia"/>
                <w:color w:val="auto"/>
                <w:highlight w:val="none"/>
              </w:rPr>
              <w:br w:type="textWrapping"/>
            </w:r>
            <w:r>
              <w:rPr>
                <w:rFonts w:hint="eastAsia"/>
                <w:color w:val="auto"/>
                <w:highlight w:val="none"/>
              </w:rPr>
              <w:t>提供三方检验报告，证明输入输出分辨率支持3840x2160P，刷新率不低于60fps;</w:t>
            </w:r>
          </w:p>
        </w:tc>
      </w:tr>
      <w:tr w14:paraId="05EB0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2" w:hRule="atLeast"/>
        </w:trPr>
        <w:tc>
          <w:tcPr>
            <w:tcW w:w="709" w:type="dxa"/>
          </w:tcPr>
          <w:p w14:paraId="416526BF">
            <w:pPr>
              <w:spacing w:line="360" w:lineRule="exact"/>
              <w:rPr>
                <w:color w:val="auto"/>
                <w:highlight w:val="none"/>
              </w:rPr>
            </w:pPr>
            <w:r>
              <w:rPr>
                <w:rFonts w:hint="eastAsia"/>
                <w:color w:val="auto"/>
                <w:highlight w:val="none"/>
              </w:rPr>
              <w:t>4</w:t>
            </w:r>
          </w:p>
        </w:tc>
        <w:tc>
          <w:tcPr>
            <w:tcW w:w="1276" w:type="dxa"/>
          </w:tcPr>
          <w:p w14:paraId="7CF736B8">
            <w:pPr>
              <w:spacing w:line="360" w:lineRule="exact"/>
              <w:rPr>
                <w:b/>
                <w:bCs/>
                <w:color w:val="auto"/>
                <w:highlight w:val="none"/>
              </w:rPr>
            </w:pPr>
            <w:r>
              <w:rPr>
                <w:rFonts w:hint="eastAsia"/>
                <w:b/>
                <w:bCs/>
                <w:color w:val="auto"/>
                <w:highlight w:val="none"/>
              </w:rPr>
              <w:t>视频画面处理器（示教室）</w:t>
            </w:r>
          </w:p>
        </w:tc>
        <w:tc>
          <w:tcPr>
            <w:tcW w:w="5528" w:type="dxa"/>
          </w:tcPr>
          <w:p w14:paraId="40BA5348">
            <w:pPr>
              <w:spacing w:line="360" w:lineRule="exact"/>
              <w:rPr>
                <w:color w:val="auto"/>
                <w:highlight w:val="none"/>
              </w:rPr>
            </w:pPr>
            <w:r>
              <w:rPr>
                <w:rFonts w:hint="eastAsia"/>
                <w:color w:val="auto"/>
                <w:highlight w:val="none"/>
                <w:lang w:val="en-US" w:eastAsia="zh-CN"/>
              </w:rPr>
              <w:t xml:space="preserve">4.1. </w:t>
            </w:r>
            <w:r>
              <w:rPr>
                <w:rFonts w:hint="eastAsia"/>
                <w:color w:val="auto"/>
                <w:highlight w:val="none"/>
              </w:rPr>
              <w:t>支持输入和输出分辨率不低于3840×2160p@60fps(4:4:4 8bits)；</w:t>
            </w:r>
            <w:r>
              <w:rPr>
                <w:rFonts w:hint="eastAsia"/>
                <w:color w:val="auto"/>
                <w:highlight w:val="none"/>
              </w:rPr>
              <w:br w:type="textWrapping"/>
            </w:r>
            <w:r>
              <w:rPr>
                <w:rFonts w:hint="eastAsia"/>
                <w:color w:val="auto"/>
                <w:highlight w:val="none"/>
                <w:lang w:val="en-US" w:eastAsia="zh-CN"/>
              </w:rPr>
              <w:t xml:space="preserve">4.2. </w:t>
            </w:r>
            <w:r>
              <w:rPr>
                <w:rFonts w:hint="eastAsia"/>
                <w:color w:val="auto"/>
                <w:highlight w:val="none"/>
              </w:rPr>
              <w:t>提供不少于4个HDMI输入和两个HDMI输出；</w:t>
            </w:r>
            <w:r>
              <w:rPr>
                <w:rFonts w:hint="eastAsia"/>
                <w:color w:val="auto"/>
                <w:highlight w:val="none"/>
              </w:rPr>
              <w:br w:type="textWrapping"/>
            </w:r>
            <w:r>
              <w:rPr>
                <w:rFonts w:hint="eastAsia"/>
                <w:color w:val="auto"/>
                <w:highlight w:val="none"/>
                <w:lang w:val="en-US" w:eastAsia="zh-CN"/>
              </w:rPr>
              <w:t xml:space="preserve">4.3. </w:t>
            </w:r>
            <w:r>
              <w:rPr>
                <w:rFonts w:hint="eastAsia"/>
                <w:color w:val="auto"/>
                <w:highlight w:val="none"/>
              </w:rPr>
              <w:t>支持不少于1个RS232串口和1个RJ45网口；</w:t>
            </w:r>
          </w:p>
        </w:tc>
        <w:tc>
          <w:tcPr>
            <w:tcW w:w="2410" w:type="dxa"/>
          </w:tcPr>
          <w:p w14:paraId="54506D13">
            <w:pPr>
              <w:spacing w:line="360" w:lineRule="exact"/>
              <w:rPr>
                <w:color w:val="auto"/>
                <w:highlight w:val="none"/>
              </w:rPr>
            </w:pPr>
            <w:r>
              <w:rPr>
                <w:rFonts w:hint="eastAsia"/>
                <w:color w:val="auto"/>
                <w:highlight w:val="none"/>
              </w:rPr>
              <w:t>　</w:t>
            </w:r>
          </w:p>
        </w:tc>
      </w:tr>
      <w:tr w14:paraId="7564B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6" w:hRule="atLeast"/>
        </w:trPr>
        <w:tc>
          <w:tcPr>
            <w:tcW w:w="709" w:type="dxa"/>
          </w:tcPr>
          <w:p w14:paraId="62360A8C">
            <w:pPr>
              <w:spacing w:line="360" w:lineRule="exact"/>
              <w:rPr>
                <w:color w:val="auto"/>
                <w:highlight w:val="none"/>
              </w:rPr>
            </w:pPr>
            <w:r>
              <w:rPr>
                <w:rFonts w:hint="eastAsia"/>
                <w:color w:val="auto"/>
                <w:highlight w:val="none"/>
              </w:rPr>
              <w:t>5</w:t>
            </w:r>
          </w:p>
        </w:tc>
        <w:tc>
          <w:tcPr>
            <w:tcW w:w="1276" w:type="dxa"/>
          </w:tcPr>
          <w:p w14:paraId="2950C0F5">
            <w:pPr>
              <w:spacing w:line="360" w:lineRule="exact"/>
              <w:rPr>
                <w:b/>
                <w:bCs/>
                <w:color w:val="auto"/>
                <w:highlight w:val="none"/>
              </w:rPr>
            </w:pPr>
            <w:r>
              <w:rPr>
                <w:rFonts w:hint="eastAsia"/>
                <w:b/>
                <w:bCs/>
                <w:color w:val="auto"/>
                <w:highlight w:val="none"/>
              </w:rPr>
              <w:t>中央触控终端（嵌入式）</w:t>
            </w:r>
          </w:p>
        </w:tc>
        <w:tc>
          <w:tcPr>
            <w:tcW w:w="5528" w:type="dxa"/>
          </w:tcPr>
          <w:p w14:paraId="42A8B3C3">
            <w:pPr>
              <w:spacing w:line="360" w:lineRule="exact"/>
              <w:rPr>
                <w:color w:val="auto"/>
                <w:highlight w:val="none"/>
              </w:rPr>
            </w:pPr>
            <w:r>
              <w:rPr>
                <w:rFonts w:hint="eastAsia"/>
                <w:color w:val="auto"/>
                <w:highlight w:val="none"/>
              </w:rPr>
              <w:t>▲</w:t>
            </w:r>
            <w:r>
              <w:rPr>
                <w:rFonts w:hint="eastAsia"/>
                <w:color w:val="auto"/>
                <w:highlight w:val="none"/>
                <w:lang w:val="en-US" w:eastAsia="zh-CN"/>
              </w:rPr>
              <w:t xml:space="preserve">5.1. </w:t>
            </w:r>
            <w:r>
              <w:rPr>
                <w:rFonts w:hint="eastAsia"/>
                <w:color w:val="auto"/>
                <w:highlight w:val="none"/>
              </w:rPr>
              <w:t>中央触控终端整体嵌入墙体安装，表面全玻璃面板，四周配有金属防撞边条；安装完成后，与墙面齐平，无明显凸起；</w:t>
            </w:r>
            <w:r>
              <w:rPr>
                <w:rFonts w:hint="eastAsia"/>
                <w:color w:val="auto"/>
                <w:highlight w:val="none"/>
              </w:rPr>
              <w:br w:type="textWrapping"/>
            </w:r>
            <w:r>
              <w:rPr>
                <w:rFonts w:hint="eastAsia"/>
                <w:color w:val="auto"/>
                <w:highlight w:val="none"/>
                <w:lang w:val="en-US" w:eastAsia="zh-CN"/>
              </w:rPr>
              <w:t xml:space="preserve">5.2. </w:t>
            </w:r>
            <w:r>
              <w:rPr>
                <w:rFonts w:hint="eastAsia"/>
                <w:color w:val="auto"/>
                <w:highlight w:val="none"/>
              </w:rPr>
              <w:t>中央触控终端支持与嵌墙显示器连屏安装，可达到边框齐平的安装效果；</w:t>
            </w:r>
            <w:r>
              <w:rPr>
                <w:rFonts w:hint="eastAsia"/>
                <w:color w:val="auto"/>
                <w:highlight w:val="none"/>
              </w:rPr>
              <w:br w:type="textWrapping"/>
            </w:r>
            <w:r>
              <w:rPr>
                <w:rFonts w:hint="eastAsia"/>
                <w:color w:val="auto"/>
                <w:highlight w:val="none"/>
                <w:lang w:val="en-US" w:eastAsia="zh-CN"/>
              </w:rPr>
              <w:t xml:space="preserve">5.3. </w:t>
            </w:r>
            <w:r>
              <w:rPr>
                <w:rFonts w:hint="eastAsia"/>
                <w:color w:val="auto"/>
                <w:highlight w:val="none"/>
              </w:rPr>
              <w:t>嵌墙安装缝隙采用可拆卸胶条填充，支持后期维修升级；而非玻璃胶等固化填充物；</w:t>
            </w:r>
            <w:r>
              <w:rPr>
                <w:rFonts w:hint="eastAsia"/>
                <w:color w:val="auto"/>
                <w:highlight w:val="none"/>
              </w:rPr>
              <w:br w:type="textWrapping"/>
            </w:r>
            <w:r>
              <w:rPr>
                <w:rFonts w:hint="eastAsia"/>
                <w:color w:val="auto"/>
                <w:highlight w:val="none"/>
                <w:lang w:val="en-US" w:eastAsia="zh-CN"/>
              </w:rPr>
              <w:t xml:space="preserve">5.4. </w:t>
            </w:r>
            <w:r>
              <w:rPr>
                <w:rFonts w:hint="eastAsia"/>
                <w:color w:val="auto"/>
                <w:highlight w:val="none"/>
              </w:rPr>
              <w:t>具备嵌墙后前面板快速维修功能，可快速开启前面板维护更换内部设备和屏幕组件；</w:t>
            </w:r>
            <w:r>
              <w:rPr>
                <w:rFonts w:hint="eastAsia"/>
                <w:color w:val="auto"/>
                <w:highlight w:val="none"/>
              </w:rPr>
              <w:br w:type="textWrapping"/>
            </w:r>
            <w:r>
              <w:rPr>
                <w:rFonts w:hint="eastAsia"/>
                <w:color w:val="auto"/>
                <w:highlight w:val="none"/>
                <w:lang w:val="en-US" w:eastAsia="zh-CN"/>
              </w:rPr>
              <w:t xml:space="preserve">5.5. </w:t>
            </w:r>
            <w:r>
              <w:rPr>
                <w:rFonts w:hint="eastAsia"/>
                <w:color w:val="auto"/>
                <w:highlight w:val="none"/>
              </w:rPr>
              <w:t>触控屏幕亮度不低于300cd/m2，对比度不低于1000:1；</w:t>
            </w:r>
            <w:r>
              <w:rPr>
                <w:rFonts w:hint="eastAsia"/>
                <w:color w:val="auto"/>
                <w:highlight w:val="none"/>
              </w:rPr>
              <w:br w:type="textWrapping"/>
            </w:r>
            <w:r>
              <w:rPr>
                <w:rFonts w:hint="eastAsia"/>
                <w:color w:val="auto"/>
                <w:highlight w:val="none"/>
              </w:rPr>
              <w:t>▲</w:t>
            </w:r>
            <w:r>
              <w:rPr>
                <w:rFonts w:hint="eastAsia"/>
                <w:color w:val="auto"/>
                <w:highlight w:val="none"/>
                <w:lang w:val="en-US" w:eastAsia="zh-CN"/>
              </w:rPr>
              <w:t xml:space="preserve">5.6. </w:t>
            </w:r>
            <w:r>
              <w:rPr>
                <w:rFonts w:hint="eastAsia"/>
                <w:color w:val="auto"/>
                <w:highlight w:val="none"/>
              </w:rPr>
              <w:t>支持一键开关功能，无需多键启动；前面板提供接口包括USB接口；</w:t>
            </w:r>
            <w:r>
              <w:rPr>
                <w:rFonts w:hint="eastAsia"/>
                <w:color w:val="auto"/>
                <w:highlight w:val="none"/>
              </w:rPr>
              <w:br w:type="textWrapping"/>
            </w:r>
            <w:r>
              <w:rPr>
                <w:rFonts w:hint="eastAsia"/>
                <w:color w:val="auto"/>
                <w:highlight w:val="none"/>
                <w:lang w:val="en-US" w:eastAsia="zh-CN"/>
              </w:rPr>
              <w:t xml:space="preserve">5.7. </w:t>
            </w:r>
            <w:r>
              <w:rPr>
                <w:rFonts w:hint="eastAsia"/>
                <w:color w:val="auto"/>
                <w:highlight w:val="none"/>
              </w:rPr>
              <w:t>触摸屏不低于23.5英寸，支持1920*1080p@60fps分辨率；可视角度不少于178*178；</w:t>
            </w:r>
            <w:r>
              <w:rPr>
                <w:rFonts w:hint="eastAsia"/>
                <w:color w:val="auto"/>
                <w:highlight w:val="none"/>
              </w:rPr>
              <w:br w:type="textWrapping"/>
            </w:r>
            <w:r>
              <w:rPr>
                <w:rFonts w:hint="eastAsia"/>
                <w:color w:val="auto"/>
                <w:highlight w:val="none"/>
                <w:lang w:val="en-US" w:eastAsia="zh-CN"/>
              </w:rPr>
              <w:t xml:space="preserve">5.8. </w:t>
            </w:r>
            <w:r>
              <w:rPr>
                <w:rFonts w:hint="eastAsia"/>
                <w:color w:val="auto"/>
                <w:highlight w:val="none"/>
              </w:rPr>
              <w:t>触控响应时间不超过25ms；触控类型：电容；支持不低于10点触控；</w:t>
            </w:r>
            <w:r>
              <w:rPr>
                <w:rFonts w:hint="eastAsia"/>
                <w:color w:val="auto"/>
                <w:highlight w:val="none"/>
              </w:rPr>
              <w:br w:type="textWrapping"/>
            </w:r>
            <w:r>
              <w:rPr>
                <w:rFonts w:hint="eastAsia"/>
                <w:color w:val="auto"/>
                <w:highlight w:val="none"/>
              </w:rPr>
              <w:t>▲</w:t>
            </w:r>
            <w:r>
              <w:rPr>
                <w:rFonts w:hint="eastAsia"/>
                <w:color w:val="auto"/>
                <w:highlight w:val="none"/>
                <w:lang w:val="en-US" w:eastAsia="zh-CN"/>
              </w:rPr>
              <w:t xml:space="preserve">5.9. </w:t>
            </w:r>
            <w:r>
              <w:rPr>
                <w:rFonts w:hint="eastAsia"/>
                <w:color w:val="auto"/>
                <w:highlight w:val="none"/>
              </w:rPr>
              <w:t>手术床控制急停按钮（可选配）；</w:t>
            </w:r>
          </w:p>
        </w:tc>
        <w:tc>
          <w:tcPr>
            <w:tcW w:w="2410" w:type="dxa"/>
          </w:tcPr>
          <w:p w14:paraId="33DD4B4A">
            <w:pPr>
              <w:spacing w:line="360" w:lineRule="exact"/>
              <w:rPr>
                <w:color w:val="auto"/>
                <w:highlight w:val="none"/>
              </w:rPr>
            </w:pPr>
            <w:r>
              <w:rPr>
                <w:rFonts w:hint="eastAsia"/>
                <w:color w:val="auto"/>
                <w:highlight w:val="none"/>
              </w:rPr>
              <w:t>需提供金属防碰撞边框照片、玻璃触控屏幕照片；</w:t>
            </w:r>
            <w:r>
              <w:rPr>
                <w:rFonts w:hint="eastAsia"/>
                <w:color w:val="auto"/>
                <w:highlight w:val="none"/>
              </w:rPr>
              <w:br w:type="textWrapping"/>
            </w:r>
            <w:r>
              <w:rPr>
                <w:rFonts w:hint="eastAsia"/>
                <w:color w:val="auto"/>
                <w:highlight w:val="none"/>
              </w:rPr>
              <w:t>需提供手术室可拆卸胶条安装的真实效果照片；</w:t>
            </w:r>
            <w:r>
              <w:rPr>
                <w:rFonts w:hint="eastAsia"/>
                <w:color w:val="auto"/>
                <w:highlight w:val="none"/>
              </w:rPr>
              <w:br w:type="textWrapping"/>
            </w:r>
            <w:r>
              <w:rPr>
                <w:rFonts w:hint="eastAsia"/>
                <w:color w:val="auto"/>
                <w:highlight w:val="none"/>
              </w:rPr>
              <w:t>需提供嵌墙后触控终端前面板开启和闭合时的过程照片，证明前面板支持快速维修功能；</w:t>
            </w:r>
            <w:r>
              <w:rPr>
                <w:rFonts w:hint="eastAsia"/>
                <w:color w:val="auto"/>
                <w:highlight w:val="none"/>
              </w:rPr>
              <w:br w:type="textWrapping"/>
            </w:r>
            <w:r>
              <w:rPr>
                <w:rFonts w:hint="eastAsia"/>
                <w:color w:val="auto"/>
                <w:highlight w:val="none"/>
              </w:rPr>
              <w:t>需提供一键开关机按钮照片证明，提供USB接口照片证明；</w:t>
            </w:r>
            <w:r>
              <w:rPr>
                <w:rFonts w:hint="eastAsia"/>
                <w:color w:val="auto"/>
                <w:highlight w:val="none"/>
              </w:rPr>
              <w:br w:type="textWrapping"/>
            </w:r>
            <w:r>
              <w:rPr>
                <w:rFonts w:hint="eastAsia"/>
                <w:color w:val="auto"/>
                <w:highlight w:val="none"/>
              </w:rPr>
              <w:t>需提供手术床控制急停按钮照片证明；</w:t>
            </w:r>
          </w:p>
        </w:tc>
      </w:tr>
      <w:tr w14:paraId="5C672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8" w:hRule="atLeast"/>
        </w:trPr>
        <w:tc>
          <w:tcPr>
            <w:tcW w:w="709" w:type="dxa"/>
          </w:tcPr>
          <w:p w14:paraId="4B2B595F">
            <w:pPr>
              <w:spacing w:line="360" w:lineRule="exact"/>
              <w:rPr>
                <w:color w:val="auto"/>
                <w:highlight w:val="none"/>
              </w:rPr>
            </w:pPr>
            <w:r>
              <w:rPr>
                <w:rFonts w:hint="eastAsia"/>
                <w:color w:val="auto"/>
                <w:highlight w:val="none"/>
              </w:rPr>
              <w:t>6</w:t>
            </w:r>
          </w:p>
        </w:tc>
        <w:tc>
          <w:tcPr>
            <w:tcW w:w="1276" w:type="dxa"/>
          </w:tcPr>
          <w:p w14:paraId="642DE397">
            <w:pPr>
              <w:spacing w:line="360" w:lineRule="exact"/>
              <w:rPr>
                <w:b/>
                <w:bCs/>
                <w:color w:val="auto"/>
                <w:highlight w:val="none"/>
              </w:rPr>
            </w:pPr>
            <w:r>
              <w:rPr>
                <w:rFonts w:hint="eastAsia"/>
                <w:b/>
                <w:bCs/>
                <w:color w:val="auto"/>
                <w:highlight w:val="none"/>
              </w:rPr>
              <w:t>视频编码器</w:t>
            </w:r>
          </w:p>
        </w:tc>
        <w:tc>
          <w:tcPr>
            <w:tcW w:w="5528" w:type="dxa"/>
          </w:tcPr>
          <w:p w14:paraId="39A23600">
            <w:pPr>
              <w:spacing w:line="360" w:lineRule="exact"/>
              <w:rPr>
                <w:color w:val="auto"/>
                <w:highlight w:val="none"/>
              </w:rPr>
            </w:pPr>
            <w:r>
              <w:rPr>
                <w:rFonts w:hint="eastAsia"/>
                <w:color w:val="auto"/>
                <w:highlight w:val="none"/>
                <w:lang w:val="en-US" w:eastAsia="zh-CN"/>
              </w:rPr>
              <w:t xml:space="preserve">6.1. </w:t>
            </w:r>
            <w:r>
              <w:rPr>
                <w:rFonts w:hint="eastAsia"/>
                <w:color w:val="auto"/>
                <w:highlight w:val="none"/>
              </w:rPr>
              <w:t>视频编码器可在吊塔托盘下侧隐蔽式安装；</w:t>
            </w:r>
            <w:r>
              <w:rPr>
                <w:rFonts w:hint="eastAsia"/>
                <w:color w:val="auto"/>
                <w:highlight w:val="none"/>
              </w:rPr>
              <w:br w:type="textWrapping"/>
            </w:r>
            <w:r>
              <w:rPr>
                <w:rFonts w:hint="eastAsia"/>
                <w:color w:val="auto"/>
                <w:highlight w:val="none"/>
                <w:lang w:val="en-US" w:eastAsia="zh-CN"/>
              </w:rPr>
              <w:t xml:space="preserve">6.2. </w:t>
            </w:r>
            <w:r>
              <w:rPr>
                <w:rFonts w:hint="eastAsia"/>
                <w:color w:val="auto"/>
                <w:highlight w:val="none"/>
              </w:rPr>
              <w:t>支持视频编码；支持RTSP协议栈；支持POE供电；主流辅流可独立关闭，主流和辅流支持各自独立设置编码格式;</w:t>
            </w:r>
            <w:r>
              <w:rPr>
                <w:rFonts w:hint="eastAsia"/>
                <w:color w:val="auto"/>
                <w:highlight w:val="none"/>
              </w:rPr>
              <w:br w:type="textWrapping"/>
            </w:r>
            <w:r>
              <w:rPr>
                <w:rFonts w:hint="eastAsia"/>
                <w:color w:val="auto"/>
                <w:highlight w:val="none"/>
                <w:lang w:val="en-US" w:eastAsia="zh-CN"/>
              </w:rPr>
              <w:t xml:space="preserve">6.3. </w:t>
            </w:r>
            <w:r>
              <w:rPr>
                <w:rFonts w:hint="eastAsia"/>
                <w:color w:val="auto"/>
                <w:highlight w:val="none"/>
              </w:rPr>
              <w:t>支持编码输入：分辨率最高支持3840×2160P  刷新率支持60fps；色度采样支持YCbCr 4:4:4，编解码传输延迟低于1</w:t>
            </w:r>
            <w:r>
              <w:rPr>
                <w:color w:val="auto"/>
                <w:highlight w:val="none"/>
              </w:rPr>
              <w:t>6</w:t>
            </w:r>
            <w:r>
              <w:rPr>
                <w:rFonts w:hint="eastAsia"/>
                <w:color w:val="auto"/>
                <w:highlight w:val="none"/>
              </w:rPr>
              <w:t>ms；</w:t>
            </w:r>
            <w:r>
              <w:rPr>
                <w:rFonts w:hint="eastAsia"/>
                <w:color w:val="auto"/>
                <w:highlight w:val="none"/>
              </w:rPr>
              <w:br w:type="textWrapping"/>
            </w:r>
            <w:r>
              <w:rPr>
                <w:rFonts w:hint="eastAsia"/>
                <w:color w:val="auto"/>
                <w:highlight w:val="none"/>
                <w:lang w:val="en-US" w:eastAsia="zh-CN"/>
              </w:rPr>
              <w:t xml:space="preserve">6.4. </w:t>
            </w:r>
            <w:r>
              <w:rPr>
                <w:rFonts w:hint="eastAsia"/>
                <w:color w:val="auto"/>
                <w:highlight w:val="none"/>
              </w:rPr>
              <w:t>工作模式和码率可调，码流格式支持CBR/VBR；支持对信号源拍照，同时支持修改分辨率；</w:t>
            </w:r>
            <w:r>
              <w:rPr>
                <w:rFonts w:hint="eastAsia"/>
                <w:color w:val="auto"/>
                <w:highlight w:val="none"/>
              </w:rPr>
              <w:br w:type="textWrapping"/>
            </w:r>
            <w:r>
              <w:rPr>
                <w:rFonts w:hint="eastAsia"/>
                <w:color w:val="auto"/>
                <w:highlight w:val="none"/>
                <w:lang w:val="en-US" w:eastAsia="zh-CN"/>
              </w:rPr>
              <w:t xml:space="preserve">6.5. </w:t>
            </w:r>
            <w:r>
              <w:rPr>
                <w:rFonts w:hint="eastAsia"/>
                <w:color w:val="auto"/>
                <w:highlight w:val="none"/>
              </w:rPr>
              <w:t>信号输入接口无需转接，原生支持4K接口输入：HDMI、DP、12G-SDI；</w:t>
            </w:r>
            <w:r>
              <w:rPr>
                <w:rFonts w:hint="eastAsia"/>
                <w:color w:val="auto"/>
                <w:highlight w:val="none"/>
              </w:rPr>
              <w:br w:type="textWrapping"/>
            </w:r>
            <w:r>
              <w:rPr>
                <w:rFonts w:hint="eastAsia"/>
                <w:color w:val="auto"/>
                <w:highlight w:val="none"/>
                <w:lang w:val="en-US" w:eastAsia="zh-CN"/>
              </w:rPr>
              <w:t xml:space="preserve">6.6. </w:t>
            </w:r>
            <w:r>
              <w:rPr>
                <w:rFonts w:hint="eastAsia"/>
                <w:color w:val="auto"/>
                <w:highlight w:val="none"/>
              </w:rPr>
              <w:t>输出接口不少于1×SPF 10Gbps（光口）1×RJ45 1000Mbps1Gbps（网口）；</w:t>
            </w:r>
          </w:p>
        </w:tc>
        <w:tc>
          <w:tcPr>
            <w:tcW w:w="2410" w:type="dxa"/>
          </w:tcPr>
          <w:p w14:paraId="491E49C6">
            <w:pPr>
              <w:spacing w:line="360" w:lineRule="exact"/>
              <w:rPr>
                <w:color w:val="auto"/>
                <w:highlight w:val="none"/>
              </w:rPr>
            </w:pPr>
            <w:r>
              <w:rPr>
                <w:rFonts w:hint="eastAsia"/>
                <w:color w:val="auto"/>
                <w:highlight w:val="none"/>
              </w:rPr>
              <w:t>提供视频编码器在吊塔托盘下侧隐蔽式安装的实景照片证明资料；</w:t>
            </w:r>
            <w:r>
              <w:rPr>
                <w:rFonts w:hint="eastAsia"/>
                <w:color w:val="auto"/>
                <w:highlight w:val="none"/>
              </w:rPr>
              <w:br w:type="textWrapping"/>
            </w:r>
            <w:r>
              <w:rPr>
                <w:rFonts w:hint="eastAsia"/>
                <w:color w:val="auto"/>
                <w:highlight w:val="none"/>
              </w:rPr>
              <w:t>提供三方检验报告证明编码器分辨率最高支持：3840×2160p@60fps；色度采样支持YCbCr 4:4:4，编解码传输延迟低于1</w:t>
            </w:r>
            <w:r>
              <w:rPr>
                <w:color w:val="auto"/>
                <w:highlight w:val="none"/>
              </w:rPr>
              <w:t>6</w:t>
            </w:r>
            <w:r>
              <w:rPr>
                <w:rFonts w:hint="eastAsia"/>
                <w:color w:val="auto"/>
                <w:highlight w:val="none"/>
              </w:rPr>
              <w:t>ms；</w:t>
            </w:r>
            <w:r>
              <w:rPr>
                <w:rFonts w:hint="eastAsia"/>
                <w:color w:val="auto"/>
                <w:highlight w:val="none"/>
              </w:rPr>
              <w:br w:type="textWrapping"/>
            </w:r>
            <w:r>
              <w:rPr>
                <w:rFonts w:hint="eastAsia"/>
                <w:color w:val="auto"/>
                <w:highlight w:val="none"/>
              </w:rPr>
              <w:t>提供编码器接口图片证明编码器输入接口支持HDMI、DP、12G-SDI。</w:t>
            </w:r>
          </w:p>
        </w:tc>
      </w:tr>
      <w:tr w14:paraId="1F1DC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6" w:hRule="atLeast"/>
        </w:trPr>
        <w:tc>
          <w:tcPr>
            <w:tcW w:w="709" w:type="dxa"/>
          </w:tcPr>
          <w:p w14:paraId="6209215F">
            <w:pPr>
              <w:spacing w:line="360" w:lineRule="exact"/>
              <w:rPr>
                <w:color w:val="auto"/>
                <w:highlight w:val="none"/>
              </w:rPr>
            </w:pPr>
            <w:r>
              <w:rPr>
                <w:rFonts w:hint="eastAsia"/>
                <w:color w:val="auto"/>
                <w:highlight w:val="none"/>
              </w:rPr>
              <w:t>7</w:t>
            </w:r>
          </w:p>
        </w:tc>
        <w:tc>
          <w:tcPr>
            <w:tcW w:w="1276" w:type="dxa"/>
          </w:tcPr>
          <w:p w14:paraId="60EE3887">
            <w:pPr>
              <w:spacing w:line="360" w:lineRule="exact"/>
              <w:rPr>
                <w:b/>
                <w:bCs/>
                <w:color w:val="auto"/>
                <w:highlight w:val="none"/>
              </w:rPr>
            </w:pPr>
            <w:r>
              <w:rPr>
                <w:rFonts w:hint="eastAsia"/>
                <w:b/>
                <w:bCs/>
                <w:color w:val="auto"/>
                <w:highlight w:val="none"/>
              </w:rPr>
              <w:t>视频解码器</w:t>
            </w:r>
          </w:p>
        </w:tc>
        <w:tc>
          <w:tcPr>
            <w:tcW w:w="5528" w:type="dxa"/>
          </w:tcPr>
          <w:p w14:paraId="29BEEA5B">
            <w:pPr>
              <w:spacing w:line="360" w:lineRule="exact"/>
              <w:rPr>
                <w:color w:val="auto"/>
                <w:highlight w:val="none"/>
              </w:rPr>
            </w:pPr>
            <w:r>
              <w:rPr>
                <w:rFonts w:hint="eastAsia"/>
                <w:color w:val="auto"/>
                <w:highlight w:val="none"/>
                <w:lang w:val="en-US" w:eastAsia="zh-CN"/>
              </w:rPr>
              <w:t xml:space="preserve">7.1. </w:t>
            </w:r>
            <w:r>
              <w:rPr>
                <w:rFonts w:hint="eastAsia"/>
                <w:color w:val="auto"/>
                <w:highlight w:val="none"/>
              </w:rPr>
              <w:t>支持解码输出，最高分辨率不小于3840×2160p@60fps；色度采样支持YCbCr 4:4:4，编解码传输延迟低于1</w:t>
            </w:r>
            <w:r>
              <w:rPr>
                <w:color w:val="auto"/>
                <w:highlight w:val="none"/>
              </w:rPr>
              <w:t>6</w:t>
            </w:r>
            <w:r>
              <w:rPr>
                <w:rFonts w:hint="eastAsia"/>
                <w:color w:val="auto"/>
                <w:highlight w:val="none"/>
              </w:rPr>
              <w:t>ms；</w:t>
            </w:r>
            <w:r>
              <w:rPr>
                <w:rFonts w:hint="eastAsia"/>
                <w:color w:val="auto"/>
                <w:highlight w:val="none"/>
              </w:rPr>
              <w:br w:type="textWrapping"/>
            </w:r>
            <w:r>
              <w:rPr>
                <w:rFonts w:hint="eastAsia"/>
                <w:color w:val="auto"/>
                <w:highlight w:val="none"/>
                <w:lang w:val="en-US" w:eastAsia="zh-CN"/>
              </w:rPr>
              <w:t xml:space="preserve">7.2. </w:t>
            </w:r>
            <w:r>
              <w:rPr>
                <w:rFonts w:hint="eastAsia"/>
                <w:color w:val="auto"/>
                <w:highlight w:val="none"/>
              </w:rPr>
              <w:t>断电再重启保留关机前的设备参数，包括但不限于IP模式(DHCP/静态)、设备IP地址、掩码、网关、设备名称、设备之间的视频链路关系；</w:t>
            </w:r>
            <w:r>
              <w:rPr>
                <w:rFonts w:hint="eastAsia"/>
                <w:color w:val="auto"/>
                <w:highlight w:val="none"/>
              </w:rPr>
              <w:br w:type="textWrapping"/>
            </w:r>
            <w:r>
              <w:rPr>
                <w:rFonts w:hint="eastAsia"/>
                <w:color w:val="auto"/>
                <w:highlight w:val="none"/>
                <w:lang w:val="en-US" w:eastAsia="zh-CN"/>
              </w:rPr>
              <w:t xml:space="preserve">7.3. </w:t>
            </w:r>
            <w:r>
              <w:rPr>
                <w:rFonts w:hint="eastAsia"/>
                <w:color w:val="auto"/>
                <w:highlight w:val="none"/>
              </w:rPr>
              <w:t>可以查询到解码器目前的视频来源编码器；可通过网络指令的方式调用API接口；支持POE供电；</w:t>
            </w:r>
            <w:r>
              <w:rPr>
                <w:rFonts w:hint="eastAsia"/>
                <w:color w:val="auto"/>
                <w:highlight w:val="none"/>
              </w:rPr>
              <w:br w:type="textWrapping"/>
            </w:r>
            <w:r>
              <w:rPr>
                <w:rFonts w:hint="eastAsia"/>
                <w:color w:val="auto"/>
                <w:highlight w:val="none"/>
                <w:lang w:val="en-US" w:eastAsia="zh-CN"/>
              </w:rPr>
              <w:t xml:space="preserve">7.4. </w:t>
            </w:r>
            <w:r>
              <w:rPr>
                <w:rFonts w:hint="eastAsia"/>
                <w:color w:val="auto"/>
                <w:highlight w:val="none"/>
              </w:rPr>
              <w:t>信号输出接口支持HDMI，DP；输入接口不少于1×SPF 10Gbps（光口）；</w:t>
            </w:r>
          </w:p>
        </w:tc>
        <w:tc>
          <w:tcPr>
            <w:tcW w:w="2410" w:type="dxa"/>
          </w:tcPr>
          <w:p w14:paraId="51710B44">
            <w:pPr>
              <w:spacing w:line="360" w:lineRule="exact"/>
              <w:rPr>
                <w:color w:val="auto"/>
                <w:highlight w:val="none"/>
              </w:rPr>
            </w:pPr>
            <w:r>
              <w:rPr>
                <w:rFonts w:hint="eastAsia"/>
                <w:color w:val="auto"/>
                <w:highlight w:val="none"/>
              </w:rPr>
              <w:t xml:space="preserve">提供三方检验报告证明解码器分辨率最高支持：3840×2160p@60fps；色度采样支持YCbCr 4:4:4；证明编解码传输延迟低于 </w:t>
            </w:r>
            <w:r>
              <w:rPr>
                <w:color w:val="auto"/>
                <w:highlight w:val="none"/>
              </w:rPr>
              <w:t>16</w:t>
            </w:r>
            <w:r>
              <w:rPr>
                <w:rFonts w:hint="eastAsia"/>
                <w:color w:val="auto"/>
                <w:highlight w:val="none"/>
              </w:rPr>
              <w:t>ms；</w:t>
            </w:r>
          </w:p>
        </w:tc>
      </w:tr>
      <w:tr w14:paraId="01069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2" w:hRule="atLeast"/>
        </w:trPr>
        <w:tc>
          <w:tcPr>
            <w:tcW w:w="709" w:type="dxa"/>
          </w:tcPr>
          <w:p w14:paraId="77ECD969">
            <w:pPr>
              <w:spacing w:line="360" w:lineRule="exact"/>
              <w:rPr>
                <w:color w:val="auto"/>
                <w:highlight w:val="none"/>
              </w:rPr>
            </w:pPr>
            <w:r>
              <w:rPr>
                <w:rFonts w:hint="eastAsia"/>
                <w:color w:val="auto"/>
                <w:highlight w:val="none"/>
              </w:rPr>
              <w:t>8</w:t>
            </w:r>
          </w:p>
        </w:tc>
        <w:tc>
          <w:tcPr>
            <w:tcW w:w="1276" w:type="dxa"/>
          </w:tcPr>
          <w:p w14:paraId="2E93D721">
            <w:pPr>
              <w:spacing w:line="360" w:lineRule="exact"/>
              <w:rPr>
                <w:b/>
                <w:bCs/>
                <w:color w:val="auto"/>
                <w:highlight w:val="none"/>
              </w:rPr>
            </w:pPr>
            <w:r>
              <w:rPr>
                <w:rFonts w:hint="eastAsia"/>
                <w:b/>
                <w:bCs/>
                <w:color w:val="auto"/>
                <w:highlight w:val="none"/>
              </w:rPr>
              <w:t>全景编码器</w:t>
            </w:r>
          </w:p>
        </w:tc>
        <w:tc>
          <w:tcPr>
            <w:tcW w:w="5528" w:type="dxa"/>
          </w:tcPr>
          <w:p w14:paraId="5E631F23">
            <w:pPr>
              <w:spacing w:line="360" w:lineRule="exact"/>
              <w:rPr>
                <w:color w:val="auto"/>
                <w:highlight w:val="none"/>
              </w:rPr>
            </w:pPr>
            <w:r>
              <w:rPr>
                <w:rFonts w:hint="eastAsia"/>
                <w:color w:val="auto"/>
                <w:highlight w:val="none"/>
                <w:lang w:val="en-US" w:eastAsia="zh-CN"/>
              </w:rPr>
              <w:t xml:space="preserve">8.1. </w:t>
            </w:r>
            <w:r>
              <w:rPr>
                <w:rFonts w:hint="eastAsia"/>
                <w:color w:val="auto"/>
                <w:highlight w:val="none"/>
              </w:rPr>
              <w:t>支持编码输入，最高分辨率不小于：3840×2160p@60fps；</w:t>
            </w:r>
            <w:r>
              <w:rPr>
                <w:rFonts w:hint="eastAsia"/>
                <w:color w:val="auto"/>
                <w:highlight w:val="none"/>
              </w:rPr>
              <w:br w:type="textWrapping"/>
            </w:r>
            <w:r>
              <w:rPr>
                <w:rFonts w:hint="eastAsia"/>
                <w:color w:val="auto"/>
                <w:highlight w:val="none"/>
                <w:lang w:val="en-US" w:eastAsia="zh-CN"/>
              </w:rPr>
              <w:t xml:space="preserve">8.2. </w:t>
            </w:r>
            <w:r>
              <w:rPr>
                <w:rFonts w:hint="eastAsia"/>
                <w:color w:val="auto"/>
                <w:highlight w:val="none"/>
              </w:rPr>
              <w:t xml:space="preserve">编解码传输延迟低于 </w:t>
            </w:r>
            <w:r>
              <w:rPr>
                <w:color w:val="auto"/>
                <w:highlight w:val="none"/>
              </w:rPr>
              <w:t>16</w:t>
            </w:r>
            <w:r>
              <w:rPr>
                <w:rFonts w:hint="eastAsia"/>
                <w:color w:val="auto"/>
                <w:highlight w:val="none"/>
              </w:rPr>
              <w:t>ms；支持POE供电；</w:t>
            </w:r>
            <w:r>
              <w:rPr>
                <w:rFonts w:hint="eastAsia"/>
                <w:color w:val="auto"/>
                <w:highlight w:val="none"/>
              </w:rPr>
              <w:br w:type="textWrapping"/>
            </w:r>
            <w:r>
              <w:rPr>
                <w:rFonts w:hint="eastAsia"/>
                <w:color w:val="auto"/>
                <w:highlight w:val="none"/>
                <w:lang w:val="en-US" w:eastAsia="zh-CN"/>
              </w:rPr>
              <w:t xml:space="preserve">8.3. </w:t>
            </w:r>
            <w:r>
              <w:rPr>
                <w:rFonts w:hint="eastAsia"/>
                <w:color w:val="auto"/>
                <w:highlight w:val="none"/>
              </w:rPr>
              <w:t>输入接口支持HDMI；输出接口支持1×SPF+ 10Gbps（光口）；</w:t>
            </w:r>
          </w:p>
        </w:tc>
        <w:tc>
          <w:tcPr>
            <w:tcW w:w="2410" w:type="dxa"/>
          </w:tcPr>
          <w:p w14:paraId="5657ED24">
            <w:pPr>
              <w:spacing w:line="360" w:lineRule="exact"/>
              <w:rPr>
                <w:color w:val="auto"/>
                <w:highlight w:val="none"/>
              </w:rPr>
            </w:pPr>
            <w:r>
              <w:rPr>
                <w:rFonts w:hint="eastAsia"/>
                <w:color w:val="auto"/>
                <w:highlight w:val="none"/>
              </w:rPr>
              <w:t>　</w:t>
            </w:r>
          </w:p>
        </w:tc>
      </w:tr>
      <w:tr w14:paraId="3E4B5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709" w:type="dxa"/>
          </w:tcPr>
          <w:p w14:paraId="3CAB0238">
            <w:pPr>
              <w:spacing w:line="360" w:lineRule="exact"/>
              <w:rPr>
                <w:color w:val="auto"/>
                <w:highlight w:val="none"/>
              </w:rPr>
            </w:pPr>
            <w:r>
              <w:rPr>
                <w:rFonts w:hint="eastAsia"/>
                <w:color w:val="auto"/>
                <w:highlight w:val="none"/>
              </w:rPr>
              <w:t>9</w:t>
            </w:r>
          </w:p>
        </w:tc>
        <w:tc>
          <w:tcPr>
            <w:tcW w:w="1276" w:type="dxa"/>
          </w:tcPr>
          <w:p w14:paraId="4865BE3C">
            <w:pPr>
              <w:spacing w:line="360" w:lineRule="exact"/>
              <w:rPr>
                <w:b/>
                <w:bCs/>
                <w:color w:val="auto"/>
                <w:highlight w:val="none"/>
              </w:rPr>
            </w:pPr>
            <w:r>
              <w:rPr>
                <w:rFonts w:hint="eastAsia"/>
                <w:b/>
                <w:bCs/>
                <w:color w:val="auto"/>
                <w:highlight w:val="none"/>
              </w:rPr>
              <w:t>非医疗设备设备控制模块</w:t>
            </w:r>
          </w:p>
        </w:tc>
        <w:tc>
          <w:tcPr>
            <w:tcW w:w="5528" w:type="dxa"/>
          </w:tcPr>
          <w:p w14:paraId="264845D8">
            <w:pPr>
              <w:spacing w:line="360" w:lineRule="exact"/>
              <w:rPr>
                <w:color w:val="auto"/>
                <w:highlight w:val="none"/>
              </w:rPr>
            </w:pPr>
            <w:r>
              <w:rPr>
                <w:rFonts w:hint="eastAsia"/>
                <w:color w:val="auto"/>
                <w:highlight w:val="none"/>
                <w:lang w:val="en-US" w:eastAsia="zh-CN"/>
              </w:rPr>
              <w:t xml:space="preserve">9.1. </w:t>
            </w:r>
            <w:r>
              <w:rPr>
                <w:rFonts w:hint="eastAsia"/>
                <w:color w:val="auto"/>
                <w:highlight w:val="none"/>
              </w:rPr>
              <w:t>控制板卡CPU主频不低于1.3G；缓存不低于1.5G；</w:t>
            </w:r>
            <w:r>
              <w:rPr>
                <w:rFonts w:hint="eastAsia"/>
                <w:color w:val="auto"/>
                <w:highlight w:val="none"/>
              </w:rPr>
              <w:br w:type="textWrapping"/>
            </w:r>
            <w:r>
              <w:rPr>
                <w:rFonts w:hint="eastAsia"/>
                <w:color w:val="auto"/>
                <w:highlight w:val="none"/>
                <w:lang w:val="en-US" w:eastAsia="zh-CN"/>
              </w:rPr>
              <w:t xml:space="preserve">9.2. </w:t>
            </w:r>
            <w:r>
              <w:rPr>
                <w:rFonts w:hint="eastAsia"/>
                <w:color w:val="auto"/>
                <w:highlight w:val="none"/>
              </w:rPr>
              <w:t>不少于1个千兆网口；不少于1个USB3.0接口；不少于1个串口接口；</w:t>
            </w:r>
            <w:r>
              <w:rPr>
                <w:rFonts w:hint="eastAsia"/>
                <w:color w:val="auto"/>
                <w:highlight w:val="none"/>
              </w:rPr>
              <w:br w:type="textWrapping"/>
            </w:r>
            <w:r>
              <w:rPr>
                <w:rFonts w:hint="eastAsia"/>
                <w:color w:val="auto"/>
                <w:highlight w:val="none"/>
                <w:lang w:val="en-US" w:eastAsia="zh-CN"/>
              </w:rPr>
              <w:t xml:space="preserve">9.3. </w:t>
            </w:r>
            <w:r>
              <w:rPr>
                <w:rFonts w:hint="eastAsia"/>
                <w:color w:val="auto"/>
                <w:highlight w:val="none"/>
              </w:rPr>
              <w:t>电源输入100-240V，50/60Hz；</w:t>
            </w:r>
            <w:r>
              <w:rPr>
                <w:rFonts w:hint="eastAsia"/>
                <w:color w:val="auto"/>
                <w:highlight w:val="none"/>
              </w:rPr>
              <w:br w:type="textWrapping"/>
            </w:r>
            <w:r>
              <w:rPr>
                <w:rFonts w:hint="eastAsia"/>
                <w:color w:val="auto"/>
                <w:highlight w:val="none"/>
                <w:lang w:val="en-US" w:eastAsia="zh-CN"/>
              </w:rPr>
              <w:t xml:space="preserve">9.4. </w:t>
            </w:r>
            <w:r>
              <w:rPr>
                <w:rFonts w:hint="eastAsia"/>
                <w:color w:val="auto"/>
                <w:highlight w:val="none"/>
              </w:rPr>
              <w:t>支持对音视频控制器进行控制，以实现视频功能，包含但不限于视频路由、视频存档、音视频文档管理等功能；</w:t>
            </w:r>
            <w:r>
              <w:rPr>
                <w:rFonts w:hint="eastAsia"/>
                <w:color w:val="auto"/>
                <w:highlight w:val="none"/>
              </w:rPr>
              <w:br w:type="textWrapping"/>
            </w:r>
            <w:r>
              <w:rPr>
                <w:rFonts w:hint="eastAsia"/>
                <w:color w:val="auto"/>
                <w:highlight w:val="none"/>
                <w:lang w:val="en-US" w:eastAsia="zh-CN"/>
              </w:rPr>
              <w:t xml:space="preserve">9.5. </w:t>
            </w:r>
            <w:r>
              <w:rPr>
                <w:rFonts w:hint="eastAsia"/>
                <w:color w:val="auto"/>
                <w:highlight w:val="none"/>
              </w:rPr>
              <w:t>支持音视频场景保存和调用功能，包括支持将被控设备的参数状态记忆存储为用户预期场景功能；支持调用用户储</w:t>
            </w:r>
            <w:r>
              <w:rPr>
                <w:rFonts w:hint="eastAsia"/>
                <w:color w:val="auto"/>
                <w:highlight w:val="none"/>
                <w:lang w:val="en-US" w:eastAsia="zh-CN"/>
              </w:rPr>
              <w:t>6</w:t>
            </w:r>
            <w:r>
              <w:rPr>
                <w:rFonts w:hint="eastAsia"/>
                <w:color w:val="auto"/>
                <w:highlight w:val="none"/>
              </w:rPr>
              <w:t>存的场景参数，将被控设备恢复为既定的参数状态；</w:t>
            </w:r>
            <w:r>
              <w:rPr>
                <w:rFonts w:hint="eastAsia"/>
                <w:color w:val="auto"/>
                <w:highlight w:val="none"/>
              </w:rPr>
              <w:br w:type="textWrapping"/>
            </w:r>
            <w:r>
              <w:rPr>
                <w:rFonts w:hint="eastAsia"/>
                <w:color w:val="auto"/>
                <w:highlight w:val="none"/>
                <w:lang w:val="en-US" w:eastAsia="zh-CN"/>
              </w:rPr>
              <w:t xml:space="preserve">9.6. </w:t>
            </w:r>
            <w:r>
              <w:rPr>
                <w:rFonts w:hint="eastAsia"/>
                <w:color w:val="auto"/>
                <w:highlight w:val="none"/>
              </w:rPr>
              <w:t>支持音乐播放功能，通过系统内置播放器进行播放，支持文件排序，支持顺序播放，随机播放等模式；</w:t>
            </w:r>
          </w:p>
        </w:tc>
        <w:tc>
          <w:tcPr>
            <w:tcW w:w="2410" w:type="dxa"/>
          </w:tcPr>
          <w:p w14:paraId="32D2981F">
            <w:pPr>
              <w:spacing w:line="360" w:lineRule="exact"/>
              <w:rPr>
                <w:color w:val="auto"/>
                <w:highlight w:val="none"/>
              </w:rPr>
            </w:pPr>
            <w:r>
              <w:rPr>
                <w:rFonts w:hint="eastAsia"/>
                <w:color w:val="auto"/>
                <w:highlight w:val="none"/>
              </w:rPr>
              <w:t>提供产品界面证明具备对音视频进行控制的功能；</w:t>
            </w:r>
            <w:r>
              <w:rPr>
                <w:rFonts w:hint="eastAsia"/>
                <w:color w:val="auto"/>
                <w:highlight w:val="none"/>
              </w:rPr>
              <w:br w:type="textWrapping"/>
            </w:r>
            <w:r>
              <w:rPr>
                <w:rFonts w:hint="eastAsia"/>
                <w:color w:val="auto"/>
                <w:highlight w:val="none"/>
              </w:rPr>
              <w:t>提供产品界面图片证明支持音视频场景保存和调用功能；</w:t>
            </w:r>
          </w:p>
        </w:tc>
      </w:tr>
      <w:tr w14:paraId="4A729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8" w:hRule="atLeast"/>
        </w:trPr>
        <w:tc>
          <w:tcPr>
            <w:tcW w:w="709" w:type="dxa"/>
          </w:tcPr>
          <w:p w14:paraId="25B8A088">
            <w:pPr>
              <w:spacing w:line="360" w:lineRule="exact"/>
              <w:rPr>
                <w:color w:val="auto"/>
                <w:highlight w:val="none"/>
              </w:rPr>
            </w:pPr>
            <w:r>
              <w:rPr>
                <w:rFonts w:hint="eastAsia"/>
                <w:color w:val="auto"/>
                <w:highlight w:val="none"/>
              </w:rPr>
              <w:t>10</w:t>
            </w:r>
          </w:p>
        </w:tc>
        <w:tc>
          <w:tcPr>
            <w:tcW w:w="1276" w:type="dxa"/>
          </w:tcPr>
          <w:p w14:paraId="26243E05">
            <w:pPr>
              <w:spacing w:line="360" w:lineRule="exact"/>
              <w:rPr>
                <w:b/>
                <w:bCs/>
                <w:color w:val="auto"/>
                <w:highlight w:val="none"/>
              </w:rPr>
            </w:pPr>
            <w:r>
              <w:rPr>
                <w:rFonts w:hint="eastAsia"/>
                <w:b/>
                <w:bCs/>
                <w:color w:val="auto"/>
                <w:highlight w:val="none"/>
              </w:rPr>
              <w:t>4K全景摄像机</w:t>
            </w:r>
          </w:p>
        </w:tc>
        <w:tc>
          <w:tcPr>
            <w:tcW w:w="5528" w:type="dxa"/>
          </w:tcPr>
          <w:p w14:paraId="3C556CF8">
            <w:pPr>
              <w:spacing w:line="360" w:lineRule="exact"/>
              <w:rPr>
                <w:color w:val="auto"/>
                <w:highlight w:val="none"/>
              </w:rPr>
            </w:pPr>
            <w:r>
              <w:rPr>
                <w:rFonts w:hint="eastAsia"/>
                <w:color w:val="auto"/>
                <w:highlight w:val="none"/>
                <w:lang w:val="en-US" w:eastAsia="zh-CN"/>
              </w:rPr>
              <w:t xml:space="preserve">10.1. </w:t>
            </w:r>
            <w:r>
              <w:rPr>
                <w:rFonts w:hint="eastAsia"/>
                <w:color w:val="auto"/>
                <w:highlight w:val="none"/>
              </w:rPr>
              <w:t>超清4K全景摄像机，支持超大视场角，支持PTZ控制；</w:t>
            </w:r>
            <w:r>
              <w:rPr>
                <w:rFonts w:hint="eastAsia"/>
                <w:color w:val="auto"/>
                <w:highlight w:val="none"/>
              </w:rPr>
              <w:br w:type="textWrapping"/>
            </w:r>
            <w:r>
              <w:rPr>
                <w:rFonts w:hint="eastAsia"/>
                <w:color w:val="auto"/>
                <w:highlight w:val="none"/>
                <w:lang w:val="en-US" w:eastAsia="zh-CN"/>
              </w:rPr>
              <w:t xml:space="preserve">10.2. </w:t>
            </w:r>
            <w:r>
              <w:rPr>
                <w:rFonts w:hint="eastAsia"/>
                <w:color w:val="auto"/>
                <w:highlight w:val="none"/>
              </w:rPr>
              <w:t>支持不小于20倍光学变倍，不小于16倍数字变焦；</w:t>
            </w:r>
            <w:r>
              <w:rPr>
                <w:rFonts w:hint="eastAsia"/>
                <w:color w:val="auto"/>
                <w:highlight w:val="none"/>
              </w:rPr>
              <w:br w:type="textWrapping"/>
            </w:r>
            <w:r>
              <w:rPr>
                <w:rFonts w:hint="eastAsia"/>
                <w:color w:val="auto"/>
                <w:highlight w:val="none"/>
                <w:lang w:val="en-US" w:eastAsia="zh-CN"/>
              </w:rPr>
              <w:t xml:space="preserve">10.3. </w:t>
            </w:r>
            <w:r>
              <w:rPr>
                <w:rFonts w:hint="eastAsia"/>
                <w:color w:val="auto"/>
                <w:highlight w:val="none"/>
              </w:rPr>
              <w:t>支持HDMI和3G-SDI视频输出接口，实现无损耗数字信号传输；</w:t>
            </w:r>
            <w:r>
              <w:rPr>
                <w:rFonts w:hint="eastAsia"/>
                <w:color w:val="auto"/>
                <w:highlight w:val="none"/>
              </w:rPr>
              <w:br w:type="textWrapping"/>
            </w:r>
            <w:r>
              <w:rPr>
                <w:rFonts w:hint="eastAsia"/>
                <w:color w:val="auto"/>
                <w:highlight w:val="none"/>
                <w:lang w:val="en-US" w:eastAsia="zh-CN"/>
              </w:rPr>
              <w:t xml:space="preserve">10.4. </w:t>
            </w:r>
            <w:r>
              <w:rPr>
                <w:rFonts w:hint="eastAsia"/>
                <w:color w:val="auto"/>
                <w:highlight w:val="none"/>
              </w:rPr>
              <w:t>最高输出分辨率不低于4K 60fps；支持断网续传功能保证录像不丢失；</w:t>
            </w:r>
            <w:r>
              <w:rPr>
                <w:rFonts w:hint="eastAsia"/>
                <w:color w:val="auto"/>
                <w:highlight w:val="none"/>
              </w:rPr>
              <w:br w:type="textWrapping"/>
            </w:r>
            <w:r>
              <w:rPr>
                <w:rFonts w:hint="eastAsia"/>
                <w:color w:val="auto"/>
                <w:highlight w:val="none"/>
                <w:lang w:val="en-US" w:eastAsia="zh-CN"/>
              </w:rPr>
              <w:t xml:space="preserve">10.5. </w:t>
            </w:r>
            <w:r>
              <w:rPr>
                <w:rFonts w:hint="eastAsia"/>
                <w:color w:val="auto"/>
                <w:highlight w:val="none"/>
              </w:rPr>
              <w:t>支持宽动态范围不低于120dB，适合逆光环境拍摄；</w:t>
            </w:r>
            <w:r>
              <w:rPr>
                <w:rFonts w:hint="eastAsia"/>
                <w:color w:val="auto"/>
                <w:highlight w:val="none"/>
              </w:rPr>
              <w:br w:type="textWrapping"/>
            </w:r>
            <w:r>
              <w:rPr>
                <w:rFonts w:hint="eastAsia"/>
                <w:color w:val="auto"/>
                <w:highlight w:val="none"/>
                <w:lang w:val="en-US" w:eastAsia="zh-CN"/>
              </w:rPr>
              <w:t xml:space="preserve">10.6. </w:t>
            </w:r>
            <w:r>
              <w:rPr>
                <w:rFonts w:hint="eastAsia"/>
                <w:color w:val="auto"/>
                <w:highlight w:val="none"/>
              </w:rPr>
              <w:t>支持水平0°～350°旋转，垂直方向-30°～90°；</w:t>
            </w:r>
            <w:r>
              <w:rPr>
                <w:rFonts w:hint="eastAsia"/>
                <w:color w:val="auto"/>
                <w:highlight w:val="none"/>
              </w:rPr>
              <w:br w:type="textWrapping"/>
            </w:r>
            <w:r>
              <w:rPr>
                <w:rFonts w:hint="eastAsia"/>
                <w:color w:val="auto"/>
                <w:highlight w:val="none"/>
                <w:lang w:val="en-US" w:eastAsia="zh-CN"/>
              </w:rPr>
              <w:t xml:space="preserve">10.7. </w:t>
            </w:r>
            <w:r>
              <w:rPr>
                <w:rFonts w:hint="eastAsia"/>
                <w:color w:val="auto"/>
                <w:highlight w:val="none"/>
              </w:rPr>
              <w:t>支持区域曝光与区域聚焦功能；支持红外遥控器控制；防雷、防浪涌、防突波；支持POE供电；</w:t>
            </w:r>
          </w:p>
        </w:tc>
        <w:tc>
          <w:tcPr>
            <w:tcW w:w="2410" w:type="dxa"/>
          </w:tcPr>
          <w:p w14:paraId="4B87021B">
            <w:pPr>
              <w:spacing w:line="360" w:lineRule="exact"/>
              <w:rPr>
                <w:color w:val="auto"/>
                <w:highlight w:val="none"/>
              </w:rPr>
            </w:pPr>
            <w:r>
              <w:rPr>
                <w:rFonts w:hint="eastAsia"/>
                <w:color w:val="auto"/>
                <w:highlight w:val="none"/>
              </w:rPr>
              <w:t>　</w:t>
            </w:r>
          </w:p>
        </w:tc>
      </w:tr>
      <w:tr w14:paraId="2AB0C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6" w:hRule="atLeast"/>
        </w:trPr>
        <w:tc>
          <w:tcPr>
            <w:tcW w:w="709" w:type="dxa"/>
          </w:tcPr>
          <w:p w14:paraId="6314122D">
            <w:pPr>
              <w:spacing w:line="360" w:lineRule="exact"/>
              <w:rPr>
                <w:rFonts w:hint="eastAsia" w:eastAsia="宋体"/>
                <w:color w:val="auto"/>
                <w:highlight w:val="none"/>
                <w:lang w:eastAsia="zh-CN"/>
              </w:rPr>
            </w:pPr>
            <w:r>
              <w:rPr>
                <w:rFonts w:hint="eastAsia"/>
                <w:color w:val="auto"/>
                <w:highlight w:val="none"/>
              </w:rPr>
              <w:t>1</w:t>
            </w:r>
            <w:r>
              <w:rPr>
                <w:rFonts w:hint="eastAsia"/>
                <w:color w:val="auto"/>
                <w:highlight w:val="none"/>
                <w:lang w:val="en-US" w:eastAsia="zh-CN"/>
              </w:rPr>
              <w:t>1</w:t>
            </w:r>
          </w:p>
        </w:tc>
        <w:tc>
          <w:tcPr>
            <w:tcW w:w="1276" w:type="dxa"/>
          </w:tcPr>
          <w:p w14:paraId="08298AC9">
            <w:pPr>
              <w:spacing w:line="360" w:lineRule="exact"/>
              <w:rPr>
                <w:b/>
                <w:bCs/>
                <w:color w:val="auto"/>
                <w:highlight w:val="none"/>
              </w:rPr>
            </w:pPr>
            <w:r>
              <w:rPr>
                <w:rFonts w:hint="eastAsia"/>
                <w:b/>
                <w:bCs/>
                <w:color w:val="auto"/>
                <w:highlight w:val="none"/>
              </w:rPr>
              <w:t>65英寸4K触控显示器（嵌墙式)</w:t>
            </w:r>
          </w:p>
        </w:tc>
        <w:tc>
          <w:tcPr>
            <w:tcW w:w="5528" w:type="dxa"/>
          </w:tcPr>
          <w:p w14:paraId="11791AD7">
            <w:pPr>
              <w:spacing w:line="360" w:lineRule="exact"/>
              <w:rPr>
                <w:color w:val="auto"/>
                <w:highlight w:val="none"/>
              </w:rPr>
            </w:pPr>
            <w:r>
              <w:rPr>
                <w:rFonts w:hint="eastAsia"/>
                <w:color w:val="auto"/>
                <w:highlight w:val="none"/>
                <w:lang w:val="en-US" w:eastAsia="zh-CN"/>
              </w:rPr>
              <w:t xml:space="preserve">11.1. </w:t>
            </w:r>
            <w:r>
              <w:rPr>
                <w:rFonts w:hint="eastAsia"/>
                <w:color w:val="auto"/>
                <w:highlight w:val="none"/>
              </w:rPr>
              <w:t>屏幕尺寸不小于65英寸；分辨率不低于支持3840x2160P，屏幕比例为16:9，可视角度≥178°；</w:t>
            </w:r>
            <w:r>
              <w:rPr>
                <w:rFonts w:hint="eastAsia"/>
                <w:color w:val="auto"/>
                <w:highlight w:val="none"/>
              </w:rPr>
              <w:br w:type="textWrapping"/>
            </w:r>
            <w:r>
              <w:rPr>
                <w:rFonts w:hint="eastAsia"/>
                <w:color w:val="auto"/>
                <w:highlight w:val="none"/>
                <w:lang w:val="en-US" w:eastAsia="zh-CN"/>
              </w:rPr>
              <w:t xml:space="preserve">11.2. </w:t>
            </w:r>
            <w:r>
              <w:rPr>
                <w:rFonts w:hint="eastAsia"/>
                <w:color w:val="auto"/>
                <w:highlight w:val="none"/>
              </w:rPr>
              <w:t>屏幕亮度不低于500cd/m2，屏幕响应时间14ms以内；使用寿命不小于50000小时；</w:t>
            </w:r>
            <w:r>
              <w:rPr>
                <w:rFonts w:hint="eastAsia"/>
                <w:color w:val="auto"/>
                <w:highlight w:val="none"/>
              </w:rPr>
              <w:br w:type="textWrapping"/>
            </w:r>
            <w:r>
              <w:rPr>
                <w:rFonts w:hint="eastAsia"/>
                <w:color w:val="auto"/>
                <w:highlight w:val="none"/>
                <w:lang w:val="en-US" w:eastAsia="zh-CN"/>
              </w:rPr>
              <w:t xml:space="preserve">11.3. </w:t>
            </w:r>
            <w:r>
              <w:rPr>
                <w:rFonts w:hint="eastAsia"/>
                <w:color w:val="auto"/>
                <w:highlight w:val="none"/>
              </w:rPr>
              <w:t>显示器需具备GAMMA曲线调教功能，支持DICOM模式；</w:t>
            </w:r>
            <w:r>
              <w:rPr>
                <w:rFonts w:hint="eastAsia"/>
                <w:color w:val="auto"/>
                <w:highlight w:val="none"/>
              </w:rPr>
              <w:br w:type="textWrapping"/>
            </w:r>
            <w:r>
              <w:rPr>
                <w:rFonts w:hint="eastAsia"/>
                <w:color w:val="auto"/>
                <w:highlight w:val="none"/>
              </w:rPr>
              <w:t>具备视频输入接口HDMI*2，具备USB接口；</w:t>
            </w:r>
            <w:r>
              <w:rPr>
                <w:rFonts w:hint="eastAsia"/>
                <w:color w:val="auto"/>
                <w:highlight w:val="none"/>
              </w:rPr>
              <w:br w:type="textWrapping"/>
            </w:r>
            <w:r>
              <w:rPr>
                <w:rFonts w:hint="eastAsia"/>
                <w:color w:val="auto"/>
                <w:highlight w:val="none"/>
                <w:lang w:val="en-US" w:eastAsia="zh-CN"/>
              </w:rPr>
              <w:t xml:space="preserve">11.4. </w:t>
            </w:r>
            <w:r>
              <w:rPr>
                <w:rFonts w:hint="eastAsia"/>
                <w:color w:val="auto"/>
                <w:highlight w:val="none"/>
              </w:rPr>
              <w:t>显示器设计及安装工艺需满足表面全玻璃面板覆盖，四周有防撞金属包边，整体嵌入墙体安装，无明显凸起；</w:t>
            </w:r>
            <w:r>
              <w:rPr>
                <w:rFonts w:hint="eastAsia"/>
                <w:color w:val="auto"/>
                <w:highlight w:val="none"/>
              </w:rPr>
              <w:br w:type="textWrapping"/>
            </w:r>
            <w:r>
              <w:rPr>
                <w:rFonts w:hint="eastAsia"/>
                <w:color w:val="auto"/>
                <w:highlight w:val="none"/>
                <w:lang w:val="en-US" w:eastAsia="zh-CN"/>
              </w:rPr>
              <w:t xml:space="preserve">11.5. </w:t>
            </w:r>
            <w:r>
              <w:rPr>
                <w:rFonts w:hint="eastAsia"/>
                <w:color w:val="auto"/>
                <w:highlight w:val="none"/>
              </w:rPr>
              <w:t>配备金属嵌墙安装基础架，基础架配有前盖开合面板，维修工程师可从前端开启，无须破坏墙体结构，方便显示器安装后的维修和更换；</w:t>
            </w:r>
            <w:r>
              <w:rPr>
                <w:rFonts w:hint="eastAsia"/>
                <w:color w:val="auto"/>
                <w:highlight w:val="none"/>
              </w:rPr>
              <w:br w:type="textWrapping"/>
            </w:r>
            <w:r>
              <w:rPr>
                <w:rFonts w:hint="eastAsia"/>
                <w:color w:val="auto"/>
                <w:highlight w:val="none"/>
                <w:lang w:val="en-US" w:eastAsia="zh-CN"/>
              </w:rPr>
              <w:t xml:space="preserve">11.6. </w:t>
            </w:r>
            <w:r>
              <w:rPr>
                <w:rFonts w:hint="eastAsia"/>
                <w:color w:val="auto"/>
                <w:highlight w:val="none"/>
              </w:rPr>
              <w:t>支持PACS/LIS图像与显示器实时画面的一键切换；</w:t>
            </w:r>
            <w:r>
              <w:rPr>
                <w:rFonts w:hint="eastAsia"/>
                <w:color w:val="auto"/>
                <w:highlight w:val="none"/>
              </w:rPr>
              <w:br w:type="textWrapping"/>
            </w:r>
            <w:r>
              <w:rPr>
                <w:rFonts w:hint="eastAsia"/>
                <w:color w:val="auto"/>
                <w:highlight w:val="none"/>
              </w:rPr>
              <w:t>CPU主频不低于1.5GHz；，内存不低于8GB，硬盘不低于128GB；支持HEVC编码；</w:t>
            </w:r>
            <w:r>
              <w:rPr>
                <w:rFonts w:hint="eastAsia"/>
                <w:color w:val="auto"/>
                <w:highlight w:val="none"/>
              </w:rPr>
              <w:br w:type="textWrapping"/>
            </w:r>
            <w:r>
              <w:rPr>
                <w:rFonts w:hint="eastAsia"/>
                <w:color w:val="auto"/>
                <w:highlight w:val="none"/>
                <w:lang w:val="en-US" w:eastAsia="zh-CN"/>
              </w:rPr>
              <w:t xml:space="preserve">11.7. </w:t>
            </w:r>
            <w:r>
              <w:rPr>
                <w:rFonts w:hint="eastAsia"/>
                <w:color w:val="auto"/>
                <w:highlight w:val="none"/>
              </w:rPr>
              <w:t>支持触摸操作；支持上电自启动；IP等级不低于IP5X；</w:t>
            </w:r>
          </w:p>
        </w:tc>
        <w:tc>
          <w:tcPr>
            <w:tcW w:w="2410" w:type="dxa"/>
          </w:tcPr>
          <w:p w14:paraId="253F50D7">
            <w:pPr>
              <w:spacing w:line="360" w:lineRule="exact"/>
              <w:rPr>
                <w:color w:val="auto"/>
                <w:highlight w:val="none"/>
              </w:rPr>
            </w:pPr>
            <w:r>
              <w:rPr>
                <w:rFonts w:hint="eastAsia"/>
                <w:color w:val="auto"/>
                <w:highlight w:val="none"/>
              </w:rPr>
              <w:t>提供显示器需具备GAMMA曲线调教功能，支持DICOM模式的图片；</w:t>
            </w:r>
          </w:p>
        </w:tc>
      </w:tr>
      <w:tr w14:paraId="760011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6" w:hRule="atLeast"/>
        </w:trPr>
        <w:tc>
          <w:tcPr>
            <w:tcW w:w="709" w:type="dxa"/>
          </w:tcPr>
          <w:p w14:paraId="4FD2D1DD">
            <w:pPr>
              <w:spacing w:line="360" w:lineRule="exact"/>
              <w:rPr>
                <w:rFonts w:hint="eastAsia" w:eastAsia="宋体"/>
                <w:color w:val="auto"/>
                <w:highlight w:val="none"/>
                <w:lang w:eastAsia="zh-CN"/>
              </w:rPr>
            </w:pPr>
            <w:r>
              <w:rPr>
                <w:rFonts w:hint="eastAsia"/>
                <w:color w:val="auto"/>
                <w:highlight w:val="none"/>
              </w:rPr>
              <w:t>1</w:t>
            </w:r>
            <w:r>
              <w:rPr>
                <w:rFonts w:hint="eastAsia"/>
                <w:color w:val="auto"/>
                <w:highlight w:val="none"/>
                <w:lang w:val="en-US" w:eastAsia="zh-CN"/>
              </w:rPr>
              <w:t>2</w:t>
            </w:r>
          </w:p>
        </w:tc>
        <w:tc>
          <w:tcPr>
            <w:tcW w:w="1276" w:type="dxa"/>
          </w:tcPr>
          <w:p w14:paraId="2213279A">
            <w:pPr>
              <w:spacing w:line="360" w:lineRule="exact"/>
              <w:rPr>
                <w:b/>
                <w:bCs/>
                <w:color w:val="auto"/>
                <w:highlight w:val="none"/>
              </w:rPr>
            </w:pPr>
            <w:r>
              <w:rPr>
                <w:rFonts w:hint="eastAsia"/>
                <w:b/>
                <w:bCs/>
                <w:color w:val="auto"/>
                <w:highlight w:val="none"/>
              </w:rPr>
              <w:t>85英寸4K触控会议显示器</w:t>
            </w:r>
          </w:p>
        </w:tc>
        <w:tc>
          <w:tcPr>
            <w:tcW w:w="5528" w:type="dxa"/>
          </w:tcPr>
          <w:p w14:paraId="323D1FA1">
            <w:pPr>
              <w:spacing w:line="360" w:lineRule="exact"/>
              <w:rPr>
                <w:color w:val="auto"/>
                <w:highlight w:val="none"/>
              </w:rPr>
            </w:pPr>
            <w:r>
              <w:rPr>
                <w:rFonts w:hint="eastAsia"/>
                <w:color w:val="auto"/>
                <w:highlight w:val="none"/>
                <w:lang w:val="en-US" w:eastAsia="zh-CN"/>
              </w:rPr>
              <w:t xml:space="preserve">12.1. </w:t>
            </w:r>
            <w:r>
              <w:rPr>
                <w:rFonts w:hint="eastAsia"/>
                <w:color w:val="auto"/>
                <w:highlight w:val="none"/>
              </w:rPr>
              <w:t>屏幕尺寸不小于85英寸；</w:t>
            </w:r>
            <w:r>
              <w:rPr>
                <w:rFonts w:hint="eastAsia"/>
                <w:color w:val="auto"/>
                <w:highlight w:val="none"/>
              </w:rPr>
              <w:br w:type="textWrapping"/>
            </w:r>
            <w:r>
              <w:rPr>
                <w:rFonts w:hint="eastAsia"/>
                <w:color w:val="auto"/>
                <w:highlight w:val="none"/>
                <w:lang w:val="en-US" w:eastAsia="zh-CN"/>
              </w:rPr>
              <w:t xml:space="preserve">12.2. </w:t>
            </w:r>
            <w:r>
              <w:rPr>
                <w:rFonts w:hint="eastAsia"/>
                <w:color w:val="auto"/>
                <w:highlight w:val="none"/>
              </w:rPr>
              <w:t>CPU内核数不低于4个；最大频率不低于2.4 GHz；</w:t>
            </w:r>
            <w:r>
              <w:rPr>
                <w:rFonts w:hint="eastAsia"/>
                <w:color w:val="auto"/>
                <w:highlight w:val="none"/>
              </w:rPr>
              <w:br w:type="textWrapping"/>
            </w:r>
            <w:r>
              <w:rPr>
                <w:rFonts w:hint="eastAsia"/>
                <w:color w:val="auto"/>
                <w:highlight w:val="none"/>
              </w:rPr>
              <w:t>分辨率支持不低于3840x2160P，支持触控操作，屏幕比例为16:9，可视角度≥178°；</w:t>
            </w:r>
            <w:r>
              <w:rPr>
                <w:rFonts w:hint="eastAsia"/>
                <w:color w:val="auto"/>
                <w:highlight w:val="none"/>
              </w:rPr>
              <w:br w:type="textWrapping"/>
            </w:r>
            <w:r>
              <w:rPr>
                <w:rFonts w:hint="eastAsia"/>
                <w:color w:val="auto"/>
                <w:highlight w:val="none"/>
                <w:lang w:val="en-US" w:eastAsia="zh-CN"/>
              </w:rPr>
              <w:t xml:space="preserve">12.3. </w:t>
            </w:r>
            <w:r>
              <w:rPr>
                <w:rFonts w:hint="eastAsia"/>
                <w:color w:val="auto"/>
                <w:highlight w:val="none"/>
              </w:rPr>
              <w:t>屏幕亮度不低于450cd/m2，屏幕响应时间需小于8ms；显示器需具备GAMMA曲线调教功能；</w:t>
            </w:r>
            <w:r>
              <w:rPr>
                <w:rFonts w:hint="eastAsia"/>
                <w:color w:val="auto"/>
                <w:highlight w:val="none"/>
              </w:rPr>
              <w:br w:type="textWrapping"/>
            </w:r>
            <w:r>
              <w:rPr>
                <w:rFonts w:hint="eastAsia"/>
                <w:color w:val="auto"/>
                <w:highlight w:val="none"/>
                <w:lang w:val="en-US" w:eastAsia="zh-CN"/>
              </w:rPr>
              <w:t xml:space="preserve">12.4. </w:t>
            </w:r>
            <w:r>
              <w:rPr>
                <w:rFonts w:hint="eastAsia"/>
                <w:color w:val="auto"/>
                <w:highlight w:val="none"/>
              </w:rPr>
              <w:t>使用寿命不小于30000小时，具备数据控制接口RS232，RJ45，支持视频输入接口HDMI；</w:t>
            </w:r>
            <w:r>
              <w:rPr>
                <w:rFonts w:hint="eastAsia"/>
                <w:color w:val="auto"/>
                <w:highlight w:val="none"/>
              </w:rPr>
              <w:br w:type="textWrapping"/>
            </w:r>
            <w:r>
              <w:rPr>
                <w:rFonts w:hint="eastAsia"/>
                <w:color w:val="auto"/>
                <w:highlight w:val="none"/>
                <w:lang w:val="en-US" w:eastAsia="zh-CN"/>
              </w:rPr>
              <w:t xml:space="preserve">12.5. </w:t>
            </w:r>
            <w:r>
              <w:rPr>
                <w:rFonts w:hint="eastAsia"/>
                <w:color w:val="auto"/>
                <w:highlight w:val="none"/>
              </w:rPr>
              <w:t>具备USB2.0接口。提供挂墙安装组件；</w:t>
            </w:r>
            <w:r>
              <w:rPr>
                <w:rFonts w:hint="eastAsia"/>
                <w:color w:val="auto"/>
                <w:highlight w:val="none"/>
              </w:rPr>
              <w:br w:type="textWrapping"/>
            </w:r>
            <w:r>
              <w:rPr>
                <w:rFonts w:hint="eastAsia"/>
                <w:color w:val="auto"/>
                <w:highlight w:val="none"/>
                <w:lang w:val="en-US" w:eastAsia="zh-CN"/>
              </w:rPr>
              <w:t xml:space="preserve">12.6. </w:t>
            </w:r>
            <w:r>
              <w:rPr>
                <w:rFonts w:hint="eastAsia"/>
                <w:color w:val="auto"/>
                <w:highlight w:val="none"/>
              </w:rPr>
              <w:t>支持前置1000W像素摄像头，支持麦克风、音响；</w:t>
            </w:r>
            <w:r>
              <w:rPr>
                <w:rFonts w:hint="eastAsia"/>
                <w:color w:val="auto"/>
                <w:highlight w:val="none"/>
              </w:rPr>
              <w:br w:type="textWrapping"/>
            </w:r>
            <w:r>
              <w:rPr>
                <w:rFonts w:hint="eastAsia"/>
                <w:color w:val="auto"/>
                <w:highlight w:val="none"/>
                <w:lang w:val="en-US" w:eastAsia="zh-CN"/>
              </w:rPr>
              <w:t xml:space="preserve">12.7. </w:t>
            </w:r>
            <w:r>
              <w:rPr>
                <w:rFonts w:hint="eastAsia"/>
                <w:color w:val="auto"/>
                <w:highlight w:val="none"/>
              </w:rPr>
              <w:t>可通过安装数字化系统软件实现和手术室的视音频会议；</w:t>
            </w:r>
          </w:p>
        </w:tc>
        <w:tc>
          <w:tcPr>
            <w:tcW w:w="2410" w:type="dxa"/>
          </w:tcPr>
          <w:p w14:paraId="791E2237">
            <w:pPr>
              <w:spacing w:line="360" w:lineRule="exact"/>
              <w:rPr>
                <w:color w:val="auto"/>
                <w:highlight w:val="none"/>
              </w:rPr>
            </w:pPr>
            <w:r>
              <w:rPr>
                <w:rFonts w:hint="eastAsia"/>
                <w:color w:val="auto"/>
                <w:highlight w:val="none"/>
              </w:rPr>
              <w:t>　</w:t>
            </w:r>
          </w:p>
        </w:tc>
      </w:tr>
      <w:tr w14:paraId="1C02C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6" w:hRule="atLeast"/>
        </w:trPr>
        <w:tc>
          <w:tcPr>
            <w:tcW w:w="709" w:type="dxa"/>
          </w:tcPr>
          <w:p w14:paraId="22D27C53">
            <w:pPr>
              <w:spacing w:line="360" w:lineRule="exact"/>
              <w:rPr>
                <w:rFonts w:hint="eastAsia" w:eastAsia="宋体"/>
                <w:color w:val="auto"/>
                <w:highlight w:val="none"/>
                <w:lang w:eastAsia="zh-CN"/>
              </w:rPr>
            </w:pPr>
            <w:r>
              <w:rPr>
                <w:rFonts w:hint="eastAsia"/>
                <w:color w:val="auto"/>
                <w:highlight w:val="none"/>
              </w:rPr>
              <w:t>1</w:t>
            </w:r>
            <w:r>
              <w:rPr>
                <w:rFonts w:hint="eastAsia"/>
                <w:color w:val="auto"/>
                <w:highlight w:val="none"/>
                <w:lang w:val="en-US" w:eastAsia="zh-CN"/>
              </w:rPr>
              <w:t>3</w:t>
            </w:r>
          </w:p>
        </w:tc>
        <w:tc>
          <w:tcPr>
            <w:tcW w:w="1276" w:type="dxa"/>
          </w:tcPr>
          <w:p w14:paraId="3C218EF5">
            <w:pPr>
              <w:spacing w:line="360" w:lineRule="exact"/>
              <w:rPr>
                <w:b/>
                <w:bCs/>
                <w:color w:val="auto"/>
                <w:highlight w:val="none"/>
              </w:rPr>
            </w:pPr>
            <w:r>
              <w:rPr>
                <w:rFonts w:hint="eastAsia"/>
                <w:b/>
                <w:bCs/>
                <w:color w:val="auto"/>
                <w:highlight w:val="none"/>
              </w:rPr>
              <w:t>音频处理器</w:t>
            </w:r>
          </w:p>
        </w:tc>
        <w:tc>
          <w:tcPr>
            <w:tcW w:w="5528" w:type="dxa"/>
          </w:tcPr>
          <w:p w14:paraId="76BB1321">
            <w:pPr>
              <w:spacing w:line="360" w:lineRule="exact"/>
              <w:rPr>
                <w:color w:val="auto"/>
                <w:highlight w:val="none"/>
              </w:rPr>
            </w:pPr>
            <w:r>
              <w:rPr>
                <w:rFonts w:hint="eastAsia"/>
                <w:color w:val="auto"/>
                <w:highlight w:val="none"/>
                <w:lang w:val="en-US" w:eastAsia="zh-CN"/>
              </w:rPr>
              <w:t xml:space="preserve">13.1. </w:t>
            </w:r>
            <w:r>
              <w:rPr>
                <w:rFonts w:hint="eastAsia"/>
                <w:color w:val="auto"/>
                <w:highlight w:val="none"/>
              </w:rPr>
              <w:t>不低于6个麦克风/线路输入和4个线路输出；</w:t>
            </w:r>
            <w:r>
              <w:rPr>
                <w:rFonts w:hint="eastAsia"/>
                <w:color w:val="auto"/>
                <w:highlight w:val="none"/>
              </w:rPr>
              <w:br w:type="textWrapping"/>
            </w:r>
            <w:r>
              <w:rPr>
                <w:rFonts w:hint="eastAsia"/>
                <w:color w:val="auto"/>
                <w:highlight w:val="none"/>
                <w:lang w:val="en-US" w:eastAsia="zh-CN"/>
              </w:rPr>
              <w:t>13.2. 至少具备</w:t>
            </w:r>
            <w:r>
              <w:rPr>
                <w:rFonts w:hint="eastAsia"/>
                <w:color w:val="auto"/>
                <w:highlight w:val="none"/>
              </w:rPr>
              <w:t>6个通道的AEC--声学回声消除，自动回声，自动增益；包括一个USB音频接口，可提供</w:t>
            </w:r>
            <w:r>
              <w:rPr>
                <w:rFonts w:hint="eastAsia"/>
                <w:color w:val="auto"/>
                <w:highlight w:val="none"/>
                <w:lang w:val="en-US" w:eastAsia="zh-CN"/>
              </w:rPr>
              <w:t>最少</w:t>
            </w:r>
            <w:r>
              <w:rPr>
                <w:rFonts w:hint="eastAsia"/>
                <w:color w:val="auto"/>
                <w:highlight w:val="none"/>
              </w:rPr>
              <w:t>4个数字音频的发送和返回；</w:t>
            </w:r>
            <w:r>
              <w:rPr>
                <w:rFonts w:hint="eastAsia"/>
                <w:color w:val="auto"/>
                <w:highlight w:val="none"/>
              </w:rPr>
              <w:br w:type="textWrapping"/>
            </w:r>
            <w:r>
              <w:rPr>
                <w:rFonts w:hint="eastAsia"/>
                <w:color w:val="auto"/>
                <w:highlight w:val="none"/>
                <w:lang w:val="en-US" w:eastAsia="zh-CN"/>
              </w:rPr>
              <w:t xml:space="preserve">13.3. </w:t>
            </w:r>
            <w:r>
              <w:rPr>
                <w:rFonts w:hint="eastAsia"/>
                <w:color w:val="auto"/>
                <w:highlight w:val="none"/>
              </w:rPr>
              <w:t>支持Dante音频网络连接；</w:t>
            </w:r>
          </w:p>
        </w:tc>
        <w:tc>
          <w:tcPr>
            <w:tcW w:w="2410" w:type="dxa"/>
          </w:tcPr>
          <w:p w14:paraId="367064D2">
            <w:pPr>
              <w:spacing w:line="360" w:lineRule="exact"/>
              <w:rPr>
                <w:color w:val="auto"/>
                <w:highlight w:val="none"/>
              </w:rPr>
            </w:pPr>
            <w:r>
              <w:rPr>
                <w:rFonts w:hint="eastAsia"/>
                <w:color w:val="auto"/>
                <w:highlight w:val="none"/>
              </w:rPr>
              <w:t>　</w:t>
            </w:r>
          </w:p>
        </w:tc>
      </w:tr>
      <w:tr w14:paraId="0B6B7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6" w:hRule="atLeast"/>
        </w:trPr>
        <w:tc>
          <w:tcPr>
            <w:tcW w:w="709" w:type="dxa"/>
          </w:tcPr>
          <w:p w14:paraId="56565232">
            <w:pPr>
              <w:spacing w:line="360" w:lineRule="exact"/>
              <w:rPr>
                <w:rFonts w:hint="eastAsia" w:eastAsia="宋体"/>
                <w:color w:val="auto"/>
                <w:highlight w:val="none"/>
                <w:lang w:eastAsia="zh-CN"/>
              </w:rPr>
            </w:pPr>
            <w:r>
              <w:rPr>
                <w:rFonts w:hint="eastAsia"/>
                <w:color w:val="auto"/>
                <w:highlight w:val="none"/>
              </w:rPr>
              <w:t>1</w:t>
            </w:r>
            <w:r>
              <w:rPr>
                <w:rFonts w:hint="eastAsia"/>
                <w:color w:val="auto"/>
                <w:highlight w:val="none"/>
                <w:lang w:val="en-US" w:eastAsia="zh-CN"/>
              </w:rPr>
              <w:t>4</w:t>
            </w:r>
          </w:p>
        </w:tc>
        <w:tc>
          <w:tcPr>
            <w:tcW w:w="1276" w:type="dxa"/>
          </w:tcPr>
          <w:p w14:paraId="6C15739C">
            <w:pPr>
              <w:spacing w:line="360" w:lineRule="exact"/>
              <w:rPr>
                <w:b/>
                <w:bCs/>
                <w:color w:val="auto"/>
                <w:highlight w:val="none"/>
              </w:rPr>
            </w:pPr>
            <w:r>
              <w:rPr>
                <w:rFonts w:hint="eastAsia"/>
                <w:b/>
                <w:bCs/>
                <w:color w:val="auto"/>
                <w:highlight w:val="none"/>
              </w:rPr>
              <w:t>吸顶音箱</w:t>
            </w:r>
          </w:p>
        </w:tc>
        <w:tc>
          <w:tcPr>
            <w:tcW w:w="5528" w:type="dxa"/>
          </w:tcPr>
          <w:p w14:paraId="69539316">
            <w:pPr>
              <w:spacing w:line="360" w:lineRule="exact"/>
              <w:rPr>
                <w:color w:val="auto"/>
                <w:highlight w:val="none"/>
              </w:rPr>
            </w:pPr>
            <w:r>
              <w:rPr>
                <w:rFonts w:hint="eastAsia"/>
                <w:color w:val="auto"/>
                <w:highlight w:val="none"/>
                <w:lang w:val="en-US" w:eastAsia="zh-CN"/>
              </w:rPr>
              <w:t xml:space="preserve">14.1. </w:t>
            </w:r>
            <w:r>
              <w:rPr>
                <w:rFonts w:hint="eastAsia"/>
                <w:color w:val="auto"/>
                <w:highlight w:val="none"/>
              </w:rPr>
              <w:t>音箱为8 Ω 额定阻抗；</w:t>
            </w:r>
            <w:r>
              <w:rPr>
                <w:rFonts w:hint="eastAsia"/>
                <w:color w:val="auto"/>
                <w:highlight w:val="none"/>
              </w:rPr>
              <w:br w:type="textWrapping"/>
            </w:r>
            <w:r>
              <w:rPr>
                <w:rFonts w:hint="eastAsia"/>
                <w:color w:val="auto"/>
                <w:highlight w:val="none"/>
                <w:lang w:val="en-US" w:eastAsia="zh-CN"/>
              </w:rPr>
              <w:t xml:space="preserve">14.2. </w:t>
            </w:r>
            <w:r>
              <w:rPr>
                <w:rFonts w:hint="eastAsia"/>
                <w:color w:val="auto"/>
                <w:highlight w:val="none"/>
              </w:rPr>
              <w:t>音频频率范围需在50 Hz ~ 20 kHz；</w:t>
            </w:r>
            <w:r>
              <w:rPr>
                <w:rFonts w:hint="eastAsia"/>
                <w:color w:val="auto"/>
                <w:highlight w:val="none"/>
              </w:rPr>
              <w:br w:type="textWrapping"/>
            </w:r>
            <w:r>
              <w:rPr>
                <w:rFonts w:hint="eastAsia"/>
                <w:color w:val="auto"/>
                <w:highlight w:val="none"/>
                <w:lang w:val="en-US" w:eastAsia="zh-CN"/>
              </w:rPr>
              <w:t xml:space="preserve">14.3. </w:t>
            </w:r>
            <w:r>
              <w:rPr>
                <w:rFonts w:hint="eastAsia"/>
                <w:color w:val="auto"/>
                <w:highlight w:val="none"/>
              </w:rPr>
              <w:t>具备25 W连续粉噪功率，50 W 连续节目功率，110° 锥形辐射；</w:t>
            </w:r>
            <w:r>
              <w:rPr>
                <w:rFonts w:hint="eastAsia"/>
                <w:color w:val="auto"/>
                <w:highlight w:val="none"/>
              </w:rPr>
              <w:br w:type="textWrapping"/>
            </w:r>
            <w:r>
              <w:rPr>
                <w:rFonts w:hint="eastAsia"/>
                <w:color w:val="auto"/>
                <w:highlight w:val="none"/>
                <w:lang w:val="en-US" w:eastAsia="zh-CN"/>
              </w:rPr>
              <w:t xml:space="preserve">14.4. </w:t>
            </w:r>
            <w:r>
              <w:rPr>
                <w:rFonts w:hint="eastAsia"/>
                <w:color w:val="auto"/>
                <w:highlight w:val="none"/>
              </w:rPr>
              <w:t>内部驱动器需带有过载保护；</w:t>
            </w:r>
          </w:p>
        </w:tc>
        <w:tc>
          <w:tcPr>
            <w:tcW w:w="2410" w:type="dxa"/>
          </w:tcPr>
          <w:p w14:paraId="67C90547">
            <w:pPr>
              <w:spacing w:line="360" w:lineRule="exact"/>
              <w:rPr>
                <w:color w:val="auto"/>
                <w:highlight w:val="none"/>
              </w:rPr>
            </w:pPr>
            <w:r>
              <w:rPr>
                <w:rFonts w:hint="eastAsia"/>
                <w:color w:val="auto"/>
                <w:highlight w:val="none"/>
              </w:rPr>
              <w:t>　</w:t>
            </w:r>
          </w:p>
        </w:tc>
      </w:tr>
      <w:tr w14:paraId="4D286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8" w:hRule="atLeast"/>
        </w:trPr>
        <w:tc>
          <w:tcPr>
            <w:tcW w:w="709" w:type="dxa"/>
          </w:tcPr>
          <w:p w14:paraId="5FA4A55D">
            <w:pPr>
              <w:spacing w:line="360" w:lineRule="exact"/>
              <w:rPr>
                <w:rFonts w:hint="eastAsia" w:eastAsia="宋体"/>
                <w:color w:val="auto"/>
                <w:highlight w:val="none"/>
                <w:lang w:eastAsia="zh-CN"/>
              </w:rPr>
            </w:pPr>
            <w:r>
              <w:rPr>
                <w:rFonts w:hint="eastAsia"/>
                <w:color w:val="auto"/>
                <w:highlight w:val="none"/>
              </w:rPr>
              <w:t>1</w:t>
            </w:r>
            <w:r>
              <w:rPr>
                <w:rFonts w:hint="eastAsia"/>
                <w:color w:val="auto"/>
                <w:highlight w:val="none"/>
                <w:lang w:val="en-US" w:eastAsia="zh-CN"/>
              </w:rPr>
              <w:t>5</w:t>
            </w:r>
          </w:p>
        </w:tc>
        <w:tc>
          <w:tcPr>
            <w:tcW w:w="1276" w:type="dxa"/>
          </w:tcPr>
          <w:p w14:paraId="4B77DCFE">
            <w:pPr>
              <w:spacing w:line="360" w:lineRule="exact"/>
              <w:rPr>
                <w:b/>
                <w:bCs/>
                <w:color w:val="auto"/>
                <w:highlight w:val="none"/>
              </w:rPr>
            </w:pPr>
            <w:r>
              <w:rPr>
                <w:rFonts w:hint="eastAsia"/>
                <w:b/>
                <w:bCs/>
                <w:color w:val="auto"/>
                <w:highlight w:val="none"/>
              </w:rPr>
              <w:t>音频功放系统</w:t>
            </w:r>
          </w:p>
        </w:tc>
        <w:tc>
          <w:tcPr>
            <w:tcW w:w="5528" w:type="dxa"/>
          </w:tcPr>
          <w:p w14:paraId="7B915E69">
            <w:pPr>
              <w:spacing w:line="360" w:lineRule="exact"/>
              <w:rPr>
                <w:color w:val="auto"/>
                <w:highlight w:val="none"/>
              </w:rPr>
            </w:pPr>
            <w:r>
              <w:rPr>
                <w:rFonts w:hint="eastAsia"/>
                <w:color w:val="auto"/>
                <w:highlight w:val="none"/>
                <w:lang w:val="en-US" w:eastAsia="zh-CN"/>
              </w:rPr>
              <w:t xml:space="preserve">15.1. </w:t>
            </w:r>
            <w:r>
              <w:rPr>
                <w:rFonts w:hint="eastAsia"/>
                <w:color w:val="auto"/>
                <w:highlight w:val="none"/>
              </w:rPr>
              <w:t>支持单声道、双声道和多通道功率放大器；</w:t>
            </w:r>
            <w:r>
              <w:rPr>
                <w:rFonts w:hint="eastAsia"/>
                <w:color w:val="auto"/>
                <w:highlight w:val="none"/>
              </w:rPr>
              <w:br w:type="textWrapping"/>
            </w:r>
            <w:r>
              <w:rPr>
                <w:rFonts w:hint="eastAsia"/>
                <w:color w:val="auto"/>
                <w:highlight w:val="none"/>
                <w:lang w:val="en-US" w:eastAsia="zh-CN"/>
              </w:rPr>
              <w:t xml:space="preserve">15.2. </w:t>
            </w:r>
            <w:r>
              <w:rPr>
                <w:rFonts w:hint="eastAsia"/>
                <w:color w:val="auto"/>
                <w:highlight w:val="none"/>
              </w:rPr>
              <w:t>功放单元输出功率不大于60 W rms；</w:t>
            </w:r>
            <w:r>
              <w:rPr>
                <w:rFonts w:hint="eastAsia"/>
                <w:color w:val="auto"/>
                <w:highlight w:val="none"/>
              </w:rPr>
              <w:br w:type="textWrapping"/>
            </w:r>
            <w:r>
              <w:rPr>
                <w:rFonts w:hint="eastAsia"/>
                <w:color w:val="auto"/>
                <w:highlight w:val="none"/>
                <w:lang w:val="en-US" w:eastAsia="zh-CN"/>
              </w:rPr>
              <w:t xml:space="preserve">15.3. </w:t>
            </w:r>
            <w:r>
              <w:rPr>
                <w:rFonts w:hint="eastAsia"/>
                <w:color w:val="auto"/>
                <w:highlight w:val="none"/>
              </w:rPr>
              <w:t>支持对流冷却，无风扇运行支持机架安装</w:t>
            </w:r>
            <w:r>
              <w:rPr>
                <w:rFonts w:hint="eastAsia"/>
                <w:color w:val="auto"/>
                <w:highlight w:val="none"/>
              </w:rPr>
              <w:br w:type="textWrapping"/>
            </w:r>
            <w:r>
              <w:rPr>
                <w:rFonts w:hint="eastAsia"/>
                <w:color w:val="auto"/>
                <w:highlight w:val="none"/>
                <w:lang w:val="en-US" w:eastAsia="zh-CN"/>
              </w:rPr>
              <w:t xml:space="preserve">15.4. </w:t>
            </w:r>
            <w:r>
              <w:rPr>
                <w:rFonts w:hint="eastAsia"/>
                <w:color w:val="auto"/>
                <w:highlight w:val="none"/>
              </w:rPr>
              <w:t>支持平衡或非平衡的单声道或立体声；</w:t>
            </w:r>
            <w:r>
              <w:rPr>
                <w:rFonts w:hint="eastAsia"/>
                <w:color w:val="auto"/>
                <w:highlight w:val="none"/>
              </w:rPr>
              <w:br w:type="textWrapping"/>
            </w:r>
            <w:r>
              <w:rPr>
                <w:rFonts w:hint="eastAsia"/>
                <w:color w:val="auto"/>
                <w:highlight w:val="none"/>
                <w:lang w:val="en-US" w:eastAsia="zh-CN"/>
              </w:rPr>
              <w:t xml:space="preserve">15.5. </w:t>
            </w:r>
            <w:r>
              <w:rPr>
                <w:rFonts w:hint="eastAsia"/>
                <w:color w:val="auto"/>
                <w:highlight w:val="none"/>
              </w:rPr>
              <w:t>总谐波失真加噪声比小于0.05%，信噪比大于105 dB；</w:t>
            </w:r>
            <w:r>
              <w:rPr>
                <w:rFonts w:hint="eastAsia"/>
                <w:color w:val="auto"/>
                <w:highlight w:val="none"/>
              </w:rPr>
              <w:br w:type="textWrapping"/>
            </w:r>
            <w:r>
              <w:rPr>
                <w:rFonts w:hint="eastAsia"/>
                <w:color w:val="auto"/>
                <w:highlight w:val="none"/>
                <w:lang w:val="en-US" w:eastAsia="zh-CN"/>
              </w:rPr>
              <w:t>15.6. 具备</w:t>
            </w:r>
            <w:r>
              <w:rPr>
                <w:rFonts w:hint="eastAsia"/>
                <w:color w:val="auto"/>
                <w:highlight w:val="none"/>
              </w:rPr>
              <w:t>多个保护电路，在过度削波、输出短路、热过载或DC故障时激活，以防止损坏放大器和扬声器；</w:t>
            </w:r>
            <w:r>
              <w:rPr>
                <w:rFonts w:hint="eastAsia"/>
                <w:color w:val="auto"/>
                <w:highlight w:val="none"/>
              </w:rPr>
              <w:br w:type="textWrapping"/>
            </w:r>
            <w:r>
              <w:rPr>
                <w:rFonts w:hint="eastAsia"/>
                <w:color w:val="auto"/>
                <w:highlight w:val="none"/>
                <w:lang w:val="en-US" w:eastAsia="zh-CN"/>
              </w:rPr>
              <w:t>15.7. 具备</w:t>
            </w:r>
            <w:r>
              <w:rPr>
                <w:rFonts w:hint="eastAsia"/>
                <w:color w:val="auto"/>
                <w:highlight w:val="none"/>
              </w:rPr>
              <w:t>快速开机</w:t>
            </w:r>
            <w:r>
              <w:rPr>
                <w:rFonts w:hint="eastAsia"/>
                <w:color w:val="auto"/>
                <w:highlight w:val="none"/>
                <w:lang w:eastAsia="zh-CN"/>
              </w:rPr>
              <w:t>、</w:t>
            </w:r>
            <w:r>
              <w:rPr>
                <w:rFonts w:hint="eastAsia"/>
                <w:color w:val="auto"/>
                <w:highlight w:val="none"/>
              </w:rPr>
              <w:t>自动待机</w:t>
            </w:r>
            <w:r>
              <w:rPr>
                <w:rFonts w:hint="eastAsia"/>
                <w:color w:val="auto"/>
                <w:highlight w:val="none"/>
                <w:lang w:val="en-US" w:eastAsia="zh-CN"/>
              </w:rPr>
              <w:t>功能</w:t>
            </w:r>
            <w:r>
              <w:rPr>
                <w:rFonts w:hint="eastAsia"/>
                <w:color w:val="auto"/>
                <w:highlight w:val="none"/>
              </w:rPr>
              <w:t>，降低功耗；</w:t>
            </w:r>
          </w:p>
        </w:tc>
        <w:tc>
          <w:tcPr>
            <w:tcW w:w="2410" w:type="dxa"/>
          </w:tcPr>
          <w:p w14:paraId="3730F66F">
            <w:pPr>
              <w:spacing w:line="360" w:lineRule="exact"/>
              <w:rPr>
                <w:color w:val="auto"/>
                <w:highlight w:val="none"/>
              </w:rPr>
            </w:pPr>
            <w:r>
              <w:rPr>
                <w:rFonts w:hint="eastAsia"/>
                <w:color w:val="auto"/>
                <w:highlight w:val="none"/>
              </w:rPr>
              <w:t>　</w:t>
            </w:r>
          </w:p>
        </w:tc>
      </w:tr>
      <w:tr w14:paraId="5E6F5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6" w:hRule="atLeast"/>
        </w:trPr>
        <w:tc>
          <w:tcPr>
            <w:tcW w:w="709" w:type="dxa"/>
          </w:tcPr>
          <w:p w14:paraId="1158D6DA">
            <w:pPr>
              <w:spacing w:line="360" w:lineRule="exact"/>
              <w:rPr>
                <w:rFonts w:hint="eastAsia" w:eastAsia="宋体"/>
                <w:color w:val="auto"/>
                <w:highlight w:val="none"/>
                <w:lang w:eastAsia="zh-CN"/>
              </w:rPr>
            </w:pPr>
            <w:r>
              <w:rPr>
                <w:rFonts w:hint="eastAsia"/>
                <w:color w:val="auto"/>
                <w:highlight w:val="none"/>
              </w:rPr>
              <w:t>1</w:t>
            </w:r>
            <w:r>
              <w:rPr>
                <w:rFonts w:hint="eastAsia"/>
                <w:color w:val="auto"/>
                <w:highlight w:val="none"/>
                <w:lang w:val="en-US" w:eastAsia="zh-CN"/>
              </w:rPr>
              <w:t>6</w:t>
            </w:r>
          </w:p>
        </w:tc>
        <w:tc>
          <w:tcPr>
            <w:tcW w:w="1276" w:type="dxa"/>
          </w:tcPr>
          <w:p w14:paraId="2F708F8E">
            <w:pPr>
              <w:spacing w:line="360" w:lineRule="exact"/>
              <w:rPr>
                <w:b/>
                <w:bCs/>
                <w:color w:val="auto"/>
                <w:highlight w:val="none"/>
              </w:rPr>
            </w:pPr>
            <w:r>
              <w:rPr>
                <w:rFonts w:hint="eastAsia"/>
                <w:b/>
                <w:bCs/>
                <w:color w:val="auto"/>
                <w:highlight w:val="none"/>
              </w:rPr>
              <w:t>领夹无线麦克风</w:t>
            </w:r>
          </w:p>
        </w:tc>
        <w:tc>
          <w:tcPr>
            <w:tcW w:w="5528" w:type="dxa"/>
          </w:tcPr>
          <w:p w14:paraId="01FF6159">
            <w:pPr>
              <w:spacing w:line="360" w:lineRule="exact"/>
              <w:rPr>
                <w:color w:val="auto"/>
                <w:highlight w:val="none"/>
              </w:rPr>
            </w:pPr>
            <w:r>
              <w:rPr>
                <w:rFonts w:hint="eastAsia"/>
                <w:color w:val="auto"/>
                <w:highlight w:val="none"/>
                <w:lang w:val="en-US" w:eastAsia="zh-CN"/>
              </w:rPr>
              <w:t xml:space="preserve">16.1. </w:t>
            </w:r>
            <w:r>
              <w:rPr>
                <w:rFonts w:hint="eastAsia"/>
                <w:color w:val="auto"/>
                <w:highlight w:val="none"/>
              </w:rPr>
              <w:t>工作频点250KHz为步进可调；</w:t>
            </w:r>
            <w:r>
              <w:rPr>
                <w:rFonts w:hint="eastAsia"/>
                <w:color w:val="auto"/>
                <w:highlight w:val="none"/>
              </w:rPr>
              <w:br w:type="textWrapping"/>
            </w:r>
            <w:r>
              <w:rPr>
                <w:rFonts w:hint="eastAsia"/>
                <w:color w:val="auto"/>
                <w:highlight w:val="none"/>
                <w:lang w:val="en-US" w:eastAsia="zh-CN"/>
              </w:rPr>
              <w:t xml:space="preserve">16.2. </w:t>
            </w:r>
            <w:r>
              <w:rPr>
                <w:rFonts w:hint="eastAsia"/>
                <w:color w:val="auto"/>
                <w:highlight w:val="none"/>
              </w:rPr>
              <w:t>工作频点可调范围不低于25MHz；</w:t>
            </w:r>
            <w:r>
              <w:rPr>
                <w:rFonts w:hint="eastAsia"/>
                <w:color w:val="auto"/>
                <w:highlight w:val="none"/>
              </w:rPr>
              <w:br w:type="textWrapping"/>
            </w:r>
            <w:r>
              <w:rPr>
                <w:rFonts w:hint="eastAsia"/>
                <w:color w:val="auto"/>
                <w:highlight w:val="none"/>
                <w:lang w:val="en-US" w:eastAsia="zh-CN"/>
              </w:rPr>
              <w:t xml:space="preserve">16.3. </w:t>
            </w:r>
            <w:r>
              <w:rPr>
                <w:rFonts w:hint="eastAsia"/>
                <w:color w:val="auto"/>
                <w:highlight w:val="none"/>
              </w:rPr>
              <w:t>信噪比不低于 95 dB(A)；</w:t>
            </w:r>
            <w:r>
              <w:rPr>
                <w:rFonts w:hint="eastAsia"/>
                <w:color w:val="auto"/>
                <w:highlight w:val="none"/>
              </w:rPr>
              <w:br w:type="textWrapping"/>
            </w:r>
            <w:r>
              <w:rPr>
                <w:rFonts w:hint="eastAsia"/>
                <w:color w:val="auto"/>
                <w:highlight w:val="none"/>
                <w:lang w:val="en-US" w:eastAsia="zh-CN"/>
              </w:rPr>
              <w:t xml:space="preserve">16.4. </w:t>
            </w:r>
            <w:r>
              <w:rPr>
                <w:rFonts w:hint="eastAsia"/>
                <w:color w:val="auto"/>
                <w:highlight w:val="none"/>
              </w:rPr>
              <w:t>麦克可提供多达200个信道选择，方便多台设备同时使用；</w:t>
            </w:r>
          </w:p>
        </w:tc>
        <w:tc>
          <w:tcPr>
            <w:tcW w:w="2410" w:type="dxa"/>
          </w:tcPr>
          <w:p w14:paraId="6144DB1B">
            <w:pPr>
              <w:spacing w:line="360" w:lineRule="exact"/>
              <w:rPr>
                <w:color w:val="auto"/>
                <w:highlight w:val="none"/>
              </w:rPr>
            </w:pPr>
            <w:r>
              <w:rPr>
                <w:rFonts w:hint="eastAsia"/>
                <w:color w:val="auto"/>
                <w:highlight w:val="none"/>
              </w:rPr>
              <w:t>　</w:t>
            </w:r>
          </w:p>
        </w:tc>
      </w:tr>
      <w:tr w14:paraId="555345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2" w:hRule="atLeast"/>
        </w:trPr>
        <w:tc>
          <w:tcPr>
            <w:tcW w:w="709" w:type="dxa"/>
          </w:tcPr>
          <w:p w14:paraId="13FC9887">
            <w:pPr>
              <w:spacing w:line="360" w:lineRule="exact"/>
              <w:rPr>
                <w:rFonts w:hint="eastAsia" w:eastAsia="宋体"/>
                <w:color w:val="auto"/>
                <w:highlight w:val="none"/>
                <w:lang w:val="en-US" w:eastAsia="zh-CN"/>
              </w:rPr>
            </w:pPr>
            <w:r>
              <w:rPr>
                <w:rFonts w:hint="eastAsia"/>
                <w:color w:val="auto"/>
                <w:highlight w:val="none"/>
              </w:rPr>
              <w:t>1</w:t>
            </w:r>
            <w:r>
              <w:rPr>
                <w:rFonts w:hint="eastAsia"/>
                <w:color w:val="auto"/>
                <w:highlight w:val="none"/>
                <w:lang w:val="en-US" w:eastAsia="zh-CN"/>
              </w:rPr>
              <w:t>7</w:t>
            </w:r>
          </w:p>
        </w:tc>
        <w:tc>
          <w:tcPr>
            <w:tcW w:w="1276" w:type="dxa"/>
          </w:tcPr>
          <w:p w14:paraId="4BE9194A">
            <w:pPr>
              <w:spacing w:line="360" w:lineRule="exact"/>
              <w:rPr>
                <w:b/>
                <w:bCs/>
                <w:color w:val="auto"/>
                <w:highlight w:val="none"/>
              </w:rPr>
            </w:pPr>
            <w:r>
              <w:rPr>
                <w:rFonts w:hint="eastAsia"/>
                <w:b/>
                <w:bCs/>
                <w:color w:val="auto"/>
                <w:highlight w:val="none"/>
              </w:rPr>
              <w:t>手持无线麦克风</w:t>
            </w:r>
          </w:p>
        </w:tc>
        <w:tc>
          <w:tcPr>
            <w:tcW w:w="5528" w:type="dxa"/>
          </w:tcPr>
          <w:p w14:paraId="776A18D2">
            <w:pPr>
              <w:spacing w:line="360" w:lineRule="exact"/>
              <w:rPr>
                <w:color w:val="auto"/>
                <w:highlight w:val="none"/>
              </w:rPr>
            </w:pPr>
            <w:r>
              <w:rPr>
                <w:rFonts w:hint="eastAsia"/>
                <w:color w:val="auto"/>
                <w:highlight w:val="none"/>
                <w:lang w:val="en-US" w:eastAsia="zh-CN"/>
              </w:rPr>
              <w:t xml:space="preserve">17.1 </w:t>
            </w:r>
            <w:r>
              <w:rPr>
                <w:rFonts w:hint="eastAsia"/>
                <w:color w:val="auto"/>
                <w:highlight w:val="none"/>
              </w:rPr>
              <w:t>工作频点可调范围不低于50MHz；</w:t>
            </w:r>
            <w:r>
              <w:rPr>
                <w:rFonts w:hint="eastAsia"/>
                <w:color w:val="auto"/>
                <w:highlight w:val="none"/>
              </w:rPr>
              <w:br w:type="textWrapping"/>
            </w:r>
            <w:r>
              <w:rPr>
                <w:rFonts w:hint="eastAsia"/>
                <w:color w:val="auto"/>
                <w:highlight w:val="none"/>
                <w:lang w:val="en-US" w:eastAsia="zh-CN"/>
              </w:rPr>
              <w:t xml:space="preserve">17.2 </w:t>
            </w:r>
            <w:r>
              <w:rPr>
                <w:rFonts w:hint="eastAsia"/>
                <w:color w:val="auto"/>
                <w:highlight w:val="none"/>
              </w:rPr>
              <w:t>信噪比 &gt; 95 dB(A)；</w:t>
            </w:r>
            <w:r>
              <w:rPr>
                <w:rFonts w:hint="eastAsia"/>
                <w:color w:val="auto"/>
                <w:highlight w:val="none"/>
              </w:rPr>
              <w:br w:type="textWrapping"/>
            </w:r>
            <w:r>
              <w:rPr>
                <w:rFonts w:hint="eastAsia"/>
                <w:color w:val="auto"/>
                <w:highlight w:val="none"/>
                <w:lang w:val="en-US" w:eastAsia="zh-CN"/>
              </w:rPr>
              <w:t xml:space="preserve">17.3 </w:t>
            </w:r>
            <w:r>
              <w:rPr>
                <w:rFonts w:hint="eastAsia"/>
                <w:color w:val="auto"/>
                <w:highlight w:val="none"/>
              </w:rPr>
              <w:t>可预编程120个可选信道，抗干扰能力强；</w:t>
            </w:r>
          </w:p>
        </w:tc>
        <w:tc>
          <w:tcPr>
            <w:tcW w:w="2410" w:type="dxa"/>
          </w:tcPr>
          <w:p w14:paraId="5864BF2A">
            <w:pPr>
              <w:spacing w:line="360" w:lineRule="exact"/>
              <w:rPr>
                <w:color w:val="auto"/>
                <w:highlight w:val="none"/>
              </w:rPr>
            </w:pPr>
            <w:r>
              <w:rPr>
                <w:rFonts w:hint="eastAsia"/>
                <w:color w:val="auto"/>
                <w:highlight w:val="none"/>
              </w:rPr>
              <w:t>　</w:t>
            </w:r>
          </w:p>
        </w:tc>
      </w:tr>
      <w:tr w14:paraId="12F7E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4" w:hRule="atLeast"/>
        </w:trPr>
        <w:tc>
          <w:tcPr>
            <w:tcW w:w="709" w:type="dxa"/>
          </w:tcPr>
          <w:p w14:paraId="5DD53969">
            <w:pPr>
              <w:spacing w:line="360" w:lineRule="exact"/>
              <w:rPr>
                <w:rFonts w:hint="eastAsia" w:eastAsia="宋体"/>
                <w:color w:val="auto"/>
                <w:highlight w:val="none"/>
                <w:lang w:eastAsia="zh-CN"/>
              </w:rPr>
            </w:pPr>
            <w:r>
              <w:rPr>
                <w:rFonts w:hint="eastAsia"/>
                <w:color w:val="auto"/>
                <w:highlight w:val="none"/>
              </w:rPr>
              <w:t>1</w:t>
            </w:r>
            <w:r>
              <w:rPr>
                <w:rFonts w:hint="eastAsia"/>
                <w:color w:val="auto"/>
                <w:highlight w:val="none"/>
                <w:lang w:val="en-US" w:eastAsia="zh-CN"/>
              </w:rPr>
              <w:t>8</w:t>
            </w:r>
          </w:p>
        </w:tc>
        <w:tc>
          <w:tcPr>
            <w:tcW w:w="1276" w:type="dxa"/>
          </w:tcPr>
          <w:p w14:paraId="45EEF546">
            <w:pPr>
              <w:spacing w:line="360" w:lineRule="exact"/>
              <w:rPr>
                <w:b/>
                <w:bCs/>
                <w:color w:val="auto"/>
                <w:highlight w:val="none"/>
              </w:rPr>
            </w:pPr>
            <w:r>
              <w:rPr>
                <w:rFonts w:hint="eastAsia"/>
                <w:b/>
                <w:bCs/>
                <w:color w:val="auto"/>
                <w:highlight w:val="none"/>
              </w:rPr>
              <w:t>壁挂音箱(表面安装)</w:t>
            </w:r>
          </w:p>
        </w:tc>
        <w:tc>
          <w:tcPr>
            <w:tcW w:w="5528" w:type="dxa"/>
          </w:tcPr>
          <w:p w14:paraId="77EFF6DD">
            <w:pPr>
              <w:spacing w:line="360" w:lineRule="exact"/>
              <w:rPr>
                <w:color w:val="auto"/>
                <w:highlight w:val="none"/>
              </w:rPr>
            </w:pPr>
            <w:r>
              <w:rPr>
                <w:rFonts w:hint="eastAsia"/>
                <w:color w:val="auto"/>
                <w:highlight w:val="none"/>
                <w:lang w:val="en-US" w:eastAsia="zh-CN"/>
              </w:rPr>
              <w:t xml:space="preserve">18.1 </w:t>
            </w:r>
            <w:r>
              <w:rPr>
                <w:rFonts w:hint="eastAsia"/>
                <w:color w:val="auto"/>
                <w:highlight w:val="none"/>
              </w:rPr>
              <w:t>音箱能进行分体安装；</w:t>
            </w:r>
            <w:r>
              <w:rPr>
                <w:rFonts w:hint="eastAsia"/>
                <w:color w:val="auto"/>
                <w:highlight w:val="none"/>
              </w:rPr>
              <w:br w:type="textWrapping"/>
            </w:r>
            <w:r>
              <w:rPr>
                <w:rFonts w:hint="eastAsia"/>
                <w:color w:val="auto"/>
                <w:highlight w:val="none"/>
                <w:lang w:val="en-US" w:eastAsia="zh-CN"/>
              </w:rPr>
              <w:t xml:space="preserve">18.2 </w:t>
            </w:r>
            <w:r>
              <w:rPr>
                <w:rFonts w:hint="eastAsia"/>
                <w:color w:val="auto"/>
                <w:highlight w:val="none"/>
              </w:rPr>
              <w:t>需</w:t>
            </w:r>
            <w:r>
              <w:rPr>
                <w:rFonts w:hint="eastAsia"/>
                <w:color w:val="auto"/>
                <w:highlight w:val="none"/>
                <w:lang w:val="en-US" w:eastAsia="zh-CN"/>
              </w:rPr>
              <w:t>至少</w:t>
            </w:r>
            <w:r>
              <w:rPr>
                <w:rFonts w:hint="eastAsia"/>
                <w:color w:val="auto"/>
                <w:highlight w:val="none"/>
              </w:rPr>
              <w:t>包含圆顶高音扩音器 ，带长冲程低音扩音器，带双调谐低音反射孔，可提供用于低阻抗；</w:t>
            </w:r>
            <w:r>
              <w:rPr>
                <w:rFonts w:hint="eastAsia"/>
                <w:color w:val="auto"/>
                <w:highlight w:val="none"/>
              </w:rPr>
              <w:br w:type="textWrapping"/>
            </w:r>
            <w:r>
              <w:rPr>
                <w:rFonts w:hint="eastAsia"/>
                <w:color w:val="auto"/>
                <w:highlight w:val="none"/>
                <w:lang w:val="en-US" w:eastAsia="zh-CN"/>
              </w:rPr>
              <w:t xml:space="preserve">18.3. </w:t>
            </w:r>
            <w:r>
              <w:rPr>
                <w:rFonts w:hint="eastAsia"/>
                <w:color w:val="auto"/>
                <w:highlight w:val="none"/>
              </w:rPr>
              <w:t>音箱为8 Ω 额定阻抗；</w:t>
            </w:r>
            <w:r>
              <w:rPr>
                <w:rFonts w:hint="eastAsia"/>
                <w:color w:val="auto"/>
                <w:highlight w:val="none"/>
              </w:rPr>
              <w:br w:type="textWrapping"/>
            </w:r>
            <w:r>
              <w:rPr>
                <w:rFonts w:hint="eastAsia"/>
                <w:color w:val="auto"/>
                <w:highlight w:val="none"/>
                <w:lang w:val="en-US" w:eastAsia="zh-CN"/>
              </w:rPr>
              <w:t xml:space="preserve">18.4. </w:t>
            </w:r>
            <w:r>
              <w:rPr>
                <w:rFonts w:hint="eastAsia"/>
                <w:color w:val="auto"/>
                <w:highlight w:val="none"/>
              </w:rPr>
              <w:t>音频频率范围需在65 Hz ~ 20 kHz；</w:t>
            </w:r>
            <w:r>
              <w:rPr>
                <w:rFonts w:hint="eastAsia"/>
                <w:color w:val="auto"/>
                <w:highlight w:val="none"/>
              </w:rPr>
              <w:br w:type="textWrapping"/>
            </w:r>
            <w:r>
              <w:rPr>
                <w:rFonts w:hint="eastAsia"/>
                <w:color w:val="auto"/>
                <w:highlight w:val="none"/>
                <w:lang w:val="en-US" w:eastAsia="zh-CN"/>
              </w:rPr>
              <w:t xml:space="preserve">18.5. </w:t>
            </w:r>
            <w:r>
              <w:rPr>
                <w:rFonts w:hint="eastAsia"/>
                <w:color w:val="auto"/>
                <w:highlight w:val="none"/>
              </w:rPr>
              <w:t>具备60 W连续粉噪功率；</w:t>
            </w:r>
            <w:r>
              <w:rPr>
                <w:rFonts w:hint="eastAsia"/>
                <w:color w:val="auto"/>
                <w:highlight w:val="none"/>
              </w:rPr>
              <w:br w:type="textWrapping"/>
            </w:r>
            <w:r>
              <w:rPr>
                <w:rFonts w:hint="eastAsia"/>
                <w:color w:val="auto"/>
                <w:highlight w:val="none"/>
                <w:lang w:val="en-US" w:eastAsia="zh-CN"/>
              </w:rPr>
              <w:t xml:space="preserve">18.6. </w:t>
            </w:r>
            <w:r>
              <w:rPr>
                <w:rFonts w:hint="eastAsia"/>
                <w:color w:val="auto"/>
                <w:highlight w:val="none"/>
              </w:rPr>
              <w:t>具备120 W 连续节目功率；</w:t>
            </w:r>
          </w:p>
        </w:tc>
        <w:tc>
          <w:tcPr>
            <w:tcW w:w="2410" w:type="dxa"/>
          </w:tcPr>
          <w:p w14:paraId="502C7A1C">
            <w:pPr>
              <w:spacing w:line="360" w:lineRule="exact"/>
              <w:rPr>
                <w:color w:val="auto"/>
                <w:highlight w:val="none"/>
              </w:rPr>
            </w:pPr>
            <w:r>
              <w:rPr>
                <w:rFonts w:hint="eastAsia"/>
                <w:color w:val="auto"/>
                <w:highlight w:val="none"/>
              </w:rPr>
              <w:t>　</w:t>
            </w:r>
          </w:p>
        </w:tc>
      </w:tr>
      <w:tr w14:paraId="07B23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6" w:hRule="atLeast"/>
        </w:trPr>
        <w:tc>
          <w:tcPr>
            <w:tcW w:w="709" w:type="dxa"/>
          </w:tcPr>
          <w:p w14:paraId="09B395F0">
            <w:pPr>
              <w:spacing w:line="360" w:lineRule="exact"/>
              <w:rPr>
                <w:rFonts w:hint="default" w:eastAsia="宋体"/>
                <w:color w:val="auto"/>
                <w:highlight w:val="none"/>
                <w:lang w:val="en-US" w:eastAsia="zh-CN"/>
              </w:rPr>
            </w:pPr>
            <w:r>
              <w:rPr>
                <w:rFonts w:hint="eastAsia"/>
                <w:color w:val="auto"/>
                <w:highlight w:val="none"/>
                <w:lang w:val="en-US" w:eastAsia="zh-CN"/>
              </w:rPr>
              <w:t>19</w:t>
            </w:r>
          </w:p>
        </w:tc>
        <w:tc>
          <w:tcPr>
            <w:tcW w:w="1276" w:type="dxa"/>
          </w:tcPr>
          <w:p w14:paraId="53DAAD00">
            <w:pPr>
              <w:spacing w:line="360" w:lineRule="exact"/>
              <w:rPr>
                <w:b/>
                <w:bCs/>
                <w:color w:val="auto"/>
                <w:highlight w:val="none"/>
              </w:rPr>
            </w:pPr>
            <w:r>
              <w:rPr>
                <w:rFonts w:hint="eastAsia"/>
                <w:b/>
                <w:bCs/>
                <w:color w:val="auto"/>
                <w:highlight w:val="none"/>
              </w:rPr>
              <w:t>服务工作站（12T）</w:t>
            </w:r>
          </w:p>
        </w:tc>
        <w:tc>
          <w:tcPr>
            <w:tcW w:w="5528" w:type="dxa"/>
          </w:tcPr>
          <w:p w14:paraId="54373E63">
            <w:pPr>
              <w:spacing w:line="360" w:lineRule="exact"/>
              <w:rPr>
                <w:color w:val="auto"/>
                <w:highlight w:val="none"/>
              </w:rPr>
            </w:pPr>
            <w:r>
              <w:rPr>
                <w:rFonts w:hint="eastAsia"/>
                <w:color w:val="auto"/>
                <w:highlight w:val="none"/>
                <w:lang w:val="en-US" w:eastAsia="zh-CN"/>
              </w:rPr>
              <w:t xml:space="preserve">19.1. </w:t>
            </w:r>
            <w:r>
              <w:rPr>
                <w:rFonts w:hint="eastAsia"/>
                <w:color w:val="auto"/>
                <w:highlight w:val="none"/>
              </w:rPr>
              <w:t>服务器CPU主频不低于2.1GHz,不低于12核,内存≥16G；缓存不低于18MB；主板集成远程管理芯片；</w:t>
            </w:r>
            <w:r>
              <w:rPr>
                <w:rFonts w:hint="eastAsia"/>
                <w:color w:val="auto"/>
                <w:highlight w:val="none"/>
              </w:rPr>
              <w:br w:type="textWrapping"/>
            </w:r>
            <w:r>
              <w:rPr>
                <w:rFonts w:hint="eastAsia"/>
                <w:color w:val="auto"/>
                <w:highlight w:val="none"/>
                <w:lang w:val="en-US" w:eastAsia="zh-CN"/>
              </w:rPr>
              <w:t xml:space="preserve">19.2. </w:t>
            </w:r>
            <w:r>
              <w:rPr>
                <w:rFonts w:hint="eastAsia"/>
                <w:color w:val="auto"/>
                <w:highlight w:val="none"/>
              </w:rPr>
              <w:t>硬盘容量不低于12TB；支持 3.5" SATA可扩展式存储硬盘槽，最高支持硬盘数≥8，支持RAID 5；</w:t>
            </w:r>
            <w:r>
              <w:rPr>
                <w:rFonts w:hint="eastAsia"/>
                <w:color w:val="auto"/>
                <w:highlight w:val="none"/>
              </w:rPr>
              <w:br w:type="textWrapping"/>
            </w:r>
            <w:r>
              <w:rPr>
                <w:rFonts w:hint="eastAsia"/>
                <w:color w:val="auto"/>
                <w:highlight w:val="none"/>
                <w:lang w:val="en-US" w:eastAsia="zh-CN"/>
              </w:rPr>
              <w:t xml:space="preserve">19.3. </w:t>
            </w:r>
            <w:r>
              <w:rPr>
                <w:rFonts w:hint="eastAsia"/>
                <w:color w:val="auto"/>
                <w:highlight w:val="none"/>
              </w:rPr>
              <w:t>标配1个前置VGA，1个后置VGA和1个串口，6 个USB 3.0（2前置，2后置，2内置），1个前置专用管理接口;</w:t>
            </w:r>
            <w:r>
              <w:rPr>
                <w:rFonts w:hint="eastAsia"/>
                <w:color w:val="auto"/>
                <w:highlight w:val="none"/>
              </w:rPr>
              <w:br w:type="textWrapping"/>
            </w:r>
            <w:r>
              <w:rPr>
                <w:rFonts w:hint="eastAsia"/>
                <w:color w:val="auto"/>
                <w:highlight w:val="none"/>
              </w:rPr>
              <w:t>支持安全机箱，TCM/TPM安全模块;</w:t>
            </w:r>
            <w:r>
              <w:rPr>
                <w:rFonts w:hint="eastAsia"/>
                <w:color w:val="auto"/>
                <w:highlight w:val="none"/>
              </w:rPr>
              <w:br w:type="textWrapping"/>
            </w:r>
            <w:r>
              <w:rPr>
                <w:rFonts w:hint="eastAsia"/>
                <w:color w:val="auto"/>
                <w:highlight w:val="none"/>
                <w:lang w:val="en-US" w:eastAsia="zh-CN"/>
              </w:rPr>
              <w:t xml:space="preserve">19.4. </w:t>
            </w:r>
            <w:r>
              <w:rPr>
                <w:rFonts w:hint="eastAsia"/>
                <w:color w:val="auto"/>
                <w:highlight w:val="none"/>
              </w:rPr>
              <w:t>可选支持高达8GB缓存，支持电容保护；支持外置光驱;</w:t>
            </w:r>
            <w:r>
              <w:rPr>
                <w:rFonts w:hint="eastAsia"/>
                <w:color w:val="auto"/>
                <w:highlight w:val="none"/>
              </w:rPr>
              <w:br w:type="textWrapping"/>
            </w:r>
            <w:r>
              <w:rPr>
                <w:rFonts w:hint="eastAsia"/>
                <w:color w:val="auto"/>
                <w:highlight w:val="none"/>
                <w:lang w:val="en-US" w:eastAsia="zh-CN"/>
              </w:rPr>
              <w:t xml:space="preserve">19.5. </w:t>
            </w:r>
            <w:r>
              <w:rPr>
                <w:rFonts w:hint="eastAsia"/>
                <w:color w:val="auto"/>
                <w:highlight w:val="none"/>
              </w:rPr>
              <w:t>支持多达32个DDR4内存插槽，速率最高支持3200MT/s，支持RDIMM或LRDIMM，单颗处理器最大容量6TB；</w:t>
            </w:r>
            <w:r>
              <w:rPr>
                <w:rFonts w:hint="eastAsia"/>
                <w:color w:val="auto"/>
                <w:highlight w:val="none"/>
              </w:rPr>
              <w:br w:type="textWrapping"/>
            </w:r>
            <w:r>
              <w:rPr>
                <w:rFonts w:hint="eastAsia"/>
                <w:color w:val="auto"/>
                <w:highlight w:val="none"/>
                <w:lang w:val="en-US" w:eastAsia="zh-CN"/>
              </w:rPr>
              <w:t xml:space="preserve">19.6. </w:t>
            </w:r>
            <w:r>
              <w:rPr>
                <w:rFonts w:hint="eastAsia"/>
                <w:color w:val="auto"/>
                <w:highlight w:val="none"/>
              </w:rPr>
              <w:t>支持万兆网络适配器；2端口万兆光接口网卡（SFP+）;</w:t>
            </w:r>
            <w:r>
              <w:rPr>
                <w:rFonts w:hint="eastAsia"/>
                <w:color w:val="auto"/>
                <w:highlight w:val="none"/>
              </w:rPr>
              <w:br w:type="textWrapping"/>
            </w:r>
            <w:r>
              <w:rPr>
                <w:rFonts w:hint="eastAsia"/>
                <w:color w:val="auto"/>
                <w:highlight w:val="none"/>
              </w:rPr>
              <w:t>12Gb 2端口 SAS RAID卡（带2GB缓存，支持8个SAS口）；</w:t>
            </w:r>
            <w:r>
              <w:rPr>
                <w:rFonts w:hint="eastAsia"/>
                <w:color w:val="auto"/>
                <w:highlight w:val="none"/>
              </w:rPr>
              <w:br w:type="textWrapping"/>
            </w:r>
            <w:r>
              <w:rPr>
                <w:rFonts w:hint="eastAsia"/>
                <w:color w:val="auto"/>
                <w:highlight w:val="none"/>
              </w:rPr>
              <w:t>4端口1GE电接口 OCP3.0网卡；标配1个前置VGA，1个后置VGA和1个串口，6 个USB 3.0（2前置，2后置，2内置），1个前置专用管理接口；</w:t>
            </w:r>
            <w:r>
              <w:rPr>
                <w:rFonts w:hint="eastAsia"/>
                <w:color w:val="auto"/>
                <w:highlight w:val="none"/>
              </w:rPr>
              <w:br w:type="textWrapping"/>
            </w:r>
            <w:r>
              <w:rPr>
                <w:rFonts w:hint="eastAsia"/>
                <w:color w:val="auto"/>
                <w:highlight w:val="none"/>
                <w:lang w:val="en-US" w:eastAsia="zh-CN"/>
              </w:rPr>
              <w:t xml:space="preserve">19.7. </w:t>
            </w:r>
            <w:r>
              <w:rPr>
                <w:rFonts w:hint="eastAsia"/>
                <w:color w:val="auto"/>
                <w:highlight w:val="none"/>
              </w:rPr>
              <w:t>具有FWBC功能，支持超级电容保护；支持安全机箱，TCM/TPM安全模块，双因素认证；</w:t>
            </w:r>
            <w:r>
              <w:rPr>
                <w:rFonts w:hint="eastAsia"/>
                <w:color w:val="auto"/>
                <w:highlight w:val="none"/>
              </w:rPr>
              <w:br w:type="textWrapping"/>
            </w:r>
            <w:r>
              <w:rPr>
                <w:rFonts w:hint="eastAsia"/>
                <w:color w:val="auto"/>
                <w:highlight w:val="none"/>
                <w:lang w:val="en-US" w:eastAsia="zh-CN"/>
              </w:rPr>
              <w:t xml:space="preserve">19.8 </w:t>
            </w:r>
            <w:r>
              <w:rPr>
                <w:rFonts w:hint="eastAsia"/>
                <w:color w:val="auto"/>
                <w:highlight w:val="none"/>
              </w:rPr>
              <w:t>网络交换设备具有至少24个10GE SFP+端口，6个40GE/100GE QSFP28端口；支持1+1电源备份；</w:t>
            </w:r>
            <w:r>
              <w:rPr>
                <w:rFonts w:hint="eastAsia"/>
                <w:color w:val="auto"/>
                <w:highlight w:val="none"/>
              </w:rPr>
              <w:br w:type="textWrapping"/>
            </w:r>
            <w:r>
              <w:rPr>
                <w:rFonts w:hint="eastAsia"/>
                <w:color w:val="auto"/>
                <w:highlight w:val="none"/>
                <w:lang w:val="en-US" w:eastAsia="zh-CN"/>
              </w:rPr>
              <w:t xml:space="preserve">19.9. </w:t>
            </w:r>
            <w:r>
              <w:rPr>
                <w:rFonts w:hint="eastAsia"/>
                <w:color w:val="auto"/>
                <w:highlight w:val="none"/>
              </w:rPr>
              <w:t>包转发率：1260Mpps，交换容量：2.56T/25.6Tbps；</w:t>
            </w:r>
            <w:r>
              <w:rPr>
                <w:rFonts w:hint="eastAsia"/>
                <w:color w:val="auto"/>
                <w:highlight w:val="none"/>
              </w:rPr>
              <w:br w:type="textWrapping"/>
            </w:r>
            <w:r>
              <w:rPr>
                <w:rFonts w:hint="eastAsia"/>
                <w:color w:val="auto"/>
                <w:highlight w:val="none"/>
              </w:rPr>
              <w:t>支持完善的二、三层组播协议，支持PIM SM、PIM DM、PIM SSM、MLD、IGMP Snooping；</w:t>
            </w:r>
            <w:r>
              <w:rPr>
                <w:rFonts w:hint="eastAsia"/>
                <w:color w:val="auto"/>
                <w:highlight w:val="none"/>
              </w:rPr>
              <w:br w:type="textWrapping"/>
            </w:r>
            <w:r>
              <w:rPr>
                <w:rFonts w:hint="eastAsia"/>
                <w:color w:val="auto"/>
                <w:highlight w:val="none"/>
                <w:lang w:val="en-US" w:eastAsia="zh-CN"/>
              </w:rPr>
              <w:t xml:space="preserve">19.10. </w:t>
            </w:r>
            <w:r>
              <w:rPr>
                <w:rFonts w:hint="eastAsia"/>
                <w:color w:val="auto"/>
                <w:highlight w:val="none"/>
              </w:rPr>
              <w:t>支持OSPF、ISIS、BGP、VRRP 等三层特性；支持完善的 DoS类防攻击、用户类防攻击；</w:t>
            </w:r>
          </w:p>
        </w:tc>
        <w:tc>
          <w:tcPr>
            <w:tcW w:w="2410" w:type="dxa"/>
          </w:tcPr>
          <w:p w14:paraId="7320D7E7">
            <w:pPr>
              <w:spacing w:line="360" w:lineRule="exact"/>
              <w:rPr>
                <w:color w:val="auto"/>
                <w:highlight w:val="none"/>
              </w:rPr>
            </w:pPr>
            <w:r>
              <w:rPr>
                <w:rFonts w:hint="eastAsia"/>
                <w:color w:val="auto"/>
                <w:highlight w:val="none"/>
              </w:rPr>
              <w:t>　</w:t>
            </w:r>
          </w:p>
        </w:tc>
      </w:tr>
      <w:tr w14:paraId="025DB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2" w:hRule="atLeast"/>
        </w:trPr>
        <w:tc>
          <w:tcPr>
            <w:tcW w:w="709" w:type="dxa"/>
          </w:tcPr>
          <w:p w14:paraId="707CC503">
            <w:pPr>
              <w:spacing w:line="360" w:lineRule="exact"/>
              <w:rPr>
                <w:rFonts w:hint="eastAsia" w:eastAsia="宋体"/>
                <w:color w:val="auto"/>
                <w:highlight w:val="none"/>
                <w:lang w:eastAsia="zh-CN"/>
              </w:rPr>
            </w:pPr>
            <w:r>
              <w:rPr>
                <w:rFonts w:hint="eastAsia"/>
                <w:color w:val="auto"/>
                <w:highlight w:val="none"/>
              </w:rPr>
              <w:t>2</w:t>
            </w:r>
            <w:r>
              <w:rPr>
                <w:rFonts w:hint="eastAsia"/>
                <w:color w:val="auto"/>
                <w:highlight w:val="none"/>
                <w:lang w:val="en-US" w:eastAsia="zh-CN"/>
              </w:rPr>
              <w:t>0</w:t>
            </w:r>
          </w:p>
        </w:tc>
        <w:tc>
          <w:tcPr>
            <w:tcW w:w="1276" w:type="dxa"/>
          </w:tcPr>
          <w:p w14:paraId="100706F8">
            <w:pPr>
              <w:spacing w:line="360" w:lineRule="exact"/>
              <w:rPr>
                <w:b/>
                <w:bCs/>
                <w:color w:val="auto"/>
                <w:highlight w:val="none"/>
              </w:rPr>
            </w:pPr>
            <w:r>
              <w:rPr>
                <w:rFonts w:hint="eastAsia"/>
                <w:b/>
                <w:bCs/>
                <w:color w:val="auto"/>
                <w:highlight w:val="none"/>
              </w:rPr>
              <w:t>PC端软件</w:t>
            </w:r>
          </w:p>
        </w:tc>
        <w:tc>
          <w:tcPr>
            <w:tcW w:w="5528" w:type="dxa"/>
          </w:tcPr>
          <w:p w14:paraId="6257A981">
            <w:pPr>
              <w:spacing w:line="360" w:lineRule="exact"/>
              <w:rPr>
                <w:color w:val="auto"/>
                <w:highlight w:val="none"/>
              </w:rPr>
            </w:pPr>
            <w:r>
              <w:rPr>
                <w:rFonts w:hint="eastAsia"/>
                <w:color w:val="auto"/>
                <w:highlight w:val="none"/>
                <w:lang w:val="en-US" w:eastAsia="zh-CN"/>
              </w:rPr>
              <w:t xml:space="preserve">20.1. </w:t>
            </w:r>
            <w:r>
              <w:rPr>
                <w:rFonts w:hint="eastAsia"/>
                <w:color w:val="auto"/>
                <w:highlight w:val="none"/>
              </w:rPr>
              <w:t>PC客户端可基于PC机实现手术视频会议，手术视频直播观摩，手术视频文档管理、手术文档编辑以及手术视频和图片文档的下载；</w:t>
            </w:r>
            <w:r>
              <w:rPr>
                <w:rFonts w:hint="eastAsia"/>
                <w:color w:val="auto"/>
                <w:highlight w:val="none"/>
              </w:rPr>
              <w:br w:type="textWrapping"/>
            </w:r>
            <w:r>
              <w:rPr>
                <w:rFonts w:hint="eastAsia"/>
                <w:color w:val="auto"/>
                <w:highlight w:val="none"/>
                <w:lang w:val="en-US" w:eastAsia="zh-CN"/>
              </w:rPr>
              <w:t xml:space="preserve">20.2. </w:t>
            </w:r>
            <w:r>
              <w:rPr>
                <w:rFonts w:hint="eastAsia"/>
                <w:color w:val="auto"/>
                <w:highlight w:val="none"/>
              </w:rPr>
              <w:t>在院内科室办公室，可通过医院内网实现和数字化手术室的视音频会议，观看手术室任何一路接入数字化手术室系统的手术直播画面；</w:t>
            </w:r>
            <w:r>
              <w:rPr>
                <w:rFonts w:hint="eastAsia"/>
                <w:color w:val="auto"/>
                <w:highlight w:val="none"/>
              </w:rPr>
              <w:br w:type="textWrapping"/>
            </w:r>
            <w:r>
              <w:rPr>
                <w:rFonts w:hint="eastAsia"/>
                <w:color w:val="auto"/>
                <w:highlight w:val="none"/>
                <w:lang w:val="en-US" w:eastAsia="zh-CN"/>
              </w:rPr>
              <w:t>20.3. 可</w:t>
            </w:r>
            <w:r>
              <w:rPr>
                <w:rFonts w:hint="eastAsia"/>
                <w:color w:val="auto"/>
                <w:highlight w:val="none"/>
              </w:rPr>
              <w:t>通过PC电脑通过网络快速访问到术中存储的数据，同时可以完成对文档编辑管理；</w:t>
            </w:r>
          </w:p>
        </w:tc>
        <w:tc>
          <w:tcPr>
            <w:tcW w:w="2410" w:type="dxa"/>
          </w:tcPr>
          <w:p w14:paraId="6A44CC8A">
            <w:pPr>
              <w:spacing w:line="360" w:lineRule="exact"/>
              <w:rPr>
                <w:color w:val="auto"/>
                <w:highlight w:val="none"/>
              </w:rPr>
            </w:pPr>
            <w:r>
              <w:rPr>
                <w:rFonts w:hint="eastAsia"/>
                <w:color w:val="auto"/>
                <w:highlight w:val="none"/>
              </w:rPr>
              <w:t>提供PC端视频文档下载界面截图证明文档；</w:t>
            </w:r>
            <w:r>
              <w:rPr>
                <w:rFonts w:hint="eastAsia"/>
                <w:color w:val="auto"/>
                <w:highlight w:val="none"/>
              </w:rPr>
              <w:br w:type="textWrapping"/>
            </w:r>
            <w:r>
              <w:rPr>
                <w:rFonts w:hint="eastAsia"/>
                <w:color w:val="auto"/>
                <w:highlight w:val="none"/>
              </w:rPr>
              <w:t>提供术外PC端访问术中视频文档UI截图；</w:t>
            </w:r>
          </w:p>
        </w:tc>
      </w:tr>
      <w:tr w14:paraId="35D95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0" w:hRule="atLeast"/>
        </w:trPr>
        <w:tc>
          <w:tcPr>
            <w:tcW w:w="709" w:type="dxa"/>
          </w:tcPr>
          <w:p w14:paraId="6F11D0F1">
            <w:pPr>
              <w:spacing w:line="360" w:lineRule="exact"/>
              <w:rPr>
                <w:rFonts w:hint="eastAsia" w:eastAsia="宋体"/>
                <w:color w:val="auto"/>
                <w:highlight w:val="none"/>
                <w:lang w:eastAsia="zh-CN"/>
              </w:rPr>
            </w:pPr>
            <w:r>
              <w:rPr>
                <w:rFonts w:hint="eastAsia"/>
                <w:color w:val="auto"/>
                <w:highlight w:val="none"/>
              </w:rPr>
              <w:t>2</w:t>
            </w:r>
            <w:r>
              <w:rPr>
                <w:rFonts w:hint="eastAsia"/>
                <w:color w:val="auto"/>
                <w:highlight w:val="none"/>
                <w:lang w:val="en-US" w:eastAsia="zh-CN"/>
              </w:rPr>
              <w:t>1</w:t>
            </w:r>
          </w:p>
        </w:tc>
        <w:tc>
          <w:tcPr>
            <w:tcW w:w="1276" w:type="dxa"/>
          </w:tcPr>
          <w:p w14:paraId="73C9CA9B">
            <w:pPr>
              <w:spacing w:line="360" w:lineRule="exact"/>
              <w:rPr>
                <w:b/>
                <w:bCs/>
                <w:color w:val="auto"/>
                <w:highlight w:val="none"/>
              </w:rPr>
            </w:pPr>
            <w:r>
              <w:rPr>
                <w:rFonts w:hint="eastAsia"/>
                <w:b/>
                <w:bCs/>
                <w:color w:val="auto"/>
                <w:highlight w:val="none"/>
              </w:rPr>
              <w:t>服务器机柜</w:t>
            </w:r>
          </w:p>
        </w:tc>
        <w:tc>
          <w:tcPr>
            <w:tcW w:w="5528" w:type="dxa"/>
          </w:tcPr>
          <w:p w14:paraId="691FDF67">
            <w:pPr>
              <w:spacing w:line="360" w:lineRule="exact"/>
              <w:rPr>
                <w:color w:val="auto"/>
                <w:highlight w:val="none"/>
              </w:rPr>
            </w:pPr>
            <w:r>
              <w:rPr>
                <w:rFonts w:hint="eastAsia"/>
                <w:color w:val="auto"/>
                <w:highlight w:val="none"/>
                <w:lang w:val="en-US" w:eastAsia="zh-CN"/>
              </w:rPr>
              <w:t xml:space="preserve">21.1. </w:t>
            </w:r>
            <w:r>
              <w:rPr>
                <w:rFonts w:hint="eastAsia"/>
                <w:color w:val="auto"/>
                <w:highlight w:val="none"/>
              </w:rPr>
              <w:t>机柜为数字化手术室产品供应商制作，机柜上有明显品牌Logo，可清晰识别供应商品牌；</w:t>
            </w:r>
            <w:r>
              <w:rPr>
                <w:rFonts w:hint="eastAsia"/>
                <w:color w:val="auto"/>
                <w:highlight w:val="none"/>
              </w:rPr>
              <w:br w:type="textWrapping"/>
            </w:r>
            <w:r>
              <w:rPr>
                <w:rFonts w:hint="eastAsia"/>
                <w:color w:val="auto"/>
                <w:highlight w:val="none"/>
                <w:lang w:val="en-US" w:eastAsia="zh-CN"/>
              </w:rPr>
              <w:t xml:space="preserve">21.2. </w:t>
            </w:r>
            <w:r>
              <w:rPr>
                <w:rFonts w:hint="eastAsia"/>
                <w:color w:val="auto"/>
                <w:highlight w:val="none"/>
              </w:rPr>
              <w:t>上下后侧为通风孔面板框；</w:t>
            </w:r>
            <w:r>
              <w:rPr>
                <w:rFonts w:hint="eastAsia"/>
                <w:color w:val="auto"/>
                <w:highlight w:val="none"/>
              </w:rPr>
              <w:br w:type="textWrapping"/>
            </w:r>
            <w:r>
              <w:rPr>
                <w:rFonts w:hint="eastAsia"/>
                <w:color w:val="auto"/>
                <w:highlight w:val="none"/>
                <w:lang w:val="en-US" w:eastAsia="zh-CN"/>
              </w:rPr>
              <w:t xml:space="preserve">21.3. </w:t>
            </w:r>
            <w:r>
              <w:rPr>
                <w:rFonts w:hint="eastAsia"/>
                <w:color w:val="auto"/>
                <w:highlight w:val="none"/>
              </w:rPr>
              <w:t>可同时安装脚轮和支脚，最大静载达≥800KG(带支脚)；</w:t>
            </w:r>
            <w:r>
              <w:rPr>
                <w:rFonts w:hint="eastAsia"/>
                <w:color w:val="auto"/>
                <w:highlight w:val="none"/>
              </w:rPr>
              <w:br w:type="textWrapping"/>
            </w:r>
            <w:r>
              <w:rPr>
                <w:rFonts w:hint="eastAsia"/>
                <w:color w:val="auto"/>
                <w:highlight w:val="none"/>
                <w:lang w:val="en-US" w:eastAsia="zh-CN"/>
              </w:rPr>
              <w:t xml:space="preserve">21.4. </w:t>
            </w:r>
            <w:r>
              <w:rPr>
                <w:rFonts w:hint="eastAsia"/>
                <w:color w:val="auto"/>
                <w:highlight w:val="none"/>
              </w:rPr>
              <w:t>可关闭的下部多处走线通道，上部不走线，平板结构美观易清洁；</w:t>
            </w:r>
            <w:r>
              <w:rPr>
                <w:rFonts w:hint="eastAsia"/>
                <w:color w:val="auto"/>
                <w:highlight w:val="none"/>
              </w:rPr>
              <w:br w:type="textWrapping"/>
            </w:r>
            <w:r>
              <w:rPr>
                <w:rFonts w:hint="eastAsia"/>
                <w:color w:val="auto"/>
                <w:highlight w:val="none"/>
                <w:lang w:val="en-US" w:eastAsia="zh-CN"/>
              </w:rPr>
              <w:t xml:space="preserve">21.5. </w:t>
            </w:r>
            <w:r>
              <w:rPr>
                <w:rFonts w:hint="eastAsia"/>
                <w:color w:val="auto"/>
                <w:highlight w:val="none"/>
              </w:rPr>
              <w:t>可方便拆卸的左右侧门和前后门；</w:t>
            </w:r>
          </w:p>
        </w:tc>
        <w:tc>
          <w:tcPr>
            <w:tcW w:w="2410" w:type="dxa"/>
          </w:tcPr>
          <w:p w14:paraId="1BBA1F2A">
            <w:pPr>
              <w:spacing w:line="360" w:lineRule="exact"/>
              <w:rPr>
                <w:color w:val="auto"/>
                <w:highlight w:val="none"/>
              </w:rPr>
            </w:pPr>
            <w:r>
              <w:rPr>
                <w:rFonts w:hint="eastAsia"/>
                <w:color w:val="auto"/>
                <w:highlight w:val="none"/>
              </w:rPr>
              <w:t>　</w:t>
            </w:r>
          </w:p>
        </w:tc>
      </w:tr>
      <w:tr w14:paraId="23083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112" w:hRule="atLeast"/>
        </w:trPr>
        <w:tc>
          <w:tcPr>
            <w:tcW w:w="709" w:type="dxa"/>
          </w:tcPr>
          <w:p w14:paraId="186A287E">
            <w:pPr>
              <w:spacing w:line="360" w:lineRule="exact"/>
              <w:rPr>
                <w:rFonts w:hint="eastAsia" w:eastAsia="宋体"/>
                <w:color w:val="auto"/>
                <w:highlight w:val="none"/>
                <w:lang w:eastAsia="zh-CN"/>
              </w:rPr>
            </w:pPr>
            <w:r>
              <w:rPr>
                <w:rFonts w:hint="eastAsia"/>
                <w:color w:val="auto"/>
                <w:highlight w:val="none"/>
              </w:rPr>
              <w:t>2</w:t>
            </w:r>
            <w:r>
              <w:rPr>
                <w:rFonts w:hint="eastAsia"/>
                <w:color w:val="auto"/>
                <w:highlight w:val="none"/>
                <w:lang w:val="en-US" w:eastAsia="zh-CN"/>
              </w:rPr>
              <w:t>2</w:t>
            </w:r>
          </w:p>
        </w:tc>
        <w:tc>
          <w:tcPr>
            <w:tcW w:w="1276" w:type="dxa"/>
          </w:tcPr>
          <w:p w14:paraId="26D64FB8">
            <w:pPr>
              <w:spacing w:line="360" w:lineRule="exact"/>
              <w:rPr>
                <w:b/>
                <w:bCs/>
                <w:color w:val="auto"/>
                <w:highlight w:val="none"/>
              </w:rPr>
            </w:pPr>
            <w:r>
              <w:rPr>
                <w:rFonts w:hint="eastAsia"/>
                <w:b/>
                <w:bCs/>
                <w:color w:val="auto"/>
                <w:highlight w:val="none"/>
              </w:rPr>
              <w:t>UPS</w:t>
            </w:r>
          </w:p>
        </w:tc>
        <w:tc>
          <w:tcPr>
            <w:tcW w:w="5528" w:type="dxa"/>
          </w:tcPr>
          <w:p w14:paraId="69EAF605">
            <w:pPr>
              <w:spacing w:line="360" w:lineRule="exact"/>
              <w:rPr>
                <w:color w:val="auto"/>
                <w:highlight w:val="none"/>
              </w:rPr>
            </w:pPr>
            <w:r>
              <w:rPr>
                <w:rFonts w:hint="eastAsia"/>
                <w:color w:val="auto"/>
                <w:highlight w:val="none"/>
                <w:lang w:val="en-US" w:eastAsia="zh-CN"/>
              </w:rPr>
              <w:t xml:space="preserve">22.1. </w:t>
            </w:r>
            <w:r>
              <w:rPr>
                <w:rFonts w:hint="eastAsia"/>
                <w:color w:val="auto"/>
                <w:highlight w:val="none"/>
              </w:rPr>
              <w:t>输出功率不低于1000VA/900W，电池电压48V，断电后至少支持系统正常运转10分钟；</w:t>
            </w:r>
            <w:r>
              <w:rPr>
                <w:rFonts w:hint="eastAsia"/>
                <w:color w:val="auto"/>
                <w:highlight w:val="none"/>
              </w:rPr>
              <w:br w:type="textWrapping"/>
            </w:r>
            <w:r>
              <w:rPr>
                <w:rFonts w:hint="eastAsia"/>
                <w:color w:val="auto"/>
                <w:highlight w:val="none"/>
                <w:lang w:val="en-US" w:eastAsia="zh-CN"/>
              </w:rPr>
              <w:t xml:space="preserve">22.2. </w:t>
            </w:r>
            <w:r>
              <w:rPr>
                <w:rFonts w:hint="eastAsia"/>
                <w:color w:val="auto"/>
                <w:highlight w:val="none"/>
              </w:rPr>
              <w:t>系统采用双变换在线设计，市电掉电无中断，超强输出过载及短路能力；</w:t>
            </w:r>
            <w:r>
              <w:rPr>
                <w:rFonts w:hint="eastAsia"/>
                <w:color w:val="auto"/>
                <w:highlight w:val="none"/>
              </w:rPr>
              <w:br w:type="textWrapping"/>
            </w:r>
            <w:r>
              <w:rPr>
                <w:rFonts w:hint="eastAsia"/>
                <w:color w:val="auto"/>
                <w:highlight w:val="none"/>
                <w:lang w:val="en-US" w:eastAsia="zh-CN"/>
              </w:rPr>
              <w:t xml:space="preserve">22.3. </w:t>
            </w:r>
            <w:r>
              <w:rPr>
                <w:rFonts w:hint="eastAsia"/>
                <w:color w:val="auto"/>
                <w:highlight w:val="none"/>
              </w:rPr>
              <w:t>支持DSP全数字控制，采用最新IGBT器件，实现输入超宽抗电网波动范围；</w:t>
            </w:r>
            <w:r>
              <w:rPr>
                <w:rFonts w:hint="eastAsia"/>
                <w:color w:val="auto"/>
                <w:highlight w:val="none"/>
              </w:rPr>
              <w:br w:type="textWrapping"/>
            </w:r>
            <w:r>
              <w:rPr>
                <w:rFonts w:hint="eastAsia"/>
                <w:color w:val="auto"/>
                <w:highlight w:val="none"/>
                <w:lang w:val="en-US" w:eastAsia="zh-CN"/>
              </w:rPr>
              <w:t xml:space="preserve">22.4. </w:t>
            </w:r>
            <w:r>
              <w:rPr>
                <w:rFonts w:hint="eastAsia"/>
                <w:color w:val="auto"/>
                <w:highlight w:val="none"/>
              </w:rPr>
              <w:t>输入标配防浪涌电路，抗电网浪涌能力强。输入功率因数不低于0.99；物料/工艺无有毒物质；</w:t>
            </w:r>
            <w:r>
              <w:rPr>
                <w:rFonts w:hint="eastAsia"/>
                <w:color w:val="auto"/>
                <w:highlight w:val="none"/>
              </w:rPr>
              <w:br w:type="textWrapping"/>
            </w:r>
            <w:r>
              <w:rPr>
                <w:rFonts w:hint="eastAsia"/>
                <w:color w:val="auto"/>
                <w:highlight w:val="none"/>
                <w:lang w:val="en-US" w:eastAsia="zh-CN"/>
              </w:rPr>
              <w:t xml:space="preserve">22.5. </w:t>
            </w:r>
            <w:r>
              <w:rPr>
                <w:rFonts w:hint="eastAsia"/>
                <w:color w:val="auto"/>
                <w:highlight w:val="none"/>
              </w:rPr>
              <w:t>具备可调速智能风扇，半载时风扇转速降低；</w:t>
            </w:r>
            <w:r>
              <w:rPr>
                <w:rFonts w:hint="eastAsia"/>
                <w:color w:val="auto"/>
                <w:highlight w:val="none"/>
              </w:rPr>
              <w:br w:type="textWrapping"/>
            </w:r>
            <w:r>
              <w:rPr>
                <w:rFonts w:hint="eastAsia"/>
                <w:color w:val="auto"/>
                <w:highlight w:val="none"/>
                <w:lang w:val="en-US" w:eastAsia="zh-CN"/>
              </w:rPr>
              <w:t xml:space="preserve">22.6. </w:t>
            </w:r>
            <w:r>
              <w:rPr>
                <w:rFonts w:hint="eastAsia"/>
                <w:color w:val="auto"/>
                <w:highlight w:val="none"/>
              </w:rPr>
              <w:t>含多种交流输出方式，</w:t>
            </w:r>
            <w:r>
              <w:rPr>
                <w:rFonts w:hint="eastAsia"/>
                <w:color w:val="auto"/>
                <w:highlight w:val="none"/>
                <w:lang w:val="en-US" w:eastAsia="zh-CN"/>
              </w:rPr>
              <w:t>包括但不限于</w:t>
            </w:r>
            <w:r>
              <w:rPr>
                <w:rFonts w:hint="eastAsia"/>
                <w:color w:val="auto"/>
                <w:highlight w:val="none"/>
              </w:rPr>
              <w:t>国标/IEC标准/端子排方式；</w:t>
            </w:r>
            <w:r>
              <w:rPr>
                <w:rFonts w:hint="eastAsia"/>
                <w:color w:val="auto"/>
                <w:highlight w:val="none"/>
              </w:rPr>
              <w:br w:type="textWrapping"/>
            </w:r>
            <w:r>
              <w:rPr>
                <w:rFonts w:hint="eastAsia"/>
                <w:color w:val="auto"/>
                <w:highlight w:val="none"/>
                <w:lang w:val="en-US" w:eastAsia="zh-CN"/>
              </w:rPr>
              <w:t xml:space="preserve">22.7. </w:t>
            </w:r>
            <w:r>
              <w:rPr>
                <w:rFonts w:hint="eastAsia"/>
                <w:color w:val="auto"/>
                <w:highlight w:val="none"/>
              </w:rPr>
              <w:t>输出兼220/230/240Vac 50/60Hz；可通过级联电池模块方便地延长后备时间；</w:t>
            </w:r>
            <w:r>
              <w:rPr>
                <w:rFonts w:hint="eastAsia"/>
                <w:color w:val="auto"/>
                <w:highlight w:val="none"/>
              </w:rPr>
              <w:br w:type="textWrapping"/>
            </w:r>
            <w:r>
              <w:rPr>
                <w:rFonts w:hint="eastAsia"/>
                <w:color w:val="auto"/>
                <w:highlight w:val="none"/>
                <w:lang w:val="en-US" w:eastAsia="zh-CN"/>
              </w:rPr>
              <w:t xml:space="preserve">22.8. </w:t>
            </w:r>
            <w:r>
              <w:rPr>
                <w:rFonts w:hint="eastAsia"/>
                <w:color w:val="auto"/>
                <w:highlight w:val="none"/>
              </w:rPr>
              <w:t>支持服务器自动安全关机功能，支持定期电池自检；</w:t>
            </w:r>
          </w:p>
        </w:tc>
        <w:tc>
          <w:tcPr>
            <w:tcW w:w="2410" w:type="dxa"/>
          </w:tcPr>
          <w:p w14:paraId="14312A2D">
            <w:pPr>
              <w:spacing w:line="360" w:lineRule="exact"/>
              <w:rPr>
                <w:color w:val="auto"/>
                <w:highlight w:val="none"/>
              </w:rPr>
            </w:pPr>
            <w:r>
              <w:rPr>
                <w:rFonts w:hint="eastAsia"/>
                <w:color w:val="auto"/>
                <w:highlight w:val="none"/>
              </w:rPr>
              <w:t>　</w:t>
            </w:r>
          </w:p>
        </w:tc>
      </w:tr>
      <w:tr w14:paraId="4824E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6" w:hRule="atLeast"/>
        </w:trPr>
        <w:tc>
          <w:tcPr>
            <w:tcW w:w="709" w:type="dxa"/>
          </w:tcPr>
          <w:p w14:paraId="26270516">
            <w:pPr>
              <w:spacing w:line="360" w:lineRule="exact"/>
              <w:rPr>
                <w:rFonts w:hint="eastAsia" w:eastAsia="宋体"/>
                <w:color w:val="auto"/>
                <w:highlight w:val="none"/>
                <w:lang w:eastAsia="zh-CN"/>
              </w:rPr>
            </w:pPr>
            <w:r>
              <w:rPr>
                <w:rFonts w:hint="eastAsia"/>
                <w:color w:val="auto"/>
                <w:highlight w:val="none"/>
              </w:rPr>
              <w:t>2</w:t>
            </w:r>
            <w:r>
              <w:rPr>
                <w:rFonts w:hint="eastAsia"/>
                <w:color w:val="auto"/>
                <w:highlight w:val="none"/>
                <w:lang w:val="en-US" w:eastAsia="zh-CN"/>
              </w:rPr>
              <w:t>3</w:t>
            </w:r>
          </w:p>
        </w:tc>
        <w:tc>
          <w:tcPr>
            <w:tcW w:w="1276" w:type="dxa"/>
          </w:tcPr>
          <w:p w14:paraId="7BCC5F6A">
            <w:pPr>
              <w:spacing w:line="360" w:lineRule="exact"/>
              <w:rPr>
                <w:b/>
                <w:bCs/>
                <w:color w:val="auto"/>
                <w:highlight w:val="none"/>
              </w:rPr>
            </w:pPr>
            <w:r>
              <w:rPr>
                <w:rFonts w:hint="eastAsia"/>
                <w:b/>
                <w:bCs/>
                <w:color w:val="auto"/>
                <w:highlight w:val="none"/>
              </w:rPr>
              <w:t>交换机</w:t>
            </w:r>
          </w:p>
        </w:tc>
        <w:tc>
          <w:tcPr>
            <w:tcW w:w="5528" w:type="dxa"/>
          </w:tcPr>
          <w:p w14:paraId="79F27F5D">
            <w:pPr>
              <w:spacing w:line="360" w:lineRule="exact"/>
              <w:rPr>
                <w:color w:val="auto"/>
                <w:highlight w:val="none"/>
              </w:rPr>
            </w:pPr>
            <w:r>
              <w:rPr>
                <w:rFonts w:hint="eastAsia"/>
                <w:color w:val="auto"/>
                <w:highlight w:val="none"/>
                <w:lang w:val="en-US" w:eastAsia="zh-CN"/>
              </w:rPr>
              <w:t xml:space="preserve">23.1. </w:t>
            </w:r>
            <w:r>
              <w:rPr>
                <w:rFonts w:hint="eastAsia"/>
                <w:color w:val="auto"/>
                <w:highlight w:val="none"/>
              </w:rPr>
              <w:t>提供10/100/1000Base-T 自适应以太网端口或SFP 光口、10G SFP+光口；支持802.3at/POE+供电标准；</w:t>
            </w:r>
            <w:r>
              <w:rPr>
                <w:rFonts w:hint="eastAsia"/>
                <w:color w:val="auto"/>
                <w:highlight w:val="none"/>
              </w:rPr>
              <w:br w:type="textWrapping"/>
            </w:r>
            <w:r>
              <w:rPr>
                <w:rFonts w:hint="eastAsia"/>
                <w:color w:val="auto"/>
                <w:highlight w:val="none"/>
                <w:lang w:val="en-US" w:eastAsia="zh-CN"/>
              </w:rPr>
              <w:t xml:space="preserve">23.2. </w:t>
            </w:r>
            <w:r>
              <w:rPr>
                <w:rFonts w:hint="eastAsia"/>
                <w:color w:val="auto"/>
                <w:highlight w:val="none"/>
              </w:rPr>
              <w:t>具备设备级和链路级的多重可靠性保护；硬件支持过流保护、过压保护和过热保护技术；</w:t>
            </w:r>
            <w:r>
              <w:rPr>
                <w:rFonts w:hint="eastAsia"/>
                <w:color w:val="auto"/>
                <w:highlight w:val="none"/>
              </w:rPr>
              <w:br w:type="textWrapping"/>
            </w:r>
            <w:r>
              <w:rPr>
                <w:rFonts w:hint="eastAsia"/>
                <w:color w:val="auto"/>
                <w:highlight w:val="none"/>
                <w:lang w:val="en-US" w:eastAsia="zh-CN"/>
              </w:rPr>
              <w:t xml:space="preserve">23.3. </w:t>
            </w:r>
            <w:r>
              <w:rPr>
                <w:rFonts w:hint="eastAsia"/>
                <w:color w:val="auto"/>
                <w:highlight w:val="none"/>
              </w:rPr>
              <w:t>支持电源和风扇的故障检测及告警，可以根据温度的变化自动调节风扇的转速；</w:t>
            </w:r>
            <w:r>
              <w:rPr>
                <w:rFonts w:hint="eastAsia"/>
                <w:color w:val="auto"/>
                <w:highlight w:val="none"/>
              </w:rPr>
              <w:br w:type="textWrapping"/>
            </w:r>
            <w:r>
              <w:rPr>
                <w:rFonts w:hint="eastAsia"/>
                <w:color w:val="auto"/>
                <w:highlight w:val="none"/>
                <w:lang w:val="en-US" w:eastAsia="zh-CN"/>
              </w:rPr>
              <w:t>23.4.</w:t>
            </w:r>
            <w:r>
              <w:rPr>
                <w:rFonts w:hint="eastAsia"/>
                <w:color w:val="auto"/>
                <w:highlight w:val="none"/>
              </w:rPr>
              <w:t>交换容量336Gbps/3.36Tbps，包转发率51Mpps/126Mpps，24个10/100/1000Base-T自适应以太网端口，4个千兆SFP口（combo口）；</w:t>
            </w:r>
          </w:p>
        </w:tc>
        <w:tc>
          <w:tcPr>
            <w:tcW w:w="2410" w:type="dxa"/>
          </w:tcPr>
          <w:p w14:paraId="6452B879">
            <w:pPr>
              <w:spacing w:line="360" w:lineRule="exact"/>
              <w:rPr>
                <w:color w:val="auto"/>
                <w:highlight w:val="none"/>
              </w:rPr>
            </w:pPr>
            <w:r>
              <w:rPr>
                <w:rFonts w:hint="eastAsia"/>
                <w:color w:val="auto"/>
                <w:highlight w:val="none"/>
              </w:rPr>
              <w:t>　</w:t>
            </w:r>
          </w:p>
        </w:tc>
      </w:tr>
      <w:tr w14:paraId="5D1AC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6" w:hRule="atLeast"/>
        </w:trPr>
        <w:tc>
          <w:tcPr>
            <w:tcW w:w="709" w:type="dxa"/>
          </w:tcPr>
          <w:p w14:paraId="395FCE16">
            <w:pPr>
              <w:spacing w:line="360" w:lineRule="exact"/>
              <w:rPr>
                <w:rFonts w:hint="eastAsia" w:eastAsia="宋体"/>
                <w:color w:val="auto"/>
                <w:highlight w:val="none"/>
                <w:lang w:eastAsia="zh-CN"/>
              </w:rPr>
            </w:pPr>
            <w:r>
              <w:rPr>
                <w:rFonts w:hint="eastAsia"/>
                <w:color w:val="auto"/>
                <w:highlight w:val="none"/>
              </w:rPr>
              <w:t>2</w:t>
            </w:r>
            <w:r>
              <w:rPr>
                <w:rFonts w:hint="eastAsia"/>
                <w:color w:val="auto"/>
                <w:highlight w:val="none"/>
                <w:lang w:val="en-US" w:eastAsia="zh-CN"/>
              </w:rPr>
              <w:t>4</w:t>
            </w:r>
          </w:p>
        </w:tc>
        <w:tc>
          <w:tcPr>
            <w:tcW w:w="1276" w:type="dxa"/>
          </w:tcPr>
          <w:p w14:paraId="4E176E79">
            <w:pPr>
              <w:spacing w:line="360" w:lineRule="exact"/>
              <w:rPr>
                <w:b/>
                <w:bCs/>
                <w:color w:val="auto"/>
                <w:highlight w:val="none"/>
              </w:rPr>
            </w:pPr>
            <w:r>
              <w:rPr>
                <w:rFonts w:hint="eastAsia"/>
                <w:b/>
                <w:bCs/>
                <w:color w:val="auto"/>
                <w:highlight w:val="none"/>
              </w:rPr>
              <w:t>HIS对接模块</w:t>
            </w:r>
          </w:p>
        </w:tc>
        <w:tc>
          <w:tcPr>
            <w:tcW w:w="5528" w:type="dxa"/>
          </w:tcPr>
          <w:p w14:paraId="157A4FE7">
            <w:pPr>
              <w:spacing w:line="360" w:lineRule="exact"/>
              <w:rPr>
                <w:rFonts w:hint="default" w:eastAsia="宋体"/>
                <w:color w:val="auto"/>
                <w:highlight w:val="none"/>
                <w:lang w:val="en-US" w:eastAsia="zh-CN"/>
              </w:rPr>
            </w:pPr>
            <w:r>
              <w:rPr>
                <w:rFonts w:hint="eastAsia"/>
                <w:color w:val="auto"/>
                <w:highlight w:val="none"/>
              </w:rPr>
              <w:t>在医院采购方配合协调提供HIS接口的前提下，实现与现有院方HIS系统的软件对接，实现医护人员可一键通过HIS读取病人的手术基本信息，并形成病人手术基本型信息页签卡，支持后期数据的快速检索；</w:t>
            </w:r>
            <w:r>
              <w:rPr>
                <w:rFonts w:hint="eastAsia"/>
                <w:color w:val="auto"/>
                <w:highlight w:val="none"/>
                <w:lang w:val="en-US" w:eastAsia="zh-CN"/>
              </w:rPr>
              <w:t>如产生相关接口费用由乙方承担。</w:t>
            </w:r>
          </w:p>
        </w:tc>
        <w:tc>
          <w:tcPr>
            <w:tcW w:w="2410" w:type="dxa"/>
          </w:tcPr>
          <w:p w14:paraId="230BE337">
            <w:pPr>
              <w:spacing w:line="360" w:lineRule="exact"/>
              <w:rPr>
                <w:color w:val="auto"/>
                <w:highlight w:val="none"/>
              </w:rPr>
            </w:pPr>
            <w:r>
              <w:rPr>
                <w:rFonts w:hint="eastAsia"/>
                <w:color w:val="auto"/>
                <w:highlight w:val="none"/>
              </w:rPr>
              <w:t>提供HIS的软件对接原理说明文件，同时提供实际视频或图片HIS对接效果证明文档以及不少于20家的HIS对接用户名单，名单需包含用户及对接HIS厂家的名单列表;</w:t>
            </w:r>
          </w:p>
        </w:tc>
      </w:tr>
    </w:tbl>
    <w:p w14:paraId="0C19B370">
      <w:pPr>
        <w:spacing w:line="360" w:lineRule="exact"/>
        <w:rPr>
          <w:rFonts w:ascii="Calibri" w:hAnsi="Calibri" w:eastAsia="宋体" w:cs="Times New Roman"/>
          <w:color w:val="auto"/>
          <w:szCs w:val="22"/>
          <w:highlight w:val="none"/>
        </w:rPr>
      </w:pPr>
    </w:p>
    <w:p w14:paraId="3BDC15AC">
      <w:pPr>
        <w:rPr>
          <w:rFonts w:hint="eastAsia"/>
          <w:color w:val="auto"/>
          <w:highlight w:val="none"/>
          <w:lang w:val="en-US" w:eastAsia="zh-CN"/>
        </w:rPr>
      </w:pPr>
    </w:p>
    <w:p w14:paraId="1CC73E59">
      <w:pPr>
        <w:widowControl w:val="0"/>
        <w:numPr>
          <w:ilvl w:val="0"/>
          <w:numId w:val="0"/>
        </w:numPr>
        <w:jc w:val="both"/>
        <w:rPr>
          <w:rFonts w:hint="default"/>
          <w:color w:val="auto"/>
          <w:highlight w:val="none"/>
          <w:lang w:val="en-US" w:eastAsia="zh-CN"/>
        </w:rPr>
      </w:pPr>
    </w:p>
    <w:p w14:paraId="20E722FA">
      <w:pPr>
        <w:widowControl w:val="0"/>
        <w:numPr>
          <w:ilvl w:val="0"/>
          <w:numId w:val="0"/>
        </w:numPr>
        <w:jc w:val="both"/>
        <w:rPr>
          <w:rFonts w:hint="default"/>
          <w:color w:val="auto"/>
          <w:highlight w:val="none"/>
          <w:lang w:val="en-US" w:eastAsia="zh-CN"/>
        </w:rPr>
        <w:sectPr>
          <w:pgSz w:w="11905" w:h="16838"/>
          <w:pgMar w:top="1440" w:right="1587" w:bottom="1440" w:left="1587" w:header="1020" w:footer="567" w:gutter="0"/>
          <w:pgNumType w:fmt="decimal"/>
          <w:cols w:space="0" w:num="1"/>
          <w:docGrid w:type="lines" w:linePitch="323" w:charSpace="0"/>
        </w:sectPr>
      </w:pPr>
    </w:p>
    <w:p w14:paraId="62AC670C">
      <w:pPr>
        <w:pStyle w:val="3"/>
        <w:pageBreakBefore w:val="0"/>
        <w:widowControl w:val="0"/>
        <w:numPr>
          <w:ilvl w:val="0"/>
          <w:numId w:val="0"/>
        </w:numPr>
        <w:kinsoku/>
        <w:wordWrap/>
        <w:overflowPunct/>
        <w:topLinePunct w:val="0"/>
        <w:autoSpaceDE/>
        <w:autoSpaceDN/>
        <w:bidi w:val="0"/>
        <w:adjustRightInd w:val="0"/>
        <w:snapToGrid w:val="0"/>
        <w:spacing w:before="156" w:beforeLines="50" w:line="500" w:lineRule="exact"/>
        <w:jc w:val="both"/>
        <w:textAlignment w:val="auto"/>
        <w:rPr>
          <w:rFonts w:hint="eastAsia" w:ascii="黑体" w:hAnsi="黑体" w:eastAsia="黑体" w:cs="Times New Roman"/>
          <w:color w:val="auto"/>
          <w:sz w:val="28"/>
          <w:szCs w:val="28"/>
          <w:highlight w:val="none"/>
          <w:lang w:val="en-US" w:eastAsia="zh-CN"/>
        </w:rPr>
      </w:pPr>
      <w:bookmarkStart w:id="103" w:name="_Toc15961"/>
      <w:bookmarkStart w:id="104" w:name="_Toc20800"/>
      <w:r>
        <w:rPr>
          <w:rFonts w:hint="eastAsia" w:ascii="黑体" w:hAnsi="黑体" w:eastAsia="黑体" w:cs="Times New Roman"/>
          <w:color w:val="auto"/>
          <w:sz w:val="28"/>
          <w:szCs w:val="28"/>
          <w:highlight w:val="none"/>
          <w:lang w:val="en-US" w:eastAsia="zh-CN"/>
        </w:rPr>
        <w:t>五、床旁血滤机</w:t>
      </w:r>
      <w:bookmarkEnd w:id="103"/>
      <w:bookmarkEnd w:id="104"/>
    </w:p>
    <w:p w14:paraId="3F86A040">
      <w:pPr>
        <w:widowControl w:val="0"/>
        <w:numPr>
          <w:ilvl w:val="0"/>
          <w:numId w:val="0"/>
        </w:numPr>
        <w:jc w:val="both"/>
        <w:rPr>
          <w:rFonts w:hint="default"/>
          <w:color w:val="auto"/>
          <w:highlight w:val="none"/>
          <w:lang w:val="en-US" w:eastAsia="zh-CN"/>
        </w:rPr>
      </w:pPr>
    </w:p>
    <w:p w14:paraId="03114FCF">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default" w:ascii="Calibri" w:hAnsi="Calibri" w:cs="Arial"/>
          <w:color w:val="auto"/>
          <w:sz w:val="21"/>
          <w:szCs w:val="21"/>
          <w:highlight w:val="none"/>
          <w:lang w:val="en-US" w:eastAsia="zh-CN"/>
        </w:rPr>
      </w:pPr>
      <w:r>
        <w:rPr>
          <w:rFonts w:hint="eastAsia" w:ascii="宋体" w:hAnsi="宋体" w:eastAsia="宋体" w:cs="宋体"/>
          <w:bCs/>
          <w:color w:val="auto"/>
          <w:kern w:val="2"/>
          <w:sz w:val="21"/>
          <w:szCs w:val="21"/>
          <w:highlight w:val="none"/>
          <w:lang w:val="en-US" w:eastAsia="zh-CN" w:bidi="ar-SA"/>
        </w:rPr>
        <w:t>1.产品名称：</w:t>
      </w:r>
      <w:r>
        <w:rPr>
          <w:rFonts w:hint="eastAsia" w:ascii="Calibri" w:hAnsi="Calibri" w:cs="Arial"/>
          <w:color w:val="auto"/>
          <w:sz w:val="21"/>
          <w:szCs w:val="21"/>
          <w:highlight w:val="none"/>
          <w:lang w:val="en-US" w:eastAsia="zh-CN"/>
        </w:rPr>
        <w:t>床旁血滤机</w:t>
      </w:r>
    </w:p>
    <w:p w14:paraId="7555F79D">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default" w:ascii="宋体" w:hAnsi="宋体" w:eastAsia="宋体" w:cs="宋体"/>
          <w:bCs/>
          <w:color w:val="auto"/>
          <w:sz w:val="21"/>
          <w:szCs w:val="21"/>
          <w:highlight w:val="none"/>
          <w:lang w:val="en-US"/>
        </w:rPr>
      </w:pPr>
      <w:r>
        <w:rPr>
          <w:rFonts w:hint="eastAsia" w:ascii="宋体" w:hAnsi="宋体" w:cs="宋体"/>
          <w:bCs/>
          <w:color w:val="auto"/>
          <w:sz w:val="21"/>
          <w:szCs w:val="21"/>
          <w:highlight w:val="none"/>
          <w:lang w:val="en-US" w:eastAsia="zh-CN"/>
        </w:rPr>
        <w:t>2</w:t>
      </w:r>
      <w:r>
        <w:rPr>
          <w:rFonts w:hint="eastAsia" w:ascii="宋体" w:hAnsi="宋体" w:eastAsia="宋体" w:cs="宋体"/>
          <w:bCs/>
          <w:color w:val="auto"/>
          <w:sz w:val="21"/>
          <w:szCs w:val="21"/>
          <w:highlight w:val="none"/>
          <w:lang w:val="en-US" w:eastAsia="zh-CN"/>
        </w:rPr>
        <w:t>.</w:t>
      </w:r>
      <w:r>
        <w:rPr>
          <w:rFonts w:hint="eastAsia" w:ascii="宋体" w:hAnsi="宋体" w:cs="宋体"/>
          <w:bCs/>
          <w:color w:val="auto"/>
          <w:sz w:val="21"/>
          <w:szCs w:val="21"/>
          <w:highlight w:val="none"/>
          <w:lang w:val="en-US" w:eastAsia="zh-CN"/>
        </w:rPr>
        <w:t>数量：2台</w:t>
      </w:r>
    </w:p>
    <w:p w14:paraId="2495AEFA">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3.产品技术要求：</w:t>
      </w:r>
    </w:p>
    <w:p w14:paraId="513008A6">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(1)治疗模式要求</w:t>
      </w:r>
    </w:p>
    <w:p w14:paraId="3FFA702A">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1)具备持续性血液滤过(CHF)、单纯血浆置换(PE)、双重血浆置换(DFPP)、血浆吸附(PA)等血液净化治疗模式，满足肾脏替代和人工肝治疗要求。</w:t>
      </w:r>
    </w:p>
    <w:p w14:paraId="0962F8E5">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2)可自由选择前稀释或后稀释，在CVVH时能同时进行前稀释和后稀释。</w:t>
      </w:r>
    </w:p>
    <w:p w14:paraId="2595D239">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(2)技术参数要求</w:t>
      </w:r>
    </w:p>
    <w:p w14:paraId="0C4E9B72">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1)具备4台流量泵:血泵、置换液泵、透析液泵、滤过液泵。</w:t>
      </w:r>
    </w:p>
    <w:p w14:paraId="1ECA1699">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血液泵(BP):0，15~225mL/min</w:t>
      </w:r>
    </w:p>
    <w:p w14:paraId="105A7FA1">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滤过液泵(FP):0，5~120mL/min</w:t>
      </w:r>
    </w:p>
    <w:p w14:paraId="1DE8083D">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透析液泵(DP):0，2~50mL/min</w:t>
      </w:r>
    </w:p>
    <w:p w14:paraId="6AC97DFA">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置换液泵(RP):0，4~120mL/min</w:t>
      </w:r>
    </w:p>
    <w:p w14:paraId="69F97720">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2)独立多功能精密注射泵，适用20ml、30ml、50ml多种规格注射器，可用于肝素、氯化钙等推注。注射泵持续流量0~20mL/h，追加剂量0.lml/s。</w:t>
      </w:r>
    </w:p>
    <w:p w14:paraId="27014306">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3)具备两组振摇夹持器，自动摇摆，利于气泡排除，降低凝血风险。</w:t>
      </w:r>
    </w:p>
    <w:p w14:paraId="3687E498">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▲4)具备自设编程程序，可进行手动设置，自行设计临床需要的治疗模式.</w:t>
      </w:r>
    </w:p>
    <w:p w14:paraId="215998C6">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5)具备6个压力监测:</w:t>
      </w:r>
    </w:p>
    <w:p w14:paraId="527224E3">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①动脉压:—400~300mmHg，±10mmHg</w:t>
      </w:r>
    </w:p>
    <w:p w14:paraId="57347C49">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②滤器入口压:—400~300mmHg，±10mmHg</w:t>
      </w:r>
    </w:p>
    <w:p w14:paraId="4FC4633B">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③静脉压:—400~300mmHg，±10mmHg</w:t>
      </w:r>
    </w:p>
    <w:p w14:paraId="1285E06A">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④一级膜外压:—400~300mmHg，±10mmHg</w:t>
      </w:r>
    </w:p>
    <w:p w14:paraId="51B90253">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⑤血浆入口压:—400~300mmHg，±10mmHg</w:t>
      </w:r>
    </w:p>
    <w:p w14:paraId="7F25C303">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⑥二级膜外压:—400~300mmHg，±10mmHg</w:t>
      </w:r>
    </w:p>
    <w:p w14:paraId="534D8281">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▲6)具备四组管路截止阀，自动开启、闭合动作，完成自动冲洗，出现异常时锁住管路，防止气泡进入人体.</w:t>
      </w:r>
    </w:p>
    <w:p w14:paraId="75251A2A">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7)加温器:两面热板加温方式，35~40°C</w:t>
      </w:r>
    </w:p>
    <w:p w14:paraId="6D1E6A78">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8)电子秤:≥3个，0~10KG</w:t>
      </w:r>
    </w:p>
    <w:p w14:paraId="2E5DA18B">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9)、气泡监测：超声波检测方式，检测最小气泡体积≤0.02ml, 气泡报警限值≥100ul。</w:t>
      </w:r>
    </w:p>
    <w:p w14:paraId="443ED665">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10)、补液断流：超声波检测方式。</w:t>
      </w:r>
    </w:p>
    <w:p w14:paraId="7EEDADAD">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11)、滤液断流：超声波检测方式。</w:t>
      </w:r>
    </w:p>
    <w:p w14:paraId="1F28E9E3">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12)、漏血监测：利用光学原理，分辨率可达到千分之一。</w:t>
      </w:r>
    </w:p>
    <w:p w14:paraId="211141DF">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13)、液面监测：静电容量变化方式。</w:t>
      </w:r>
    </w:p>
    <w:p w14:paraId="6E827F77">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14)、后备电源：电源中断后，设备自带电池可继续使用≥15min。</w:t>
      </w:r>
    </w:p>
    <w:p w14:paraId="64C403F3">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15)、开放式耗材，可兼容多品牌的耗材，满足临床多种需求。</w:t>
      </w:r>
    </w:p>
    <w:p w14:paraId="19E608AA">
      <w:pPr>
        <w:widowControl w:val="0"/>
        <w:numPr>
          <w:ilvl w:val="0"/>
          <w:numId w:val="0"/>
        </w:numPr>
        <w:jc w:val="both"/>
        <w:rPr>
          <w:rFonts w:hint="default"/>
          <w:color w:val="auto"/>
          <w:highlight w:val="none"/>
          <w:lang w:val="en-US" w:eastAsia="zh-CN"/>
        </w:rPr>
        <w:sectPr>
          <w:pgSz w:w="11905" w:h="16838"/>
          <w:pgMar w:top="1440" w:right="1587" w:bottom="1440" w:left="1587" w:header="1020" w:footer="567" w:gutter="0"/>
          <w:pgNumType w:fmt="decimal"/>
          <w:cols w:space="0" w:num="1"/>
          <w:docGrid w:type="lines" w:linePitch="323" w:charSpace="0"/>
        </w:sectPr>
      </w:pPr>
    </w:p>
    <w:p w14:paraId="0A4B3BEF">
      <w:pPr>
        <w:pStyle w:val="3"/>
        <w:pageBreakBefore w:val="0"/>
        <w:widowControl w:val="0"/>
        <w:kinsoku/>
        <w:wordWrap/>
        <w:overflowPunct/>
        <w:topLinePunct w:val="0"/>
        <w:autoSpaceDE/>
        <w:autoSpaceDN/>
        <w:bidi w:val="0"/>
        <w:adjustRightInd w:val="0"/>
        <w:snapToGrid w:val="0"/>
        <w:spacing w:before="156" w:beforeLines="50" w:line="500" w:lineRule="exact"/>
        <w:jc w:val="center"/>
        <w:textAlignment w:val="auto"/>
        <w:rPr>
          <w:rFonts w:ascii="黑体" w:hAnsi="黑体" w:eastAsia="黑体"/>
          <w:color w:val="auto"/>
          <w:highlight w:val="none"/>
        </w:rPr>
      </w:pPr>
      <w:bookmarkStart w:id="105" w:name="_Toc18191"/>
      <w:bookmarkStart w:id="106" w:name="_Toc4786"/>
      <w:r>
        <w:rPr>
          <w:rFonts w:hint="eastAsia" w:ascii="黑体" w:hAnsi="黑体" w:eastAsia="黑体"/>
          <w:color w:val="auto"/>
          <w:sz w:val="28"/>
          <w:szCs w:val="28"/>
          <w:highlight w:val="none"/>
        </w:rPr>
        <w:t>第三节 商务</w:t>
      </w:r>
      <w:r>
        <w:rPr>
          <w:rFonts w:ascii="黑体" w:hAnsi="黑体" w:eastAsia="黑体"/>
          <w:color w:val="auto"/>
          <w:sz w:val="28"/>
          <w:szCs w:val="28"/>
          <w:highlight w:val="none"/>
        </w:rPr>
        <w:t>要求</w:t>
      </w:r>
      <w:bookmarkEnd w:id="88"/>
      <w:bookmarkEnd w:id="105"/>
      <w:bookmarkEnd w:id="106"/>
    </w:p>
    <w:p w14:paraId="440CCB49">
      <w:pPr>
        <w:adjustRightInd w:val="0"/>
        <w:snapToGrid w:val="0"/>
        <w:spacing w:line="400" w:lineRule="exact"/>
        <w:ind w:firstLine="422" w:firstLineChars="200"/>
        <w:rPr>
          <w:rFonts w:hint="eastAsia" w:ascii="宋体" w:hAnsi="宋体" w:cs="宋体"/>
          <w:b/>
          <w:color w:val="auto"/>
          <w:szCs w:val="21"/>
          <w:highlight w:val="none"/>
        </w:rPr>
      </w:pPr>
    </w:p>
    <w:p w14:paraId="0A05ED13">
      <w:pPr>
        <w:adjustRightInd w:val="0"/>
        <w:snapToGrid w:val="0"/>
        <w:spacing w:line="400" w:lineRule="exact"/>
        <w:ind w:firstLine="422" w:firstLineChars="200"/>
        <w:rPr>
          <w:rFonts w:hint="eastAsia" w:ascii="宋体" w:hAnsi="宋体" w:cs="宋体"/>
          <w:b/>
          <w:color w:val="auto"/>
          <w:szCs w:val="21"/>
          <w:highlight w:val="none"/>
        </w:rPr>
      </w:pPr>
      <w:r>
        <w:rPr>
          <w:rFonts w:hint="eastAsia" w:ascii="宋体" w:hAnsi="宋体" w:cs="宋体"/>
          <w:b/>
          <w:color w:val="auto"/>
          <w:szCs w:val="21"/>
          <w:highlight w:val="none"/>
        </w:rPr>
        <w:t>一、</w:t>
      </w:r>
      <w:r>
        <w:rPr>
          <w:rFonts w:hint="eastAsia" w:ascii="宋体" w:hAnsi="宋体" w:cs="宋体"/>
          <w:b/>
          <w:color w:val="auto"/>
          <w:szCs w:val="21"/>
          <w:highlight w:val="none"/>
          <w:lang w:val="en-US" w:eastAsia="zh-CN"/>
        </w:rPr>
        <w:t>交货</w:t>
      </w:r>
      <w:r>
        <w:rPr>
          <w:rFonts w:hint="eastAsia" w:ascii="宋体" w:hAnsi="宋体" w:cs="宋体"/>
          <w:b/>
          <w:color w:val="auto"/>
          <w:szCs w:val="21"/>
          <w:highlight w:val="none"/>
        </w:rPr>
        <w:t>及运输、安装、调试、验收、付款及售后服务</w:t>
      </w:r>
    </w:p>
    <w:p w14:paraId="3D706A2F">
      <w:pPr>
        <w:adjustRightInd w:val="0"/>
        <w:snapToGrid w:val="0"/>
        <w:spacing w:line="400" w:lineRule="exact"/>
        <w:ind w:firstLine="422" w:firstLineChars="200"/>
        <w:rPr>
          <w:rFonts w:hint="eastAsia" w:ascii="宋体" w:hAnsi="宋体" w:cs="宋体"/>
          <w:b/>
          <w:color w:val="auto"/>
          <w:szCs w:val="21"/>
          <w:highlight w:val="none"/>
        </w:rPr>
      </w:pPr>
      <w:r>
        <w:rPr>
          <w:rFonts w:hint="eastAsia" w:ascii="宋体" w:hAnsi="宋体" w:cs="宋体"/>
          <w:b/>
          <w:color w:val="auto"/>
          <w:szCs w:val="21"/>
          <w:highlight w:val="none"/>
        </w:rPr>
        <w:t>1、</w:t>
      </w:r>
      <w:r>
        <w:rPr>
          <w:rFonts w:hint="eastAsia" w:ascii="宋体" w:hAnsi="宋体" w:cs="宋体"/>
          <w:b/>
          <w:color w:val="auto"/>
          <w:szCs w:val="21"/>
          <w:highlight w:val="none"/>
          <w:lang w:val="en-US" w:eastAsia="zh-CN"/>
        </w:rPr>
        <w:t>交货</w:t>
      </w:r>
      <w:r>
        <w:rPr>
          <w:rFonts w:hint="eastAsia" w:ascii="宋体" w:hAnsi="宋体" w:cs="宋体"/>
          <w:b/>
          <w:color w:val="auto"/>
          <w:szCs w:val="21"/>
          <w:highlight w:val="none"/>
        </w:rPr>
        <w:t>及运输</w:t>
      </w:r>
    </w:p>
    <w:p w14:paraId="2EACA5DA">
      <w:pPr>
        <w:adjustRightInd w:val="0"/>
        <w:snapToGrid w:val="0"/>
        <w:spacing w:line="440" w:lineRule="exact"/>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1.1</w:t>
      </w:r>
      <w:bookmarkStart w:id="107" w:name="auto_fouce_1"/>
      <w:r>
        <w:rPr>
          <w:rFonts w:hint="eastAsia" w:ascii="宋体" w:hAnsi="宋体" w:cs="宋体"/>
          <w:bCs/>
          <w:color w:val="auto"/>
          <w:szCs w:val="21"/>
          <w:highlight w:val="none"/>
          <w:lang w:val="en-US" w:eastAsia="zh-CN"/>
        </w:rPr>
        <w:t>交货期限</w:t>
      </w:r>
      <w:r>
        <w:rPr>
          <w:rFonts w:hint="eastAsia" w:ascii="宋体" w:hAnsi="宋体" w:cs="宋体"/>
          <w:bCs/>
          <w:color w:val="auto"/>
          <w:szCs w:val="21"/>
          <w:highlight w:val="none"/>
        </w:rPr>
        <w:t>：</w:t>
      </w:r>
      <w:bookmarkEnd w:id="107"/>
      <w:r>
        <w:rPr>
          <w:rFonts w:hint="eastAsia" w:ascii="宋体" w:hAnsi="宋体" w:cs="宋体"/>
          <w:color w:val="auto"/>
          <w:highlight w:val="none"/>
        </w:rPr>
        <w:t>在正式合同签订之日起</w:t>
      </w:r>
      <w:r>
        <w:rPr>
          <w:rFonts w:hint="eastAsia" w:ascii="宋体" w:hAnsi="宋体" w:cs="宋体"/>
          <w:color w:val="auto"/>
          <w:highlight w:val="none"/>
          <w:lang w:val="en-US" w:eastAsia="zh-CN"/>
        </w:rPr>
        <w:t>45</w:t>
      </w:r>
      <w:r>
        <w:rPr>
          <w:rFonts w:hint="eastAsia" w:ascii="宋体" w:hAnsi="宋体" w:cs="宋体"/>
          <w:color w:val="auto"/>
          <w:highlight w:val="none"/>
        </w:rPr>
        <w:t>天内完成设备的供货、安装、调试、检测运行及验收工作。</w:t>
      </w:r>
    </w:p>
    <w:p w14:paraId="24273859">
      <w:pPr>
        <w:adjustRightInd w:val="0"/>
        <w:snapToGrid w:val="0"/>
        <w:spacing w:line="440" w:lineRule="exact"/>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1.2供货地点：采购人指定安装地点。</w:t>
      </w:r>
    </w:p>
    <w:p w14:paraId="26673E61">
      <w:pPr>
        <w:adjustRightInd w:val="0"/>
        <w:snapToGrid w:val="0"/>
        <w:spacing w:line="440" w:lineRule="exact"/>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1.3中标单位负责产品到交货地点的全部运输，包括装卸、现场运送等</w:t>
      </w:r>
      <w:r>
        <w:rPr>
          <w:rFonts w:hint="eastAsia" w:ascii="宋体" w:hAnsi="宋体" w:cs="宋体"/>
          <w:bCs/>
          <w:color w:val="auto"/>
          <w:szCs w:val="21"/>
          <w:highlight w:val="none"/>
          <w:lang w:eastAsia="zh-CN"/>
        </w:rPr>
        <w:t>；</w:t>
      </w:r>
      <w:r>
        <w:rPr>
          <w:rFonts w:hint="eastAsia" w:ascii="宋体" w:hAnsi="宋体" w:cs="宋体"/>
          <w:bCs/>
          <w:color w:val="auto"/>
          <w:szCs w:val="21"/>
          <w:highlight w:val="none"/>
          <w:lang w:val="en-US" w:eastAsia="zh-CN"/>
        </w:rPr>
        <w:t>中标单位保证提供货物是半年内生产的，全新的，未使用过的产品</w:t>
      </w:r>
      <w:r>
        <w:rPr>
          <w:rFonts w:hint="eastAsia" w:ascii="宋体" w:hAnsi="宋体" w:cs="宋体"/>
          <w:bCs/>
          <w:color w:val="auto"/>
          <w:szCs w:val="21"/>
          <w:highlight w:val="none"/>
        </w:rPr>
        <w:t>。</w:t>
      </w:r>
    </w:p>
    <w:p w14:paraId="67A06B05">
      <w:pPr>
        <w:adjustRightInd w:val="0"/>
        <w:snapToGrid w:val="0"/>
        <w:spacing w:line="400" w:lineRule="exact"/>
        <w:ind w:firstLine="422" w:firstLineChars="200"/>
        <w:rPr>
          <w:rFonts w:hint="eastAsia" w:ascii="宋体" w:hAnsi="宋体" w:cs="宋体"/>
          <w:b/>
          <w:color w:val="auto"/>
          <w:szCs w:val="21"/>
          <w:highlight w:val="none"/>
        </w:rPr>
      </w:pPr>
      <w:r>
        <w:rPr>
          <w:rFonts w:hint="eastAsia" w:ascii="宋体" w:hAnsi="宋体" w:cs="宋体"/>
          <w:b/>
          <w:color w:val="auto"/>
          <w:szCs w:val="21"/>
          <w:highlight w:val="none"/>
        </w:rPr>
        <w:t>2、安装、调试</w:t>
      </w:r>
    </w:p>
    <w:p w14:paraId="28FD4820">
      <w:pPr>
        <w:adjustRightInd w:val="0"/>
        <w:snapToGrid w:val="0"/>
        <w:spacing w:line="440" w:lineRule="exact"/>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2.1在货物到达使用单位，现场场地符合安装条件后，采购人将通知中标单位派技术人员对所投设备全面进行安装、调试。中标单位应派技术人员在采购人要求时间内到达采购人指定安装地点，并在采购人技术人员在场的情况下开箱清点货物，组织安装、调试，并承担因此发生的一切费用。</w:t>
      </w:r>
    </w:p>
    <w:p w14:paraId="772A8CCD">
      <w:pPr>
        <w:adjustRightInd w:val="0"/>
        <w:snapToGrid w:val="0"/>
        <w:spacing w:line="440" w:lineRule="exact"/>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2.2所有设备的现场安装及调试等工作均由中标单位负责，所有安装流程应严格按照国家及行业相关规定及标准实施，同时需严格遵守甲方制定的现场施工管理规范及要求，所有安装、调试所需的专业设备、仪器及相关工具由中标单位自行负责，有关费用包含在投标报价中。</w:t>
      </w:r>
    </w:p>
    <w:p w14:paraId="3BCB0731">
      <w:pPr>
        <w:adjustRightInd w:val="0"/>
        <w:snapToGrid w:val="0"/>
        <w:spacing w:line="440" w:lineRule="exact"/>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2.3项目实施过程中，中标单位应做好相关人员的安全防护措施，实施过程中所有人员的安全事故责任均由中标单位自行承担，采购人将派专人负责现场协调工作。</w:t>
      </w:r>
    </w:p>
    <w:p w14:paraId="3A2601DE">
      <w:pPr>
        <w:adjustRightInd w:val="0"/>
        <w:snapToGrid w:val="0"/>
        <w:spacing w:line="440" w:lineRule="exact"/>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2.4全部设备安装、调试完成后，中标单位须自行组织初步测验，测验时应邀请采购人代表到场见证，测验合格后方可提请采购人组织项目验收工作。</w:t>
      </w:r>
    </w:p>
    <w:p w14:paraId="2542CB93">
      <w:pPr>
        <w:adjustRightInd w:val="0"/>
        <w:snapToGrid w:val="0"/>
        <w:spacing w:line="400" w:lineRule="exact"/>
        <w:ind w:firstLine="422" w:firstLineChars="200"/>
        <w:rPr>
          <w:rFonts w:hint="eastAsia" w:ascii="宋体" w:hAnsi="宋体" w:cs="宋体"/>
          <w:b/>
          <w:color w:val="auto"/>
          <w:szCs w:val="21"/>
          <w:highlight w:val="none"/>
        </w:rPr>
      </w:pPr>
      <w:r>
        <w:rPr>
          <w:rFonts w:hint="eastAsia" w:ascii="宋体" w:hAnsi="宋体" w:cs="宋体"/>
          <w:b/>
          <w:color w:val="auto"/>
          <w:szCs w:val="21"/>
          <w:highlight w:val="none"/>
        </w:rPr>
        <w:t>3、验收要求</w:t>
      </w:r>
    </w:p>
    <w:p w14:paraId="77560D33">
      <w:pPr>
        <w:adjustRightInd w:val="0"/>
        <w:snapToGrid w:val="0"/>
        <w:spacing w:line="44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3.1</w:t>
      </w:r>
      <w:r>
        <w:rPr>
          <w:rFonts w:hint="eastAsia" w:ascii="宋体" w:hAnsi="宋体" w:eastAsia="宋体" w:cs="宋体"/>
          <w:color w:val="auto"/>
          <w:highlight w:val="none"/>
        </w:rPr>
        <w:t>调试完成后通过采购人组织相关人员参与验收，确保所供产品的正常使用。</w:t>
      </w:r>
    </w:p>
    <w:p w14:paraId="7179B4B6">
      <w:pPr>
        <w:adjustRightInd w:val="0"/>
        <w:snapToGrid w:val="0"/>
        <w:spacing w:line="44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3.2</w:t>
      </w:r>
      <w:r>
        <w:rPr>
          <w:rFonts w:hint="eastAsia" w:ascii="宋体" w:hAnsi="宋体" w:eastAsia="宋体" w:cs="宋体"/>
          <w:color w:val="auto"/>
          <w:highlight w:val="none"/>
        </w:rPr>
        <w:t>项目验收严格按采购文件采购清单及说明、采购合同的有关规定执行。验收时提供出厂检验证书、合格证、权威性检验报告和产品生产许可证。国家有强制性规定的，按国家规定执行，验收费用由中标单位承担，验收报告作为申请付款的凭证之一。</w:t>
      </w:r>
    </w:p>
    <w:p w14:paraId="7CBD78EE">
      <w:pPr>
        <w:adjustRightInd w:val="0"/>
        <w:snapToGrid w:val="0"/>
        <w:spacing w:line="44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验收过程中产生纠纷的，由质量技术监督部门认定的检测机构检测,如为中标单位原因造成的，由中标单位承担检测费用。</w:t>
      </w:r>
    </w:p>
    <w:p w14:paraId="0150A26E">
      <w:pPr>
        <w:adjustRightInd w:val="0"/>
        <w:snapToGrid w:val="0"/>
        <w:spacing w:line="44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4项目验收不合格，由中标单位返工直至合格，有关返工、再行验收，以及给采购人造成的损失等费用由中标单位承担。连续两次项目验收不合格的，采购人可终止合同，由此带来的一切损失由中标单位承担。</w:t>
      </w:r>
    </w:p>
    <w:p w14:paraId="3CF53D12">
      <w:pPr>
        <w:adjustRightInd w:val="0"/>
        <w:snapToGrid w:val="0"/>
        <w:spacing w:line="440" w:lineRule="exact"/>
        <w:ind w:firstLine="420" w:firstLineChars="200"/>
        <w:rPr>
          <w:rFonts w:ascii="Times New Roman" w:hAnsi="Times New Roman" w:eastAsia="宋体" w:cs="Times New Roman"/>
          <w:color w:val="auto"/>
          <w:highlight w:val="none"/>
        </w:rPr>
      </w:pP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5本项目的履约验收为采购人自行组织验收，具体验收方法按照《株洲市政府采购项目履约验收 管理暂行办法》株财发【2020】9号的相关规定执行。</w:t>
      </w:r>
    </w:p>
    <w:p w14:paraId="6B151690">
      <w:pPr>
        <w:adjustRightInd w:val="0"/>
        <w:snapToGrid w:val="0"/>
        <w:spacing w:line="400" w:lineRule="exact"/>
        <w:ind w:firstLine="422" w:firstLineChars="200"/>
        <w:rPr>
          <w:rFonts w:hint="eastAsia" w:ascii="宋体" w:hAnsi="宋体" w:cs="宋体"/>
          <w:b/>
          <w:color w:val="auto"/>
          <w:szCs w:val="21"/>
          <w:highlight w:val="none"/>
        </w:rPr>
      </w:pPr>
      <w:r>
        <w:rPr>
          <w:rFonts w:hint="eastAsia" w:ascii="宋体" w:hAnsi="宋体" w:cs="宋体"/>
          <w:b/>
          <w:color w:val="auto"/>
          <w:szCs w:val="21"/>
          <w:highlight w:val="none"/>
        </w:rPr>
        <w:t>4、付款方式</w:t>
      </w:r>
    </w:p>
    <w:p w14:paraId="00983D28">
      <w:pPr>
        <w:spacing w:line="400" w:lineRule="exact"/>
        <w:ind w:firstLine="411" w:firstLineChars="196"/>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4.1</w:t>
      </w:r>
      <w:r>
        <w:rPr>
          <w:rFonts w:hint="eastAsia" w:ascii="宋体" w:hAnsi="宋体" w:cs="宋体"/>
          <w:color w:val="auto"/>
          <w:highlight w:val="none"/>
        </w:rPr>
        <w:t>设备安装、调试验收合格一个月内</w:t>
      </w:r>
      <w:r>
        <w:rPr>
          <w:rFonts w:hint="eastAsia" w:ascii="宋体" w:hAnsi="宋体" w:cs="宋体"/>
          <w:color w:val="auto"/>
          <w:highlight w:val="none"/>
          <w:lang w:val="en-US" w:eastAsia="zh-CN"/>
        </w:rPr>
        <w:t>采购人</w:t>
      </w:r>
      <w:r>
        <w:rPr>
          <w:rFonts w:hint="eastAsia" w:ascii="宋体" w:hAnsi="宋体" w:cs="宋体"/>
          <w:color w:val="auto"/>
          <w:highlight w:val="none"/>
        </w:rPr>
        <w:t>向</w:t>
      </w:r>
      <w:r>
        <w:rPr>
          <w:rFonts w:hint="eastAsia" w:ascii="宋体" w:hAnsi="宋体" w:cs="宋体"/>
          <w:color w:val="auto"/>
          <w:highlight w:val="none"/>
          <w:lang w:val="en-US" w:eastAsia="zh-CN"/>
        </w:rPr>
        <w:t>中标单位</w:t>
      </w:r>
      <w:r>
        <w:rPr>
          <w:rFonts w:hint="eastAsia" w:ascii="宋体" w:hAnsi="宋体" w:cs="宋体"/>
          <w:color w:val="auto"/>
          <w:highlight w:val="none"/>
        </w:rPr>
        <w:t>支付合同总金额的90%，剩余10%款项扣除因产品质量问题导致的损失后，质保期届满后一次性支付。具体以合同签订为准。</w:t>
      </w:r>
      <w:r>
        <w:rPr>
          <w:rFonts w:hint="eastAsia" w:ascii="宋体" w:hAnsi="宋体" w:cs="宋体"/>
          <w:color w:val="auto"/>
          <w:highlight w:val="none"/>
          <w:lang w:val="en-US" w:eastAsia="zh-CN"/>
        </w:rPr>
        <w:t>中标单位</w:t>
      </w:r>
      <w:r>
        <w:rPr>
          <w:rFonts w:hint="eastAsia" w:ascii="宋体" w:hAnsi="宋体" w:cs="宋体"/>
          <w:color w:val="auto"/>
          <w:highlight w:val="none"/>
        </w:rPr>
        <w:t>须开具正式税务发票按医院财务规定办理付款手续。</w:t>
      </w:r>
    </w:p>
    <w:p w14:paraId="76AAE000">
      <w:pPr>
        <w:adjustRightInd w:val="0"/>
        <w:snapToGrid w:val="0"/>
        <w:spacing w:line="400" w:lineRule="exact"/>
        <w:ind w:firstLine="422" w:firstLineChars="200"/>
        <w:rPr>
          <w:rFonts w:hint="eastAsia" w:ascii="宋体" w:hAnsi="宋体" w:cs="宋体"/>
          <w:b/>
          <w:color w:val="auto"/>
          <w:szCs w:val="21"/>
          <w:highlight w:val="none"/>
        </w:rPr>
      </w:pPr>
      <w:r>
        <w:rPr>
          <w:rFonts w:hint="eastAsia" w:ascii="宋体" w:hAnsi="宋体" w:cs="宋体"/>
          <w:b/>
          <w:color w:val="auto"/>
          <w:szCs w:val="21"/>
          <w:highlight w:val="none"/>
        </w:rPr>
        <w:t>5、培训</w:t>
      </w:r>
    </w:p>
    <w:p w14:paraId="0ADCCD7C">
      <w:pPr>
        <w:adjustRightInd w:val="0"/>
        <w:snapToGrid w:val="0"/>
        <w:spacing w:line="440" w:lineRule="exact"/>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5.1投标人必须提供设备使用及日常维护的培训，完成对用户的知识转移，保证用户全面了解和掌握系统操作功能。</w:t>
      </w:r>
    </w:p>
    <w:p w14:paraId="442CC9BD">
      <w:pPr>
        <w:adjustRightInd w:val="0"/>
        <w:snapToGrid w:val="0"/>
        <w:spacing w:line="400" w:lineRule="exact"/>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5.2投标人派出的培训教员</w:t>
      </w:r>
      <w:r>
        <w:rPr>
          <w:rFonts w:hint="eastAsia" w:ascii="宋体" w:hAnsi="宋体" w:cs="宋体"/>
          <w:bCs/>
          <w:color w:val="auto"/>
          <w:szCs w:val="21"/>
          <w:highlight w:val="none"/>
          <w:lang w:val="en-US" w:eastAsia="zh-CN"/>
        </w:rPr>
        <w:t>不少于1人，</w:t>
      </w:r>
      <w:r>
        <w:rPr>
          <w:rFonts w:hint="eastAsia" w:ascii="宋体" w:hAnsi="宋体" w:cs="宋体"/>
          <w:bCs/>
          <w:color w:val="auto"/>
          <w:szCs w:val="21"/>
          <w:highlight w:val="none"/>
        </w:rPr>
        <w:t>应熟悉本项目所有设备，并有一定的教学经验。投标单位为所培训人员提供中文培训资料和讲义等用品，并提供培训后可自行学习查阅的书面的用户手册。</w:t>
      </w:r>
    </w:p>
    <w:p w14:paraId="5012703C">
      <w:pPr>
        <w:adjustRightInd w:val="0"/>
        <w:snapToGrid w:val="0"/>
        <w:spacing w:line="400" w:lineRule="exact"/>
        <w:ind w:firstLine="422" w:firstLineChars="200"/>
        <w:rPr>
          <w:rFonts w:hint="eastAsia" w:ascii="宋体" w:hAnsi="宋体" w:cs="宋体"/>
          <w:b/>
          <w:color w:val="auto"/>
          <w:szCs w:val="21"/>
          <w:highlight w:val="none"/>
        </w:rPr>
      </w:pPr>
      <w:r>
        <w:rPr>
          <w:rFonts w:hint="eastAsia" w:ascii="宋体" w:hAnsi="宋体" w:cs="宋体"/>
          <w:b/>
          <w:color w:val="auto"/>
          <w:szCs w:val="21"/>
          <w:highlight w:val="none"/>
        </w:rPr>
        <w:t>6、质量保证及售后服务</w:t>
      </w:r>
    </w:p>
    <w:p w14:paraId="2E7BA158">
      <w:pPr>
        <w:spacing w:line="400" w:lineRule="exact"/>
        <w:ind w:firstLine="420" w:firstLineChars="200"/>
        <w:rPr>
          <w:rFonts w:hint="eastAsia" w:ascii="宋体" w:hAnsi="宋体" w:cs="宋体"/>
          <w:snapToGrid w:val="0"/>
          <w:color w:val="auto"/>
          <w:kern w:val="0"/>
          <w:szCs w:val="21"/>
          <w:highlight w:val="none"/>
        </w:rPr>
      </w:pPr>
      <w:r>
        <w:rPr>
          <w:rFonts w:hint="eastAsia" w:ascii="宋体" w:hAnsi="宋体" w:cs="宋体"/>
          <w:bCs/>
          <w:snapToGrid w:val="0"/>
          <w:color w:val="auto"/>
          <w:kern w:val="0"/>
          <w:szCs w:val="21"/>
          <w:highlight w:val="none"/>
        </w:rPr>
        <w:t>6.1质量要求：</w:t>
      </w:r>
      <w:r>
        <w:rPr>
          <w:rFonts w:hint="eastAsia" w:ascii="宋体" w:hAnsi="宋体" w:cs="宋体"/>
          <w:snapToGrid w:val="0"/>
          <w:color w:val="auto"/>
          <w:kern w:val="0"/>
          <w:szCs w:val="21"/>
          <w:highlight w:val="none"/>
        </w:rPr>
        <w:t>投标人</w:t>
      </w:r>
      <w:r>
        <w:rPr>
          <w:rFonts w:hint="eastAsia" w:ascii="宋体" w:hAnsi="宋体" w:cs="宋体"/>
          <w:color w:val="auto"/>
          <w:highlight w:val="none"/>
        </w:rPr>
        <w:t>必须保证</w:t>
      </w:r>
      <w:r>
        <w:rPr>
          <w:rFonts w:hint="eastAsia" w:ascii="宋体" w:hAnsi="宋体" w:cs="宋体"/>
          <w:snapToGrid w:val="0"/>
          <w:color w:val="auto"/>
          <w:kern w:val="0"/>
          <w:szCs w:val="21"/>
          <w:highlight w:val="none"/>
        </w:rPr>
        <w:t>所提供产品必须是全新</w:t>
      </w:r>
      <w:r>
        <w:rPr>
          <w:rFonts w:hint="eastAsia" w:ascii="宋体" w:hAnsi="宋体" w:cs="宋体"/>
          <w:color w:val="auto"/>
          <w:highlight w:val="none"/>
        </w:rPr>
        <w:t>原装</w:t>
      </w:r>
      <w:r>
        <w:rPr>
          <w:rFonts w:hint="eastAsia" w:ascii="宋体" w:hAnsi="宋体" w:cs="宋体"/>
          <w:snapToGrid w:val="0"/>
          <w:color w:val="auto"/>
          <w:kern w:val="0"/>
          <w:szCs w:val="21"/>
          <w:highlight w:val="none"/>
        </w:rPr>
        <w:t>、完整、未使用过的，且满足本项目需要的技术参数及性能（配置）要求的产品，</w:t>
      </w:r>
      <w:r>
        <w:rPr>
          <w:rFonts w:hint="eastAsia" w:ascii="宋体" w:hAnsi="宋体" w:cs="宋体"/>
          <w:color w:val="auto"/>
          <w:highlight w:val="none"/>
        </w:rPr>
        <w:t>保证提供的所有软件为正版软件。</w:t>
      </w:r>
      <w:r>
        <w:rPr>
          <w:rFonts w:hint="eastAsia" w:ascii="宋体" w:hAnsi="宋体" w:cs="宋体"/>
          <w:snapToGrid w:val="0"/>
          <w:color w:val="auto"/>
          <w:kern w:val="0"/>
          <w:szCs w:val="21"/>
          <w:highlight w:val="none"/>
        </w:rPr>
        <w:t>质量保证期从项目最终验收合格之日起计算</w:t>
      </w:r>
      <w:r>
        <w:rPr>
          <w:rFonts w:hint="eastAsia" w:ascii="宋体" w:hAnsi="宋体" w:cs="宋体"/>
          <w:color w:val="auto"/>
          <w:highlight w:val="none"/>
        </w:rPr>
        <w:t>，要求原厂质保期不得低于</w:t>
      </w:r>
      <w:r>
        <w:rPr>
          <w:rFonts w:hint="eastAsia" w:ascii="宋体" w:hAnsi="宋体" w:cs="宋体"/>
          <w:color w:val="auto"/>
          <w:highlight w:val="none"/>
          <w:lang w:val="en-US" w:eastAsia="zh-CN"/>
        </w:rPr>
        <w:t>1</w:t>
      </w:r>
      <w:r>
        <w:rPr>
          <w:rFonts w:hint="eastAsia" w:ascii="宋体" w:hAnsi="宋体" w:cs="宋体"/>
          <w:color w:val="auto"/>
          <w:highlight w:val="none"/>
        </w:rPr>
        <w:t>年（技术要求另有约定的除外），</w:t>
      </w:r>
    </w:p>
    <w:p w14:paraId="29B1CFBF">
      <w:pPr>
        <w:spacing w:line="400" w:lineRule="exact"/>
        <w:ind w:firstLine="420" w:firstLineChars="200"/>
        <w:rPr>
          <w:rFonts w:hint="eastAsia" w:ascii="宋体" w:hAnsi="宋体" w:cs="宋体"/>
          <w:snapToGrid w:val="0"/>
          <w:color w:val="auto"/>
          <w:kern w:val="0"/>
          <w:szCs w:val="21"/>
          <w:highlight w:val="none"/>
        </w:rPr>
      </w:pPr>
      <w:r>
        <w:rPr>
          <w:rFonts w:hint="eastAsia" w:ascii="宋体" w:hAnsi="宋体" w:cs="宋体"/>
          <w:snapToGrid w:val="0"/>
          <w:color w:val="auto"/>
          <w:kern w:val="0"/>
          <w:szCs w:val="21"/>
          <w:highlight w:val="none"/>
        </w:rPr>
        <w:t>6.2售后服务要求：</w:t>
      </w:r>
      <w:r>
        <w:rPr>
          <w:rFonts w:hint="eastAsia" w:ascii="宋体" w:hAnsi="宋体" w:cs="宋体"/>
          <w:color w:val="auto"/>
          <w:szCs w:val="21"/>
          <w:highlight w:val="none"/>
          <w:lang w:val="zh-CN"/>
        </w:rPr>
        <w:t>投标</w:t>
      </w:r>
      <w:r>
        <w:rPr>
          <w:rFonts w:hint="eastAsia" w:ascii="宋体" w:hAnsi="宋体" w:cs="宋体"/>
          <w:color w:val="auto"/>
          <w:szCs w:val="21"/>
          <w:highlight w:val="none"/>
        </w:rPr>
        <w:t>人应</w:t>
      </w:r>
      <w:r>
        <w:rPr>
          <w:rFonts w:hint="eastAsia" w:ascii="宋体" w:hAnsi="宋体" w:cs="宋体"/>
          <w:color w:val="auto"/>
          <w:szCs w:val="21"/>
          <w:highlight w:val="none"/>
          <w:lang w:val="zh-CN"/>
        </w:rPr>
        <w:t>提供详细的售前、售中、售后服务计划。</w:t>
      </w:r>
    </w:p>
    <w:p w14:paraId="24DFA3B4">
      <w:pPr>
        <w:adjustRightInd w:val="0"/>
        <w:snapToGrid w:val="0"/>
        <w:spacing w:line="400" w:lineRule="exact"/>
        <w:ind w:firstLine="420" w:firstLineChars="200"/>
        <w:rPr>
          <w:rFonts w:hint="eastAsia" w:ascii="宋体" w:hAnsi="宋体" w:cs="宋体"/>
          <w:snapToGrid w:val="0"/>
          <w:color w:val="auto"/>
          <w:kern w:val="0"/>
          <w:szCs w:val="21"/>
          <w:highlight w:val="none"/>
        </w:rPr>
      </w:pPr>
      <w:r>
        <w:rPr>
          <w:rFonts w:hint="eastAsia" w:ascii="宋体" w:hAnsi="宋体" w:cs="宋体"/>
          <w:snapToGrid w:val="0"/>
          <w:color w:val="auto"/>
          <w:kern w:val="0"/>
          <w:szCs w:val="21"/>
          <w:highlight w:val="none"/>
        </w:rPr>
        <w:t>6.3技术支持：提供7×24小时的技术咨询服务。</w:t>
      </w:r>
    </w:p>
    <w:p w14:paraId="271E8F66">
      <w:pPr>
        <w:adjustRightInd w:val="0"/>
        <w:snapToGrid w:val="0"/>
        <w:spacing w:line="400" w:lineRule="exact"/>
        <w:ind w:firstLine="420" w:firstLineChars="200"/>
        <w:rPr>
          <w:rFonts w:hint="eastAsia" w:ascii="宋体" w:hAnsi="宋体" w:cs="宋体"/>
          <w:snapToGrid w:val="0"/>
          <w:color w:val="auto"/>
          <w:kern w:val="0"/>
          <w:szCs w:val="21"/>
          <w:highlight w:val="none"/>
        </w:rPr>
      </w:pPr>
      <w:r>
        <w:rPr>
          <w:rFonts w:hint="eastAsia" w:ascii="宋体" w:hAnsi="宋体" w:cs="宋体"/>
          <w:snapToGrid w:val="0"/>
          <w:color w:val="auto"/>
          <w:kern w:val="0"/>
          <w:szCs w:val="21"/>
          <w:highlight w:val="none"/>
        </w:rPr>
        <w:t>6.4故障响应</w:t>
      </w:r>
    </w:p>
    <w:p w14:paraId="48D41105">
      <w:pPr>
        <w:adjustRightInd w:val="0"/>
        <w:snapToGrid w:val="0"/>
        <w:spacing w:line="400" w:lineRule="exact"/>
        <w:ind w:firstLine="420" w:firstLineChars="200"/>
        <w:rPr>
          <w:rFonts w:hint="eastAsia" w:ascii="宋体" w:hAnsi="宋体" w:cs="宋体"/>
          <w:snapToGrid w:val="0"/>
          <w:color w:val="auto"/>
          <w:kern w:val="0"/>
          <w:szCs w:val="21"/>
          <w:highlight w:val="none"/>
        </w:rPr>
      </w:pPr>
      <w:r>
        <w:rPr>
          <w:rFonts w:hint="eastAsia" w:ascii="宋体" w:hAnsi="宋体" w:cs="宋体"/>
          <w:color w:val="auto"/>
          <w:highlight w:val="none"/>
        </w:rPr>
        <w:t>响应时间：接到采购人故障通知后2小时内响应，24小时内到达现场维修，一般故障当场解决，重大故障导致无法当天解决或需返厂维修的应报采购单位负责人同意方可执行，同时为采购人提供暂行解决方案。</w:t>
      </w:r>
      <w:r>
        <w:rPr>
          <w:rFonts w:hint="eastAsia" w:ascii="宋体" w:hAnsi="宋体" w:cs="宋体"/>
          <w:snapToGrid w:val="0"/>
          <w:color w:val="auto"/>
          <w:kern w:val="0"/>
          <w:szCs w:val="21"/>
          <w:highlight w:val="none"/>
        </w:rPr>
        <w:t>（2）对重大故障提供7×24小时的现场支援，一般故障提供7×8小时的现场支援；</w:t>
      </w:r>
    </w:p>
    <w:p w14:paraId="03653E65">
      <w:pPr>
        <w:adjustRightInd w:val="0"/>
        <w:snapToGrid w:val="0"/>
        <w:spacing w:line="400" w:lineRule="exact"/>
        <w:ind w:firstLine="420" w:firstLineChars="200"/>
        <w:rPr>
          <w:rFonts w:hint="eastAsia" w:ascii="宋体" w:hAnsi="宋体" w:cs="宋体"/>
          <w:snapToGrid w:val="0"/>
          <w:color w:val="auto"/>
          <w:kern w:val="0"/>
          <w:szCs w:val="21"/>
          <w:highlight w:val="none"/>
        </w:rPr>
      </w:pPr>
      <w:r>
        <w:rPr>
          <w:rFonts w:hint="eastAsia" w:ascii="宋体" w:hAnsi="宋体" w:cs="宋体"/>
          <w:snapToGrid w:val="0"/>
          <w:color w:val="auto"/>
          <w:kern w:val="0"/>
          <w:szCs w:val="21"/>
          <w:highlight w:val="none"/>
        </w:rPr>
        <w:t>6.5</w:t>
      </w:r>
      <w:r>
        <w:rPr>
          <w:rFonts w:hint="eastAsia" w:ascii="宋体" w:hAnsi="宋体" w:cs="宋体"/>
          <w:color w:val="auto"/>
          <w:highlight w:val="none"/>
        </w:rPr>
        <w:t>提供备品备件及零配件报价清单,并承诺质保期满后按此清单报价收取材料费。</w:t>
      </w:r>
    </w:p>
    <w:p w14:paraId="657DFFD4">
      <w:pPr>
        <w:adjustRightInd w:val="0"/>
        <w:snapToGrid w:val="0"/>
        <w:spacing w:line="400" w:lineRule="exact"/>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6.6</w:t>
      </w:r>
      <w:r>
        <w:rPr>
          <w:rFonts w:hint="eastAsia" w:ascii="宋体" w:hAnsi="宋体" w:cs="宋体"/>
          <w:color w:val="auto"/>
          <w:highlight w:val="none"/>
        </w:rPr>
        <w:t>提供所有产品的相关技术资料，并为采购人提供终身技术咨询服务。</w:t>
      </w:r>
    </w:p>
    <w:p w14:paraId="67D4B6E9">
      <w:pPr>
        <w:adjustRightInd w:val="0"/>
        <w:snapToGrid w:val="0"/>
        <w:spacing w:line="400" w:lineRule="exact"/>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6.7提供售后服务机构详细资料（包括服务机构地址、联系人、售后服务热线、维修技术人员等内容），以证明其具备能响应本项目售后服务的能力。</w:t>
      </w:r>
    </w:p>
    <w:p w14:paraId="51319BDE">
      <w:pPr>
        <w:adjustRightInd w:val="0"/>
        <w:snapToGrid w:val="0"/>
        <w:spacing w:line="400" w:lineRule="exact"/>
        <w:ind w:firstLine="422" w:firstLineChars="200"/>
        <w:rPr>
          <w:rFonts w:hint="eastAsia" w:ascii="宋体" w:hAnsi="宋体" w:eastAsia="宋体" w:cs="宋体"/>
          <w:b/>
          <w:color w:val="auto"/>
          <w:szCs w:val="21"/>
          <w:highlight w:val="none"/>
          <w:lang w:eastAsia="zh-CN"/>
        </w:rPr>
      </w:pPr>
      <w:r>
        <w:rPr>
          <w:rFonts w:hint="eastAsia" w:ascii="宋体" w:hAnsi="宋体" w:cs="宋体"/>
          <w:b/>
          <w:color w:val="auto"/>
          <w:szCs w:val="21"/>
          <w:highlight w:val="none"/>
        </w:rPr>
        <w:t>二、其他</w:t>
      </w:r>
      <w:r>
        <w:rPr>
          <w:rFonts w:hint="eastAsia" w:ascii="宋体" w:hAnsi="宋体" w:cs="宋体"/>
          <w:b/>
          <w:color w:val="auto"/>
          <w:szCs w:val="21"/>
          <w:highlight w:val="none"/>
          <w:lang w:val="en-US" w:eastAsia="zh-CN"/>
        </w:rPr>
        <w:t>要求</w:t>
      </w:r>
    </w:p>
    <w:p w14:paraId="59CD9BCB">
      <w:pPr>
        <w:adjustRightInd w:val="0"/>
        <w:snapToGrid w:val="0"/>
        <w:spacing w:line="400" w:lineRule="exact"/>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1、投标人应确保所供货物技术指标符合项目采购技术文件、以及国家或行业标准要求。</w:t>
      </w:r>
    </w:p>
    <w:p w14:paraId="54E99002">
      <w:pPr>
        <w:adjustRightInd w:val="0"/>
        <w:snapToGrid w:val="0"/>
        <w:spacing w:line="400" w:lineRule="exact"/>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2、投标人应说明所投产品相关的生产体系、认证情况、产品质量、产品检验报告等证明材料以证明产品的来源及质量合格。</w:t>
      </w:r>
    </w:p>
    <w:p w14:paraId="6DAC4D83">
      <w:pPr>
        <w:adjustRightInd w:val="0"/>
        <w:snapToGrid w:val="0"/>
        <w:spacing w:line="400" w:lineRule="exact"/>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3</w:t>
      </w:r>
      <w:r>
        <w:rPr>
          <w:rFonts w:hint="eastAsia" w:ascii="宋体" w:hAnsi="宋体" w:cs="宋体"/>
          <w:bCs/>
          <w:color w:val="auto"/>
          <w:szCs w:val="21"/>
          <w:highlight w:val="none"/>
        </w:rPr>
        <w:t>、本项目采用费用包干建设方式，投标人的投标报价应包括完成本项目所需的设备费、材料费、运输费、安装费、调试费、检测费、验收费、管理费、税金以及参与政府采购活动等所需的全部费用。除中标单位报价外，采购人不再额外支付任何其他费用。</w:t>
      </w:r>
    </w:p>
    <w:p w14:paraId="3A4AD795">
      <w:pPr>
        <w:adjustRightInd w:val="0"/>
        <w:snapToGrid w:val="0"/>
        <w:spacing w:line="400" w:lineRule="exact"/>
        <w:ind w:firstLine="420" w:firstLineChars="200"/>
        <w:rPr>
          <w:rFonts w:hint="eastAsia" w:ascii="宋体" w:hAnsi="宋体" w:cs="宋体"/>
          <w:b/>
          <w:bCs/>
          <w:color w:val="auto"/>
          <w:sz w:val="18"/>
          <w:szCs w:val="18"/>
          <w:highlight w:val="none"/>
        </w:rPr>
      </w:pPr>
      <w:r>
        <w:rPr>
          <w:rFonts w:hint="eastAsia" w:ascii="宋体" w:hAnsi="宋体" w:cs="宋体"/>
          <w:bCs/>
          <w:color w:val="auto"/>
          <w:szCs w:val="21"/>
          <w:highlight w:val="none"/>
          <w:lang w:val="en-US" w:eastAsia="zh-CN"/>
        </w:rPr>
        <w:t>4</w:t>
      </w:r>
      <w:r>
        <w:rPr>
          <w:rFonts w:hint="eastAsia" w:ascii="宋体" w:hAnsi="宋体" w:cs="宋体"/>
          <w:bCs/>
          <w:color w:val="auto"/>
          <w:szCs w:val="21"/>
          <w:highlight w:val="none"/>
        </w:rPr>
        <w:t>、对于上述项目要求，包括投标人承诺提供的其他相关服务等内容，投标人应在响应文件中进行回应，作出承诺及说明。</w:t>
      </w:r>
    </w:p>
    <w:p w14:paraId="655AC895">
      <w:pPr>
        <w:spacing w:line="400" w:lineRule="exact"/>
        <w:ind w:firstLine="361" w:firstLineChars="200"/>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t>重要说明：带“★”号条款为招标文件实质性条款，投标人不得有一项出现偏离，否则，视为无效投标。</w:t>
      </w:r>
    </w:p>
    <w:p w14:paraId="5F718095">
      <w:pPr>
        <w:rPr>
          <w:color w:val="auto"/>
          <w:highlight w:val="none"/>
        </w:rPr>
      </w:pPr>
    </w:p>
    <w:p w14:paraId="4A4D35EB">
      <w:pPr>
        <w:pStyle w:val="13"/>
        <w:adjustRightInd w:val="0"/>
        <w:snapToGrid w:val="0"/>
        <w:spacing w:line="360" w:lineRule="auto"/>
        <w:jc w:val="center"/>
        <w:outlineLvl w:val="0"/>
        <w:rPr>
          <w:rFonts w:hint="eastAsia" w:ascii="黑体" w:hAnsi="华文中宋" w:eastAsia="黑体"/>
          <w:b/>
          <w:color w:val="auto"/>
          <w:sz w:val="32"/>
          <w:szCs w:val="32"/>
          <w:highlight w:val="none"/>
        </w:rPr>
      </w:pPr>
      <w:bookmarkStart w:id="108" w:name="_Toc31130"/>
    </w:p>
    <w:p w14:paraId="596FF8B7">
      <w:pPr>
        <w:pStyle w:val="13"/>
        <w:adjustRightInd w:val="0"/>
        <w:snapToGrid w:val="0"/>
        <w:spacing w:line="360" w:lineRule="auto"/>
        <w:jc w:val="center"/>
        <w:outlineLvl w:val="0"/>
        <w:rPr>
          <w:rFonts w:hint="eastAsia" w:ascii="黑体" w:hAnsi="华文中宋" w:eastAsia="黑体"/>
          <w:b/>
          <w:color w:val="auto"/>
          <w:sz w:val="32"/>
          <w:szCs w:val="32"/>
          <w:highlight w:val="none"/>
        </w:rPr>
      </w:pPr>
    </w:p>
    <w:p w14:paraId="437B6C21">
      <w:pPr>
        <w:pStyle w:val="13"/>
        <w:adjustRightInd w:val="0"/>
        <w:snapToGrid w:val="0"/>
        <w:spacing w:line="360" w:lineRule="auto"/>
        <w:jc w:val="center"/>
        <w:outlineLvl w:val="0"/>
        <w:rPr>
          <w:rFonts w:ascii="黑体" w:hAnsi="华文中宋" w:eastAsia="黑体"/>
          <w:b/>
          <w:color w:val="auto"/>
          <w:sz w:val="32"/>
          <w:szCs w:val="32"/>
          <w:highlight w:val="none"/>
        </w:rPr>
      </w:pPr>
      <w:r>
        <w:rPr>
          <w:rFonts w:hint="eastAsia" w:ascii="黑体" w:hAnsi="华文中宋" w:eastAsia="黑体"/>
          <w:b/>
          <w:color w:val="auto"/>
          <w:sz w:val="32"/>
          <w:szCs w:val="32"/>
          <w:highlight w:val="none"/>
        </w:rPr>
        <w:t>第六章 政府采购合同</w:t>
      </w:r>
      <w:bookmarkEnd w:id="108"/>
    </w:p>
    <w:p w14:paraId="2ECEBD43">
      <w:pPr>
        <w:pStyle w:val="3"/>
        <w:adjustRightInd w:val="0"/>
        <w:snapToGrid w:val="0"/>
        <w:jc w:val="center"/>
        <w:rPr>
          <w:rFonts w:ascii="黑体" w:hAnsi="华文中宋" w:eastAsia="黑体"/>
          <w:color w:val="auto"/>
          <w:sz w:val="28"/>
          <w:szCs w:val="28"/>
          <w:highlight w:val="none"/>
        </w:rPr>
      </w:pPr>
      <w:bookmarkStart w:id="109" w:name="_Toc19940"/>
      <w:r>
        <w:rPr>
          <w:rFonts w:hint="eastAsia" w:ascii="黑体" w:hAnsi="华文中宋" w:eastAsia="黑体"/>
          <w:color w:val="auto"/>
          <w:sz w:val="28"/>
          <w:szCs w:val="28"/>
          <w:highlight w:val="none"/>
        </w:rPr>
        <w:t>第一节 政府采购合同协议书</w:t>
      </w:r>
      <w:bookmarkEnd w:id="109"/>
    </w:p>
    <w:p w14:paraId="1CFBF31B">
      <w:pPr>
        <w:adjustRightInd w:val="0"/>
        <w:snapToGrid w:val="0"/>
        <w:spacing w:before="156" w:beforeLines="50" w:line="360" w:lineRule="auto"/>
        <w:ind w:firstLine="5460" w:firstLineChars="2600"/>
        <w:rPr>
          <w:rFonts w:ascii="宋体" w:hAnsi="宋体" w:eastAsia="宋体"/>
          <w:b/>
          <w:color w:val="auto"/>
          <w:szCs w:val="21"/>
          <w:highlight w:val="none"/>
        </w:rPr>
      </w:pPr>
      <w:r>
        <w:rPr>
          <w:rFonts w:hint="eastAsia" w:ascii="宋体" w:hAnsi="宋体" w:eastAsia="宋体"/>
          <w:color w:val="auto"/>
          <w:szCs w:val="21"/>
          <w:highlight w:val="none"/>
        </w:rPr>
        <w:t>采购合同编号：</w:t>
      </w:r>
      <w:r>
        <w:rPr>
          <w:rFonts w:ascii="宋体" w:hAnsi="宋体" w:eastAsia="宋体"/>
          <w:color w:val="auto"/>
          <w:szCs w:val="21"/>
          <w:highlight w:val="none"/>
          <w:u w:val="single"/>
        </w:rPr>
        <w:t xml:space="preserve">                 </w:t>
      </w:r>
    </w:p>
    <w:p w14:paraId="4157B6EC">
      <w:pPr>
        <w:adjustRightInd w:val="0"/>
        <w:snapToGrid w:val="0"/>
        <w:spacing w:before="156" w:beforeLines="50" w:line="360" w:lineRule="auto"/>
        <w:jc w:val="center"/>
        <w:rPr>
          <w:rFonts w:ascii="宋体" w:hAnsi="宋体" w:eastAsia="宋体"/>
          <w:b/>
          <w:color w:val="auto"/>
          <w:szCs w:val="21"/>
          <w:highlight w:val="none"/>
        </w:rPr>
      </w:pPr>
    </w:p>
    <w:p w14:paraId="4CF8931F">
      <w:pPr>
        <w:adjustRightInd w:val="0"/>
        <w:snapToGrid w:val="0"/>
        <w:spacing w:before="156" w:beforeLines="50" w:line="360" w:lineRule="auto"/>
        <w:rPr>
          <w:rFonts w:ascii="宋体" w:hAnsi="宋体" w:eastAsia="宋体"/>
          <w:color w:val="auto"/>
          <w:szCs w:val="21"/>
          <w:highlight w:val="none"/>
        </w:rPr>
      </w:pPr>
      <w:r>
        <w:rPr>
          <w:rFonts w:hint="eastAsia" w:ascii="宋体" w:hAnsi="宋体" w:eastAsia="宋体"/>
          <w:color w:val="auto"/>
          <w:szCs w:val="21"/>
          <w:highlight w:val="none"/>
        </w:rPr>
        <w:t>采购人（全称）：</w:t>
      </w:r>
      <w:r>
        <w:rPr>
          <w:rFonts w:hint="eastAsia" w:ascii="宋体" w:hAnsi="宋体" w:eastAsia="宋体"/>
          <w:color w:val="auto"/>
          <w:szCs w:val="21"/>
          <w:highlight w:val="none"/>
          <w:u w:val="single"/>
        </w:rPr>
        <w:t xml:space="preserve">                             </w:t>
      </w:r>
      <w:r>
        <w:rPr>
          <w:rFonts w:hint="eastAsia" w:ascii="宋体" w:hAnsi="宋体" w:eastAsia="宋体"/>
          <w:color w:val="auto"/>
          <w:szCs w:val="21"/>
          <w:highlight w:val="none"/>
        </w:rPr>
        <w:t>（甲方）</w:t>
      </w:r>
    </w:p>
    <w:p w14:paraId="558F16D4">
      <w:pPr>
        <w:adjustRightInd w:val="0"/>
        <w:snapToGrid w:val="0"/>
        <w:spacing w:before="156" w:beforeLines="50" w:line="360" w:lineRule="auto"/>
        <w:rPr>
          <w:rFonts w:ascii="宋体" w:hAnsi="宋体" w:eastAsia="宋体"/>
          <w:color w:val="auto"/>
          <w:szCs w:val="21"/>
          <w:highlight w:val="none"/>
        </w:rPr>
      </w:pPr>
      <w:r>
        <w:rPr>
          <w:rFonts w:hint="eastAsia" w:ascii="宋体" w:hAnsi="宋体" w:eastAsia="宋体"/>
          <w:color w:val="auto"/>
          <w:szCs w:val="21"/>
          <w:highlight w:val="none"/>
        </w:rPr>
        <w:t>供应商（全称）：</w:t>
      </w:r>
      <w:r>
        <w:rPr>
          <w:rFonts w:hint="eastAsia" w:ascii="宋体" w:hAnsi="宋体" w:eastAsia="宋体"/>
          <w:color w:val="auto"/>
          <w:szCs w:val="21"/>
          <w:highlight w:val="none"/>
          <w:u w:val="single"/>
        </w:rPr>
        <w:t xml:space="preserve">                             </w:t>
      </w:r>
      <w:r>
        <w:rPr>
          <w:rFonts w:hint="eastAsia" w:ascii="宋体" w:hAnsi="宋体" w:eastAsia="宋体"/>
          <w:color w:val="auto"/>
          <w:szCs w:val="21"/>
          <w:highlight w:val="none"/>
        </w:rPr>
        <w:t>（乙方）</w:t>
      </w:r>
    </w:p>
    <w:p w14:paraId="70AFC9DA">
      <w:pPr>
        <w:pStyle w:val="11"/>
        <w:adjustRightInd w:val="0"/>
        <w:snapToGrid w:val="0"/>
        <w:spacing w:before="156" w:beforeLines="50" w:after="0" w:line="360" w:lineRule="auto"/>
        <w:rPr>
          <w:rFonts w:ascii="宋体" w:hAnsi="宋体" w:eastAsia="宋体"/>
          <w:color w:val="auto"/>
          <w:szCs w:val="21"/>
          <w:highlight w:val="none"/>
        </w:rPr>
      </w:pPr>
    </w:p>
    <w:p w14:paraId="77929865">
      <w:pPr>
        <w:pStyle w:val="11"/>
        <w:adjustRightInd w:val="0"/>
        <w:snapToGrid w:val="0"/>
        <w:spacing w:before="156" w:beforeLines="50" w:after="0" w:line="360" w:lineRule="auto"/>
        <w:ind w:left="0" w:leftChars="0" w:firstLine="420" w:firstLineChars="200"/>
        <w:rPr>
          <w:rFonts w:ascii="宋体" w:hAnsi="宋体" w:eastAsia="宋体"/>
          <w:color w:val="auto"/>
          <w:szCs w:val="21"/>
          <w:highlight w:val="none"/>
        </w:rPr>
      </w:pPr>
      <w:r>
        <w:rPr>
          <w:rFonts w:hint="eastAsia" w:ascii="宋体" w:hAnsi="宋体" w:eastAsia="宋体"/>
          <w:color w:val="auto"/>
          <w:szCs w:val="21"/>
          <w:highlight w:val="none"/>
        </w:rPr>
        <w:t>为了保护甲、乙双方合法权益，根据《中华人民共和国民法典》、《中华人民共和国政府采购法》及其他有关法律、法规、规章，双方签订本合同协议书。</w:t>
      </w:r>
    </w:p>
    <w:p w14:paraId="0808F902">
      <w:pPr>
        <w:adjustRightInd w:val="0"/>
        <w:snapToGrid w:val="0"/>
        <w:spacing w:before="156" w:beforeLines="50" w:line="360" w:lineRule="auto"/>
        <w:ind w:firstLine="422" w:firstLineChars="200"/>
        <w:rPr>
          <w:rFonts w:ascii="宋体" w:hAnsi="宋体" w:eastAsia="宋体"/>
          <w:b/>
          <w:color w:val="auto"/>
          <w:szCs w:val="21"/>
          <w:highlight w:val="none"/>
        </w:rPr>
      </w:pPr>
      <w:r>
        <w:rPr>
          <w:rFonts w:hint="eastAsia" w:ascii="宋体" w:hAnsi="宋体" w:eastAsia="宋体"/>
          <w:b/>
          <w:color w:val="auto"/>
          <w:szCs w:val="21"/>
          <w:highlight w:val="none"/>
        </w:rPr>
        <w:t>1.项目信息</w:t>
      </w:r>
    </w:p>
    <w:p w14:paraId="45C0FBED">
      <w:pPr>
        <w:pStyle w:val="11"/>
        <w:adjustRightInd w:val="0"/>
        <w:snapToGrid w:val="0"/>
        <w:spacing w:before="156" w:beforeLines="50" w:after="0" w:line="360" w:lineRule="auto"/>
        <w:rPr>
          <w:rFonts w:ascii="宋体" w:hAnsi="宋体" w:eastAsia="宋体"/>
          <w:color w:val="auto"/>
          <w:szCs w:val="21"/>
          <w:highlight w:val="none"/>
        </w:rPr>
      </w:pPr>
      <w:r>
        <w:rPr>
          <w:rFonts w:hint="eastAsia" w:ascii="宋体" w:hAnsi="宋体" w:eastAsia="宋体"/>
          <w:color w:val="auto"/>
          <w:szCs w:val="21"/>
          <w:highlight w:val="none"/>
        </w:rPr>
        <w:t>（1）采购项目名称：</w:t>
      </w:r>
      <w:r>
        <w:rPr>
          <w:rFonts w:ascii="宋体" w:hAnsi="宋体" w:eastAsia="宋体"/>
          <w:color w:val="auto"/>
          <w:szCs w:val="21"/>
          <w:highlight w:val="none"/>
          <w:u w:val="single"/>
        </w:rPr>
        <w:t xml:space="preserve">                                          </w:t>
      </w:r>
    </w:p>
    <w:p w14:paraId="23EAA16E">
      <w:pPr>
        <w:pStyle w:val="11"/>
        <w:adjustRightInd w:val="0"/>
        <w:snapToGrid w:val="0"/>
        <w:spacing w:before="156" w:beforeLines="50" w:after="0" w:line="360" w:lineRule="auto"/>
        <w:rPr>
          <w:rFonts w:ascii="宋体" w:hAnsi="宋体" w:eastAsia="宋体"/>
          <w:color w:val="auto"/>
          <w:szCs w:val="21"/>
          <w:highlight w:val="none"/>
        </w:rPr>
      </w:pPr>
      <w:r>
        <w:rPr>
          <w:rFonts w:hint="eastAsia" w:ascii="宋体" w:hAnsi="宋体" w:eastAsia="宋体"/>
          <w:color w:val="auto"/>
          <w:szCs w:val="21"/>
          <w:highlight w:val="none"/>
        </w:rPr>
        <w:t>（2）采购计划编号：</w:t>
      </w:r>
      <w:r>
        <w:rPr>
          <w:rFonts w:ascii="宋体" w:hAnsi="宋体" w:eastAsia="宋体"/>
          <w:color w:val="auto"/>
          <w:szCs w:val="21"/>
          <w:highlight w:val="none"/>
          <w:u w:val="single"/>
        </w:rPr>
        <w:t xml:space="preserve">                          </w:t>
      </w:r>
      <w:r>
        <w:rPr>
          <w:rFonts w:ascii="宋体" w:hAnsi="宋体" w:eastAsia="宋体"/>
          <w:color w:val="auto"/>
          <w:szCs w:val="21"/>
          <w:highlight w:val="none"/>
        </w:rPr>
        <w:t xml:space="preserve"> </w:t>
      </w:r>
    </w:p>
    <w:p w14:paraId="44888E5C">
      <w:pPr>
        <w:adjustRightInd w:val="0"/>
        <w:snapToGrid w:val="0"/>
        <w:spacing w:before="156" w:beforeLines="50" w:line="360" w:lineRule="auto"/>
        <w:ind w:firstLine="420" w:firstLineChars="200"/>
        <w:rPr>
          <w:rFonts w:ascii="宋体" w:hAnsi="宋体" w:eastAsia="宋体"/>
          <w:color w:val="auto"/>
          <w:szCs w:val="21"/>
          <w:highlight w:val="none"/>
        </w:rPr>
      </w:pPr>
      <w:r>
        <w:rPr>
          <w:rFonts w:hint="eastAsia" w:ascii="宋体" w:hAnsi="宋体" w:eastAsia="宋体"/>
          <w:color w:val="auto"/>
          <w:szCs w:val="21"/>
          <w:highlight w:val="none"/>
        </w:rPr>
        <w:t>（3）项目内容：</w:t>
      </w:r>
      <w:r>
        <w:rPr>
          <w:rFonts w:hint="eastAsia" w:ascii="宋体" w:hAnsi="宋体" w:eastAsia="宋体"/>
          <w:color w:val="auto"/>
          <w:szCs w:val="21"/>
          <w:highlight w:val="none"/>
          <w:u w:val="single"/>
        </w:rPr>
        <w:t xml:space="preserve">                             </w:t>
      </w:r>
    </w:p>
    <w:p w14:paraId="78D6C24C">
      <w:pPr>
        <w:adjustRightInd w:val="0"/>
        <w:snapToGrid w:val="0"/>
        <w:spacing w:before="156" w:beforeLines="50" w:line="360" w:lineRule="auto"/>
        <w:ind w:firstLine="420" w:firstLineChars="200"/>
        <w:rPr>
          <w:rFonts w:ascii="宋体" w:hAnsi="宋体" w:eastAsia="宋体"/>
          <w:color w:val="auto"/>
          <w:szCs w:val="21"/>
          <w:highlight w:val="none"/>
        </w:rPr>
      </w:pPr>
      <w:r>
        <w:rPr>
          <w:rFonts w:hint="eastAsia" w:ascii="宋体" w:hAnsi="宋体" w:eastAsia="宋体"/>
          <w:color w:val="auto"/>
          <w:szCs w:val="21"/>
          <w:highlight w:val="none"/>
        </w:rPr>
        <w:t>（4）是否分包：</w:t>
      </w:r>
      <w:r>
        <w:rPr>
          <w:rFonts w:hint="eastAsia" w:ascii="宋体" w:hAnsi="宋体" w:eastAsia="宋体"/>
          <w:color w:val="auto"/>
          <w:szCs w:val="21"/>
          <w:highlight w:val="none"/>
          <w:u w:val="single"/>
        </w:rPr>
        <w:t xml:space="preserve">               </w:t>
      </w:r>
      <w:r>
        <w:rPr>
          <w:rFonts w:hint="eastAsia" w:ascii="宋体" w:hAnsi="宋体" w:eastAsia="宋体"/>
          <w:color w:val="auto"/>
          <w:szCs w:val="21"/>
          <w:highlight w:val="none"/>
        </w:rPr>
        <w:t>。</w:t>
      </w:r>
    </w:p>
    <w:p w14:paraId="636C3C92">
      <w:pPr>
        <w:adjustRightInd w:val="0"/>
        <w:snapToGrid w:val="0"/>
        <w:spacing w:before="156" w:beforeLines="50" w:line="360" w:lineRule="auto"/>
        <w:ind w:firstLine="420" w:firstLineChars="200"/>
        <w:rPr>
          <w:rFonts w:ascii="宋体" w:hAnsi="宋体" w:eastAsia="宋体"/>
          <w:color w:val="auto"/>
          <w:szCs w:val="21"/>
          <w:highlight w:val="none"/>
        </w:rPr>
      </w:pPr>
      <w:r>
        <w:rPr>
          <w:rFonts w:hint="eastAsia" w:ascii="宋体" w:hAnsi="宋体" w:eastAsia="宋体"/>
          <w:color w:val="auto"/>
          <w:szCs w:val="21"/>
          <w:highlight w:val="none"/>
        </w:rPr>
        <w:t>（5）项目负责人：</w:t>
      </w:r>
      <w:r>
        <w:rPr>
          <w:rFonts w:hint="eastAsia" w:ascii="宋体" w:hAnsi="宋体" w:eastAsia="宋体"/>
          <w:color w:val="auto"/>
          <w:szCs w:val="21"/>
          <w:highlight w:val="none"/>
          <w:u w:val="single"/>
        </w:rPr>
        <w:t xml:space="preserve">               </w:t>
      </w:r>
      <w:r>
        <w:rPr>
          <w:rFonts w:hint="eastAsia" w:ascii="宋体" w:hAnsi="宋体" w:eastAsia="宋体"/>
          <w:color w:val="auto"/>
          <w:szCs w:val="21"/>
          <w:highlight w:val="none"/>
        </w:rPr>
        <w:t>。</w:t>
      </w:r>
    </w:p>
    <w:p w14:paraId="34528B9D">
      <w:pPr>
        <w:adjustRightInd w:val="0"/>
        <w:snapToGrid w:val="0"/>
        <w:spacing w:before="156" w:beforeLines="50" w:line="360" w:lineRule="auto"/>
        <w:ind w:firstLine="420" w:firstLineChars="200"/>
        <w:rPr>
          <w:rFonts w:ascii="宋体" w:hAnsi="宋体" w:eastAsia="宋体"/>
          <w:color w:val="auto"/>
          <w:szCs w:val="21"/>
          <w:highlight w:val="none"/>
        </w:rPr>
      </w:pPr>
      <w:r>
        <w:rPr>
          <w:rFonts w:hint="eastAsia" w:ascii="宋体" w:hAnsi="宋体" w:eastAsia="宋体"/>
          <w:color w:val="auto"/>
          <w:szCs w:val="21"/>
          <w:highlight w:val="none"/>
        </w:rPr>
        <w:t>（6）联系电话：</w:t>
      </w:r>
      <w:r>
        <w:rPr>
          <w:rFonts w:hint="eastAsia" w:ascii="宋体" w:hAnsi="宋体" w:eastAsia="宋体"/>
          <w:color w:val="auto"/>
          <w:szCs w:val="21"/>
          <w:highlight w:val="none"/>
          <w:u w:val="single"/>
        </w:rPr>
        <w:t xml:space="preserve">               </w:t>
      </w:r>
      <w:r>
        <w:rPr>
          <w:rFonts w:hint="eastAsia" w:ascii="宋体" w:hAnsi="宋体" w:eastAsia="宋体"/>
          <w:color w:val="auto"/>
          <w:szCs w:val="21"/>
          <w:highlight w:val="none"/>
        </w:rPr>
        <w:t>。</w:t>
      </w:r>
    </w:p>
    <w:p w14:paraId="20DCDD46">
      <w:pPr>
        <w:adjustRightInd w:val="0"/>
        <w:snapToGrid w:val="0"/>
        <w:spacing w:before="156" w:beforeLines="50" w:line="360" w:lineRule="auto"/>
        <w:ind w:firstLine="413" w:firstLineChars="196"/>
        <w:rPr>
          <w:rFonts w:ascii="宋体" w:hAnsi="宋体" w:eastAsia="宋体"/>
          <w:b/>
          <w:color w:val="auto"/>
          <w:szCs w:val="21"/>
          <w:highlight w:val="none"/>
        </w:rPr>
      </w:pPr>
      <w:r>
        <w:rPr>
          <w:rFonts w:hint="eastAsia" w:ascii="宋体" w:hAnsi="宋体" w:eastAsia="宋体"/>
          <w:b/>
          <w:color w:val="auto"/>
          <w:szCs w:val="21"/>
          <w:highlight w:val="none"/>
        </w:rPr>
        <w:t>2.合同金额</w:t>
      </w:r>
    </w:p>
    <w:p w14:paraId="1BCF6DA3">
      <w:pPr>
        <w:adjustRightInd w:val="0"/>
        <w:snapToGrid w:val="0"/>
        <w:spacing w:before="156" w:beforeLines="50" w:line="360" w:lineRule="auto"/>
        <w:ind w:firstLine="420" w:firstLineChars="200"/>
        <w:rPr>
          <w:rFonts w:ascii="宋体" w:hAnsi="宋体" w:eastAsia="宋体"/>
          <w:color w:val="auto"/>
          <w:szCs w:val="21"/>
          <w:highlight w:val="none"/>
        </w:rPr>
      </w:pPr>
      <w:r>
        <w:rPr>
          <w:rFonts w:hint="eastAsia" w:ascii="宋体" w:hAnsi="宋体" w:eastAsia="宋体"/>
          <w:color w:val="auto"/>
          <w:szCs w:val="21"/>
          <w:highlight w:val="none"/>
        </w:rPr>
        <w:t>（1）合同金额小写：</w:t>
      </w:r>
      <w:r>
        <w:rPr>
          <w:rFonts w:hint="eastAsia" w:ascii="宋体" w:hAnsi="宋体" w:eastAsia="宋体"/>
          <w:color w:val="auto"/>
          <w:szCs w:val="21"/>
          <w:highlight w:val="none"/>
          <w:u w:val="single"/>
        </w:rPr>
        <w:t xml:space="preserve">                      </w:t>
      </w:r>
    </w:p>
    <w:p w14:paraId="6A9A73EF">
      <w:pPr>
        <w:adjustRightInd w:val="0"/>
        <w:snapToGrid w:val="0"/>
        <w:spacing w:before="156" w:beforeLines="50" w:line="360" w:lineRule="auto"/>
        <w:ind w:firstLine="1260" w:firstLineChars="600"/>
        <w:rPr>
          <w:rFonts w:ascii="宋体" w:hAnsi="宋体" w:eastAsia="宋体"/>
          <w:b/>
          <w:color w:val="auto"/>
          <w:szCs w:val="21"/>
          <w:highlight w:val="none"/>
        </w:rPr>
      </w:pPr>
      <w:r>
        <w:rPr>
          <w:rFonts w:hint="eastAsia" w:ascii="宋体" w:hAnsi="宋体" w:eastAsia="宋体"/>
          <w:color w:val="auto"/>
          <w:szCs w:val="21"/>
          <w:highlight w:val="none"/>
        </w:rPr>
        <w:t>大写：</w:t>
      </w:r>
      <w:r>
        <w:rPr>
          <w:rFonts w:hint="eastAsia" w:ascii="宋体" w:hAnsi="宋体" w:eastAsia="宋体"/>
          <w:color w:val="auto"/>
          <w:szCs w:val="21"/>
          <w:highlight w:val="none"/>
          <w:u w:val="single"/>
        </w:rPr>
        <w:t xml:space="preserve">                      </w:t>
      </w:r>
    </w:p>
    <w:p w14:paraId="40F762B4">
      <w:pPr>
        <w:adjustRightInd w:val="0"/>
        <w:snapToGrid w:val="0"/>
        <w:spacing w:before="156" w:beforeLines="50" w:line="360" w:lineRule="auto"/>
        <w:ind w:firstLine="420" w:firstLineChars="200"/>
        <w:rPr>
          <w:rFonts w:ascii="宋体" w:hAnsi="宋体" w:eastAsia="宋体"/>
          <w:color w:val="auto"/>
          <w:szCs w:val="21"/>
          <w:highlight w:val="none"/>
        </w:rPr>
      </w:pPr>
      <w:r>
        <w:rPr>
          <w:rFonts w:hint="eastAsia" w:ascii="宋体" w:hAnsi="宋体" w:eastAsia="宋体"/>
          <w:color w:val="auto"/>
          <w:szCs w:val="21"/>
          <w:highlight w:val="none"/>
        </w:rPr>
        <w:t>（2）具体标的见附件。</w:t>
      </w:r>
    </w:p>
    <w:p w14:paraId="636E9661">
      <w:pPr>
        <w:adjustRightInd w:val="0"/>
        <w:snapToGrid w:val="0"/>
        <w:spacing w:before="156" w:beforeLines="50" w:line="360" w:lineRule="auto"/>
        <w:ind w:firstLine="420" w:firstLineChars="200"/>
        <w:rPr>
          <w:rFonts w:ascii="宋体" w:hAnsi="宋体" w:eastAsia="宋体"/>
          <w:color w:val="auto"/>
          <w:szCs w:val="21"/>
          <w:highlight w:val="none"/>
        </w:rPr>
      </w:pPr>
      <w:r>
        <w:rPr>
          <w:rFonts w:hint="eastAsia" w:ascii="宋体" w:hAnsi="宋体" w:eastAsia="宋体"/>
          <w:color w:val="auto"/>
          <w:szCs w:val="21"/>
          <w:highlight w:val="none"/>
        </w:rPr>
        <w:t>（3）合同定价方式：</w:t>
      </w:r>
      <w:r>
        <w:rPr>
          <w:rFonts w:hint="eastAsia" w:ascii="宋体" w:hAnsi="宋体"/>
          <w:iCs/>
          <w:color w:val="auto"/>
          <w:szCs w:val="21"/>
          <w:highlight w:val="none"/>
        </w:rPr>
        <w:sym w:font="Wingdings" w:char="00A8"/>
      </w:r>
      <w:r>
        <w:rPr>
          <w:rFonts w:hint="eastAsia" w:ascii="宋体" w:hAnsi="宋体"/>
          <w:iCs/>
          <w:color w:val="auto"/>
          <w:szCs w:val="21"/>
          <w:highlight w:val="none"/>
        </w:rPr>
        <w:t xml:space="preserve">固定总价 </w:t>
      </w:r>
      <w:r>
        <w:rPr>
          <w:rFonts w:hint="eastAsia" w:ascii="宋体" w:hAnsi="宋体"/>
          <w:iCs/>
          <w:color w:val="auto"/>
          <w:szCs w:val="21"/>
          <w:highlight w:val="none"/>
        </w:rPr>
        <w:sym w:font="Wingdings" w:char="00A8"/>
      </w:r>
      <w:r>
        <w:rPr>
          <w:rFonts w:hint="eastAsia" w:ascii="宋体" w:hAnsi="宋体"/>
          <w:iCs/>
          <w:color w:val="auto"/>
          <w:szCs w:val="21"/>
          <w:highlight w:val="none"/>
        </w:rPr>
        <w:t xml:space="preserve">固定单价 </w:t>
      </w:r>
      <w:r>
        <w:rPr>
          <w:rFonts w:hint="eastAsia" w:ascii="宋体" w:hAnsi="宋体"/>
          <w:iCs/>
          <w:color w:val="auto"/>
          <w:szCs w:val="21"/>
          <w:highlight w:val="none"/>
        </w:rPr>
        <w:sym w:font="Wingdings" w:char="00A8"/>
      </w:r>
      <w:r>
        <w:rPr>
          <w:rFonts w:hint="eastAsia" w:ascii="宋体" w:hAnsi="宋体"/>
          <w:iCs/>
          <w:color w:val="auto"/>
          <w:szCs w:val="21"/>
          <w:highlight w:val="none"/>
        </w:rPr>
        <w:t xml:space="preserve">成本补偿 </w:t>
      </w:r>
      <w:r>
        <w:rPr>
          <w:rFonts w:hint="eastAsia" w:ascii="宋体" w:hAnsi="宋体"/>
          <w:iCs/>
          <w:color w:val="auto"/>
          <w:szCs w:val="21"/>
          <w:highlight w:val="none"/>
        </w:rPr>
        <w:sym w:font="Wingdings" w:char="00A8"/>
      </w:r>
      <w:r>
        <w:rPr>
          <w:rFonts w:hint="eastAsia" w:ascii="宋体" w:hAnsi="宋体"/>
          <w:iCs/>
          <w:color w:val="auto"/>
          <w:szCs w:val="21"/>
          <w:highlight w:val="none"/>
        </w:rPr>
        <w:t>绩效激励</w:t>
      </w:r>
    </w:p>
    <w:p w14:paraId="4B1D4944">
      <w:pPr>
        <w:pStyle w:val="30"/>
        <w:spacing w:line="360" w:lineRule="auto"/>
        <w:rPr>
          <w:rFonts w:eastAsia="宋体"/>
          <w:color w:val="auto"/>
          <w:highlight w:val="none"/>
        </w:rPr>
      </w:pPr>
      <w:r>
        <w:rPr>
          <w:rFonts w:hint="eastAsia" w:ascii="宋体" w:hAnsi="宋体" w:eastAsia="宋体"/>
          <w:color w:val="auto"/>
          <w:highlight w:val="none"/>
        </w:rPr>
        <w:t>（4）付款方式（按项目实际勾选填写）：</w:t>
      </w:r>
    </w:p>
    <w:p w14:paraId="5A3BFC7D">
      <w:pPr>
        <w:adjustRightInd w:val="0"/>
        <w:snapToGrid w:val="0"/>
        <w:spacing w:before="156" w:beforeLines="50" w:line="360" w:lineRule="auto"/>
        <w:ind w:firstLine="630" w:firstLineChars="300"/>
        <w:rPr>
          <w:rFonts w:ascii="宋体" w:hAnsi="宋体" w:eastAsia="宋体"/>
          <w:color w:val="auto"/>
          <w:szCs w:val="21"/>
          <w:highlight w:val="none"/>
          <w:u w:val="single"/>
        </w:rPr>
      </w:pPr>
      <w:r>
        <w:rPr>
          <w:rFonts w:hint="eastAsia" w:ascii="宋体" w:hAnsi="宋体" w:eastAsia="宋体"/>
          <w:color w:val="auto"/>
          <w:szCs w:val="21"/>
          <w:highlight w:val="none"/>
        </w:rPr>
        <w:sym w:font="Wingdings" w:char="00A8"/>
      </w:r>
      <w:r>
        <w:rPr>
          <w:rFonts w:hint="eastAsia" w:ascii="宋体" w:hAnsi="宋体" w:eastAsia="宋体"/>
          <w:color w:val="auto"/>
          <w:szCs w:val="21"/>
          <w:highlight w:val="none"/>
        </w:rPr>
        <w:t>全额付款：</w:t>
      </w:r>
      <w:r>
        <w:rPr>
          <w:rFonts w:hint="eastAsia" w:ascii="宋体" w:hAnsi="宋体" w:eastAsia="宋体"/>
          <w:color w:val="auto"/>
          <w:szCs w:val="21"/>
          <w:highlight w:val="none"/>
          <w:u w:val="single"/>
        </w:rPr>
        <w:t xml:space="preserve">     （应一次性支付全部合同款项）                    </w:t>
      </w:r>
    </w:p>
    <w:p w14:paraId="53CF5F0D">
      <w:pPr>
        <w:adjustRightInd w:val="0"/>
        <w:snapToGrid w:val="0"/>
        <w:spacing w:before="156" w:beforeLines="50" w:line="360" w:lineRule="auto"/>
        <w:ind w:firstLine="630" w:firstLineChars="300"/>
        <w:rPr>
          <w:rFonts w:ascii="宋体" w:hAnsi="宋体" w:eastAsia="宋体"/>
          <w:color w:val="auto"/>
          <w:szCs w:val="21"/>
          <w:highlight w:val="none"/>
          <w:u w:val="single"/>
        </w:rPr>
      </w:pPr>
      <w:r>
        <w:rPr>
          <w:rFonts w:hint="eastAsia" w:ascii="宋体" w:hAnsi="宋体" w:eastAsia="宋体"/>
          <w:color w:val="auto"/>
          <w:szCs w:val="21"/>
          <w:highlight w:val="none"/>
        </w:rPr>
        <w:sym w:font="Wingdings" w:char="00A8"/>
      </w:r>
      <w:r>
        <w:rPr>
          <w:rFonts w:hint="eastAsia" w:ascii="宋体" w:hAnsi="宋体" w:eastAsia="宋体"/>
          <w:color w:val="auto"/>
          <w:szCs w:val="21"/>
          <w:highlight w:val="none"/>
        </w:rPr>
        <w:t>预付款：</w:t>
      </w:r>
      <w:r>
        <w:rPr>
          <w:rFonts w:hint="eastAsia" w:ascii="宋体" w:hAnsi="宋体" w:eastAsia="宋体"/>
          <w:color w:val="auto"/>
          <w:szCs w:val="21"/>
          <w:highlight w:val="none"/>
          <w:u w:val="single"/>
        </w:rPr>
        <w:t xml:space="preserve">    （应明确预付款的支付比例和支付条件）               </w:t>
      </w:r>
    </w:p>
    <w:p w14:paraId="2661BDF0">
      <w:pPr>
        <w:adjustRightInd w:val="0"/>
        <w:snapToGrid w:val="0"/>
        <w:spacing w:before="156" w:beforeLines="50" w:line="360" w:lineRule="auto"/>
        <w:ind w:firstLine="630" w:firstLineChars="300"/>
        <w:rPr>
          <w:rFonts w:ascii="宋体" w:hAnsi="宋体" w:eastAsia="宋体"/>
          <w:color w:val="auto"/>
          <w:szCs w:val="21"/>
          <w:highlight w:val="none"/>
        </w:rPr>
      </w:pPr>
      <w:r>
        <w:rPr>
          <w:rFonts w:hint="eastAsia" w:ascii="宋体" w:hAnsi="宋体" w:eastAsia="宋体"/>
          <w:color w:val="auto"/>
          <w:szCs w:val="21"/>
          <w:highlight w:val="none"/>
        </w:rPr>
        <w:sym w:font="Wingdings" w:char="00A8"/>
      </w:r>
      <w:r>
        <w:rPr>
          <w:rFonts w:hint="eastAsia" w:ascii="宋体" w:hAnsi="宋体" w:eastAsia="宋体"/>
          <w:color w:val="auto"/>
          <w:szCs w:val="21"/>
          <w:highlight w:val="none"/>
        </w:rPr>
        <w:t>分期付款：</w:t>
      </w:r>
      <w:r>
        <w:rPr>
          <w:rFonts w:hint="eastAsia" w:ascii="宋体" w:hAnsi="宋体" w:eastAsia="宋体"/>
          <w:color w:val="auto"/>
          <w:szCs w:val="21"/>
          <w:highlight w:val="none"/>
          <w:u w:val="single"/>
        </w:rPr>
        <w:t xml:space="preserve">     （应按照季度分期支付合同款项）                   </w:t>
      </w:r>
    </w:p>
    <w:p w14:paraId="6466BF8F">
      <w:pPr>
        <w:adjustRightInd w:val="0"/>
        <w:snapToGrid w:val="0"/>
        <w:spacing w:before="156" w:beforeLines="50" w:line="360" w:lineRule="auto"/>
        <w:ind w:firstLine="630" w:firstLineChars="300"/>
        <w:rPr>
          <w:rFonts w:ascii="宋体" w:hAnsi="宋体" w:eastAsia="宋体"/>
          <w:color w:val="auto"/>
          <w:szCs w:val="21"/>
          <w:highlight w:val="none"/>
        </w:rPr>
      </w:pPr>
      <w:r>
        <w:rPr>
          <w:rFonts w:hint="eastAsia" w:ascii="宋体" w:hAnsi="宋体" w:eastAsia="宋体"/>
          <w:color w:val="auto"/>
          <w:szCs w:val="21"/>
          <w:highlight w:val="none"/>
        </w:rPr>
        <w:sym w:font="Wingdings" w:char="00A8"/>
      </w:r>
      <w:r>
        <w:rPr>
          <w:rFonts w:hint="eastAsia" w:ascii="宋体" w:hAnsi="宋体" w:eastAsia="宋体"/>
          <w:color w:val="auto"/>
          <w:szCs w:val="21"/>
          <w:highlight w:val="none"/>
        </w:rPr>
        <w:t>成本补偿：</w:t>
      </w:r>
      <w:r>
        <w:rPr>
          <w:rFonts w:hint="eastAsia" w:ascii="宋体" w:hAnsi="宋体" w:eastAsia="宋体"/>
          <w:color w:val="auto"/>
          <w:szCs w:val="21"/>
          <w:highlight w:val="none"/>
          <w:u w:val="single"/>
        </w:rPr>
        <w:t xml:space="preserve">      （应明确按照成本补偿方式的支付方式和支付条件）   </w:t>
      </w:r>
    </w:p>
    <w:p w14:paraId="1A78A901">
      <w:pPr>
        <w:adjustRightInd w:val="0"/>
        <w:snapToGrid w:val="0"/>
        <w:spacing w:before="156" w:beforeLines="50" w:line="360" w:lineRule="auto"/>
        <w:ind w:firstLine="630" w:firstLineChars="300"/>
        <w:rPr>
          <w:rFonts w:ascii="宋体" w:hAnsi="宋体" w:eastAsia="宋体"/>
          <w:color w:val="auto"/>
          <w:szCs w:val="21"/>
          <w:highlight w:val="none"/>
        </w:rPr>
      </w:pPr>
      <w:r>
        <w:rPr>
          <w:rFonts w:hint="eastAsia" w:ascii="宋体" w:hAnsi="宋体" w:eastAsia="宋体"/>
          <w:color w:val="auto"/>
          <w:szCs w:val="21"/>
          <w:highlight w:val="none"/>
        </w:rPr>
        <w:sym w:font="Wingdings" w:char="00A8"/>
      </w:r>
      <w:r>
        <w:rPr>
          <w:rFonts w:hint="eastAsia" w:ascii="宋体" w:hAnsi="宋体" w:eastAsia="宋体"/>
          <w:color w:val="auto"/>
          <w:szCs w:val="21"/>
          <w:highlight w:val="none"/>
        </w:rPr>
        <w:t>绩效激励：</w:t>
      </w:r>
      <w:r>
        <w:rPr>
          <w:rFonts w:hint="eastAsia" w:ascii="宋体" w:hAnsi="宋体" w:eastAsia="宋体"/>
          <w:color w:val="auto"/>
          <w:szCs w:val="21"/>
          <w:highlight w:val="none"/>
          <w:u w:val="single"/>
        </w:rPr>
        <w:t xml:space="preserve">      （应明确按照绩效激励方式的支付方式和支付条件）   </w:t>
      </w:r>
    </w:p>
    <w:p w14:paraId="20065B31">
      <w:pPr>
        <w:adjustRightInd w:val="0"/>
        <w:snapToGrid w:val="0"/>
        <w:spacing w:before="156" w:beforeLines="50" w:line="360" w:lineRule="auto"/>
        <w:ind w:firstLine="422" w:firstLineChars="200"/>
        <w:rPr>
          <w:rFonts w:ascii="宋体" w:hAnsi="宋体" w:eastAsia="宋体"/>
          <w:color w:val="auto"/>
          <w:szCs w:val="21"/>
          <w:highlight w:val="none"/>
          <w:u w:val="single"/>
        </w:rPr>
      </w:pPr>
      <w:r>
        <w:rPr>
          <w:rFonts w:hint="eastAsia" w:ascii="宋体" w:hAnsi="宋体" w:eastAsia="宋体"/>
          <w:b/>
          <w:color w:val="auto"/>
          <w:szCs w:val="21"/>
          <w:highlight w:val="none"/>
        </w:rPr>
        <w:t>3.合同履行</w:t>
      </w:r>
    </w:p>
    <w:p w14:paraId="0F41FD78">
      <w:pPr>
        <w:adjustRightInd w:val="0"/>
        <w:snapToGrid w:val="0"/>
        <w:spacing w:before="156" w:beforeLines="50" w:line="360" w:lineRule="auto"/>
        <w:ind w:firstLine="420" w:firstLineChars="200"/>
        <w:rPr>
          <w:rFonts w:ascii="宋体" w:hAnsi="宋体" w:eastAsia="宋体"/>
          <w:color w:val="auto"/>
          <w:szCs w:val="21"/>
          <w:highlight w:val="none"/>
        </w:rPr>
      </w:pPr>
      <w:r>
        <w:rPr>
          <w:rFonts w:hint="eastAsia" w:ascii="宋体" w:hAnsi="宋体" w:eastAsia="宋体"/>
          <w:color w:val="auto"/>
          <w:szCs w:val="21"/>
          <w:highlight w:val="none"/>
        </w:rPr>
        <w:t>（1）起始日期：</w:t>
      </w:r>
      <w:r>
        <w:rPr>
          <w:rFonts w:hint="eastAsia" w:ascii="宋体" w:hAnsi="宋体" w:eastAsia="宋体"/>
          <w:color w:val="auto"/>
          <w:szCs w:val="21"/>
          <w:highlight w:val="none"/>
          <w:u w:val="single"/>
        </w:rPr>
        <w:t xml:space="preserve">    </w:t>
      </w:r>
      <w:r>
        <w:rPr>
          <w:rFonts w:hint="eastAsia" w:ascii="宋体" w:hAnsi="宋体" w:eastAsia="宋体"/>
          <w:color w:val="auto"/>
          <w:szCs w:val="21"/>
          <w:highlight w:val="none"/>
        </w:rPr>
        <w:t>年</w:t>
      </w:r>
      <w:r>
        <w:rPr>
          <w:rFonts w:hint="eastAsia" w:ascii="宋体" w:hAnsi="宋体" w:eastAsia="宋体"/>
          <w:color w:val="auto"/>
          <w:szCs w:val="21"/>
          <w:highlight w:val="none"/>
          <w:u w:val="single"/>
        </w:rPr>
        <w:t xml:space="preserve">   </w:t>
      </w:r>
      <w:r>
        <w:rPr>
          <w:rFonts w:hint="eastAsia" w:ascii="宋体" w:hAnsi="宋体" w:eastAsia="宋体"/>
          <w:color w:val="auto"/>
          <w:szCs w:val="21"/>
          <w:highlight w:val="none"/>
        </w:rPr>
        <w:t>月</w:t>
      </w:r>
      <w:r>
        <w:rPr>
          <w:rFonts w:hint="eastAsia" w:ascii="宋体" w:hAnsi="宋体" w:eastAsia="宋体"/>
          <w:color w:val="auto"/>
          <w:szCs w:val="21"/>
          <w:highlight w:val="none"/>
          <w:u w:val="single"/>
        </w:rPr>
        <w:t xml:space="preserve">   </w:t>
      </w:r>
      <w:r>
        <w:rPr>
          <w:rFonts w:hint="eastAsia" w:ascii="宋体" w:hAnsi="宋体" w:eastAsia="宋体"/>
          <w:color w:val="auto"/>
          <w:szCs w:val="21"/>
          <w:highlight w:val="none"/>
        </w:rPr>
        <w:t>日，完成日期：</w:t>
      </w:r>
      <w:r>
        <w:rPr>
          <w:rFonts w:hint="eastAsia" w:ascii="宋体" w:hAnsi="宋体" w:eastAsia="宋体"/>
          <w:color w:val="auto"/>
          <w:szCs w:val="21"/>
          <w:highlight w:val="none"/>
          <w:u w:val="single"/>
        </w:rPr>
        <w:t xml:space="preserve">    </w:t>
      </w:r>
      <w:r>
        <w:rPr>
          <w:rFonts w:hint="eastAsia" w:ascii="宋体" w:hAnsi="宋体" w:eastAsia="宋体"/>
          <w:color w:val="auto"/>
          <w:szCs w:val="21"/>
          <w:highlight w:val="none"/>
        </w:rPr>
        <w:t>年</w:t>
      </w:r>
      <w:r>
        <w:rPr>
          <w:rFonts w:hint="eastAsia" w:ascii="宋体" w:hAnsi="宋体" w:eastAsia="宋体"/>
          <w:color w:val="auto"/>
          <w:szCs w:val="21"/>
          <w:highlight w:val="none"/>
          <w:u w:val="single"/>
        </w:rPr>
        <w:t xml:space="preserve">   </w:t>
      </w:r>
      <w:r>
        <w:rPr>
          <w:rFonts w:hint="eastAsia" w:ascii="宋体" w:hAnsi="宋体" w:eastAsia="宋体"/>
          <w:color w:val="auto"/>
          <w:szCs w:val="21"/>
          <w:highlight w:val="none"/>
        </w:rPr>
        <w:t>月</w:t>
      </w:r>
      <w:r>
        <w:rPr>
          <w:rFonts w:hint="eastAsia" w:ascii="宋体" w:hAnsi="宋体" w:eastAsia="宋体"/>
          <w:color w:val="auto"/>
          <w:szCs w:val="21"/>
          <w:highlight w:val="none"/>
          <w:u w:val="single"/>
        </w:rPr>
        <w:t xml:space="preserve">   </w:t>
      </w:r>
      <w:r>
        <w:rPr>
          <w:rFonts w:hint="eastAsia" w:ascii="宋体" w:hAnsi="宋体" w:eastAsia="宋体"/>
          <w:color w:val="auto"/>
          <w:szCs w:val="21"/>
          <w:highlight w:val="none"/>
        </w:rPr>
        <w:t>日。总日历天数：</w:t>
      </w:r>
      <w:r>
        <w:rPr>
          <w:rFonts w:hint="eastAsia" w:ascii="宋体" w:hAnsi="宋体" w:eastAsia="宋体"/>
          <w:color w:val="auto"/>
          <w:szCs w:val="21"/>
          <w:highlight w:val="none"/>
          <w:u w:val="single"/>
        </w:rPr>
        <w:t xml:space="preserve">     </w:t>
      </w:r>
      <w:r>
        <w:rPr>
          <w:rFonts w:hint="eastAsia" w:ascii="宋体" w:hAnsi="宋体" w:eastAsia="宋体"/>
          <w:color w:val="auto"/>
          <w:szCs w:val="21"/>
          <w:highlight w:val="none"/>
        </w:rPr>
        <w:t>天。</w:t>
      </w:r>
    </w:p>
    <w:p w14:paraId="4B309585">
      <w:pPr>
        <w:adjustRightInd w:val="0"/>
        <w:snapToGrid w:val="0"/>
        <w:spacing w:before="156" w:beforeLines="50" w:line="360" w:lineRule="auto"/>
        <w:ind w:firstLine="420" w:firstLineChars="200"/>
        <w:rPr>
          <w:rFonts w:ascii="宋体" w:hAnsi="宋体" w:eastAsia="宋体"/>
          <w:color w:val="auto"/>
          <w:szCs w:val="21"/>
          <w:highlight w:val="none"/>
          <w:u w:val="single"/>
        </w:rPr>
      </w:pPr>
      <w:r>
        <w:rPr>
          <w:rFonts w:hint="eastAsia" w:ascii="宋体" w:hAnsi="宋体" w:eastAsia="宋体"/>
          <w:color w:val="auto"/>
          <w:szCs w:val="21"/>
          <w:highlight w:val="none"/>
        </w:rPr>
        <w:t>（2）地点</w:t>
      </w:r>
      <w:r>
        <w:rPr>
          <w:rFonts w:hint="eastAsia" w:ascii="宋体" w:hAnsi="宋体" w:eastAsia="宋体"/>
          <w:b/>
          <w:color w:val="auto"/>
          <w:szCs w:val="21"/>
          <w:highlight w:val="none"/>
        </w:rPr>
        <w:t>：</w:t>
      </w:r>
      <w:r>
        <w:rPr>
          <w:rFonts w:hint="eastAsia" w:ascii="宋体" w:hAnsi="宋体" w:eastAsia="宋体"/>
          <w:color w:val="auto"/>
          <w:szCs w:val="21"/>
          <w:highlight w:val="none"/>
          <w:u w:val="single"/>
        </w:rPr>
        <w:t xml:space="preserve">                             </w:t>
      </w:r>
    </w:p>
    <w:p w14:paraId="4B6C67CC">
      <w:pPr>
        <w:adjustRightInd w:val="0"/>
        <w:snapToGrid w:val="0"/>
        <w:spacing w:before="156" w:beforeLines="50" w:line="360" w:lineRule="auto"/>
        <w:ind w:firstLine="420" w:firstLineChars="200"/>
        <w:rPr>
          <w:rFonts w:ascii="宋体" w:hAnsi="宋体" w:eastAsia="宋体"/>
          <w:color w:val="auto"/>
          <w:szCs w:val="21"/>
          <w:highlight w:val="none"/>
          <w:u w:val="single"/>
        </w:rPr>
      </w:pPr>
      <w:r>
        <w:rPr>
          <w:rFonts w:hint="eastAsia" w:ascii="宋体" w:hAnsi="宋体" w:eastAsia="宋体"/>
          <w:color w:val="auto"/>
          <w:szCs w:val="21"/>
          <w:highlight w:val="none"/>
        </w:rPr>
        <w:t>（3）方式：</w:t>
      </w:r>
      <w:r>
        <w:rPr>
          <w:rFonts w:hint="eastAsia" w:ascii="宋体" w:hAnsi="宋体" w:eastAsia="宋体"/>
          <w:color w:val="auto"/>
          <w:szCs w:val="21"/>
          <w:highlight w:val="none"/>
          <w:u w:val="single"/>
        </w:rPr>
        <w:t xml:space="preserve">                             </w:t>
      </w:r>
    </w:p>
    <w:p w14:paraId="35D1B7B9">
      <w:pPr>
        <w:adjustRightInd w:val="0"/>
        <w:snapToGrid w:val="0"/>
        <w:spacing w:before="156" w:beforeLines="50" w:line="360" w:lineRule="auto"/>
        <w:ind w:firstLine="420" w:firstLineChars="200"/>
        <w:rPr>
          <w:rFonts w:ascii="宋体" w:hAnsi="宋体" w:eastAsia="宋体"/>
          <w:bCs/>
          <w:color w:val="auto"/>
          <w:szCs w:val="21"/>
          <w:highlight w:val="none"/>
        </w:rPr>
      </w:pPr>
      <w:r>
        <w:rPr>
          <w:rFonts w:hint="eastAsia" w:ascii="宋体" w:hAnsi="宋体" w:eastAsia="宋体"/>
          <w:bCs/>
          <w:color w:val="auto"/>
          <w:szCs w:val="21"/>
          <w:highlight w:val="none"/>
        </w:rPr>
        <w:t>（4）履约担保：</w:t>
      </w:r>
      <w:r>
        <w:rPr>
          <w:rFonts w:hint="eastAsia" w:ascii="宋体" w:hAnsi="宋体" w:eastAsia="宋体"/>
          <w:bCs/>
          <w:color w:val="auto"/>
          <w:szCs w:val="21"/>
          <w:highlight w:val="none"/>
          <w:u w:val="single"/>
        </w:rPr>
        <w:t>履约担保的金额、形式和期限要求</w:t>
      </w:r>
      <w:r>
        <w:rPr>
          <w:rFonts w:hint="eastAsia" w:ascii="宋体" w:hAnsi="宋体" w:eastAsia="宋体"/>
          <w:bCs/>
          <w:color w:val="auto"/>
          <w:szCs w:val="21"/>
          <w:highlight w:val="none"/>
        </w:rPr>
        <w:t>。</w:t>
      </w:r>
    </w:p>
    <w:p w14:paraId="39844B2A">
      <w:pPr>
        <w:adjustRightInd w:val="0"/>
        <w:snapToGrid w:val="0"/>
        <w:spacing w:before="156" w:beforeLines="50" w:line="360" w:lineRule="auto"/>
        <w:ind w:firstLine="420" w:firstLineChars="200"/>
        <w:rPr>
          <w:rFonts w:ascii="宋体" w:hAnsi="宋体" w:eastAsia="宋体"/>
          <w:bCs/>
          <w:color w:val="auto"/>
          <w:szCs w:val="21"/>
          <w:highlight w:val="none"/>
        </w:rPr>
      </w:pPr>
      <w:r>
        <w:rPr>
          <w:rFonts w:hint="eastAsia" w:ascii="宋体" w:hAnsi="宋体" w:eastAsia="宋体"/>
          <w:bCs/>
          <w:color w:val="auto"/>
          <w:szCs w:val="21"/>
          <w:highlight w:val="none"/>
        </w:rPr>
        <w:t>（5）质量保证金：</w:t>
      </w:r>
      <w:r>
        <w:rPr>
          <w:rFonts w:hint="eastAsia" w:ascii="宋体" w:hAnsi="宋体" w:eastAsia="宋体"/>
          <w:bCs/>
          <w:color w:val="auto"/>
          <w:szCs w:val="21"/>
          <w:highlight w:val="none"/>
          <w:u w:val="single"/>
        </w:rPr>
        <w:t>质量保证金的金额、形式和期限要求</w:t>
      </w:r>
      <w:r>
        <w:rPr>
          <w:rFonts w:hint="eastAsia" w:ascii="宋体" w:hAnsi="宋体" w:eastAsia="宋体"/>
          <w:bCs/>
          <w:color w:val="auto"/>
          <w:szCs w:val="21"/>
          <w:highlight w:val="none"/>
        </w:rPr>
        <w:t>。</w:t>
      </w:r>
    </w:p>
    <w:p w14:paraId="54BE22AF">
      <w:pPr>
        <w:adjustRightInd w:val="0"/>
        <w:snapToGrid w:val="0"/>
        <w:spacing w:before="156" w:beforeLines="50" w:line="360" w:lineRule="auto"/>
        <w:ind w:firstLine="422" w:firstLineChars="200"/>
        <w:rPr>
          <w:rFonts w:ascii="宋体" w:hAnsi="宋体" w:eastAsia="宋体"/>
          <w:b/>
          <w:color w:val="auto"/>
          <w:szCs w:val="21"/>
          <w:highlight w:val="none"/>
        </w:rPr>
      </w:pPr>
      <w:r>
        <w:rPr>
          <w:rFonts w:hint="eastAsia" w:ascii="宋体" w:hAnsi="宋体" w:eastAsia="宋体"/>
          <w:b/>
          <w:color w:val="auto"/>
          <w:szCs w:val="21"/>
          <w:highlight w:val="none"/>
        </w:rPr>
        <w:t>4.合同验收</w:t>
      </w:r>
    </w:p>
    <w:p w14:paraId="2E31148B">
      <w:pPr>
        <w:adjustRightInd w:val="0"/>
        <w:snapToGrid w:val="0"/>
        <w:spacing w:before="156" w:beforeLines="50" w:line="360" w:lineRule="auto"/>
        <w:ind w:firstLine="420" w:firstLineChars="200"/>
        <w:rPr>
          <w:rFonts w:ascii="宋体" w:hAnsi="宋体" w:eastAsia="宋体"/>
          <w:bCs/>
          <w:color w:val="auto"/>
          <w:szCs w:val="21"/>
          <w:highlight w:val="none"/>
        </w:rPr>
      </w:pPr>
      <w:r>
        <w:rPr>
          <w:rFonts w:hint="eastAsia" w:ascii="宋体" w:hAnsi="宋体" w:eastAsia="宋体"/>
          <w:bCs/>
          <w:color w:val="auto"/>
          <w:szCs w:val="21"/>
          <w:highlight w:val="none"/>
        </w:rPr>
        <w:t>（1）验收主体：</w:t>
      </w:r>
      <w:r>
        <w:rPr>
          <w:rFonts w:hint="eastAsia" w:ascii="宋体" w:hAnsi="宋体" w:eastAsia="宋体"/>
          <w:bCs/>
          <w:color w:val="auto"/>
          <w:szCs w:val="21"/>
          <w:highlight w:val="none"/>
          <w:u w:val="single"/>
        </w:rPr>
        <w:t xml:space="preserve">                             </w:t>
      </w:r>
      <w:r>
        <w:rPr>
          <w:rFonts w:hint="eastAsia" w:ascii="宋体" w:hAnsi="宋体" w:eastAsia="宋体"/>
          <w:bCs/>
          <w:color w:val="auto"/>
          <w:szCs w:val="21"/>
          <w:highlight w:val="none"/>
        </w:rPr>
        <w:t>。</w:t>
      </w:r>
    </w:p>
    <w:p w14:paraId="218FEF7F">
      <w:pPr>
        <w:adjustRightInd w:val="0"/>
        <w:snapToGrid w:val="0"/>
        <w:spacing w:before="156" w:beforeLines="50" w:line="360" w:lineRule="auto"/>
        <w:ind w:firstLine="420" w:firstLineChars="200"/>
        <w:rPr>
          <w:rFonts w:ascii="宋体" w:hAnsi="宋体" w:eastAsia="宋体"/>
          <w:bCs/>
          <w:color w:val="auto"/>
          <w:szCs w:val="21"/>
          <w:highlight w:val="none"/>
        </w:rPr>
      </w:pPr>
      <w:r>
        <w:rPr>
          <w:rFonts w:hint="eastAsia" w:ascii="宋体" w:hAnsi="宋体" w:eastAsia="宋体"/>
          <w:bCs/>
          <w:color w:val="auto"/>
          <w:szCs w:val="21"/>
          <w:highlight w:val="none"/>
        </w:rPr>
        <w:t>（2）验收方式：</w:t>
      </w:r>
      <w:r>
        <w:rPr>
          <w:rFonts w:hint="eastAsia" w:ascii="宋体" w:hAnsi="宋体" w:eastAsia="宋体"/>
          <w:bCs/>
          <w:color w:val="auto"/>
          <w:szCs w:val="21"/>
          <w:highlight w:val="none"/>
          <w:u w:val="single"/>
        </w:rPr>
        <w:t xml:space="preserve">                             </w:t>
      </w:r>
      <w:r>
        <w:rPr>
          <w:rFonts w:hint="eastAsia" w:ascii="宋体" w:hAnsi="宋体" w:eastAsia="宋体"/>
          <w:bCs/>
          <w:color w:val="auto"/>
          <w:szCs w:val="21"/>
          <w:highlight w:val="none"/>
        </w:rPr>
        <w:t>。</w:t>
      </w:r>
    </w:p>
    <w:p w14:paraId="7A8A0C62">
      <w:pPr>
        <w:adjustRightInd w:val="0"/>
        <w:snapToGrid w:val="0"/>
        <w:spacing w:before="156" w:beforeLines="50" w:line="360" w:lineRule="auto"/>
        <w:ind w:firstLine="420" w:firstLineChars="200"/>
        <w:rPr>
          <w:rFonts w:ascii="宋体" w:hAnsi="宋体" w:eastAsia="宋体"/>
          <w:bCs/>
          <w:color w:val="auto"/>
          <w:szCs w:val="21"/>
          <w:highlight w:val="none"/>
        </w:rPr>
      </w:pPr>
      <w:r>
        <w:rPr>
          <w:rFonts w:hint="eastAsia" w:ascii="宋体" w:hAnsi="宋体" w:eastAsia="宋体"/>
          <w:bCs/>
          <w:color w:val="auto"/>
          <w:szCs w:val="21"/>
          <w:highlight w:val="none"/>
        </w:rPr>
        <w:t>（3）验收标准：</w:t>
      </w:r>
      <w:r>
        <w:rPr>
          <w:rFonts w:hint="eastAsia" w:ascii="宋体" w:hAnsi="宋体" w:eastAsia="宋体"/>
          <w:bCs/>
          <w:color w:val="auto"/>
          <w:szCs w:val="21"/>
          <w:highlight w:val="none"/>
          <w:u w:val="single"/>
        </w:rPr>
        <w:t xml:space="preserve">                             </w:t>
      </w:r>
      <w:r>
        <w:rPr>
          <w:rFonts w:hint="eastAsia" w:ascii="宋体" w:hAnsi="宋体" w:eastAsia="宋体"/>
          <w:bCs/>
          <w:color w:val="auto"/>
          <w:szCs w:val="21"/>
          <w:highlight w:val="none"/>
        </w:rPr>
        <w:t>。</w:t>
      </w:r>
    </w:p>
    <w:p w14:paraId="3E62740B">
      <w:pPr>
        <w:adjustRightInd w:val="0"/>
        <w:snapToGrid w:val="0"/>
        <w:spacing w:before="156" w:beforeLines="50" w:line="360" w:lineRule="auto"/>
        <w:ind w:firstLine="422" w:firstLineChars="200"/>
        <w:rPr>
          <w:rFonts w:ascii="宋体" w:hAnsi="宋体" w:eastAsia="宋体"/>
          <w:b/>
          <w:color w:val="auto"/>
          <w:szCs w:val="21"/>
          <w:highlight w:val="none"/>
        </w:rPr>
      </w:pPr>
      <w:r>
        <w:rPr>
          <w:rFonts w:hint="eastAsia" w:ascii="宋体" w:hAnsi="宋体" w:eastAsia="宋体"/>
          <w:b/>
          <w:color w:val="auto"/>
          <w:szCs w:val="21"/>
          <w:highlight w:val="none"/>
        </w:rPr>
        <w:t>5.组成合同的文件</w:t>
      </w:r>
    </w:p>
    <w:p w14:paraId="548EFDB3">
      <w:pPr>
        <w:adjustRightInd w:val="0"/>
        <w:snapToGrid w:val="0"/>
        <w:spacing w:before="156" w:beforeLines="50" w:line="360" w:lineRule="auto"/>
        <w:ind w:firstLine="420" w:firstLineChars="200"/>
        <w:rPr>
          <w:rFonts w:ascii="宋体" w:hAnsi="宋体" w:eastAsia="宋体"/>
          <w:color w:val="auto"/>
          <w:szCs w:val="21"/>
          <w:highlight w:val="none"/>
        </w:rPr>
      </w:pPr>
      <w:r>
        <w:rPr>
          <w:rFonts w:hint="eastAsia" w:ascii="宋体" w:hAnsi="宋体" w:eastAsia="宋体"/>
          <w:color w:val="auto"/>
          <w:szCs w:val="21"/>
          <w:highlight w:val="none"/>
        </w:rPr>
        <w:t>本协议书与下列文件一起构成合同文件，如下述文件之间有任何抵触、矛盾或歧义，应按以下顺序解释：</w:t>
      </w:r>
    </w:p>
    <w:p w14:paraId="06DBE97B">
      <w:pPr>
        <w:adjustRightInd w:val="0"/>
        <w:snapToGrid w:val="0"/>
        <w:spacing w:before="156" w:beforeLines="50" w:line="360" w:lineRule="auto"/>
        <w:ind w:firstLine="420" w:firstLineChars="200"/>
        <w:rPr>
          <w:rFonts w:ascii="宋体" w:hAnsi="宋体" w:eastAsia="宋体"/>
          <w:color w:val="auto"/>
          <w:szCs w:val="21"/>
          <w:highlight w:val="none"/>
        </w:rPr>
      </w:pPr>
      <w:r>
        <w:rPr>
          <w:rFonts w:hint="eastAsia" w:ascii="宋体" w:hAnsi="宋体" w:eastAsia="宋体"/>
          <w:color w:val="auto"/>
          <w:szCs w:val="21"/>
          <w:highlight w:val="none"/>
        </w:rPr>
        <w:t>（1）在采购或合同履行过程中乙方作出的承诺以及双方协商达成的变更或补充协议</w:t>
      </w:r>
    </w:p>
    <w:p w14:paraId="1C2E7E7E">
      <w:pPr>
        <w:adjustRightInd w:val="0"/>
        <w:snapToGrid w:val="0"/>
        <w:spacing w:before="156" w:beforeLines="50" w:line="360" w:lineRule="auto"/>
        <w:ind w:firstLine="420" w:firstLineChars="200"/>
        <w:rPr>
          <w:rFonts w:ascii="宋体" w:hAnsi="宋体" w:eastAsia="宋体"/>
          <w:color w:val="auto"/>
          <w:szCs w:val="21"/>
          <w:highlight w:val="none"/>
        </w:rPr>
      </w:pPr>
      <w:r>
        <w:rPr>
          <w:rFonts w:hint="eastAsia" w:ascii="宋体" w:hAnsi="宋体" w:eastAsia="宋体"/>
          <w:color w:val="auto"/>
          <w:szCs w:val="21"/>
          <w:highlight w:val="none"/>
        </w:rPr>
        <w:t>（2）本合同协议书</w:t>
      </w:r>
    </w:p>
    <w:p w14:paraId="10DAEA33">
      <w:pPr>
        <w:adjustRightInd w:val="0"/>
        <w:snapToGrid w:val="0"/>
        <w:spacing w:before="156" w:beforeLines="50" w:line="360" w:lineRule="auto"/>
        <w:ind w:firstLine="420" w:firstLineChars="200"/>
        <w:rPr>
          <w:rFonts w:ascii="宋体" w:hAnsi="宋体" w:eastAsia="宋体"/>
          <w:color w:val="auto"/>
          <w:szCs w:val="21"/>
          <w:highlight w:val="none"/>
        </w:rPr>
      </w:pPr>
      <w:r>
        <w:rPr>
          <w:rFonts w:hint="eastAsia" w:ascii="宋体" w:hAnsi="宋体" w:eastAsia="宋体"/>
          <w:color w:val="auto"/>
          <w:szCs w:val="21"/>
          <w:highlight w:val="none"/>
        </w:rPr>
        <w:t>（3）中标通知书</w:t>
      </w:r>
    </w:p>
    <w:p w14:paraId="2FCE817C">
      <w:pPr>
        <w:adjustRightInd w:val="0"/>
        <w:snapToGrid w:val="0"/>
        <w:spacing w:before="156" w:beforeLines="50" w:line="360" w:lineRule="auto"/>
        <w:ind w:firstLine="420" w:firstLineChars="200"/>
        <w:rPr>
          <w:rFonts w:ascii="宋体" w:hAnsi="宋体" w:eastAsia="宋体"/>
          <w:color w:val="auto"/>
          <w:szCs w:val="21"/>
          <w:highlight w:val="none"/>
        </w:rPr>
      </w:pPr>
      <w:r>
        <w:rPr>
          <w:rFonts w:hint="eastAsia" w:ascii="宋体" w:hAnsi="宋体" w:eastAsia="宋体"/>
          <w:color w:val="auto"/>
          <w:szCs w:val="21"/>
          <w:highlight w:val="none"/>
        </w:rPr>
        <w:t>（4）投标文件</w:t>
      </w:r>
    </w:p>
    <w:p w14:paraId="4E9E9596">
      <w:pPr>
        <w:adjustRightInd w:val="0"/>
        <w:snapToGrid w:val="0"/>
        <w:spacing w:before="156" w:beforeLines="50" w:line="360" w:lineRule="auto"/>
        <w:ind w:firstLine="420" w:firstLineChars="200"/>
        <w:rPr>
          <w:rFonts w:ascii="宋体" w:hAnsi="宋体" w:eastAsia="宋体"/>
          <w:color w:val="auto"/>
          <w:szCs w:val="21"/>
          <w:highlight w:val="none"/>
        </w:rPr>
      </w:pPr>
      <w:r>
        <w:rPr>
          <w:rFonts w:hint="eastAsia" w:ascii="宋体" w:hAnsi="宋体" w:eastAsia="宋体"/>
          <w:color w:val="auto"/>
          <w:szCs w:val="21"/>
          <w:highlight w:val="none"/>
        </w:rPr>
        <w:t>（5）政府采购合同专用条款</w:t>
      </w:r>
    </w:p>
    <w:p w14:paraId="32744544">
      <w:pPr>
        <w:adjustRightInd w:val="0"/>
        <w:snapToGrid w:val="0"/>
        <w:spacing w:before="156" w:beforeLines="50" w:line="360" w:lineRule="auto"/>
        <w:ind w:firstLine="420" w:firstLineChars="200"/>
        <w:rPr>
          <w:rFonts w:ascii="宋体" w:hAnsi="宋体" w:eastAsia="宋体"/>
          <w:color w:val="auto"/>
          <w:szCs w:val="21"/>
          <w:highlight w:val="none"/>
        </w:rPr>
      </w:pPr>
      <w:r>
        <w:rPr>
          <w:rFonts w:hint="eastAsia" w:ascii="宋体" w:hAnsi="宋体" w:eastAsia="宋体"/>
          <w:color w:val="auto"/>
          <w:szCs w:val="21"/>
          <w:highlight w:val="none"/>
        </w:rPr>
        <w:t>（6）政府采购合同通用条款</w:t>
      </w:r>
    </w:p>
    <w:p w14:paraId="2D8BD1E8">
      <w:pPr>
        <w:adjustRightInd w:val="0"/>
        <w:snapToGrid w:val="0"/>
        <w:spacing w:before="156" w:beforeLines="50" w:line="360" w:lineRule="auto"/>
        <w:ind w:firstLine="420" w:firstLineChars="200"/>
        <w:rPr>
          <w:rFonts w:ascii="宋体" w:hAnsi="宋体" w:eastAsia="宋体"/>
          <w:color w:val="auto"/>
          <w:szCs w:val="21"/>
          <w:highlight w:val="none"/>
        </w:rPr>
      </w:pPr>
      <w:r>
        <w:rPr>
          <w:rFonts w:hint="eastAsia" w:ascii="宋体" w:hAnsi="宋体" w:eastAsia="宋体"/>
          <w:color w:val="auto"/>
          <w:szCs w:val="21"/>
          <w:highlight w:val="none"/>
        </w:rPr>
        <w:t>（7）标准、规范及有关技术文件，图纸。</w:t>
      </w:r>
    </w:p>
    <w:p w14:paraId="304BED2E">
      <w:pPr>
        <w:adjustRightInd w:val="0"/>
        <w:snapToGrid w:val="0"/>
        <w:spacing w:before="156" w:beforeLines="50" w:line="360" w:lineRule="auto"/>
        <w:ind w:firstLine="420" w:firstLineChars="200"/>
        <w:rPr>
          <w:rFonts w:ascii="宋体" w:hAnsi="宋体" w:eastAsia="宋体"/>
          <w:color w:val="auto"/>
          <w:szCs w:val="21"/>
          <w:highlight w:val="none"/>
        </w:rPr>
      </w:pPr>
      <w:r>
        <w:rPr>
          <w:rFonts w:hint="eastAsia" w:ascii="宋体" w:hAnsi="宋体" w:eastAsia="宋体"/>
          <w:color w:val="auto"/>
          <w:szCs w:val="21"/>
          <w:highlight w:val="none"/>
        </w:rPr>
        <w:t>（8）其他合同文件。</w:t>
      </w:r>
    </w:p>
    <w:p w14:paraId="554ECFA2">
      <w:pPr>
        <w:adjustRightInd w:val="0"/>
        <w:snapToGrid w:val="0"/>
        <w:spacing w:before="156" w:beforeLines="50" w:line="360" w:lineRule="auto"/>
        <w:ind w:firstLine="310" w:firstLineChars="147"/>
        <w:rPr>
          <w:rFonts w:ascii="宋体" w:hAnsi="宋体" w:eastAsia="宋体"/>
          <w:b/>
          <w:color w:val="auto"/>
          <w:szCs w:val="21"/>
          <w:highlight w:val="none"/>
        </w:rPr>
      </w:pPr>
      <w:r>
        <w:rPr>
          <w:rFonts w:hint="eastAsia" w:ascii="宋体" w:hAnsi="宋体" w:eastAsia="宋体"/>
          <w:b/>
          <w:color w:val="auto"/>
          <w:szCs w:val="21"/>
          <w:highlight w:val="none"/>
        </w:rPr>
        <w:t>6.合同生效</w:t>
      </w:r>
    </w:p>
    <w:p w14:paraId="5E483DF3">
      <w:pPr>
        <w:adjustRightInd w:val="0"/>
        <w:snapToGrid w:val="0"/>
        <w:spacing w:before="156" w:beforeLines="50" w:line="360" w:lineRule="auto"/>
        <w:ind w:firstLine="420" w:firstLineChars="200"/>
        <w:rPr>
          <w:rFonts w:ascii="宋体" w:hAnsi="宋体" w:eastAsia="宋体"/>
          <w:color w:val="auto"/>
          <w:szCs w:val="21"/>
          <w:highlight w:val="none"/>
        </w:rPr>
      </w:pPr>
      <w:r>
        <w:rPr>
          <w:rFonts w:hint="eastAsia" w:ascii="宋体" w:hAnsi="宋体" w:eastAsia="宋体"/>
          <w:color w:val="auto"/>
          <w:szCs w:val="21"/>
          <w:highlight w:val="none"/>
        </w:rPr>
        <w:t>本合同自</w:t>
      </w:r>
      <w:r>
        <w:rPr>
          <w:rFonts w:hint="eastAsia" w:ascii="宋体" w:hAnsi="宋体" w:eastAsia="宋体"/>
          <w:color w:val="auto"/>
          <w:szCs w:val="21"/>
          <w:highlight w:val="none"/>
          <w:u w:val="single"/>
        </w:rPr>
        <w:t xml:space="preserve">                             </w:t>
      </w:r>
      <w:r>
        <w:rPr>
          <w:rFonts w:hint="eastAsia" w:ascii="宋体" w:hAnsi="宋体" w:eastAsia="宋体"/>
          <w:color w:val="auto"/>
          <w:szCs w:val="21"/>
          <w:highlight w:val="none"/>
        </w:rPr>
        <w:t>生效。</w:t>
      </w:r>
    </w:p>
    <w:p w14:paraId="5F1D292E">
      <w:pPr>
        <w:adjustRightInd w:val="0"/>
        <w:snapToGrid w:val="0"/>
        <w:spacing w:before="156" w:beforeLines="50" w:line="360" w:lineRule="auto"/>
        <w:ind w:firstLine="310" w:firstLineChars="147"/>
        <w:rPr>
          <w:rFonts w:ascii="宋体" w:hAnsi="宋体" w:eastAsia="宋体"/>
          <w:b/>
          <w:color w:val="auto"/>
          <w:szCs w:val="21"/>
          <w:highlight w:val="none"/>
        </w:rPr>
      </w:pPr>
      <w:r>
        <w:rPr>
          <w:rFonts w:hint="eastAsia" w:ascii="宋体" w:hAnsi="宋体" w:eastAsia="宋体"/>
          <w:b/>
          <w:color w:val="auto"/>
          <w:szCs w:val="21"/>
          <w:highlight w:val="none"/>
        </w:rPr>
        <w:t>7.合同份数</w:t>
      </w:r>
    </w:p>
    <w:p w14:paraId="1660AC12">
      <w:pPr>
        <w:adjustRightInd w:val="0"/>
        <w:snapToGrid w:val="0"/>
        <w:spacing w:before="156" w:beforeLines="50" w:line="360" w:lineRule="auto"/>
        <w:ind w:firstLine="420" w:firstLineChars="200"/>
        <w:rPr>
          <w:rFonts w:ascii="宋体" w:hAnsi="宋体" w:eastAsia="宋体"/>
          <w:color w:val="auto"/>
          <w:szCs w:val="21"/>
          <w:highlight w:val="none"/>
        </w:rPr>
      </w:pPr>
      <w:r>
        <w:rPr>
          <w:rFonts w:hint="eastAsia" w:ascii="宋体" w:hAnsi="宋体" w:eastAsia="宋体"/>
          <w:color w:val="auto"/>
          <w:szCs w:val="21"/>
          <w:highlight w:val="none"/>
        </w:rPr>
        <w:t>本合同一式</w:t>
      </w:r>
      <w:r>
        <w:rPr>
          <w:rFonts w:hint="eastAsia" w:ascii="宋体" w:hAnsi="宋体" w:eastAsia="宋体"/>
          <w:color w:val="auto"/>
          <w:szCs w:val="21"/>
          <w:highlight w:val="none"/>
          <w:u w:val="single"/>
        </w:rPr>
        <w:t xml:space="preserve">    </w:t>
      </w:r>
      <w:r>
        <w:rPr>
          <w:rFonts w:hint="eastAsia" w:ascii="宋体" w:hAnsi="宋体" w:eastAsia="宋体"/>
          <w:color w:val="auto"/>
          <w:szCs w:val="21"/>
          <w:highlight w:val="none"/>
        </w:rPr>
        <w:t>份，采购人执</w:t>
      </w:r>
      <w:r>
        <w:rPr>
          <w:rFonts w:hint="eastAsia" w:ascii="宋体" w:hAnsi="宋体" w:eastAsia="宋体"/>
          <w:color w:val="auto"/>
          <w:szCs w:val="21"/>
          <w:highlight w:val="none"/>
          <w:u w:val="single"/>
        </w:rPr>
        <w:t xml:space="preserve">   </w:t>
      </w:r>
      <w:r>
        <w:rPr>
          <w:rFonts w:hint="eastAsia" w:ascii="宋体" w:hAnsi="宋体" w:eastAsia="宋体"/>
          <w:color w:val="auto"/>
          <w:szCs w:val="21"/>
          <w:highlight w:val="none"/>
        </w:rPr>
        <w:t>份，供应商执</w:t>
      </w:r>
      <w:r>
        <w:rPr>
          <w:rFonts w:hint="eastAsia" w:ascii="宋体" w:hAnsi="宋体" w:eastAsia="宋体"/>
          <w:color w:val="auto"/>
          <w:szCs w:val="21"/>
          <w:highlight w:val="none"/>
          <w:u w:val="single"/>
        </w:rPr>
        <w:t xml:space="preserve">   </w:t>
      </w:r>
      <w:r>
        <w:rPr>
          <w:rFonts w:hint="eastAsia" w:ascii="宋体" w:hAnsi="宋体" w:eastAsia="宋体"/>
          <w:color w:val="auto"/>
          <w:szCs w:val="21"/>
          <w:highlight w:val="none"/>
        </w:rPr>
        <w:t>份，均具有同等法律效力。</w:t>
      </w:r>
    </w:p>
    <w:p w14:paraId="6FCFA0B8">
      <w:pPr>
        <w:adjustRightInd w:val="0"/>
        <w:snapToGrid w:val="0"/>
        <w:spacing w:before="156" w:beforeLines="50" w:line="360" w:lineRule="auto"/>
        <w:rPr>
          <w:rFonts w:ascii="宋体" w:hAnsi="宋体" w:eastAsia="宋体"/>
          <w:color w:val="auto"/>
          <w:szCs w:val="21"/>
          <w:highlight w:val="none"/>
        </w:rPr>
      </w:pPr>
    </w:p>
    <w:p w14:paraId="76388869">
      <w:pPr>
        <w:adjustRightInd w:val="0"/>
        <w:snapToGrid w:val="0"/>
        <w:spacing w:before="156" w:beforeLines="50" w:line="360" w:lineRule="auto"/>
        <w:ind w:firstLine="420" w:firstLineChars="200"/>
        <w:rPr>
          <w:rFonts w:ascii="宋体" w:hAnsi="宋体" w:eastAsia="宋体"/>
          <w:color w:val="auto"/>
          <w:szCs w:val="21"/>
          <w:highlight w:val="none"/>
        </w:rPr>
      </w:pPr>
      <w:r>
        <w:rPr>
          <w:rFonts w:hint="eastAsia" w:ascii="宋体" w:hAnsi="宋体" w:eastAsia="宋体"/>
          <w:color w:val="auto"/>
          <w:szCs w:val="21"/>
          <w:highlight w:val="none"/>
        </w:rPr>
        <w:t>合同订立时间：</w:t>
      </w:r>
      <w:r>
        <w:rPr>
          <w:rFonts w:hint="eastAsia" w:ascii="宋体" w:hAnsi="宋体" w:eastAsia="宋体"/>
          <w:color w:val="auto"/>
          <w:szCs w:val="21"/>
          <w:highlight w:val="none"/>
          <w:u w:val="single"/>
        </w:rPr>
        <w:t xml:space="preserve">         </w:t>
      </w:r>
      <w:r>
        <w:rPr>
          <w:rFonts w:hint="eastAsia" w:ascii="宋体" w:hAnsi="宋体" w:eastAsia="宋体"/>
          <w:color w:val="auto"/>
          <w:szCs w:val="21"/>
          <w:highlight w:val="none"/>
        </w:rPr>
        <w:t>年</w:t>
      </w:r>
      <w:r>
        <w:rPr>
          <w:rFonts w:hint="eastAsia" w:ascii="宋体" w:hAnsi="宋体" w:eastAsia="宋体"/>
          <w:color w:val="auto"/>
          <w:szCs w:val="21"/>
          <w:highlight w:val="none"/>
          <w:u w:val="single"/>
        </w:rPr>
        <w:t xml:space="preserve">      </w:t>
      </w:r>
      <w:r>
        <w:rPr>
          <w:rFonts w:hint="eastAsia" w:ascii="宋体" w:hAnsi="宋体" w:eastAsia="宋体"/>
          <w:color w:val="auto"/>
          <w:szCs w:val="21"/>
          <w:highlight w:val="none"/>
        </w:rPr>
        <w:t>月</w:t>
      </w:r>
      <w:r>
        <w:rPr>
          <w:rFonts w:hint="eastAsia" w:ascii="宋体" w:hAnsi="宋体" w:eastAsia="宋体"/>
          <w:color w:val="auto"/>
          <w:szCs w:val="21"/>
          <w:highlight w:val="none"/>
          <w:u w:val="single"/>
        </w:rPr>
        <w:t xml:space="preserve">      </w:t>
      </w:r>
      <w:r>
        <w:rPr>
          <w:rFonts w:hint="eastAsia" w:ascii="宋体" w:hAnsi="宋体" w:eastAsia="宋体"/>
          <w:color w:val="auto"/>
          <w:szCs w:val="21"/>
          <w:highlight w:val="none"/>
        </w:rPr>
        <w:t>日</w:t>
      </w:r>
    </w:p>
    <w:p w14:paraId="29057DB2">
      <w:pPr>
        <w:adjustRightInd w:val="0"/>
        <w:snapToGrid w:val="0"/>
        <w:spacing w:before="156" w:beforeLines="50" w:line="360" w:lineRule="auto"/>
        <w:ind w:firstLine="420" w:firstLineChars="200"/>
        <w:rPr>
          <w:rFonts w:ascii="宋体" w:hAnsi="宋体" w:eastAsia="宋体"/>
          <w:color w:val="auto"/>
          <w:szCs w:val="21"/>
          <w:highlight w:val="none"/>
        </w:rPr>
      </w:pPr>
      <w:r>
        <w:rPr>
          <w:rFonts w:hint="eastAsia" w:ascii="宋体" w:hAnsi="宋体" w:eastAsia="宋体"/>
          <w:color w:val="auto"/>
          <w:szCs w:val="21"/>
          <w:highlight w:val="none"/>
        </w:rPr>
        <w:t>合同订立地点：</w:t>
      </w:r>
      <w:r>
        <w:rPr>
          <w:rFonts w:hint="eastAsia" w:ascii="宋体" w:hAnsi="宋体" w:eastAsia="宋体"/>
          <w:color w:val="auto"/>
          <w:szCs w:val="21"/>
          <w:highlight w:val="none"/>
          <w:u w:val="single"/>
        </w:rPr>
        <w:t xml:space="preserve">                           </w:t>
      </w:r>
    </w:p>
    <w:p w14:paraId="49FFA212">
      <w:pPr>
        <w:adjustRightInd w:val="0"/>
        <w:snapToGrid w:val="0"/>
        <w:spacing w:before="156" w:beforeLines="50" w:line="360" w:lineRule="auto"/>
        <w:ind w:firstLine="420" w:firstLineChars="200"/>
        <w:rPr>
          <w:rFonts w:ascii="宋体" w:hAnsi="宋体" w:eastAsia="宋体"/>
          <w:color w:val="auto"/>
          <w:szCs w:val="21"/>
          <w:highlight w:val="none"/>
        </w:rPr>
      </w:pPr>
      <w:r>
        <w:rPr>
          <w:rFonts w:hint="eastAsia" w:ascii="宋体" w:hAnsi="宋体" w:eastAsia="宋体"/>
          <w:color w:val="auto"/>
          <w:szCs w:val="21"/>
          <w:highlight w:val="none"/>
        </w:rPr>
        <w:t>附件：</w:t>
      </w:r>
      <w:r>
        <w:rPr>
          <w:rFonts w:hint="eastAsia" w:ascii="宋体" w:hAnsi="宋体"/>
          <w:color w:val="auto"/>
          <w:szCs w:val="21"/>
          <w:highlight w:val="none"/>
          <w:lang w:val="en-US" w:eastAsia="zh-CN"/>
        </w:rPr>
        <w:t>具体标的明细、分包合同等。</w:t>
      </w:r>
      <w:r>
        <w:rPr>
          <w:rFonts w:hint="eastAsia" w:ascii="宋体" w:hAnsi="宋体" w:eastAsia="宋体"/>
          <w:color w:val="auto"/>
          <w:szCs w:val="21"/>
          <w:highlight w:val="none"/>
        </w:rPr>
        <w:t xml:space="preserve">    </w:t>
      </w:r>
    </w:p>
    <w:p w14:paraId="3C0643BB">
      <w:pPr>
        <w:pStyle w:val="30"/>
        <w:rPr>
          <w:rFonts w:ascii="宋体" w:hAnsi="宋体" w:eastAsia="宋体"/>
          <w:color w:val="auto"/>
          <w:highlight w:val="none"/>
        </w:rPr>
      </w:pPr>
    </w:p>
    <w:p w14:paraId="3D61F96A">
      <w:pPr>
        <w:pStyle w:val="30"/>
        <w:rPr>
          <w:rFonts w:ascii="宋体" w:hAnsi="宋体" w:eastAsia="宋体"/>
          <w:color w:val="auto"/>
          <w:highlight w:val="none"/>
        </w:rPr>
      </w:pPr>
    </w:p>
    <w:p w14:paraId="172970A8">
      <w:pPr>
        <w:adjustRightInd w:val="0"/>
        <w:snapToGrid w:val="0"/>
        <w:spacing w:before="156" w:beforeLines="50" w:line="360" w:lineRule="auto"/>
        <w:rPr>
          <w:rFonts w:ascii="宋体" w:hAnsi="宋体" w:eastAsia="宋体"/>
          <w:color w:val="auto"/>
          <w:szCs w:val="21"/>
          <w:highlight w:val="none"/>
        </w:rPr>
      </w:pPr>
      <w:r>
        <w:rPr>
          <w:rFonts w:hint="eastAsia" w:ascii="宋体" w:hAnsi="宋体" w:eastAsia="宋体"/>
          <w:color w:val="auto"/>
          <w:szCs w:val="21"/>
          <w:highlight w:val="none"/>
        </w:rPr>
        <w:t>甲      方：（公章）                     乙      方：（公章）</w:t>
      </w:r>
    </w:p>
    <w:p w14:paraId="4692D16E">
      <w:pPr>
        <w:adjustRightInd w:val="0"/>
        <w:snapToGrid w:val="0"/>
        <w:spacing w:before="156" w:beforeLines="50" w:line="360" w:lineRule="auto"/>
        <w:rPr>
          <w:rFonts w:ascii="宋体" w:hAnsi="宋体" w:eastAsia="宋体"/>
          <w:color w:val="auto"/>
          <w:szCs w:val="21"/>
          <w:highlight w:val="none"/>
        </w:rPr>
      </w:pPr>
      <w:r>
        <w:rPr>
          <w:rFonts w:hint="eastAsia" w:ascii="宋体" w:hAnsi="宋体" w:eastAsia="宋体"/>
          <w:color w:val="auto"/>
          <w:szCs w:val="21"/>
          <w:highlight w:val="none"/>
        </w:rPr>
        <w:t>法定代表人：</w:t>
      </w:r>
      <w:r>
        <w:rPr>
          <w:rFonts w:hint="eastAsia" w:ascii="宋体" w:hAnsi="宋体" w:eastAsia="宋体"/>
          <w:color w:val="auto"/>
          <w:szCs w:val="21"/>
          <w:highlight w:val="none"/>
          <w:u w:val="single"/>
        </w:rPr>
        <w:t xml:space="preserve">                   </w:t>
      </w:r>
      <w:r>
        <w:rPr>
          <w:rFonts w:hint="eastAsia" w:ascii="宋体" w:hAnsi="宋体" w:eastAsia="宋体"/>
          <w:color w:val="auto"/>
          <w:szCs w:val="21"/>
          <w:highlight w:val="none"/>
        </w:rPr>
        <w:t xml:space="preserve">         法定代表人：</w:t>
      </w:r>
      <w:r>
        <w:rPr>
          <w:rFonts w:hint="eastAsia" w:ascii="宋体" w:hAnsi="宋体" w:eastAsia="宋体"/>
          <w:color w:val="auto"/>
          <w:szCs w:val="21"/>
          <w:highlight w:val="none"/>
          <w:u w:val="single"/>
        </w:rPr>
        <w:t xml:space="preserve">                   </w:t>
      </w:r>
    </w:p>
    <w:p w14:paraId="0CAFA325">
      <w:pPr>
        <w:adjustRightInd w:val="0"/>
        <w:snapToGrid w:val="0"/>
        <w:spacing w:before="156" w:beforeLines="50" w:line="360" w:lineRule="auto"/>
        <w:rPr>
          <w:rFonts w:ascii="宋体" w:hAnsi="宋体" w:eastAsia="宋体"/>
          <w:color w:val="auto"/>
          <w:szCs w:val="21"/>
          <w:highlight w:val="none"/>
        </w:rPr>
      </w:pPr>
      <w:r>
        <w:rPr>
          <w:rFonts w:hint="eastAsia" w:ascii="宋体" w:hAnsi="宋体" w:eastAsia="宋体"/>
          <w:color w:val="auto"/>
          <w:szCs w:val="21"/>
          <w:highlight w:val="none"/>
        </w:rPr>
        <w:t>委托代理人：</w:t>
      </w:r>
      <w:r>
        <w:rPr>
          <w:rFonts w:hint="eastAsia" w:ascii="宋体" w:hAnsi="宋体" w:eastAsia="宋体"/>
          <w:color w:val="auto"/>
          <w:szCs w:val="21"/>
          <w:highlight w:val="none"/>
          <w:u w:val="single"/>
        </w:rPr>
        <w:t xml:space="preserve">                   </w:t>
      </w:r>
      <w:r>
        <w:rPr>
          <w:rFonts w:hint="eastAsia" w:ascii="宋体" w:hAnsi="宋体" w:eastAsia="宋体"/>
          <w:color w:val="auto"/>
          <w:szCs w:val="21"/>
          <w:highlight w:val="none"/>
        </w:rPr>
        <w:t xml:space="preserve">         委托代理人：</w:t>
      </w:r>
      <w:r>
        <w:rPr>
          <w:rFonts w:hint="eastAsia" w:ascii="宋体" w:hAnsi="宋体" w:eastAsia="宋体"/>
          <w:color w:val="auto"/>
          <w:szCs w:val="21"/>
          <w:highlight w:val="none"/>
          <w:u w:val="single"/>
        </w:rPr>
        <w:t xml:space="preserve">                   </w:t>
      </w:r>
    </w:p>
    <w:p w14:paraId="73F20DC2">
      <w:pPr>
        <w:adjustRightInd w:val="0"/>
        <w:snapToGrid w:val="0"/>
        <w:spacing w:before="156" w:beforeLines="50" w:line="360" w:lineRule="auto"/>
        <w:rPr>
          <w:rFonts w:ascii="宋体" w:hAnsi="宋体" w:eastAsia="宋体"/>
          <w:color w:val="auto"/>
          <w:szCs w:val="21"/>
          <w:highlight w:val="none"/>
        </w:rPr>
      </w:pPr>
      <w:r>
        <w:rPr>
          <w:rFonts w:hint="eastAsia" w:ascii="宋体" w:hAnsi="宋体" w:eastAsia="宋体"/>
          <w:color w:val="auto"/>
          <w:szCs w:val="21"/>
          <w:highlight w:val="none"/>
        </w:rPr>
        <w:t>电      话：</w:t>
      </w:r>
      <w:r>
        <w:rPr>
          <w:rFonts w:hint="eastAsia" w:ascii="宋体" w:hAnsi="宋体" w:eastAsia="宋体"/>
          <w:color w:val="auto"/>
          <w:szCs w:val="21"/>
          <w:highlight w:val="none"/>
          <w:u w:val="single"/>
        </w:rPr>
        <w:t xml:space="preserve">                   </w:t>
      </w:r>
      <w:r>
        <w:rPr>
          <w:rFonts w:hint="eastAsia" w:ascii="宋体" w:hAnsi="宋体" w:eastAsia="宋体"/>
          <w:color w:val="auto"/>
          <w:szCs w:val="21"/>
          <w:highlight w:val="none"/>
        </w:rPr>
        <w:t xml:space="preserve">         电      话：</w:t>
      </w:r>
      <w:r>
        <w:rPr>
          <w:rFonts w:hint="eastAsia" w:ascii="宋体" w:hAnsi="宋体" w:eastAsia="宋体"/>
          <w:color w:val="auto"/>
          <w:szCs w:val="21"/>
          <w:highlight w:val="none"/>
          <w:u w:val="single"/>
        </w:rPr>
        <w:t xml:space="preserve">                   </w:t>
      </w:r>
    </w:p>
    <w:p w14:paraId="53D1017E">
      <w:pPr>
        <w:adjustRightInd w:val="0"/>
        <w:snapToGrid w:val="0"/>
        <w:spacing w:before="156" w:beforeLines="50" w:line="360" w:lineRule="auto"/>
        <w:rPr>
          <w:rFonts w:ascii="宋体" w:hAnsi="宋体" w:eastAsia="宋体"/>
          <w:color w:val="auto"/>
          <w:szCs w:val="21"/>
          <w:highlight w:val="none"/>
        </w:rPr>
      </w:pPr>
      <w:r>
        <w:rPr>
          <w:rFonts w:hint="eastAsia" w:ascii="宋体" w:hAnsi="宋体" w:eastAsia="宋体"/>
          <w:color w:val="auto"/>
          <w:szCs w:val="21"/>
          <w:highlight w:val="none"/>
        </w:rPr>
        <w:t>传      真：</w:t>
      </w:r>
      <w:r>
        <w:rPr>
          <w:rFonts w:hint="eastAsia" w:ascii="宋体" w:hAnsi="宋体" w:eastAsia="宋体"/>
          <w:color w:val="auto"/>
          <w:szCs w:val="21"/>
          <w:highlight w:val="none"/>
          <w:u w:val="single"/>
        </w:rPr>
        <w:t xml:space="preserve">                   </w:t>
      </w:r>
      <w:r>
        <w:rPr>
          <w:rFonts w:hint="eastAsia" w:ascii="宋体" w:hAnsi="宋体" w:eastAsia="宋体"/>
          <w:color w:val="auto"/>
          <w:szCs w:val="21"/>
          <w:highlight w:val="none"/>
        </w:rPr>
        <w:t xml:space="preserve">         传      真：</w:t>
      </w:r>
      <w:r>
        <w:rPr>
          <w:rFonts w:hint="eastAsia" w:ascii="宋体" w:hAnsi="宋体" w:eastAsia="宋体"/>
          <w:color w:val="auto"/>
          <w:szCs w:val="21"/>
          <w:highlight w:val="none"/>
          <w:u w:val="single"/>
        </w:rPr>
        <w:t xml:space="preserve">                   </w:t>
      </w:r>
    </w:p>
    <w:p w14:paraId="5832F092">
      <w:pPr>
        <w:adjustRightInd w:val="0"/>
        <w:snapToGrid w:val="0"/>
        <w:spacing w:before="156" w:beforeLines="50" w:line="360" w:lineRule="auto"/>
        <w:ind w:firstLine="420" w:firstLineChars="200"/>
        <w:rPr>
          <w:rFonts w:ascii="宋体" w:hAnsi="宋体" w:eastAsia="宋体"/>
          <w:color w:val="auto"/>
          <w:szCs w:val="21"/>
          <w:highlight w:val="none"/>
        </w:rPr>
      </w:pPr>
      <w:r>
        <w:rPr>
          <w:rFonts w:hint="eastAsia" w:ascii="宋体" w:hAnsi="宋体" w:eastAsia="宋体"/>
          <w:color w:val="auto"/>
          <w:szCs w:val="21"/>
          <w:highlight w:val="none"/>
        </w:rPr>
        <w:t xml:space="preserve">                                    开 户 银 行：</w:t>
      </w:r>
      <w:r>
        <w:rPr>
          <w:rFonts w:hint="eastAsia" w:ascii="宋体" w:hAnsi="宋体" w:eastAsia="宋体"/>
          <w:color w:val="auto"/>
          <w:szCs w:val="21"/>
          <w:highlight w:val="none"/>
          <w:u w:val="single"/>
        </w:rPr>
        <w:t xml:space="preserve">                   </w:t>
      </w:r>
    </w:p>
    <w:p w14:paraId="236A13D6">
      <w:pPr>
        <w:adjustRightInd w:val="0"/>
        <w:snapToGrid w:val="0"/>
        <w:spacing w:before="156" w:beforeLines="50" w:line="360" w:lineRule="auto"/>
        <w:jc w:val="center"/>
        <w:rPr>
          <w:rFonts w:ascii="宋体" w:hAnsi="宋体" w:eastAsia="宋体"/>
          <w:b/>
          <w:color w:val="auto"/>
          <w:szCs w:val="21"/>
          <w:highlight w:val="none"/>
        </w:rPr>
      </w:pPr>
      <w:r>
        <w:rPr>
          <w:rFonts w:hint="eastAsia" w:ascii="宋体" w:hAnsi="宋体" w:eastAsia="宋体"/>
          <w:color w:val="auto"/>
          <w:szCs w:val="21"/>
          <w:highlight w:val="none"/>
        </w:rPr>
        <w:t xml:space="preserve">         账       号：</w:t>
      </w:r>
      <w:r>
        <w:rPr>
          <w:rFonts w:hint="eastAsia" w:ascii="宋体" w:hAnsi="宋体" w:eastAsia="宋体"/>
          <w:color w:val="auto"/>
          <w:szCs w:val="21"/>
          <w:highlight w:val="none"/>
          <w:u w:val="single"/>
        </w:rPr>
        <w:t xml:space="preserve">                   </w:t>
      </w:r>
    </w:p>
    <w:p w14:paraId="1947ED19">
      <w:pPr>
        <w:pStyle w:val="3"/>
        <w:adjustRightInd w:val="0"/>
        <w:snapToGrid w:val="0"/>
        <w:spacing w:before="156" w:beforeLines="50"/>
        <w:jc w:val="center"/>
        <w:rPr>
          <w:rFonts w:ascii="黑体" w:hAnsi="黑体" w:eastAsia="黑体"/>
          <w:color w:val="auto"/>
          <w:sz w:val="28"/>
          <w:szCs w:val="28"/>
          <w:highlight w:val="none"/>
        </w:rPr>
      </w:pPr>
      <w:r>
        <w:rPr>
          <w:rFonts w:ascii="宋体" w:hAnsi="宋体" w:eastAsia="宋体"/>
          <w:color w:val="auto"/>
          <w:sz w:val="21"/>
          <w:szCs w:val="21"/>
          <w:highlight w:val="none"/>
          <w:u w:val="single"/>
        </w:rPr>
        <w:br w:type="page"/>
      </w:r>
      <w:bookmarkStart w:id="110" w:name="_Toc22384"/>
      <w:r>
        <w:rPr>
          <w:rFonts w:hint="eastAsia" w:ascii="黑体" w:hAnsi="黑体" w:eastAsia="黑体"/>
          <w:color w:val="auto"/>
          <w:sz w:val="28"/>
          <w:szCs w:val="28"/>
          <w:highlight w:val="none"/>
        </w:rPr>
        <w:t>第二节 政府采购合同通用条款</w:t>
      </w:r>
      <w:bookmarkEnd w:id="110"/>
    </w:p>
    <w:p w14:paraId="75082AC7">
      <w:pPr>
        <w:tabs>
          <w:tab w:val="left" w:pos="8820"/>
          <w:tab w:val="left" w:pos="9345"/>
          <w:tab w:val="left" w:pos="9765"/>
        </w:tabs>
        <w:adjustRightInd w:val="0"/>
        <w:snapToGrid w:val="0"/>
        <w:spacing w:before="50" w:line="360" w:lineRule="auto"/>
        <w:jc w:val="left"/>
        <w:rPr>
          <w:rFonts w:ascii="宋体" w:hAnsi="宋体" w:eastAsia="宋体"/>
          <w:b/>
          <w:bCs/>
          <w:color w:val="auto"/>
          <w:sz w:val="24"/>
          <w:highlight w:val="none"/>
        </w:rPr>
      </w:pPr>
      <w:r>
        <w:rPr>
          <w:rFonts w:hint="eastAsia" w:ascii="宋体" w:hAnsi="宋体" w:eastAsia="宋体"/>
          <w:b/>
          <w:color w:val="auto"/>
          <w:sz w:val="24"/>
          <w:highlight w:val="none"/>
        </w:rPr>
        <w:t>1.</w:t>
      </w:r>
      <w:r>
        <w:rPr>
          <w:rFonts w:hint="eastAsia" w:ascii="宋体" w:hAnsi="宋体" w:eastAsia="宋体"/>
          <w:b/>
          <w:bCs/>
          <w:color w:val="auto"/>
          <w:sz w:val="24"/>
          <w:highlight w:val="none"/>
        </w:rPr>
        <w:t>定义</w:t>
      </w:r>
    </w:p>
    <w:p w14:paraId="7DF82FA3">
      <w:pPr>
        <w:autoSpaceDE w:val="0"/>
        <w:autoSpaceDN w:val="0"/>
        <w:adjustRightInd w:val="0"/>
        <w:snapToGrid w:val="0"/>
        <w:spacing w:before="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1.1合同当事人</w:t>
      </w:r>
    </w:p>
    <w:p w14:paraId="2D4D5828">
      <w:pPr>
        <w:autoSpaceDE w:val="0"/>
        <w:autoSpaceDN w:val="0"/>
        <w:adjustRightInd w:val="0"/>
        <w:snapToGrid w:val="0"/>
        <w:spacing w:before="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（1）采购人（以下称甲方）是指使用财政性资金，通过政府采购方式向供应商购买货物、服务的国家机关、事业单位、团体组织。本次采购的甲方名称、地址见</w:t>
      </w:r>
      <w:r>
        <w:rPr>
          <w:rFonts w:hint="eastAsia" w:ascii="宋体" w:hAnsi="宋体" w:eastAsia="宋体"/>
          <w:b/>
          <w:color w:val="auto"/>
          <w:szCs w:val="21"/>
          <w:highlight w:val="none"/>
        </w:rPr>
        <w:t>【政府采购合同专用条款】。</w:t>
      </w:r>
    </w:p>
    <w:p w14:paraId="62ECB4BC">
      <w:pPr>
        <w:autoSpaceDE w:val="0"/>
        <w:autoSpaceDN w:val="0"/>
        <w:adjustRightInd w:val="0"/>
        <w:snapToGrid w:val="0"/>
        <w:spacing w:before="50" w:line="360" w:lineRule="auto"/>
        <w:ind w:firstLine="420" w:firstLineChars="200"/>
        <w:jc w:val="left"/>
        <w:rPr>
          <w:rFonts w:ascii="宋体" w:hAnsi="宋体" w:eastAsia="宋体"/>
          <w:b/>
          <w:color w:val="auto"/>
          <w:szCs w:val="21"/>
          <w:highlight w:val="none"/>
        </w:rPr>
      </w:pPr>
      <w:r>
        <w:rPr>
          <w:rFonts w:hint="eastAsia" w:ascii="宋体" w:hAnsi="宋体" w:eastAsia="宋体"/>
          <w:color w:val="auto"/>
          <w:szCs w:val="21"/>
          <w:highlight w:val="none"/>
        </w:rPr>
        <w:t>（2）供应商（以下称乙方）是指参加政府采购活动而取得中标结果，并向采购人提供货物、服务的法人、其他组织或者自然人。</w:t>
      </w:r>
    </w:p>
    <w:p w14:paraId="2575D030">
      <w:pPr>
        <w:tabs>
          <w:tab w:val="left" w:pos="570"/>
          <w:tab w:val="left" w:pos="9240"/>
          <w:tab w:val="left" w:pos="9555"/>
        </w:tabs>
        <w:adjustRightInd w:val="0"/>
        <w:snapToGrid w:val="0"/>
        <w:spacing w:before="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1.2本合同下列术语应解释为：</w:t>
      </w:r>
    </w:p>
    <w:p w14:paraId="5D32FC55">
      <w:pPr>
        <w:tabs>
          <w:tab w:val="left" w:pos="570"/>
          <w:tab w:val="left" w:pos="9240"/>
          <w:tab w:val="left" w:pos="9555"/>
        </w:tabs>
        <w:adjustRightInd w:val="0"/>
        <w:snapToGrid w:val="0"/>
        <w:spacing w:before="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（1）“合同”系指甲乙双方签署的、政府采购合同协议书中载明的甲乙双方所达成的协议，包括所有的附件、附录和上述文件所提到的构成合同的所有文件。</w:t>
      </w:r>
    </w:p>
    <w:p w14:paraId="64ED84F1">
      <w:pPr>
        <w:tabs>
          <w:tab w:val="left" w:pos="570"/>
          <w:tab w:val="left" w:pos="9240"/>
          <w:tab w:val="left" w:pos="9555"/>
        </w:tabs>
        <w:adjustRightInd w:val="0"/>
        <w:snapToGrid w:val="0"/>
        <w:spacing w:before="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（2）“合同价”系指根据本合同规定乙方在正确地完全履行合同义务后甲方应支付给乙方的价款。</w:t>
      </w:r>
    </w:p>
    <w:p w14:paraId="5B8B1A58">
      <w:pPr>
        <w:tabs>
          <w:tab w:val="left" w:pos="570"/>
          <w:tab w:val="left" w:pos="9240"/>
          <w:tab w:val="left" w:pos="9555"/>
        </w:tabs>
        <w:adjustRightInd w:val="0"/>
        <w:snapToGrid w:val="0"/>
        <w:spacing w:before="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（3）“货物”系指乙方根据本合同规定须向甲方提供的各种形态和种类的物品，包括原材料、设备、产品（包括软件）及相关的其备品备件、工具、手册及其它技术资料和材料。</w:t>
      </w:r>
    </w:p>
    <w:p w14:paraId="62DA3497">
      <w:pPr>
        <w:tabs>
          <w:tab w:val="left" w:pos="570"/>
          <w:tab w:val="left" w:pos="8880"/>
          <w:tab w:val="left" w:pos="9555"/>
        </w:tabs>
        <w:adjustRightInd w:val="0"/>
        <w:snapToGrid w:val="0"/>
        <w:spacing w:before="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4）“服务”系指根据合同规定，乙方应提供的技术、管理和其它服务，包括但不限于：管理和质量保证、运输、保险、检验、现场准备、安装、集成、调试、培训、维修、技术支持等以及合同中规定乙方应承担的其它义务。</w:t>
      </w:r>
    </w:p>
    <w:p w14:paraId="0C39121F">
      <w:pPr>
        <w:tabs>
          <w:tab w:val="left" w:pos="570"/>
          <w:tab w:val="left" w:pos="9240"/>
          <w:tab w:val="left" w:pos="9555"/>
        </w:tabs>
        <w:adjustRightInd w:val="0"/>
        <w:snapToGrid w:val="0"/>
        <w:spacing w:before="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（5）“合同条款”系指本合同及其附件、补充文件约定的全部条款。</w:t>
      </w:r>
    </w:p>
    <w:p w14:paraId="236166BD">
      <w:pPr>
        <w:tabs>
          <w:tab w:val="left" w:pos="570"/>
          <w:tab w:val="left" w:pos="9240"/>
          <w:tab w:val="left" w:pos="9555"/>
        </w:tabs>
        <w:adjustRightInd w:val="0"/>
        <w:snapToGrid w:val="0"/>
        <w:spacing w:before="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（6）“项目现场”系指本合同项下货物安装、运行的现场，其名称见</w:t>
      </w:r>
      <w:r>
        <w:rPr>
          <w:rFonts w:hint="eastAsia" w:ascii="宋体" w:hAnsi="宋体" w:eastAsia="宋体"/>
          <w:b/>
          <w:color w:val="auto"/>
          <w:szCs w:val="21"/>
          <w:highlight w:val="none"/>
        </w:rPr>
        <w:t>【政府采购合同专用条款】</w:t>
      </w:r>
      <w:r>
        <w:rPr>
          <w:rFonts w:hint="eastAsia" w:ascii="宋体" w:hAnsi="宋体" w:eastAsia="宋体"/>
          <w:color w:val="auto"/>
          <w:szCs w:val="21"/>
          <w:highlight w:val="none"/>
        </w:rPr>
        <w:t>。</w:t>
      </w:r>
    </w:p>
    <w:p w14:paraId="5B80E059">
      <w:pPr>
        <w:autoSpaceDE w:val="0"/>
        <w:autoSpaceDN w:val="0"/>
        <w:adjustRightInd w:val="0"/>
        <w:snapToGrid w:val="0"/>
        <w:spacing w:before="50" w:line="360" w:lineRule="auto"/>
        <w:jc w:val="left"/>
        <w:rPr>
          <w:rFonts w:ascii="宋体" w:hAnsi="宋体" w:eastAsia="宋体"/>
          <w:b/>
          <w:color w:val="auto"/>
          <w:sz w:val="24"/>
          <w:highlight w:val="none"/>
        </w:rPr>
      </w:pPr>
      <w:r>
        <w:rPr>
          <w:rFonts w:hint="eastAsia" w:ascii="宋体" w:hAnsi="宋体" w:eastAsia="宋体"/>
          <w:b/>
          <w:color w:val="auto"/>
          <w:sz w:val="24"/>
          <w:highlight w:val="none"/>
        </w:rPr>
        <w:t>2.合同的适用范围</w:t>
      </w:r>
    </w:p>
    <w:p w14:paraId="086F1C81">
      <w:pPr>
        <w:autoSpaceDE w:val="0"/>
        <w:autoSpaceDN w:val="0"/>
        <w:adjustRightInd w:val="0"/>
        <w:snapToGrid w:val="0"/>
        <w:spacing w:before="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2.1 本合同条款适用于没有被本合同其他部分的条款所取代的范围。</w:t>
      </w:r>
    </w:p>
    <w:p w14:paraId="3D55430B">
      <w:pPr>
        <w:autoSpaceDE w:val="0"/>
        <w:autoSpaceDN w:val="0"/>
        <w:adjustRightInd w:val="0"/>
        <w:snapToGrid w:val="0"/>
        <w:spacing w:before="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2.2 合同内容根据招标文件、投标文件而确定。</w:t>
      </w:r>
    </w:p>
    <w:p w14:paraId="42F10605">
      <w:pPr>
        <w:autoSpaceDE w:val="0"/>
        <w:autoSpaceDN w:val="0"/>
        <w:adjustRightInd w:val="0"/>
        <w:snapToGrid w:val="0"/>
        <w:spacing w:before="50" w:line="360" w:lineRule="auto"/>
        <w:jc w:val="left"/>
        <w:rPr>
          <w:rFonts w:ascii="宋体" w:hAnsi="宋体" w:eastAsia="宋体"/>
          <w:b/>
          <w:bCs/>
          <w:color w:val="auto"/>
          <w:sz w:val="24"/>
          <w:highlight w:val="none"/>
        </w:rPr>
      </w:pPr>
      <w:r>
        <w:rPr>
          <w:rFonts w:hint="eastAsia" w:ascii="宋体" w:hAnsi="宋体" w:eastAsia="宋体"/>
          <w:b/>
          <w:bCs/>
          <w:color w:val="auto"/>
          <w:sz w:val="24"/>
          <w:highlight w:val="none"/>
        </w:rPr>
        <w:t>3.</w:t>
      </w:r>
      <w:r>
        <w:rPr>
          <w:rFonts w:hint="eastAsia" w:ascii="宋体" w:hAnsi="宋体" w:eastAsia="宋体"/>
          <w:b/>
          <w:color w:val="auto"/>
          <w:sz w:val="24"/>
          <w:highlight w:val="none"/>
        </w:rPr>
        <w:t>合同标的及金额</w:t>
      </w:r>
    </w:p>
    <w:p w14:paraId="4F0D676B">
      <w:pPr>
        <w:autoSpaceDE w:val="0"/>
        <w:autoSpaceDN w:val="0"/>
        <w:adjustRightInd w:val="0"/>
        <w:snapToGrid w:val="0"/>
        <w:spacing w:before="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3.1 合同标的及金额应与中标结果一致。</w:t>
      </w:r>
    </w:p>
    <w:p w14:paraId="3AEFDFC9">
      <w:pPr>
        <w:autoSpaceDE w:val="0"/>
        <w:autoSpaceDN w:val="0"/>
        <w:adjustRightInd w:val="0"/>
        <w:snapToGrid w:val="0"/>
        <w:spacing w:before="50" w:line="360" w:lineRule="auto"/>
        <w:jc w:val="left"/>
        <w:rPr>
          <w:rFonts w:ascii="宋体" w:hAnsi="宋体" w:eastAsia="宋体"/>
          <w:b/>
          <w:bCs/>
          <w:color w:val="auto"/>
          <w:sz w:val="24"/>
          <w:highlight w:val="none"/>
        </w:rPr>
      </w:pPr>
      <w:r>
        <w:rPr>
          <w:rFonts w:hint="eastAsia" w:ascii="宋体" w:hAnsi="宋体" w:eastAsia="宋体"/>
          <w:b/>
          <w:bCs/>
          <w:color w:val="auto"/>
          <w:sz w:val="24"/>
          <w:highlight w:val="none"/>
        </w:rPr>
        <w:t>4.</w:t>
      </w:r>
      <w:r>
        <w:rPr>
          <w:rFonts w:hint="eastAsia" w:ascii="宋体" w:hAnsi="宋体" w:eastAsia="宋体"/>
          <w:b/>
          <w:color w:val="auto"/>
          <w:sz w:val="24"/>
          <w:highlight w:val="none"/>
        </w:rPr>
        <w:t>合同价款</w:t>
      </w:r>
    </w:p>
    <w:p w14:paraId="4408235E">
      <w:pPr>
        <w:adjustRightInd w:val="0"/>
        <w:snapToGrid w:val="0"/>
        <w:spacing w:before="50" w:line="360" w:lineRule="auto"/>
        <w:ind w:firstLine="420" w:firstLineChars="200"/>
        <w:jc w:val="left"/>
        <w:rPr>
          <w:rFonts w:ascii="宋体" w:hAnsi="宋体" w:eastAsia="宋体"/>
          <w:b/>
          <w:bCs/>
          <w:i/>
          <w:iCs/>
          <w:color w:val="auto"/>
          <w:szCs w:val="21"/>
          <w:highlight w:val="none"/>
        </w:rPr>
      </w:pPr>
      <w:r>
        <w:rPr>
          <w:rFonts w:hint="eastAsia" w:ascii="宋体" w:hAnsi="宋体" w:eastAsia="宋体"/>
          <w:color w:val="auto"/>
          <w:szCs w:val="21"/>
          <w:highlight w:val="none"/>
        </w:rPr>
        <w:t>4.1具体合同价款见本合同第3.1条。乙方为履行本合同而发生的所有费用均应包含在合同价款中，甲方不再另行支付其它任何费用。</w:t>
      </w:r>
    </w:p>
    <w:p w14:paraId="430372EF">
      <w:pPr>
        <w:adjustRightInd w:val="0"/>
        <w:snapToGrid w:val="0"/>
        <w:spacing w:before="50" w:line="360" w:lineRule="auto"/>
        <w:jc w:val="left"/>
        <w:rPr>
          <w:rFonts w:ascii="宋体" w:hAnsi="宋体" w:eastAsia="宋体"/>
          <w:b/>
          <w:color w:val="auto"/>
          <w:sz w:val="24"/>
          <w:highlight w:val="none"/>
        </w:rPr>
      </w:pPr>
      <w:r>
        <w:rPr>
          <w:rFonts w:hint="eastAsia" w:ascii="宋体" w:hAnsi="宋体" w:eastAsia="宋体"/>
          <w:b/>
          <w:color w:val="auto"/>
          <w:sz w:val="24"/>
          <w:highlight w:val="none"/>
        </w:rPr>
        <w:t>5.履行合同的时间、地点和方式</w:t>
      </w:r>
    </w:p>
    <w:p w14:paraId="2A251023">
      <w:pPr>
        <w:autoSpaceDE w:val="0"/>
        <w:autoSpaceDN w:val="0"/>
        <w:adjustRightInd w:val="0"/>
        <w:snapToGrid w:val="0"/>
        <w:spacing w:before="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5.1 乙方应当在甲方确定的时间、指定的地点履行合同，具体的交货时间、地点和方式见</w:t>
      </w:r>
      <w:r>
        <w:rPr>
          <w:rFonts w:hint="eastAsia" w:ascii="宋体" w:hAnsi="宋体" w:eastAsia="宋体"/>
          <w:b/>
          <w:color w:val="auto"/>
          <w:szCs w:val="21"/>
          <w:highlight w:val="none"/>
        </w:rPr>
        <w:t>【政府采购合同专用条款】</w:t>
      </w:r>
      <w:r>
        <w:rPr>
          <w:rFonts w:hint="eastAsia" w:ascii="宋体" w:hAnsi="宋体" w:eastAsia="宋体"/>
          <w:color w:val="auto"/>
          <w:szCs w:val="21"/>
          <w:highlight w:val="none"/>
        </w:rPr>
        <w:t>。</w:t>
      </w:r>
    </w:p>
    <w:p w14:paraId="53484CDB">
      <w:pPr>
        <w:autoSpaceDE w:val="0"/>
        <w:autoSpaceDN w:val="0"/>
        <w:adjustRightInd w:val="0"/>
        <w:snapToGrid w:val="0"/>
        <w:spacing w:before="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5.2 乙方提供服务的应当在甲方指定的时间和地点完成服务项目。</w:t>
      </w:r>
    </w:p>
    <w:p w14:paraId="06D38290">
      <w:pPr>
        <w:adjustRightInd w:val="0"/>
        <w:snapToGrid w:val="0"/>
        <w:spacing w:before="50" w:line="360" w:lineRule="auto"/>
        <w:jc w:val="left"/>
        <w:rPr>
          <w:rFonts w:ascii="宋体" w:hAnsi="宋体" w:eastAsia="宋体"/>
          <w:b/>
          <w:bCs/>
          <w:color w:val="auto"/>
          <w:sz w:val="24"/>
          <w:highlight w:val="none"/>
        </w:rPr>
      </w:pPr>
      <w:r>
        <w:rPr>
          <w:rFonts w:hint="eastAsia" w:ascii="宋体" w:hAnsi="宋体" w:eastAsia="宋体"/>
          <w:b/>
          <w:bCs/>
          <w:color w:val="auto"/>
          <w:sz w:val="24"/>
          <w:highlight w:val="none"/>
        </w:rPr>
        <w:t>6.</w:t>
      </w:r>
      <w:r>
        <w:rPr>
          <w:rFonts w:hint="eastAsia" w:ascii="宋体" w:hAnsi="宋体" w:eastAsia="宋体"/>
          <w:b/>
          <w:color w:val="auto"/>
          <w:sz w:val="24"/>
          <w:highlight w:val="none"/>
        </w:rPr>
        <w:t>货物的验收</w:t>
      </w:r>
    </w:p>
    <w:p w14:paraId="1B94E5CA">
      <w:pPr>
        <w:autoSpaceDE w:val="0"/>
        <w:autoSpaceDN w:val="0"/>
        <w:adjustRightInd w:val="0"/>
        <w:snapToGrid w:val="0"/>
        <w:spacing w:before="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6.1 甲方在收到乙方交付的货物后应当及时组织验收。</w:t>
      </w:r>
    </w:p>
    <w:p w14:paraId="00558F20">
      <w:pPr>
        <w:autoSpaceDE w:val="0"/>
        <w:autoSpaceDN w:val="0"/>
        <w:adjustRightInd w:val="0"/>
        <w:snapToGrid w:val="0"/>
        <w:spacing w:before="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6.2 货物的表面瑕疵，甲方应在验收时当面提出；对质量问题有异议的应在安装调试后十个工作日内提出。</w:t>
      </w:r>
    </w:p>
    <w:p w14:paraId="3E89EC2C">
      <w:pPr>
        <w:autoSpaceDE w:val="0"/>
        <w:autoSpaceDN w:val="0"/>
        <w:adjustRightInd w:val="0"/>
        <w:snapToGrid w:val="0"/>
        <w:spacing w:before="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6.3 在验收过程中发现数量不足或有质量、技术等问题，乙方应负责按照甲方的要求采取补足、更换或退货等处理措施，并承担由此发生的一切费用和损失。</w:t>
      </w:r>
    </w:p>
    <w:p w14:paraId="2086DAC1">
      <w:pPr>
        <w:autoSpaceDE w:val="0"/>
        <w:autoSpaceDN w:val="0"/>
        <w:adjustRightInd w:val="0"/>
        <w:snapToGrid w:val="0"/>
        <w:spacing w:before="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6.4 甲方在乙方按合同规定交货或安装、调试后，无正当理由而拖延接收、验收或拒绝接收、验收的，应承担因此给乙方造成的直接损失。</w:t>
      </w:r>
    </w:p>
    <w:p w14:paraId="420FE0FF">
      <w:pPr>
        <w:autoSpaceDE w:val="0"/>
        <w:autoSpaceDN w:val="0"/>
        <w:adjustRightInd w:val="0"/>
        <w:snapToGrid w:val="0"/>
        <w:spacing w:before="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6.5 甲方对货物进行检查验收合格后，应当收取发票并在《交货验收单》上签署验收意见及加盖单位印章。</w:t>
      </w:r>
    </w:p>
    <w:p w14:paraId="0FE923F9">
      <w:pPr>
        <w:autoSpaceDE w:val="0"/>
        <w:autoSpaceDN w:val="0"/>
        <w:adjustRightInd w:val="0"/>
        <w:snapToGrid w:val="0"/>
        <w:spacing w:before="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6.6 大型或者复杂的货物采购项目，甲方可以邀请国家认可的质量检测机构参加验收工作，并由其出具验收报告单。</w:t>
      </w:r>
    </w:p>
    <w:p w14:paraId="4667B08B">
      <w:pPr>
        <w:autoSpaceDE w:val="0"/>
        <w:autoSpaceDN w:val="0"/>
        <w:adjustRightInd w:val="0"/>
        <w:snapToGrid w:val="0"/>
        <w:spacing w:before="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6.7 乙方提供的进口产品，乙方应出示中华人民共和国进出口商品检验部门出具的检验证书（招标文件第五章采购需求另有约定的除外）。</w:t>
      </w:r>
    </w:p>
    <w:p w14:paraId="0C09F64A">
      <w:pPr>
        <w:adjustRightInd w:val="0"/>
        <w:snapToGrid w:val="0"/>
        <w:spacing w:before="50" w:line="360" w:lineRule="auto"/>
        <w:jc w:val="left"/>
        <w:rPr>
          <w:rFonts w:ascii="宋体" w:hAnsi="宋体" w:eastAsia="宋体"/>
          <w:b/>
          <w:bCs/>
          <w:color w:val="auto"/>
          <w:sz w:val="24"/>
          <w:highlight w:val="none"/>
        </w:rPr>
      </w:pPr>
      <w:r>
        <w:rPr>
          <w:rFonts w:hint="eastAsia" w:ascii="宋体" w:hAnsi="宋体" w:eastAsia="宋体"/>
          <w:b/>
          <w:bCs/>
          <w:color w:val="auto"/>
          <w:sz w:val="24"/>
          <w:highlight w:val="none"/>
        </w:rPr>
        <w:t>7.货物包装要求</w:t>
      </w:r>
    </w:p>
    <w:p w14:paraId="67DEB4F2">
      <w:pPr>
        <w:autoSpaceDE w:val="0"/>
        <w:autoSpaceDN w:val="0"/>
        <w:adjustRightInd w:val="0"/>
        <w:snapToGrid w:val="0"/>
        <w:spacing w:before="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7.1 乙方所出售的全部货物均应按标准保护措施进行包装，包装应适应于远距离运输、防潮、防震、防锈和防野蛮装卸等要求，以确保货物安全无损地运抵指定现场。由于包装防护措施不妥而引起的损坏、丢失由乙方负责。</w:t>
      </w:r>
    </w:p>
    <w:p w14:paraId="1B9A2138">
      <w:pPr>
        <w:autoSpaceDE w:val="0"/>
        <w:autoSpaceDN w:val="0"/>
        <w:adjustRightInd w:val="0"/>
        <w:snapToGrid w:val="0"/>
        <w:spacing w:before="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7.2 每一个包装箱内应附一份详细装箱单、质量证书和保修保养证书。</w:t>
      </w:r>
    </w:p>
    <w:p w14:paraId="59635B38">
      <w:pPr>
        <w:adjustRightInd w:val="0"/>
        <w:snapToGrid w:val="0"/>
        <w:spacing w:before="50" w:line="360" w:lineRule="auto"/>
        <w:jc w:val="left"/>
        <w:rPr>
          <w:rFonts w:ascii="宋体" w:hAnsi="宋体" w:eastAsia="宋体"/>
          <w:b/>
          <w:color w:val="auto"/>
          <w:sz w:val="24"/>
          <w:highlight w:val="none"/>
        </w:rPr>
      </w:pPr>
      <w:r>
        <w:rPr>
          <w:rFonts w:hint="eastAsia" w:ascii="宋体" w:hAnsi="宋体" w:eastAsia="宋体"/>
          <w:b/>
          <w:color w:val="auto"/>
          <w:sz w:val="24"/>
          <w:highlight w:val="none"/>
        </w:rPr>
        <w:t>8.运输和保险</w:t>
      </w:r>
    </w:p>
    <w:p w14:paraId="5FF0127F">
      <w:pPr>
        <w:adjustRightInd w:val="0"/>
        <w:snapToGrid w:val="0"/>
        <w:spacing w:before="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8.1乙方负责办理将货物运抵本合同第5.1条规定的交货地点的一切运输事项，相关费用应包括在合同总价中。</w:t>
      </w:r>
    </w:p>
    <w:p w14:paraId="7D20B303">
      <w:pPr>
        <w:adjustRightInd w:val="0"/>
        <w:snapToGrid w:val="0"/>
        <w:spacing w:before="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8.2乙方应向保险公司投保以甲方为受益人的发运合同货物发票金额的110％运输一切险。</w:t>
      </w:r>
    </w:p>
    <w:p w14:paraId="2C5B987F">
      <w:pPr>
        <w:adjustRightInd w:val="0"/>
        <w:snapToGrid w:val="0"/>
        <w:spacing w:before="50" w:line="360" w:lineRule="auto"/>
        <w:jc w:val="left"/>
        <w:rPr>
          <w:rFonts w:ascii="宋体" w:hAnsi="宋体" w:eastAsia="宋体"/>
          <w:b/>
          <w:color w:val="auto"/>
          <w:sz w:val="24"/>
          <w:highlight w:val="none"/>
        </w:rPr>
      </w:pPr>
      <w:r>
        <w:rPr>
          <w:rFonts w:hint="eastAsia" w:ascii="宋体" w:hAnsi="宋体" w:eastAsia="宋体"/>
          <w:b/>
          <w:color w:val="auto"/>
          <w:sz w:val="24"/>
          <w:highlight w:val="none"/>
        </w:rPr>
        <w:t>9.质量标准和保证</w:t>
      </w:r>
    </w:p>
    <w:p w14:paraId="58FBB582">
      <w:pPr>
        <w:pStyle w:val="13"/>
        <w:adjustRightInd w:val="0"/>
        <w:snapToGrid w:val="0"/>
        <w:spacing w:before="50" w:line="360" w:lineRule="auto"/>
        <w:ind w:firstLine="420" w:firstLineChars="200"/>
        <w:jc w:val="left"/>
        <w:rPr>
          <w:rFonts w:ascii="宋体" w:hAnsi="宋体" w:eastAsia="宋体"/>
          <w:b/>
          <w:color w:val="auto"/>
          <w:highlight w:val="none"/>
        </w:rPr>
      </w:pPr>
      <w:r>
        <w:rPr>
          <w:rFonts w:hint="eastAsia" w:ascii="宋体" w:hAnsi="宋体" w:eastAsia="宋体"/>
          <w:color w:val="auto"/>
          <w:highlight w:val="none"/>
        </w:rPr>
        <w:t>9.1 质量标准</w:t>
      </w:r>
    </w:p>
    <w:p w14:paraId="4C44BF0E">
      <w:pPr>
        <w:autoSpaceDE w:val="0"/>
        <w:autoSpaceDN w:val="0"/>
        <w:adjustRightInd w:val="0"/>
        <w:snapToGrid w:val="0"/>
        <w:spacing w:before="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（1）本合同下交付的货物应符合招标文件第四章“技术规格、参数与要求”所述的标准。如果没有提及适用标准，则应符合中华人民共和国有关机构发布的最新版本的标准。</w:t>
      </w:r>
    </w:p>
    <w:p w14:paraId="0084588D">
      <w:pPr>
        <w:pStyle w:val="13"/>
        <w:adjustRightInd w:val="0"/>
        <w:snapToGrid w:val="0"/>
        <w:spacing w:before="50" w:line="360" w:lineRule="auto"/>
        <w:ind w:firstLine="420" w:firstLineChars="200"/>
        <w:jc w:val="left"/>
        <w:rPr>
          <w:rFonts w:ascii="宋体" w:hAnsi="宋体" w:eastAsia="宋体"/>
          <w:color w:val="auto"/>
          <w:highlight w:val="none"/>
        </w:rPr>
      </w:pPr>
      <w:r>
        <w:rPr>
          <w:rFonts w:hint="eastAsia" w:ascii="宋体" w:hAnsi="宋体" w:eastAsia="宋体"/>
          <w:color w:val="auto"/>
          <w:highlight w:val="none"/>
        </w:rPr>
        <w:t>（2）采用中华人民共和国法定计量单位。</w:t>
      </w:r>
    </w:p>
    <w:p w14:paraId="47C6C1EF">
      <w:pPr>
        <w:autoSpaceDE w:val="0"/>
        <w:autoSpaceDN w:val="0"/>
        <w:adjustRightInd w:val="0"/>
        <w:snapToGrid w:val="0"/>
        <w:spacing w:before="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（3）乙方所出售的货物还应符合国家有关安全、环保、卫生之规定。</w:t>
      </w:r>
    </w:p>
    <w:p w14:paraId="425DAB43">
      <w:pPr>
        <w:autoSpaceDE w:val="0"/>
        <w:autoSpaceDN w:val="0"/>
        <w:adjustRightInd w:val="0"/>
        <w:snapToGrid w:val="0"/>
        <w:spacing w:before="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9.2 保证</w:t>
      </w:r>
    </w:p>
    <w:p w14:paraId="594886AD">
      <w:pPr>
        <w:autoSpaceDE w:val="0"/>
        <w:autoSpaceDN w:val="0"/>
        <w:adjustRightInd w:val="0"/>
        <w:snapToGrid w:val="0"/>
        <w:spacing w:before="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乙方应保证所供货物是全新的、未使用过的，并完全符合合同规定的质量、规格和性能的要求。乙方应保证其货物在正确安装、正常使用和保养条件下，在其使用寿命期内应具有满意的性能，或者没有因乙方的行为或疏忽而产生的缺陷。在货物最终交付验收后不少于</w:t>
      </w:r>
      <w:r>
        <w:rPr>
          <w:rFonts w:hint="eastAsia" w:ascii="宋体" w:hAnsi="宋体" w:eastAsia="宋体"/>
          <w:b/>
          <w:color w:val="auto"/>
          <w:szCs w:val="21"/>
          <w:highlight w:val="none"/>
        </w:rPr>
        <w:t>【政府采购合同专用条款】</w:t>
      </w:r>
      <w:r>
        <w:rPr>
          <w:rFonts w:hint="eastAsia" w:ascii="宋体" w:hAnsi="宋体" w:eastAsia="宋体"/>
          <w:color w:val="auto"/>
          <w:szCs w:val="21"/>
          <w:highlight w:val="none"/>
        </w:rPr>
        <w:t>规定或乙方承诺（两者以较长的为准）的质量保证期内，本保证保持有效。</w:t>
      </w:r>
    </w:p>
    <w:p w14:paraId="79399C49">
      <w:pPr>
        <w:autoSpaceDE w:val="0"/>
        <w:autoSpaceDN w:val="0"/>
        <w:adjustRightInd w:val="0"/>
        <w:snapToGrid w:val="0"/>
        <w:spacing w:before="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（2）在质量保证期内所发现的缺陷，甲方应尽快以书面形式通知乙方。</w:t>
      </w:r>
    </w:p>
    <w:p w14:paraId="7D0DD9BA">
      <w:pPr>
        <w:autoSpaceDE w:val="0"/>
        <w:autoSpaceDN w:val="0"/>
        <w:adjustRightInd w:val="0"/>
        <w:snapToGrid w:val="0"/>
        <w:spacing w:before="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（3）乙方收到通知后应在</w:t>
      </w:r>
      <w:r>
        <w:rPr>
          <w:rFonts w:hint="eastAsia" w:ascii="宋体" w:hAnsi="宋体" w:eastAsia="宋体"/>
          <w:b/>
          <w:color w:val="auto"/>
          <w:szCs w:val="21"/>
          <w:highlight w:val="none"/>
        </w:rPr>
        <w:t>【政府采购合同专用条款】</w:t>
      </w:r>
      <w:r>
        <w:rPr>
          <w:rFonts w:hint="eastAsia" w:ascii="宋体" w:hAnsi="宋体" w:eastAsia="宋体"/>
          <w:color w:val="auto"/>
          <w:szCs w:val="21"/>
          <w:highlight w:val="none"/>
        </w:rPr>
        <w:t>规定的响应时间内以合理的速度免费维修或更换有缺陷的货物或部件。</w:t>
      </w:r>
    </w:p>
    <w:p w14:paraId="0FED0FED">
      <w:pPr>
        <w:autoSpaceDE w:val="0"/>
        <w:autoSpaceDN w:val="0"/>
        <w:adjustRightInd w:val="0"/>
        <w:snapToGrid w:val="0"/>
        <w:spacing w:before="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（4）在质量保证期内，如果货物的质量或规格与合同不符，或证实货物是有缺陷的，包括潜在的缺陷或使用不符合要求的材料等，甲方可以根据本合同第15.1条规定以书面形式向乙方提出补救措施或索赔。</w:t>
      </w:r>
    </w:p>
    <w:p w14:paraId="477CF4F6">
      <w:pPr>
        <w:adjustRightInd w:val="0"/>
        <w:snapToGrid w:val="0"/>
        <w:spacing w:before="50" w:line="360" w:lineRule="auto"/>
        <w:ind w:firstLine="420" w:firstLineChars="200"/>
        <w:jc w:val="left"/>
        <w:rPr>
          <w:rFonts w:ascii="宋体" w:hAnsi="宋体" w:eastAsia="宋体"/>
          <w:b/>
          <w:color w:val="auto"/>
          <w:szCs w:val="21"/>
          <w:highlight w:val="none"/>
        </w:rPr>
      </w:pPr>
      <w:r>
        <w:rPr>
          <w:rFonts w:hint="eastAsia" w:ascii="宋体" w:hAnsi="宋体" w:eastAsia="宋体"/>
          <w:color w:val="auto"/>
          <w:szCs w:val="21"/>
          <w:highlight w:val="none"/>
        </w:rPr>
        <w:t>（5）乙方在约定的时间内未能弥补缺陷，甲方可采取必要的补救措施，但其风险和费用将由乙方承担，甲方根据合同规定对乙方行使的其他权利不受影响。</w:t>
      </w:r>
    </w:p>
    <w:p w14:paraId="17D32464">
      <w:pPr>
        <w:adjustRightInd w:val="0"/>
        <w:snapToGrid w:val="0"/>
        <w:spacing w:before="50" w:line="360" w:lineRule="auto"/>
        <w:jc w:val="left"/>
        <w:rPr>
          <w:rFonts w:ascii="宋体" w:hAnsi="宋体" w:eastAsia="宋体"/>
          <w:b/>
          <w:bCs/>
          <w:color w:val="auto"/>
          <w:sz w:val="24"/>
          <w:highlight w:val="none"/>
        </w:rPr>
      </w:pPr>
      <w:r>
        <w:rPr>
          <w:rFonts w:hint="eastAsia" w:ascii="宋体" w:hAnsi="宋体" w:eastAsia="宋体"/>
          <w:b/>
          <w:bCs/>
          <w:color w:val="auto"/>
          <w:sz w:val="24"/>
          <w:highlight w:val="none"/>
        </w:rPr>
        <w:t>10.权利瑕疵担保</w:t>
      </w:r>
    </w:p>
    <w:p w14:paraId="25EC14CB">
      <w:pPr>
        <w:autoSpaceDE w:val="0"/>
        <w:autoSpaceDN w:val="0"/>
        <w:adjustRightInd w:val="0"/>
        <w:snapToGrid w:val="0"/>
        <w:spacing w:before="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10.1 乙方保证对其出售的货物享有合法的权利。</w:t>
      </w:r>
    </w:p>
    <w:p w14:paraId="2EB03935">
      <w:pPr>
        <w:autoSpaceDE w:val="0"/>
        <w:autoSpaceDN w:val="0"/>
        <w:adjustRightInd w:val="0"/>
        <w:snapToGrid w:val="0"/>
        <w:spacing w:before="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10.2 乙方保证在其出售的货物上不存在任何未曾向甲方透露的担保物权，如抵押权、质押权、留置权等。</w:t>
      </w:r>
    </w:p>
    <w:p w14:paraId="437F3D09">
      <w:pPr>
        <w:autoSpaceDE w:val="0"/>
        <w:autoSpaceDN w:val="0"/>
        <w:adjustRightInd w:val="0"/>
        <w:snapToGrid w:val="0"/>
        <w:spacing w:before="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10.3 如甲方使用该货物构成上述侵权的，则由乙方承担全部责任。</w:t>
      </w:r>
    </w:p>
    <w:p w14:paraId="4172C19F">
      <w:pPr>
        <w:autoSpaceDE w:val="0"/>
        <w:autoSpaceDN w:val="0"/>
        <w:adjustRightInd w:val="0"/>
        <w:snapToGrid w:val="0"/>
        <w:spacing w:before="50" w:line="360" w:lineRule="auto"/>
        <w:jc w:val="left"/>
        <w:rPr>
          <w:rFonts w:ascii="宋体" w:hAnsi="宋体" w:eastAsia="宋体"/>
          <w:b/>
          <w:bCs/>
          <w:color w:val="auto"/>
          <w:sz w:val="24"/>
          <w:highlight w:val="none"/>
        </w:rPr>
      </w:pPr>
      <w:r>
        <w:rPr>
          <w:rFonts w:hint="eastAsia" w:ascii="宋体" w:hAnsi="宋体" w:eastAsia="宋体"/>
          <w:b/>
          <w:bCs/>
          <w:color w:val="auto"/>
          <w:sz w:val="24"/>
          <w:highlight w:val="none"/>
        </w:rPr>
        <w:t>11.知识产权保护</w:t>
      </w:r>
    </w:p>
    <w:p w14:paraId="265635EC">
      <w:pPr>
        <w:autoSpaceDE w:val="0"/>
        <w:autoSpaceDN w:val="0"/>
        <w:adjustRightInd w:val="0"/>
        <w:snapToGrid w:val="0"/>
        <w:spacing w:before="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11.1 乙方对其所销售的货物应当享有知识产权或经权利人合法授权，保证没有侵犯任何第三人的知识产权和商业秘密等权利。</w:t>
      </w:r>
    </w:p>
    <w:p w14:paraId="7FE231E7">
      <w:pPr>
        <w:autoSpaceDE w:val="0"/>
        <w:autoSpaceDN w:val="0"/>
        <w:adjustRightInd w:val="0"/>
        <w:snapToGrid w:val="0"/>
        <w:spacing w:before="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11.2 甲方使用乙方提供的货物对第三人构成侵权的，应当由乙方承担全部法律责任，给甲方造成损害的，乙方应当承担赔偿责任。</w:t>
      </w:r>
    </w:p>
    <w:p w14:paraId="242CF3C7">
      <w:pPr>
        <w:autoSpaceDE w:val="0"/>
        <w:autoSpaceDN w:val="0"/>
        <w:adjustRightInd w:val="0"/>
        <w:snapToGrid w:val="0"/>
        <w:spacing w:before="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11.3 甲方委托乙方开发的产品，甲方享有知识产权，未经甲方许可不得转让任何第三人。</w:t>
      </w:r>
    </w:p>
    <w:p w14:paraId="08B44F4D">
      <w:pPr>
        <w:autoSpaceDE w:val="0"/>
        <w:autoSpaceDN w:val="0"/>
        <w:adjustRightInd w:val="0"/>
        <w:snapToGrid w:val="0"/>
        <w:spacing w:before="50" w:line="360" w:lineRule="auto"/>
        <w:jc w:val="left"/>
        <w:rPr>
          <w:rFonts w:ascii="宋体" w:hAnsi="宋体" w:eastAsia="宋体"/>
          <w:b/>
          <w:bCs/>
          <w:color w:val="auto"/>
          <w:sz w:val="24"/>
          <w:highlight w:val="none"/>
        </w:rPr>
      </w:pPr>
      <w:r>
        <w:rPr>
          <w:rFonts w:hint="eastAsia" w:ascii="宋体" w:hAnsi="宋体" w:eastAsia="宋体"/>
          <w:b/>
          <w:bCs/>
          <w:color w:val="auto"/>
          <w:sz w:val="24"/>
          <w:highlight w:val="none"/>
        </w:rPr>
        <w:t>12.保密义务</w:t>
      </w:r>
    </w:p>
    <w:p w14:paraId="06859560">
      <w:pPr>
        <w:autoSpaceDE w:val="0"/>
        <w:autoSpaceDN w:val="0"/>
        <w:adjustRightInd w:val="0"/>
        <w:snapToGrid w:val="0"/>
        <w:spacing w:before="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12.1 甲、乙双方在采购和履行合同过程中所获悉的对方属于保密的内容，双方均有保密义务。</w:t>
      </w:r>
    </w:p>
    <w:p w14:paraId="636FD0F9">
      <w:pPr>
        <w:autoSpaceDE w:val="0"/>
        <w:autoSpaceDN w:val="0"/>
        <w:adjustRightInd w:val="0"/>
        <w:snapToGrid w:val="0"/>
        <w:spacing w:before="50" w:line="360" w:lineRule="auto"/>
        <w:jc w:val="left"/>
        <w:rPr>
          <w:rFonts w:ascii="宋体" w:hAnsi="宋体" w:eastAsia="宋体"/>
          <w:b/>
          <w:bCs/>
          <w:color w:val="auto"/>
          <w:sz w:val="24"/>
          <w:highlight w:val="none"/>
        </w:rPr>
      </w:pPr>
      <w:r>
        <w:rPr>
          <w:rFonts w:hint="eastAsia" w:ascii="宋体" w:hAnsi="宋体" w:eastAsia="宋体"/>
          <w:b/>
          <w:bCs/>
          <w:color w:val="auto"/>
          <w:sz w:val="24"/>
          <w:highlight w:val="none"/>
        </w:rPr>
        <w:t>13.合同价款支付</w:t>
      </w:r>
    </w:p>
    <w:p w14:paraId="4524F7D2">
      <w:pPr>
        <w:adjustRightInd w:val="0"/>
        <w:snapToGrid w:val="0"/>
        <w:spacing w:before="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13.1验收合格后，乙方出具正规发票给甲方，凭甲方开具的《政府采购合同验收报告单》办理合同价</w:t>
      </w:r>
      <w:r>
        <w:rPr>
          <w:rFonts w:hint="eastAsia" w:ascii="宋体" w:hAnsi="宋体" w:eastAsia="宋体"/>
          <w:bCs/>
          <w:color w:val="auto"/>
          <w:szCs w:val="21"/>
          <w:highlight w:val="none"/>
        </w:rPr>
        <w:t>款</w:t>
      </w:r>
      <w:r>
        <w:rPr>
          <w:rFonts w:hint="eastAsia" w:ascii="宋体" w:hAnsi="宋体" w:eastAsia="宋体"/>
          <w:color w:val="auto"/>
          <w:szCs w:val="21"/>
          <w:highlight w:val="none"/>
        </w:rPr>
        <w:t>结算手续。</w:t>
      </w:r>
    </w:p>
    <w:p w14:paraId="11FB41BB">
      <w:pPr>
        <w:autoSpaceDE w:val="0"/>
        <w:autoSpaceDN w:val="0"/>
        <w:adjustRightInd w:val="0"/>
        <w:snapToGrid w:val="0"/>
        <w:spacing w:before="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13.2 合同价款构成中应当由财政支付的部分，甲方应当在货物验收合格后的十五个工作日内向国库管理部门申请支付，经国库管理部门审核后直接支付给乙方。</w:t>
      </w:r>
    </w:p>
    <w:p w14:paraId="0FFECFBF">
      <w:pPr>
        <w:adjustRightInd w:val="0"/>
        <w:snapToGrid w:val="0"/>
        <w:spacing w:before="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13.3 合同价款构成中应当由甲方自行支付的部分，甲方应当在货物验收合格后十五个工作</w:t>
      </w:r>
      <w:r>
        <w:rPr>
          <w:rFonts w:hint="eastAsia" w:ascii="宋体" w:hAnsi="宋体" w:eastAsia="宋体"/>
          <w:color w:val="auto"/>
          <w:szCs w:val="21"/>
          <w:highlight w:val="none"/>
          <w:lang w:eastAsia="zh-CN"/>
        </w:rPr>
        <w:t>日</w:t>
      </w:r>
      <w:r>
        <w:rPr>
          <w:rFonts w:hint="eastAsia" w:ascii="宋体" w:hAnsi="宋体" w:eastAsia="宋体"/>
          <w:color w:val="auto"/>
          <w:szCs w:val="21"/>
          <w:highlight w:val="none"/>
        </w:rPr>
        <w:t>内支付。</w:t>
      </w:r>
    </w:p>
    <w:p w14:paraId="4349DA2D">
      <w:pPr>
        <w:adjustRightInd w:val="0"/>
        <w:snapToGrid w:val="0"/>
        <w:spacing w:before="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13.4支付合同价</w:t>
      </w:r>
      <w:r>
        <w:rPr>
          <w:rFonts w:hint="eastAsia" w:ascii="宋体" w:hAnsi="宋体" w:eastAsia="宋体"/>
          <w:bCs/>
          <w:color w:val="auto"/>
          <w:szCs w:val="21"/>
          <w:highlight w:val="none"/>
        </w:rPr>
        <w:t>款</w:t>
      </w:r>
      <w:r>
        <w:rPr>
          <w:rFonts w:hint="eastAsia" w:ascii="宋体" w:hAnsi="宋体" w:eastAsia="宋体"/>
          <w:color w:val="auto"/>
          <w:szCs w:val="21"/>
          <w:highlight w:val="none"/>
        </w:rPr>
        <w:t>时，一律不向乙方以外的任何第三方办理付款手续。开户行和账号以签订的政府采购合同为准，如果乙方要求变更，则乙方必须提供加盖了财务专用章、法定代表人签字的证明文件，报经甲方审查同意。</w:t>
      </w:r>
    </w:p>
    <w:p w14:paraId="31CF614C">
      <w:pPr>
        <w:autoSpaceDE w:val="0"/>
        <w:autoSpaceDN w:val="0"/>
        <w:adjustRightInd w:val="0"/>
        <w:snapToGrid w:val="0"/>
        <w:spacing w:before="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13.5 合同价款支付方式</w:t>
      </w:r>
      <w:r>
        <w:rPr>
          <w:rFonts w:hint="eastAsia" w:ascii="宋体" w:hAnsi="宋体" w:eastAsia="宋体"/>
          <w:bCs/>
          <w:color w:val="auto"/>
          <w:szCs w:val="21"/>
          <w:highlight w:val="none"/>
        </w:rPr>
        <w:t>和条件在</w:t>
      </w:r>
      <w:r>
        <w:rPr>
          <w:rFonts w:hint="eastAsia" w:ascii="宋体" w:hAnsi="宋体" w:eastAsia="宋体"/>
          <w:b/>
          <w:color w:val="auto"/>
          <w:szCs w:val="21"/>
          <w:highlight w:val="none"/>
        </w:rPr>
        <w:t>【政府采购合同专用条款】</w:t>
      </w:r>
      <w:r>
        <w:rPr>
          <w:rFonts w:hint="eastAsia" w:ascii="宋体" w:hAnsi="宋体" w:eastAsia="宋体"/>
          <w:color w:val="auto"/>
          <w:szCs w:val="21"/>
          <w:highlight w:val="none"/>
        </w:rPr>
        <w:t>中另有规定。</w:t>
      </w:r>
    </w:p>
    <w:p w14:paraId="47AEFDEF">
      <w:pPr>
        <w:autoSpaceDE w:val="0"/>
        <w:autoSpaceDN w:val="0"/>
        <w:adjustRightInd w:val="0"/>
        <w:snapToGrid w:val="0"/>
        <w:spacing w:before="50" w:line="360" w:lineRule="auto"/>
        <w:jc w:val="left"/>
        <w:rPr>
          <w:rFonts w:ascii="宋体" w:hAnsi="宋体" w:eastAsia="宋体"/>
          <w:b/>
          <w:color w:val="auto"/>
          <w:sz w:val="24"/>
          <w:highlight w:val="none"/>
        </w:rPr>
      </w:pPr>
      <w:r>
        <w:rPr>
          <w:rFonts w:hint="eastAsia" w:ascii="宋体" w:hAnsi="宋体" w:eastAsia="宋体"/>
          <w:b/>
          <w:bCs/>
          <w:color w:val="auto"/>
          <w:sz w:val="24"/>
          <w:highlight w:val="none"/>
        </w:rPr>
        <w:t>14.</w:t>
      </w:r>
      <w:r>
        <w:rPr>
          <w:rFonts w:hint="eastAsia"/>
          <w:b/>
          <w:color w:val="auto"/>
          <w:sz w:val="24"/>
          <w:highlight w:val="none"/>
        </w:rPr>
        <w:t>乙方应提供的</w:t>
      </w:r>
      <w:r>
        <w:rPr>
          <w:rFonts w:hint="eastAsia" w:ascii="宋体" w:hAnsi="宋体" w:eastAsia="宋体"/>
          <w:b/>
          <w:color w:val="auto"/>
          <w:sz w:val="24"/>
          <w:highlight w:val="none"/>
        </w:rPr>
        <w:t>服务</w:t>
      </w:r>
    </w:p>
    <w:p w14:paraId="437AD91F">
      <w:pPr>
        <w:autoSpaceDE w:val="0"/>
        <w:autoSpaceDN w:val="0"/>
        <w:adjustRightInd w:val="0"/>
        <w:snapToGrid w:val="0"/>
        <w:spacing w:before="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14.1 乙方应向甲方提交所提供货物的技术文件，包括相应的中文技术文件，如：产品目录、图纸、操作手册、使用说明、维护手册或服务指南。这些文件应包装好随同货物一起发运。</w:t>
      </w:r>
    </w:p>
    <w:p w14:paraId="46A91D71">
      <w:pPr>
        <w:autoSpaceDE w:val="0"/>
        <w:autoSpaceDN w:val="0"/>
        <w:adjustRightInd w:val="0"/>
        <w:snapToGrid w:val="0"/>
        <w:spacing w:before="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14.2 乙方还应提供下列服务：</w:t>
      </w:r>
    </w:p>
    <w:p w14:paraId="693266C3">
      <w:pPr>
        <w:autoSpaceDE w:val="0"/>
        <w:autoSpaceDN w:val="0"/>
        <w:adjustRightInd w:val="0"/>
        <w:snapToGrid w:val="0"/>
        <w:spacing w:before="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（1）货物的现场移动、安装、调试、启动监督及技术支持；</w:t>
      </w:r>
    </w:p>
    <w:p w14:paraId="2DC4AFB8">
      <w:pPr>
        <w:autoSpaceDE w:val="0"/>
        <w:autoSpaceDN w:val="0"/>
        <w:adjustRightInd w:val="0"/>
        <w:snapToGrid w:val="0"/>
        <w:spacing w:before="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（2）提供货物组装和维修所需的专用工具和辅助材料；</w:t>
      </w:r>
    </w:p>
    <w:p w14:paraId="32516E2A">
      <w:pPr>
        <w:autoSpaceDE w:val="0"/>
        <w:autoSpaceDN w:val="0"/>
        <w:adjustRightInd w:val="0"/>
        <w:snapToGrid w:val="0"/>
        <w:spacing w:before="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（3）在合同各方商定的一定期限内对所有的货物实施运行监督、维修，但前提条件是该服务并不能免除乙方在质量保证期内所承担的义务；</w:t>
      </w:r>
    </w:p>
    <w:p w14:paraId="7419725B">
      <w:pPr>
        <w:autoSpaceDE w:val="0"/>
        <w:autoSpaceDN w:val="0"/>
        <w:adjustRightInd w:val="0"/>
        <w:snapToGrid w:val="0"/>
        <w:spacing w:before="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（4）在制造商或项目现场就货物的安装、启动、运营、维护对甲方操作人员进行培训；</w:t>
      </w:r>
    </w:p>
    <w:p w14:paraId="23D38D6B">
      <w:pPr>
        <w:autoSpaceDE w:val="0"/>
        <w:autoSpaceDN w:val="0"/>
        <w:adjustRightInd w:val="0"/>
        <w:snapToGrid w:val="0"/>
        <w:spacing w:before="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（5）</w:t>
      </w:r>
      <w:r>
        <w:rPr>
          <w:rFonts w:hint="eastAsia" w:ascii="宋体" w:hAnsi="宋体" w:eastAsia="宋体"/>
          <w:b/>
          <w:color w:val="auto"/>
          <w:szCs w:val="21"/>
          <w:highlight w:val="none"/>
        </w:rPr>
        <w:t>【政府采购合同专用条款】</w:t>
      </w:r>
      <w:r>
        <w:rPr>
          <w:rFonts w:hint="eastAsia" w:ascii="宋体" w:hAnsi="宋体" w:eastAsia="宋体"/>
          <w:color w:val="auto"/>
          <w:szCs w:val="21"/>
          <w:highlight w:val="none"/>
        </w:rPr>
        <w:t>规定由乙方提供的其他服务。</w:t>
      </w:r>
    </w:p>
    <w:p w14:paraId="52BAFF69">
      <w:pPr>
        <w:autoSpaceDE w:val="0"/>
        <w:autoSpaceDN w:val="0"/>
        <w:adjustRightInd w:val="0"/>
        <w:snapToGrid w:val="0"/>
        <w:spacing w:before="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14.3 乙方提供的服务的费用应包含在合同价款中，甲方不再另行支付。</w:t>
      </w:r>
    </w:p>
    <w:p w14:paraId="2416530F">
      <w:pPr>
        <w:adjustRightInd w:val="0"/>
        <w:snapToGrid w:val="0"/>
        <w:spacing w:before="50" w:line="360" w:lineRule="auto"/>
        <w:jc w:val="left"/>
        <w:rPr>
          <w:rFonts w:ascii="宋体" w:hAnsi="宋体" w:eastAsia="宋体"/>
          <w:b/>
          <w:bCs/>
          <w:color w:val="auto"/>
          <w:sz w:val="24"/>
          <w:highlight w:val="none"/>
        </w:rPr>
      </w:pPr>
      <w:r>
        <w:rPr>
          <w:rFonts w:hint="eastAsia" w:ascii="宋体" w:hAnsi="宋体" w:eastAsia="宋体"/>
          <w:b/>
          <w:bCs/>
          <w:color w:val="auto"/>
          <w:sz w:val="24"/>
          <w:highlight w:val="none"/>
        </w:rPr>
        <w:t>15.违约责任</w:t>
      </w:r>
    </w:p>
    <w:p w14:paraId="6EC9F6F2">
      <w:pPr>
        <w:adjustRightInd w:val="0"/>
        <w:snapToGrid w:val="0"/>
        <w:spacing w:before="50" w:line="360" w:lineRule="auto"/>
        <w:ind w:firstLine="420" w:firstLineChars="200"/>
        <w:jc w:val="left"/>
        <w:rPr>
          <w:rFonts w:ascii="宋体" w:hAnsi="宋体" w:eastAsia="宋体"/>
          <w:bCs/>
          <w:color w:val="auto"/>
          <w:szCs w:val="21"/>
          <w:highlight w:val="none"/>
        </w:rPr>
      </w:pPr>
      <w:r>
        <w:rPr>
          <w:rFonts w:hint="eastAsia" w:ascii="宋体" w:hAnsi="宋体" w:eastAsia="宋体"/>
          <w:bCs/>
          <w:color w:val="auto"/>
          <w:szCs w:val="21"/>
          <w:highlight w:val="none"/>
        </w:rPr>
        <w:t>15.1质量瑕疵的补救措施和索赔</w:t>
      </w:r>
    </w:p>
    <w:p w14:paraId="73DF6D99">
      <w:pPr>
        <w:autoSpaceDE w:val="0"/>
        <w:autoSpaceDN w:val="0"/>
        <w:adjustRightInd w:val="0"/>
        <w:snapToGrid w:val="0"/>
        <w:spacing w:before="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如果乙方提供的产品不符合质量标准或存在产品质量缺陷，而甲方在合同条款第9条或合同的其他条款规定的检验、安装、调试、验收和质量保证期内，根据法定质量检测部门出具的检验证书向乙方提出了索赔，乙方应按照甲方同意的下列一种或几种方式结合起来解决索赔事宜：</w:t>
      </w:r>
    </w:p>
    <w:p w14:paraId="231ADD15">
      <w:pPr>
        <w:autoSpaceDE w:val="0"/>
        <w:autoSpaceDN w:val="0"/>
        <w:adjustRightInd w:val="0"/>
        <w:snapToGrid w:val="0"/>
        <w:spacing w:before="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①乙方同意退货并将货款退还给甲方，由此发生的一切费用和损失由乙方承担。</w:t>
      </w:r>
    </w:p>
    <w:p w14:paraId="7253CD3D">
      <w:pPr>
        <w:autoSpaceDE w:val="0"/>
        <w:autoSpaceDN w:val="0"/>
        <w:adjustRightInd w:val="0"/>
        <w:snapToGrid w:val="0"/>
        <w:spacing w:before="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②根据货物的质量状况以及甲方所遭受的损失，经过甲乙双方商定降低货物的价格。</w:t>
      </w:r>
    </w:p>
    <w:p w14:paraId="645F381B">
      <w:pPr>
        <w:autoSpaceDE w:val="0"/>
        <w:autoSpaceDN w:val="0"/>
        <w:adjustRightInd w:val="0"/>
        <w:snapToGrid w:val="0"/>
        <w:spacing w:before="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③乙方应在接到甲方通知后七日内负责采用符合合同规定的规格、质量和性能要求的新零件、部件和设备来更换有缺陷的部分或修补缺陷部分，其费用由乙方负担。同时，乙方应在约定的质量保证期基础上相应延长修补和更换件的质量保证期。</w:t>
      </w:r>
    </w:p>
    <w:p w14:paraId="4D0CED1E">
      <w:pPr>
        <w:autoSpaceDE w:val="0"/>
        <w:autoSpaceDN w:val="0"/>
        <w:adjustRightInd w:val="0"/>
        <w:snapToGrid w:val="0"/>
        <w:spacing w:before="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2）如果在甲方发出索赔通知后十日内乙方未作答复，上述索赔应视为已被乙方接受。如果乙方未能在甲方发出索赔通知后十日内或甲方同意延长的期限内，按照上述规定的任何一种方法采取补救措施，甲方有权从应付货款中扣除索赔金额或者没收质量保证金，如不足以弥补甲方损失的，甲方有权进一步要求乙方赔偿。</w:t>
      </w:r>
    </w:p>
    <w:p w14:paraId="4F48568C">
      <w:pPr>
        <w:autoSpaceDE w:val="0"/>
        <w:autoSpaceDN w:val="0"/>
        <w:adjustRightInd w:val="0"/>
        <w:snapToGrid w:val="0"/>
        <w:spacing w:before="50" w:line="360" w:lineRule="auto"/>
        <w:ind w:firstLine="420" w:firstLineChars="200"/>
        <w:jc w:val="left"/>
        <w:rPr>
          <w:rFonts w:ascii="宋体" w:hAnsi="宋体" w:eastAsia="宋体"/>
          <w:bCs/>
          <w:color w:val="auto"/>
          <w:szCs w:val="21"/>
          <w:highlight w:val="none"/>
        </w:rPr>
      </w:pPr>
      <w:r>
        <w:rPr>
          <w:rFonts w:hint="eastAsia" w:ascii="宋体" w:hAnsi="宋体" w:eastAsia="宋体"/>
          <w:bCs/>
          <w:color w:val="auto"/>
          <w:szCs w:val="21"/>
          <w:highlight w:val="none"/>
        </w:rPr>
        <w:t>15.2 迟延交货的违约责任</w:t>
      </w:r>
    </w:p>
    <w:p w14:paraId="34F8121A">
      <w:pPr>
        <w:autoSpaceDE w:val="0"/>
        <w:autoSpaceDN w:val="0"/>
        <w:adjustRightInd w:val="0"/>
        <w:snapToGrid w:val="0"/>
        <w:spacing w:before="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乙方应按照本合同规定的时间、地点交货和提供服务。在履行合同过程中，如果乙方遇到可能妨碍按时交货和提供服务的情形时，应及时以书面形式将迟延的事实、可能迟延的期限和理由通知甲方。甲方在收到乙方通知后，应尽快对情况进行评价，并确定是否同意迟延交货时间或延期提供服务。</w:t>
      </w:r>
    </w:p>
    <w:p w14:paraId="699F049A">
      <w:pPr>
        <w:autoSpaceDE w:val="0"/>
        <w:autoSpaceDN w:val="0"/>
        <w:adjustRightInd w:val="0"/>
        <w:snapToGrid w:val="0"/>
        <w:spacing w:before="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（2）除本合同</w:t>
      </w:r>
      <w:r>
        <w:rPr>
          <w:rFonts w:hint="eastAsia" w:ascii="宋体" w:hAnsi="宋体" w:eastAsia="宋体"/>
          <w:bCs/>
          <w:color w:val="auto"/>
          <w:szCs w:val="21"/>
          <w:highlight w:val="none"/>
        </w:rPr>
        <w:t>第20条</w:t>
      </w:r>
      <w:r>
        <w:rPr>
          <w:rFonts w:hint="eastAsia" w:ascii="宋体" w:hAnsi="宋体" w:eastAsia="宋体"/>
          <w:color w:val="auto"/>
          <w:szCs w:val="21"/>
          <w:highlight w:val="none"/>
        </w:rPr>
        <w:t>规定情况外，如果乙方没有按照合同规定的时间交货和提供服务，甲方有权从货款中扣除误期赔偿费而不影响合同项下的其他补救方法，赔偿费按每周（一周按七天计算，不足七日按一周计算）赔偿迟交货物的交货价或延期服务的服务费用的百分之零点五（0.5%）计收，直至交货或提供服务为止。但误期赔偿费的最高限额不超过合同价的百分之五（5%）。一旦达到误期赔偿的最高限额，甲方可以终止合同。</w:t>
      </w:r>
    </w:p>
    <w:p w14:paraId="39891FC9">
      <w:pPr>
        <w:autoSpaceDE w:val="0"/>
        <w:autoSpaceDN w:val="0"/>
        <w:adjustRightInd w:val="0"/>
        <w:snapToGrid w:val="0"/>
        <w:spacing w:before="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3）如果乙方迟延交货，甲方有权终止全部或部分合同，并依其认为适当的条件和方法购买与未交货物类似的货物，乙方应对购买类似货物所超出的那部分费用负责。但是，乙方应继续执行合同中未终止的部分。</w:t>
      </w:r>
    </w:p>
    <w:p w14:paraId="09D63D2B">
      <w:pPr>
        <w:autoSpaceDE w:val="0"/>
        <w:autoSpaceDN w:val="0"/>
        <w:adjustRightInd w:val="0"/>
        <w:snapToGrid w:val="0"/>
        <w:spacing w:before="50" w:line="360" w:lineRule="auto"/>
        <w:jc w:val="left"/>
        <w:rPr>
          <w:rFonts w:ascii="宋体" w:hAnsi="宋体" w:eastAsia="宋体"/>
          <w:b/>
          <w:color w:val="auto"/>
          <w:sz w:val="24"/>
          <w:highlight w:val="none"/>
        </w:rPr>
      </w:pPr>
      <w:r>
        <w:rPr>
          <w:rFonts w:hint="eastAsia" w:ascii="宋体" w:hAnsi="宋体" w:eastAsia="宋体"/>
          <w:b/>
          <w:color w:val="auto"/>
          <w:sz w:val="24"/>
          <w:highlight w:val="none"/>
        </w:rPr>
        <w:t>16.合同的变更</w:t>
      </w:r>
    </w:p>
    <w:p w14:paraId="68EC8D42">
      <w:pPr>
        <w:autoSpaceDE w:val="0"/>
        <w:autoSpaceDN w:val="0"/>
        <w:adjustRightInd w:val="0"/>
        <w:snapToGrid w:val="0"/>
        <w:spacing w:before="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16.1 在合同履行过程中，甲、乙双方可就合同履行的时间、地点和方式等协商进行变更。协商一致后，双方应签订书面的补充协议。</w:t>
      </w:r>
    </w:p>
    <w:p w14:paraId="7B9F9C56">
      <w:pPr>
        <w:autoSpaceDE w:val="0"/>
        <w:autoSpaceDN w:val="0"/>
        <w:adjustRightInd w:val="0"/>
        <w:snapToGrid w:val="0"/>
        <w:spacing w:before="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16.2 在不改变合同其他条款的前提下，甲方有权在合同价款百分之十的范围内追加与合同标的相同的货物或服务，并就此与乙方签订补充合同，乙方不得拒绝。</w:t>
      </w:r>
    </w:p>
    <w:p w14:paraId="772F6F9A">
      <w:pPr>
        <w:autoSpaceDE w:val="0"/>
        <w:autoSpaceDN w:val="0"/>
        <w:adjustRightInd w:val="0"/>
        <w:snapToGrid w:val="0"/>
        <w:spacing w:before="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16.3 除双方签署书面协议，并成为合同不可分割的一部分外，本合同条件不得有任何变更。</w:t>
      </w:r>
    </w:p>
    <w:p w14:paraId="6F1D12B9">
      <w:pPr>
        <w:autoSpaceDE w:val="0"/>
        <w:autoSpaceDN w:val="0"/>
        <w:adjustRightInd w:val="0"/>
        <w:snapToGrid w:val="0"/>
        <w:spacing w:before="50" w:line="360" w:lineRule="auto"/>
        <w:jc w:val="left"/>
        <w:rPr>
          <w:rFonts w:ascii="宋体" w:hAnsi="宋体" w:eastAsia="宋体"/>
          <w:b/>
          <w:color w:val="auto"/>
          <w:sz w:val="24"/>
          <w:highlight w:val="none"/>
        </w:rPr>
      </w:pPr>
      <w:r>
        <w:rPr>
          <w:rFonts w:hint="eastAsia" w:ascii="宋体" w:hAnsi="宋体" w:eastAsia="宋体"/>
          <w:b/>
          <w:color w:val="auto"/>
          <w:sz w:val="24"/>
          <w:highlight w:val="none"/>
        </w:rPr>
        <w:t>17.合同中止与终止</w:t>
      </w:r>
    </w:p>
    <w:p w14:paraId="23CEF05D">
      <w:pPr>
        <w:adjustRightInd w:val="0"/>
        <w:snapToGrid w:val="0"/>
        <w:spacing w:before="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17.1合同的中止</w:t>
      </w:r>
    </w:p>
    <w:p w14:paraId="479E9773">
      <w:pPr>
        <w:autoSpaceDE w:val="0"/>
        <w:autoSpaceDN w:val="0"/>
        <w:adjustRightInd w:val="0"/>
        <w:snapToGrid w:val="0"/>
        <w:spacing w:before="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（1）合同在履行过程中，因采购计划调整，甲方可以要求中止履行，待计划确定后继续履行；</w:t>
      </w:r>
    </w:p>
    <w:p w14:paraId="50A0672D">
      <w:pPr>
        <w:autoSpaceDE w:val="0"/>
        <w:autoSpaceDN w:val="0"/>
        <w:adjustRightInd w:val="0"/>
        <w:snapToGrid w:val="0"/>
        <w:spacing w:before="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（2）合同履行过程中因供应商就采购过程或结果提起投诉的，甲方认为有必要或财政部门责令中止的，应当中止合同的履行。</w:t>
      </w:r>
    </w:p>
    <w:p w14:paraId="21189EE6">
      <w:pPr>
        <w:adjustRightInd w:val="0"/>
        <w:snapToGrid w:val="0"/>
        <w:spacing w:before="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17.2合同的终止</w:t>
      </w:r>
    </w:p>
    <w:p w14:paraId="5BF21183">
      <w:pPr>
        <w:autoSpaceDE w:val="0"/>
        <w:autoSpaceDN w:val="0"/>
        <w:adjustRightInd w:val="0"/>
        <w:snapToGrid w:val="0"/>
        <w:spacing w:before="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（1）合同因有效期限届满而终止；</w:t>
      </w:r>
    </w:p>
    <w:p w14:paraId="3B1F118E">
      <w:pPr>
        <w:autoSpaceDE w:val="0"/>
        <w:autoSpaceDN w:val="0"/>
        <w:adjustRightInd w:val="0"/>
        <w:snapToGrid w:val="0"/>
        <w:spacing w:before="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（2）乙方未能依照本合同约定条件履行合同，已构成根本性违约的，甲方有权终止本合同，并追究乙方的违约责任。</w:t>
      </w:r>
    </w:p>
    <w:p w14:paraId="64466C31">
      <w:pPr>
        <w:autoSpaceDE w:val="0"/>
        <w:autoSpaceDN w:val="0"/>
        <w:adjustRightInd w:val="0"/>
        <w:snapToGrid w:val="0"/>
        <w:spacing w:before="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（3）如果乙方丧失履约能力或被宣告破产，甲方可在任何时候以书面形式通知乙方终止合同而不给乙方补偿。</w:t>
      </w:r>
    </w:p>
    <w:p w14:paraId="1DEF8872">
      <w:pPr>
        <w:autoSpaceDE w:val="0"/>
        <w:autoSpaceDN w:val="0"/>
        <w:adjustRightInd w:val="0"/>
        <w:snapToGrid w:val="0"/>
        <w:spacing w:before="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（4）如果乙方在履行合同过程中有不正当竞争行为，甲方有权解除合同，并按《中华人民共和国反不正当竞争法》规定由有关部门追究其法律责任。</w:t>
      </w:r>
    </w:p>
    <w:p w14:paraId="7B8B88D5">
      <w:pPr>
        <w:autoSpaceDE w:val="0"/>
        <w:autoSpaceDN w:val="0"/>
        <w:adjustRightInd w:val="0"/>
        <w:snapToGrid w:val="0"/>
        <w:spacing w:before="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（5）如果合同的履行将损害国家利益或社会公共利益，甲方有权终止合同的履行，给乙方造成损失的予以相应补偿。</w:t>
      </w:r>
    </w:p>
    <w:p w14:paraId="345313E2">
      <w:pPr>
        <w:autoSpaceDE w:val="0"/>
        <w:autoSpaceDN w:val="0"/>
        <w:adjustRightInd w:val="0"/>
        <w:snapToGrid w:val="0"/>
        <w:spacing w:before="50" w:line="360" w:lineRule="auto"/>
        <w:jc w:val="left"/>
        <w:rPr>
          <w:rFonts w:ascii="宋体" w:hAnsi="宋体" w:eastAsia="宋体"/>
          <w:b/>
          <w:bCs/>
          <w:color w:val="auto"/>
          <w:sz w:val="24"/>
          <w:highlight w:val="none"/>
        </w:rPr>
      </w:pPr>
      <w:r>
        <w:rPr>
          <w:rFonts w:hint="eastAsia" w:ascii="宋体" w:hAnsi="宋体" w:eastAsia="宋体"/>
          <w:b/>
          <w:bCs/>
          <w:color w:val="auto"/>
          <w:sz w:val="24"/>
          <w:highlight w:val="none"/>
        </w:rPr>
        <w:t>18.合同转让和分包</w:t>
      </w:r>
    </w:p>
    <w:p w14:paraId="1441A2A5">
      <w:pPr>
        <w:autoSpaceDE w:val="0"/>
        <w:autoSpaceDN w:val="0"/>
        <w:adjustRightInd w:val="0"/>
        <w:snapToGrid w:val="0"/>
        <w:spacing w:before="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18.1 乙方不得以任何形式将合同转包。</w:t>
      </w:r>
    </w:p>
    <w:p w14:paraId="093231BA">
      <w:pPr>
        <w:autoSpaceDE w:val="0"/>
        <w:autoSpaceDN w:val="0"/>
        <w:adjustRightInd w:val="0"/>
        <w:snapToGrid w:val="0"/>
        <w:spacing w:before="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18.2 乙方未在投标文件中说明，不得将</w:t>
      </w:r>
      <w:r>
        <w:rPr>
          <w:rFonts w:hint="eastAsia" w:ascii="宋体" w:hAnsi="宋体" w:eastAsia="宋体"/>
          <w:bCs/>
          <w:color w:val="auto"/>
          <w:szCs w:val="21"/>
          <w:highlight w:val="none"/>
        </w:rPr>
        <w:t>合同</w:t>
      </w:r>
      <w:r>
        <w:rPr>
          <w:rFonts w:hint="eastAsia" w:ascii="宋体" w:hAnsi="宋体" w:eastAsia="宋体"/>
          <w:color w:val="auto"/>
          <w:szCs w:val="21"/>
          <w:highlight w:val="none"/>
        </w:rPr>
        <w:t>的非主体、非关键性工作分包给他人。</w:t>
      </w:r>
    </w:p>
    <w:p w14:paraId="79535F52">
      <w:pPr>
        <w:autoSpaceDE w:val="0"/>
        <w:autoSpaceDN w:val="0"/>
        <w:adjustRightInd w:val="0"/>
        <w:snapToGrid w:val="0"/>
        <w:spacing w:before="50" w:line="360" w:lineRule="auto"/>
        <w:jc w:val="left"/>
        <w:rPr>
          <w:rFonts w:ascii="宋体" w:hAnsi="宋体" w:eastAsia="宋体"/>
          <w:b/>
          <w:bCs/>
          <w:color w:val="auto"/>
          <w:sz w:val="24"/>
          <w:highlight w:val="none"/>
        </w:rPr>
      </w:pPr>
      <w:r>
        <w:rPr>
          <w:rFonts w:hint="eastAsia" w:ascii="宋体" w:hAnsi="宋体" w:eastAsia="宋体"/>
          <w:b/>
          <w:bCs/>
          <w:color w:val="auto"/>
          <w:sz w:val="24"/>
          <w:highlight w:val="none"/>
        </w:rPr>
        <w:t>19.不可抗力</w:t>
      </w:r>
    </w:p>
    <w:p w14:paraId="61C54F80">
      <w:pPr>
        <w:autoSpaceDE w:val="0"/>
        <w:autoSpaceDN w:val="0"/>
        <w:adjustRightInd w:val="0"/>
        <w:snapToGrid w:val="0"/>
        <w:spacing w:before="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19.1 不可抗力是指合同双方不可预见、不可避免、不可克服的自然灾害和社会事件。</w:t>
      </w:r>
    </w:p>
    <w:p w14:paraId="720E25A2">
      <w:pPr>
        <w:autoSpaceDE w:val="0"/>
        <w:autoSpaceDN w:val="0"/>
        <w:adjustRightInd w:val="0"/>
        <w:snapToGrid w:val="0"/>
        <w:spacing w:before="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19.2 任何一方对由于不可抗力造成的部分或全部不能履行合同不承担违约责任。但迟延履行后发生不可抗力的，不能免除责任。</w:t>
      </w:r>
    </w:p>
    <w:p w14:paraId="1CAF284C">
      <w:pPr>
        <w:autoSpaceDE w:val="0"/>
        <w:autoSpaceDN w:val="0"/>
        <w:adjustRightInd w:val="0"/>
        <w:snapToGrid w:val="0"/>
        <w:spacing w:before="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19.3 遇有不可抗力的一方，应在三日内将事件的情况以书面形式通知另一方，并在事件发生后十日内，向另一方提交合同不能履行或部分不能履行或需要延期履行理由的报告。</w:t>
      </w:r>
    </w:p>
    <w:p w14:paraId="4AC3219A">
      <w:pPr>
        <w:autoSpaceDE w:val="0"/>
        <w:autoSpaceDN w:val="0"/>
        <w:adjustRightInd w:val="0"/>
        <w:snapToGrid w:val="0"/>
        <w:spacing w:before="50" w:line="360" w:lineRule="auto"/>
        <w:jc w:val="left"/>
        <w:rPr>
          <w:rFonts w:ascii="宋体" w:hAnsi="宋体" w:eastAsia="宋体"/>
          <w:b/>
          <w:bCs/>
          <w:color w:val="auto"/>
          <w:sz w:val="24"/>
          <w:highlight w:val="none"/>
        </w:rPr>
      </w:pPr>
      <w:r>
        <w:rPr>
          <w:rFonts w:hint="eastAsia" w:ascii="宋体" w:hAnsi="宋体" w:eastAsia="宋体"/>
          <w:b/>
          <w:bCs/>
          <w:color w:val="auto"/>
          <w:sz w:val="24"/>
          <w:highlight w:val="none"/>
        </w:rPr>
        <w:t>20.解决争议的方法</w:t>
      </w:r>
    </w:p>
    <w:p w14:paraId="566A7E58">
      <w:pPr>
        <w:autoSpaceDE w:val="0"/>
        <w:autoSpaceDN w:val="0"/>
        <w:adjustRightInd w:val="0"/>
        <w:snapToGrid w:val="0"/>
        <w:spacing w:before="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20.1 合同各方应通过友好协商，解决在执行合同过程中所发生的或与合同有关的一切争端。如从协商开始后十日内仍不能解决，可以向财政部门提请调解。</w:t>
      </w:r>
    </w:p>
    <w:p w14:paraId="2710CC60">
      <w:pPr>
        <w:autoSpaceDE w:val="0"/>
        <w:autoSpaceDN w:val="0"/>
        <w:adjustRightInd w:val="0"/>
        <w:snapToGrid w:val="0"/>
        <w:spacing w:before="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20.2 调解不成可以向甲方所在地人民法院提起诉讼。</w:t>
      </w:r>
    </w:p>
    <w:p w14:paraId="52C1DB6A">
      <w:pPr>
        <w:autoSpaceDE w:val="0"/>
        <w:autoSpaceDN w:val="0"/>
        <w:adjustRightInd w:val="0"/>
        <w:snapToGrid w:val="0"/>
        <w:spacing w:before="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20.3 如仲裁或诉讼事项不影响合同其它部分的履行，则在仲裁或诉讼期间，除正在进行仲裁或诉讼的部分外，合同的其它部分应继续执行。</w:t>
      </w:r>
    </w:p>
    <w:p w14:paraId="04E0C678">
      <w:pPr>
        <w:autoSpaceDE w:val="0"/>
        <w:autoSpaceDN w:val="0"/>
        <w:adjustRightInd w:val="0"/>
        <w:snapToGrid w:val="0"/>
        <w:spacing w:before="50" w:line="360" w:lineRule="auto"/>
        <w:jc w:val="left"/>
        <w:rPr>
          <w:rFonts w:ascii="宋体" w:hAnsi="宋体" w:eastAsia="宋体"/>
          <w:b/>
          <w:color w:val="auto"/>
          <w:sz w:val="24"/>
          <w:highlight w:val="none"/>
        </w:rPr>
      </w:pPr>
      <w:r>
        <w:rPr>
          <w:rFonts w:hint="eastAsia" w:ascii="宋体" w:hAnsi="宋体" w:eastAsia="宋体"/>
          <w:b/>
          <w:color w:val="auto"/>
          <w:sz w:val="24"/>
          <w:highlight w:val="none"/>
        </w:rPr>
        <w:t>21.法律适用</w:t>
      </w:r>
    </w:p>
    <w:p w14:paraId="404D35E8">
      <w:pPr>
        <w:autoSpaceDE w:val="0"/>
        <w:autoSpaceDN w:val="0"/>
        <w:adjustRightInd w:val="0"/>
        <w:snapToGrid w:val="0"/>
        <w:spacing w:before="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21.1 本合同适用中华人民共和国现行法律、行政法规和规章，如合同条款与法律、行政法规和规章不一致的，按照法律、行政法规和规章修改本合同。</w:t>
      </w:r>
    </w:p>
    <w:p w14:paraId="0945C393">
      <w:pPr>
        <w:autoSpaceDE w:val="0"/>
        <w:autoSpaceDN w:val="0"/>
        <w:adjustRightInd w:val="0"/>
        <w:snapToGrid w:val="0"/>
        <w:spacing w:before="50" w:line="360" w:lineRule="auto"/>
        <w:jc w:val="left"/>
        <w:rPr>
          <w:rFonts w:ascii="宋体" w:hAnsi="宋体" w:eastAsia="宋体"/>
          <w:b/>
          <w:color w:val="auto"/>
          <w:sz w:val="24"/>
          <w:highlight w:val="none"/>
        </w:rPr>
      </w:pPr>
      <w:r>
        <w:rPr>
          <w:rFonts w:hint="eastAsia" w:ascii="宋体" w:hAnsi="宋体" w:eastAsia="宋体"/>
          <w:b/>
          <w:bCs/>
          <w:color w:val="auto"/>
          <w:sz w:val="24"/>
          <w:highlight w:val="none"/>
        </w:rPr>
        <w:t>22.</w:t>
      </w:r>
      <w:r>
        <w:rPr>
          <w:rFonts w:hint="eastAsia" w:ascii="宋体" w:hAnsi="宋体" w:eastAsia="宋体"/>
          <w:b/>
          <w:color w:val="auto"/>
          <w:sz w:val="24"/>
          <w:highlight w:val="none"/>
        </w:rPr>
        <w:t>通知</w:t>
      </w:r>
    </w:p>
    <w:p w14:paraId="37F384CF">
      <w:pPr>
        <w:adjustRightInd w:val="0"/>
        <w:snapToGrid w:val="0"/>
        <w:spacing w:before="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22.1本合同一方给另一方的通知均应采用书面形式，传真或快递送到本合同中规定的对方的地址和办理签收手续，</w:t>
      </w:r>
    </w:p>
    <w:p w14:paraId="185D2D0E">
      <w:pPr>
        <w:adjustRightInd w:val="0"/>
        <w:snapToGrid w:val="0"/>
        <w:spacing w:before="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22.2通知以送到之日或通知书中规定的生效之日起生效，两者中以较迟之日为准。</w:t>
      </w:r>
    </w:p>
    <w:p w14:paraId="42823CA7">
      <w:pPr>
        <w:adjustRightInd w:val="0"/>
        <w:snapToGrid w:val="0"/>
        <w:spacing w:before="50" w:line="360" w:lineRule="auto"/>
        <w:jc w:val="left"/>
        <w:rPr>
          <w:rFonts w:ascii="宋体" w:hAnsi="宋体" w:eastAsia="宋体"/>
          <w:b/>
          <w:bCs/>
          <w:color w:val="auto"/>
          <w:sz w:val="24"/>
          <w:highlight w:val="none"/>
        </w:rPr>
      </w:pPr>
      <w:r>
        <w:rPr>
          <w:rFonts w:hint="eastAsia" w:ascii="宋体" w:hAnsi="宋体" w:eastAsia="宋体"/>
          <w:b/>
          <w:bCs/>
          <w:color w:val="auto"/>
          <w:sz w:val="24"/>
          <w:highlight w:val="none"/>
        </w:rPr>
        <w:t>23. 合同未尽事项</w:t>
      </w:r>
    </w:p>
    <w:p w14:paraId="0C47906F">
      <w:pPr>
        <w:adjustRightInd w:val="0"/>
        <w:snapToGrid w:val="0"/>
        <w:spacing w:before="50" w:line="360" w:lineRule="auto"/>
        <w:ind w:firstLine="420" w:firstLineChars="200"/>
        <w:jc w:val="left"/>
        <w:rPr>
          <w:rFonts w:ascii="宋体" w:hAnsi="宋体" w:eastAsia="宋体"/>
          <w:bCs/>
          <w:color w:val="auto"/>
          <w:szCs w:val="21"/>
          <w:highlight w:val="none"/>
        </w:rPr>
      </w:pPr>
      <w:r>
        <w:rPr>
          <w:rFonts w:hint="eastAsia" w:ascii="宋体" w:hAnsi="宋体" w:eastAsia="宋体"/>
          <w:bCs/>
          <w:color w:val="auto"/>
          <w:szCs w:val="21"/>
          <w:highlight w:val="none"/>
        </w:rPr>
        <w:t>23.1合同未尽事项见</w:t>
      </w:r>
      <w:r>
        <w:rPr>
          <w:rFonts w:hint="eastAsia" w:ascii="宋体" w:hAnsi="宋体" w:eastAsia="宋体"/>
          <w:b/>
          <w:color w:val="auto"/>
          <w:szCs w:val="21"/>
          <w:highlight w:val="none"/>
        </w:rPr>
        <w:t>【政府采购合同专用条款】。</w:t>
      </w:r>
    </w:p>
    <w:p w14:paraId="1C5E352C">
      <w:pPr>
        <w:adjustRightInd w:val="0"/>
        <w:snapToGrid w:val="0"/>
        <w:spacing w:before="50" w:line="360" w:lineRule="auto"/>
        <w:jc w:val="left"/>
        <w:rPr>
          <w:rFonts w:ascii="宋体" w:hAnsi="宋体" w:eastAsia="宋体"/>
          <w:b/>
          <w:bCs/>
          <w:color w:val="auto"/>
          <w:sz w:val="24"/>
          <w:highlight w:val="none"/>
        </w:rPr>
      </w:pPr>
      <w:r>
        <w:rPr>
          <w:rFonts w:hint="eastAsia" w:ascii="宋体" w:hAnsi="宋体" w:eastAsia="宋体"/>
          <w:b/>
          <w:bCs/>
          <w:color w:val="auto"/>
          <w:sz w:val="24"/>
          <w:highlight w:val="none"/>
        </w:rPr>
        <w:t>24.合同生效</w:t>
      </w:r>
    </w:p>
    <w:p w14:paraId="0D7DA1F6">
      <w:pPr>
        <w:autoSpaceDE w:val="0"/>
        <w:autoSpaceDN w:val="0"/>
        <w:adjustRightInd w:val="0"/>
        <w:snapToGrid w:val="0"/>
        <w:spacing w:before="50" w:line="360" w:lineRule="auto"/>
        <w:ind w:firstLine="420" w:firstLineChars="200"/>
        <w:jc w:val="left"/>
        <w:rPr>
          <w:rFonts w:ascii="黑体" w:hAnsi="黑体" w:eastAsia="黑体"/>
          <w:b/>
          <w:bCs/>
          <w:color w:val="auto"/>
          <w:sz w:val="10"/>
          <w:szCs w:val="10"/>
          <w:highlight w:val="none"/>
        </w:rPr>
      </w:pPr>
      <w:r>
        <w:rPr>
          <w:rFonts w:hint="eastAsia" w:ascii="宋体" w:hAnsi="宋体" w:eastAsia="宋体"/>
          <w:color w:val="auto"/>
          <w:szCs w:val="21"/>
          <w:highlight w:val="none"/>
        </w:rPr>
        <w:t>24.1 本合同在合同双方签字盖章后生效。</w:t>
      </w:r>
      <w:r>
        <w:rPr>
          <w:rFonts w:ascii="黑体" w:hAnsi="黑体" w:eastAsia="黑体"/>
          <w:b/>
          <w:bCs/>
          <w:color w:val="auto"/>
          <w:sz w:val="32"/>
          <w:highlight w:val="none"/>
        </w:rPr>
        <w:br w:type="page"/>
      </w:r>
    </w:p>
    <w:p w14:paraId="0D10B90B">
      <w:pPr>
        <w:pStyle w:val="3"/>
        <w:adjustRightInd w:val="0"/>
        <w:snapToGrid w:val="0"/>
        <w:jc w:val="center"/>
        <w:rPr>
          <w:rFonts w:ascii="黑体" w:hAnsi="华文中宋" w:eastAsia="黑体"/>
          <w:color w:val="auto"/>
          <w:sz w:val="28"/>
          <w:szCs w:val="28"/>
          <w:highlight w:val="none"/>
        </w:rPr>
      </w:pPr>
      <w:bookmarkStart w:id="111" w:name="_Toc2304"/>
      <w:r>
        <w:rPr>
          <w:rFonts w:hint="eastAsia" w:ascii="黑体" w:hAnsi="华文中宋" w:eastAsia="黑体"/>
          <w:color w:val="auto"/>
          <w:sz w:val="28"/>
          <w:szCs w:val="28"/>
          <w:highlight w:val="none"/>
        </w:rPr>
        <w:t>第三节 政府采购合同专用条款</w:t>
      </w:r>
      <w:bookmarkEnd w:id="111"/>
    </w:p>
    <w:p w14:paraId="7E84FE0A">
      <w:pPr>
        <w:adjustRightInd w:val="0"/>
        <w:snapToGrid w:val="0"/>
        <w:spacing w:line="360" w:lineRule="auto"/>
        <w:jc w:val="center"/>
        <w:rPr>
          <w:rFonts w:ascii="宋体" w:hAnsi="宋体"/>
          <w:color w:val="auto"/>
          <w:sz w:val="24"/>
          <w:highlight w:val="none"/>
        </w:rPr>
      </w:pPr>
    </w:p>
    <w:tbl>
      <w:tblPr>
        <w:tblStyle w:val="25"/>
        <w:tblW w:w="0" w:type="auto"/>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1843"/>
        <w:gridCol w:w="5464"/>
      </w:tblGrid>
      <w:tr w14:paraId="658CFE0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701" w:type="dxa"/>
            <w:noWrap w:val="0"/>
            <w:vAlign w:val="center"/>
          </w:tcPr>
          <w:p w14:paraId="562F1EB3">
            <w:pPr>
              <w:adjustRightInd w:val="0"/>
              <w:snapToGrid w:val="0"/>
              <w:spacing w:line="360" w:lineRule="auto"/>
              <w:jc w:val="center"/>
              <w:rPr>
                <w:rFonts w:ascii="宋体" w:hAnsi="宋体"/>
                <w:color w:val="auto"/>
                <w:szCs w:val="21"/>
                <w:highlight w:val="none"/>
              </w:rPr>
            </w:pPr>
            <w:r>
              <w:rPr>
                <w:rFonts w:hint="eastAsia" w:ascii="宋体" w:hAnsi="宋体"/>
                <w:color w:val="auto"/>
                <w:szCs w:val="21"/>
                <w:highlight w:val="none"/>
              </w:rPr>
              <w:t>本章第二节</w:t>
            </w:r>
          </w:p>
          <w:p w14:paraId="0D56A658">
            <w:pPr>
              <w:adjustRightInd w:val="0"/>
              <w:snapToGrid w:val="0"/>
              <w:spacing w:line="360" w:lineRule="auto"/>
              <w:jc w:val="center"/>
              <w:rPr>
                <w:rFonts w:ascii="宋体" w:hAnsi="宋体"/>
                <w:color w:val="auto"/>
                <w:szCs w:val="21"/>
                <w:highlight w:val="none"/>
              </w:rPr>
            </w:pPr>
            <w:r>
              <w:rPr>
                <w:rFonts w:hint="eastAsia" w:ascii="宋体" w:hAnsi="宋体"/>
                <w:color w:val="auto"/>
                <w:szCs w:val="21"/>
                <w:highlight w:val="none"/>
              </w:rPr>
              <w:t>第1.1款</w:t>
            </w:r>
          </w:p>
        </w:tc>
        <w:tc>
          <w:tcPr>
            <w:tcW w:w="1843" w:type="dxa"/>
            <w:noWrap w:val="0"/>
            <w:vAlign w:val="center"/>
          </w:tcPr>
          <w:p w14:paraId="0717E222">
            <w:pPr>
              <w:adjustRightInd w:val="0"/>
              <w:snapToGrid w:val="0"/>
              <w:spacing w:line="360" w:lineRule="auto"/>
              <w:jc w:val="left"/>
              <w:rPr>
                <w:rFonts w:ascii="宋体" w:hAnsi="宋体"/>
                <w:color w:val="auto"/>
                <w:szCs w:val="21"/>
                <w:highlight w:val="none"/>
              </w:rPr>
            </w:pPr>
            <w:r>
              <w:rPr>
                <w:rFonts w:hint="eastAsia" w:ascii="宋体" w:hAnsi="宋体"/>
                <w:color w:val="auto"/>
                <w:szCs w:val="21"/>
                <w:highlight w:val="none"/>
              </w:rPr>
              <w:t xml:space="preserve">甲方名称、地址 </w:t>
            </w:r>
          </w:p>
        </w:tc>
        <w:tc>
          <w:tcPr>
            <w:tcW w:w="5464" w:type="dxa"/>
            <w:noWrap w:val="0"/>
            <w:vAlign w:val="center"/>
          </w:tcPr>
          <w:p w14:paraId="5B3ADF72">
            <w:pPr>
              <w:adjustRightInd w:val="0"/>
              <w:snapToGrid w:val="0"/>
              <w:spacing w:line="360" w:lineRule="auto"/>
              <w:jc w:val="left"/>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rPr>
              <w:t>名 称：</w:t>
            </w:r>
            <w:r>
              <w:rPr>
                <w:rFonts w:hint="eastAsia" w:ascii="宋体" w:hAnsi="宋体" w:cs="Times New Roman"/>
                <w:color w:val="auto"/>
                <w:szCs w:val="21"/>
                <w:highlight w:val="none"/>
                <w:lang w:val="en-US" w:eastAsia="zh-CN"/>
              </w:rPr>
              <w:t xml:space="preserve">株洲市中心医院 </w:t>
            </w:r>
          </w:p>
          <w:p w14:paraId="5F29158B">
            <w:pPr>
              <w:adjustRightInd w:val="0"/>
              <w:snapToGrid w:val="0"/>
              <w:spacing w:line="360" w:lineRule="auto"/>
              <w:jc w:val="left"/>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rPr>
              <w:t>地 址：</w:t>
            </w:r>
            <w:r>
              <w:rPr>
                <w:rStyle w:val="32"/>
                <w:rFonts w:hint="eastAsia" w:ascii="宋体" w:hAnsi="宋体"/>
                <w:color w:val="auto"/>
                <w:szCs w:val="21"/>
                <w:highlight w:val="none"/>
              </w:rPr>
              <w:t>株洲市天元区长江南路116号</w:t>
            </w:r>
          </w:p>
        </w:tc>
      </w:tr>
      <w:tr w14:paraId="1C4743E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701" w:type="dxa"/>
            <w:noWrap w:val="0"/>
            <w:vAlign w:val="center"/>
          </w:tcPr>
          <w:p w14:paraId="16933F4D">
            <w:pPr>
              <w:adjustRightInd w:val="0"/>
              <w:snapToGrid w:val="0"/>
              <w:spacing w:line="360" w:lineRule="auto"/>
              <w:jc w:val="center"/>
              <w:rPr>
                <w:rFonts w:ascii="宋体" w:hAnsi="宋体"/>
                <w:color w:val="auto"/>
                <w:szCs w:val="21"/>
                <w:highlight w:val="none"/>
              </w:rPr>
            </w:pPr>
            <w:r>
              <w:rPr>
                <w:rFonts w:hint="eastAsia" w:ascii="宋体" w:hAnsi="宋体"/>
                <w:color w:val="auto"/>
                <w:szCs w:val="21"/>
                <w:highlight w:val="none"/>
              </w:rPr>
              <w:t>本章第二节</w:t>
            </w:r>
          </w:p>
          <w:p w14:paraId="40BD7D39">
            <w:pPr>
              <w:adjustRightInd w:val="0"/>
              <w:snapToGrid w:val="0"/>
              <w:spacing w:line="360" w:lineRule="auto"/>
              <w:jc w:val="center"/>
              <w:rPr>
                <w:rFonts w:ascii="宋体" w:hAnsi="宋体"/>
                <w:color w:val="auto"/>
                <w:szCs w:val="21"/>
                <w:highlight w:val="none"/>
              </w:rPr>
            </w:pPr>
            <w:r>
              <w:rPr>
                <w:rFonts w:hint="eastAsia" w:ascii="宋体" w:hAnsi="宋体"/>
                <w:color w:val="auto"/>
                <w:szCs w:val="21"/>
                <w:highlight w:val="none"/>
              </w:rPr>
              <w:t>第1.2（6）项</w:t>
            </w:r>
          </w:p>
        </w:tc>
        <w:tc>
          <w:tcPr>
            <w:tcW w:w="1843" w:type="dxa"/>
            <w:noWrap w:val="0"/>
            <w:vAlign w:val="center"/>
          </w:tcPr>
          <w:p w14:paraId="03FA9C7E">
            <w:pPr>
              <w:adjustRightInd w:val="0"/>
              <w:snapToGrid w:val="0"/>
              <w:spacing w:line="360" w:lineRule="auto"/>
              <w:jc w:val="left"/>
              <w:rPr>
                <w:rFonts w:ascii="宋体" w:hAnsi="宋体"/>
                <w:color w:val="auto"/>
                <w:szCs w:val="21"/>
                <w:highlight w:val="none"/>
              </w:rPr>
            </w:pPr>
            <w:r>
              <w:rPr>
                <w:rFonts w:hint="eastAsia" w:ascii="宋体" w:hAnsi="宋体"/>
                <w:color w:val="auto"/>
                <w:szCs w:val="21"/>
                <w:highlight w:val="none"/>
              </w:rPr>
              <w:t>项目现场</w:t>
            </w:r>
          </w:p>
        </w:tc>
        <w:tc>
          <w:tcPr>
            <w:tcW w:w="5464" w:type="dxa"/>
            <w:noWrap w:val="0"/>
            <w:vAlign w:val="center"/>
          </w:tcPr>
          <w:p w14:paraId="614CE4F5">
            <w:pPr>
              <w:adjustRightInd w:val="0"/>
              <w:snapToGrid w:val="0"/>
              <w:spacing w:line="360" w:lineRule="auto"/>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详见第五章 采购需求</w:t>
            </w:r>
          </w:p>
        </w:tc>
      </w:tr>
      <w:tr w14:paraId="13EBE88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701" w:type="dxa"/>
            <w:noWrap w:val="0"/>
            <w:vAlign w:val="center"/>
          </w:tcPr>
          <w:p w14:paraId="45EF3682">
            <w:pPr>
              <w:adjustRightInd w:val="0"/>
              <w:snapToGrid w:val="0"/>
              <w:spacing w:line="360" w:lineRule="auto"/>
              <w:jc w:val="center"/>
              <w:rPr>
                <w:rFonts w:ascii="宋体" w:hAnsi="宋体"/>
                <w:color w:val="auto"/>
                <w:szCs w:val="21"/>
                <w:highlight w:val="none"/>
              </w:rPr>
            </w:pPr>
            <w:r>
              <w:rPr>
                <w:rFonts w:hint="eastAsia" w:ascii="宋体" w:hAnsi="宋体"/>
                <w:color w:val="auto"/>
                <w:szCs w:val="21"/>
                <w:highlight w:val="none"/>
              </w:rPr>
              <w:t>本章第二节</w:t>
            </w:r>
          </w:p>
          <w:p w14:paraId="062D0EC3">
            <w:pPr>
              <w:adjustRightInd w:val="0"/>
              <w:snapToGrid w:val="0"/>
              <w:spacing w:line="360" w:lineRule="auto"/>
              <w:jc w:val="center"/>
              <w:rPr>
                <w:rFonts w:ascii="宋体" w:hAnsi="宋体"/>
                <w:color w:val="auto"/>
                <w:szCs w:val="21"/>
                <w:highlight w:val="none"/>
              </w:rPr>
            </w:pPr>
            <w:r>
              <w:rPr>
                <w:rFonts w:hint="eastAsia" w:ascii="宋体" w:hAnsi="宋体"/>
                <w:color w:val="auto"/>
                <w:szCs w:val="21"/>
                <w:highlight w:val="none"/>
              </w:rPr>
              <w:t>第5.1款</w:t>
            </w:r>
          </w:p>
        </w:tc>
        <w:tc>
          <w:tcPr>
            <w:tcW w:w="1843" w:type="dxa"/>
            <w:noWrap w:val="0"/>
            <w:vAlign w:val="center"/>
          </w:tcPr>
          <w:p w14:paraId="54CF99F8">
            <w:pPr>
              <w:adjustRightInd w:val="0"/>
              <w:snapToGrid w:val="0"/>
              <w:spacing w:line="360" w:lineRule="auto"/>
              <w:jc w:val="left"/>
              <w:rPr>
                <w:rFonts w:ascii="宋体" w:hAnsi="宋体"/>
                <w:color w:val="auto"/>
                <w:szCs w:val="21"/>
                <w:highlight w:val="none"/>
              </w:rPr>
            </w:pPr>
            <w:r>
              <w:rPr>
                <w:rFonts w:hint="eastAsia" w:ascii="宋体" w:hAnsi="宋体"/>
                <w:color w:val="auto"/>
                <w:szCs w:val="21"/>
                <w:highlight w:val="none"/>
              </w:rPr>
              <w:t>履行合同的时间、地点及方式</w:t>
            </w:r>
          </w:p>
        </w:tc>
        <w:tc>
          <w:tcPr>
            <w:tcW w:w="5464" w:type="dxa"/>
            <w:noWrap w:val="0"/>
            <w:vAlign w:val="center"/>
          </w:tcPr>
          <w:p w14:paraId="2B951450">
            <w:pPr>
              <w:adjustRightInd w:val="0"/>
              <w:snapToGrid w:val="0"/>
              <w:spacing w:line="360" w:lineRule="auto"/>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交货时间：详见第五章 采购需求</w:t>
            </w:r>
          </w:p>
          <w:p w14:paraId="72A55401">
            <w:pPr>
              <w:adjustRightInd w:val="0"/>
              <w:snapToGrid w:val="0"/>
              <w:spacing w:line="360" w:lineRule="auto"/>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交货地点：详见第五章 采购需求</w:t>
            </w:r>
          </w:p>
          <w:p w14:paraId="37760C63">
            <w:pPr>
              <w:adjustRightInd w:val="0"/>
              <w:snapToGrid w:val="0"/>
              <w:spacing w:line="360" w:lineRule="auto"/>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交货方式：详见第五章 采购需求 </w:t>
            </w:r>
          </w:p>
        </w:tc>
      </w:tr>
      <w:tr w14:paraId="5170250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701" w:type="dxa"/>
            <w:noWrap w:val="0"/>
            <w:vAlign w:val="center"/>
          </w:tcPr>
          <w:p w14:paraId="1CBF5AF9">
            <w:pPr>
              <w:adjustRightInd w:val="0"/>
              <w:snapToGrid w:val="0"/>
              <w:spacing w:line="360" w:lineRule="auto"/>
              <w:jc w:val="center"/>
              <w:rPr>
                <w:rFonts w:ascii="宋体" w:hAnsi="宋体"/>
                <w:color w:val="auto"/>
                <w:szCs w:val="21"/>
                <w:highlight w:val="none"/>
              </w:rPr>
            </w:pPr>
            <w:r>
              <w:rPr>
                <w:rFonts w:hint="eastAsia" w:ascii="宋体" w:hAnsi="宋体"/>
                <w:color w:val="auto"/>
                <w:szCs w:val="21"/>
                <w:highlight w:val="none"/>
              </w:rPr>
              <w:t>本章第二节</w:t>
            </w:r>
          </w:p>
          <w:p w14:paraId="500C96A6">
            <w:pPr>
              <w:adjustRightInd w:val="0"/>
              <w:snapToGrid w:val="0"/>
              <w:spacing w:line="360" w:lineRule="auto"/>
              <w:jc w:val="center"/>
              <w:rPr>
                <w:rFonts w:ascii="宋体" w:hAnsi="宋体"/>
                <w:color w:val="auto"/>
                <w:szCs w:val="21"/>
                <w:highlight w:val="none"/>
              </w:rPr>
            </w:pPr>
            <w:r>
              <w:rPr>
                <w:rFonts w:hint="eastAsia" w:ascii="宋体" w:hAnsi="宋体"/>
                <w:color w:val="auto"/>
                <w:szCs w:val="21"/>
                <w:highlight w:val="none"/>
              </w:rPr>
              <w:t>第9.2（1）项</w:t>
            </w:r>
          </w:p>
        </w:tc>
        <w:tc>
          <w:tcPr>
            <w:tcW w:w="1843" w:type="dxa"/>
            <w:noWrap w:val="0"/>
            <w:vAlign w:val="center"/>
          </w:tcPr>
          <w:p w14:paraId="5B701967">
            <w:pPr>
              <w:adjustRightInd w:val="0"/>
              <w:snapToGrid w:val="0"/>
              <w:spacing w:line="360" w:lineRule="auto"/>
              <w:jc w:val="left"/>
              <w:rPr>
                <w:rFonts w:ascii="宋体" w:hAnsi="宋体"/>
                <w:color w:val="auto"/>
                <w:szCs w:val="21"/>
                <w:highlight w:val="none"/>
              </w:rPr>
            </w:pPr>
            <w:r>
              <w:rPr>
                <w:rFonts w:hint="eastAsia" w:ascii="宋体" w:hAnsi="宋体"/>
                <w:color w:val="auto"/>
                <w:szCs w:val="21"/>
                <w:highlight w:val="none"/>
              </w:rPr>
              <w:t>质量保证期</w:t>
            </w:r>
          </w:p>
        </w:tc>
        <w:tc>
          <w:tcPr>
            <w:tcW w:w="5464" w:type="dxa"/>
            <w:noWrap w:val="0"/>
            <w:vAlign w:val="center"/>
          </w:tcPr>
          <w:p w14:paraId="4EFC70EB">
            <w:pPr>
              <w:adjustRightInd w:val="0"/>
              <w:snapToGrid w:val="0"/>
              <w:spacing w:line="360" w:lineRule="auto"/>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详见第五章 采购需求</w:t>
            </w:r>
          </w:p>
        </w:tc>
      </w:tr>
      <w:tr w14:paraId="2468072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701" w:type="dxa"/>
            <w:noWrap w:val="0"/>
            <w:vAlign w:val="center"/>
          </w:tcPr>
          <w:p w14:paraId="2123AA95">
            <w:pPr>
              <w:adjustRightInd w:val="0"/>
              <w:snapToGrid w:val="0"/>
              <w:spacing w:line="360" w:lineRule="auto"/>
              <w:jc w:val="center"/>
              <w:rPr>
                <w:rFonts w:ascii="宋体" w:hAnsi="宋体"/>
                <w:color w:val="auto"/>
                <w:szCs w:val="21"/>
                <w:highlight w:val="none"/>
              </w:rPr>
            </w:pPr>
            <w:r>
              <w:rPr>
                <w:rFonts w:hint="eastAsia" w:ascii="宋体" w:hAnsi="宋体"/>
                <w:color w:val="auto"/>
                <w:szCs w:val="21"/>
                <w:highlight w:val="none"/>
              </w:rPr>
              <w:t>本章第二节</w:t>
            </w:r>
          </w:p>
          <w:p w14:paraId="3916EB25">
            <w:pPr>
              <w:adjustRightInd w:val="0"/>
              <w:snapToGrid w:val="0"/>
              <w:spacing w:line="360" w:lineRule="auto"/>
              <w:jc w:val="center"/>
              <w:rPr>
                <w:rFonts w:ascii="宋体" w:hAnsi="宋体"/>
                <w:color w:val="auto"/>
                <w:szCs w:val="21"/>
                <w:highlight w:val="none"/>
              </w:rPr>
            </w:pPr>
            <w:r>
              <w:rPr>
                <w:rFonts w:hint="eastAsia" w:ascii="宋体" w:hAnsi="宋体"/>
                <w:color w:val="auto"/>
                <w:szCs w:val="21"/>
                <w:highlight w:val="none"/>
              </w:rPr>
              <w:t>第9.2（3）项</w:t>
            </w:r>
          </w:p>
        </w:tc>
        <w:tc>
          <w:tcPr>
            <w:tcW w:w="1843" w:type="dxa"/>
            <w:noWrap w:val="0"/>
            <w:vAlign w:val="center"/>
          </w:tcPr>
          <w:p w14:paraId="373896DE">
            <w:pPr>
              <w:adjustRightInd w:val="0"/>
              <w:snapToGrid w:val="0"/>
              <w:spacing w:line="360" w:lineRule="auto"/>
              <w:jc w:val="left"/>
              <w:rPr>
                <w:rFonts w:ascii="宋体" w:hAnsi="宋体"/>
                <w:color w:val="auto"/>
                <w:szCs w:val="21"/>
                <w:highlight w:val="none"/>
              </w:rPr>
            </w:pPr>
            <w:r>
              <w:rPr>
                <w:rFonts w:hint="eastAsia" w:ascii="宋体" w:hAnsi="宋体"/>
                <w:color w:val="auto"/>
                <w:szCs w:val="21"/>
                <w:highlight w:val="none"/>
              </w:rPr>
              <w:t>响应时间</w:t>
            </w:r>
          </w:p>
        </w:tc>
        <w:tc>
          <w:tcPr>
            <w:tcW w:w="5464" w:type="dxa"/>
            <w:noWrap w:val="0"/>
            <w:vAlign w:val="center"/>
          </w:tcPr>
          <w:p w14:paraId="77A5CB0B">
            <w:pPr>
              <w:adjustRightInd w:val="0"/>
              <w:snapToGrid w:val="0"/>
              <w:spacing w:line="360" w:lineRule="auto"/>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详见第五章 采购需求</w:t>
            </w:r>
          </w:p>
        </w:tc>
      </w:tr>
      <w:tr w14:paraId="0E26770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701" w:type="dxa"/>
            <w:noWrap w:val="0"/>
            <w:vAlign w:val="center"/>
          </w:tcPr>
          <w:p w14:paraId="7C30B8B7">
            <w:pPr>
              <w:adjustRightInd w:val="0"/>
              <w:snapToGrid w:val="0"/>
              <w:spacing w:line="360" w:lineRule="auto"/>
              <w:jc w:val="center"/>
              <w:rPr>
                <w:rFonts w:ascii="宋体" w:hAnsi="宋体"/>
                <w:color w:val="auto"/>
                <w:szCs w:val="21"/>
                <w:highlight w:val="none"/>
              </w:rPr>
            </w:pPr>
            <w:r>
              <w:rPr>
                <w:rFonts w:hint="eastAsia" w:ascii="宋体" w:hAnsi="宋体"/>
                <w:color w:val="auto"/>
                <w:szCs w:val="21"/>
                <w:highlight w:val="none"/>
              </w:rPr>
              <w:t>本章第二节</w:t>
            </w:r>
          </w:p>
          <w:p w14:paraId="07753905">
            <w:pPr>
              <w:adjustRightInd w:val="0"/>
              <w:snapToGrid w:val="0"/>
              <w:spacing w:line="360" w:lineRule="auto"/>
              <w:jc w:val="center"/>
              <w:rPr>
                <w:rFonts w:ascii="宋体" w:hAnsi="宋体"/>
                <w:color w:val="auto"/>
                <w:szCs w:val="21"/>
                <w:highlight w:val="none"/>
              </w:rPr>
            </w:pPr>
            <w:r>
              <w:rPr>
                <w:rFonts w:hint="eastAsia" w:ascii="宋体" w:hAnsi="宋体"/>
                <w:color w:val="auto"/>
                <w:szCs w:val="21"/>
                <w:highlight w:val="none"/>
              </w:rPr>
              <w:t>第13.5款</w:t>
            </w:r>
          </w:p>
        </w:tc>
        <w:tc>
          <w:tcPr>
            <w:tcW w:w="1843" w:type="dxa"/>
            <w:noWrap w:val="0"/>
            <w:vAlign w:val="center"/>
          </w:tcPr>
          <w:p w14:paraId="2D032660">
            <w:pPr>
              <w:adjustRightInd w:val="0"/>
              <w:snapToGrid w:val="0"/>
              <w:spacing w:line="360" w:lineRule="auto"/>
              <w:jc w:val="left"/>
              <w:rPr>
                <w:rFonts w:ascii="宋体" w:hAnsi="宋体"/>
                <w:color w:val="auto"/>
                <w:szCs w:val="21"/>
                <w:highlight w:val="none"/>
              </w:rPr>
            </w:pPr>
            <w:r>
              <w:rPr>
                <w:rFonts w:hint="eastAsia" w:ascii="宋体" w:hAnsi="宋体"/>
                <w:color w:val="auto"/>
                <w:szCs w:val="21"/>
                <w:highlight w:val="none"/>
              </w:rPr>
              <w:t>合同价款支付方式</w:t>
            </w:r>
            <w:r>
              <w:rPr>
                <w:rFonts w:hint="eastAsia" w:ascii="宋体" w:hAnsi="宋体"/>
                <w:bCs/>
                <w:color w:val="auto"/>
                <w:szCs w:val="21"/>
                <w:highlight w:val="none"/>
              </w:rPr>
              <w:t>和条件</w:t>
            </w:r>
          </w:p>
        </w:tc>
        <w:tc>
          <w:tcPr>
            <w:tcW w:w="5464" w:type="dxa"/>
            <w:noWrap w:val="0"/>
            <w:vAlign w:val="center"/>
          </w:tcPr>
          <w:p w14:paraId="09705D38">
            <w:pPr>
              <w:numPr>
                <w:ilvl w:val="0"/>
                <w:numId w:val="15"/>
              </w:numPr>
              <w:adjustRightInd w:val="0"/>
              <w:snapToGrid w:val="0"/>
              <w:spacing w:line="360" w:lineRule="auto"/>
              <w:jc w:val="left"/>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具体付款方式以双方签订合同为准。</w:t>
            </w:r>
          </w:p>
          <w:p w14:paraId="5CF652B4">
            <w:pPr>
              <w:numPr>
                <w:ilvl w:val="0"/>
                <w:numId w:val="15"/>
              </w:numPr>
              <w:adjustRightInd w:val="0"/>
              <w:snapToGrid w:val="0"/>
              <w:spacing w:line="360" w:lineRule="auto"/>
              <w:jc w:val="left"/>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付款凭正式的增值税发票按相关规定办理付款手续。</w:t>
            </w:r>
          </w:p>
        </w:tc>
      </w:tr>
      <w:tr w14:paraId="1C62754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701" w:type="dxa"/>
            <w:noWrap w:val="0"/>
            <w:vAlign w:val="center"/>
          </w:tcPr>
          <w:p w14:paraId="7C06B36D">
            <w:pPr>
              <w:adjustRightInd w:val="0"/>
              <w:snapToGrid w:val="0"/>
              <w:spacing w:line="360" w:lineRule="auto"/>
              <w:jc w:val="center"/>
              <w:rPr>
                <w:rFonts w:ascii="宋体" w:hAnsi="宋体"/>
                <w:color w:val="auto"/>
                <w:szCs w:val="21"/>
                <w:highlight w:val="none"/>
              </w:rPr>
            </w:pPr>
            <w:r>
              <w:rPr>
                <w:rFonts w:hint="eastAsia" w:ascii="宋体" w:hAnsi="宋体"/>
                <w:color w:val="auto"/>
                <w:szCs w:val="21"/>
                <w:highlight w:val="none"/>
              </w:rPr>
              <w:t>本章第二节</w:t>
            </w:r>
          </w:p>
          <w:p w14:paraId="2A07723B">
            <w:pPr>
              <w:adjustRightInd w:val="0"/>
              <w:snapToGrid w:val="0"/>
              <w:spacing w:line="360" w:lineRule="auto"/>
              <w:jc w:val="center"/>
              <w:rPr>
                <w:rFonts w:ascii="宋体" w:hAnsi="宋体"/>
                <w:color w:val="auto"/>
                <w:szCs w:val="21"/>
                <w:highlight w:val="none"/>
              </w:rPr>
            </w:pPr>
            <w:r>
              <w:rPr>
                <w:rFonts w:hint="eastAsia" w:ascii="宋体" w:hAnsi="宋体"/>
                <w:color w:val="auto"/>
                <w:szCs w:val="21"/>
                <w:highlight w:val="none"/>
              </w:rPr>
              <w:t>第14.2（6）项</w:t>
            </w:r>
          </w:p>
        </w:tc>
        <w:tc>
          <w:tcPr>
            <w:tcW w:w="1843" w:type="dxa"/>
            <w:noWrap w:val="0"/>
            <w:vAlign w:val="center"/>
          </w:tcPr>
          <w:p w14:paraId="24DF8BF0">
            <w:pPr>
              <w:adjustRightInd w:val="0"/>
              <w:snapToGrid w:val="0"/>
              <w:spacing w:line="360" w:lineRule="auto"/>
              <w:jc w:val="left"/>
              <w:rPr>
                <w:rFonts w:ascii="宋体" w:hAnsi="宋体"/>
                <w:color w:val="auto"/>
                <w:szCs w:val="21"/>
                <w:highlight w:val="none"/>
              </w:rPr>
            </w:pPr>
            <w:r>
              <w:rPr>
                <w:rFonts w:hint="eastAsia" w:ascii="宋体" w:hAnsi="宋体"/>
                <w:color w:val="auto"/>
                <w:szCs w:val="21"/>
                <w:highlight w:val="none"/>
              </w:rPr>
              <w:t>乙方提供的其他服务</w:t>
            </w:r>
          </w:p>
        </w:tc>
        <w:tc>
          <w:tcPr>
            <w:tcW w:w="5464" w:type="dxa"/>
            <w:noWrap w:val="0"/>
            <w:vAlign w:val="center"/>
          </w:tcPr>
          <w:p w14:paraId="5085AB3D">
            <w:pPr>
              <w:adjustRightInd w:val="0"/>
              <w:snapToGrid w:val="0"/>
              <w:spacing w:line="360" w:lineRule="auto"/>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详见第五章 采购需求</w:t>
            </w:r>
          </w:p>
        </w:tc>
      </w:tr>
      <w:tr w14:paraId="195520F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701" w:type="dxa"/>
            <w:noWrap w:val="0"/>
            <w:vAlign w:val="center"/>
          </w:tcPr>
          <w:p w14:paraId="423FD03F">
            <w:pPr>
              <w:adjustRightInd w:val="0"/>
              <w:snapToGrid w:val="0"/>
              <w:spacing w:line="360" w:lineRule="auto"/>
              <w:jc w:val="center"/>
              <w:rPr>
                <w:rFonts w:ascii="宋体" w:hAnsi="宋体"/>
                <w:color w:val="auto"/>
                <w:szCs w:val="21"/>
                <w:highlight w:val="none"/>
              </w:rPr>
            </w:pPr>
            <w:r>
              <w:rPr>
                <w:rFonts w:hint="eastAsia" w:ascii="宋体" w:hAnsi="宋体"/>
                <w:color w:val="auto"/>
                <w:szCs w:val="21"/>
                <w:highlight w:val="none"/>
              </w:rPr>
              <w:t>本章第二节</w:t>
            </w:r>
          </w:p>
          <w:p w14:paraId="33C61A87">
            <w:pPr>
              <w:adjustRightInd w:val="0"/>
              <w:snapToGrid w:val="0"/>
              <w:spacing w:line="360" w:lineRule="auto"/>
              <w:jc w:val="center"/>
              <w:rPr>
                <w:rFonts w:ascii="宋体" w:hAnsi="宋体"/>
                <w:color w:val="auto"/>
                <w:szCs w:val="21"/>
                <w:highlight w:val="none"/>
              </w:rPr>
            </w:pPr>
            <w:r>
              <w:rPr>
                <w:rFonts w:hint="eastAsia" w:ascii="宋体" w:hAnsi="宋体"/>
                <w:color w:val="auto"/>
                <w:szCs w:val="21"/>
                <w:highlight w:val="none"/>
              </w:rPr>
              <w:t>第23.1款</w:t>
            </w:r>
          </w:p>
        </w:tc>
        <w:tc>
          <w:tcPr>
            <w:tcW w:w="1843" w:type="dxa"/>
            <w:noWrap w:val="0"/>
            <w:vAlign w:val="center"/>
          </w:tcPr>
          <w:p w14:paraId="0B433BCB">
            <w:pPr>
              <w:adjustRightInd w:val="0"/>
              <w:snapToGrid w:val="0"/>
              <w:spacing w:line="360" w:lineRule="auto"/>
              <w:jc w:val="left"/>
              <w:rPr>
                <w:rFonts w:ascii="宋体" w:hAnsi="宋体"/>
                <w:color w:val="auto"/>
                <w:szCs w:val="21"/>
                <w:highlight w:val="none"/>
              </w:rPr>
            </w:pPr>
            <w:r>
              <w:rPr>
                <w:rFonts w:hint="eastAsia" w:ascii="宋体" w:hAnsi="宋体"/>
                <w:bCs/>
                <w:color w:val="auto"/>
                <w:szCs w:val="21"/>
                <w:highlight w:val="none"/>
              </w:rPr>
              <w:t>合同未尽事项</w:t>
            </w:r>
          </w:p>
        </w:tc>
        <w:tc>
          <w:tcPr>
            <w:tcW w:w="5464" w:type="dxa"/>
            <w:noWrap w:val="0"/>
            <w:vAlign w:val="center"/>
          </w:tcPr>
          <w:p w14:paraId="014B1E86">
            <w:pPr>
              <w:adjustRightInd w:val="0"/>
              <w:snapToGrid w:val="0"/>
              <w:spacing w:line="360" w:lineRule="auto"/>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双方协商解决</w:t>
            </w:r>
          </w:p>
        </w:tc>
      </w:tr>
    </w:tbl>
    <w:p w14:paraId="1F1307DE">
      <w:pPr>
        <w:pStyle w:val="13"/>
        <w:adjustRightInd w:val="0"/>
        <w:snapToGrid w:val="0"/>
        <w:spacing w:line="360" w:lineRule="auto"/>
        <w:jc w:val="center"/>
        <w:outlineLvl w:val="0"/>
        <w:rPr>
          <w:rFonts w:hAnsi="宋体"/>
          <w:b/>
          <w:bCs/>
          <w:color w:val="auto"/>
          <w:sz w:val="52"/>
          <w:szCs w:val="30"/>
          <w:highlight w:val="none"/>
        </w:rPr>
        <w:sectPr>
          <w:headerReference r:id="rId12" w:type="default"/>
          <w:footerReference r:id="rId13" w:type="default"/>
          <w:pgSz w:w="11905" w:h="16839"/>
          <w:pgMar w:top="1238" w:right="1478" w:bottom="1097" w:left="1387" w:header="917" w:footer="702" w:gutter="0"/>
          <w:pgBorders>
            <w:top w:val="none" w:sz="0" w:space="0"/>
            <w:left w:val="none" w:sz="0" w:space="0"/>
            <w:bottom w:val="none" w:sz="0" w:space="0"/>
            <w:right w:val="none" w:sz="0" w:space="0"/>
          </w:pgBorders>
          <w:pgNumType w:fmt="decimal"/>
          <w:cols w:space="720" w:num="1"/>
        </w:sectPr>
      </w:pPr>
    </w:p>
    <w:p w14:paraId="5893B98C">
      <w:pPr>
        <w:spacing w:line="300" w:lineRule="auto"/>
        <w:jc w:val="center"/>
        <w:rPr>
          <w:rFonts w:hint="eastAsia" w:eastAsia="黑体"/>
          <w:b/>
          <w:bCs/>
          <w:color w:val="auto"/>
          <w:spacing w:val="76"/>
          <w:w w:val="88"/>
          <w:sz w:val="72"/>
          <w:highlight w:val="none"/>
        </w:rPr>
      </w:pPr>
      <w:r>
        <w:rPr>
          <w:rFonts w:hint="eastAsia" w:eastAsia="楷体_GB2312"/>
          <w:b/>
          <w:bCs/>
          <w:color w:val="auto"/>
          <w:spacing w:val="200"/>
          <w:w w:val="88"/>
          <w:sz w:val="44"/>
          <w:szCs w:val="44"/>
          <w:highlight w:val="none"/>
        </w:rPr>
        <w:t>合同书</w:t>
      </w:r>
    </w:p>
    <w:p w14:paraId="3D4AA2D1">
      <w:pPr>
        <w:spacing w:line="300" w:lineRule="auto"/>
        <w:rPr>
          <w:rFonts w:hint="eastAsia" w:eastAsia="黑体"/>
          <w:color w:val="auto"/>
          <w:w w:val="88"/>
          <w:sz w:val="24"/>
          <w:szCs w:val="24"/>
          <w:highlight w:val="none"/>
        </w:rPr>
      </w:pPr>
      <w:r>
        <w:rPr>
          <w:rFonts w:hint="eastAsia" w:eastAsia="黑体"/>
          <w:color w:val="auto"/>
          <w:w w:val="88"/>
          <w:sz w:val="24"/>
          <w:szCs w:val="24"/>
          <w:highlight w:val="none"/>
        </w:rPr>
        <w:t>买方（甲方）：株洲市中心医院</w:t>
      </w:r>
    </w:p>
    <w:p w14:paraId="4958CF7C">
      <w:pPr>
        <w:spacing w:line="300" w:lineRule="auto"/>
        <w:rPr>
          <w:rFonts w:hint="eastAsia" w:eastAsia="黑体"/>
          <w:color w:val="auto"/>
          <w:w w:val="88"/>
          <w:sz w:val="24"/>
          <w:szCs w:val="24"/>
          <w:highlight w:val="none"/>
          <w:lang w:val="en-US" w:eastAsia="zh-CN"/>
        </w:rPr>
      </w:pPr>
      <w:r>
        <w:rPr>
          <w:rFonts w:hint="eastAsia" w:eastAsia="黑体"/>
          <w:color w:val="auto"/>
          <w:w w:val="88"/>
          <w:sz w:val="24"/>
          <w:highlight w:val="none"/>
        </w:rPr>
        <w:t>卖方（乙方）：</w:t>
      </w:r>
    </w:p>
    <w:p w14:paraId="0F2DE0D2">
      <w:pPr>
        <w:spacing w:line="300" w:lineRule="auto"/>
        <w:ind w:firstLine="434" w:firstLineChars="206"/>
        <w:rPr>
          <w:rFonts w:hint="eastAsia" w:eastAsia="新宋体"/>
          <w:color w:val="auto"/>
          <w:w w:val="88"/>
          <w:sz w:val="24"/>
          <w:szCs w:val="24"/>
          <w:highlight w:val="none"/>
        </w:rPr>
      </w:pPr>
      <w:r>
        <w:rPr>
          <w:rFonts w:hint="eastAsia" w:eastAsia="新宋体"/>
          <w:color w:val="auto"/>
          <w:w w:val="88"/>
          <w:sz w:val="24"/>
          <w:szCs w:val="24"/>
          <w:highlight w:val="none"/>
        </w:rPr>
        <w:t>经买卖双方招投标，卖方中标，买卖双方就</w:t>
      </w:r>
      <w:r>
        <w:rPr>
          <w:rFonts w:hint="eastAsia" w:eastAsia="新宋体"/>
          <w:color w:val="auto"/>
          <w:w w:val="88"/>
          <w:sz w:val="24"/>
          <w:szCs w:val="24"/>
          <w:highlight w:val="none"/>
          <w:u w:val="single"/>
          <w:lang w:val="en-US" w:eastAsia="zh-CN"/>
        </w:rPr>
        <w:t xml:space="preserve"> 下述设备 </w:t>
      </w:r>
      <w:r>
        <w:rPr>
          <w:rFonts w:hint="eastAsia" w:eastAsia="新宋体"/>
          <w:color w:val="auto"/>
          <w:w w:val="88"/>
          <w:sz w:val="24"/>
          <w:szCs w:val="24"/>
          <w:highlight w:val="none"/>
          <w:u w:val="none"/>
          <w:lang w:val="en-US" w:eastAsia="zh-CN"/>
        </w:rPr>
        <w:t xml:space="preserve"> </w:t>
      </w:r>
      <w:r>
        <w:rPr>
          <w:rFonts w:hint="eastAsia" w:eastAsia="新宋体"/>
          <w:color w:val="auto"/>
          <w:w w:val="88"/>
          <w:sz w:val="24"/>
          <w:szCs w:val="24"/>
          <w:highlight w:val="none"/>
          <w:lang w:eastAsia="zh-CN"/>
        </w:rPr>
        <w:t>事</w:t>
      </w:r>
      <w:r>
        <w:rPr>
          <w:rFonts w:hint="eastAsia" w:eastAsia="新宋体"/>
          <w:color w:val="auto"/>
          <w:w w:val="88"/>
          <w:sz w:val="24"/>
          <w:szCs w:val="24"/>
          <w:highlight w:val="none"/>
        </w:rPr>
        <w:t>宜充分友好协商。签订如下合同条款：</w:t>
      </w:r>
    </w:p>
    <w:p w14:paraId="1E9B6A14">
      <w:pPr>
        <w:spacing w:line="300" w:lineRule="auto"/>
        <w:rPr>
          <w:rFonts w:hint="eastAsia" w:eastAsia="黑体"/>
          <w:color w:val="auto"/>
          <w:w w:val="88"/>
          <w:sz w:val="24"/>
          <w:szCs w:val="24"/>
          <w:highlight w:val="none"/>
        </w:rPr>
      </w:pPr>
      <w:r>
        <w:rPr>
          <w:rFonts w:hint="eastAsia" w:eastAsia="黑体"/>
          <w:color w:val="auto"/>
          <w:w w:val="88"/>
          <w:sz w:val="24"/>
          <w:szCs w:val="24"/>
          <w:highlight w:val="none"/>
        </w:rPr>
        <w:t>一、 设备名称及价格</w:t>
      </w:r>
    </w:p>
    <w:tbl>
      <w:tblPr>
        <w:tblStyle w:val="26"/>
        <w:tblpPr w:leftFromText="180" w:rightFromText="180" w:vertAnchor="text" w:horzAnchor="page" w:tblpXSpec="center" w:tblpY="305"/>
        <w:tblOverlap w:val="never"/>
        <w:tblW w:w="571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0"/>
        <w:gridCol w:w="1308"/>
        <w:gridCol w:w="1730"/>
        <w:gridCol w:w="1586"/>
        <w:gridCol w:w="1442"/>
        <w:gridCol w:w="1099"/>
        <w:gridCol w:w="1330"/>
        <w:gridCol w:w="1414"/>
      </w:tblGrid>
      <w:tr w14:paraId="3AD5A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312" w:type="pct"/>
            <w:noWrap w:val="0"/>
            <w:vAlign w:val="center"/>
          </w:tcPr>
          <w:p w14:paraId="287D307A">
            <w:pPr>
              <w:spacing w:line="300" w:lineRule="auto"/>
              <w:jc w:val="center"/>
              <w:rPr>
                <w:rFonts w:hint="eastAsia" w:eastAsia="新宋体"/>
                <w:color w:val="auto"/>
                <w:w w:val="88"/>
                <w:sz w:val="24"/>
                <w:highlight w:val="none"/>
              </w:rPr>
            </w:pPr>
            <w:r>
              <w:rPr>
                <w:rFonts w:hint="eastAsia" w:eastAsia="新宋体"/>
                <w:color w:val="auto"/>
                <w:w w:val="88"/>
                <w:sz w:val="24"/>
                <w:highlight w:val="none"/>
              </w:rPr>
              <w:t>序号</w:t>
            </w:r>
          </w:p>
        </w:tc>
        <w:tc>
          <w:tcPr>
            <w:tcW w:w="618" w:type="pct"/>
            <w:noWrap w:val="0"/>
            <w:vAlign w:val="center"/>
          </w:tcPr>
          <w:p w14:paraId="2332CD05">
            <w:pPr>
              <w:spacing w:line="300" w:lineRule="auto"/>
              <w:jc w:val="both"/>
              <w:rPr>
                <w:rFonts w:hint="eastAsia" w:eastAsia="新宋体"/>
                <w:color w:val="auto"/>
                <w:w w:val="88"/>
                <w:sz w:val="24"/>
                <w:highlight w:val="none"/>
              </w:rPr>
            </w:pPr>
            <w:r>
              <w:rPr>
                <w:rFonts w:hint="eastAsia" w:eastAsia="新宋体"/>
                <w:color w:val="auto"/>
                <w:w w:val="88"/>
                <w:sz w:val="24"/>
                <w:highlight w:val="none"/>
              </w:rPr>
              <w:t>设备名称</w:t>
            </w:r>
          </w:p>
        </w:tc>
        <w:tc>
          <w:tcPr>
            <w:tcW w:w="818" w:type="pct"/>
            <w:noWrap w:val="0"/>
            <w:vAlign w:val="center"/>
          </w:tcPr>
          <w:p w14:paraId="0ED4F931">
            <w:pPr>
              <w:spacing w:line="300" w:lineRule="auto"/>
              <w:ind w:firstLine="211" w:firstLineChars="100"/>
              <w:jc w:val="both"/>
              <w:rPr>
                <w:rFonts w:hint="eastAsia" w:eastAsia="新宋体"/>
                <w:color w:val="auto"/>
                <w:w w:val="88"/>
                <w:sz w:val="24"/>
                <w:highlight w:val="none"/>
                <w:lang w:eastAsia="zh-CN"/>
              </w:rPr>
            </w:pPr>
            <w:r>
              <w:rPr>
                <w:rFonts w:hint="eastAsia" w:eastAsia="新宋体"/>
                <w:color w:val="auto"/>
                <w:w w:val="88"/>
                <w:sz w:val="24"/>
                <w:highlight w:val="none"/>
                <w:lang w:eastAsia="zh-CN"/>
              </w:rPr>
              <w:t>注册证名称</w:t>
            </w:r>
          </w:p>
        </w:tc>
        <w:tc>
          <w:tcPr>
            <w:tcW w:w="750" w:type="pct"/>
            <w:noWrap w:val="0"/>
            <w:vAlign w:val="center"/>
          </w:tcPr>
          <w:p w14:paraId="761B80CC">
            <w:pPr>
              <w:spacing w:line="300" w:lineRule="auto"/>
              <w:ind w:firstLine="422" w:firstLineChars="200"/>
              <w:jc w:val="both"/>
              <w:rPr>
                <w:rFonts w:hint="eastAsia" w:eastAsia="新宋体"/>
                <w:color w:val="auto"/>
                <w:w w:val="88"/>
                <w:sz w:val="24"/>
                <w:highlight w:val="none"/>
                <w:lang w:eastAsia="zh-CN"/>
              </w:rPr>
            </w:pPr>
            <w:r>
              <w:rPr>
                <w:rFonts w:hint="eastAsia" w:eastAsia="新宋体"/>
                <w:color w:val="auto"/>
                <w:w w:val="88"/>
                <w:sz w:val="24"/>
                <w:highlight w:val="none"/>
                <w:lang w:eastAsia="zh-CN"/>
              </w:rPr>
              <w:t>生产厂家</w:t>
            </w:r>
          </w:p>
        </w:tc>
        <w:tc>
          <w:tcPr>
            <w:tcW w:w="682" w:type="pct"/>
            <w:noWrap w:val="0"/>
            <w:vAlign w:val="center"/>
          </w:tcPr>
          <w:p w14:paraId="7C9D28FE">
            <w:pPr>
              <w:spacing w:line="300" w:lineRule="auto"/>
              <w:ind w:firstLine="211" w:firstLineChars="100"/>
              <w:jc w:val="both"/>
              <w:rPr>
                <w:rFonts w:hint="eastAsia" w:eastAsia="新宋体"/>
                <w:color w:val="auto"/>
                <w:w w:val="88"/>
                <w:sz w:val="24"/>
                <w:highlight w:val="none"/>
              </w:rPr>
            </w:pPr>
            <w:r>
              <w:rPr>
                <w:rFonts w:hint="eastAsia" w:eastAsia="新宋体"/>
                <w:color w:val="auto"/>
                <w:w w:val="88"/>
                <w:sz w:val="24"/>
                <w:highlight w:val="none"/>
              </w:rPr>
              <w:t>规格型号</w:t>
            </w:r>
          </w:p>
        </w:tc>
        <w:tc>
          <w:tcPr>
            <w:tcW w:w="519" w:type="pct"/>
            <w:noWrap w:val="0"/>
            <w:vAlign w:val="center"/>
          </w:tcPr>
          <w:p w14:paraId="015D65B1">
            <w:pPr>
              <w:spacing w:line="300" w:lineRule="auto"/>
              <w:jc w:val="both"/>
              <w:rPr>
                <w:rFonts w:hint="eastAsia" w:eastAsia="新宋体"/>
                <w:color w:val="auto"/>
                <w:w w:val="88"/>
                <w:sz w:val="24"/>
                <w:highlight w:val="none"/>
                <w:lang w:val="en-US" w:eastAsia="zh-CN"/>
              </w:rPr>
            </w:pPr>
            <w:r>
              <w:rPr>
                <w:rFonts w:hint="eastAsia" w:eastAsia="新宋体"/>
                <w:color w:val="auto"/>
                <w:w w:val="88"/>
                <w:sz w:val="24"/>
                <w:highlight w:val="none"/>
                <w:lang w:val="en-US" w:eastAsia="zh-CN"/>
              </w:rPr>
              <w:t>数量（台）</w:t>
            </w:r>
          </w:p>
        </w:tc>
        <w:tc>
          <w:tcPr>
            <w:tcW w:w="629" w:type="pct"/>
            <w:noWrap w:val="0"/>
            <w:vAlign w:val="center"/>
          </w:tcPr>
          <w:p w14:paraId="369A20BA">
            <w:pPr>
              <w:spacing w:line="300" w:lineRule="auto"/>
              <w:jc w:val="both"/>
              <w:rPr>
                <w:rFonts w:hint="eastAsia" w:eastAsia="新宋体"/>
                <w:color w:val="auto"/>
                <w:w w:val="88"/>
                <w:sz w:val="24"/>
                <w:highlight w:val="none"/>
                <w:lang w:eastAsia="zh-CN"/>
              </w:rPr>
            </w:pPr>
            <w:r>
              <w:rPr>
                <w:rFonts w:hint="eastAsia" w:eastAsia="新宋体"/>
                <w:color w:val="auto"/>
                <w:w w:val="88"/>
                <w:sz w:val="24"/>
                <w:highlight w:val="none"/>
                <w:lang w:eastAsia="zh-CN"/>
              </w:rPr>
              <w:t>单价（万元）</w:t>
            </w:r>
          </w:p>
        </w:tc>
        <w:tc>
          <w:tcPr>
            <w:tcW w:w="668" w:type="pct"/>
            <w:noWrap w:val="0"/>
            <w:vAlign w:val="center"/>
          </w:tcPr>
          <w:p w14:paraId="14233B8B">
            <w:pPr>
              <w:spacing w:line="300" w:lineRule="auto"/>
              <w:jc w:val="both"/>
              <w:rPr>
                <w:rFonts w:hint="eastAsia" w:eastAsia="新宋体"/>
                <w:color w:val="auto"/>
                <w:w w:val="88"/>
                <w:sz w:val="24"/>
                <w:highlight w:val="none"/>
                <w:lang w:eastAsia="zh-CN"/>
              </w:rPr>
            </w:pPr>
            <w:r>
              <w:rPr>
                <w:rFonts w:hint="eastAsia" w:eastAsia="新宋体"/>
                <w:color w:val="auto"/>
                <w:w w:val="88"/>
                <w:sz w:val="24"/>
                <w:highlight w:val="none"/>
                <w:lang w:eastAsia="zh-CN"/>
              </w:rPr>
              <w:t>总价（万元）</w:t>
            </w:r>
          </w:p>
        </w:tc>
      </w:tr>
      <w:tr w14:paraId="469C6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312" w:type="pct"/>
            <w:noWrap w:val="0"/>
            <w:vAlign w:val="center"/>
          </w:tcPr>
          <w:p w14:paraId="1650BF94">
            <w:pPr>
              <w:spacing w:line="300" w:lineRule="auto"/>
              <w:jc w:val="center"/>
              <w:rPr>
                <w:rFonts w:hint="default" w:eastAsia="新宋体"/>
                <w:color w:val="auto"/>
                <w:w w:val="88"/>
                <w:sz w:val="24"/>
                <w:highlight w:val="none"/>
                <w:lang w:val="en-US" w:eastAsia="zh-CN"/>
              </w:rPr>
            </w:pPr>
            <w:r>
              <w:rPr>
                <w:rFonts w:hint="eastAsia" w:eastAsia="新宋体"/>
                <w:color w:val="auto"/>
                <w:w w:val="88"/>
                <w:sz w:val="24"/>
                <w:highlight w:val="none"/>
                <w:lang w:val="en-US" w:eastAsia="zh-CN"/>
              </w:rPr>
              <w:t>1</w:t>
            </w:r>
          </w:p>
        </w:tc>
        <w:tc>
          <w:tcPr>
            <w:tcW w:w="618" w:type="pct"/>
            <w:noWrap w:val="0"/>
            <w:vAlign w:val="center"/>
          </w:tcPr>
          <w:p w14:paraId="59A998EA">
            <w:pPr>
              <w:spacing w:line="300" w:lineRule="auto"/>
              <w:jc w:val="both"/>
              <w:rPr>
                <w:rFonts w:hint="default" w:eastAsia="新宋体"/>
                <w:color w:val="auto"/>
                <w:w w:val="88"/>
                <w:sz w:val="24"/>
                <w:highlight w:val="none"/>
                <w:lang w:val="en-US" w:eastAsia="zh-CN"/>
              </w:rPr>
            </w:pPr>
          </w:p>
        </w:tc>
        <w:tc>
          <w:tcPr>
            <w:tcW w:w="818" w:type="pct"/>
            <w:noWrap w:val="0"/>
            <w:vAlign w:val="center"/>
          </w:tcPr>
          <w:p w14:paraId="6DAAE967">
            <w:pPr>
              <w:spacing w:line="300" w:lineRule="auto"/>
              <w:jc w:val="both"/>
              <w:rPr>
                <w:rFonts w:hint="eastAsia" w:eastAsia="新宋体"/>
                <w:color w:val="auto"/>
                <w:w w:val="88"/>
                <w:sz w:val="24"/>
                <w:highlight w:val="none"/>
                <w:lang w:val="en-US" w:eastAsia="zh-CN"/>
              </w:rPr>
            </w:pPr>
          </w:p>
        </w:tc>
        <w:tc>
          <w:tcPr>
            <w:tcW w:w="750" w:type="pct"/>
            <w:noWrap w:val="0"/>
            <w:vAlign w:val="center"/>
          </w:tcPr>
          <w:p w14:paraId="048F358F">
            <w:pPr>
              <w:spacing w:line="300" w:lineRule="auto"/>
              <w:jc w:val="both"/>
              <w:rPr>
                <w:rFonts w:hint="default" w:eastAsia="新宋体"/>
                <w:color w:val="auto"/>
                <w:w w:val="88"/>
                <w:sz w:val="24"/>
                <w:highlight w:val="none"/>
                <w:lang w:val="en-US" w:eastAsia="zh-CN"/>
              </w:rPr>
            </w:pPr>
          </w:p>
        </w:tc>
        <w:tc>
          <w:tcPr>
            <w:tcW w:w="682" w:type="pct"/>
            <w:noWrap w:val="0"/>
            <w:vAlign w:val="center"/>
          </w:tcPr>
          <w:p w14:paraId="425E3392">
            <w:pPr>
              <w:spacing w:line="300" w:lineRule="auto"/>
              <w:jc w:val="both"/>
              <w:rPr>
                <w:rFonts w:hint="default" w:eastAsia="新宋体"/>
                <w:color w:val="auto"/>
                <w:w w:val="88"/>
                <w:sz w:val="24"/>
                <w:highlight w:val="none"/>
                <w:lang w:val="en-US" w:eastAsia="zh-CN"/>
              </w:rPr>
            </w:pPr>
          </w:p>
        </w:tc>
        <w:tc>
          <w:tcPr>
            <w:tcW w:w="519" w:type="pct"/>
            <w:noWrap w:val="0"/>
            <w:vAlign w:val="center"/>
          </w:tcPr>
          <w:p w14:paraId="018A235D">
            <w:pPr>
              <w:spacing w:line="300" w:lineRule="auto"/>
              <w:jc w:val="center"/>
              <w:rPr>
                <w:rFonts w:hint="default" w:eastAsia="新宋体"/>
                <w:color w:val="auto"/>
                <w:w w:val="88"/>
                <w:sz w:val="24"/>
                <w:highlight w:val="none"/>
                <w:lang w:val="en-US" w:eastAsia="zh-CN"/>
              </w:rPr>
            </w:pPr>
          </w:p>
        </w:tc>
        <w:tc>
          <w:tcPr>
            <w:tcW w:w="629" w:type="pct"/>
            <w:noWrap w:val="0"/>
            <w:vAlign w:val="center"/>
          </w:tcPr>
          <w:p w14:paraId="4E871A07">
            <w:pPr>
              <w:spacing w:line="300" w:lineRule="auto"/>
              <w:jc w:val="center"/>
              <w:rPr>
                <w:rFonts w:hint="default" w:eastAsia="新宋体"/>
                <w:color w:val="auto"/>
                <w:w w:val="88"/>
                <w:sz w:val="24"/>
                <w:highlight w:val="none"/>
                <w:lang w:val="en-US" w:eastAsia="zh-CN"/>
              </w:rPr>
            </w:pPr>
          </w:p>
        </w:tc>
        <w:tc>
          <w:tcPr>
            <w:tcW w:w="668" w:type="pct"/>
            <w:noWrap w:val="0"/>
            <w:vAlign w:val="center"/>
          </w:tcPr>
          <w:p w14:paraId="239ED772">
            <w:pPr>
              <w:spacing w:line="300" w:lineRule="auto"/>
              <w:jc w:val="center"/>
              <w:rPr>
                <w:rFonts w:hint="default" w:eastAsia="新宋体"/>
                <w:color w:val="auto"/>
                <w:w w:val="88"/>
                <w:sz w:val="24"/>
                <w:highlight w:val="none"/>
                <w:lang w:val="en-US" w:eastAsia="zh-CN"/>
              </w:rPr>
            </w:pPr>
          </w:p>
        </w:tc>
      </w:tr>
      <w:tr w14:paraId="6A146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5000" w:type="pct"/>
            <w:gridSpan w:val="8"/>
            <w:noWrap w:val="0"/>
            <w:vAlign w:val="center"/>
          </w:tcPr>
          <w:p w14:paraId="7AB5AB21">
            <w:pPr>
              <w:spacing w:line="300" w:lineRule="auto"/>
              <w:jc w:val="both"/>
              <w:rPr>
                <w:rFonts w:hint="eastAsia" w:eastAsia="新宋体"/>
                <w:color w:val="auto"/>
                <w:w w:val="88"/>
                <w:sz w:val="24"/>
                <w:highlight w:val="none"/>
                <w:lang w:val="en-US" w:eastAsia="zh-CN"/>
              </w:rPr>
            </w:pPr>
            <w:r>
              <w:rPr>
                <w:rFonts w:hint="eastAsia" w:ascii="Times New Roman" w:hAnsi="Times New Roman" w:eastAsia="新宋体" w:cs="Times New Roman"/>
                <w:color w:val="auto"/>
                <w:w w:val="88"/>
                <w:sz w:val="24"/>
                <w:highlight w:val="none"/>
                <w:lang w:val="en-US" w:eastAsia="zh-CN"/>
              </w:rPr>
              <w:t>总成交价（RMB）：</w:t>
            </w:r>
          </w:p>
        </w:tc>
      </w:tr>
    </w:tbl>
    <w:p w14:paraId="41D80682">
      <w:pPr>
        <w:spacing w:line="300" w:lineRule="auto"/>
        <w:ind w:left="90" w:leftChars="43" w:firstLine="202" w:firstLineChars="96"/>
        <w:rPr>
          <w:rFonts w:hint="eastAsia" w:ascii="Times New Roman" w:hAnsi="Times New Roman" w:eastAsia="新宋体" w:cs="Times New Roman"/>
          <w:color w:val="auto"/>
          <w:w w:val="88"/>
          <w:sz w:val="24"/>
          <w:szCs w:val="24"/>
          <w:highlight w:val="none"/>
        </w:rPr>
      </w:pPr>
    </w:p>
    <w:p w14:paraId="6F5201EF">
      <w:pPr>
        <w:spacing w:line="300" w:lineRule="auto"/>
        <w:ind w:left="90" w:leftChars="43" w:firstLine="202" w:firstLineChars="96"/>
        <w:rPr>
          <w:rFonts w:hint="eastAsia" w:ascii="Times New Roman" w:hAnsi="Times New Roman" w:eastAsia="新宋体" w:cs="Times New Roman"/>
          <w:color w:val="auto"/>
          <w:w w:val="88"/>
          <w:sz w:val="24"/>
          <w:szCs w:val="24"/>
          <w:highlight w:val="none"/>
          <w:lang w:eastAsia="zh-CN"/>
        </w:rPr>
      </w:pPr>
      <w:r>
        <w:rPr>
          <w:rFonts w:hint="eastAsia" w:ascii="Times New Roman" w:hAnsi="Times New Roman" w:eastAsia="新宋体" w:cs="Times New Roman"/>
          <w:color w:val="auto"/>
          <w:w w:val="88"/>
          <w:sz w:val="24"/>
          <w:szCs w:val="24"/>
          <w:highlight w:val="none"/>
        </w:rPr>
        <w:t>二、付款方式</w:t>
      </w:r>
    </w:p>
    <w:p w14:paraId="5A2EAE67">
      <w:pPr>
        <w:spacing w:line="300" w:lineRule="auto"/>
        <w:ind w:left="90" w:leftChars="43" w:firstLine="202" w:firstLineChars="96"/>
        <w:rPr>
          <w:rFonts w:hint="eastAsia" w:ascii="Times New Roman" w:hAnsi="Times New Roman" w:eastAsia="新宋体" w:cs="Times New Roman"/>
          <w:color w:val="auto"/>
          <w:w w:val="88"/>
          <w:sz w:val="24"/>
          <w:szCs w:val="24"/>
          <w:highlight w:val="none"/>
          <w:lang w:val="en-US" w:eastAsia="zh-CN"/>
        </w:rPr>
      </w:pPr>
      <w:r>
        <w:rPr>
          <w:rFonts w:hint="eastAsia" w:ascii="Times New Roman" w:hAnsi="Times New Roman" w:eastAsia="新宋体" w:cs="Times New Roman"/>
          <w:color w:val="auto"/>
          <w:w w:val="88"/>
          <w:sz w:val="24"/>
          <w:szCs w:val="24"/>
          <w:highlight w:val="none"/>
          <w:lang w:val="en-US" w:eastAsia="zh-CN"/>
        </w:rPr>
        <w:sym w:font="Wingdings" w:char="00A8"/>
      </w:r>
      <w:r>
        <w:rPr>
          <w:rFonts w:hint="eastAsia" w:ascii="Times New Roman" w:hAnsi="Times New Roman" w:eastAsia="新宋体" w:cs="Times New Roman"/>
          <w:color w:val="auto"/>
          <w:w w:val="88"/>
          <w:sz w:val="24"/>
          <w:szCs w:val="24"/>
          <w:highlight w:val="none"/>
          <w:lang w:val="en-US" w:eastAsia="zh-CN"/>
        </w:rPr>
        <w:t>分期付款：</w:t>
      </w:r>
    </w:p>
    <w:p w14:paraId="5FF1D91E">
      <w:pPr>
        <w:numPr>
          <w:ilvl w:val="0"/>
          <w:numId w:val="0"/>
        </w:numPr>
        <w:spacing w:line="300" w:lineRule="auto"/>
        <w:ind w:firstLine="474" w:firstLineChars="225"/>
        <w:rPr>
          <w:rFonts w:hint="eastAsia" w:eastAsia="新宋体"/>
          <w:b w:val="0"/>
          <w:bCs w:val="0"/>
          <w:color w:val="auto"/>
          <w:w w:val="88"/>
          <w:sz w:val="24"/>
          <w:highlight w:val="none"/>
          <w:lang w:eastAsia="zh-CN"/>
        </w:rPr>
      </w:pPr>
      <w:r>
        <w:rPr>
          <w:rFonts w:hint="eastAsia" w:eastAsia="新宋体"/>
          <w:b w:val="0"/>
          <w:bCs w:val="0"/>
          <w:color w:val="auto"/>
          <w:w w:val="88"/>
          <w:kern w:val="2"/>
          <w:sz w:val="24"/>
          <w:szCs w:val="24"/>
          <w:highlight w:val="none"/>
          <w:lang w:val="en-US" w:eastAsia="zh-CN" w:bidi="ar-SA"/>
        </w:rPr>
        <w:t>1.</w:t>
      </w:r>
      <w:r>
        <w:rPr>
          <w:rFonts w:hint="eastAsia" w:eastAsia="新宋体"/>
          <w:b w:val="0"/>
          <w:bCs w:val="0"/>
          <w:color w:val="auto"/>
          <w:w w:val="88"/>
          <w:sz w:val="24"/>
          <w:highlight w:val="none"/>
        </w:rPr>
        <w:t>设备验收合格后</w:t>
      </w:r>
      <w:r>
        <w:rPr>
          <w:rFonts w:hint="eastAsia" w:ascii="宋体" w:hAnsi="宋体" w:cs="宋体"/>
          <w:color w:val="auto"/>
          <w:w w:val="88"/>
          <w:sz w:val="24"/>
          <w:highlight w:val="none"/>
          <w:lang w:eastAsia="zh-CN"/>
        </w:rPr>
        <w:t>且收到卖方开具的相应合规增值税发票后</w:t>
      </w:r>
      <w:r>
        <w:rPr>
          <w:rFonts w:hint="eastAsia" w:ascii="宋体" w:hAnsi="宋体" w:cs="宋体"/>
          <w:color w:val="auto"/>
          <w:w w:val="88"/>
          <w:sz w:val="24"/>
          <w:highlight w:val="none"/>
          <w:u w:val="single"/>
          <w:lang w:val="en-US" w:eastAsia="zh-CN"/>
        </w:rPr>
        <w:t xml:space="preserve"> 30 </w:t>
      </w:r>
      <w:r>
        <w:rPr>
          <w:rFonts w:hint="eastAsia" w:ascii="宋体" w:hAnsi="宋体" w:cs="宋体"/>
          <w:color w:val="auto"/>
          <w:w w:val="88"/>
          <w:sz w:val="24"/>
          <w:highlight w:val="none"/>
          <w:lang w:val="en-US" w:eastAsia="zh-CN"/>
        </w:rPr>
        <w:t>日</w:t>
      </w:r>
      <w:r>
        <w:rPr>
          <w:rFonts w:hint="eastAsia" w:eastAsia="新宋体"/>
          <w:b w:val="0"/>
          <w:bCs w:val="0"/>
          <w:color w:val="auto"/>
          <w:w w:val="88"/>
          <w:sz w:val="24"/>
          <w:highlight w:val="none"/>
        </w:rPr>
        <w:t>内买方付货款</w:t>
      </w:r>
      <w:r>
        <w:rPr>
          <w:rFonts w:hint="eastAsia" w:eastAsia="新宋体"/>
          <w:b w:val="0"/>
          <w:bCs w:val="0"/>
          <w:color w:val="auto"/>
          <w:w w:val="88"/>
          <w:sz w:val="24"/>
          <w:highlight w:val="none"/>
          <w:lang w:eastAsia="zh-CN"/>
        </w:rPr>
        <w:t>总</w:t>
      </w:r>
      <w:r>
        <w:rPr>
          <w:rFonts w:hint="eastAsia" w:eastAsia="新宋体"/>
          <w:b w:val="0"/>
          <w:bCs w:val="0"/>
          <w:color w:val="auto"/>
          <w:w w:val="88"/>
          <w:sz w:val="24"/>
          <w:highlight w:val="none"/>
        </w:rPr>
        <w:t>额的</w:t>
      </w:r>
      <w:r>
        <w:rPr>
          <w:rFonts w:hint="eastAsia" w:eastAsia="新宋体"/>
          <w:b w:val="0"/>
          <w:bCs w:val="0"/>
          <w:color w:val="auto"/>
          <w:w w:val="88"/>
          <w:sz w:val="24"/>
          <w:highlight w:val="none"/>
          <w:u w:val="single"/>
          <w:lang w:val="en-US" w:eastAsia="zh-CN"/>
        </w:rPr>
        <w:t>90</w:t>
      </w:r>
      <w:r>
        <w:rPr>
          <w:rFonts w:hint="eastAsia" w:eastAsia="新宋体"/>
          <w:b w:val="0"/>
          <w:bCs w:val="0"/>
          <w:color w:val="auto"/>
          <w:w w:val="88"/>
          <w:sz w:val="24"/>
          <w:highlight w:val="none"/>
          <w:u w:val="single"/>
        </w:rPr>
        <w:t>％</w:t>
      </w:r>
      <w:r>
        <w:rPr>
          <w:rFonts w:hint="eastAsia" w:eastAsia="新宋体"/>
          <w:b w:val="0"/>
          <w:bCs w:val="0"/>
          <w:color w:val="auto"/>
          <w:w w:val="88"/>
          <w:sz w:val="24"/>
          <w:highlight w:val="none"/>
          <w:u w:val="single"/>
          <w:lang w:val="en-US" w:eastAsia="zh-CN"/>
        </w:rPr>
        <w:t>(万</w:t>
      </w:r>
      <w:r>
        <w:rPr>
          <w:rFonts w:hint="eastAsia" w:eastAsia="新宋体"/>
          <w:b w:val="0"/>
          <w:bCs w:val="0"/>
          <w:color w:val="auto"/>
          <w:w w:val="88"/>
          <w:sz w:val="24"/>
          <w:highlight w:val="none"/>
          <w:u w:val="single"/>
        </w:rPr>
        <w:t>元）</w:t>
      </w:r>
      <w:r>
        <w:rPr>
          <w:rFonts w:hint="eastAsia" w:eastAsia="新宋体"/>
          <w:b w:val="0"/>
          <w:bCs w:val="0"/>
          <w:color w:val="auto"/>
          <w:w w:val="88"/>
          <w:sz w:val="24"/>
          <w:highlight w:val="none"/>
        </w:rPr>
        <w:t>给卖方</w:t>
      </w:r>
      <w:r>
        <w:rPr>
          <w:rFonts w:hint="eastAsia" w:eastAsia="新宋体"/>
          <w:b w:val="0"/>
          <w:bCs w:val="0"/>
          <w:color w:val="auto"/>
          <w:w w:val="88"/>
          <w:sz w:val="24"/>
          <w:highlight w:val="none"/>
          <w:lang w:eastAsia="zh-CN"/>
        </w:rPr>
        <w:t>；</w:t>
      </w:r>
    </w:p>
    <w:p w14:paraId="1DC440B0">
      <w:pPr>
        <w:numPr>
          <w:ilvl w:val="0"/>
          <w:numId w:val="0"/>
        </w:numPr>
        <w:spacing w:line="300" w:lineRule="auto"/>
        <w:ind w:firstLine="474" w:firstLineChars="225"/>
        <w:rPr>
          <w:rFonts w:hint="eastAsia" w:ascii="Times New Roman" w:hAnsi="Times New Roman" w:eastAsia="新宋体" w:cs="Times New Roman"/>
          <w:b w:val="0"/>
          <w:bCs w:val="0"/>
          <w:color w:val="auto"/>
          <w:w w:val="88"/>
          <w:kern w:val="2"/>
          <w:sz w:val="24"/>
          <w:szCs w:val="24"/>
          <w:highlight w:val="none"/>
          <w:lang w:val="en-US" w:eastAsia="zh-CN" w:bidi="ar-SA"/>
        </w:rPr>
      </w:pPr>
      <w:r>
        <w:rPr>
          <w:rFonts w:hint="eastAsia" w:ascii="Times New Roman" w:hAnsi="Times New Roman" w:eastAsia="新宋体" w:cs="Times New Roman"/>
          <w:b w:val="0"/>
          <w:bCs w:val="0"/>
          <w:color w:val="auto"/>
          <w:w w:val="88"/>
          <w:kern w:val="2"/>
          <w:sz w:val="24"/>
          <w:szCs w:val="24"/>
          <w:highlight w:val="none"/>
          <w:lang w:val="en-US" w:eastAsia="zh-CN" w:bidi="ar-SA"/>
        </w:rPr>
        <w:t>2.质保期满后将设备余款</w:t>
      </w:r>
      <w:r>
        <w:rPr>
          <w:rFonts w:hint="eastAsia" w:ascii="Times New Roman" w:hAnsi="Times New Roman" w:eastAsia="新宋体" w:cs="Times New Roman"/>
          <w:b w:val="0"/>
          <w:bCs w:val="0"/>
          <w:color w:val="auto"/>
          <w:w w:val="88"/>
          <w:kern w:val="2"/>
          <w:sz w:val="24"/>
          <w:szCs w:val="24"/>
          <w:highlight w:val="none"/>
          <w:u w:val="single"/>
          <w:lang w:val="en-US" w:eastAsia="zh-CN" w:bidi="ar-SA"/>
        </w:rPr>
        <w:t xml:space="preserve">  10% （万元）</w:t>
      </w:r>
      <w:r>
        <w:rPr>
          <w:rFonts w:hint="eastAsia" w:ascii="Times New Roman" w:hAnsi="Times New Roman" w:eastAsia="新宋体" w:cs="Times New Roman"/>
          <w:b w:val="0"/>
          <w:bCs w:val="0"/>
          <w:color w:val="auto"/>
          <w:w w:val="88"/>
          <w:kern w:val="2"/>
          <w:sz w:val="24"/>
          <w:szCs w:val="24"/>
          <w:highlight w:val="none"/>
          <w:lang w:val="en-US" w:eastAsia="zh-CN" w:bidi="ar-SA"/>
        </w:rPr>
        <w:t>一次性无息付清。</w:t>
      </w:r>
    </w:p>
    <w:p w14:paraId="276869DB">
      <w:pPr>
        <w:spacing w:line="300" w:lineRule="auto"/>
        <w:ind w:firstLine="211" w:firstLineChars="100"/>
        <w:rPr>
          <w:rFonts w:hint="eastAsia" w:ascii="Times New Roman" w:hAnsi="Times New Roman" w:eastAsia="新宋体" w:cs="Times New Roman"/>
          <w:color w:val="auto"/>
          <w:w w:val="88"/>
          <w:sz w:val="24"/>
          <w:szCs w:val="24"/>
          <w:highlight w:val="none"/>
        </w:rPr>
      </w:pPr>
      <w:r>
        <w:rPr>
          <w:rFonts w:hint="eastAsia" w:ascii="Times New Roman" w:hAnsi="Times New Roman" w:eastAsia="新宋体" w:cs="Times New Roman"/>
          <w:color w:val="auto"/>
          <w:w w:val="88"/>
          <w:sz w:val="24"/>
          <w:szCs w:val="24"/>
          <w:highlight w:val="none"/>
        </w:rPr>
        <w:t>三、交货期</w:t>
      </w:r>
    </w:p>
    <w:p w14:paraId="13646314">
      <w:pPr>
        <w:spacing w:line="300" w:lineRule="auto"/>
        <w:ind w:left="90" w:leftChars="43" w:firstLine="202" w:firstLineChars="96"/>
        <w:rPr>
          <w:rFonts w:hint="eastAsia" w:ascii="Times New Roman" w:hAnsi="Times New Roman" w:eastAsia="新宋体" w:cs="Times New Roman"/>
          <w:color w:val="auto"/>
          <w:w w:val="88"/>
          <w:sz w:val="24"/>
          <w:szCs w:val="24"/>
          <w:highlight w:val="none"/>
          <w:lang w:val="en-US" w:eastAsia="zh-CN"/>
        </w:rPr>
      </w:pPr>
      <w:r>
        <w:rPr>
          <w:rFonts w:hint="eastAsia" w:ascii="Times New Roman" w:hAnsi="Times New Roman" w:eastAsia="新宋体" w:cs="Times New Roman"/>
          <w:color w:val="auto"/>
          <w:w w:val="88"/>
          <w:sz w:val="24"/>
          <w:szCs w:val="24"/>
          <w:highlight w:val="none"/>
        </w:rPr>
        <w:t>1．交货</w:t>
      </w:r>
      <w:r>
        <w:rPr>
          <w:rFonts w:hint="eastAsia" w:ascii="Times New Roman" w:hAnsi="Times New Roman" w:eastAsia="新宋体" w:cs="Times New Roman"/>
          <w:color w:val="auto"/>
          <w:w w:val="88"/>
          <w:sz w:val="24"/>
          <w:szCs w:val="24"/>
          <w:highlight w:val="none"/>
          <w:lang w:eastAsia="zh-CN"/>
        </w:rPr>
        <w:t>方式：卖方送至</w:t>
      </w:r>
      <w:r>
        <w:rPr>
          <w:rFonts w:hint="eastAsia" w:ascii="Times New Roman" w:hAnsi="Times New Roman" w:eastAsia="新宋体" w:cs="Times New Roman"/>
          <w:color w:val="auto"/>
          <w:w w:val="88"/>
          <w:sz w:val="24"/>
          <w:szCs w:val="24"/>
          <w:highlight w:val="none"/>
        </w:rPr>
        <w:t>买方指定地点</w:t>
      </w:r>
      <w:r>
        <w:rPr>
          <w:rFonts w:hint="eastAsia" w:ascii="Times New Roman" w:hAnsi="Times New Roman" w:eastAsia="新宋体" w:cs="Times New Roman"/>
          <w:color w:val="auto"/>
          <w:w w:val="88"/>
          <w:sz w:val="24"/>
          <w:szCs w:val="24"/>
          <w:highlight w:val="none"/>
          <w:lang w:eastAsia="zh-CN"/>
        </w:rPr>
        <w:t>：</w:t>
      </w:r>
      <w:r>
        <w:rPr>
          <w:rFonts w:hint="eastAsia" w:ascii="Times New Roman" w:hAnsi="Times New Roman" w:eastAsia="新宋体" w:cs="Times New Roman"/>
          <w:color w:val="auto"/>
          <w:w w:val="88"/>
          <w:sz w:val="24"/>
          <w:szCs w:val="24"/>
          <w:highlight w:val="none"/>
          <w:lang w:val="en-US" w:eastAsia="zh-CN"/>
        </w:rPr>
        <w:t xml:space="preserve">                </w:t>
      </w:r>
    </w:p>
    <w:p w14:paraId="1B5D901E">
      <w:pPr>
        <w:spacing w:line="300" w:lineRule="auto"/>
        <w:ind w:left="90" w:leftChars="43" w:firstLine="202" w:firstLineChars="96"/>
        <w:rPr>
          <w:rFonts w:hint="eastAsia" w:ascii="Times New Roman" w:hAnsi="Times New Roman" w:eastAsia="新宋体" w:cs="Times New Roman"/>
          <w:color w:val="auto"/>
          <w:w w:val="88"/>
          <w:sz w:val="24"/>
          <w:szCs w:val="24"/>
          <w:highlight w:val="none"/>
        </w:rPr>
      </w:pPr>
      <w:r>
        <w:rPr>
          <w:rFonts w:hint="eastAsia" w:ascii="Times New Roman" w:hAnsi="Times New Roman" w:eastAsia="新宋体" w:cs="Times New Roman"/>
          <w:color w:val="auto"/>
          <w:w w:val="88"/>
          <w:sz w:val="24"/>
          <w:szCs w:val="24"/>
          <w:highlight w:val="none"/>
        </w:rPr>
        <w:t>交货时间</w:t>
      </w:r>
      <w:r>
        <w:rPr>
          <w:rFonts w:hint="eastAsia" w:ascii="Times New Roman" w:hAnsi="Times New Roman" w:eastAsia="新宋体" w:cs="Times New Roman"/>
          <w:color w:val="auto"/>
          <w:w w:val="88"/>
          <w:sz w:val="24"/>
          <w:szCs w:val="24"/>
          <w:highlight w:val="none"/>
          <w:lang w:eastAsia="zh-CN"/>
        </w:rPr>
        <w:t>：合同生效后</w:t>
      </w:r>
      <w:r>
        <w:rPr>
          <w:rFonts w:hint="eastAsia" w:ascii="Times New Roman" w:hAnsi="Times New Roman" w:eastAsia="新宋体" w:cs="Times New Roman"/>
          <w:color w:val="auto"/>
          <w:w w:val="88"/>
          <w:sz w:val="24"/>
          <w:szCs w:val="24"/>
          <w:highlight w:val="none"/>
          <w:lang w:val="en-US" w:eastAsia="zh-CN"/>
        </w:rPr>
        <w:t>45日</w:t>
      </w:r>
      <w:r>
        <w:rPr>
          <w:rFonts w:hint="eastAsia" w:ascii="Times New Roman" w:hAnsi="Times New Roman" w:eastAsia="新宋体" w:cs="Times New Roman"/>
          <w:color w:val="auto"/>
          <w:w w:val="88"/>
          <w:sz w:val="24"/>
          <w:szCs w:val="24"/>
          <w:highlight w:val="none"/>
        </w:rPr>
        <w:t>内安装调试完毕</w:t>
      </w:r>
      <w:r>
        <w:rPr>
          <w:rFonts w:hint="eastAsia" w:ascii="Times New Roman" w:hAnsi="Times New Roman" w:eastAsia="新宋体" w:cs="Times New Roman"/>
          <w:color w:val="auto"/>
          <w:w w:val="88"/>
          <w:sz w:val="24"/>
          <w:szCs w:val="24"/>
          <w:highlight w:val="none"/>
          <w:lang w:eastAsia="zh-CN"/>
        </w:rPr>
        <w:t>并可</w:t>
      </w:r>
      <w:r>
        <w:rPr>
          <w:rFonts w:hint="eastAsia" w:ascii="Times New Roman" w:hAnsi="Times New Roman" w:eastAsia="新宋体" w:cs="Times New Roman"/>
          <w:color w:val="auto"/>
          <w:w w:val="88"/>
          <w:sz w:val="24"/>
          <w:szCs w:val="24"/>
          <w:highlight w:val="none"/>
        </w:rPr>
        <w:t>全面投入使用。若</w:t>
      </w:r>
      <w:r>
        <w:rPr>
          <w:rFonts w:hint="eastAsia" w:ascii="Times New Roman" w:hAnsi="Times New Roman" w:eastAsia="新宋体" w:cs="Times New Roman"/>
          <w:color w:val="auto"/>
          <w:w w:val="88"/>
          <w:sz w:val="24"/>
          <w:szCs w:val="24"/>
          <w:highlight w:val="none"/>
          <w:lang w:eastAsia="zh-CN"/>
        </w:rPr>
        <w:t>卖方</w:t>
      </w:r>
      <w:r>
        <w:rPr>
          <w:rFonts w:hint="eastAsia" w:ascii="Times New Roman" w:hAnsi="Times New Roman" w:eastAsia="新宋体" w:cs="Times New Roman"/>
          <w:color w:val="auto"/>
          <w:w w:val="88"/>
          <w:sz w:val="24"/>
          <w:szCs w:val="24"/>
          <w:highlight w:val="none"/>
        </w:rPr>
        <w:t>不能如期履行设备的安装、调试的义务，甲方有权拒付未付货款，并有权将设备退回</w:t>
      </w:r>
      <w:r>
        <w:rPr>
          <w:rFonts w:hint="eastAsia" w:ascii="Times New Roman" w:hAnsi="Times New Roman" w:eastAsia="新宋体" w:cs="Times New Roman"/>
          <w:color w:val="auto"/>
          <w:w w:val="88"/>
          <w:sz w:val="24"/>
          <w:szCs w:val="24"/>
          <w:highlight w:val="none"/>
          <w:lang w:eastAsia="zh-CN"/>
        </w:rPr>
        <w:t>卖方</w:t>
      </w:r>
      <w:r>
        <w:rPr>
          <w:rFonts w:hint="eastAsia" w:ascii="Times New Roman" w:hAnsi="Times New Roman" w:eastAsia="新宋体" w:cs="Times New Roman"/>
          <w:color w:val="auto"/>
          <w:w w:val="88"/>
          <w:sz w:val="24"/>
          <w:szCs w:val="24"/>
          <w:highlight w:val="none"/>
        </w:rPr>
        <w:t>，因此而产生的费用由</w:t>
      </w:r>
      <w:r>
        <w:rPr>
          <w:rFonts w:hint="eastAsia" w:ascii="Times New Roman" w:hAnsi="Times New Roman" w:eastAsia="新宋体" w:cs="Times New Roman"/>
          <w:color w:val="auto"/>
          <w:w w:val="88"/>
          <w:sz w:val="24"/>
          <w:szCs w:val="24"/>
          <w:highlight w:val="none"/>
          <w:lang w:eastAsia="zh-CN"/>
        </w:rPr>
        <w:t>卖方</w:t>
      </w:r>
      <w:r>
        <w:rPr>
          <w:rFonts w:hint="eastAsia" w:ascii="Times New Roman" w:hAnsi="Times New Roman" w:eastAsia="新宋体" w:cs="Times New Roman"/>
          <w:color w:val="auto"/>
          <w:w w:val="88"/>
          <w:sz w:val="24"/>
          <w:szCs w:val="24"/>
          <w:highlight w:val="none"/>
        </w:rPr>
        <w:t>承担。</w:t>
      </w:r>
    </w:p>
    <w:p w14:paraId="1C6B0F3C">
      <w:pPr>
        <w:spacing w:line="300" w:lineRule="auto"/>
        <w:ind w:left="90" w:leftChars="43" w:firstLine="202" w:firstLineChars="96"/>
        <w:rPr>
          <w:rFonts w:hint="eastAsia" w:ascii="Times New Roman" w:hAnsi="Times New Roman" w:eastAsia="新宋体" w:cs="Times New Roman"/>
          <w:color w:val="auto"/>
          <w:w w:val="88"/>
          <w:sz w:val="24"/>
          <w:szCs w:val="24"/>
          <w:highlight w:val="none"/>
          <w:lang w:eastAsia="zh-CN"/>
        </w:rPr>
      </w:pPr>
      <w:r>
        <w:rPr>
          <w:rFonts w:hint="eastAsia" w:ascii="Times New Roman" w:hAnsi="Times New Roman" w:eastAsia="新宋体" w:cs="Times New Roman"/>
          <w:color w:val="auto"/>
          <w:w w:val="88"/>
          <w:sz w:val="24"/>
          <w:szCs w:val="24"/>
          <w:highlight w:val="none"/>
          <w:lang w:val="en-US" w:eastAsia="zh-CN"/>
        </w:rPr>
        <w:t>2.</w:t>
      </w:r>
      <w:r>
        <w:rPr>
          <w:rFonts w:hint="eastAsia" w:ascii="Times New Roman" w:hAnsi="Times New Roman" w:eastAsia="新宋体" w:cs="Times New Roman"/>
          <w:color w:val="auto"/>
          <w:w w:val="88"/>
          <w:sz w:val="24"/>
          <w:szCs w:val="24"/>
          <w:highlight w:val="none"/>
        </w:rPr>
        <w:t>设备由卖方负责运输到买方指定地点，装卸、安装、调试、验收所需设备工具以及食宿，交通等费用由卖方自行负担。</w:t>
      </w:r>
      <w:r>
        <w:rPr>
          <w:rFonts w:hint="eastAsia" w:ascii="Times New Roman" w:hAnsi="Times New Roman" w:eastAsia="新宋体" w:cs="Times New Roman"/>
          <w:color w:val="auto"/>
          <w:w w:val="88"/>
          <w:sz w:val="24"/>
          <w:szCs w:val="24"/>
          <w:highlight w:val="none"/>
          <w:lang w:eastAsia="zh-CN"/>
        </w:rPr>
        <w:t>安装后所产生的所有包装垃圾由卖方在一个工作日内清理干净，如卖方未按照规定及时清理，买方有权另行委托第三方先行清理，由此产生的费用全部由卖方负责。</w:t>
      </w:r>
    </w:p>
    <w:p w14:paraId="0BD36DFD">
      <w:pPr>
        <w:spacing w:line="300" w:lineRule="auto"/>
        <w:ind w:left="90" w:leftChars="43" w:firstLine="202" w:firstLineChars="96"/>
        <w:rPr>
          <w:rFonts w:hint="eastAsia" w:ascii="Times New Roman" w:hAnsi="Times New Roman" w:eastAsia="新宋体" w:cs="Times New Roman"/>
          <w:color w:val="auto"/>
          <w:w w:val="88"/>
          <w:sz w:val="24"/>
          <w:szCs w:val="24"/>
          <w:highlight w:val="none"/>
        </w:rPr>
      </w:pPr>
      <w:r>
        <w:rPr>
          <w:rFonts w:hint="eastAsia" w:ascii="Times New Roman" w:hAnsi="Times New Roman" w:eastAsia="新宋体" w:cs="Times New Roman"/>
          <w:color w:val="auto"/>
          <w:w w:val="88"/>
          <w:sz w:val="24"/>
          <w:szCs w:val="24"/>
          <w:highlight w:val="none"/>
          <w:lang w:val="en-US" w:eastAsia="zh-CN"/>
        </w:rPr>
        <w:t>3.</w:t>
      </w:r>
      <w:r>
        <w:rPr>
          <w:rFonts w:hint="eastAsia" w:ascii="Times New Roman" w:hAnsi="Times New Roman" w:eastAsia="新宋体" w:cs="Times New Roman"/>
          <w:color w:val="auto"/>
          <w:w w:val="88"/>
          <w:sz w:val="24"/>
          <w:szCs w:val="24"/>
          <w:highlight w:val="none"/>
        </w:rPr>
        <w:t>设备包装应符合国家标准，卖方应根据货物特点和要求采取保护措施使其免受雨水、潮湿、震荡、撞击和其他的损坏，以使其在正常装卸和操作条件下货物能够安全无损地抵达安装现场。</w:t>
      </w:r>
      <w:r>
        <w:rPr>
          <w:rFonts w:hint="eastAsia" w:ascii="Times New Roman" w:hAnsi="Times New Roman" w:eastAsia="新宋体" w:cs="Times New Roman"/>
          <w:color w:val="auto"/>
          <w:w w:val="88"/>
          <w:sz w:val="24"/>
          <w:szCs w:val="24"/>
          <w:highlight w:val="none"/>
          <w:lang w:eastAsia="zh-CN"/>
        </w:rPr>
        <w:t>设</w:t>
      </w:r>
      <w:r>
        <w:rPr>
          <w:rFonts w:hint="eastAsia" w:ascii="Times New Roman" w:hAnsi="Times New Roman" w:eastAsia="新宋体" w:cs="Times New Roman"/>
          <w:color w:val="auto"/>
          <w:w w:val="88"/>
          <w:sz w:val="24"/>
          <w:szCs w:val="24"/>
          <w:highlight w:val="none"/>
        </w:rPr>
        <w:t>备在运输</w:t>
      </w:r>
      <w:r>
        <w:rPr>
          <w:rFonts w:hint="eastAsia" w:ascii="Times New Roman" w:hAnsi="Times New Roman" w:eastAsia="新宋体" w:cs="Times New Roman"/>
          <w:color w:val="auto"/>
          <w:w w:val="88"/>
          <w:sz w:val="24"/>
          <w:szCs w:val="24"/>
          <w:highlight w:val="none"/>
          <w:lang w:eastAsia="zh-CN"/>
        </w:rPr>
        <w:t>、安装调试</w:t>
      </w:r>
      <w:r>
        <w:rPr>
          <w:rFonts w:hint="eastAsia" w:ascii="Times New Roman" w:hAnsi="Times New Roman" w:eastAsia="新宋体" w:cs="Times New Roman"/>
          <w:color w:val="auto"/>
          <w:w w:val="88"/>
          <w:sz w:val="24"/>
          <w:szCs w:val="24"/>
          <w:highlight w:val="none"/>
        </w:rPr>
        <w:t>过程中有任何损坏或丢失，由卖方</w:t>
      </w:r>
      <w:r>
        <w:rPr>
          <w:rFonts w:hint="eastAsia" w:ascii="Times New Roman" w:hAnsi="Times New Roman" w:eastAsia="新宋体" w:cs="Times New Roman"/>
          <w:color w:val="auto"/>
          <w:w w:val="88"/>
          <w:sz w:val="24"/>
          <w:szCs w:val="24"/>
          <w:highlight w:val="none"/>
          <w:lang w:eastAsia="zh-CN"/>
        </w:rPr>
        <w:t>全部</w:t>
      </w:r>
      <w:r>
        <w:rPr>
          <w:rFonts w:hint="eastAsia" w:ascii="Times New Roman" w:hAnsi="Times New Roman" w:eastAsia="新宋体" w:cs="Times New Roman"/>
          <w:color w:val="auto"/>
          <w:w w:val="88"/>
          <w:sz w:val="24"/>
          <w:szCs w:val="24"/>
          <w:highlight w:val="none"/>
        </w:rPr>
        <w:t>负责。</w:t>
      </w:r>
    </w:p>
    <w:p w14:paraId="26F54B33">
      <w:pPr>
        <w:spacing w:line="300" w:lineRule="auto"/>
        <w:ind w:left="90" w:leftChars="43" w:firstLine="202" w:firstLineChars="96"/>
        <w:rPr>
          <w:rFonts w:hint="eastAsia" w:ascii="Times New Roman" w:hAnsi="Times New Roman" w:eastAsia="新宋体" w:cs="Times New Roman"/>
          <w:color w:val="auto"/>
          <w:w w:val="88"/>
          <w:sz w:val="24"/>
          <w:szCs w:val="24"/>
          <w:highlight w:val="none"/>
        </w:rPr>
      </w:pPr>
    </w:p>
    <w:p w14:paraId="5F5978C1">
      <w:pPr>
        <w:spacing w:line="300" w:lineRule="auto"/>
        <w:ind w:left="90" w:leftChars="43" w:firstLine="202" w:firstLineChars="96"/>
        <w:rPr>
          <w:rFonts w:hint="eastAsia" w:ascii="Times New Roman" w:hAnsi="Times New Roman" w:eastAsia="新宋体" w:cs="Times New Roman"/>
          <w:color w:val="auto"/>
          <w:w w:val="88"/>
          <w:sz w:val="24"/>
          <w:szCs w:val="24"/>
          <w:highlight w:val="none"/>
        </w:rPr>
      </w:pPr>
      <w:r>
        <w:rPr>
          <w:rFonts w:hint="eastAsia" w:ascii="Times New Roman" w:hAnsi="Times New Roman" w:eastAsia="新宋体" w:cs="Times New Roman"/>
          <w:color w:val="auto"/>
          <w:w w:val="88"/>
          <w:sz w:val="24"/>
          <w:szCs w:val="24"/>
          <w:highlight w:val="none"/>
        </w:rPr>
        <w:t>四、验收</w:t>
      </w:r>
    </w:p>
    <w:p w14:paraId="1CAFA145">
      <w:pPr>
        <w:spacing w:line="300" w:lineRule="auto"/>
        <w:ind w:left="90" w:leftChars="43" w:firstLine="202" w:firstLineChars="96"/>
        <w:rPr>
          <w:rFonts w:hint="eastAsia" w:ascii="Times New Roman" w:hAnsi="Times New Roman" w:eastAsia="新宋体" w:cs="Times New Roman"/>
          <w:color w:val="auto"/>
          <w:w w:val="88"/>
          <w:sz w:val="24"/>
          <w:szCs w:val="24"/>
          <w:highlight w:val="none"/>
        </w:rPr>
      </w:pPr>
      <w:r>
        <w:rPr>
          <w:rFonts w:hint="eastAsia" w:ascii="Times New Roman" w:hAnsi="Times New Roman" w:eastAsia="新宋体" w:cs="Times New Roman"/>
          <w:color w:val="auto"/>
          <w:w w:val="88"/>
          <w:sz w:val="24"/>
          <w:szCs w:val="24"/>
          <w:highlight w:val="none"/>
        </w:rPr>
        <w:t>1．设备必须符合买方招标书的全部要求，符合生产厂家最新版本的全部功能配置，符合</w:t>
      </w:r>
      <w:r>
        <w:rPr>
          <w:rFonts w:hint="eastAsia" w:ascii="Times New Roman" w:hAnsi="Times New Roman" w:eastAsia="新宋体" w:cs="Times New Roman"/>
          <w:color w:val="auto"/>
          <w:w w:val="88"/>
          <w:sz w:val="24"/>
          <w:szCs w:val="24"/>
          <w:highlight w:val="none"/>
          <w:lang w:eastAsia="zh-CN"/>
        </w:rPr>
        <w:t>甲乙</w:t>
      </w:r>
      <w:r>
        <w:rPr>
          <w:rFonts w:hint="eastAsia" w:ascii="Times New Roman" w:hAnsi="Times New Roman" w:eastAsia="新宋体" w:cs="Times New Roman"/>
          <w:color w:val="auto"/>
          <w:w w:val="88"/>
          <w:sz w:val="24"/>
          <w:szCs w:val="24"/>
          <w:highlight w:val="none"/>
        </w:rPr>
        <w:t>双方约定的配置功能。(见附件：产品报价单设备配置清单、技术规格差异表</w:t>
      </w:r>
      <w:r>
        <w:rPr>
          <w:rFonts w:hint="eastAsia" w:ascii="Times New Roman" w:hAnsi="Times New Roman" w:eastAsia="新宋体" w:cs="Times New Roman"/>
          <w:color w:val="auto"/>
          <w:w w:val="88"/>
          <w:sz w:val="24"/>
          <w:szCs w:val="24"/>
          <w:highlight w:val="none"/>
          <w:lang w:eastAsia="zh-CN"/>
        </w:rPr>
        <w:t>等，有则提供</w:t>
      </w:r>
      <w:r>
        <w:rPr>
          <w:rFonts w:hint="eastAsia" w:ascii="Times New Roman" w:hAnsi="Times New Roman" w:eastAsia="新宋体" w:cs="Times New Roman"/>
          <w:color w:val="auto"/>
          <w:w w:val="88"/>
          <w:sz w:val="24"/>
          <w:szCs w:val="24"/>
          <w:highlight w:val="none"/>
        </w:rPr>
        <w:t>)</w:t>
      </w:r>
    </w:p>
    <w:p w14:paraId="5DDBEC00">
      <w:pPr>
        <w:spacing w:line="300" w:lineRule="auto"/>
        <w:ind w:left="90" w:leftChars="43" w:firstLine="202" w:firstLineChars="96"/>
        <w:rPr>
          <w:rFonts w:hint="eastAsia" w:ascii="Times New Roman" w:hAnsi="Times New Roman" w:eastAsia="新宋体" w:cs="Times New Roman"/>
          <w:color w:val="auto"/>
          <w:w w:val="88"/>
          <w:sz w:val="24"/>
          <w:szCs w:val="24"/>
          <w:highlight w:val="none"/>
        </w:rPr>
      </w:pPr>
      <w:r>
        <w:rPr>
          <w:rFonts w:hint="eastAsia" w:ascii="Times New Roman" w:hAnsi="Times New Roman" w:eastAsia="新宋体" w:cs="Times New Roman"/>
          <w:color w:val="auto"/>
          <w:w w:val="88"/>
          <w:sz w:val="24"/>
          <w:szCs w:val="24"/>
          <w:highlight w:val="none"/>
        </w:rPr>
        <w:t>2．如果卖方提供的设备配置无法达到投标书及约定的设备配置技术性能指标需求，买方可以向卖方索赔，并拒付货款</w:t>
      </w:r>
      <w:r>
        <w:rPr>
          <w:rFonts w:hint="eastAsia" w:ascii="Times New Roman" w:hAnsi="Times New Roman" w:eastAsia="新宋体" w:cs="Times New Roman"/>
          <w:color w:val="auto"/>
          <w:w w:val="88"/>
          <w:sz w:val="24"/>
          <w:szCs w:val="24"/>
          <w:highlight w:val="none"/>
          <w:lang w:eastAsia="zh-CN"/>
        </w:rPr>
        <w:t>，</w:t>
      </w:r>
      <w:r>
        <w:rPr>
          <w:rFonts w:hint="eastAsia" w:ascii="Times New Roman" w:hAnsi="Times New Roman" w:eastAsia="新宋体" w:cs="Times New Roman"/>
          <w:color w:val="auto"/>
          <w:w w:val="88"/>
          <w:sz w:val="24"/>
          <w:szCs w:val="24"/>
          <w:highlight w:val="none"/>
        </w:rPr>
        <w:t>卖方</w:t>
      </w:r>
      <w:r>
        <w:rPr>
          <w:rFonts w:hint="eastAsia" w:ascii="Times New Roman" w:hAnsi="Times New Roman" w:eastAsia="新宋体" w:cs="Times New Roman"/>
          <w:color w:val="auto"/>
          <w:w w:val="88"/>
          <w:sz w:val="24"/>
          <w:szCs w:val="24"/>
          <w:highlight w:val="none"/>
          <w:lang w:eastAsia="zh-CN"/>
        </w:rPr>
        <w:t>承担由此发生的一切损失及费用。</w:t>
      </w:r>
    </w:p>
    <w:p w14:paraId="5A056DE1">
      <w:pPr>
        <w:spacing w:line="300" w:lineRule="auto"/>
        <w:ind w:left="90" w:leftChars="43" w:firstLine="202" w:firstLineChars="96"/>
        <w:rPr>
          <w:rFonts w:hint="eastAsia" w:ascii="Times New Roman" w:hAnsi="Times New Roman" w:eastAsia="新宋体" w:cs="Times New Roman"/>
          <w:color w:val="auto"/>
          <w:w w:val="88"/>
          <w:sz w:val="24"/>
          <w:szCs w:val="24"/>
          <w:highlight w:val="none"/>
          <w:lang w:val="en-US" w:eastAsia="zh-CN"/>
        </w:rPr>
      </w:pPr>
      <w:r>
        <w:rPr>
          <w:rFonts w:hint="eastAsia" w:ascii="Times New Roman" w:hAnsi="Times New Roman" w:eastAsia="新宋体" w:cs="Times New Roman"/>
          <w:color w:val="auto"/>
          <w:w w:val="88"/>
          <w:sz w:val="24"/>
          <w:szCs w:val="24"/>
          <w:highlight w:val="none"/>
        </w:rPr>
        <w:t>3．卖方必须向买方提供该设备有效的“三证”手续（医疗器械注册证、经营许可证、营业执照、授权书）。必须符合国家有关监管部门的检查要求，否则买方有权拒付货款。由此引起的法律官司、买方损失由卖方负全责</w:t>
      </w:r>
      <w:r>
        <w:rPr>
          <w:rFonts w:hint="eastAsia" w:ascii="Times New Roman" w:hAnsi="Times New Roman" w:eastAsia="新宋体" w:cs="Times New Roman"/>
          <w:color w:val="auto"/>
          <w:w w:val="88"/>
          <w:sz w:val="24"/>
          <w:szCs w:val="24"/>
          <w:highlight w:val="none"/>
          <w:lang w:val="en-US" w:eastAsia="zh-CN"/>
        </w:rPr>
        <w:t>.</w:t>
      </w:r>
    </w:p>
    <w:p w14:paraId="3CEB41A4">
      <w:pPr>
        <w:spacing w:line="300" w:lineRule="auto"/>
        <w:ind w:left="90" w:leftChars="43" w:firstLine="202" w:firstLineChars="96"/>
        <w:rPr>
          <w:rFonts w:hint="eastAsia" w:ascii="Times New Roman" w:hAnsi="Times New Roman" w:eastAsia="新宋体" w:cs="Times New Roman"/>
          <w:color w:val="auto"/>
          <w:w w:val="88"/>
          <w:sz w:val="24"/>
          <w:szCs w:val="24"/>
          <w:highlight w:val="none"/>
        </w:rPr>
      </w:pPr>
    </w:p>
    <w:p w14:paraId="03D536E4">
      <w:pPr>
        <w:spacing w:line="300" w:lineRule="auto"/>
        <w:ind w:left="90" w:leftChars="43" w:firstLine="202" w:firstLineChars="96"/>
        <w:rPr>
          <w:rFonts w:hint="eastAsia" w:ascii="Times New Roman" w:hAnsi="Times New Roman" w:eastAsia="新宋体" w:cs="Times New Roman"/>
          <w:color w:val="auto"/>
          <w:w w:val="88"/>
          <w:sz w:val="24"/>
          <w:szCs w:val="24"/>
          <w:highlight w:val="none"/>
        </w:rPr>
      </w:pPr>
    </w:p>
    <w:p w14:paraId="32B95360">
      <w:pPr>
        <w:spacing w:line="300" w:lineRule="auto"/>
        <w:ind w:left="90" w:leftChars="43" w:firstLine="202" w:firstLineChars="96"/>
        <w:rPr>
          <w:rFonts w:hint="eastAsia" w:ascii="Times New Roman" w:hAnsi="Times New Roman" w:eastAsia="新宋体" w:cs="Times New Roman"/>
          <w:color w:val="auto"/>
          <w:w w:val="88"/>
          <w:sz w:val="24"/>
          <w:szCs w:val="24"/>
          <w:highlight w:val="none"/>
        </w:rPr>
      </w:pPr>
      <w:r>
        <w:rPr>
          <w:rFonts w:hint="eastAsia" w:ascii="Times New Roman" w:hAnsi="Times New Roman" w:eastAsia="新宋体" w:cs="Times New Roman"/>
          <w:color w:val="auto"/>
          <w:w w:val="88"/>
          <w:sz w:val="24"/>
          <w:szCs w:val="24"/>
          <w:highlight w:val="none"/>
        </w:rPr>
        <w:t>五、售后服务</w:t>
      </w:r>
    </w:p>
    <w:p w14:paraId="72284120">
      <w:pPr>
        <w:spacing w:line="300" w:lineRule="auto"/>
        <w:ind w:left="90" w:leftChars="43" w:firstLine="202" w:firstLineChars="96"/>
        <w:rPr>
          <w:rFonts w:hint="eastAsia" w:ascii="Times New Roman" w:hAnsi="Times New Roman" w:eastAsia="新宋体" w:cs="Times New Roman"/>
          <w:color w:val="auto"/>
          <w:w w:val="88"/>
          <w:sz w:val="24"/>
          <w:szCs w:val="24"/>
          <w:highlight w:val="none"/>
        </w:rPr>
      </w:pPr>
      <w:r>
        <w:rPr>
          <w:rFonts w:hint="eastAsia" w:ascii="Times New Roman" w:hAnsi="Times New Roman" w:eastAsia="新宋体" w:cs="Times New Roman"/>
          <w:color w:val="auto"/>
          <w:w w:val="88"/>
          <w:sz w:val="24"/>
          <w:szCs w:val="24"/>
          <w:highlight w:val="none"/>
        </w:rPr>
        <w:t>1．保修期</w:t>
      </w:r>
      <w:r>
        <w:rPr>
          <w:rFonts w:hint="eastAsia" w:ascii="Times New Roman" w:hAnsi="Times New Roman" w:eastAsia="新宋体" w:cs="Times New Roman"/>
          <w:color w:val="auto"/>
          <w:w w:val="88"/>
          <w:sz w:val="24"/>
          <w:szCs w:val="24"/>
          <w:highlight w:val="none"/>
          <w:lang w:eastAsia="zh-CN"/>
        </w:rPr>
        <w:t>：自甲方验收合格之日起，</w:t>
      </w:r>
      <w:r>
        <w:rPr>
          <w:rFonts w:hint="eastAsia" w:ascii="Times New Roman" w:hAnsi="Times New Roman" w:eastAsia="新宋体" w:cs="Times New Roman"/>
          <w:color w:val="auto"/>
          <w:w w:val="88"/>
          <w:sz w:val="24"/>
          <w:szCs w:val="24"/>
          <w:highlight w:val="none"/>
        </w:rPr>
        <w:t>卖方对整机</w:t>
      </w:r>
      <w:r>
        <w:rPr>
          <w:rFonts w:hint="eastAsia" w:ascii="Times New Roman" w:hAnsi="Times New Roman" w:eastAsia="新宋体" w:cs="Times New Roman"/>
          <w:color w:val="auto"/>
          <w:w w:val="88"/>
          <w:sz w:val="24"/>
          <w:szCs w:val="24"/>
          <w:highlight w:val="none"/>
          <w:u w:val="single"/>
          <w:lang w:val="en-US" w:eastAsia="zh-CN"/>
        </w:rPr>
        <w:t xml:space="preserve"> </w:t>
      </w:r>
      <w:r>
        <w:rPr>
          <w:rFonts w:hint="eastAsia" w:ascii="Times New Roman" w:hAnsi="Times New Roman" w:eastAsia="新宋体" w:cs="Times New Roman"/>
          <w:color w:val="auto"/>
          <w:w w:val="88"/>
          <w:sz w:val="24"/>
          <w:szCs w:val="24"/>
          <w:highlight w:val="none"/>
        </w:rPr>
        <w:t>年</w:t>
      </w:r>
      <w:r>
        <w:rPr>
          <w:rFonts w:hint="eastAsia" w:ascii="Times New Roman" w:hAnsi="Times New Roman" w:eastAsia="新宋体" w:cs="Times New Roman"/>
          <w:color w:val="auto"/>
          <w:w w:val="88"/>
          <w:sz w:val="24"/>
          <w:szCs w:val="24"/>
          <w:highlight w:val="none"/>
          <w:lang w:eastAsia="zh-CN"/>
        </w:rPr>
        <w:t>内</w:t>
      </w:r>
      <w:r>
        <w:rPr>
          <w:rFonts w:hint="eastAsia" w:ascii="Times New Roman" w:hAnsi="Times New Roman" w:eastAsia="新宋体" w:cs="Times New Roman"/>
          <w:color w:val="auto"/>
          <w:w w:val="88"/>
          <w:sz w:val="24"/>
          <w:szCs w:val="24"/>
          <w:highlight w:val="none"/>
        </w:rPr>
        <w:t>全免费</w:t>
      </w:r>
      <w:r>
        <w:rPr>
          <w:rFonts w:hint="eastAsia" w:ascii="Times New Roman" w:hAnsi="Times New Roman" w:eastAsia="新宋体" w:cs="Times New Roman"/>
          <w:color w:val="auto"/>
          <w:w w:val="88"/>
          <w:sz w:val="24"/>
          <w:szCs w:val="24"/>
          <w:highlight w:val="none"/>
          <w:lang w:eastAsia="zh-CN"/>
        </w:rPr>
        <w:t>保修</w:t>
      </w:r>
      <w:r>
        <w:rPr>
          <w:rFonts w:hint="eastAsia" w:ascii="Times New Roman" w:hAnsi="Times New Roman" w:eastAsia="新宋体" w:cs="Times New Roman"/>
          <w:color w:val="auto"/>
          <w:w w:val="88"/>
          <w:sz w:val="24"/>
          <w:szCs w:val="24"/>
          <w:highlight w:val="none"/>
        </w:rPr>
        <w:t>。终身维修（只收取</w:t>
      </w:r>
      <w:r>
        <w:rPr>
          <w:rFonts w:hint="eastAsia" w:ascii="Times New Roman" w:hAnsi="Times New Roman" w:eastAsia="新宋体" w:cs="Times New Roman"/>
          <w:color w:val="auto"/>
          <w:w w:val="88"/>
          <w:sz w:val="24"/>
          <w:szCs w:val="24"/>
          <w:highlight w:val="none"/>
          <w:lang w:eastAsia="zh-CN"/>
        </w:rPr>
        <w:t>经甲方询价确认后的</w:t>
      </w:r>
      <w:r>
        <w:rPr>
          <w:rFonts w:hint="eastAsia" w:ascii="Times New Roman" w:hAnsi="Times New Roman" w:eastAsia="新宋体" w:cs="Times New Roman"/>
          <w:color w:val="auto"/>
          <w:w w:val="88"/>
          <w:sz w:val="24"/>
          <w:szCs w:val="24"/>
          <w:highlight w:val="none"/>
        </w:rPr>
        <w:t>零配件费，不收维修费、差旅费、人工费等费用</w:t>
      </w:r>
      <w:r>
        <w:rPr>
          <w:rFonts w:hint="eastAsia" w:ascii="Times New Roman" w:hAnsi="Times New Roman" w:eastAsia="新宋体" w:cs="Times New Roman"/>
          <w:color w:val="auto"/>
          <w:w w:val="88"/>
          <w:sz w:val="24"/>
          <w:szCs w:val="24"/>
          <w:highlight w:val="none"/>
          <w:lang w:eastAsia="zh-CN"/>
        </w:rPr>
        <w:t>）</w:t>
      </w:r>
      <w:r>
        <w:rPr>
          <w:rFonts w:hint="eastAsia" w:ascii="Times New Roman" w:hAnsi="Times New Roman" w:eastAsia="新宋体" w:cs="Times New Roman"/>
          <w:color w:val="auto"/>
          <w:w w:val="88"/>
          <w:sz w:val="24"/>
          <w:szCs w:val="24"/>
          <w:highlight w:val="none"/>
        </w:rPr>
        <w:t>。软件终身免费升级（指含软件的设备）。</w:t>
      </w:r>
      <w:r>
        <w:rPr>
          <w:rFonts w:hint="eastAsia" w:ascii="Times New Roman" w:hAnsi="Times New Roman" w:eastAsia="新宋体" w:cs="Times New Roman"/>
          <w:color w:val="auto"/>
          <w:w w:val="88"/>
          <w:sz w:val="24"/>
          <w:szCs w:val="24"/>
          <w:highlight w:val="none"/>
          <w:lang w:eastAsia="zh-CN"/>
        </w:rPr>
        <w:t>若在维保期内，卖方无法供应设备的零配件，买方有权按该零配件的实际市场价值从相应的</w:t>
      </w:r>
      <w:r>
        <w:rPr>
          <w:rFonts w:ascii="宋体" w:hAnsi="宋体" w:eastAsia="宋体" w:cs="宋体"/>
          <w:color w:val="auto"/>
          <w:sz w:val="24"/>
          <w:szCs w:val="24"/>
          <w:highlight w:val="none"/>
        </w:rPr>
        <w:t>应付合同</w:t>
      </w:r>
      <w:r>
        <w:rPr>
          <w:rFonts w:hint="eastAsia" w:ascii="宋体" w:hAnsi="宋体" w:eastAsia="宋体" w:cs="宋体"/>
          <w:color w:val="auto"/>
          <w:sz w:val="24"/>
          <w:szCs w:val="24"/>
          <w:highlight w:val="none"/>
          <w:lang w:eastAsia="zh-CN"/>
        </w:rPr>
        <w:t>设备</w:t>
      </w:r>
      <w:r>
        <w:rPr>
          <w:rFonts w:ascii="宋体" w:hAnsi="宋体" w:eastAsia="宋体" w:cs="宋体"/>
          <w:color w:val="auto"/>
          <w:sz w:val="24"/>
          <w:szCs w:val="24"/>
          <w:highlight w:val="none"/>
        </w:rPr>
        <w:t>余款</w:t>
      </w:r>
      <w:r>
        <w:rPr>
          <w:rFonts w:hint="eastAsia" w:ascii="Times New Roman" w:hAnsi="Times New Roman" w:eastAsia="新宋体" w:cs="Times New Roman"/>
          <w:color w:val="auto"/>
          <w:w w:val="88"/>
          <w:sz w:val="24"/>
          <w:szCs w:val="24"/>
          <w:highlight w:val="none"/>
          <w:lang w:eastAsia="zh-CN"/>
        </w:rPr>
        <w:t>中扣除金额备用，不足的部分由卖方补齐。若在维保期外，且从验收合格之日起计算</w:t>
      </w:r>
      <w:r>
        <w:rPr>
          <w:rFonts w:hint="eastAsia" w:ascii="Times New Roman" w:hAnsi="Times New Roman" w:eastAsia="新宋体" w:cs="Times New Roman"/>
          <w:color w:val="auto"/>
          <w:w w:val="88"/>
          <w:sz w:val="24"/>
          <w:szCs w:val="24"/>
          <w:highlight w:val="none"/>
          <w:u w:val="single"/>
          <w:lang w:val="en-US" w:eastAsia="zh-CN"/>
        </w:rPr>
        <w:t xml:space="preserve">   </w:t>
      </w:r>
      <w:r>
        <w:rPr>
          <w:rFonts w:hint="eastAsia" w:ascii="Times New Roman" w:hAnsi="Times New Roman" w:eastAsia="新宋体" w:cs="Times New Roman"/>
          <w:color w:val="auto"/>
          <w:w w:val="88"/>
          <w:sz w:val="24"/>
          <w:szCs w:val="24"/>
          <w:highlight w:val="none"/>
          <w:lang w:eastAsia="zh-CN"/>
        </w:rPr>
        <w:t>年内，无该设备零配件供应的，卖方需承担赔偿责任，卖方若在买方还有其他未结款的，自愿以该笔未结款项作为条款赔偿担保。</w:t>
      </w:r>
    </w:p>
    <w:p w14:paraId="75B5F076">
      <w:pPr>
        <w:spacing w:line="300" w:lineRule="auto"/>
        <w:ind w:left="90" w:leftChars="43" w:firstLine="202" w:firstLineChars="96"/>
        <w:rPr>
          <w:rFonts w:hint="eastAsia" w:ascii="Times New Roman" w:hAnsi="Times New Roman" w:eastAsia="新宋体" w:cs="Times New Roman"/>
          <w:color w:val="auto"/>
          <w:w w:val="88"/>
          <w:sz w:val="24"/>
          <w:szCs w:val="24"/>
          <w:highlight w:val="none"/>
          <w:lang w:val="en-US" w:eastAsia="zh-CN"/>
        </w:rPr>
      </w:pPr>
      <w:r>
        <w:rPr>
          <w:rFonts w:hint="eastAsia" w:ascii="Times New Roman" w:hAnsi="Times New Roman" w:eastAsia="新宋体" w:cs="Times New Roman"/>
          <w:color w:val="auto"/>
          <w:w w:val="88"/>
          <w:sz w:val="24"/>
          <w:szCs w:val="24"/>
          <w:highlight w:val="none"/>
        </w:rPr>
        <w:t>2．设备发生故障时，卖方维修工程师在接到买方通知时起4－12小时之内提出解决方案，24小时内到达现场进行维修；卖方如不及时来人维修，则按延误天数的5倍延长保修期，并延长支付</w:t>
      </w:r>
      <w:r>
        <w:rPr>
          <w:rFonts w:hint="eastAsia" w:ascii="Times New Roman" w:hAnsi="Times New Roman" w:eastAsia="新宋体" w:cs="Times New Roman"/>
          <w:color w:val="auto"/>
          <w:w w:val="88"/>
          <w:sz w:val="24"/>
          <w:szCs w:val="24"/>
          <w:highlight w:val="none"/>
          <w:lang w:val="en-US" w:eastAsia="zh-CN"/>
        </w:rPr>
        <w:t>合同设备余款</w:t>
      </w:r>
      <w:r>
        <w:rPr>
          <w:rFonts w:hint="eastAsia" w:ascii="Times New Roman" w:hAnsi="Times New Roman" w:eastAsia="新宋体" w:cs="Times New Roman"/>
          <w:color w:val="auto"/>
          <w:w w:val="88"/>
          <w:sz w:val="24"/>
          <w:szCs w:val="24"/>
          <w:highlight w:val="none"/>
        </w:rPr>
        <w:t>时间</w:t>
      </w:r>
      <w:r>
        <w:rPr>
          <w:rFonts w:hint="eastAsia" w:ascii="Times New Roman" w:hAnsi="Times New Roman" w:eastAsia="新宋体" w:cs="Times New Roman"/>
          <w:color w:val="auto"/>
          <w:w w:val="88"/>
          <w:sz w:val="24"/>
          <w:szCs w:val="24"/>
          <w:highlight w:val="none"/>
          <w:lang w:eastAsia="zh-CN"/>
        </w:rPr>
        <w:t>；</w:t>
      </w:r>
      <w:r>
        <w:rPr>
          <w:rFonts w:hint="eastAsia" w:ascii="Times New Roman" w:hAnsi="Times New Roman" w:eastAsia="新宋体" w:cs="Times New Roman"/>
          <w:color w:val="auto"/>
          <w:w w:val="88"/>
          <w:sz w:val="24"/>
          <w:szCs w:val="24"/>
          <w:highlight w:val="none"/>
        </w:rPr>
        <w:t>卖方如不及时来人维修</w:t>
      </w:r>
      <w:r>
        <w:rPr>
          <w:rFonts w:hint="eastAsia" w:ascii="Times New Roman" w:hAnsi="Times New Roman" w:eastAsia="新宋体" w:cs="Times New Roman"/>
          <w:color w:val="auto"/>
          <w:w w:val="88"/>
          <w:sz w:val="24"/>
          <w:szCs w:val="24"/>
          <w:highlight w:val="none"/>
          <w:lang w:eastAsia="zh-CN"/>
        </w:rPr>
        <w:t>，买方有权另行委托第三方先行维修，由此产生产费用全部由</w:t>
      </w:r>
      <w:r>
        <w:rPr>
          <w:rFonts w:hint="eastAsia" w:ascii="Times New Roman" w:hAnsi="Times New Roman" w:eastAsia="新宋体" w:cs="Times New Roman"/>
          <w:color w:val="auto"/>
          <w:w w:val="88"/>
          <w:sz w:val="24"/>
          <w:szCs w:val="24"/>
          <w:highlight w:val="none"/>
        </w:rPr>
        <w:t>卖方</w:t>
      </w:r>
      <w:r>
        <w:rPr>
          <w:rFonts w:hint="eastAsia" w:ascii="Times New Roman" w:hAnsi="Times New Roman" w:eastAsia="新宋体" w:cs="Times New Roman"/>
          <w:color w:val="auto"/>
          <w:w w:val="88"/>
          <w:sz w:val="24"/>
          <w:szCs w:val="24"/>
          <w:highlight w:val="none"/>
          <w:lang w:eastAsia="zh-CN"/>
        </w:rPr>
        <w:t>负责。</w:t>
      </w:r>
    </w:p>
    <w:p w14:paraId="34CB4E0C">
      <w:pPr>
        <w:spacing w:line="300" w:lineRule="auto"/>
        <w:ind w:left="90" w:leftChars="43" w:firstLine="202" w:firstLineChars="96"/>
        <w:rPr>
          <w:rFonts w:hint="eastAsia" w:ascii="Times New Roman" w:hAnsi="Times New Roman" w:eastAsia="新宋体" w:cs="Times New Roman"/>
          <w:color w:val="auto"/>
          <w:w w:val="88"/>
          <w:sz w:val="24"/>
          <w:szCs w:val="24"/>
          <w:highlight w:val="none"/>
        </w:rPr>
      </w:pPr>
      <w:r>
        <w:rPr>
          <w:rFonts w:hint="eastAsia" w:ascii="Times New Roman" w:hAnsi="Times New Roman" w:eastAsia="新宋体" w:cs="Times New Roman"/>
          <w:color w:val="auto"/>
          <w:w w:val="88"/>
          <w:sz w:val="24"/>
          <w:szCs w:val="24"/>
          <w:highlight w:val="none"/>
        </w:rPr>
        <w:t>3．保证设备完好运转率在95%以上，如有设备完好运转率达不到95%，卖方应按不足天数的五倍延长保修期并相应延迟支付</w:t>
      </w:r>
      <w:r>
        <w:rPr>
          <w:rFonts w:hint="eastAsia" w:ascii="Times New Roman" w:hAnsi="Times New Roman" w:eastAsia="新宋体" w:cs="Times New Roman"/>
          <w:color w:val="auto"/>
          <w:w w:val="88"/>
          <w:sz w:val="24"/>
          <w:szCs w:val="24"/>
          <w:highlight w:val="none"/>
          <w:lang w:val="en-US" w:eastAsia="zh-CN"/>
        </w:rPr>
        <w:t>合同设备余款</w:t>
      </w:r>
      <w:r>
        <w:rPr>
          <w:rFonts w:hint="eastAsia" w:ascii="Times New Roman" w:hAnsi="Times New Roman" w:eastAsia="新宋体" w:cs="Times New Roman"/>
          <w:color w:val="auto"/>
          <w:w w:val="88"/>
          <w:sz w:val="24"/>
          <w:szCs w:val="24"/>
          <w:highlight w:val="none"/>
        </w:rPr>
        <w:t>。</w:t>
      </w:r>
    </w:p>
    <w:p w14:paraId="6736A63B">
      <w:pPr>
        <w:spacing w:line="300" w:lineRule="auto"/>
        <w:ind w:firstLine="211" w:firstLineChars="100"/>
        <w:rPr>
          <w:rFonts w:hint="eastAsia" w:eastAsia="新宋体"/>
          <w:color w:val="auto"/>
          <w:w w:val="88"/>
          <w:sz w:val="24"/>
          <w:szCs w:val="24"/>
          <w:highlight w:val="none"/>
        </w:rPr>
      </w:pPr>
      <w:r>
        <w:rPr>
          <w:rFonts w:hint="eastAsia" w:eastAsia="新宋体"/>
          <w:color w:val="auto"/>
          <w:w w:val="88"/>
          <w:sz w:val="24"/>
          <w:szCs w:val="24"/>
          <w:highlight w:val="none"/>
        </w:rPr>
        <w:t>4．卖方工程师在设备投入使用之日起</w:t>
      </w:r>
      <w:r>
        <w:rPr>
          <w:rFonts w:hint="eastAsia" w:eastAsia="新宋体"/>
          <w:color w:val="auto"/>
          <w:w w:val="88"/>
          <w:sz w:val="24"/>
          <w:szCs w:val="24"/>
          <w:highlight w:val="none"/>
          <w:u w:val="none"/>
          <w:lang w:val="en-US" w:eastAsia="zh-CN"/>
        </w:rPr>
        <w:t xml:space="preserve"> </w:t>
      </w:r>
      <w:r>
        <w:rPr>
          <w:rFonts w:hint="eastAsia" w:eastAsia="新宋体"/>
          <w:color w:val="auto"/>
          <w:w w:val="88"/>
          <w:sz w:val="24"/>
          <w:szCs w:val="24"/>
          <w:highlight w:val="none"/>
          <w:u w:val="single"/>
        </w:rPr>
        <w:t>五</w:t>
      </w:r>
      <w:r>
        <w:rPr>
          <w:rFonts w:hint="eastAsia" w:eastAsia="新宋体"/>
          <w:color w:val="auto"/>
          <w:w w:val="88"/>
          <w:sz w:val="24"/>
          <w:szCs w:val="24"/>
          <w:highlight w:val="none"/>
        </w:rPr>
        <w:t>年内对设备定期检修、保养，每年不少于</w:t>
      </w:r>
      <w:r>
        <w:rPr>
          <w:rFonts w:hint="eastAsia" w:eastAsia="新宋体"/>
          <w:color w:val="auto"/>
          <w:w w:val="88"/>
          <w:sz w:val="24"/>
          <w:szCs w:val="24"/>
          <w:highlight w:val="none"/>
          <w:u w:val="single"/>
          <w:lang w:val="en-US" w:eastAsia="zh-CN"/>
        </w:rPr>
        <w:t xml:space="preserve"> 二 </w:t>
      </w:r>
      <w:r>
        <w:rPr>
          <w:rFonts w:hint="eastAsia" w:eastAsia="新宋体"/>
          <w:color w:val="auto"/>
          <w:w w:val="88"/>
          <w:sz w:val="24"/>
          <w:szCs w:val="24"/>
          <w:highlight w:val="none"/>
        </w:rPr>
        <w:t>次</w:t>
      </w:r>
      <w:r>
        <w:rPr>
          <w:rFonts w:hint="eastAsia" w:eastAsia="新宋体"/>
          <w:color w:val="auto"/>
          <w:w w:val="88"/>
          <w:sz w:val="24"/>
          <w:szCs w:val="24"/>
          <w:highlight w:val="none"/>
          <w:lang w:eastAsia="zh-CN"/>
        </w:rPr>
        <w:t>，并提供经买方确认的检修、保养凭证。</w:t>
      </w:r>
      <w:r>
        <w:rPr>
          <w:rFonts w:hint="eastAsia" w:eastAsia="新宋体"/>
          <w:color w:val="auto"/>
          <w:w w:val="88"/>
          <w:sz w:val="24"/>
          <w:szCs w:val="24"/>
          <w:highlight w:val="none"/>
        </w:rPr>
        <w:t>提供完整操作维修手册、常见故障排除手册。</w:t>
      </w:r>
    </w:p>
    <w:p w14:paraId="5151A45F">
      <w:pPr>
        <w:spacing w:line="300" w:lineRule="auto"/>
        <w:ind w:left="90" w:leftChars="43" w:firstLine="202" w:firstLineChars="96"/>
        <w:rPr>
          <w:rFonts w:hint="eastAsia" w:ascii="Times New Roman" w:hAnsi="Times New Roman" w:eastAsia="新宋体" w:cs="Times New Roman"/>
          <w:color w:val="auto"/>
          <w:w w:val="88"/>
          <w:sz w:val="24"/>
          <w:szCs w:val="24"/>
          <w:highlight w:val="none"/>
          <w:lang w:val="en-US" w:eastAsia="zh-CN"/>
        </w:rPr>
      </w:pPr>
      <w:r>
        <w:rPr>
          <w:rFonts w:hint="eastAsia" w:ascii="Times New Roman" w:hAnsi="Times New Roman" w:eastAsia="新宋体" w:cs="Times New Roman"/>
          <w:color w:val="auto"/>
          <w:w w:val="88"/>
          <w:sz w:val="24"/>
          <w:szCs w:val="24"/>
          <w:highlight w:val="none"/>
          <w:lang w:val="en-US" w:eastAsia="zh-CN"/>
        </w:rPr>
        <w:t>5.卖方指派专人与买方联系售后服务事宜：姓名：</w:t>
      </w:r>
      <w:r>
        <w:rPr>
          <w:rFonts w:hint="eastAsia" w:ascii="Times New Roman" w:hAnsi="Times New Roman" w:eastAsia="新宋体" w:cs="Times New Roman"/>
          <w:color w:val="auto"/>
          <w:w w:val="88"/>
          <w:sz w:val="24"/>
          <w:szCs w:val="24"/>
          <w:highlight w:val="none"/>
          <w:u w:val="single"/>
          <w:lang w:val="en-US" w:eastAsia="zh-CN"/>
        </w:rPr>
        <w:t xml:space="preserve">      </w:t>
      </w:r>
      <w:r>
        <w:rPr>
          <w:rFonts w:hint="eastAsia" w:ascii="Times New Roman" w:hAnsi="Times New Roman" w:eastAsia="新宋体" w:cs="Times New Roman"/>
          <w:color w:val="auto"/>
          <w:w w:val="88"/>
          <w:sz w:val="24"/>
          <w:szCs w:val="24"/>
          <w:highlight w:val="none"/>
          <w:lang w:val="en-US" w:eastAsia="zh-CN"/>
        </w:rPr>
        <w:t xml:space="preserve"> 联系电话：</w:t>
      </w:r>
      <w:r>
        <w:rPr>
          <w:rFonts w:hint="eastAsia" w:ascii="Times New Roman" w:hAnsi="Times New Roman" w:eastAsia="新宋体" w:cs="Times New Roman"/>
          <w:color w:val="auto"/>
          <w:w w:val="88"/>
          <w:sz w:val="24"/>
          <w:szCs w:val="24"/>
          <w:highlight w:val="none"/>
          <w:u w:val="single"/>
          <w:lang w:val="en-US" w:eastAsia="zh-CN"/>
        </w:rPr>
        <w:t xml:space="preserve">           </w:t>
      </w:r>
      <w:r>
        <w:rPr>
          <w:rFonts w:hint="eastAsia" w:ascii="Times New Roman" w:hAnsi="Times New Roman" w:eastAsia="新宋体" w:cs="Times New Roman"/>
          <w:color w:val="auto"/>
          <w:w w:val="88"/>
          <w:sz w:val="24"/>
          <w:szCs w:val="24"/>
          <w:highlight w:val="none"/>
          <w:lang w:val="en-US" w:eastAsia="zh-CN"/>
        </w:rPr>
        <w:t xml:space="preserve">。          </w:t>
      </w:r>
    </w:p>
    <w:p w14:paraId="23D65722">
      <w:pPr>
        <w:spacing w:line="300" w:lineRule="auto"/>
        <w:ind w:left="90" w:leftChars="43" w:firstLine="202" w:firstLineChars="96"/>
        <w:rPr>
          <w:rFonts w:hint="default" w:ascii="Times New Roman" w:hAnsi="Times New Roman" w:eastAsia="新宋体" w:cs="Times New Roman"/>
          <w:color w:val="auto"/>
          <w:w w:val="88"/>
          <w:sz w:val="24"/>
          <w:szCs w:val="24"/>
          <w:highlight w:val="none"/>
          <w:lang w:val="en-US"/>
        </w:rPr>
      </w:pPr>
      <w:r>
        <w:rPr>
          <w:rFonts w:hint="eastAsia" w:ascii="Times New Roman" w:hAnsi="Times New Roman" w:eastAsia="新宋体" w:cs="Times New Roman"/>
          <w:color w:val="auto"/>
          <w:w w:val="88"/>
          <w:sz w:val="24"/>
          <w:szCs w:val="24"/>
          <w:highlight w:val="none"/>
          <w:lang w:val="en-US" w:eastAsia="zh-CN"/>
        </w:rPr>
        <w:t>6.接入医院信息系统相关技术要求：乙方须向甲方交付该设备的数据接口技术文档（含数据交换协议、数据格式解析、接口示例程序、接口手册等）。在数字化医疗设备与医院相关系统连接时，乙方须提供与连接相关的技术支撑服务，必要时须派工程技术人员到现场服务，并确保连接成功，数字化医疗设备与医院相关系统连接所需的软件、硬件、License、知识产权及永久使用接口服务等费用，均已包含在本合同价格中，甲方不另行付费，乙方须保证数字化医疗设备与医院相关系统的连接及应用不侵犯第三方知识产权。</w:t>
      </w:r>
    </w:p>
    <w:p w14:paraId="03991FDC">
      <w:pPr>
        <w:spacing w:line="300" w:lineRule="auto"/>
        <w:ind w:left="90" w:leftChars="43" w:firstLine="202" w:firstLineChars="96"/>
        <w:rPr>
          <w:rFonts w:hint="eastAsia" w:ascii="Times New Roman" w:hAnsi="Times New Roman" w:eastAsia="新宋体" w:cs="Times New Roman"/>
          <w:color w:val="auto"/>
          <w:w w:val="88"/>
          <w:sz w:val="24"/>
          <w:szCs w:val="24"/>
          <w:highlight w:val="none"/>
        </w:rPr>
      </w:pPr>
    </w:p>
    <w:p w14:paraId="703F0326">
      <w:pPr>
        <w:spacing w:line="300" w:lineRule="auto"/>
        <w:ind w:left="90" w:leftChars="43" w:firstLine="202" w:firstLineChars="96"/>
        <w:rPr>
          <w:rFonts w:hint="eastAsia" w:ascii="Times New Roman" w:hAnsi="Times New Roman" w:eastAsia="新宋体" w:cs="Times New Roman"/>
          <w:color w:val="auto"/>
          <w:w w:val="88"/>
          <w:sz w:val="24"/>
          <w:szCs w:val="24"/>
          <w:highlight w:val="none"/>
        </w:rPr>
      </w:pPr>
      <w:r>
        <w:rPr>
          <w:rFonts w:hint="eastAsia" w:ascii="Times New Roman" w:hAnsi="Times New Roman" w:eastAsia="新宋体" w:cs="Times New Roman"/>
          <w:color w:val="auto"/>
          <w:w w:val="88"/>
          <w:sz w:val="24"/>
          <w:szCs w:val="24"/>
          <w:highlight w:val="none"/>
        </w:rPr>
        <w:t>六、培训</w:t>
      </w:r>
      <w:r>
        <w:rPr>
          <w:rFonts w:hint="eastAsia" w:ascii="Times New Roman" w:hAnsi="Times New Roman" w:eastAsia="新宋体" w:cs="Times New Roman"/>
          <w:color w:val="auto"/>
          <w:w w:val="88"/>
          <w:sz w:val="24"/>
          <w:szCs w:val="24"/>
          <w:highlight w:val="none"/>
          <w:lang w:eastAsia="zh-CN"/>
        </w:rPr>
        <w:t>：现场培训，</w:t>
      </w:r>
      <w:r>
        <w:rPr>
          <w:rFonts w:hint="eastAsia" w:ascii="Times New Roman" w:hAnsi="Times New Roman" w:eastAsia="新宋体" w:cs="Times New Roman"/>
          <w:color w:val="auto"/>
          <w:w w:val="88"/>
          <w:sz w:val="24"/>
          <w:szCs w:val="24"/>
          <w:highlight w:val="none"/>
          <w:lang w:val="en-US" w:eastAsia="zh-CN"/>
        </w:rPr>
        <w:t>卖</w:t>
      </w:r>
      <w:r>
        <w:rPr>
          <w:rFonts w:hint="eastAsia" w:ascii="Times New Roman" w:hAnsi="Times New Roman" w:eastAsia="新宋体" w:cs="Times New Roman"/>
          <w:color w:val="auto"/>
          <w:w w:val="88"/>
          <w:sz w:val="24"/>
          <w:szCs w:val="24"/>
          <w:highlight w:val="none"/>
        </w:rPr>
        <w:t>方负责为</w:t>
      </w:r>
      <w:r>
        <w:rPr>
          <w:rFonts w:hint="eastAsia" w:ascii="Times New Roman" w:hAnsi="Times New Roman" w:eastAsia="新宋体" w:cs="Times New Roman"/>
          <w:color w:val="auto"/>
          <w:w w:val="88"/>
          <w:sz w:val="24"/>
          <w:szCs w:val="24"/>
          <w:highlight w:val="none"/>
          <w:lang w:val="en-US" w:eastAsia="zh-CN"/>
        </w:rPr>
        <w:t>买</w:t>
      </w:r>
      <w:r>
        <w:rPr>
          <w:rFonts w:hint="eastAsia" w:ascii="Times New Roman" w:hAnsi="Times New Roman" w:eastAsia="新宋体" w:cs="Times New Roman"/>
          <w:color w:val="auto"/>
          <w:w w:val="88"/>
          <w:sz w:val="24"/>
          <w:szCs w:val="24"/>
          <w:highlight w:val="none"/>
        </w:rPr>
        <w:t>方免费培训操作及维修人员，具体时间和地点双方另行协商。</w:t>
      </w:r>
    </w:p>
    <w:p w14:paraId="7C2A096B">
      <w:pPr>
        <w:spacing w:line="300" w:lineRule="auto"/>
        <w:ind w:left="90" w:leftChars="43" w:firstLine="202" w:firstLineChars="96"/>
        <w:rPr>
          <w:rFonts w:hint="eastAsia" w:ascii="Times New Roman" w:hAnsi="Times New Roman" w:eastAsia="新宋体" w:cs="Times New Roman"/>
          <w:color w:val="auto"/>
          <w:w w:val="88"/>
          <w:sz w:val="24"/>
          <w:szCs w:val="24"/>
          <w:highlight w:val="none"/>
        </w:rPr>
      </w:pPr>
    </w:p>
    <w:p w14:paraId="6F1EB9FF">
      <w:pPr>
        <w:spacing w:line="300" w:lineRule="auto"/>
        <w:ind w:left="90" w:leftChars="43" w:firstLine="202" w:firstLineChars="96"/>
        <w:rPr>
          <w:rFonts w:hint="eastAsia" w:ascii="Times New Roman" w:hAnsi="Times New Roman" w:eastAsia="新宋体" w:cs="Times New Roman"/>
          <w:color w:val="auto"/>
          <w:w w:val="88"/>
          <w:sz w:val="24"/>
          <w:szCs w:val="24"/>
          <w:highlight w:val="none"/>
        </w:rPr>
      </w:pPr>
      <w:r>
        <w:rPr>
          <w:rFonts w:hint="eastAsia" w:ascii="Times New Roman" w:hAnsi="Times New Roman" w:eastAsia="新宋体" w:cs="Times New Roman"/>
          <w:color w:val="auto"/>
          <w:w w:val="88"/>
          <w:sz w:val="24"/>
          <w:szCs w:val="24"/>
          <w:highlight w:val="none"/>
        </w:rPr>
        <w:t>七、违约及争端的处理</w:t>
      </w:r>
    </w:p>
    <w:p w14:paraId="2215D9E2">
      <w:pPr>
        <w:spacing w:line="300" w:lineRule="auto"/>
        <w:ind w:left="90" w:leftChars="43" w:firstLine="202" w:firstLineChars="96"/>
        <w:rPr>
          <w:rFonts w:hint="eastAsia" w:ascii="Times New Roman" w:hAnsi="Times New Roman" w:eastAsia="新宋体" w:cs="Times New Roman"/>
          <w:color w:val="auto"/>
          <w:w w:val="88"/>
          <w:sz w:val="24"/>
          <w:szCs w:val="24"/>
          <w:highlight w:val="none"/>
        </w:rPr>
      </w:pPr>
      <w:r>
        <w:rPr>
          <w:rFonts w:hint="eastAsia" w:ascii="Times New Roman" w:hAnsi="Times New Roman" w:eastAsia="新宋体" w:cs="Times New Roman"/>
          <w:color w:val="auto"/>
          <w:w w:val="88"/>
          <w:sz w:val="24"/>
          <w:szCs w:val="24"/>
          <w:highlight w:val="none"/>
        </w:rPr>
        <w:t>1．因设备的设计、制作、安装等原因引起的医疗安全、生物安全、医患人身安全等后果及损失由卖方负责。</w:t>
      </w:r>
    </w:p>
    <w:p w14:paraId="2E1D9F2B">
      <w:pPr>
        <w:spacing w:line="300" w:lineRule="auto"/>
        <w:ind w:left="90" w:leftChars="43" w:firstLine="202" w:firstLineChars="96"/>
        <w:rPr>
          <w:rFonts w:hint="eastAsia" w:ascii="Times New Roman" w:hAnsi="Times New Roman" w:eastAsia="新宋体" w:cs="Times New Roman"/>
          <w:color w:val="auto"/>
          <w:w w:val="88"/>
          <w:sz w:val="24"/>
          <w:szCs w:val="24"/>
          <w:highlight w:val="none"/>
          <w:lang w:eastAsia="zh-CN"/>
        </w:rPr>
      </w:pPr>
      <w:r>
        <w:rPr>
          <w:rFonts w:hint="eastAsia" w:ascii="Times New Roman" w:hAnsi="Times New Roman" w:eastAsia="新宋体" w:cs="Times New Roman"/>
          <w:color w:val="auto"/>
          <w:w w:val="88"/>
          <w:sz w:val="24"/>
          <w:szCs w:val="24"/>
          <w:highlight w:val="none"/>
          <w:lang w:val="en-US" w:eastAsia="zh-CN"/>
        </w:rPr>
        <w:t>2.</w:t>
      </w:r>
      <w:r>
        <w:rPr>
          <w:rFonts w:hint="eastAsia" w:ascii="Times New Roman" w:hAnsi="Times New Roman" w:eastAsia="新宋体" w:cs="Times New Roman"/>
          <w:color w:val="auto"/>
          <w:w w:val="88"/>
          <w:sz w:val="24"/>
          <w:szCs w:val="24"/>
          <w:highlight w:val="none"/>
          <w:lang w:eastAsia="zh-CN"/>
        </w:rPr>
        <w:t>因卖方</w:t>
      </w:r>
      <w:r>
        <w:rPr>
          <w:rFonts w:hint="eastAsia" w:ascii="Times New Roman" w:hAnsi="Times New Roman" w:eastAsia="新宋体" w:cs="Times New Roman"/>
          <w:color w:val="auto"/>
          <w:w w:val="88"/>
          <w:sz w:val="24"/>
          <w:szCs w:val="24"/>
          <w:highlight w:val="none"/>
        </w:rPr>
        <w:t>原因延误</w:t>
      </w:r>
      <w:r>
        <w:rPr>
          <w:rFonts w:hint="eastAsia" w:ascii="Times New Roman" w:hAnsi="Times New Roman" w:eastAsia="新宋体" w:cs="Times New Roman"/>
          <w:color w:val="auto"/>
          <w:w w:val="88"/>
          <w:sz w:val="24"/>
          <w:szCs w:val="24"/>
          <w:highlight w:val="none"/>
          <w:lang w:eastAsia="zh-CN"/>
        </w:rPr>
        <w:t>交付的</w:t>
      </w:r>
      <w:r>
        <w:rPr>
          <w:rFonts w:hint="eastAsia" w:ascii="Times New Roman" w:hAnsi="Times New Roman" w:eastAsia="新宋体" w:cs="Times New Roman"/>
          <w:color w:val="auto"/>
          <w:w w:val="88"/>
          <w:sz w:val="24"/>
          <w:szCs w:val="24"/>
          <w:highlight w:val="none"/>
        </w:rPr>
        <w:t>，每延</w:t>
      </w:r>
      <w:r>
        <w:rPr>
          <w:rFonts w:hint="eastAsia" w:ascii="Times New Roman" w:hAnsi="Times New Roman" w:eastAsia="新宋体" w:cs="Times New Roman"/>
          <w:color w:val="auto"/>
          <w:w w:val="88"/>
          <w:sz w:val="24"/>
          <w:szCs w:val="24"/>
          <w:highlight w:val="none"/>
          <w:lang w:eastAsia="zh-CN"/>
        </w:rPr>
        <w:t>期</w:t>
      </w:r>
      <w:r>
        <w:rPr>
          <w:rFonts w:hint="eastAsia" w:ascii="Times New Roman" w:hAnsi="Times New Roman" w:eastAsia="新宋体" w:cs="Times New Roman"/>
          <w:color w:val="auto"/>
          <w:w w:val="88"/>
          <w:sz w:val="24"/>
          <w:szCs w:val="24"/>
          <w:highlight w:val="none"/>
        </w:rPr>
        <w:t>一天，</w:t>
      </w:r>
      <w:r>
        <w:rPr>
          <w:rFonts w:hint="eastAsia" w:ascii="Times New Roman" w:hAnsi="Times New Roman" w:eastAsia="新宋体" w:cs="Times New Roman"/>
          <w:color w:val="auto"/>
          <w:w w:val="88"/>
          <w:sz w:val="24"/>
          <w:szCs w:val="24"/>
          <w:highlight w:val="none"/>
          <w:lang w:eastAsia="zh-CN"/>
        </w:rPr>
        <w:t>卖方</w:t>
      </w:r>
      <w:r>
        <w:rPr>
          <w:rFonts w:hint="eastAsia" w:ascii="Times New Roman" w:hAnsi="Times New Roman" w:eastAsia="新宋体" w:cs="Times New Roman"/>
          <w:color w:val="auto"/>
          <w:w w:val="88"/>
          <w:sz w:val="24"/>
          <w:szCs w:val="24"/>
          <w:highlight w:val="none"/>
        </w:rPr>
        <w:t>应承担</w:t>
      </w:r>
      <w:r>
        <w:rPr>
          <w:rFonts w:hint="eastAsia" w:ascii="Times New Roman" w:hAnsi="Times New Roman" w:eastAsia="新宋体" w:cs="Times New Roman"/>
          <w:color w:val="auto"/>
          <w:w w:val="88"/>
          <w:sz w:val="24"/>
          <w:szCs w:val="24"/>
          <w:highlight w:val="none"/>
          <w:lang w:eastAsia="zh-CN"/>
        </w:rPr>
        <w:t>该批次设备金额</w:t>
      </w:r>
      <w:r>
        <w:rPr>
          <w:rFonts w:hint="eastAsia" w:ascii="Times New Roman" w:hAnsi="Times New Roman" w:eastAsia="新宋体" w:cs="Times New Roman"/>
          <w:color w:val="auto"/>
          <w:w w:val="88"/>
          <w:sz w:val="24"/>
          <w:szCs w:val="24"/>
          <w:highlight w:val="none"/>
        </w:rPr>
        <w:t>千分之</w:t>
      </w:r>
      <w:r>
        <w:rPr>
          <w:rFonts w:hint="eastAsia" w:ascii="Times New Roman" w:hAnsi="Times New Roman" w:eastAsia="新宋体" w:cs="Times New Roman"/>
          <w:color w:val="auto"/>
          <w:w w:val="88"/>
          <w:sz w:val="24"/>
          <w:szCs w:val="24"/>
          <w:highlight w:val="none"/>
          <w:lang w:eastAsia="zh-CN"/>
        </w:rPr>
        <w:t>五</w:t>
      </w:r>
      <w:r>
        <w:rPr>
          <w:rFonts w:hint="eastAsia" w:ascii="Times New Roman" w:hAnsi="Times New Roman" w:eastAsia="新宋体" w:cs="Times New Roman"/>
          <w:color w:val="auto"/>
          <w:w w:val="88"/>
          <w:sz w:val="24"/>
          <w:szCs w:val="24"/>
          <w:highlight w:val="none"/>
        </w:rPr>
        <w:t>的逾期违约金</w:t>
      </w:r>
      <w:r>
        <w:rPr>
          <w:rFonts w:hint="eastAsia" w:ascii="Times New Roman" w:hAnsi="Times New Roman" w:eastAsia="新宋体" w:cs="Times New Roman"/>
          <w:color w:val="auto"/>
          <w:w w:val="88"/>
          <w:sz w:val="24"/>
          <w:szCs w:val="24"/>
          <w:highlight w:val="none"/>
          <w:lang w:val="en-US" w:eastAsia="zh-CN"/>
        </w:rPr>
        <w:t>；</w:t>
      </w:r>
      <w:r>
        <w:rPr>
          <w:rFonts w:hint="eastAsia" w:ascii="Times New Roman" w:hAnsi="Times New Roman" w:eastAsia="新宋体" w:cs="Times New Roman"/>
          <w:color w:val="auto"/>
          <w:w w:val="88"/>
          <w:sz w:val="24"/>
          <w:szCs w:val="24"/>
          <w:highlight w:val="none"/>
          <w:lang w:eastAsia="zh-CN"/>
        </w:rPr>
        <w:t>卖方</w:t>
      </w:r>
      <w:r>
        <w:rPr>
          <w:rFonts w:hint="eastAsia" w:ascii="Times New Roman" w:hAnsi="Times New Roman" w:eastAsia="新宋体" w:cs="Times New Roman"/>
          <w:color w:val="auto"/>
          <w:w w:val="88"/>
          <w:sz w:val="24"/>
          <w:szCs w:val="24"/>
          <w:highlight w:val="none"/>
          <w:lang w:val="en-US" w:eastAsia="zh-CN"/>
        </w:rPr>
        <w:t>累计逾期超过30日，买方有权单方</w:t>
      </w:r>
      <w:r>
        <w:rPr>
          <w:rFonts w:hint="eastAsia" w:ascii="Times New Roman" w:hAnsi="Times New Roman" w:eastAsia="新宋体" w:cs="Times New Roman"/>
          <w:color w:val="auto"/>
          <w:w w:val="88"/>
          <w:sz w:val="24"/>
          <w:szCs w:val="24"/>
          <w:highlight w:val="none"/>
          <w:lang w:eastAsia="zh-CN"/>
        </w:rPr>
        <w:t>提前</w:t>
      </w:r>
      <w:r>
        <w:rPr>
          <w:rFonts w:hint="eastAsia" w:ascii="Times New Roman" w:hAnsi="Times New Roman" w:eastAsia="新宋体" w:cs="Times New Roman"/>
          <w:color w:val="auto"/>
          <w:w w:val="88"/>
          <w:sz w:val="24"/>
          <w:szCs w:val="24"/>
          <w:highlight w:val="none"/>
        </w:rPr>
        <w:t>终止或解除合同，</w:t>
      </w:r>
      <w:r>
        <w:rPr>
          <w:rFonts w:hint="eastAsia" w:ascii="Times New Roman" w:hAnsi="Times New Roman" w:eastAsia="新宋体" w:cs="Times New Roman"/>
          <w:color w:val="auto"/>
          <w:w w:val="88"/>
          <w:sz w:val="24"/>
          <w:szCs w:val="24"/>
          <w:highlight w:val="none"/>
          <w:lang w:eastAsia="zh-CN"/>
        </w:rPr>
        <w:t>卖方</w:t>
      </w:r>
      <w:r>
        <w:rPr>
          <w:rFonts w:hint="eastAsia" w:ascii="Times New Roman" w:hAnsi="Times New Roman" w:eastAsia="新宋体" w:cs="Times New Roman"/>
          <w:color w:val="auto"/>
          <w:w w:val="88"/>
          <w:sz w:val="24"/>
          <w:szCs w:val="24"/>
          <w:highlight w:val="none"/>
        </w:rPr>
        <w:t>应赔偿</w:t>
      </w:r>
      <w:r>
        <w:rPr>
          <w:rFonts w:hint="eastAsia" w:ascii="Times New Roman" w:hAnsi="Times New Roman" w:eastAsia="新宋体" w:cs="Times New Roman"/>
          <w:color w:val="auto"/>
          <w:w w:val="88"/>
          <w:sz w:val="24"/>
          <w:szCs w:val="24"/>
          <w:highlight w:val="none"/>
          <w:lang w:eastAsia="zh-CN"/>
        </w:rPr>
        <w:t>买方</w:t>
      </w:r>
      <w:r>
        <w:rPr>
          <w:rFonts w:hint="eastAsia" w:ascii="Times New Roman" w:hAnsi="Times New Roman" w:eastAsia="新宋体" w:cs="Times New Roman"/>
          <w:color w:val="auto"/>
          <w:w w:val="88"/>
          <w:sz w:val="24"/>
          <w:szCs w:val="24"/>
          <w:highlight w:val="none"/>
        </w:rPr>
        <w:t>全部损失</w:t>
      </w:r>
      <w:r>
        <w:rPr>
          <w:rFonts w:hint="eastAsia" w:ascii="Times New Roman" w:hAnsi="Times New Roman" w:eastAsia="新宋体" w:cs="Times New Roman"/>
          <w:color w:val="auto"/>
          <w:w w:val="88"/>
          <w:sz w:val="24"/>
          <w:szCs w:val="24"/>
          <w:highlight w:val="none"/>
          <w:lang w:eastAsia="zh-CN"/>
        </w:rPr>
        <w:t>。</w:t>
      </w:r>
    </w:p>
    <w:p w14:paraId="242A124E">
      <w:pPr>
        <w:spacing w:line="300" w:lineRule="auto"/>
        <w:ind w:left="90" w:leftChars="43" w:firstLine="202" w:firstLineChars="96"/>
        <w:rPr>
          <w:rFonts w:hint="eastAsia" w:ascii="Times New Roman" w:hAnsi="Times New Roman" w:eastAsia="新宋体" w:cs="Times New Roman"/>
          <w:color w:val="auto"/>
          <w:w w:val="88"/>
          <w:sz w:val="24"/>
          <w:szCs w:val="24"/>
          <w:highlight w:val="none"/>
          <w:lang w:val="en-US" w:eastAsia="zh-CN"/>
        </w:rPr>
      </w:pPr>
      <w:r>
        <w:rPr>
          <w:rFonts w:hint="eastAsia" w:ascii="Times New Roman" w:hAnsi="Times New Roman" w:eastAsia="新宋体" w:cs="Times New Roman"/>
          <w:color w:val="auto"/>
          <w:w w:val="88"/>
          <w:sz w:val="24"/>
          <w:szCs w:val="24"/>
          <w:highlight w:val="none"/>
          <w:lang w:val="en-US" w:eastAsia="zh-CN"/>
        </w:rPr>
        <w:t>3.</w:t>
      </w:r>
      <w:r>
        <w:rPr>
          <w:rFonts w:hint="eastAsia" w:ascii="Times New Roman" w:hAnsi="Times New Roman" w:eastAsia="新宋体" w:cs="Times New Roman"/>
          <w:color w:val="auto"/>
          <w:w w:val="88"/>
          <w:sz w:val="24"/>
          <w:szCs w:val="24"/>
          <w:highlight w:val="none"/>
          <w:lang w:eastAsia="zh-CN"/>
        </w:rPr>
        <w:t>卖</w:t>
      </w:r>
      <w:r>
        <w:rPr>
          <w:rFonts w:hint="eastAsia" w:ascii="Times New Roman" w:hAnsi="Times New Roman" w:eastAsia="新宋体" w:cs="Times New Roman"/>
          <w:color w:val="auto"/>
          <w:w w:val="88"/>
          <w:sz w:val="24"/>
          <w:szCs w:val="24"/>
          <w:highlight w:val="none"/>
        </w:rPr>
        <w:t>方所交付的设备品种、规格、质量、技术不符合本合同相关</w:t>
      </w:r>
      <w:r>
        <w:rPr>
          <w:rFonts w:hint="eastAsia" w:ascii="Times New Roman" w:hAnsi="Times New Roman" w:eastAsia="新宋体" w:cs="Times New Roman"/>
          <w:color w:val="auto"/>
          <w:w w:val="88"/>
          <w:sz w:val="24"/>
          <w:szCs w:val="24"/>
          <w:highlight w:val="none"/>
          <w:lang w:eastAsia="zh-CN"/>
        </w:rPr>
        <w:t>买</w:t>
      </w:r>
      <w:r>
        <w:rPr>
          <w:rFonts w:hint="eastAsia" w:ascii="Times New Roman" w:hAnsi="Times New Roman" w:eastAsia="新宋体" w:cs="Times New Roman"/>
          <w:color w:val="auto"/>
          <w:w w:val="88"/>
          <w:sz w:val="24"/>
          <w:szCs w:val="24"/>
          <w:highlight w:val="none"/>
        </w:rPr>
        <w:t>方</w:t>
      </w:r>
      <w:r>
        <w:rPr>
          <w:rFonts w:hint="eastAsia" w:ascii="Times New Roman" w:hAnsi="Times New Roman" w:eastAsia="新宋体" w:cs="Times New Roman"/>
          <w:color w:val="auto"/>
          <w:w w:val="88"/>
          <w:sz w:val="24"/>
          <w:szCs w:val="24"/>
          <w:highlight w:val="none"/>
          <w:lang w:eastAsia="zh-CN"/>
        </w:rPr>
        <w:t>招标文件约定，或卖</w:t>
      </w:r>
      <w:r>
        <w:rPr>
          <w:rFonts w:hint="eastAsia" w:ascii="Times New Roman" w:hAnsi="Times New Roman" w:eastAsia="新宋体" w:cs="Times New Roman"/>
          <w:color w:val="auto"/>
          <w:w w:val="88"/>
          <w:sz w:val="24"/>
          <w:szCs w:val="24"/>
          <w:highlight w:val="none"/>
        </w:rPr>
        <w:t>方提供产品如有质量问题（人为损坏除外）</w:t>
      </w:r>
      <w:r>
        <w:rPr>
          <w:rFonts w:hint="eastAsia" w:ascii="Times New Roman" w:hAnsi="Times New Roman" w:eastAsia="新宋体" w:cs="Times New Roman"/>
          <w:color w:val="auto"/>
          <w:w w:val="88"/>
          <w:sz w:val="24"/>
          <w:szCs w:val="24"/>
          <w:highlight w:val="none"/>
          <w:lang w:eastAsia="zh-CN"/>
        </w:rPr>
        <w:t>，买</w:t>
      </w:r>
      <w:r>
        <w:rPr>
          <w:rFonts w:hint="eastAsia" w:ascii="Times New Roman" w:hAnsi="Times New Roman" w:eastAsia="新宋体" w:cs="Times New Roman"/>
          <w:color w:val="auto"/>
          <w:w w:val="88"/>
          <w:sz w:val="24"/>
          <w:szCs w:val="24"/>
          <w:highlight w:val="none"/>
        </w:rPr>
        <w:t>方有权要求退货</w:t>
      </w:r>
      <w:r>
        <w:rPr>
          <w:rFonts w:hint="eastAsia" w:ascii="Times New Roman" w:hAnsi="Times New Roman" w:eastAsia="新宋体" w:cs="Times New Roman"/>
          <w:color w:val="auto"/>
          <w:w w:val="88"/>
          <w:sz w:val="24"/>
          <w:szCs w:val="24"/>
          <w:highlight w:val="none"/>
          <w:lang w:val="en-US" w:eastAsia="zh-CN"/>
        </w:rPr>
        <w:t>,</w:t>
      </w:r>
      <w:r>
        <w:rPr>
          <w:rFonts w:hint="eastAsia" w:ascii="Times New Roman" w:hAnsi="Times New Roman" w:eastAsia="新宋体" w:cs="Times New Roman"/>
          <w:color w:val="auto"/>
          <w:w w:val="88"/>
          <w:sz w:val="24"/>
          <w:szCs w:val="24"/>
          <w:highlight w:val="none"/>
        </w:rPr>
        <w:t>造成</w:t>
      </w:r>
      <w:r>
        <w:rPr>
          <w:rFonts w:hint="eastAsia" w:ascii="Times New Roman" w:hAnsi="Times New Roman" w:eastAsia="新宋体" w:cs="Times New Roman"/>
          <w:color w:val="auto"/>
          <w:w w:val="88"/>
          <w:sz w:val="24"/>
          <w:szCs w:val="24"/>
          <w:highlight w:val="none"/>
          <w:lang w:eastAsia="zh-CN"/>
        </w:rPr>
        <w:t>买</w:t>
      </w:r>
      <w:r>
        <w:rPr>
          <w:rFonts w:hint="eastAsia" w:ascii="Times New Roman" w:hAnsi="Times New Roman" w:eastAsia="新宋体" w:cs="Times New Roman"/>
          <w:color w:val="auto"/>
          <w:w w:val="88"/>
          <w:sz w:val="24"/>
          <w:szCs w:val="24"/>
          <w:highlight w:val="none"/>
        </w:rPr>
        <w:t>方损失的，由</w:t>
      </w:r>
      <w:r>
        <w:rPr>
          <w:rFonts w:hint="eastAsia" w:ascii="Times New Roman" w:hAnsi="Times New Roman" w:eastAsia="新宋体" w:cs="Times New Roman"/>
          <w:color w:val="auto"/>
          <w:w w:val="88"/>
          <w:sz w:val="24"/>
          <w:szCs w:val="24"/>
          <w:highlight w:val="none"/>
          <w:lang w:eastAsia="zh-CN"/>
        </w:rPr>
        <w:t>卖</w:t>
      </w:r>
      <w:r>
        <w:rPr>
          <w:rFonts w:hint="eastAsia" w:ascii="Times New Roman" w:hAnsi="Times New Roman" w:eastAsia="新宋体" w:cs="Times New Roman"/>
          <w:color w:val="auto"/>
          <w:w w:val="88"/>
          <w:sz w:val="24"/>
          <w:szCs w:val="24"/>
          <w:highlight w:val="none"/>
        </w:rPr>
        <w:t>方负责承担全部赔偿责任</w:t>
      </w:r>
      <w:r>
        <w:rPr>
          <w:rFonts w:hint="eastAsia" w:ascii="Times New Roman" w:hAnsi="Times New Roman" w:eastAsia="新宋体" w:cs="Times New Roman"/>
          <w:color w:val="auto"/>
          <w:w w:val="88"/>
          <w:sz w:val="24"/>
          <w:szCs w:val="24"/>
          <w:highlight w:val="none"/>
          <w:lang w:eastAsia="zh-CN"/>
        </w:rPr>
        <w:t>，且</w:t>
      </w:r>
      <w:r>
        <w:rPr>
          <w:rFonts w:hint="eastAsia" w:ascii="Times New Roman" w:hAnsi="Times New Roman" w:eastAsia="新宋体" w:cs="Times New Roman"/>
          <w:color w:val="auto"/>
          <w:w w:val="88"/>
          <w:sz w:val="24"/>
          <w:szCs w:val="24"/>
          <w:highlight w:val="none"/>
          <w:lang w:val="en-US" w:eastAsia="zh-CN"/>
        </w:rPr>
        <w:t>买方有权单方</w:t>
      </w:r>
      <w:r>
        <w:rPr>
          <w:rFonts w:hint="eastAsia" w:ascii="Times New Roman" w:hAnsi="Times New Roman" w:eastAsia="新宋体" w:cs="Times New Roman"/>
          <w:color w:val="auto"/>
          <w:w w:val="88"/>
          <w:sz w:val="24"/>
          <w:szCs w:val="24"/>
          <w:highlight w:val="none"/>
          <w:lang w:eastAsia="zh-CN"/>
        </w:rPr>
        <w:t>提前</w:t>
      </w:r>
      <w:r>
        <w:rPr>
          <w:rFonts w:hint="eastAsia" w:ascii="Times New Roman" w:hAnsi="Times New Roman" w:eastAsia="新宋体" w:cs="Times New Roman"/>
          <w:color w:val="auto"/>
          <w:w w:val="88"/>
          <w:sz w:val="24"/>
          <w:szCs w:val="24"/>
          <w:highlight w:val="none"/>
        </w:rPr>
        <w:t>终止或解除合同</w:t>
      </w:r>
      <w:r>
        <w:rPr>
          <w:rFonts w:hint="eastAsia" w:ascii="Times New Roman" w:hAnsi="Times New Roman" w:eastAsia="新宋体" w:cs="Times New Roman"/>
          <w:color w:val="auto"/>
          <w:w w:val="88"/>
          <w:sz w:val="24"/>
          <w:szCs w:val="24"/>
          <w:highlight w:val="none"/>
          <w:lang w:eastAsia="zh-CN"/>
        </w:rPr>
        <w:t>。</w:t>
      </w:r>
    </w:p>
    <w:p w14:paraId="4111B9B3">
      <w:pPr>
        <w:spacing w:line="300" w:lineRule="auto"/>
        <w:ind w:left="90" w:leftChars="43" w:firstLine="202" w:firstLineChars="96"/>
        <w:rPr>
          <w:rFonts w:hint="eastAsia" w:ascii="Times New Roman" w:hAnsi="Times New Roman" w:eastAsia="新宋体" w:cs="Times New Roman"/>
          <w:color w:val="auto"/>
          <w:w w:val="88"/>
          <w:sz w:val="24"/>
          <w:szCs w:val="24"/>
          <w:highlight w:val="none"/>
        </w:rPr>
      </w:pPr>
      <w:r>
        <w:rPr>
          <w:rFonts w:hint="eastAsia" w:ascii="Times New Roman" w:hAnsi="Times New Roman" w:eastAsia="新宋体" w:cs="Times New Roman"/>
          <w:color w:val="auto"/>
          <w:w w:val="88"/>
          <w:sz w:val="24"/>
          <w:szCs w:val="24"/>
          <w:highlight w:val="none"/>
          <w:lang w:val="en-US" w:eastAsia="zh-CN"/>
        </w:rPr>
        <w:t>4.</w:t>
      </w:r>
      <w:r>
        <w:rPr>
          <w:rFonts w:hint="eastAsia" w:ascii="Times New Roman" w:hAnsi="Times New Roman" w:eastAsia="新宋体" w:cs="Times New Roman"/>
          <w:color w:val="auto"/>
          <w:w w:val="88"/>
          <w:sz w:val="24"/>
          <w:szCs w:val="24"/>
          <w:highlight w:val="none"/>
        </w:rPr>
        <w:t>因</w:t>
      </w:r>
      <w:r>
        <w:rPr>
          <w:rFonts w:hint="eastAsia" w:ascii="Times New Roman" w:hAnsi="Times New Roman" w:eastAsia="新宋体" w:cs="Times New Roman"/>
          <w:color w:val="auto"/>
          <w:w w:val="88"/>
          <w:sz w:val="24"/>
          <w:szCs w:val="24"/>
          <w:highlight w:val="none"/>
          <w:lang w:eastAsia="zh-CN"/>
        </w:rPr>
        <w:t>卖</w:t>
      </w:r>
      <w:r>
        <w:rPr>
          <w:rFonts w:hint="eastAsia" w:ascii="Times New Roman" w:hAnsi="Times New Roman" w:eastAsia="新宋体" w:cs="Times New Roman"/>
          <w:color w:val="auto"/>
          <w:w w:val="88"/>
          <w:sz w:val="24"/>
          <w:szCs w:val="24"/>
          <w:highlight w:val="none"/>
        </w:rPr>
        <w:t>方原因导至本合同提前终止或解除本合同，</w:t>
      </w:r>
      <w:r>
        <w:rPr>
          <w:rFonts w:hint="eastAsia" w:ascii="Times New Roman" w:hAnsi="Times New Roman" w:eastAsia="新宋体" w:cs="Times New Roman"/>
          <w:color w:val="auto"/>
          <w:w w:val="88"/>
          <w:sz w:val="24"/>
          <w:szCs w:val="24"/>
          <w:highlight w:val="none"/>
          <w:lang w:eastAsia="zh-CN"/>
        </w:rPr>
        <w:t>卖</w:t>
      </w:r>
      <w:r>
        <w:rPr>
          <w:rFonts w:hint="eastAsia" w:ascii="Times New Roman" w:hAnsi="Times New Roman" w:eastAsia="新宋体" w:cs="Times New Roman"/>
          <w:color w:val="auto"/>
          <w:w w:val="88"/>
          <w:sz w:val="24"/>
          <w:szCs w:val="24"/>
          <w:highlight w:val="none"/>
        </w:rPr>
        <w:t>方</w:t>
      </w:r>
      <w:r>
        <w:rPr>
          <w:rFonts w:hint="eastAsia" w:ascii="Times New Roman" w:hAnsi="Times New Roman" w:eastAsia="新宋体" w:cs="Times New Roman"/>
          <w:color w:val="auto"/>
          <w:w w:val="88"/>
          <w:sz w:val="24"/>
          <w:szCs w:val="24"/>
          <w:highlight w:val="none"/>
          <w:lang w:eastAsia="zh-CN"/>
        </w:rPr>
        <w:t>应当在合同终止、解除之日起</w:t>
      </w:r>
      <w:r>
        <w:rPr>
          <w:rFonts w:hint="eastAsia" w:ascii="Times New Roman" w:hAnsi="Times New Roman" w:eastAsia="新宋体" w:cs="Times New Roman"/>
          <w:color w:val="auto"/>
          <w:w w:val="88"/>
          <w:sz w:val="24"/>
          <w:szCs w:val="24"/>
          <w:highlight w:val="none"/>
          <w:lang w:val="en-US" w:eastAsia="zh-CN"/>
        </w:rPr>
        <w:t>15日内退还买方所有已支付款，同时</w:t>
      </w:r>
      <w:r>
        <w:rPr>
          <w:rFonts w:hint="eastAsia" w:ascii="Times New Roman" w:hAnsi="Times New Roman" w:eastAsia="新宋体" w:cs="Times New Roman"/>
          <w:color w:val="auto"/>
          <w:w w:val="88"/>
          <w:sz w:val="24"/>
          <w:szCs w:val="24"/>
          <w:highlight w:val="none"/>
          <w:lang w:eastAsia="zh-CN"/>
        </w:rPr>
        <w:t>卖</w:t>
      </w:r>
      <w:r>
        <w:rPr>
          <w:rFonts w:hint="eastAsia" w:ascii="Times New Roman" w:hAnsi="Times New Roman" w:eastAsia="新宋体" w:cs="Times New Roman"/>
          <w:color w:val="auto"/>
          <w:w w:val="88"/>
          <w:sz w:val="24"/>
          <w:szCs w:val="24"/>
          <w:highlight w:val="none"/>
        </w:rPr>
        <w:t>方</w:t>
      </w:r>
      <w:r>
        <w:rPr>
          <w:rFonts w:hint="eastAsia" w:ascii="Times New Roman" w:hAnsi="Times New Roman" w:eastAsia="新宋体" w:cs="Times New Roman"/>
          <w:color w:val="auto"/>
          <w:w w:val="88"/>
          <w:sz w:val="24"/>
          <w:szCs w:val="24"/>
          <w:highlight w:val="none"/>
          <w:lang w:eastAsia="zh-CN"/>
        </w:rPr>
        <w:t>还</w:t>
      </w:r>
      <w:r>
        <w:rPr>
          <w:rFonts w:hint="eastAsia" w:ascii="Times New Roman" w:hAnsi="Times New Roman" w:eastAsia="新宋体" w:cs="Times New Roman"/>
          <w:color w:val="auto"/>
          <w:w w:val="88"/>
          <w:sz w:val="24"/>
          <w:szCs w:val="24"/>
          <w:highlight w:val="none"/>
        </w:rPr>
        <w:t>应赔偿</w:t>
      </w:r>
      <w:r>
        <w:rPr>
          <w:rFonts w:hint="eastAsia" w:ascii="Times New Roman" w:hAnsi="Times New Roman" w:eastAsia="新宋体" w:cs="Times New Roman"/>
          <w:color w:val="auto"/>
          <w:w w:val="88"/>
          <w:sz w:val="24"/>
          <w:szCs w:val="24"/>
          <w:highlight w:val="none"/>
          <w:lang w:eastAsia="zh-CN"/>
        </w:rPr>
        <w:t>买</w:t>
      </w:r>
      <w:r>
        <w:rPr>
          <w:rFonts w:hint="eastAsia" w:ascii="Times New Roman" w:hAnsi="Times New Roman" w:eastAsia="新宋体" w:cs="Times New Roman"/>
          <w:color w:val="auto"/>
          <w:w w:val="88"/>
          <w:sz w:val="24"/>
          <w:szCs w:val="24"/>
          <w:highlight w:val="none"/>
        </w:rPr>
        <w:t>方</w:t>
      </w:r>
      <w:r>
        <w:rPr>
          <w:rFonts w:hint="eastAsia" w:ascii="Times New Roman" w:hAnsi="Times New Roman" w:eastAsia="新宋体" w:cs="Times New Roman"/>
          <w:color w:val="auto"/>
          <w:w w:val="88"/>
          <w:sz w:val="24"/>
          <w:szCs w:val="24"/>
          <w:highlight w:val="none"/>
          <w:lang w:eastAsia="zh-CN"/>
        </w:rPr>
        <w:t>合同总额</w:t>
      </w:r>
      <w:r>
        <w:rPr>
          <w:rFonts w:hint="eastAsia" w:ascii="Times New Roman" w:hAnsi="Times New Roman" w:eastAsia="新宋体" w:cs="Times New Roman"/>
          <w:color w:val="auto"/>
          <w:w w:val="88"/>
          <w:sz w:val="24"/>
          <w:szCs w:val="24"/>
          <w:highlight w:val="none"/>
          <w:lang w:val="en-US" w:eastAsia="zh-CN"/>
        </w:rPr>
        <w:t>2</w:t>
      </w:r>
      <w:r>
        <w:rPr>
          <w:rFonts w:hint="eastAsia" w:ascii="Times New Roman" w:hAnsi="Times New Roman" w:eastAsia="新宋体" w:cs="Times New Roman"/>
          <w:color w:val="auto"/>
          <w:w w:val="88"/>
          <w:sz w:val="24"/>
          <w:szCs w:val="24"/>
          <w:highlight w:val="none"/>
        </w:rPr>
        <w:t>0%</w:t>
      </w:r>
      <w:r>
        <w:rPr>
          <w:rFonts w:hint="eastAsia" w:ascii="Times New Roman" w:hAnsi="Times New Roman" w:eastAsia="新宋体" w:cs="Times New Roman"/>
          <w:color w:val="auto"/>
          <w:w w:val="88"/>
          <w:sz w:val="24"/>
          <w:szCs w:val="24"/>
          <w:highlight w:val="none"/>
          <w:lang w:eastAsia="zh-CN"/>
        </w:rPr>
        <w:t>违约金，违约金不足以</w:t>
      </w:r>
      <w:r>
        <w:rPr>
          <w:rFonts w:hint="eastAsia" w:ascii="Times New Roman" w:hAnsi="Times New Roman" w:eastAsia="新宋体" w:cs="Times New Roman"/>
          <w:color w:val="auto"/>
          <w:w w:val="88"/>
          <w:sz w:val="24"/>
          <w:szCs w:val="24"/>
          <w:highlight w:val="none"/>
        </w:rPr>
        <w:t>赔偿</w:t>
      </w:r>
      <w:r>
        <w:rPr>
          <w:rFonts w:hint="eastAsia" w:ascii="Times New Roman" w:hAnsi="Times New Roman" w:eastAsia="新宋体" w:cs="Times New Roman"/>
          <w:color w:val="auto"/>
          <w:w w:val="88"/>
          <w:sz w:val="24"/>
          <w:szCs w:val="24"/>
          <w:highlight w:val="none"/>
          <w:lang w:eastAsia="zh-CN"/>
        </w:rPr>
        <w:t>买</w:t>
      </w:r>
      <w:r>
        <w:rPr>
          <w:rFonts w:hint="eastAsia" w:ascii="Times New Roman" w:hAnsi="Times New Roman" w:eastAsia="新宋体" w:cs="Times New Roman"/>
          <w:color w:val="auto"/>
          <w:w w:val="88"/>
          <w:sz w:val="24"/>
          <w:szCs w:val="24"/>
          <w:highlight w:val="none"/>
        </w:rPr>
        <w:t>方全部损失的</w:t>
      </w:r>
      <w:r>
        <w:rPr>
          <w:rFonts w:hint="eastAsia" w:ascii="Times New Roman" w:hAnsi="Times New Roman" w:eastAsia="新宋体" w:cs="Times New Roman"/>
          <w:color w:val="auto"/>
          <w:w w:val="88"/>
          <w:sz w:val="24"/>
          <w:szCs w:val="24"/>
          <w:highlight w:val="none"/>
          <w:lang w:eastAsia="zh-CN"/>
        </w:rPr>
        <w:t>，买</w:t>
      </w:r>
      <w:r>
        <w:rPr>
          <w:rFonts w:hint="eastAsia" w:ascii="Times New Roman" w:hAnsi="Times New Roman" w:eastAsia="新宋体" w:cs="Times New Roman"/>
          <w:color w:val="auto"/>
          <w:w w:val="88"/>
          <w:sz w:val="24"/>
          <w:szCs w:val="24"/>
          <w:highlight w:val="none"/>
        </w:rPr>
        <w:t>方</w:t>
      </w:r>
      <w:r>
        <w:rPr>
          <w:rFonts w:hint="eastAsia" w:ascii="Times New Roman" w:hAnsi="Times New Roman" w:eastAsia="新宋体" w:cs="Times New Roman"/>
          <w:color w:val="auto"/>
          <w:w w:val="88"/>
          <w:sz w:val="24"/>
          <w:szCs w:val="24"/>
          <w:highlight w:val="none"/>
          <w:lang w:eastAsia="zh-CN"/>
        </w:rPr>
        <w:t>有权就不足部分向卖方追偿</w:t>
      </w:r>
      <w:r>
        <w:rPr>
          <w:rFonts w:hint="eastAsia" w:ascii="Times New Roman" w:hAnsi="Times New Roman" w:eastAsia="新宋体" w:cs="Times New Roman"/>
          <w:color w:val="auto"/>
          <w:w w:val="88"/>
          <w:sz w:val="24"/>
          <w:szCs w:val="24"/>
          <w:highlight w:val="none"/>
        </w:rPr>
        <w:t>。</w:t>
      </w:r>
      <w:r>
        <w:rPr>
          <w:rFonts w:hint="eastAsia" w:ascii="Times New Roman" w:hAnsi="Times New Roman" w:eastAsia="新宋体" w:cs="Times New Roman"/>
          <w:color w:val="auto"/>
          <w:w w:val="88"/>
          <w:sz w:val="24"/>
          <w:szCs w:val="24"/>
          <w:highlight w:val="none"/>
          <w:lang w:eastAsia="zh-CN"/>
        </w:rPr>
        <w:t>本合同履行过程中，卖方承诺：因卖方单方面违约，买方维权</w:t>
      </w:r>
      <w:r>
        <w:rPr>
          <w:rFonts w:hint="eastAsia" w:ascii="Times New Roman" w:hAnsi="Times New Roman" w:eastAsia="新宋体" w:cs="Times New Roman"/>
          <w:color w:val="auto"/>
          <w:w w:val="88"/>
          <w:sz w:val="24"/>
          <w:szCs w:val="24"/>
          <w:highlight w:val="none"/>
        </w:rPr>
        <w:t>而产生的</w:t>
      </w:r>
      <w:r>
        <w:rPr>
          <w:rFonts w:hint="eastAsia" w:ascii="Times New Roman" w:hAnsi="Times New Roman" w:eastAsia="新宋体" w:cs="Times New Roman"/>
          <w:color w:val="auto"/>
          <w:w w:val="88"/>
          <w:sz w:val="24"/>
          <w:szCs w:val="24"/>
          <w:highlight w:val="none"/>
          <w:lang w:eastAsia="zh-CN"/>
        </w:rPr>
        <w:t>所有</w:t>
      </w:r>
      <w:r>
        <w:rPr>
          <w:rFonts w:hint="eastAsia" w:ascii="Times New Roman" w:hAnsi="Times New Roman" w:eastAsia="新宋体" w:cs="Times New Roman"/>
          <w:color w:val="auto"/>
          <w:w w:val="88"/>
          <w:sz w:val="24"/>
          <w:szCs w:val="24"/>
          <w:highlight w:val="none"/>
        </w:rPr>
        <w:t>费用</w:t>
      </w:r>
      <w:r>
        <w:rPr>
          <w:rFonts w:hint="eastAsia" w:ascii="Times New Roman" w:hAnsi="Times New Roman" w:eastAsia="新宋体" w:cs="Times New Roman"/>
          <w:color w:val="auto"/>
          <w:w w:val="88"/>
          <w:sz w:val="24"/>
          <w:szCs w:val="24"/>
          <w:highlight w:val="none"/>
          <w:lang w:eastAsia="zh-CN"/>
        </w:rPr>
        <w:t>由卖方全部承担</w:t>
      </w:r>
      <w:r>
        <w:rPr>
          <w:rFonts w:hint="eastAsia" w:ascii="Times New Roman" w:hAnsi="Times New Roman" w:eastAsia="新宋体" w:cs="Times New Roman"/>
          <w:color w:val="auto"/>
          <w:w w:val="88"/>
          <w:sz w:val="24"/>
          <w:szCs w:val="24"/>
          <w:highlight w:val="none"/>
        </w:rPr>
        <w:t>（包括但不限于：律师代理费、财产保全费、财产保全担保保险费、交通费等）。</w:t>
      </w:r>
    </w:p>
    <w:p w14:paraId="26C80B94">
      <w:pPr>
        <w:spacing w:line="300" w:lineRule="auto"/>
        <w:ind w:left="90" w:leftChars="43" w:firstLine="202" w:firstLineChars="96"/>
        <w:rPr>
          <w:rFonts w:hint="eastAsia" w:ascii="Times New Roman" w:hAnsi="Times New Roman" w:eastAsia="新宋体" w:cs="Times New Roman"/>
          <w:color w:val="auto"/>
          <w:w w:val="88"/>
          <w:sz w:val="24"/>
          <w:szCs w:val="24"/>
          <w:highlight w:val="none"/>
        </w:rPr>
      </w:pPr>
      <w:r>
        <w:rPr>
          <w:rFonts w:hint="eastAsia" w:ascii="Times New Roman" w:hAnsi="Times New Roman" w:eastAsia="新宋体" w:cs="Times New Roman"/>
          <w:color w:val="auto"/>
          <w:w w:val="88"/>
          <w:sz w:val="24"/>
          <w:szCs w:val="24"/>
          <w:highlight w:val="none"/>
          <w:lang w:val="en-US" w:eastAsia="zh-CN"/>
        </w:rPr>
        <w:t>5.</w:t>
      </w:r>
      <w:r>
        <w:rPr>
          <w:rFonts w:hint="eastAsia" w:ascii="Times New Roman" w:hAnsi="Times New Roman" w:eastAsia="新宋体" w:cs="Times New Roman"/>
          <w:color w:val="auto"/>
          <w:w w:val="88"/>
          <w:sz w:val="24"/>
          <w:szCs w:val="24"/>
          <w:highlight w:val="none"/>
        </w:rPr>
        <w:t>合同履行过程中因政府政策变化、重大的自然灾害等不抗力原因导致合同无法履行的，</w:t>
      </w:r>
      <w:r>
        <w:rPr>
          <w:rFonts w:hint="eastAsia" w:ascii="Times New Roman" w:hAnsi="Times New Roman" w:eastAsia="新宋体" w:cs="Times New Roman"/>
          <w:color w:val="auto"/>
          <w:w w:val="88"/>
          <w:sz w:val="24"/>
          <w:szCs w:val="24"/>
          <w:highlight w:val="none"/>
          <w:lang w:eastAsia="zh-CN"/>
        </w:rPr>
        <w:t>买</w:t>
      </w:r>
      <w:r>
        <w:rPr>
          <w:rFonts w:hint="eastAsia" w:ascii="Times New Roman" w:hAnsi="Times New Roman" w:eastAsia="新宋体" w:cs="Times New Roman"/>
          <w:color w:val="auto"/>
          <w:w w:val="88"/>
          <w:sz w:val="24"/>
          <w:szCs w:val="24"/>
          <w:highlight w:val="none"/>
        </w:rPr>
        <w:t>、</w:t>
      </w:r>
      <w:r>
        <w:rPr>
          <w:rFonts w:hint="eastAsia" w:ascii="Times New Roman" w:hAnsi="Times New Roman" w:eastAsia="新宋体" w:cs="Times New Roman"/>
          <w:color w:val="auto"/>
          <w:w w:val="88"/>
          <w:sz w:val="24"/>
          <w:szCs w:val="24"/>
          <w:highlight w:val="none"/>
          <w:lang w:eastAsia="zh-CN"/>
        </w:rPr>
        <w:t>卖</w:t>
      </w:r>
      <w:r>
        <w:rPr>
          <w:rFonts w:hint="eastAsia" w:ascii="Times New Roman" w:hAnsi="Times New Roman" w:eastAsia="新宋体" w:cs="Times New Roman"/>
          <w:color w:val="auto"/>
          <w:w w:val="88"/>
          <w:sz w:val="24"/>
          <w:szCs w:val="24"/>
          <w:highlight w:val="none"/>
        </w:rPr>
        <w:t>双方均可单方终止本合同，无需承担违约责任。</w:t>
      </w:r>
    </w:p>
    <w:p w14:paraId="786B7048">
      <w:pPr>
        <w:spacing w:line="300" w:lineRule="auto"/>
        <w:ind w:left="90" w:leftChars="43" w:firstLine="202" w:firstLineChars="96"/>
        <w:rPr>
          <w:rFonts w:hint="eastAsia" w:ascii="Times New Roman" w:hAnsi="Times New Roman" w:eastAsia="新宋体" w:cs="Times New Roman"/>
          <w:color w:val="auto"/>
          <w:w w:val="88"/>
          <w:sz w:val="24"/>
          <w:szCs w:val="24"/>
          <w:highlight w:val="none"/>
        </w:rPr>
      </w:pPr>
      <w:r>
        <w:rPr>
          <w:rFonts w:hint="eastAsia" w:ascii="Times New Roman" w:hAnsi="Times New Roman" w:eastAsia="新宋体" w:cs="Times New Roman"/>
          <w:color w:val="auto"/>
          <w:w w:val="88"/>
          <w:sz w:val="24"/>
          <w:szCs w:val="24"/>
          <w:highlight w:val="none"/>
          <w:lang w:val="en-US" w:eastAsia="zh-CN"/>
        </w:rPr>
        <w:t>6</w:t>
      </w:r>
      <w:r>
        <w:rPr>
          <w:rFonts w:hint="eastAsia" w:ascii="Times New Roman" w:hAnsi="Times New Roman" w:eastAsia="新宋体" w:cs="Times New Roman"/>
          <w:color w:val="auto"/>
          <w:w w:val="88"/>
          <w:sz w:val="24"/>
          <w:szCs w:val="24"/>
          <w:highlight w:val="none"/>
        </w:rPr>
        <w:t>.甲乙双方必须严格履行合同的条款，如果在合同的执行过程中发生争议，首先通过协商解决；协商不成时，</w:t>
      </w:r>
      <w:r>
        <w:rPr>
          <w:rFonts w:hint="eastAsia" w:ascii="Times New Roman" w:hAnsi="Times New Roman" w:eastAsia="新宋体" w:cs="Times New Roman"/>
          <w:color w:val="auto"/>
          <w:w w:val="88"/>
          <w:sz w:val="24"/>
          <w:szCs w:val="24"/>
          <w:highlight w:val="none"/>
          <w:lang w:eastAsia="zh-CN"/>
        </w:rPr>
        <w:t>甲乙双方均可向买方所在地人民法院起诉解决。</w:t>
      </w:r>
    </w:p>
    <w:p w14:paraId="5DD2C860">
      <w:pPr>
        <w:spacing w:line="300" w:lineRule="auto"/>
        <w:rPr>
          <w:rFonts w:hint="eastAsia" w:ascii="Times New Roman" w:hAnsi="Times New Roman" w:eastAsia="新宋体" w:cs="Times New Roman"/>
          <w:color w:val="auto"/>
          <w:w w:val="88"/>
          <w:sz w:val="24"/>
          <w:szCs w:val="24"/>
          <w:highlight w:val="none"/>
        </w:rPr>
      </w:pPr>
    </w:p>
    <w:p w14:paraId="11AA4B77">
      <w:pPr>
        <w:spacing w:line="300" w:lineRule="auto"/>
        <w:rPr>
          <w:rFonts w:hint="eastAsia" w:ascii="Times New Roman" w:hAnsi="Times New Roman" w:eastAsia="新宋体" w:cs="Times New Roman"/>
          <w:color w:val="auto"/>
          <w:w w:val="88"/>
          <w:sz w:val="24"/>
          <w:szCs w:val="24"/>
          <w:highlight w:val="none"/>
          <w:lang w:val="en-US" w:eastAsia="zh-CN"/>
        </w:rPr>
      </w:pPr>
      <w:r>
        <w:rPr>
          <w:rFonts w:hint="eastAsia" w:ascii="Times New Roman" w:hAnsi="Times New Roman" w:eastAsia="新宋体" w:cs="Times New Roman"/>
          <w:color w:val="auto"/>
          <w:w w:val="88"/>
          <w:sz w:val="24"/>
          <w:szCs w:val="24"/>
          <w:highlight w:val="none"/>
        </w:rPr>
        <w:t>八、其他事宜</w:t>
      </w:r>
    </w:p>
    <w:p w14:paraId="5B02B5A7">
      <w:pPr>
        <w:spacing w:line="300" w:lineRule="auto"/>
        <w:ind w:left="90" w:leftChars="43" w:firstLine="202" w:firstLineChars="96"/>
        <w:rPr>
          <w:rFonts w:hint="eastAsia" w:ascii="Times New Roman" w:hAnsi="Times New Roman" w:eastAsia="新宋体" w:cs="Times New Roman"/>
          <w:color w:val="auto"/>
          <w:w w:val="88"/>
          <w:sz w:val="24"/>
          <w:szCs w:val="24"/>
          <w:highlight w:val="none"/>
        </w:rPr>
      </w:pPr>
      <w:r>
        <w:rPr>
          <w:rFonts w:hint="eastAsia" w:ascii="Times New Roman" w:hAnsi="Times New Roman" w:eastAsia="新宋体" w:cs="Times New Roman"/>
          <w:color w:val="auto"/>
          <w:w w:val="88"/>
          <w:sz w:val="24"/>
          <w:szCs w:val="24"/>
          <w:highlight w:val="none"/>
          <w:lang w:val="en-US" w:eastAsia="zh-CN"/>
        </w:rPr>
        <w:t>1.</w:t>
      </w:r>
      <w:r>
        <w:rPr>
          <w:rFonts w:hint="eastAsia" w:ascii="Times New Roman" w:hAnsi="Times New Roman" w:eastAsia="新宋体" w:cs="Times New Roman"/>
          <w:color w:val="auto"/>
          <w:w w:val="88"/>
          <w:sz w:val="24"/>
          <w:szCs w:val="24"/>
          <w:highlight w:val="none"/>
        </w:rPr>
        <w:t>设备安装后，卖方应确保该套设备能正常开展工作，并满足临床要求。</w:t>
      </w:r>
    </w:p>
    <w:p w14:paraId="76C1C534">
      <w:pPr>
        <w:spacing w:line="300" w:lineRule="auto"/>
        <w:ind w:left="90" w:leftChars="43" w:firstLine="202" w:firstLineChars="96"/>
        <w:rPr>
          <w:rFonts w:hint="eastAsia" w:ascii="Times New Roman" w:hAnsi="Times New Roman" w:eastAsia="新宋体" w:cs="Times New Roman"/>
          <w:color w:val="auto"/>
          <w:w w:val="88"/>
          <w:sz w:val="24"/>
          <w:szCs w:val="24"/>
          <w:highlight w:val="none"/>
        </w:rPr>
      </w:pPr>
      <w:r>
        <w:rPr>
          <w:rFonts w:hint="eastAsia" w:ascii="Times New Roman" w:hAnsi="Times New Roman" w:eastAsia="新宋体" w:cs="Times New Roman"/>
          <w:color w:val="auto"/>
          <w:w w:val="88"/>
          <w:sz w:val="24"/>
          <w:szCs w:val="24"/>
          <w:highlight w:val="none"/>
          <w:lang w:val="en-US" w:eastAsia="zh-CN"/>
        </w:rPr>
        <w:t>2</w:t>
      </w:r>
      <w:r>
        <w:rPr>
          <w:rFonts w:hint="eastAsia" w:ascii="Times New Roman" w:hAnsi="Times New Roman" w:eastAsia="新宋体" w:cs="Times New Roman"/>
          <w:color w:val="auto"/>
          <w:w w:val="88"/>
          <w:sz w:val="24"/>
          <w:szCs w:val="24"/>
          <w:highlight w:val="none"/>
        </w:rPr>
        <w:t>．卖方不能与买方工作人员私下有任何与本合同有关的个人经济往来行为，否则买方有权拒付合同款，由此造成卖方的经济损失由卖方负责。</w:t>
      </w:r>
    </w:p>
    <w:p w14:paraId="1B0F5550">
      <w:pPr>
        <w:spacing w:line="300" w:lineRule="auto"/>
        <w:ind w:left="90" w:leftChars="43" w:firstLine="202" w:firstLineChars="96"/>
        <w:rPr>
          <w:rFonts w:hint="default" w:ascii="Times New Roman" w:hAnsi="Times New Roman" w:eastAsia="新宋体" w:cs="Times New Roman"/>
          <w:color w:val="auto"/>
          <w:w w:val="88"/>
          <w:sz w:val="24"/>
          <w:szCs w:val="24"/>
          <w:highlight w:val="none"/>
          <w:lang w:val="en-US" w:eastAsia="zh-CN"/>
        </w:rPr>
      </w:pPr>
      <w:r>
        <w:rPr>
          <w:rFonts w:hint="eastAsia" w:ascii="Times New Roman" w:hAnsi="Times New Roman" w:eastAsia="新宋体" w:cs="Times New Roman"/>
          <w:color w:val="auto"/>
          <w:w w:val="88"/>
          <w:sz w:val="24"/>
          <w:szCs w:val="24"/>
          <w:highlight w:val="none"/>
          <w:lang w:val="en-US" w:eastAsia="zh-CN"/>
        </w:rPr>
        <w:t>3.本合同尾部甲乙双方的代表和地址为双方联系的唯一联系人和固定通讯地址，双方确认该联系人和地址可作为送达联系函、通知书、律师函、法院送达诉讼文书的地址，因载明的地址有误或未及时告知变更后的地址，导致相关文书及诉讼文书未能实际被接收，邮寄送达的，相关文书及诉讼文书退回之日即为送达之日。</w:t>
      </w:r>
    </w:p>
    <w:p w14:paraId="4CE5870E">
      <w:pPr>
        <w:spacing w:line="300" w:lineRule="auto"/>
        <w:ind w:left="90" w:leftChars="43" w:firstLine="202" w:firstLineChars="96"/>
        <w:rPr>
          <w:rFonts w:hint="eastAsia" w:ascii="Times New Roman" w:hAnsi="Times New Roman" w:eastAsia="新宋体" w:cs="Times New Roman"/>
          <w:color w:val="auto"/>
          <w:w w:val="88"/>
          <w:sz w:val="24"/>
          <w:szCs w:val="24"/>
          <w:highlight w:val="none"/>
        </w:rPr>
      </w:pPr>
      <w:r>
        <w:rPr>
          <w:rFonts w:hint="eastAsia" w:ascii="Times New Roman" w:hAnsi="Times New Roman" w:eastAsia="新宋体" w:cs="Times New Roman"/>
          <w:color w:val="auto"/>
          <w:w w:val="88"/>
          <w:sz w:val="24"/>
          <w:szCs w:val="24"/>
          <w:highlight w:val="none"/>
          <w:lang w:val="en-US" w:eastAsia="zh-CN"/>
        </w:rPr>
        <w:t>4</w:t>
      </w:r>
      <w:r>
        <w:rPr>
          <w:rFonts w:hint="eastAsia" w:ascii="Times New Roman" w:hAnsi="Times New Roman" w:eastAsia="新宋体" w:cs="Times New Roman"/>
          <w:color w:val="auto"/>
          <w:w w:val="88"/>
          <w:sz w:val="24"/>
          <w:szCs w:val="24"/>
          <w:highlight w:val="none"/>
        </w:rPr>
        <w:t>．项目报价清单、技术说明、安装方案及其它有关合同设备的特定信息由合同附件说明。所有附件及项目的招投标文件、会议纪要、协议等均为本合同不可分割之一部分，具有同等法律效力。</w:t>
      </w:r>
    </w:p>
    <w:p w14:paraId="55874903">
      <w:pPr>
        <w:spacing w:line="300" w:lineRule="auto"/>
        <w:ind w:left="90" w:leftChars="43" w:firstLine="202" w:firstLineChars="96"/>
        <w:rPr>
          <w:rFonts w:hint="eastAsia" w:ascii="Times New Roman" w:hAnsi="Times New Roman" w:eastAsia="新宋体" w:cs="Times New Roman"/>
          <w:color w:val="auto"/>
          <w:w w:val="88"/>
          <w:sz w:val="24"/>
          <w:szCs w:val="24"/>
          <w:highlight w:val="none"/>
        </w:rPr>
      </w:pPr>
      <w:r>
        <w:rPr>
          <w:rFonts w:hint="eastAsia" w:ascii="Times New Roman" w:hAnsi="Times New Roman" w:eastAsia="新宋体" w:cs="Times New Roman"/>
          <w:color w:val="auto"/>
          <w:w w:val="88"/>
          <w:sz w:val="24"/>
          <w:szCs w:val="24"/>
          <w:highlight w:val="none"/>
          <w:lang w:val="en-US" w:eastAsia="zh-CN"/>
        </w:rPr>
        <w:t>5</w:t>
      </w:r>
      <w:r>
        <w:rPr>
          <w:rFonts w:hint="eastAsia" w:ascii="Times New Roman" w:hAnsi="Times New Roman" w:eastAsia="新宋体" w:cs="Times New Roman"/>
          <w:color w:val="auto"/>
          <w:w w:val="88"/>
          <w:sz w:val="24"/>
          <w:szCs w:val="24"/>
          <w:highlight w:val="none"/>
        </w:rPr>
        <w:t>．本合同经甲乙双方法人或授权代表签字并盖章后生效，合同一式肆份，甲方持叁份，</w:t>
      </w:r>
      <w:r>
        <w:rPr>
          <w:rFonts w:hint="eastAsia" w:ascii="Times New Roman" w:hAnsi="Times New Roman" w:eastAsia="新宋体" w:cs="Times New Roman"/>
          <w:color w:val="auto"/>
          <w:w w:val="88"/>
          <w:sz w:val="24"/>
          <w:szCs w:val="24"/>
          <w:highlight w:val="none"/>
          <w:lang w:eastAsia="zh-CN"/>
        </w:rPr>
        <w:t>乙</w:t>
      </w:r>
      <w:r>
        <w:rPr>
          <w:rFonts w:hint="eastAsia" w:ascii="Times New Roman" w:hAnsi="Times New Roman" w:eastAsia="新宋体" w:cs="Times New Roman"/>
          <w:color w:val="auto"/>
          <w:w w:val="88"/>
          <w:sz w:val="24"/>
          <w:szCs w:val="24"/>
          <w:highlight w:val="none"/>
        </w:rPr>
        <w:t>方持壹份。</w:t>
      </w:r>
    </w:p>
    <w:p w14:paraId="25AE75AF">
      <w:pPr>
        <w:spacing w:line="300" w:lineRule="auto"/>
        <w:ind w:left="90" w:leftChars="43" w:firstLine="202" w:firstLineChars="96"/>
        <w:rPr>
          <w:rFonts w:hint="eastAsia" w:ascii="Times New Roman" w:hAnsi="Times New Roman" w:eastAsia="新宋体" w:cs="Times New Roman"/>
          <w:color w:val="auto"/>
          <w:w w:val="88"/>
          <w:sz w:val="24"/>
          <w:szCs w:val="24"/>
          <w:highlight w:val="none"/>
        </w:rPr>
      </w:pPr>
      <w:r>
        <w:rPr>
          <w:rFonts w:hint="eastAsia" w:ascii="Times New Roman" w:hAnsi="Times New Roman" w:eastAsia="新宋体" w:cs="Times New Roman"/>
          <w:color w:val="auto"/>
          <w:w w:val="88"/>
          <w:sz w:val="24"/>
          <w:szCs w:val="24"/>
          <w:highlight w:val="none"/>
          <w:lang w:val="en-US" w:eastAsia="zh-CN"/>
        </w:rPr>
        <w:t>6</w:t>
      </w:r>
      <w:r>
        <w:rPr>
          <w:rFonts w:hint="eastAsia" w:ascii="Times New Roman" w:hAnsi="Times New Roman" w:eastAsia="新宋体" w:cs="Times New Roman"/>
          <w:color w:val="auto"/>
          <w:w w:val="88"/>
          <w:sz w:val="24"/>
          <w:szCs w:val="24"/>
          <w:highlight w:val="none"/>
        </w:rPr>
        <w:t>．本合同未尽事宜，由双方协商解决。</w:t>
      </w:r>
    </w:p>
    <w:p w14:paraId="0027599A">
      <w:pPr>
        <w:spacing w:line="300" w:lineRule="auto"/>
        <w:ind w:left="90" w:leftChars="43" w:firstLine="202" w:firstLineChars="96"/>
        <w:rPr>
          <w:rFonts w:hint="eastAsia" w:ascii="Times New Roman" w:hAnsi="Times New Roman" w:eastAsia="新宋体" w:cs="Times New Roman"/>
          <w:color w:val="auto"/>
          <w:w w:val="88"/>
          <w:sz w:val="24"/>
          <w:szCs w:val="24"/>
          <w:highlight w:val="none"/>
        </w:rPr>
      </w:pPr>
    </w:p>
    <w:p w14:paraId="726F0EC0">
      <w:pPr>
        <w:spacing w:line="300" w:lineRule="auto"/>
        <w:ind w:left="90" w:leftChars="43" w:firstLine="202" w:firstLineChars="96"/>
        <w:rPr>
          <w:rFonts w:hint="eastAsia" w:ascii="Times New Roman" w:hAnsi="Times New Roman" w:eastAsia="新宋体" w:cs="Times New Roman"/>
          <w:color w:val="auto"/>
          <w:w w:val="88"/>
          <w:sz w:val="24"/>
          <w:szCs w:val="24"/>
          <w:highlight w:val="none"/>
          <w:lang w:eastAsia="zh-CN"/>
        </w:rPr>
      </w:pPr>
      <w:r>
        <w:rPr>
          <w:rFonts w:hint="eastAsia" w:ascii="Times New Roman" w:hAnsi="Times New Roman" w:eastAsia="新宋体" w:cs="Times New Roman"/>
          <w:color w:val="auto"/>
          <w:w w:val="88"/>
          <w:sz w:val="24"/>
          <w:szCs w:val="24"/>
          <w:highlight w:val="none"/>
        </w:rPr>
        <w:t>九、</w:t>
      </w:r>
      <w:r>
        <w:rPr>
          <w:rFonts w:hint="eastAsia" w:ascii="Times New Roman" w:hAnsi="Times New Roman" w:eastAsia="新宋体" w:cs="Times New Roman"/>
          <w:color w:val="auto"/>
          <w:w w:val="88"/>
          <w:sz w:val="24"/>
          <w:szCs w:val="24"/>
          <w:highlight w:val="none"/>
          <w:lang w:eastAsia="zh-CN"/>
        </w:rPr>
        <w:t>合同</w:t>
      </w:r>
      <w:r>
        <w:rPr>
          <w:rFonts w:hint="eastAsia" w:ascii="Times New Roman" w:hAnsi="Times New Roman" w:eastAsia="新宋体" w:cs="Times New Roman"/>
          <w:color w:val="auto"/>
          <w:w w:val="88"/>
          <w:sz w:val="24"/>
          <w:szCs w:val="24"/>
          <w:highlight w:val="none"/>
        </w:rPr>
        <w:t>附件</w:t>
      </w:r>
      <w:r>
        <w:rPr>
          <w:rFonts w:hint="eastAsia" w:ascii="Times New Roman" w:hAnsi="Times New Roman" w:eastAsia="新宋体" w:cs="Times New Roman"/>
          <w:color w:val="auto"/>
          <w:w w:val="88"/>
          <w:sz w:val="24"/>
          <w:szCs w:val="24"/>
          <w:highlight w:val="none"/>
          <w:lang w:eastAsia="zh-CN"/>
        </w:rPr>
        <w:t>（有则补充）：附件一：</w:t>
      </w:r>
    </w:p>
    <w:p w14:paraId="7969525D">
      <w:pPr>
        <w:spacing w:line="300" w:lineRule="auto"/>
        <w:ind w:left="90" w:leftChars="43" w:firstLine="202" w:firstLineChars="96"/>
        <w:rPr>
          <w:rFonts w:hint="eastAsia" w:ascii="Times New Roman" w:hAnsi="Times New Roman" w:eastAsia="新宋体" w:cs="Times New Roman"/>
          <w:color w:val="auto"/>
          <w:w w:val="88"/>
          <w:sz w:val="24"/>
          <w:szCs w:val="24"/>
          <w:highlight w:val="none"/>
          <w:lang w:val="en-US" w:eastAsia="zh-CN"/>
        </w:rPr>
      </w:pPr>
      <w:r>
        <w:rPr>
          <w:rFonts w:hint="eastAsia" w:ascii="Times New Roman" w:hAnsi="Times New Roman" w:eastAsia="新宋体" w:cs="Times New Roman"/>
          <w:color w:val="auto"/>
          <w:w w:val="88"/>
          <w:sz w:val="24"/>
          <w:szCs w:val="24"/>
          <w:highlight w:val="none"/>
          <w:lang w:val="en-US" w:eastAsia="zh-CN"/>
        </w:rPr>
        <w:t xml:space="preserve">                         附件二： </w:t>
      </w:r>
    </w:p>
    <w:p w14:paraId="3B7D97EA">
      <w:pPr>
        <w:spacing w:line="300" w:lineRule="auto"/>
        <w:ind w:left="90" w:leftChars="43" w:firstLine="202" w:firstLineChars="96"/>
        <w:rPr>
          <w:rFonts w:hint="default" w:ascii="Times New Roman" w:hAnsi="Times New Roman" w:eastAsia="新宋体" w:cs="Times New Roman"/>
          <w:color w:val="auto"/>
          <w:w w:val="88"/>
          <w:sz w:val="24"/>
          <w:szCs w:val="24"/>
          <w:highlight w:val="none"/>
          <w:lang w:val="en-US" w:eastAsia="zh-CN"/>
        </w:rPr>
      </w:pPr>
      <w:r>
        <w:rPr>
          <w:rFonts w:hint="eastAsia" w:ascii="Times New Roman" w:hAnsi="Times New Roman" w:eastAsia="新宋体" w:cs="Times New Roman"/>
          <w:color w:val="auto"/>
          <w:w w:val="88"/>
          <w:sz w:val="24"/>
          <w:szCs w:val="24"/>
          <w:highlight w:val="none"/>
          <w:lang w:val="en-US" w:eastAsia="zh-CN"/>
        </w:rPr>
        <w:t xml:space="preserve">                         ……</w:t>
      </w:r>
    </w:p>
    <w:p w14:paraId="4ABEA586">
      <w:pPr>
        <w:spacing w:line="300" w:lineRule="auto"/>
        <w:ind w:firstLine="422" w:firstLineChars="200"/>
        <w:rPr>
          <w:rFonts w:hint="eastAsia" w:ascii="Times New Roman" w:hAnsi="Times New Roman" w:eastAsia="新宋体" w:cs="Times New Roman"/>
          <w:color w:val="auto"/>
          <w:w w:val="88"/>
          <w:sz w:val="24"/>
          <w:szCs w:val="24"/>
          <w:highlight w:val="none"/>
          <w:lang w:eastAsia="zh-CN"/>
        </w:rPr>
      </w:pPr>
      <w:r>
        <w:rPr>
          <w:rFonts w:hint="eastAsia" w:ascii="Times New Roman" w:hAnsi="Times New Roman" w:eastAsia="新宋体" w:cs="Times New Roman"/>
          <w:color w:val="auto"/>
          <w:w w:val="88"/>
          <w:sz w:val="24"/>
          <w:szCs w:val="24"/>
          <w:highlight w:val="none"/>
          <w:lang w:eastAsia="zh-CN"/>
        </w:rPr>
        <w:t>（此后无正文）</w:t>
      </w:r>
    </w:p>
    <w:p w14:paraId="12F0AE87">
      <w:pPr>
        <w:spacing w:line="300" w:lineRule="auto"/>
        <w:ind w:left="90" w:leftChars="43" w:firstLine="202" w:firstLineChars="96"/>
        <w:rPr>
          <w:rFonts w:hint="eastAsia" w:ascii="Times New Roman" w:hAnsi="Times New Roman" w:eastAsia="新宋体" w:cs="Times New Roman"/>
          <w:color w:val="auto"/>
          <w:w w:val="88"/>
          <w:sz w:val="24"/>
          <w:szCs w:val="24"/>
          <w:highlight w:val="none"/>
          <w:lang w:eastAsia="zh-CN"/>
        </w:rPr>
      </w:pPr>
    </w:p>
    <w:p w14:paraId="351C42E9">
      <w:pPr>
        <w:spacing w:line="300" w:lineRule="auto"/>
        <w:rPr>
          <w:rFonts w:hint="eastAsia" w:eastAsia="新宋体"/>
          <w:color w:val="auto"/>
          <w:w w:val="88"/>
          <w:sz w:val="24"/>
          <w:szCs w:val="24"/>
          <w:highlight w:val="none"/>
          <w:lang w:val="en-US" w:eastAsia="zh-CN"/>
        </w:rPr>
      </w:pPr>
      <w:r>
        <w:rPr>
          <w:rFonts w:hint="eastAsia" w:ascii="Times New Roman" w:hAnsi="Times New Roman" w:eastAsia="新宋体" w:cs="Times New Roman"/>
          <w:color w:val="auto"/>
          <w:w w:val="88"/>
          <w:sz w:val="24"/>
          <w:szCs w:val="24"/>
          <w:highlight w:val="none"/>
        </w:rPr>
        <w:t>买方（盖章）：株洲市中心医院                 卖方（盖章）：</w:t>
      </w:r>
    </w:p>
    <w:p w14:paraId="01F77A5C">
      <w:pPr>
        <w:spacing w:line="300" w:lineRule="auto"/>
        <w:ind w:firstLine="211" w:firstLineChars="100"/>
        <w:rPr>
          <w:rFonts w:hint="eastAsia" w:ascii="Times New Roman" w:hAnsi="Times New Roman" w:eastAsia="新宋体" w:cs="Times New Roman"/>
          <w:color w:val="auto"/>
          <w:w w:val="88"/>
          <w:sz w:val="24"/>
          <w:szCs w:val="24"/>
          <w:highlight w:val="none"/>
          <w:lang w:val="en-US" w:eastAsia="zh-CN"/>
        </w:rPr>
      </w:pPr>
    </w:p>
    <w:p w14:paraId="43C22F4A">
      <w:pPr>
        <w:spacing w:line="300" w:lineRule="auto"/>
        <w:rPr>
          <w:rFonts w:hint="eastAsia" w:ascii="Times New Roman" w:hAnsi="Times New Roman" w:eastAsia="新宋体" w:cs="Times New Roman"/>
          <w:color w:val="auto"/>
          <w:w w:val="88"/>
          <w:sz w:val="24"/>
          <w:szCs w:val="24"/>
          <w:highlight w:val="none"/>
          <w:lang w:eastAsia="zh-CN"/>
        </w:rPr>
      </w:pPr>
      <w:r>
        <w:rPr>
          <w:rFonts w:hint="eastAsia" w:ascii="Times New Roman" w:hAnsi="Times New Roman" w:eastAsia="新宋体" w:cs="Times New Roman"/>
          <w:color w:val="auto"/>
          <w:w w:val="88"/>
          <w:sz w:val="24"/>
          <w:szCs w:val="24"/>
          <w:highlight w:val="none"/>
        </w:rPr>
        <w:t>法人代表签字：                              法人代表签字</w:t>
      </w:r>
      <w:r>
        <w:rPr>
          <w:rFonts w:hint="eastAsia" w:ascii="Times New Roman" w:hAnsi="Times New Roman" w:eastAsia="新宋体" w:cs="Times New Roman"/>
          <w:color w:val="auto"/>
          <w:w w:val="88"/>
          <w:sz w:val="24"/>
          <w:szCs w:val="24"/>
          <w:highlight w:val="none"/>
          <w:lang w:eastAsia="zh-CN"/>
        </w:rPr>
        <w:t>：</w:t>
      </w:r>
    </w:p>
    <w:p w14:paraId="4A8D95E1">
      <w:pPr>
        <w:spacing w:line="300" w:lineRule="auto"/>
        <w:ind w:left="90" w:leftChars="43" w:firstLine="202" w:firstLineChars="96"/>
        <w:rPr>
          <w:rFonts w:hint="eastAsia" w:ascii="Times New Roman" w:hAnsi="Times New Roman" w:eastAsia="新宋体" w:cs="Times New Roman"/>
          <w:color w:val="auto"/>
          <w:w w:val="88"/>
          <w:sz w:val="24"/>
          <w:szCs w:val="24"/>
          <w:highlight w:val="none"/>
        </w:rPr>
      </w:pPr>
    </w:p>
    <w:p w14:paraId="4FF02E34">
      <w:pPr>
        <w:spacing w:line="300" w:lineRule="auto"/>
        <w:rPr>
          <w:rFonts w:hint="eastAsia" w:ascii="Times New Roman" w:hAnsi="Times New Roman" w:eastAsia="新宋体" w:cs="Times New Roman"/>
          <w:color w:val="auto"/>
          <w:w w:val="88"/>
          <w:sz w:val="24"/>
          <w:szCs w:val="24"/>
          <w:highlight w:val="none"/>
        </w:rPr>
      </w:pPr>
    </w:p>
    <w:p w14:paraId="4F0CC739">
      <w:pPr>
        <w:spacing w:line="300" w:lineRule="auto"/>
        <w:rPr>
          <w:rFonts w:hint="eastAsia" w:ascii="Times New Roman" w:hAnsi="Times New Roman" w:eastAsia="新宋体" w:cs="Times New Roman"/>
          <w:color w:val="auto"/>
          <w:w w:val="88"/>
          <w:sz w:val="24"/>
          <w:szCs w:val="24"/>
          <w:highlight w:val="none"/>
          <w:lang w:eastAsia="zh-CN"/>
        </w:rPr>
      </w:pPr>
      <w:r>
        <w:rPr>
          <w:rFonts w:hint="eastAsia" w:ascii="Times New Roman" w:hAnsi="Times New Roman" w:eastAsia="新宋体" w:cs="Times New Roman"/>
          <w:color w:val="auto"/>
          <w:w w:val="88"/>
          <w:sz w:val="24"/>
          <w:szCs w:val="24"/>
          <w:highlight w:val="none"/>
        </w:rPr>
        <w:t>代表签字</w:t>
      </w:r>
      <w:r>
        <w:rPr>
          <w:rFonts w:hint="eastAsia" w:ascii="Times New Roman" w:hAnsi="Times New Roman" w:eastAsia="新宋体" w:cs="Times New Roman"/>
          <w:color w:val="auto"/>
          <w:w w:val="88"/>
          <w:sz w:val="24"/>
          <w:szCs w:val="24"/>
          <w:highlight w:val="none"/>
          <w:lang w:val="en-US" w:eastAsia="zh-CN"/>
        </w:rPr>
        <w:t xml:space="preserve">:                                   </w:t>
      </w:r>
      <w:r>
        <w:rPr>
          <w:rFonts w:hint="eastAsia" w:ascii="Times New Roman" w:hAnsi="Times New Roman" w:eastAsia="新宋体" w:cs="Times New Roman"/>
          <w:color w:val="auto"/>
          <w:w w:val="88"/>
          <w:sz w:val="24"/>
          <w:szCs w:val="24"/>
          <w:highlight w:val="none"/>
        </w:rPr>
        <w:t>代表签字</w:t>
      </w:r>
      <w:r>
        <w:rPr>
          <w:rFonts w:hint="eastAsia" w:ascii="Times New Roman" w:hAnsi="Times New Roman" w:eastAsia="新宋体" w:cs="Times New Roman"/>
          <w:color w:val="auto"/>
          <w:w w:val="88"/>
          <w:sz w:val="24"/>
          <w:szCs w:val="24"/>
          <w:highlight w:val="none"/>
          <w:lang w:eastAsia="zh-CN"/>
        </w:rPr>
        <w:t>：</w:t>
      </w:r>
    </w:p>
    <w:p w14:paraId="26A48979">
      <w:pPr>
        <w:spacing w:line="300" w:lineRule="auto"/>
        <w:ind w:left="90" w:leftChars="43" w:firstLine="202" w:firstLineChars="96"/>
        <w:rPr>
          <w:rFonts w:hint="eastAsia" w:ascii="Times New Roman" w:hAnsi="Times New Roman" w:eastAsia="新宋体" w:cs="Times New Roman"/>
          <w:color w:val="auto"/>
          <w:w w:val="88"/>
          <w:sz w:val="24"/>
          <w:szCs w:val="24"/>
          <w:highlight w:val="none"/>
        </w:rPr>
      </w:pPr>
    </w:p>
    <w:p w14:paraId="3BBEC6C2">
      <w:pPr>
        <w:spacing w:line="300" w:lineRule="auto"/>
        <w:rPr>
          <w:rFonts w:hint="eastAsia" w:ascii="Times New Roman" w:hAnsi="Times New Roman" w:eastAsia="新宋体" w:cs="Times New Roman"/>
          <w:color w:val="auto"/>
          <w:w w:val="88"/>
          <w:sz w:val="24"/>
          <w:szCs w:val="24"/>
          <w:highlight w:val="none"/>
        </w:rPr>
      </w:pPr>
      <w:r>
        <w:rPr>
          <w:rFonts w:hint="eastAsia" w:ascii="Times New Roman" w:hAnsi="Times New Roman" w:eastAsia="新宋体" w:cs="Times New Roman"/>
          <w:color w:val="auto"/>
          <w:w w:val="88"/>
          <w:sz w:val="24"/>
          <w:szCs w:val="24"/>
          <w:highlight w:val="none"/>
        </w:rPr>
        <w:t>签定日期：                                  签定日期：</w:t>
      </w:r>
    </w:p>
    <w:p w14:paraId="45207C1F">
      <w:pPr>
        <w:spacing w:line="300" w:lineRule="auto"/>
        <w:rPr>
          <w:rFonts w:hint="default" w:ascii="Times New Roman" w:hAnsi="Times New Roman" w:eastAsia="新宋体" w:cs="Times New Roman"/>
          <w:color w:val="auto"/>
          <w:w w:val="88"/>
          <w:sz w:val="24"/>
          <w:szCs w:val="24"/>
          <w:highlight w:val="none"/>
          <w:lang w:val="en-US" w:eastAsia="zh-CN"/>
        </w:rPr>
      </w:pPr>
      <w:r>
        <w:rPr>
          <w:rFonts w:hint="eastAsia" w:ascii="Times New Roman" w:hAnsi="Times New Roman" w:eastAsia="新宋体" w:cs="Times New Roman"/>
          <w:color w:val="auto"/>
          <w:w w:val="88"/>
          <w:sz w:val="24"/>
          <w:szCs w:val="24"/>
          <w:highlight w:val="none"/>
        </w:rPr>
        <w:t>银行帐号：                                  银行帐号：</w:t>
      </w:r>
    </w:p>
    <w:p w14:paraId="05EEFBD9">
      <w:pPr>
        <w:spacing w:line="300" w:lineRule="auto"/>
        <w:rPr>
          <w:rFonts w:hint="eastAsia" w:ascii="Times New Roman" w:hAnsi="Times New Roman" w:eastAsia="新宋体" w:cs="Times New Roman"/>
          <w:color w:val="auto"/>
          <w:w w:val="88"/>
          <w:sz w:val="24"/>
          <w:szCs w:val="24"/>
          <w:highlight w:val="none"/>
        </w:rPr>
      </w:pPr>
      <w:r>
        <w:rPr>
          <w:rFonts w:hint="eastAsia" w:ascii="Times New Roman" w:hAnsi="Times New Roman" w:eastAsia="新宋体" w:cs="Times New Roman"/>
          <w:color w:val="auto"/>
          <w:w w:val="88"/>
          <w:sz w:val="24"/>
          <w:szCs w:val="24"/>
          <w:highlight w:val="none"/>
        </w:rPr>
        <w:t>开户银行：                                  开户银行：</w:t>
      </w:r>
    </w:p>
    <w:p w14:paraId="17D68FED">
      <w:pPr>
        <w:spacing w:line="300" w:lineRule="auto"/>
        <w:rPr>
          <w:rFonts w:hint="default" w:ascii="Times New Roman" w:hAnsi="Times New Roman" w:eastAsia="新宋体" w:cs="Times New Roman"/>
          <w:color w:val="auto"/>
          <w:w w:val="88"/>
          <w:sz w:val="24"/>
          <w:szCs w:val="24"/>
          <w:highlight w:val="none"/>
          <w:lang w:val="en-US"/>
        </w:rPr>
      </w:pPr>
      <w:r>
        <w:rPr>
          <w:rFonts w:hint="eastAsia" w:ascii="Times New Roman" w:hAnsi="Times New Roman" w:eastAsia="新宋体" w:cs="Times New Roman"/>
          <w:color w:val="auto"/>
          <w:w w:val="88"/>
          <w:sz w:val="24"/>
          <w:szCs w:val="24"/>
          <w:highlight w:val="none"/>
        </w:rPr>
        <w:t xml:space="preserve">联系电话：0731－28561082/ 28561084      </w:t>
      </w:r>
      <w:r>
        <w:rPr>
          <w:rFonts w:hint="eastAsia" w:ascii="Times New Roman" w:hAnsi="Times New Roman" w:eastAsia="新宋体" w:cs="Times New Roman"/>
          <w:color w:val="auto"/>
          <w:w w:val="88"/>
          <w:sz w:val="24"/>
          <w:szCs w:val="24"/>
          <w:highlight w:val="none"/>
          <w:lang w:val="en-US" w:eastAsia="zh-CN"/>
        </w:rPr>
        <w:t xml:space="preserve">     </w:t>
      </w:r>
      <w:r>
        <w:rPr>
          <w:rFonts w:hint="eastAsia" w:ascii="Times New Roman" w:hAnsi="Times New Roman" w:eastAsia="新宋体" w:cs="Times New Roman"/>
          <w:color w:val="auto"/>
          <w:w w:val="88"/>
          <w:sz w:val="24"/>
          <w:szCs w:val="24"/>
          <w:highlight w:val="none"/>
        </w:rPr>
        <w:t>联系电话：</w:t>
      </w:r>
    </w:p>
    <w:p w14:paraId="05991FB4">
      <w:pPr>
        <w:spacing w:line="300" w:lineRule="auto"/>
        <w:rPr>
          <w:rFonts w:hint="eastAsia" w:ascii="Times New Roman" w:hAnsi="Times New Roman" w:eastAsia="新宋体" w:cs="Times New Roman"/>
          <w:color w:val="auto"/>
          <w:w w:val="88"/>
          <w:sz w:val="24"/>
          <w:szCs w:val="24"/>
          <w:highlight w:val="none"/>
        </w:rPr>
      </w:pPr>
      <w:r>
        <w:rPr>
          <w:rFonts w:hint="eastAsia" w:ascii="Times New Roman" w:hAnsi="Times New Roman" w:eastAsia="新宋体" w:cs="Times New Roman"/>
          <w:color w:val="auto"/>
          <w:w w:val="88"/>
          <w:sz w:val="24"/>
          <w:szCs w:val="24"/>
          <w:highlight w:val="none"/>
        </w:rPr>
        <w:t>邮政编码：412000                            邮政编码：</w:t>
      </w:r>
    </w:p>
    <w:p w14:paraId="607A81BC">
      <w:pPr>
        <w:spacing w:line="300" w:lineRule="auto"/>
        <w:rPr>
          <w:rFonts w:hint="eastAsia" w:ascii="Times New Roman" w:hAnsi="Times New Roman" w:eastAsia="新宋体" w:cs="Times New Roman"/>
          <w:color w:val="auto"/>
          <w:w w:val="88"/>
          <w:sz w:val="24"/>
          <w:szCs w:val="24"/>
          <w:highlight w:val="none"/>
        </w:rPr>
      </w:pPr>
      <w:r>
        <w:rPr>
          <w:rFonts w:hint="eastAsia" w:ascii="Times New Roman" w:hAnsi="Times New Roman" w:eastAsia="新宋体" w:cs="Times New Roman"/>
          <w:color w:val="auto"/>
          <w:w w:val="88"/>
          <w:sz w:val="24"/>
          <w:szCs w:val="24"/>
          <w:highlight w:val="none"/>
        </w:rPr>
        <w:t>通讯地址：株洲市天元区长江南路116号        通讯地址：</w:t>
      </w:r>
    </w:p>
    <w:p w14:paraId="04B7AD23">
      <w:pPr>
        <w:pStyle w:val="13"/>
        <w:adjustRightInd w:val="0"/>
        <w:snapToGrid w:val="0"/>
        <w:spacing w:line="360" w:lineRule="auto"/>
        <w:jc w:val="center"/>
        <w:outlineLvl w:val="0"/>
        <w:rPr>
          <w:rFonts w:hAnsi="宋体"/>
          <w:b/>
          <w:bCs/>
          <w:color w:val="auto"/>
          <w:sz w:val="52"/>
          <w:szCs w:val="30"/>
          <w:highlight w:val="none"/>
        </w:rPr>
      </w:pPr>
    </w:p>
    <w:p w14:paraId="665C64AB">
      <w:pPr>
        <w:pStyle w:val="13"/>
        <w:adjustRightInd w:val="0"/>
        <w:snapToGrid w:val="0"/>
        <w:spacing w:line="360" w:lineRule="auto"/>
        <w:jc w:val="center"/>
        <w:outlineLvl w:val="0"/>
        <w:rPr>
          <w:rFonts w:ascii="黑体" w:hAnsi="华文中宋" w:eastAsia="黑体"/>
          <w:b/>
          <w:color w:val="auto"/>
          <w:sz w:val="32"/>
          <w:szCs w:val="32"/>
          <w:highlight w:val="none"/>
        </w:rPr>
      </w:pPr>
      <w:r>
        <w:rPr>
          <w:rFonts w:hint="eastAsia" w:hAnsi="宋体"/>
          <w:b/>
          <w:bCs/>
          <w:color w:val="auto"/>
          <w:sz w:val="28"/>
          <w:szCs w:val="28"/>
          <w:highlight w:val="none"/>
          <w:lang w:val="en-US" w:eastAsia="zh-CN"/>
        </w:rPr>
        <w:t>具体以后续合同签订为准。</w:t>
      </w:r>
      <w:r>
        <w:rPr>
          <w:rFonts w:hAnsi="宋体"/>
          <w:b/>
          <w:bCs/>
          <w:color w:val="auto"/>
          <w:sz w:val="52"/>
          <w:szCs w:val="30"/>
          <w:highlight w:val="none"/>
        </w:rPr>
        <w:br w:type="page"/>
      </w:r>
      <w:bookmarkStart w:id="112" w:name="_Toc9575"/>
      <w:r>
        <w:rPr>
          <w:rFonts w:hint="eastAsia" w:ascii="黑体" w:hAnsi="华文中宋" w:eastAsia="黑体"/>
          <w:b/>
          <w:color w:val="auto"/>
          <w:sz w:val="32"/>
          <w:szCs w:val="32"/>
          <w:highlight w:val="none"/>
        </w:rPr>
        <w:t>第七章 投标文件的组成</w:t>
      </w:r>
      <w:bookmarkEnd w:id="112"/>
    </w:p>
    <w:p w14:paraId="02C3A9F1">
      <w:pPr>
        <w:adjustRightInd w:val="0"/>
        <w:snapToGrid w:val="0"/>
        <w:spacing w:line="360" w:lineRule="auto"/>
        <w:ind w:left="-88" w:leftChars="-42"/>
        <w:jc w:val="center"/>
        <w:rPr>
          <w:b/>
          <w:bCs/>
          <w:color w:val="auto"/>
          <w:sz w:val="32"/>
          <w:highlight w:val="none"/>
        </w:rPr>
      </w:pPr>
    </w:p>
    <w:p w14:paraId="00CCD639">
      <w:pPr>
        <w:adjustRightInd w:val="0"/>
        <w:snapToGrid w:val="0"/>
        <w:spacing w:before="156" w:beforeLines="50" w:line="360" w:lineRule="auto"/>
        <w:jc w:val="left"/>
        <w:rPr>
          <w:rFonts w:ascii="宋体" w:hAnsi="宋体"/>
          <w:b/>
          <w:color w:val="auto"/>
          <w:szCs w:val="21"/>
          <w:highlight w:val="none"/>
        </w:rPr>
      </w:pPr>
      <w:r>
        <w:rPr>
          <w:rFonts w:hint="eastAsia" w:ascii="宋体" w:hAnsi="宋体"/>
          <w:b/>
          <w:color w:val="auto"/>
          <w:szCs w:val="21"/>
          <w:highlight w:val="none"/>
        </w:rPr>
        <w:t>第一部分 资格证明文件</w:t>
      </w:r>
    </w:p>
    <w:p w14:paraId="33305CA7">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一、开标一览表</w:t>
      </w:r>
    </w:p>
    <w:p w14:paraId="59989564">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二、投标保</w:t>
      </w:r>
      <w:r>
        <w:rPr>
          <w:rFonts w:hint="eastAsia" w:ascii="宋体" w:hAnsi="宋体"/>
          <w:bCs/>
          <w:color w:val="auto"/>
          <w:szCs w:val="21"/>
          <w:highlight w:val="none"/>
        </w:rPr>
        <w:t>证金</w:t>
      </w:r>
    </w:p>
    <w:p w14:paraId="70981F75">
      <w:pPr>
        <w:adjustRightInd w:val="0"/>
        <w:snapToGrid w:val="0"/>
        <w:spacing w:before="156" w:beforeLines="50" w:line="360" w:lineRule="auto"/>
        <w:ind w:firstLine="420" w:firstLineChars="200"/>
        <w:jc w:val="left"/>
        <w:rPr>
          <w:rFonts w:ascii="宋体" w:hAnsi="宋体" w:eastAsia="宋体" w:cs="宋体"/>
          <w:color w:val="auto"/>
          <w:spacing w:val="8"/>
          <w:sz w:val="21"/>
          <w:szCs w:val="21"/>
          <w:highlight w:val="none"/>
        </w:rPr>
      </w:pPr>
      <w:r>
        <w:rPr>
          <w:rFonts w:hint="eastAsia" w:ascii="宋体" w:hAnsi="宋体"/>
          <w:color w:val="auto"/>
          <w:szCs w:val="21"/>
          <w:highlight w:val="none"/>
        </w:rPr>
        <w:t>三、</w:t>
      </w:r>
      <w:r>
        <w:rPr>
          <w:rFonts w:ascii="宋体" w:hAnsi="宋体" w:eastAsia="宋体" w:cs="宋体"/>
          <w:color w:val="auto"/>
          <w:spacing w:val="8"/>
          <w:sz w:val="21"/>
          <w:szCs w:val="21"/>
          <w:highlight w:val="none"/>
        </w:rPr>
        <w:t>法定代表人(单位负责人)身份证明或授权委托书</w:t>
      </w:r>
    </w:p>
    <w:p w14:paraId="4F2E4599">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四、投标人提供的资格证明文件</w:t>
      </w:r>
    </w:p>
    <w:p w14:paraId="33C25EBB">
      <w:pPr>
        <w:adjustRightInd w:val="0"/>
        <w:snapToGrid w:val="0"/>
        <w:spacing w:before="156" w:beforeLines="50" w:line="360" w:lineRule="auto"/>
        <w:jc w:val="left"/>
        <w:rPr>
          <w:rFonts w:ascii="宋体" w:hAnsi="宋体"/>
          <w:b/>
          <w:color w:val="auto"/>
          <w:szCs w:val="21"/>
          <w:highlight w:val="none"/>
        </w:rPr>
      </w:pPr>
      <w:r>
        <w:rPr>
          <w:rFonts w:hint="eastAsia" w:ascii="宋体" w:hAnsi="宋体"/>
          <w:b/>
          <w:color w:val="auto"/>
          <w:szCs w:val="21"/>
          <w:highlight w:val="none"/>
        </w:rPr>
        <w:t>第二部分 商务技术文件</w:t>
      </w:r>
    </w:p>
    <w:p w14:paraId="0007012B">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五、投标函</w:t>
      </w:r>
    </w:p>
    <w:p w14:paraId="44378930">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六、分项报价</w:t>
      </w:r>
    </w:p>
    <w:p w14:paraId="2B48B330">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七、采购需求响应</w:t>
      </w:r>
    </w:p>
    <w:p w14:paraId="145BDD18">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八、合同条款偏离表</w:t>
      </w:r>
    </w:p>
    <w:p w14:paraId="6835A61F">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九、采购需求偏离表</w:t>
      </w:r>
    </w:p>
    <w:p w14:paraId="4D30CF34">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十、享受政府采购政策优惠的证明资料</w:t>
      </w:r>
    </w:p>
    <w:p w14:paraId="15F60A0B">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十一、投标货物符合招标文件规定的证明文件</w:t>
      </w:r>
    </w:p>
    <w:p w14:paraId="05C4C739">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十二、投标人认为需提供的其他资料</w:t>
      </w:r>
    </w:p>
    <w:p w14:paraId="6DD1395F">
      <w:pPr>
        <w:adjustRightInd w:val="0"/>
        <w:snapToGrid w:val="0"/>
        <w:spacing w:before="156" w:beforeLines="50" w:line="360" w:lineRule="auto"/>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注：投标人可编制资格审查索引表、符合性审查索引表、评审索引表，以便采购人及采购代理机构资格审查和评标委员会评审。</w:t>
      </w:r>
    </w:p>
    <w:p w14:paraId="0367349E">
      <w:pPr>
        <w:adjustRightInd w:val="0"/>
        <w:snapToGrid w:val="0"/>
        <w:spacing w:before="156" w:beforeLines="50" w:line="360" w:lineRule="auto"/>
        <w:ind w:firstLine="420" w:firstLineChars="200"/>
        <w:jc w:val="left"/>
        <w:rPr>
          <w:rFonts w:ascii="宋体" w:hAnsi="宋体" w:eastAsia="宋体"/>
          <w:color w:val="auto"/>
          <w:szCs w:val="21"/>
          <w:highlight w:val="none"/>
        </w:rPr>
      </w:pPr>
    </w:p>
    <w:p w14:paraId="2DC2E291">
      <w:pPr>
        <w:adjustRightInd w:val="0"/>
        <w:snapToGrid w:val="0"/>
        <w:spacing w:line="360" w:lineRule="auto"/>
        <w:jc w:val="center"/>
        <w:rPr>
          <w:rFonts w:ascii="仿宋_GB2312" w:hAnsi="宋体" w:eastAsia="仿宋_GB2312"/>
          <w:color w:val="auto"/>
          <w:szCs w:val="21"/>
          <w:highlight w:val="none"/>
        </w:rPr>
      </w:pPr>
    </w:p>
    <w:p w14:paraId="18EE636C">
      <w:pPr>
        <w:adjustRightInd w:val="0"/>
        <w:snapToGrid w:val="0"/>
        <w:spacing w:line="360" w:lineRule="auto"/>
        <w:jc w:val="center"/>
        <w:rPr>
          <w:rFonts w:ascii="黑体" w:eastAsia="黑体"/>
          <w:color w:val="auto"/>
          <w:sz w:val="32"/>
          <w:szCs w:val="32"/>
          <w:highlight w:val="none"/>
        </w:rPr>
      </w:pPr>
      <w:r>
        <w:rPr>
          <w:rFonts w:ascii="仿宋_GB2312" w:hAnsi="宋体" w:eastAsia="仿宋_GB2312"/>
          <w:color w:val="auto"/>
          <w:szCs w:val="21"/>
          <w:highlight w:val="none"/>
        </w:rPr>
        <w:br w:type="page"/>
      </w:r>
    </w:p>
    <w:p w14:paraId="56829B1A">
      <w:pPr>
        <w:adjustRightInd w:val="0"/>
        <w:snapToGrid w:val="0"/>
        <w:spacing w:line="360" w:lineRule="auto"/>
        <w:jc w:val="center"/>
        <w:rPr>
          <w:rFonts w:ascii="黑体" w:eastAsia="黑体"/>
          <w:color w:val="auto"/>
          <w:sz w:val="32"/>
          <w:szCs w:val="32"/>
          <w:highlight w:val="none"/>
        </w:rPr>
      </w:pPr>
    </w:p>
    <w:p w14:paraId="324DEC74">
      <w:pPr>
        <w:pStyle w:val="13"/>
        <w:adjustRightInd w:val="0"/>
        <w:snapToGrid w:val="0"/>
        <w:spacing w:line="360" w:lineRule="auto"/>
        <w:jc w:val="center"/>
        <w:rPr>
          <w:rFonts w:ascii="宋体" w:hAnsi="宋体" w:eastAsia="宋体"/>
          <w:b/>
          <w:bCs/>
          <w:color w:val="auto"/>
          <w:sz w:val="72"/>
          <w:szCs w:val="72"/>
          <w:highlight w:val="none"/>
        </w:rPr>
      </w:pPr>
      <w:r>
        <w:rPr>
          <w:rFonts w:hint="eastAsia" w:ascii="宋体" w:hAnsi="宋体" w:eastAsia="宋体"/>
          <w:b/>
          <w:bCs/>
          <w:color w:val="auto"/>
          <w:sz w:val="72"/>
          <w:szCs w:val="72"/>
          <w:highlight w:val="none"/>
        </w:rPr>
        <w:t>政府采购</w:t>
      </w:r>
    </w:p>
    <w:p w14:paraId="2D0B8985">
      <w:pPr>
        <w:adjustRightInd w:val="0"/>
        <w:snapToGrid w:val="0"/>
        <w:spacing w:line="360" w:lineRule="auto"/>
        <w:jc w:val="center"/>
        <w:rPr>
          <w:rFonts w:ascii="宋体" w:hAnsi="宋体" w:eastAsia="宋体"/>
          <w:b/>
          <w:bCs/>
          <w:color w:val="auto"/>
          <w:sz w:val="84"/>
          <w:szCs w:val="84"/>
          <w:highlight w:val="none"/>
        </w:rPr>
      </w:pPr>
      <w:r>
        <w:rPr>
          <w:rFonts w:hint="eastAsia" w:ascii="宋体" w:hAnsi="宋体" w:eastAsia="宋体"/>
          <w:b/>
          <w:bCs/>
          <w:color w:val="auto"/>
          <w:sz w:val="84"/>
          <w:szCs w:val="84"/>
          <w:highlight w:val="none"/>
        </w:rPr>
        <w:t>投 标 文 件</w:t>
      </w:r>
    </w:p>
    <w:p w14:paraId="05CAB480">
      <w:pPr>
        <w:pStyle w:val="3"/>
        <w:adjustRightInd w:val="0"/>
        <w:snapToGrid w:val="0"/>
        <w:jc w:val="center"/>
        <w:rPr>
          <w:rFonts w:ascii="黑体" w:hAnsi="黑体" w:eastAsia="黑体"/>
          <w:color w:val="auto"/>
          <w:sz w:val="44"/>
          <w:szCs w:val="44"/>
          <w:highlight w:val="none"/>
        </w:rPr>
      </w:pPr>
      <w:bookmarkStart w:id="113" w:name="_Toc10720"/>
      <w:r>
        <w:rPr>
          <w:rFonts w:hint="eastAsia" w:ascii="黑体" w:hAnsi="黑体" w:eastAsia="黑体"/>
          <w:color w:val="auto"/>
          <w:sz w:val="44"/>
          <w:szCs w:val="44"/>
          <w:highlight w:val="none"/>
        </w:rPr>
        <w:t>第一部分 资格证明文件</w:t>
      </w:r>
      <w:bookmarkEnd w:id="113"/>
    </w:p>
    <w:p w14:paraId="2D646E86">
      <w:pPr>
        <w:adjustRightInd w:val="0"/>
        <w:snapToGrid w:val="0"/>
        <w:spacing w:line="360" w:lineRule="auto"/>
        <w:rPr>
          <w:rFonts w:ascii="黑体" w:hAnsi="黑体" w:eastAsia="黑体"/>
          <w:b/>
          <w:color w:val="auto"/>
          <w:sz w:val="32"/>
          <w:szCs w:val="32"/>
          <w:highlight w:val="none"/>
        </w:rPr>
      </w:pPr>
    </w:p>
    <w:p w14:paraId="138CA81B">
      <w:pPr>
        <w:adjustRightInd w:val="0"/>
        <w:snapToGrid w:val="0"/>
        <w:spacing w:line="360" w:lineRule="auto"/>
        <w:rPr>
          <w:rFonts w:ascii="宋体" w:hAnsi="宋体" w:eastAsia="宋体"/>
          <w:b/>
          <w:color w:val="auto"/>
          <w:sz w:val="30"/>
          <w:szCs w:val="30"/>
          <w:highlight w:val="none"/>
        </w:rPr>
      </w:pPr>
      <w:r>
        <w:rPr>
          <w:rFonts w:hint="eastAsia" w:ascii="宋体" w:hAnsi="宋体" w:eastAsia="宋体"/>
          <w:b/>
          <w:color w:val="auto"/>
          <w:sz w:val="32"/>
          <w:szCs w:val="32"/>
          <w:highlight w:val="none"/>
        </w:rPr>
        <w:t xml:space="preserve">                     </w:t>
      </w:r>
    </w:p>
    <w:p w14:paraId="1657B2A0">
      <w:pPr>
        <w:pStyle w:val="13"/>
        <w:adjustRightInd w:val="0"/>
        <w:snapToGrid w:val="0"/>
        <w:spacing w:line="360" w:lineRule="auto"/>
        <w:ind w:firstLine="1988" w:firstLineChars="660"/>
        <w:rPr>
          <w:rFonts w:ascii="宋体" w:hAnsi="宋体" w:eastAsia="宋体"/>
          <w:b/>
          <w:bCs/>
          <w:color w:val="auto"/>
          <w:sz w:val="30"/>
          <w:szCs w:val="30"/>
          <w:highlight w:val="none"/>
          <w:u w:val="single"/>
        </w:rPr>
      </w:pPr>
      <w:r>
        <w:rPr>
          <w:rFonts w:hint="eastAsia" w:ascii="宋体" w:hAnsi="宋体" w:eastAsia="宋体"/>
          <w:b/>
          <w:bCs/>
          <w:color w:val="auto"/>
          <w:sz w:val="30"/>
          <w:szCs w:val="30"/>
          <w:highlight w:val="none"/>
        </w:rPr>
        <w:t>采购项目名称:</w:t>
      </w:r>
      <w:r>
        <w:rPr>
          <w:rFonts w:hint="eastAsia" w:ascii="宋体" w:hAnsi="宋体" w:eastAsia="宋体"/>
          <w:b/>
          <w:bCs/>
          <w:color w:val="auto"/>
          <w:sz w:val="30"/>
          <w:szCs w:val="30"/>
          <w:highlight w:val="none"/>
          <w:u w:val="single"/>
        </w:rPr>
        <w:t xml:space="preserve">                       </w:t>
      </w:r>
    </w:p>
    <w:p w14:paraId="1B016E67">
      <w:pPr>
        <w:pStyle w:val="13"/>
        <w:adjustRightInd w:val="0"/>
        <w:snapToGrid w:val="0"/>
        <w:spacing w:line="360" w:lineRule="auto"/>
        <w:ind w:firstLine="1988" w:firstLineChars="660"/>
        <w:rPr>
          <w:rFonts w:ascii="宋体" w:hAnsi="宋体" w:eastAsia="宋体"/>
          <w:b/>
          <w:bCs/>
          <w:color w:val="auto"/>
          <w:sz w:val="30"/>
          <w:szCs w:val="30"/>
          <w:highlight w:val="none"/>
        </w:rPr>
      </w:pPr>
      <w:r>
        <w:rPr>
          <w:rFonts w:hint="eastAsia" w:ascii="宋体" w:hAnsi="宋体" w:eastAsia="宋体"/>
          <w:b/>
          <w:bCs/>
          <w:color w:val="auto"/>
          <w:sz w:val="30"/>
          <w:szCs w:val="30"/>
          <w:highlight w:val="none"/>
        </w:rPr>
        <w:t>采   购   人：</w:t>
      </w:r>
      <w:r>
        <w:rPr>
          <w:rFonts w:hint="eastAsia" w:ascii="宋体" w:hAnsi="宋体" w:eastAsia="宋体"/>
          <w:b/>
          <w:bCs/>
          <w:color w:val="auto"/>
          <w:sz w:val="30"/>
          <w:szCs w:val="30"/>
          <w:highlight w:val="none"/>
          <w:u w:val="single"/>
        </w:rPr>
        <w:t xml:space="preserve">                      </w:t>
      </w:r>
    </w:p>
    <w:p w14:paraId="21611D1F">
      <w:pPr>
        <w:pStyle w:val="13"/>
        <w:adjustRightInd w:val="0"/>
        <w:snapToGrid w:val="0"/>
        <w:spacing w:line="360" w:lineRule="auto"/>
        <w:ind w:firstLine="1988" w:firstLineChars="660"/>
        <w:rPr>
          <w:rFonts w:ascii="宋体" w:hAnsi="宋体" w:eastAsia="宋体"/>
          <w:b/>
          <w:bCs/>
          <w:color w:val="auto"/>
          <w:sz w:val="30"/>
          <w:szCs w:val="30"/>
          <w:highlight w:val="none"/>
          <w:u w:val="single"/>
        </w:rPr>
      </w:pPr>
      <w:r>
        <w:rPr>
          <w:rFonts w:hint="eastAsia" w:hAnsi="宋体"/>
          <w:b/>
          <w:bCs/>
          <w:color w:val="auto"/>
          <w:sz w:val="30"/>
          <w:szCs w:val="30"/>
          <w:highlight w:val="none"/>
          <w:lang w:eastAsia="zh-CN"/>
        </w:rPr>
        <w:t>政府采购</w:t>
      </w:r>
      <w:r>
        <w:rPr>
          <w:rFonts w:hint="eastAsia" w:hAnsi="宋体"/>
          <w:b/>
          <w:bCs/>
          <w:color w:val="auto"/>
          <w:sz w:val="30"/>
          <w:szCs w:val="30"/>
          <w:highlight w:val="none"/>
          <w:lang w:val="en-US" w:eastAsia="zh-CN"/>
        </w:rPr>
        <w:t>计划</w:t>
      </w:r>
      <w:r>
        <w:rPr>
          <w:rFonts w:hint="eastAsia" w:hAnsi="宋体"/>
          <w:b/>
          <w:bCs/>
          <w:color w:val="auto"/>
          <w:sz w:val="30"/>
          <w:szCs w:val="30"/>
          <w:highlight w:val="none"/>
          <w:lang w:eastAsia="zh-CN"/>
        </w:rPr>
        <w:t>编号</w:t>
      </w:r>
      <w:r>
        <w:rPr>
          <w:rFonts w:hint="eastAsia" w:ascii="宋体" w:hAnsi="宋体" w:eastAsia="宋体"/>
          <w:b/>
          <w:bCs/>
          <w:color w:val="auto"/>
          <w:sz w:val="30"/>
          <w:szCs w:val="30"/>
          <w:highlight w:val="none"/>
        </w:rPr>
        <w:t>:</w:t>
      </w:r>
      <w:r>
        <w:rPr>
          <w:rFonts w:hint="eastAsia" w:ascii="宋体" w:hAnsi="宋体" w:eastAsia="宋体"/>
          <w:b/>
          <w:bCs/>
          <w:color w:val="auto"/>
          <w:sz w:val="30"/>
          <w:szCs w:val="30"/>
          <w:highlight w:val="none"/>
          <w:u w:val="single"/>
        </w:rPr>
        <w:t xml:space="preserve">                   </w:t>
      </w:r>
    </w:p>
    <w:p w14:paraId="6B8836AE">
      <w:pPr>
        <w:pStyle w:val="13"/>
        <w:adjustRightInd w:val="0"/>
        <w:snapToGrid w:val="0"/>
        <w:spacing w:line="360" w:lineRule="auto"/>
        <w:ind w:firstLine="1988" w:firstLineChars="660"/>
        <w:rPr>
          <w:rFonts w:ascii="宋体" w:hAnsi="宋体" w:eastAsia="宋体"/>
          <w:b/>
          <w:bCs/>
          <w:color w:val="auto"/>
          <w:sz w:val="30"/>
          <w:szCs w:val="30"/>
          <w:highlight w:val="none"/>
          <w:u w:val="single"/>
        </w:rPr>
      </w:pPr>
      <w:r>
        <w:rPr>
          <w:rFonts w:hint="eastAsia" w:ascii="宋体" w:hAnsi="宋体" w:eastAsia="宋体"/>
          <w:b/>
          <w:bCs/>
          <w:color w:val="auto"/>
          <w:sz w:val="30"/>
          <w:szCs w:val="30"/>
          <w:highlight w:val="none"/>
          <w:lang w:eastAsia="zh-CN"/>
        </w:rPr>
        <w:t>委托代理编号</w:t>
      </w:r>
      <w:r>
        <w:rPr>
          <w:rFonts w:hint="eastAsia" w:ascii="宋体" w:hAnsi="宋体" w:eastAsia="宋体"/>
          <w:b/>
          <w:bCs/>
          <w:color w:val="auto"/>
          <w:sz w:val="30"/>
          <w:szCs w:val="30"/>
          <w:highlight w:val="none"/>
        </w:rPr>
        <w:t>:</w:t>
      </w:r>
      <w:r>
        <w:rPr>
          <w:rFonts w:hint="eastAsia" w:ascii="宋体" w:hAnsi="宋体" w:eastAsia="宋体"/>
          <w:b/>
          <w:bCs/>
          <w:color w:val="auto"/>
          <w:sz w:val="30"/>
          <w:szCs w:val="30"/>
          <w:highlight w:val="none"/>
          <w:u w:val="single"/>
        </w:rPr>
        <w:t xml:space="preserve">                       </w:t>
      </w:r>
    </w:p>
    <w:p w14:paraId="3B5FFEE2">
      <w:pPr>
        <w:pStyle w:val="13"/>
        <w:adjustRightInd w:val="0"/>
        <w:snapToGrid w:val="0"/>
        <w:spacing w:line="360" w:lineRule="auto"/>
        <w:ind w:firstLine="1988" w:firstLineChars="660"/>
        <w:rPr>
          <w:rFonts w:ascii="宋体" w:hAnsi="宋体" w:eastAsia="宋体"/>
          <w:b/>
          <w:bCs/>
          <w:color w:val="auto"/>
          <w:sz w:val="30"/>
          <w:szCs w:val="30"/>
          <w:highlight w:val="none"/>
          <w:u w:val="single"/>
        </w:rPr>
      </w:pPr>
      <w:r>
        <w:rPr>
          <w:rFonts w:hint="eastAsia" w:ascii="宋体" w:hAnsi="宋体" w:eastAsia="宋体"/>
          <w:b/>
          <w:bCs/>
          <w:color w:val="auto"/>
          <w:sz w:val="30"/>
          <w:szCs w:val="30"/>
          <w:highlight w:val="none"/>
        </w:rPr>
        <w:t>采购代理机构：</w:t>
      </w:r>
      <w:r>
        <w:rPr>
          <w:rFonts w:hint="eastAsia" w:ascii="宋体" w:hAnsi="宋体" w:eastAsia="宋体"/>
          <w:b/>
          <w:bCs/>
          <w:color w:val="auto"/>
          <w:sz w:val="30"/>
          <w:szCs w:val="30"/>
          <w:highlight w:val="none"/>
          <w:u w:val="single"/>
        </w:rPr>
        <w:t xml:space="preserve">                      </w:t>
      </w:r>
    </w:p>
    <w:p w14:paraId="73ECCEE8">
      <w:pPr>
        <w:adjustRightInd w:val="0"/>
        <w:snapToGrid w:val="0"/>
        <w:spacing w:line="360" w:lineRule="auto"/>
        <w:rPr>
          <w:rFonts w:ascii="黑体" w:hAnsi="黑体" w:eastAsia="黑体"/>
          <w:color w:val="auto"/>
          <w:sz w:val="30"/>
          <w:szCs w:val="30"/>
          <w:highlight w:val="none"/>
        </w:rPr>
      </w:pPr>
    </w:p>
    <w:p w14:paraId="7546F315">
      <w:pPr>
        <w:adjustRightInd w:val="0"/>
        <w:snapToGrid w:val="0"/>
        <w:rPr>
          <w:rFonts w:ascii="黑体" w:hAnsi="宋体" w:eastAsia="黑体"/>
          <w:color w:val="auto"/>
          <w:sz w:val="30"/>
          <w:szCs w:val="30"/>
          <w:highlight w:val="none"/>
        </w:rPr>
      </w:pPr>
    </w:p>
    <w:p w14:paraId="5A9C7B0E">
      <w:pPr>
        <w:adjustRightInd w:val="0"/>
        <w:snapToGrid w:val="0"/>
        <w:spacing w:line="360" w:lineRule="auto"/>
        <w:rPr>
          <w:rFonts w:ascii="黑体" w:hAnsi="宋体" w:eastAsia="黑体"/>
          <w:color w:val="auto"/>
          <w:sz w:val="30"/>
          <w:szCs w:val="30"/>
          <w:highlight w:val="none"/>
        </w:rPr>
      </w:pPr>
    </w:p>
    <w:p w14:paraId="1218A2F1">
      <w:pPr>
        <w:adjustRightInd w:val="0"/>
        <w:snapToGrid w:val="0"/>
        <w:spacing w:line="360" w:lineRule="auto"/>
        <w:rPr>
          <w:rFonts w:ascii="黑体" w:hAnsi="宋体" w:eastAsia="黑体"/>
          <w:color w:val="auto"/>
          <w:sz w:val="30"/>
          <w:szCs w:val="30"/>
          <w:highlight w:val="none"/>
        </w:rPr>
      </w:pPr>
    </w:p>
    <w:p w14:paraId="093E13C9">
      <w:pPr>
        <w:adjustRightInd w:val="0"/>
        <w:snapToGrid w:val="0"/>
        <w:spacing w:line="360" w:lineRule="auto"/>
        <w:rPr>
          <w:rFonts w:ascii="黑体" w:hAnsi="宋体" w:eastAsia="黑体"/>
          <w:color w:val="auto"/>
          <w:sz w:val="30"/>
          <w:szCs w:val="30"/>
          <w:highlight w:val="none"/>
        </w:rPr>
      </w:pPr>
    </w:p>
    <w:p w14:paraId="2974A153">
      <w:pPr>
        <w:adjustRightInd w:val="0"/>
        <w:snapToGrid w:val="0"/>
        <w:spacing w:line="360" w:lineRule="auto"/>
        <w:ind w:firstLine="1984" w:firstLineChars="620"/>
        <w:rPr>
          <w:rFonts w:ascii="黑体" w:hAnsi="宋体" w:eastAsia="黑体"/>
          <w:color w:val="auto"/>
          <w:sz w:val="32"/>
          <w:szCs w:val="32"/>
          <w:highlight w:val="none"/>
          <w:u w:val="single"/>
        </w:rPr>
      </w:pPr>
      <w:r>
        <w:rPr>
          <w:rFonts w:hint="eastAsia" w:ascii="黑体" w:hAnsi="宋体" w:eastAsia="黑体"/>
          <w:color w:val="auto"/>
          <w:sz w:val="32"/>
          <w:szCs w:val="32"/>
          <w:highlight w:val="none"/>
        </w:rPr>
        <w:t>投标人</w:t>
      </w:r>
      <w:r>
        <w:rPr>
          <w:rFonts w:hint="eastAsia" w:ascii="黑体" w:hAnsi="宋体" w:eastAsia="黑体"/>
          <w:color w:val="auto"/>
          <w:sz w:val="32"/>
          <w:szCs w:val="32"/>
          <w:highlight w:val="none"/>
          <w:u w:val="single"/>
        </w:rPr>
        <w:t xml:space="preserve">                         </w:t>
      </w:r>
    </w:p>
    <w:p w14:paraId="70705BB7">
      <w:pPr>
        <w:adjustRightInd w:val="0"/>
        <w:snapToGrid w:val="0"/>
        <w:spacing w:line="360" w:lineRule="auto"/>
        <w:jc w:val="center"/>
        <w:rPr>
          <w:rFonts w:ascii="黑体" w:eastAsia="黑体"/>
          <w:color w:val="auto"/>
          <w:sz w:val="10"/>
          <w:szCs w:val="10"/>
          <w:highlight w:val="none"/>
        </w:rPr>
      </w:pPr>
      <w:r>
        <w:rPr>
          <w:rFonts w:hint="eastAsia" w:ascii="黑体" w:hAnsi="宋体" w:eastAsia="黑体"/>
          <w:color w:val="auto"/>
          <w:sz w:val="32"/>
          <w:szCs w:val="32"/>
          <w:highlight w:val="none"/>
        </w:rPr>
        <w:t>年  月  日</w:t>
      </w:r>
      <w:r>
        <w:rPr>
          <w:rFonts w:ascii="黑体" w:eastAsia="黑体"/>
          <w:color w:val="auto"/>
          <w:sz w:val="28"/>
          <w:szCs w:val="28"/>
          <w:highlight w:val="none"/>
        </w:rPr>
        <w:br w:type="page"/>
      </w:r>
    </w:p>
    <w:p w14:paraId="5D4FA5B1">
      <w:pPr>
        <w:pStyle w:val="4"/>
        <w:adjustRightInd w:val="0"/>
        <w:snapToGrid w:val="0"/>
        <w:spacing w:before="0" w:after="0" w:line="360" w:lineRule="auto"/>
        <w:jc w:val="center"/>
        <w:rPr>
          <w:rFonts w:ascii="黑体" w:hAnsi="宋体" w:eastAsia="黑体"/>
          <w:color w:val="auto"/>
          <w:sz w:val="28"/>
          <w:szCs w:val="28"/>
          <w:highlight w:val="none"/>
        </w:rPr>
      </w:pPr>
      <w:bookmarkStart w:id="114" w:name="_Toc2207"/>
      <w:r>
        <w:rPr>
          <w:rFonts w:hint="eastAsia" w:ascii="黑体" w:hAnsi="宋体" w:eastAsia="黑体"/>
          <w:color w:val="auto"/>
          <w:sz w:val="28"/>
          <w:szCs w:val="28"/>
          <w:highlight w:val="none"/>
        </w:rPr>
        <w:t>一、开标一览表</w:t>
      </w:r>
      <w:bookmarkEnd w:id="114"/>
    </w:p>
    <w:p w14:paraId="234CAD68">
      <w:pPr>
        <w:adjustRightInd w:val="0"/>
        <w:snapToGrid w:val="0"/>
        <w:spacing w:line="360" w:lineRule="auto"/>
        <w:ind w:left="-88" w:leftChars="-42"/>
        <w:jc w:val="center"/>
        <w:rPr>
          <w:rFonts w:ascii="仿宋_GB2312" w:hAnsi="宋体" w:eastAsia="仿宋_GB2312"/>
          <w:color w:val="auto"/>
          <w:sz w:val="24"/>
          <w:highlight w:val="none"/>
        </w:rPr>
      </w:pPr>
    </w:p>
    <w:p w14:paraId="1A935F34">
      <w:pPr>
        <w:adjustRightInd w:val="0"/>
        <w:snapToGrid w:val="0"/>
        <w:spacing w:line="360" w:lineRule="auto"/>
        <w:rPr>
          <w:rFonts w:ascii="宋体" w:hAnsi="宋体" w:eastAsia="宋体"/>
          <w:color w:val="auto"/>
          <w:szCs w:val="21"/>
          <w:highlight w:val="none"/>
        </w:rPr>
      </w:pPr>
      <w:r>
        <w:rPr>
          <w:rFonts w:hint="eastAsia" w:ascii="宋体" w:hAnsi="宋体"/>
          <w:color w:val="auto"/>
          <w:szCs w:val="21"/>
          <w:highlight w:val="none"/>
          <w:lang w:eastAsia="zh-CN"/>
        </w:rPr>
        <w:t>政府采购计划编号</w:t>
      </w:r>
      <w:r>
        <w:rPr>
          <w:rFonts w:hint="eastAsia" w:ascii="宋体" w:hAnsi="宋体" w:eastAsia="宋体"/>
          <w:color w:val="auto"/>
          <w:szCs w:val="21"/>
          <w:highlight w:val="none"/>
        </w:rPr>
        <w:t>：</w:t>
      </w:r>
      <w:r>
        <w:rPr>
          <w:rFonts w:hint="eastAsia" w:ascii="宋体" w:hAnsi="宋体" w:eastAsia="宋体"/>
          <w:color w:val="auto"/>
          <w:szCs w:val="21"/>
          <w:highlight w:val="none"/>
          <w:u w:val="single"/>
        </w:rPr>
        <w:t xml:space="preserve">               </w:t>
      </w:r>
      <w:r>
        <w:rPr>
          <w:rFonts w:hint="eastAsia" w:ascii="宋体" w:hAnsi="宋体" w:eastAsia="宋体"/>
          <w:color w:val="auto"/>
          <w:szCs w:val="21"/>
          <w:highlight w:val="none"/>
        </w:rPr>
        <w:t xml:space="preserve">                   项目名称：</w:t>
      </w:r>
      <w:r>
        <w:rPr>
          <w:rFonts w:hint="eastAsia" w:ascii="宋体" w:hAnsi="宋体" w:eastAsia="宋体"/>
          <w:color w:val="auto"/>
          <w:szCs w:val="21"/>
          <w:highlight w:val="none"/>
          <w:u w:val="single"/>
        </w:rPr>
        <w:t xml:space="preserve">                </w:t>
      </w:r>
      <w:r>
        <w:rPr>
          <w:rFonts w:hint="eastAsia" w:ascii="宋体" w:hAnsi="宋体" w:eastAsia="宋体"/>
          <w:color w:val="auto"/>
          <w:szCs w:val="21"/>
          <w:highlight w:val="none"/>
        </w:rPr>
        <w:t xml:space="preserve"> </w:t>
      </w:r>
    </w:p>
    <w:p w14:paraId="48345CC9">
      <w:pPr>
        <w:adjustRightInd w:val="0"/>
        <w:snapToGrid w:val="0"/>
        <w:spacing w:line="360" w:lineRule="auto"/>
        <w:rPr>
          <w:rFonts w:ascii="宋体" w:hAnsi="宋体" w:eastAsia="宋体"/>
          <w:b/>
          <w:color w:val="auto"/>
          <w:szCs w:val="21"/>
          <w:highlight w:val="none"/>
        </w:rPr>
      </w:pPr>
      <w:r>
        <w:rPr>
          <w:rFonts w:hint="eastAsia" w:ascii="宋体" w:hAnsi="宋体" w:eastAsia="宋体"/>
          <w:color w:val="auto"/>
          <w:szCs w:val="21"/>
          <w:highlight w:val="none"/>
        </w:rPr>
        <w:t>包号：</w:t>
      </w:r>
      <w:r>
        <w:rPr>
          <w:rFonts w:hint="eastAsia" w:ascii="宋体" w:hAnsi="宋体" w:eastAsia="宋体"/>
          <w:color w:val="auto"/>
          <w:szCs w:val="21"/>
          <w:highlight w:val="none"/>
          <w:u w:val="single"/>
        </w:rPr>
        <w:t xml:space="preserve">               </w:t>
      </w:r>
      <w:r>
        <w:rPr>
          <w:rFonts w:hint="eastAsia" w:ascii="宋体" w:hAnsi="宋体" w:eastAsia="宋体"/>
          <w:color w:val="auto"/>
          <w:szCs w:val="21"/>
          <w:highlight w:val="none"/>
        </w:rPr>
        <w:t xml:space="preserve">                               包名称：</w:t>
      </w:r>
      <w:r>
        <w:rPr>
          <w:rFonts w:hint="eastAsia" w:ascii="宋体" w:hAnsi="宋体" w:eastAsia="宋体"/>
          <w:color w:val="auto"/>
          <w:szCs w:val="21"/>
          <w:highlight w:val="none"/>
          <w:u w:val="single"/>
        </w:rPr>
        <w:t xml:space="preserve">                  </w:t>
      </w:r>
    </w:p>
    <w:tbl>
      <w:tblPr>
        <w:tblStyle w:val="26"/>
        <w:tblW w:w="0" w:type="auto"/>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5670"/>
        <w:gridCol w:w="3119"/>
      </w:tblGrid>
      <w:tr w14:paraId="27D2EE7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23" w:hRule="atLeast"/>
        </w:trPr>
        <w:tc>
          <w:tcPr>
            <w:tcW w:w="5670" w:type="dxa"/>
            <w:noWrap w:val="0"/>
            <w:vAlign w:val="center"/>
          </w:tcPr>
          <w:p w14:paraId="1621E22B">
            <w:pPr>
              <w:adjustRightInd w:val="0"/>
              <w:snapToGrid w:val="0"/>
              <w:spacing w:line="360" w:lineRule="auto"/>
              <w:jc w:val="center"/>
              <w:rPr>
                <w:rFonts w:ascii="宋体" w:hAnsi="宋体" w:eastAsia="宋体"/>
                <w:b/>
                <w:color w:val="auto"/>
                <w:kern w:val="0"/>
                <w:sz w:val="20"/>
                <w:szCs w:val="21"/>
                <w:highlight w:val="none"/>
              </w:rPr>
            </w:pPr>
            <w:r>
              <w:rPr>
                <w:rFonts w:hint="eastAsia" w:ascii="宋体" w:hAnsi="宋体" w:eastAsia="宋体"/>
                <w:b/>
                <w:color w:val="auto"/>
                <w:kern w:val="0"/>
                <w:szCs w:val="21"/>
                <w:highlight w:val="none"/>
              </w:rPr>
              <w:t>投标报价</w:t>
            </w:r>
          </w:p>
        </w:tc>
        <w:tc>
          <w:tcPr>
            <w:tcW w:w="3119" w:type="dxa"/>
            <w:noWrap w:val="0"/>
            <w:vAlign w:val="center"/>
          </w:tcPr>
          <w:p w14:paraId="3BFCEC89">
            <w:pPr>
              <w:adjustRightInd w:val="0"/>
              <w:snapToGrid w:val="0"/>
              <w:spacing w:line="360" w:lineRule="auto"/>
              <w:jc w:val="center"/>
              <w:rPr>
                <w:rFonts w:ascii="宋体" w:hAnsi="宋体" w:eastAsia="宋体"/>
                <w:b/>
                <w:color w:val="auto"/>
                <w:kern w:val="0"/>
                <w:szCs w:val="21"/>
                <w:highlight w:val="none"/>
              </w:rPr>
            </w:pPr>
            <w:r>
              <w:rPr>
                <w:rFonts w:hint="eastAsia" w:ascii="宋体" w:hAnsi="宋体" w:eastAsia="宋体"/>
                <w:b/>
                <w:color w:val="auto"/>
                <w:kern w:val="0"/>
                <w:szCs w:val="21"/>
                <w:highlight w:val="none"/>
              </w:rPr>
              <w:t>其他内容</w:t>
            </w:r>
          </w:p>
        </w:tc>
      </w:tr>
      <w:tr w14:paraId="3C571F9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23" w:hRule="atLeast"/>
        </w:trPr>
        <w:tc>
          <w:tcPr>
            <w:tcW w:w="5670" w:type="dxa"/>
            <w:noWrap w:val="0"/>
            <w:vAlign w:val="center"/>
          </w:tcPr>
          <w:p w14:paraId="5570C48B">
            <w:pPr>
              <w:adjustRightInd w:val="0"/>
              <w:snapToGrid w:val="0"/>
              <w:spacing w:line="360" w:lineRule="auto"/>
              <w:jc w:val="center"/>
              <w:rPr>
                <w:rFonts w:ascii="宋体" w:hAnsi="宋体" w:eastAsia="宋体"/>
                <w:color w:val="auto"/>
                <w:kern w:val="0"/>
                <w:szCs w:val="21"/>
                <w:highlight w:val="none"/>
              </w:rPr>
            </w:pPr>
            <w:r>
              <w:rPr>
                <w:rFonts w:hint="eastAsia" w:ascii="宋体" w:hAnsi="宋体" w:eastAsia="宋体"/>
                <w:color w:val="auto"/>
                <w:kern w:val="0"/>
                <w:szCs w:val="21"/>
                <w:highlight w:val="none"/>
              </w:rPr>
              <w:t>小写金额：</w:t>
            </w:r>
            <w:r>
              <w:rPr>
                <w:rFonts w:hint="eastAsia" w:ascii="宋体" w:hAnsi="宋体" w:eastAsia="宋体"/>
                <w:color w:val="auto"/>
                <w:kern w:val="0"/>
                <w:szCs w:val="21"/>
                <w:highlight w:val="none"/>
                <w:u w:val="single"/>
              </w:rPr>
              <w:t xml:space="preserve">               </w:t>
            </w:r>
            <w:r>
              <w:rPr>
                <w:rFonts w:hint="eastAsia" w:ascii="宋体" w:hAnsi="宋体" w:eastAsia="宋体"/>
                <w:color w:val="auto"/>
                <w:kern w:val="0"/>
                <w:szCs w:val="21"/>
                <w:highlight w:val="none"/>
              </w:rPr>
              <w:t>（</w:t>
            </w:r>
            <w:r>
              <w:rPr>
                <w:rFonts w:hint="eastAsia" w:ascii="宋体" w:hAnsi="宋体" w:eastAsia="宋体"/>
                <w:color w:val="auto"/>
                <w:kern w:val="0"/>
                <w:sz w:val="20"/>
                <w:szCs w:val="21"/>
                <w:highlight w:val="none"/>
              </w:rPr>
              <w:t>人民币元</w:t>
            </w:r>
            <w:r>
              <w:rPr>
                <w:rFonts w:hint="eastAsia" w:ascii="宋体" w:hAnsi="宋体" w:eastAsia="宋体"/>
                <w:color w:val="auto"/>
                <w:kern w:val="0"/>
                <w:szCs w:val="21"/>
                <w:highlight w:val="none"/>
              </w:rPr>
              <w:t>）</w:t>
            </w:r>
          </w:p>
          <w:p w14:paraId="5FC1983A">
            <w:pPr>
              <w:adjustRightInd w:val="0"/>
              <w:snapToGrid w:val="0"/>
              <w:spacing w:line="360" w:lineRule="auto"/>
              <w:jc w:val="center"/>
              <w:rPr>
                <w:rFonts w:ascii="宋体" w:hAnsi="宋体" w:eastAsia="宋体"/>
                <w:color w:val="auto"/>
                <w:kern w:val="0"/>
                <w:szCs w:val="21"/>
                <w:highlight w:val="none"/>
                <w:u w:val="single"/>
              </w:rPr>
            </w:pPr>
            <w:r>
              <w:rPr>
                <w:rFonts w:hint="eastAsia" w:ascii="宋体" w:hAnsi="宋体" w:eastAsia="宋体"/>
                <w:color w:val="auto"/>
                <w:kern w:val="0"/>
                <w:szCs w:val="21"/>
                <w:highlight w:val="none"/>
              </w:rPr>
              <w:t>大写金额：</w:t>
            </w:r>
            <w:r>
              <w:rPr>
                <w:rFonts w:hint="eastAsia" w:ascii="宋体" w:hAnsi="宋体" w:eastAsia="宋体"/>
                <w:color w:val="auto"/>
                <w:kern w:val="0"/>
                <w:szCs w:val="21"/>
                <w:highlight w:val="none"/>
                <w:u w:val="single"/>
              </w:rPr>
              <w:t xml:space="preserve">                </w:t>
            </w:r>
            <w:r>
              <w:rPr>
                <w:rFonts w:hint="eastAsia" w:ascii="宋体" w:hAnsi="宋体" w:eastAsia="宋体"/>
                <w:color w:val="auto"/>
                <w:kern w:val="0"/>
                <w:szCs w:val="21"/>
                <w:highlight w:val="none"/>
              </w:rPr>
              <w:t>（</w:t>
            </w:r>
            <w:r>
              <w:rPr>
                <w:rFonts w:hint="eastAsia" w:ascii="宋体" w:hAnsi="宋体" w:eastAsia="宋体"/>
                <w:color w:val="auto"/>
                <w:kern w:val="0"/>
                <w:sz w:val="20"/>
                <w:szCs w:val="21"/>
                <w:highlight w:val="none"/>
              </w:rPr>
              <w:t>人民币元</w:t>
            </w:r>
            <w:r>
              <w:rPr>
                <w:rFonts w:hint="eastAsia" w:ascii="宋体" w:hAnsi="宋体" w:eastAsia="宋体"/>
                <w:color w:val="auto"/>
                <w:kern w:val="0"/>
                <w:szCs w:val="21"/>
                <w:highlight w:val="none"/>
              </w:rPr>
              <w:t>）</w:t>
            </w:r>
          </w:p>
          <w:p w14:paraId="38B9ED7A">
            <w:pPr>
              <w:adjustRightInd w:val="0"/>
              <w:snapToGrid w:val="0"/>
              <w:spacing w:line="360" w:lineRule="auto"/>
              <w:jc w:val="center"/>
              <w:rPr>
                <w:rFonts w:ascii="宋体" w:hAnsi="宋体" w:eastAsia="宋体"/>
                <w:color w:val="auto"/>
                <w:kern w:val="0"/>
                <w:sz w:val="20"/>
                <w:szCs w:val="21"/>
                <w:highlight w:val="none"/>
              </w:rPr>
            </w:pPr>
            <w:r>
              <w:rPr>
                <w:rFonts w:hint="eastAsia" w:ascii="宋体" w:hAnsi="宋体" w:eastAsia="宋体"/>
                <w:color w:val="auto"/>
                <w:kern w:val="0"/>
                <w:szCs w:val="21"/>
                <w:highlight w:val="none"/>
              </w:rPr>
              <w:t>（</w:t>
            </w:r>
            <w:r>
              <w:rPr>
                <w:rFonts w:hint="eastAsia" w:ascii="黑体" w:hAnsi="黑体" w:eastAsia="黑体"/>
                <w:color w:val="auto"/>
                <w:kern w:val="0"/>
                <w:sz w:val="24"/>
                <w:highlight w:val="none"/>
              </w:rPr>
              <w:t>大写金额与小写金额不一致时，以大写金额为准</w:t>
            </w:r>
            <w:r>
              <w:rPr>
                <w:rFonts w:hint="eastAsia" w:ascii="宋体" w:hAnsi="宋体" w:eastAsia="宋体"/>
                <w:color w:val="auto"/>
                <w:kern w:val="0"/>
                <w:szCs w:val="21"/>
                <w:highlight w:val="none"/>
              </w:rPr>
              <w:t>）</w:t>
            </w:r>
          </w:p>
        </w:tc>
        <w:tc>
          <w:tcPr>
            <w:tcW w:w="3119" w:type="dxa"/>
            <w:noWrap w:val="0"/>
            <w:vAlign w:val="center"/>
          </w:tcPr>
          <w:p w14:paraId="321938AB">
            <w:pPr>
              <w:adjustRightInd w:val="0"/>
              <w:snapToGrid w:val="0"/>
              <w:spacing w:line="360" w:lineRule="auto"/>
              <w:jc w:val="center"/>
              <w:rPr>
                <w:rFonts w:ascii="宋体" w:hAnsi="宋体" w:eastAsia="宋体"/>
                <w:color w:val="auto"/>
                <w:kern w:val="0"/>
                <w:szCs w:val="21"/>
                <w:highlight w:val="none"/>
              </w:rPr>
            </w:pPr>
          </w:p>
        </w:tc>
      </w:tr>
    </w:tbl>
    <w:p w14:paraId="7A001FAE">
      <w:pPr>
        <w:adjustRightInd w:val="0"/>
        <w:snapToGrid w:val="0"/>
        <w:spacing w:line="360" w:lineRule="auto"/>
        <w:rPr>
          <w:rFonts w:ascii="宋体" w:hAnsi="宋体" w:eastAsia="宋体"/>
          <w:color w:val="auto"/>
          <w:szCs w:val="21"/>
          <w:highlight w:val="none"/>
        </w:rPr>
      </w:pPr>
      <w:r>
        <w:rPr>
          <w:rFonts w:hint="eastAsia" w:ascii="宋体" w:hAnsi="宋体" w:eastAsia="宋体"/>
          <w:b w:val="0"/>
          <w:bCs/>
          <w:color w:val="auto"/>
          <w:szCs w:val="21"/>
          <w:highlight w:val="none"/>
        </w:rPr>
        <w:t>注：</w:t>
      </w:r>
      <w:r>
        <w:rPr>
          <w:rFonts w:hint="eastAsia" w:ascii="宋体" w:hAnsi="宋体"/>
          <w:color w:val="auto"/>
          <w:szCs w:val="21"/>
          <w:highlight w:val="none"/>
          <w:lang w:val="en-US" w:eastAsia="zh-CN"/>
        </w:rPr>
        <w:t>1.</w:t>
      </w:r>
      <w:r>
        <w:rPr>
          <w:rFonts w:hint="eastAsia" w:ascii="宋体" w:hAnsi="宋体" w:eastAsia="宋体"/>
          <w:color w:val="auto"/>
          <w:szCs w:val="21"/>
          <w:highlight w:val="none"/>
        </w:rPr>
        <w:t>本表须按包填写，一个“包号”一份。</w:t>
      </w:r>
    </w:p>
    <w:p w14:paraId="313A9293">
      <w:pPr>
        <w:adjustRightInd w:val="0"/>
        <w:snapToGrid w:val="0"/>
        <w:spacing w:line="360" w:lineRule="auto"/>
        <w:ind w:firstLine="420" w:firstLineChars="200"/>
        <w:rPr>
          <w:rFonts w:ascii="宋体" w:hAnsi="宋体" w:eastAsia="宋体"/>
          <w:color w:val="auto"/>
          <w:szCs w:val="21"/>
          <w:highlight w:val="none"/>
        </w:rPr>
      </w:pPr>
      <w:r>
        <w:rPr>
          <w:rFonts w:hint="eastAsia" w:ascii="宋体" w:hAnsi="宋体"/>
          <w:color w:val="auto"/>
          <w:szCs w:val="21"/>
          <w:highlight w:val="none"/>
          <w:lang w:val="en-US" w:eastAsia="zh-CN"/>
        </w:rPr>
        <w:t>2.</w:t>
      </w:r>
      <w:r>
        <w:rPr>
          <w:rFonts w:hint="eastAsia" w:ascii="宋体" w:hAnsi="宋体" w:eastAsia="宋体"/>
          <w:color w:val="auto"/>
          <w:highlight w:val="none"/>
        </w:rPr>
        <w:t>投标人对采购项目内容只允许有一个投标报价，否则其</w:t>
      </w:r>
      <w:r>
        <w:rPr>
          <w:rFonts w:hint="eastAsia" w:ascii="宋体" w:hAnsi="宋体" w:eastAsia="宋体"/>
          <w:b/>
          <w:color w:val="auto"/>
          <w:highlight w:val="none"/>
        </w:rPr>
        <w:t>投标无效</w:t>
      </w:r>
      <w:r>
        <w:rPr>
          <w:rFonts w:hint="eastAsia" w:ascii="宋体" w:hAnsi="宋体" w:eastAsia="宋体"/>
          <w:color w:val="auto"/>
          <w:szCs w:val="21"/>
          <w:highlight w:val="none"/>
        </w:rPr>
        <w:t>。</w:t>
      </w:r>
    </w:p>
    <w:p w14:paraId="44481FC5">
      <w:pPr>
        <w:adjustRightInd w:val="0"/>
        <w:snapToGrid w:val="0"/>
        <w:spacing w:line="360" w:lineRule="auto"/>
        <w:ind w:firstLine="420" w:firstLineChars="200"/>
        <w:jc w:val="left"/>
        <w:rPr>
          <w:rFonts w:ascii="宋体" w:hAnsi="宋体" w:eastAsia="宋体"/>
          <w:color w:val="auto"/>
          <w:highlight w:val="none"/>
        </w:rPr>
      </w:pPr>
      <w:r>
        <w:rPr>
          <w:rFonts w:hint="eastAsia" w:ascii="宋体" w:hAnsi="宋体"/>
          <w:color w:val="auto"/>
          <w:szCs w:val="21"/>
          <w:highlight w:val="none"/>
          <w:lang w:val="en-US" w:eastAsia="zh-CN"/>
        </w:rPr>
        <w:t>3.</w:t>
      </w:r>
      <w:r>
        <w:rPr>
          <w:rFonts w:hint="eastAsia" w:ascii="宋体" w:hAnsi="宋体" w:eastAsia="宋体"/>
          <w:color w:val="auto"/>
          <w:highlight w:val="none"/>
        </w:rPr>
        <w:t>投标人在投标截止时间前修改“开标一览表”中的投标报价的，应同时修改投标文件“分项报价明细表”“享受政府采购政策优惠的证明资料”以及“联合体协议书”（如果影响）等相关内容。</w:t>
      </w:r>
    </w:p>
    <w:p w14:paraId="1F98E893">
      <w:pPr>
        <w:adjustRightInd w:val="0"/>
        <w:snapToGrid w:val="0"/>
        <w:spacing w:line="360" w:lineRule="auto"/>
        <w:ind w:firstLine="420" w:firstLineChars="200"/>
        <w:rPr>
          <w:rFonts w:ascii="宋体" w:hAnsi="宋体" w:eastAsia="宋体"/>
          <w:color w:val="auto"/>
          <w:szCs w:val="21"/>
          <w:highlight w:val="none"/>
        </w:rPr>
      </w:pPr>
    </w:p>
    <w:p w14:paraId="523DF3D2">
      <w:pPr>
        <w:adjustRightInd w:val="0"/>
        <w:snapToGrid w:val="0"/>
        <w:spacing w:line="360" w:lineRule="auto"/>
        <w:ind w:firstLine="420" w:firstLineChars="200"/>
        <w:rPr>
          <w:rFonts w:ascii="宋体" w:hAnsi="宋体" w:eastAsia="宋体"/>
          <w:color w:val="auto"/>
          <w:szCs w:val="21"/>
          <w:highlight w:val="none"/>
        </w:rPr>
      </w:pPr>
    </w:p>
    <w:p w14:paraId="1EC8F64E">
      <w:pPr>
        <w:adjustRightInd w:val="0"/>
        <w:snapToGrid w:val="0"/>
        <w:spacing w:line="360" w:lineRule="auto"/>
        <w:rPr>
          <w:rFonts w:ascii="宋体" w:hAnsi="宋体" w:eastAsia="宋体"/>
          <w:color w:val="auto"/>
          <w:szCs w:val="21"/>
          <w:highlight w:val="none"/>
        </w:rPr>
      </w:pPr>
    </w:p>
    <w:p w14:paraId="0480AA20">
      <w:pPr>
        <w:adjustRightInd w:val="0"/>
        <w:snapToGrid w:val="0"/>
        <w:spacing w:line="360" w:lineRule="auto"/>
        <w:rPr>
          <w:rFonts w:ascii="宋体" w:hAnsi="宋体" w:eastAsia="宋体"/>
          <w:color w:val="auto"/>
          <w:szCs w:val="21"/>
          <w:highlight w:val="none"/>
        </w:rPr>
      </w:pPr>
      <w:r>
        <w:rPr>
          <w:rFonts w:hint="eastAsia" w:ascii="宋体" w:hAnsi="宋体" w:eastAsia="宋体"/>
          <w:color w:val="auto"/>
          <w:szCs w:val="21"/>
          <w:highlight w:val="none"/>
        </w:rPr>
        <w:t>投标人名称（盖单位章）：</w:t>
      </w:r>
    </w:p>
    <w:p w14:paraId="1A23EA49">
      <w:pPr>
        <w:adjustRightInd w:val="0"/>
        <w:snapToGrid w:val="0"/>
        <w:spacing w:line="360" w:lineRule="auto"/>
        <w:rPr>
          <w:rFonts w:ascii="宋体" w:hAnsi="宋体" w:eastAsia="宋体"/>
          <w:color w:val="auto"/>
          <w:szCs w:val="21"/>
          <w:highlight w:val="none"/>
        </w:rPr>
      </w:pPr>
      <w:r>
        <w:rPr>
          <w:rFonts w:hint="eastAsia" w:ascii="宋体" w:hAnsi="宋体" w:eastAsia="宋体" w:cs="微软雅黑"/>
          <w:color w:val="auto"/>
          <w:spacing w:val="-2"/>
          <w:kern w:val="0"/>
          <w:szCs w:val="21"/>
          <w:highlight w:val="none"/>
        </w:rPr>
        <w:t>法</w:t>
      </w:r>
      <w:r>
        <w:rPr>
          <w:rFonts w:hint="eastAsia" w:ascii="宋体" w:hAnsi="宋体" w:eastAsia="宋体" w:cs="微软雅黑"/>
          <w:color w:val="auto"/>
          <w:kern w:val="0"/>
          <w:szCs w:val="21"/>
          <w:highlight w:val="none"/>
        </w:rPr>
        <w:t>定</w:t>
      </w:r>
      <w:r>
        <w:rPr>
          <w:rFonts w:hint="eastAsia" w:ascii="宋体" w:hAnsi="宋体" w:eastAsia="宋体" w:cs="微软雅黑"/>
          <w:color w:val="auto"/>
          <w:spacing w:val="-2"/>
          <w:kern w:val="0"/>
          <w:szCs w:val="21"/>
          <w:highlight w:val="none"/>
        </w:rPr>
        <w:t>代</w:t>
      </w:r>
      <w:r>
        <w:rPr>
          <w:rFonts w:hint="eastAsia" w:ascii="宋体" w:hAnsi="宋体" w:eastAsia="宋体" w:cs="微软雅黑"/>
          <w:color w:val="auto"/>
          <w:kern w:val="0"/>
          <w:szCs w:val="21"/>
          <w:highlight w:val="none"/>
        </w:rPr>
        <w:t>表</w:t>
      </w:r>
      <w:r>
        <w:rPr>
          <w:rFonts w:hint="eastAsia" w:ascii="宋体" w:hAnsi="宋体" w:eastAsia="宋体" w:cs="微软雅黑"/>
          <w:color w:val="auto"/>
          <w:spacing w:val="-2"/>
          <w:kern w:val="0"/>
          <w:szCs w:val="21"/>
          <w:highlight w:val="none"/>
        </w:rPr>
        <w:t>人</w:t>
      </w:r>
      <w:r>
        <w:rPr>
          <w:rFonts w:hint="eastAsia" w:ascii="宋体" w:hAnsi="宋体" w:eastAsia="宋体" w:cs="微软雅黑"/>
          <w:color w:val="auto"/>
          <w:kern w:val="0"/>
          <w:szCs w:val="21"/>
          <w:highlight w:val="none"/>
        </w:rPr>
        <w:t>（</w:t>
      </w:r>
      <w:r>
        <w:rPr>
          <w:rFonts w:hint="eastAsia" w:ascii="宋体" w:hAnsi="宋体" w:eastAsia="宋体" w:cs="微软雅黑"/>
          <w:color w:val="auto"/>
          <w:spacing w:val="-2"/>
          <w:kern w:val="0"/>
          <w:szCs w:val="21"/>
          <w:highlight w:val="none"/>
        </w:rPr>
        <w:t>单</w:t>
      </w:r>
      <w:r>
        <w:rPr>
          <w:rFonts w:hint="eastAsia" w:ascii="宋体" w:hAnsi="宋体" w:eastAsia="宋体" w:cs="微软雅黑"/>
          <w:color w:val="auto"/>
          <w:kern w:val="0"/>
          <w:szCs w:val="21"/>
          <w:highlight w:val="none"/>
        </w:rPr>
        <w:t>位</w:t>
      </w:r>
      <w:r>
        <w:rPr>
          <w:rFonts w:hint="eastAsia" w:ascii="宋体" w:hAnsi="宋体" w:eastAsia="宋体" w:cs="微软雅黑"/>
          <w:color w:val="auto"/>
          <w:spacing w:val="-2"/>
          <w:kern w:val="0"/>
          <w:szCs w:val="21"/>
          <w:highlight w:val="none"/>
        </w:rPr>
        <w:t>负</w:t>
      </w:r>
      <w:r>
        <w:rPr>
          <w:rFonts w:hint="eastAsia" w:ascii="宋体" w:hAnsi="宋体" w:eastAsia="宋体" w:cs="微软雅黑"/>
          <w:color w:val="auto"/>
          <w:kern w:val="0"/>
          <w:szCs w:val="21"/>
          <w:highlight w:val="none"/>
        </w:rPr>
        <w:t>责人</w:t>
      </w:r>
      <w:r>
        <w:rPr>
          <w:rFonts w:hint="eastAsia" w:ascii="宋体" w:hAnsi="宋体" w:eastAsia="宋体" w:cs="微软雅黑"/>
          <w:color w:val="auto"/>
          <w:spacing w:val="-2"/>
          <w:kern w:val="0"/>
          <w:szCs w:val="21"/>
          <w:highlight w:val="none"/>
        </w:rPr>
        <w:t>）</w:t>
      </w:r>
      <w:r>
        <w:rPr>
          <w:rFonts w:hint="eastAsia" w:ascii="宋体" w:hAnsi="宋体" w:eastAsia="宋体"/>
          <w:color w:val="auto"/>
          <w:szCs w:val="21"/>
          <w:highlight w:val="none"/>
        </w:rPr>
        <w:t>或其授权的代理人（签字或印章）：</w:t>
      </w:r>
      <w:r>
        <w:rPr>
          <w:rFonts w:hint="eastAsia" w:ascii="宋体" w:hAnsi="宋体" w:eastAsia="宋体"/>
          <w:color w:val="auto"/>
          <w:szCs w:val="21"/>
          <w:highlight w:val="none"/>
          <w:u w:val="single"/>
        </w:rPr>
        <w:t xml:space="preserve">                </w:t>
      </w:r>
      <w:r>
        <w:rPr>
          <w:rFonts w:hint="eastAsia" w:ascii="宋体" w:hAnsi="宋体" w:eastAsia="宋体"/>
          <w:color w:val="auto"/>
          <w:szCs w:val="21"/>
          <w:highlight w:val="none"/>
        </w:rPr>
        <w:t>_</w:t>
      </w:r>
    </w:p>
    <w:p w14:paraId="1AC657C8">
      <w:pPr>
        <w:adjustRightInd w:val="0"/>
        <w:snapToGrid w:val="0"/>
        <w:spacing w:line="360" w:lineRule="auto"/>
        <w:rPr>
          <w:rFonts w:ascii="宋体" w:hAnsi="宋体" w:eastAsia="宋体"/>
          <w:color w:val="auto"/>
          <w:szCs w:val="21"/>
          <w:highlight w:val="none"/>
        </w:rPr>
      </w:pPr>
      <w:r>
        <w:rPr>
          <w:rFonts w:hint="eastAsia" w:ascii="宋体" w:hAnsi="宋体" w:eastAsia="宋体"/>
          <w:color w:val="auto"/>
          <w:szCs w:val="21"/>
          <w:highlight w:val="none"/>
        </w:rPr>
        <w:t>日期：</w:t>
      </w:r>
      <w:r>
        <w:rPr>
          <w:rFonts w:hint="eastAsia" w:ascii="宋体" w:hAnsi="宋体" w:eastAsia="宋体"/>
          <w:color w:val="auto"/>
          <w:szCs w:val="21"/>
          <w:highlight w:val="none"/>
          <w:u w:val="single"/>
        </w:rPr>
        <w:t xml:space="preserve">          </w:t>
      </w:r>
      <w:r>
        <w:rPr>
          <w:rFonts w:hint="eastAsia" w:ascii="宋体" w:hAnsi="宋体" w:eastAsia="宋体"/>
          <w:color w:val="auto"/>
          <w:szCs w:val="21"/>
          <w:highlight w:val="none"/>
        </w:rPr>
        <w:t>年</w:t>
      </w:r>
      <w:r>
        <w:rPr>
          <w:rFonts w:hint="eastAsia" w:ascii="宋体" w:hAnsi="宋体" w:eastAsia="宋体"/>
          <w:color w:val="auto"/>
          <w:szCs w:val="21"/>
          <w:highlight w:val="none"/>
          <w:u w:val="single"/>
        </w:rPr>
        <w:t xml:space="preserve">        </w:t>
      </w:r>
      <w:r>
        <w:rPr>
          <w:rFonts w:hint="eastAsia" w:ascii="宋体" w:hAnsi="宋体" w:eastAsia="宋体"/>
          <w:color w:val="auto"/>
          <w:szCs w:val="21"/>
          <w:highlight w:val="none"/>
        </w:rPr>
        <w:t>月</w:t>
      </w:r>
      <w:r>
        <w:rPr>
          <w:rFonts w:hint="eastAsia" w:ascii="宋体" w:hAnsi="宋体" w:eastAsia="宋体"/>
          <w:color w:val="auto"/>
          <w:szCs w:val="21"/>
          <w:highlight w:val="none"/>
          <w:u w:val="single"/>
        </w:rPr>
        <w:t xml:space="preserve">     </w:t>
      </w:r>
      <w:r>
        <w:rPr>
          <w:rFonts w:hint="eastAsia" w:ascii="宋体" w:hAnsi="宋体" w:eastAsia="宋体"/>
          <w:color w:val="auto"/>
          <w:szCs w:val="21"/>
          <w:highlight w:val="none"/>
        </w:rPr>
        <w:t>日</w:t>
      </w:r>
    </w:p>
    <w:p w14:paraId="76903A16">
      <w:pPr>
        <w:widowControl/>
        <w:jc w:val="left"/>
        <w:rPr>
          <w:rFonts w:ascii="宋体" w:hAnsi="宋体" w:eastAsia="宋体"/>
          <w:color w:val="auto"/>
          <w:sz w:val="10"/>
          <w:szCs w:val="10"/>
          <w:highlight w:val="none"/>
        </w:rPr>
      </w:pPr>
      <w:r>
        <w:rPr>
          <w:rFonts w:ascii="宋体" w:hAnsi="宋体" w:eastAsia="宋体"/>
          <w:color w:val="auto"/>
          <w:szCs w:val="21"/>
          <w:highlight w:val="none"/>
        </w:rPr>
        <w:br w:type="page"/>
      </w:r>
    </w:p>
    <w:p w14:paraId="4C1459FF">
      <w:pPr>
        <w:pStyle w:val="4"/>
        <w:adjustRightInd w:val="0"/>
        <w:snapToGrid w:val="0"/>
        <w:spacing w:before="0" w:after="0" w:line="360" w:lineRule="auto"/>
        <w:jc w:val="center"/>
        <w:rPr>
          <w:rFonts w:ascii="宋体" w:hAnsi="宋体" w:eastAsia="宋体"/>
          <w:color w:val="auto"/>
          <w:szCs w:val="21"/>
          <w:highlight w:val="none"/>
        </w:rPr>
      </w:pPr>
      <w:bookmarkStart w:id="115" w:name="_Toc31825"/>
      <w:r>
        <w:rPr>
          <w:rFonts w:hint="eastAsia" w:ascii="黑体" w:hAnsi="宋体" w:eastAsia="黑体"/>
          <w:color w:val="auto"/>
          <w:sz w:val="28"/>
          <w:szCs w:val="28"/>
          <w:highlight w:val="none"/>
        </w:rPr>
        <w:t>二、投标保证金</w:t>
      </w:r>
      <w:bookmarkEnd w:id="115"/>
    </w:p>
    <w:p w14:paraId="6007940C">
      <w:pPr>
        <w:keepNext w:val="0"/>
        <w:keepLines w:val="0"/>
        <w:pageBreakBefore w:val="0"/>
        <w:widowControl w:val="0"/>
        <w:kinsoku/>
        <w:wordWrap/>
        <w:overflowPunct/>
        <w:topLinePunct w:val="0"/>
        <w:autoSpaceDE/>
        <w:autoSpaceDN/>
        <w:bidi w:val="0"/>
        <w:adjustRightInd/>
        <w:snapToGrid/>
        <w:spacing w:before="0" w:beforeAutospacing="0" w:after="156" w:afterAutospacing="0" w:line="370" w:lineRule="exact"/>
        <w:ind w:firstLine="420" w:firstLineChars="200"/>
        <w:jc w:val="both"/>
        <w:textAlignment w:val="baseline"/>
        <w:rPr>
          <w:rFonts w:hint="eastAsia" w:ascii="宋体" w:hAnsi="宋体" w:eastAsia="宋体" w:cs="宋体"/>
          <w:b w:val="0"/>
          <w:bCs/>
          <w:i w:val="0"/>
          <w:caps w:val="0"/>
          <w:color w:val="auto"/>
          <w:spacing w:val="0"/>
          <w:w w:val="100"/>
          <w:kern w:val="2"/>
          <w:sz w:val="21"/>
          <w:szCs w:val="24"/>
          <w:highlight w:val="none"/>
          <w:lang w:val="en-US" w:eastAsia="zh-CN" w:bidi="ar-SA"/>
        </w:rPr>
      </w:pPr>
      <w:r>
        <w:rPr>
          <w:rFonts w:hint="eastAsia" w:ascii="宋体" w:hAnsi="宋体" w:eastAsia="宋体" w:cs="宋体"/>
          <w:b w:val="0"/>
          <w:bCs/>
          <w:i w:val="0"/>
          <w:caps w:val="0"/>
          <w:color w:val="auto"/>
          <w:spacing w:val="0"/>
          <w:w w:val="100"/>
          <w:kern w:val="2"/>
          <w:sz w:val="21"/>
          <w:szCs w:val="24"/>
          <w:highlight w:val="none"/>
          <w:lang w:val="en-US" w:eastAsia="zh-CN" w:bidi="ar-SA"/>
        </w:rPr>
        <w:t>1、投标保证金缴纳支持以下形式（打“√”项为本项目支持形式）</w:t>
      </w:r>
    </w:p>
    <w:p w14:paraId="7803EDBC">
      <w:pPr>
        <w:keepNext w:val="0"/>
        <w:keepLines w:val="0"/>
        <w:pageBreakBefore w:val="0"/>
        <w:widowControl w:val="0"/>
        <w:kinsoku/>
        <w:wordWrap/>
        <w:overflowPunct/>
        <w:topLinePunct w:val="0"/>
        <w:autoSpaceDE/>
        <w:autoSpaceDN/>
        <w:bidi w:val="0"/>
        <w:adjustRightInd/>
        <w:snapToGrid/>
        <w:spacing w:before="0" w:beforeAutospacing="0" w:after="156" w:afterAutospacing="0" w:line="370" w:lineRule="exact"/>
        <w:ind w:firstLine="420" w:firstLineChars="200"/>
        <w:jc w:val="both"/>
        <w:textAlignment w:val="baseline"/>
        <w:rPr>
          <w:rFonts w:hint="eastAsia" w:ascii="宋体" w:hAnsi="宋体" w:eastAsia="宋体" w:cs="宋体"/>
          <w:b w:val="0"/>
          <w:bCs/>
          <w:i w:val="0"/>
          <w:caps w:val="0"/>
          <w:color w:val="auto"/>
          <w:spacing w:val="0"/>
          <w:w w:val="100"/>
          <w:kern w:val="2"/>
          <w:sz w:val="21"/>
          <w:szCs w:val="24"/>
          <w:highlight w:val="none"/>
          <w:lang w:val="en-US" w:eastAsia="zh-CN" w:bidi="ar-SA"/>
        </w:rPr>
      </w:pPr>
      <w:r>
        <w:rPr>
          <w:rFonts w:hint="eastAsia" w:ascii="宋体" w:hAnsi="宋体" w:eastAsia="宋体" w:cs="宋体"/>
          <w:b w:val="0"/>
          <w:bCs/>
          <w:i w:val="0"/>
          <w:caps w:val="0"/>
          <w:color w:val="auto"/>
          <w:spacing w:val="0"/>
          <w:w w:val="100"/>
          <w:kern w:val="2"/>
          <w:sz w:val="21"/>
          <w:szCs w:val="24"/>
          <w:highlight w:val="none"/>
          <w:lang w:val="en-US" w:eastAsia="zh-CN" w:bidi="ar-SA"/>
        </w:rPr>
        <w:t>☑电子保函    ☑转账     □纸质保函    □其他</w:t>
      </w:r>
    </w:p>
    <w:p w14:paraId="7D655868">
      <w:pPr>
        <w:keepNext w:val="0"/>
        <w:keepLines w:val="0"/>
        <w:pageBreakBefore w:val="0"/>
        <w:widowControl w:val="0"/>
        <w:kinsoku/>
        <w:wordWrap/>
        <w:overflowPunct/>
        <w:topLinePunct w:val="0"/>
        <w:autoSpaceDE/>
        <w:autoSpaceDN/>
        <w:bidi w:val="0"/>
        <w:adjustRightInd/>
        <w:snapToGrid/>
        <w:spacing w:before="0" w:beforeAutospacing="0" w:after="156" w:afterAutospacing="0" w:line="370" w:lineRule="exact"/>
        <w:ind w:firstLine="422" w:firstLineChars="200"/>
        <w:jc w:val="both"/>
        <w:textAlignment w:val="baseline"/>
        <w:rPr>
          <w:rFonts w:hint="eastAsia" w:ascii="宋体" w:hAnsi="宋体" w:eastAsia="宋体" w:cs="宋体"/>
          <w:b w:val="0"/>
          <w:bCs/>
          <w:i w:val="0"/>
          <w:caps w:val="0"/>
          <w:color w:val="auto"/>
          <w:spacing w:val="0"/>
          <w:w w:val="100"/>
          <w:kern w:val="2"/>
          <w:sz w:val="21"/>
          <w:szCs w:val="24"/>
          <w:highlight w:val="none"/>
          <w:lang w:val="en-US" w:eastAsia="zh-CN" w:bidi="ar-SA"/>
        </w:rPr>
      </w:pPr>
      <w:r>
        <w:rPr>
          <w:rFonts w:hint="eastAsia" w:ascii="宋体" w:hAnsi="宋体" w:eastAsia="宋体" w:cs="宋体"/>
          <w:b/>
          <w:i w:val="0"/>
          <w:caps w:val="0"/>
          <w:color w:val="auto"/>
          <w:spacing w:val="0"/>
          <w:w w:val="100"/>
          <w:kern w:val="2"/>
          <w:sz w:val="21"/>
          <w:szCs w:val="24"/>
          <w:highlight w:val="none"/>
          <w:lang w:val="en-US" w:eastAsia="zh-CN" w:bidi="ar-SA"/>
        </w:rPr>
        <w:t>电子保函方式：</w:t>
      </w:r>
      <w:r>
        <w:rPr>
          <w:rFonts w:hint="eastAsia" w:ascii="宋体" w:hAnsi="宋体" w:eastAsia="宋体" w:cs="宋体"/>
          <w:b w:val="0"/>
          <w:bCs/>
          <w:i w:val="0"/>
          <w:caps w:val="0"/>
          <w:color w:val="auto"/>
          <w:spacing w:val="0"/>
          <w:w w:val="100"/>
          <w:kern w:val="2"/>
          <w:sz w:val="21"/>
          <w:szCs w:val="24"/>
          <w:highlight w:val="none"/>
          <w:lang w:val="en-US" w:eastAsia="zh-CN" w:bidi="ar-SA"/>
        </w:rPr>
        <w:t>包括银行电子保函、电子担保保函、投标保证保险。电子保函办理网址为：https://dzbh.zhzhuzhou.cn:28080/，可从株洲市公共资源交易中心电子交易平台（交易系统）跳转。</w:t>
      </w:r>
    </w:p>
    <w:p w14:paraId="171F5055">
      <w:pPr>
        <w:keepNext w:val="0"/>
        <w:keepLines w:val="0"/>
        <w:pageBreakBefore w:val="0"/>
        <w:widowControl w:val="0"/>
        <w:kinsoku/>
        <w:wordWrap/>
        <w:overflowPunct/>
        <w:topLinePunct w:val="0"/>
        <w:autoSpaceDE/>
        <w:autoSpaceDN/>
        <w:bidi w:val="0"/>
        <w:adjustRightInd/>
        <w:snapToGrid/>
        <w:spacing w:before="0" w:beforeAutospacing="0" w:after="156" w:afterAutospacing="0" w:line="370" w:lineRule="exact"/>
        <w:ind w:firstLine="422" w:firstLineChars="200"/>
        <w:jc w:val="both"/>
        <w:textAlignment w:val="baseline"/>
        <w:rPr>
          <w:rFonts w:hint="eastAsia" w:ascii="宋体" w:hAnsi="宋体" w:eastAsia="宋体" w:cs="宋体"/>
          <w:b w:val="0"/>
          <w:bCs/>
          <w:i w:val="0"/>
          <w:caps w:val="0"/>
          <w:color w:val="auto"/>
          <w:spacing w:val="0"/>
          <w:w w:val="100"/>
          <w:kern w:val="2"/>
          <w:sz w:val="21"/>
          <w:szCs w:val="24"/>
          <w:highlight w:val="none"/>
          <w:lang w:val="en-US" w:eastAsia="zh-CN" w:bidi="ar-SA"/>
        </w:rPr>
      </w:pPr>
      <w:r>
        <w:rPr>
          <w:rFonts w:hint="eastAsia" w:ascii="宋体" w:hAnsi="宋体" w:eastAsia="宋体" w:cs="宋体"/>
          <w:b/>
          <w:i w:val="0"/>
          <w:caps w:val="0"/>
          <w:color w:val="auto"/>
          <w:spacing w:val="0"/>
          <w:w w:val="100"/>
          <w:kern w:val="2"/>
          <w:sz w:val="21"/>
          <w:szCs w:val="24"/>
          <w:highlight w:val="none"/>
          <w:lang w:val="en-US" w:eastAsia="zh-CN" w:bidi="ar-SA"/>
        </w:rPr>
        <w:t>转账递交方式：</w:t>
      </w:r>
      <w:r>
        <w:rPr>
          <w:rFonts w:hint="eastAsia" w:ascii="宋体" w:hAnsi="宋体" w:eastAsia="宋体" w:cs="宋体"/>
          <w:b w:val="0"/>
          <w:bCs/>
          <w:i w:val="0"/>
          <w:caps w:val="0"/>
          <w:color w:val="auto"/>
          <w:spacing w:val="0"/>
          <w:w w:val="100"/>
          <w:kern w:val="2"/>
          <w:sz w:val="21"/>
          <w:szCs w:val="24"/>
          <w:highlight w:val="none"/>
          <w:lang w:val="en-US" w:eastAsia="zh-CN" w:bidi="ar-SA"/>
        </w:rPr>
        <w:t>投标保证金必须是从投标人单位</w:t>
      </w:r>
      <w:r>
        <w:rPr>
          <w:rFonts w:hint="eastAsia" w:ascii="宋体" w:hAnsi="宋体" w:eastAsia="宋体" w:cs="宋体"/>
          <w:b/>
          <w:i w:val="0"/>
          <w:caps w:val="0"/>
          <w:color w:val="auto"/>
          <w:spacing w:val="0"/>
          <w:w w:val="100"/>
          <w:kern w:val="2"/>
          <w:sz w:val="21"/>
          <w:szCs w:val="24"/>
          <w:highlight w:val="none"/>
          <w:lang w:val="en-US" w:eastAsia="zh-CN" w:bidi="ar-SA"/>
        </w:rPr>
        <w:t>基本账户</w:t>
      </w:r>
      <w:r>
        <w:rPr>
          <w:rFonts w:hint="eastAsia" w:ascii="宋体" w:hAnsi="宋体" w:eastAsia="宋体" w:cs="宋体"/>
          <w:b w:val="0"/>
          <w:bCs/>
          <w:i w:val="0"/>
          <w:caps w:val="0"/>
          <w:color w:val="auto"/>
          <w:spacing w:val="0"/>
          <w:w w:val="100"/>
          <w:kern w:val="2"/>
          <w:sz w:val="21"/>
          <w:szCs w:val="24"/>
          <w:highlight w:val="none"/>
          <w:lang w:val="en-US" w:eastAsia="zh-CN" w:bidi="ar-SA"/>
        </w:rPr>
        <w:t>转（汇）入投标保证金的托管账户管理，以现金方式和非投标人单位账户提交的投标保证金无效；投标保证金托管账户详见投标须知前附表。</w:t>
      </w:r>
    </w:p>
    <w:p w14:paraId="3FCF4938">
      <w:pPr>
        <w:keepNext w:val="0"/>
        <w:keepLines w:val="0"/>
        <w:pageBreakBefore w:val="0"/>
        <w:widowControl w:val="0"/>
        <w:kinsoku/>
        <w:wordWrap/>
        <w:overflowPunct/>
        <w:topLinePunct w:val="0"/>
        <w:autoSpaceDE/>
        <w:autoSpaceDN/>
        <w:bidi w:val="0"/>
        <w:adjustRightInd/>
        <w:snapToGrid/>
        <w:spacing w:before="0" w:beforeAutospacing="0" w:after="156" w:afterAutospacing="0" w:line="370" w:lineRule="exact"/>
        <w:ind w:firstLine="420" w:firstLineChars="200"/>
        <w:jc w:val="both"/>
        <w:textAlignment w:val="baseline"/>
        <w:rPr>
          <w:rFonts w:hint="eastAsia" w:ascii="宋体" w:hAnsi="宋体" w:eastAsia="宋体" w:cs="宋体"/>
          <w:b w:val="0"/>
          <w:bCs/>
          <w:i w:val="0"/>
          <w:caps w:val="0"/>
          <w:color w:val="auto"/>
          <w:spacing w:val="0"/>
          <w:w w:val="100"/>
          <w:kern w:val="2"/>
          <w:sz w:val="21"/>
          <w:szCs w:val="24"/>
          <w:highlight w:val="none"/>
          <w:lang w:val="en-US" w:eastAsia="zh-CN" w:bidi="ar-SA"/>
        </w:rPr>
      </w:pPr>
      <w:r>
        <w:rPr>
          <w:rFonts w:hint="eastAsia" w:ascii="宋体" w:hAnsi="宋体" w:eastAsia="宋体" w:cs="宋体"/>
          <w:b w:val="0"/>
          <w:bCs/>
          <w:i w:val="0"/>
          <w:caps w:val="0"/>
          <w:color w:val="auto"/>
          <w:spacing w:val="0"/>
          <w:w w:val="100"/>
          <w:kern w:val="2"/>
          <w:sz w:val="21"/>
          <w:szCs w:val="24"/>
          <w:highlight w:val="none"/>
          <w:lang w:val="en-US" w:eastAsia="zh-CN" w:bidi="ar-SA"/>
        </w:rPr>
        <w:t>该账号仅为此项目的保证金托管账户，请勿与其它项目的账号混淆，发生串户则视为无效保证金。</w:t>
      </w:r>
    </w:p>
    <w:p w14:paraId="4A080A15">
      <w:pPr>
        <w:keepNext w:val="0"/>
        <w:keepLines w:val="0"/>
        <w:pageBreakBefore w:val="0"/>
        <w:widowControl w:val="0"/>
        <w:kinsoku/>
        <w:wordWrap/>
        <w:overflowPunct/>
        <w:topLinePunct w:val="0"/>
        <w:autoSpaceDE/>
        <w:autoSpaceDN/>
        <w:bidi w:val="0"/>
        <w:adjustRightInd/>
        <w:snapToGrid/>
        <w:spacing w:before="0" w:beforeAutospacing="0" w:after="156" w:afterAutospacing="0" w:line="370" w:lineRule="exact"/>
        <w:ind w:firstLine="420" w:firstLineChars="200"/>
        <w:jc w:val="both"/>
        <w:textAlignment w:val="baseline"/>
        <w:rPr>
          <w:rFonts w:hint="eastAsia" w:ascii="宋体" w:hAnsi="宋体" w:eastAsia="宋体" w:cs="宋体"/>
          <w:b w:val="0"/>
          <w:bCs/>
          <w:i w:val="0"/>
          <w:caps w:val="0"/>
          <w:color w:val="auto"/>
          <w:spacing w:val="0"/>
          <w:w w:val="100"/>
          <w:kern w:val="2"/>
          <w:sz w:val="21"/>
          <w:szCs w:val="24"/>
          <w:highlight w:val="none"/>
          <w:lang w:val="en-US" w:eastAsia="zh-CN" w:bidi="ar-SA"/>
        </w:rPr>
      </w:pPr>
      <w:r>
        <w:rPr>
          <w:rFonts w:hint="eastAsia" w:ascii="宋体" w:hAnsi="宋体" w:eastAsia="宋体" w:cs="宋体"/>
          <w:b w:val="0"/>
          <w:bCs/>
          <w:i w:val="0"/>
          <w:caps w:val="0"/>
          <w:color w:val="auto"/>
          <w:spacing w:val="0"/>
          <w:w w:val="100"/>
          <w:kern w:val="2"/>
          <w:sz w:val="21"/>
          <w:szCs w:val="24"/>
          <w:highlight w:val="none"/>
          <w:lang w:val="en-US" w:eastAsia="zh-CN" w:bidi="ar-SA"/>
        </w:rPr>
        <w:t>（1）在转账票据摘要处须注明：“</w:t>
      </w:r>
      <w:r>
        <w:rPr>
          <w:rFonts w:hint="eastAsia" w:ascii="宋体" w:hAnsi="宋体" w:eastAsia="宋体" w:cs="宋体"/>
          <w:b w:val="0"/>
          <w:bCs/>
          <w:i w:val="0"/>
          <w:caps w:val="0"/>
          <w:color w:val="auto"/>
          <w:spacing w:val="0"/>
          <w:w w:val="100"/>
          <w:kern w:val="2"/>
          <w:sz w:val="21"/>
          <w:szCs w:val="24"/>
          <w:highlight w:val="none"/>
          <w:u w:val="single" w:color="000000"/>
          <w:lang w:val="en-US" w:eastAsia="zh-CN" w:bidi="ar-SA"/>
        </w:rPr>
        <w:t xml:space="preserve">   （项目名称）   </w:t>
      </w:r>
      <w:r>
        <w:rPr>
          <w:rFonts w:hint="eastAsia" w:ascii="宋体" w:hAnsi="宋体" w:eastAsia="宋体" w:cs="宋体"/>
          <w:b w:val="0"/>
          <w:bCs/>
          <w:i w:val="0"/>
          <w:caps w:val="0"/>
          <w:color w:val="auto"/>
          <w:spacing w:val="0"/>
          <w:w w:val="100"/>
          <w:kern w:val="2"/>
          <w:sz w:val="21"/>
          <w:szCs w:val="24"/>
          <w:highlight w:val="none"/>
          <w:lang w:val="en-US" w:eastAsia="zh-CN" w:bidi="ar-SA"/>
        </w:rPr>
        <w:t>投标保证金”。（如“项目名称”字符过多，转账票据摘要处填写不下的，则“取‘项目名称’前面字符”填入。）</w:t>
      </w:r>
    </w:p>
    <w:p w14:paraId="153AED11">
      <w:pPr>
        <w:keepNext w:val="0"/>
        <w:keepLines w:val="0"/>
        <w:pageBreakBefore w:val="0"/>
        <w:widowControl w:val="0"/>
        <w:kinsoku/>
        <w:wordWrap/>
        <w:overflowPunct/>
        <w:topLinePunct w:val="0"/>
        <w:autoSpaceDE/>
        <w:autoSpaceDN/>
        <w:bidi w:val="0"/>
        <w:adjustRightInd/>
        <w:snapToGrid/>
        <w:spacing w:before="0" w:beforeAutospacing="0" w:after="156" w:afterAutospacing="0" w:line="370" w:lineRule="exact"/>
        <w:ind w:firstLine="420" w:firstLineChars="200"/>
        <w:jc w:val="both"/>
        <w:textAlignment w:val="baseline"/>
        <w:rPr>
          <w:rFonts w:hint="eastAsia" w:ascii="宋体" w:hAnsi="宋体" w:eastAsia="宋体" w:cs="宋体"/>
          <w:b w:val="0"/>
          <w:bCs/>
          <w:i w:val="0"/>
          <w:caps w:val="0"/>
          <w:color w:val="auto"/>
          <w:spacing w:val="0"/>
          <w:w w:val="100"/>
          <w:kern w:val="2"/>
          <w:sz w:val="21"/>
          <w:szCs w:val="24"/>
          <w:highlight w:val="none"/>
          <w:lang w:val="en-US" w:eastAsia="zh-CN" w:bidi="ar-SA"/>
        </w:rPr>
      </w:pPr>
      <w:r>
        <w:rPr>
          <w:rFonts w:hint="eastAsia" w:ascii="宋体" w:hAnsi="宋体" w:eastAsia="宋体" w:cs="宋体"/>
          <w:b w:val="0"/>
          <w:bCs/>
          <w:i w:val="0"/>
          <w:caps w:val="0"/>
          <w:color w:val="auto"/>
          <w:spacing w:val="0"/>
          <w:w w:val="100"/>
          <w:kern w:val="2"/>
          <w:sz w:val="21"/>
          <w:szCs w:val="24"/>
          <w:highlight w:val="none"/>
          <w:lang w:val="en-US" w:eastAsia="zh-CN" w:bidi="ar-SA"/>
        </w:rPr>
        <w:t>（2）投标保证金到账截止时间为投标截止时间。（为确保投标保证金按时到账，建议投标人于开标日前一个工作日下午3：00前提交，并注意交纳保证金的银行账号中含有“-”号。）</w:t>
      </w:r>
    </w:p>
    <w:p w14:paraId="3FDD2A58">
      <w:pPr>
        <w:keepNext w:val="0"/>
        <w:keepLines w:val="0"/>
        <w:pageBreakBefore w:val="0"/>
        <w:widowControl w:val="0"/>
        <w:kinsoku/>
        <w:wordWrap/>
        <w:overflowPunct/>
        <w:topLinePunct w:val="0"/>
        <w:autoSpaceDE/>
        <w:autoSpaceDN/>
        <w:bidi w:val="0"/>
        <w:adjustRightInd/>
        <w:snapToGrid/>
        <w:spacing w:before="0" w:beforeAutospacing="0" w:after="156" w:afterAutospacing="0" w:line="370" w:lineRule="exact"/>
        <w:ind w:firstLine="420" w:firstLineChars="200"/>
        <w:jc w:val="both"/>
        <w:textAlignment w:val="baseline"/>
        <w:rPr>
          <w:rFonts w:hint="eastAsia" w:ascii="宋体" w:hAnsi="宋体" w:eastAsia="宋体" w:cs="宋体"/>
          <w:b w:val="0"/>
          <w:bCs/>
          <w:i w:val="0"/>
          <w:caps w:val="0"/>
          <w:color w:val="auto"/>
          <w:spacing w:val="0"/>
          <w:w w:val="100"/>
          <w:kern w:val="2"/>
          <w:sz w:val="21"/>
          <w:szCs w:val="24"/>
          <w:highlight w:val="none"/>
          <w:lang w:val="en-US" w:eastAsia="zh-CN" w:bidi="ar-SA"/>
        </w:rPr>
      </w:pPr>
      <w:r>
        <w:rPr>
          <w:rFonts w:hint="eastAsia" w:ascii="宋体" w:hAnsi="宋体" w:eastAsia="宋体" w:cs="宋体"/>
          <w:b w:val="0"/>
          <w:bCs/>
          <w:i w:val="0"/>
          <w:caps w:val="0"/>
          <w:color w:val="auto"/>
          <w:spacing w:val="0"/>
          <w:w w:val="100"/>
          <w:kern w:val="2"/>
          <w:sz w:val="21"/>
          <w:szCs w:val="24"/>
          <w:highlight w:val="none"/>
          <w:lang w:val="en-US" w:eastAsia="zh-CN" w:bidi="ar-SA"/>
        </w:rPr>
        <w:t>特别提示：</w:t>
      </w:r>
    </w:p>
    <w:p w14:paraId="5878F061">
      <w:pPr>
        <w:keepNext w:val="0"/>
        <w:keepLines w:val="0"/>
        <w:pageBreakBefore w:val="0"/>
        <w:widowControl w:val="0"/>
        <w:kinsoku/>
        <w:wordWrap/>
        <w:overflowPunct/>
        <w:topLinePunct w:val="0"/>
        <w:autoSpaceDE/>
        <w:autoSpaceDN/>
        <w:bidi w:val="0"/>
        <w:adjustRightInd/>
        <w:snapToGrid/>
        <w:spacing w:before="0" w:beforeAutospacing="0" w:after="156" w:afterAutospacing="0" w:line="370" w:lineRule="exact"/>
        <w:ind w:firstLine="420" w:firstLineChars="200"/>
        <w:jc w:val="both"/>
        <w:textAlignment w:val="baseline"/>
        <w:rPr>
          <w:rFonts w:hint="eastAsia" w:ascii="宋体" w:hAnsi="宋体" w:eastAsia="宋体" w:cs="宋体"/>
          <w:b w:val="0"/>
          <w:bCs/>
          <w:i w:val="0"/>
          <w:caps w:val="0"/>
          <w:color w:val="auto"/>
          <w:spacing w:val="0"/>
          <w:w w:val="100"/>
          <w:kern w:val="2"/>
          <w:sz w:val="21"/>
          <w:szCs w:val="24"/>
          <w:highlight w:val="none"/>
          <w:lang w:val="en-US" w:eastAsia="zh-CN" w:bidi="ar-SA"/>
        </w:rPr>
      </w:pPr>
      <w:r>
        <w:rPr>
          <w:rFonts w:hint="eastAsia" w:ascii="宋体" w:hAnsi="宋体" w:eastAsia="宋体" w:cs="宋体"/>
          <w:b w:val="0"/>
          <w:bCs/>
          <w:i w:val="0"/>
          <w:caps w:val="0"/>
          <w:color w:val="auto"/>
          <w:spacing w:val="0"/>
          <w:w w:val="100"/>
          <w:kern w:val="2"/>
          <w:sz w:val="21"/>
          <w:szCs w:val="24"/>
          <w:highlight w:val="none"/>
          <w:lang w:val="en-US" w:eastAsia="zh-CN" w:bidi="ar-SA"/>
        </w:rPr>
        <w:t>① 投标保证金汇款服务咨询：中国建设银行股份有限公司株洲湘银支行</w:t>
      </w:r>
    </w:p>
    <w:p w14:paraId="2A750147">
      <w:pPr>
        <w:keepNext w:val="0"/>
        <w:keepLines w:val="0"/>
        <w:pageBreakBefore w:val="0"/>
        <w:widowControl w:val="0"/>
        <w:kinsoku/>
        <w:wordWrap/>
        <w:overflowPunct/>
        <w:topLinePunct w:val="0"/>
        <w:autoSpaceDE/>
        <w:autoSpaceDN/>
        <w:bidi w:val="0"/>
        <w:adjustRightInd/>
        <w:snapToGrid/>
        <w:spacing w:before="0" w:beforeAutospacing="0" w:after="156" w:afterAutospacing="0" w:line="370" w:lineRule="exact"/>
        <w:ind w:firstLine="420" w:firstLineChars="200"/>
        <w:jc w:val="both"/>
        <w:textAlignment w:val="baseline"/>
        <w:rPr>
          <w:rFonts w:hint="eastAsia" w:ascii="宋体" w:hAnsi="宋体" w:eastAsia="宋体" w:cs="宋体"/>
          <w:b w:val="0"/>
          <w:bCs/>
          <w:i w:val="0"/>
          <w:caps w:val="0"/>
          <w:color w:val="auto"/>
          <w:spacing w:val="0"/>
          <w:w w:val="100"/>
          <w:kern w:val="2"/>
          <w:sz w:val="21"/>
          <w:szCs w:val="24"/>
          <w:highlight w:val="none"/>
          <w:lang w:val="en-US" w:eastAsia="zh-CN" w:bidi="ar-SA"/>
        </w:rPr>
      </w:pPr>
      <w:r>
        <w:rPr>
          <w:rFonts w:hint="eastAsia" w:ascii="宋体" w:hAnsi="宋体" w:eastAsia="宋体" w:cs="宋体"/>
          <w:b w:val="0"/>
          <w:bCs/>
          <w:i w:val="0"/>
          <w:caps w:val="0"/>
          <w:color w:val="auto"/>
          <w:spacing w:val="0"/>
          <w:w w:val="100"/>
          <w:kern w:val="2"/>
          <w:sz w:val="21"/>
          <w:szCs w:val="24"/>
          <w:highlight w:val="none"/>
          <w:lang w:val="en-US" w:eastAsia="zh-CN" w:bidi="ar-SA"/>
        </w:rPr>
        <w:t>0731-28520852（联系人：黄朝辉） 和0731-22864427（联系人：刘岚）。</w:t>
      </w:r>
    </w:p>
    <w:p w14:paraId="6D440417">
      <w:pPr>
        <w:keepNext w:val="0"/>
        <w:keepLines w:val="0"/>
        <w:pageBreakBefore w:val="0"/>
        <w:widowControl w:val="0"/>
        <w:kinsoku/>
        <w:wordWrap/>
        <w:overflowPunct/>
        <w:topLinePunct w:val="0"/>
        <w:autoSpaceDE/>
        <w:autoSpaceDN/>
        <w:bidi w:val="0"/>
        <w:adjustRightInd/>
        <w:snapToGrid/>
        <w:spacing w:before="0" w:beforeAutospacing="0" w:after="156" w:afterAutospacing="0" w:line="370" w:lineRule="exact"/>
        <w:ind w:firstLine="422" w:firstLineChars="200"/>
        <w:jc w:val="both"/>
        <w:textAlignment w:val="baseline"/>
        <w:rPr>
          <w:rFonts w:hint="eastAsia" w:ascii="宋体" w:hAnsi="宋体" w:eastAsia="宋体" w:cs="宋体"/>
          <w:b/>
          <w:i w:val="0"/>
          <w:caps w:val="0"/>
          <w:color w:val="auto"/>
          <w:spacing w:val="0"/>
          <w:w w:val="100"/>
          <w:kern w:val="2"/>
          <w:sz w:val="21"/>
          <w:szCs w:val="24"/>
          <w:highlight w:val="none"/>
          <w:lang w:val="en-US" w:eastAsia="zh-CN" w:bidi="ar-SA"/>
        </w:rPr>
      </w:pPr>
      <w:r>
        <w:rPr>
          <w:rFonts w:hint="eastAsia" w:ascii="宋体" w:hAnsi="宋体" w:eastAsia="宋体" w:cs="宋体"/>
          <w:b/>
          <w:i w:val="0"/>
          <w:caps w:val="0"/>
          <w:color w:val="auto"/>
          <w:spacing w:val="0"/>
          <w:w w:val="100"/>
          <w:kern w:val="2"/>
          <w:sz w:val="21"/>
          <w:szCs w:val="24"/>
          <w:highlight w:val="none"/>
          <w:lang w:val="en-US" w:eastAsia="zh-CN" w:bidi="ar-SA"/>
        </w:rPr>
        <w:t>② 开标现场将展示投标保证金情况，各投标单位仅须在投标文件中提供投标人账户开户许可证和银行进账单的复印件或扫描件。如投标单位基本账户被冻结，须提交申请从投标单位名称一致的其他账户转入投标保证金，并提供法院出具的协助冻结存款通知书复印件，请投标人认真阅读关于投标保证金缴纳的规定，并严格执行，防止投标保证金缴纳出现失误。</w:t>
      </w:r>
    </w:p>
    <w:p w14:paraId="569CF635">
      <w:pPr>
        <w:keepNext w:val="0"/>
        <w:keepLines w:val="0"/>
        <w:pageBreakBefore w:val="0"/>
        <w:widowControl w:val="0"/>
        <w:kinsoku/>
        <w:wordWrap/>
        <w:overflowPunct/>
        <w:topLinePunct w:val="0"/>
        <w:autoSpaceDE/>
        <w:autoSpaceDN/>
        <w:bidi w:val="0"/>
        <w:adjustRightInd/>
        <w:snapToGrid/>
        <w:spacing w:before="0" w:beforeAutospacing="0" w:after="156" w:afterAutospacing="0" w:line="370" w:lineRule="exact"/>
        <w:ind w:firstLine="422" w:firstLineChars="200"/>
        <w:jc w:val="both"/>
        <w:textAlignment w:val="baseline"/>
        <w:rPr>
          <w:rFonts w:hint="eastAsia" w:ascii="宋体" w:hAnsi="宋体" w:eastAsia="宋体" w:cs="宋体"/>
          <w:b/>
          <w:i w:val="0"/>
          <w:caps w:val="0"/>
          <w:color w:val="auto"/>
          <w:spacing w:val="0"/>
          <w:w w:val="100"/>
          <w:kern w:val="2"/>
          <w:sz w:val="21"/>
          <w:szCs w:val="24"/>
          <w:highlight w:val="none"/>
          <w:lang w:val="en-US" w:eastAsia="zh-CN" w:bidi="ar-SA"/>
        </w:rPr>
      </w:pPr>
      <w:r>
        <w:rPr>
          <w:rFonts w:hint="eastAsia" w:ascii="宋体" w:hAnsi="宋体" w:eastAsia="宋体" w:cs="宋体"/>
          <w:b/>
          <w:i w:val="0"/>
          <w:caps w:val="0"/>
          <w:color w:val="auto"/>
          <w:spacing w:val="0"/>
          <w:w w:val="100"/>
          <w:kern w:val="2"/>
          <w:sz w:val="21"/>
          <w:szCs w:val="24"/>
          <w:highlight w:val="none"/>
          <w:lang w:val="en-US" w:eastAsia="zh-CN" w:bidi="ar-SA"/>
        </w:rPr>
        <w:t>③因银行和收款方在开标前均无法查询保证金到账情况，建议投标人尽量提前递交投标保证金，并密切关注是否有被退回的情况，避免因未按招标文件要求递交投标保证金而导致废标。</w:t>
      </w:r>
    </w:p>
    <w:p w14:paraId="26AD9C55">
      <w:pPr>
        <w:keepNext w:val="0"/>
        <w:keepLines w:val="0"/>
        <w:pageBreakBefore w:val="0"/>
        <w:widowControl w:val="0"/>
        <w:kinsoku/>
        <w:wordWrap/>
        <w:overflowPunct/>
        <w:topLinePunct w:val="0"/>
        <w:autoSpaceDE/>
        <w:autoSpaceDN/>
        <w:bidi w:val="0"/>
        <w:adjustRightInd/>
        <w:snapToGrid/>
        <w:spacing w:before="0" w:beforeAutospacing="0" w:after="156" w:afterAutospacing="0" w:line="370" w:lineRule="exact"/>
        <w:ind w:firstLine="422" w:firstLineChars="200"/>
        <w:jc w:val="both"/>
        <w:textAlignment w:val="baseline"/>
        <w:rPr>
          <w:rFonts w:hint="eastAsia" w:ascii="宋体" w:hAnsi="宋体" w:eastAsia="宋体" w:cs="宋体"/>
          <w:b/>
          <w:i w:val="0"/>
          <w:caps w:val="0"/>
          <w:color w:val="auto"/>
          <w:spacing w:val="0"/>
          <w:w w:val="100"/>
          <w:kern w:val="2"/>
          <w:sz w:val="21"/>
          <w:szCs w:val="24"/>
          <w:highlight w:val="none"/>
          <w:lang w:val="en-US" w:eastAsia="zh-CN" w:bidi="ar-SA"/>
        </w:rPr>
      </w:pPr>
      <w:r>
        <w:rPr>
          <w:rFonts w:hint="eastAsia" w:ascii="宋体" w:hAnsi="宋体" w:eastAsia="宋体" w:cs="宋体"/>
          <w:b/>
          <w:i w:val="0"/>
          <w:caps w:val="0"/>
          <w:color w:val="auto"/>
          <w:spacing w:val="0"/>
          <w:w w:val="100"/>
          <w:kern w:val="2"/>
          <w:sz w:val="21"/>
          <w:szCs w:val="24"/>
          <w:highlight w:val="none"/>
          <w:lang w:val="en-US" w:eastAsia="zh-CN" w:bidi="ar-SA"/>
        </w:rPr>
        <w:t>2、投标人不按招标文件要求提交投标保证金的,视为不合格投标人。</w:t>
      </w:r>
    </w:p>
    <w:p w14:paraId="2A344E8A">
      <w:pPr>
        <w:keepNext w:val="0"/>
        <w:keepLines w:val="0"/>
        <w:pageBreakBefore w:val="0"/>
        <w:widowControl w:val="0"/>
        <w:kinsoku/>
        <w:wordWrap/>
        <w:overflowPunct/>
        <w:topLinePunct w:val="0"/>
        <w:autoSpaceDE/>
        <w:autoSpaceDN/>
        <w:bidi w:val="0"/>
        <w:adjustRightInd/>
        <w:snapToGrid/>
        <w:spacing w:before="0" w:beforeAutospacing="0" w:after="156" w:afterAutospacing="0" w:line="370" w:lineRule="exact"/>
        <w:ind w:firstLine="420" w:firstLineChars="200"/>
        <w:jc w:val="both"/>
        <w:textAlignment w:val="baseline"/>
        <w:rPr>
          <w:rFonts w:hint="eastAsia" w:ascii="宋体" w:hAnsi="宋体" w:eastAsia="宋体" w:cs="宋体"/>
          <w:b w:val="0"/>
          <w:bCs/>
          <w:i w:val="0"/>
          <w:caps w:val="0"/>
          <w:color w:val="auto"/>
          <w:spacing w:val="0"/>
          <w:w w:val="100"/>
          <w:kern w:val="2"/>
          <w:sz w:val="21"/>
          <w:szCs w:val="24"/>
          <w:highlight w:val="none"/>
          <w:lang w:val="en-US" w:eastAsia="zh-CN" w:bidi="ar-SA"/>
        </w:rPr>
      </w:pPr>
      <w:r>
        <w:rPr>
          <w:rFonts w:hint="eastAsia" w:ascii="宋体" w:hAnsi="宋体" w:eastAsia="宋体" w:cs="宋体"/>
          <w:b w:val="0"/>
          <w:bCs/>
          <w:i w:val="0"/>
          <w:caps w:val="0"/>
          <w:color w:val="auto"/>
          <w:spacing w:val="0"/>
          <w:w w:val="100"/>
          <w:kern w:val="2"/>
          <w:sz w:val="21"/>
          <w:szCs w:val="24"/>
          <w:highlight w:val="none"/>
          <w:lang w:val="en-US" w:eastAsia="zh-CN" w:bidi="ar-SA"/>
        </w:rPr>
        <w:t>3、</w:t>
      </w:r>
      <w:r>
        <w:rPr>
          <w:rFonts w:hint="eastAsia" w:ascii="宋体" w:hAnsi="宋体" w:eastAsia="宋体" w:cs="宋体"/>
          <w:b/>
          <w:i w:val="0"/>
          <w:caps w:val="0"/>
          <w:color w:val="auto"/>
          <w:spacing w:val="0"/>
          <w:w w:val="100"/>
          <w:kern w:val="2"/>
          <w:sz w:val="21"/>
          <w:szCs w:val="24"/>
          <w:highlight w:val="none"/>
          <w:lang w:val="en-US" w:eastAsia="zh-CN" w:bidi="ar-SA"/>
        </w:rPr>
        <w:t>未中标人</w:t>
      </w:r>
      <w:r>
        <w:rPr>
          <w:rFonts w:hint="eastAsia" w:ascii="宋体" w:hAnsi="宋体" w:eastAsia="宋体" w:cs="宋体"/>
          <w:b w:val="0"/>
          <w:bCs/>
          <w:i w:val="0"/>
          <w:caps w:val="0"/>
          <w:color w:val="auto"/>
          <w:spacing w:val="0"/>
          <w:w w:val="100"/>
          <w:kern w:val="2"/>
          <w:sz w:val="21"/>
          <w:szCs w:val="24"/>
          <w:highlight w:val="none"/>
          <w:lang w:val="en-US" w:eastAsia="zh-CN" w:bidi="ar-SA"/>
        </w:rPr>
        <w:t>的投标保证金在中标通知书发出后五个工作日内由银行自动退还给投标人。</w:t>
      </w:r>
      <w:r>
        <w:rPr>
          <w:rFonts w:hint="eastAsia" w:ascii="宋体" w:hAnsi="宋体" w:eastAsia="宋体" w:cs="宋体"/>
          <w:b/>
          <w:i w:val="0"/>
          <w:caps w:val="0"/>
          <w:color w:val="auto"/>
          <w:spacing w:val="0"/>
          <w:w w:val="100"/>
          <w:kern w:val="2"/>
          <w:sz w:val="21"/>
          <w:szCs w:val="24"/>
          <w:highlight w:val="none"/>
          <w:lang w:val="en-US" w:eastAsia="zh-CN" w:bidi="ar-SA"/>
        </w:rPr>
        <w:t>中标人</w:t>
      </w:r>
      <w:r>
        <w:rPr>
          <w:rFonts w:hint="eastAsia" w:ascii="宋体" w:hAnsi="宋体" w:eastAsia="宋体" w:cs="宋体"/>
          <w:b w:val="0"/>
          <w:bCs/>
          <w:i w:val="0"/>
          <w:caps w:val="0"/>
          <w:color w:val="auto"/>
          <w:spacing w:val="0"/>
          <w:w w:val="100"/>
          <w:kern w:val="2"/>
          <w:sz w:val="21"/>
          <w:szCs w:val="24"/>
          <w:highlight w:val="none"/>
          <w:lang w:val="en-US" w:eastAsia="zh-CN" w:bidi="ar-SA"/>
        </w:rPr>
        <w:t>于合同签订之日起五个工作日内将退款申请及付款凭证发至项目代理机构，代理机构在交易系统上传退款申请、付款凭证、公共资源交易中心进场交易确认书后退款至原缴款账户。株洲市公共资源交易中心一楼服务大厅3号保证金窗口联系电话：0731-28681387。</w:t>
      </w:r>
    </w:p>
    <w:p w14:paraId="23B9BE1A">
      <w:pPr>
        <w:keepNext w:val="0"/>
        <w:keepLines w:val="0"/>
        <w:pageBreakBefore w:val="0"/>
        <w:widowControl w:val="0"/>
        <w:kinsoku/>
        <w:wordWrap/>
        <w:overflowPunct/>
        <w:topLinePunct w:val="0"/>
        <w:autoSpaceDE/>
        <w:autoSpaceDN/>
        <w:bidi w:val="0"/>
        <w:adjustRightInd/>
        <w:snapToGrid/>
        <w:spacing w:line="370" w:lineRule="exact"/>
        <w:rPr>
          <w:rFonts w:hint="eastAsia" w:ascii="宋体" w:hAnsi="宋体" w:eastAsia="宋体" w:cs="宋体"/>
          <w:b w:val="0"/>
          <w:i w:val="0"/>
          <w:caps w:val="0"/>
          <w:color w:val="auto"/>
          <w:spacing w:val="0"/>
          <w:w w:val="100"/>
          <w:kern w:val="2"/>
          <w:sz w:val="21"/>
          <w:szCs w:val="24"/>
          <w:highlight w:val="none"/>
          <w:lang w:val="en-US" w:eastAsia="zh-CN" w:bidi="ar-SA"/>
        </w:rPr>
      </w:pPr>
      <w:r>
        <w:rPr>
          <w:rFonts w:hint="eastAsia" w:ascii="宋体" w:hAnsi="宋体" w:eastAsia="宋体" w:cs="宋体"/>
          <w:b w:val="0"/>
          <w:i w:val="0"/>
          <w:caps w:val="0"/>
          <w:color w:val="auto"/>
          <w:spacing w:val="0"/>
          <w:w w:val="100"/>
          <w:kern w:val="2"/>
          <w:sz w:val="21"/>
          <w:szCs w:val="24"/>
          <w:highlight w:val="none"/>
          <w:lang w:val="en-US" w:eastAsia="zh-CN" w:bidi="ar-SA"/>
        </w:rPr>
        <w:t>下附退款申请格式：</w:t>
      </w:r>
    </w:p>
    <w:p w14:paraId="793B4F31">
      <w:pPr>
        <w:keepNext w:val="0"/>
        <w:keepLines w:val="0"/>
        <w:pageBreakBefore w:val="0"/>
        <w:widowControl w:val="0"/>
        <w:kinsoku/>
        <w:wordWrap/>
        <w:overflowPunct/>
        <w:topLinePunct w:val="0"/>
        <w:autoSpaceDE/>
        <w:autoSpaceDN/>
        <w:bidi w:val="0"/>
        <w:adjustRightInd/>
        <w:snapToGrid/>
        <w:spacing w:line="370" w:lineRule="exact"/>
        <w:rPr>
          <w:rFonts w:hint="eastAsia" w:ascii="宋体" w:hAnsi="宋体" w:eastAsia="宋体" w:cs="宋体"/>
          <w:b w:val="0"/>
          <w:i w:val="0"/>
          <w:caps w:val="0"/>
          <w:color w:val="auto"/>
          <w:spacing w:val="0"/>
          <w:w w:val="100"/>
          <w:kern w:val="2"/>
          <w:sz w:val="21"/>
          <w:szCs w:val="24"/>
          <w:highlight w:val="none"/>
          <w:lang w:val="en-US" w:eastAsia="zh-CN" w:bidi="ar-SA"/>
        </w:rPr>
      </w:pPr>
    </w:p>
    <w:p w14:paraId="3AD39720">
      <w:pPr>
        <w:keepNext w:val="0"/>
        <w:keepLines w:val="0"/>
        <w:pageBreakBefore w:val="0"/>
        <w:widowControl w:val="0"/>
        <w:kinsoku/>
        <w:wordWrap/>
        <w:overflowPunct/>
        <w:topLinePunct w:val="0"/>
        <w:autoSpaceDE/>
        <w:autoSpaceDN/>
        <w:bidi w:val="0"/>
        <w:adjustRightInd/>
        <w:snapToGrid/>
        <w:spacing w:line="370" w:lineRule="exact"/>
        <w:rPr>
          <w:rFonts w:hint="eastAsia" w:ascii="宋体" w:hAnsi="宋体" w:eastAsia="宋体" w:cs="宋体"/>
          <w:b w:val="0"/>
          <w:i w:val="0"/>
          <w:caps w:val="0"/>
          <w:color w:val="auto"/>
          <w:spacing w:val="0"/>
          <w:w w:val="100"/>
          <w:kern w:val="2"/>
          <w:sz w:val="21"/>
          <w:szCs w:val="24"/>
          <w:highlight w:val="none"/>
          <w:lang w:val="en-US" w:eastAsia="zh-CN" w:bidi="ar-SA"/>
        </w:rPr>
      </w:pPr>
    </w:p>
    <w:p w14:paraId="4667D80A">
      <w:pPr>
        <w:keepNext w:val="0"/>
        <w:keepLines w:val="0"/>
        <w:pageBreakBefore w:val="0"/>
        <w:widowControl w:val="0"/>
        <w:kinsoku/>
        <w:wordWrap/>
        <w:overflowPunct/>
        <w:topLinePunct w:val="0"/>
        <w:autoSpaceDE/>
        <w:autoSpaceDN/>
        <w:bidi w:val="0"/>
        <w:adjustRightInd/>
        <w:snapToGrid/>
        <w:spacing w:line="370" w:lineRule="exact"/>
        <w:rPr>
          <w:rFonts w:hint="eastAsia" w:ascii="宋体" w:hAnsi="宋体" w:eastAsia="宋体" w:cs="宋体"/>
          <w:b w:val="0"/>
          <w:i w:val="0"/>
          <w:caps w:val="0"/>
          <w:color w:val="auto"/>
          <w:spacing w:val="0"/>
          <w:w w:val="100"/>
          <w:kern w:val="2"/>
          <w:sz w:val="21"/>
          <w:szCs w:val="24"/>
          <w:highlight w:val="none"/>
          <w:lang w:val="en-US" w:eastAsia="zh-CN" w:bidi="ar-SA"/>
        </w:rPr>
      </w:pPr>
    </w:p>
    <w:p w14:paraId="41C1CAA7">
      <w:pPr>
        <w:snapToGrid/>
        <w:spacing w:before="0" w:beforeAutospacing="0" w:after="156" w:afterAutospacing="0" w:line="240" w:lineRule="auto"/>
        <w:ind w:firstLine="482"/>
        <w:jc w:val="both"/>
        <w:textAlignment w:val="baseline"/>
        <w:rPr>
          <w:rFonts w:hint="eastAsia" w:ascii="宋体" w:hAnsi="宋体" w:eastAsia="宋体" w:cs="宋体"/>
          <w:b/>
          <w:i w:val="0"/>
          <w:caps w:val="0"/>
          <w:color w:val="auto"/>
          <w:spacing w:val="0"/>
          <w:w w:val="100"/>
          <w:kern w:val="2"/>
          <w:sz w:val="21"/>
          <w:szCs w:val="24"/>
          <w:highlight w:val="none"/>
          <w:lang w:val="en-US" w:eastAsia="zh-CN" w:bidi="ar-SA"/>
        </w:rPr>
      </w:pPr>
      <w:r>
        <w:rPr>
          <w:rFonts w:hint="eastAsia" w:ascii="宋体" w:hAnsi="宋体" w:eastAsia="宋体" w:cs="宋体"/>
          <w:b/>
          <w:i w:val="0"/>
          <w:caps w:val="0"/>
          <w:color w:val="auto"/>
          <w:spacing w:val="0"/>
          <w:w w:val="100"/>
          <w:kern w:val="2"/>
          <w:sz w:val="21"/>
          <w:szCs w:val="24"/>
          <w:highlight w:val="none"/>
          <w:lang w:val="zh-CN" w:eastAsia="zh-CN" w:bidi="ar-SA"/>
        </w:rPr>
        <mc:AlternateContent>
          <mc:Choice Requires="wps">
            <w:drawing>
              <wp:anchor distT="0" distB="0" distL="0" distR="0" simplePos="0" relativeHeight="251666432" behindDoc="1" locked="0" layoutInCell="1" allowOverlap="1">
                <wp:simplePos x="0" y="0"/>
                <wp:positionH relativeFrom="column">
                  <wp:posOffset>-115570</wp:posOffset>
                </wp:positionH>
                <wp:positionV relativeFrom="paragraph">
                  <wp:posOffset>179070</wp:posOffset>
                </wp:positionV>
                <wp:extent cx="5982970" cy="3307715"/>
                <wp:effectExtent l="7620" t="7620" r="10160" b="18415"/>
                <wp:wrapNone/>
                <wp:docPr id="1106" name="矩形 106"/>
                <wp:cNvGraphicFramePr/>
                <a:graphic xmlns:a="http://schemas.openxmlformats.org/drawingml/2006/main">
                  <a:graphicData uri="http://schemas.microsoft.com/office/word/2010/wordprocessingShape">
                    <wps:wsp>
                      <wps:cNvSpPr/>
                      <wps:spPr>
                        <a:xfrm>
                          <a:off x="0" y="0"/>
                          <a:ext cx="5982970" cy="3307715"/>
                        </a:xfrm>
                        <a:prstGeom prst="rect">
                          <a:avLst/>
                        </a:prstGeom>
                        <a:ln w="15875" cap="flat" cmpd="sng">
                          <a:solidFill>
                            <a:srgbClr val="739CC3"/>
                          </a:solidFill>
                          <a:prstDash val="solid"/>
                          <a:miter/>
                          <a:headEnd type="none" w="med" len="med"/>
                          <a:tailEnd type="none" w="med" len="med"/>
                        </a:ln>
                      </wps:spPr>
                      <wps:txbx>
                        <w:txbxContent>
                          <w:p w14:paraId="5AB37223">
                            <w:pPr>
                              <w:jc w:val="both"/>
                              <w:textAlignment w:val="baseline"/>
                              <w:rPr>
                                <w:rFonts w:ascii="Times New Roman" w:hAnsi="Times New Roman" w:eastAsia="宋体" w:cs="Times New Roman"/>
                                <w:kern w:val="2"/>
                                <w:sz w:val="21"/>
                                <w:szCs w:val="24"/>
                                <w:lang w:val="en-US" w:eastAsia="zh-CN" w:bidi="ar-SA"/>
                              </w:rPr>
                            </w:pPr>
                          </w:p>
                        </w:txbxContent>
                      </wps:txbx>
                      <wps:bodyPr upright="1"/>
                    </wps:wsp>
                  </a:graphicData>
                </a:graphic>
              </wp:anchor>
            </w:drawing>
          </mc:Choice>
          <mc:Fallback>
            <w:pict>
              <v:rect id="矩形 106" o:spid="_x0000_s1026" o:spt="1" style="position:absolute;left:0pt;margin-left:-9.1pt;margin-top:14.1pt;height:260.45pt;width:471.1pt;z-index:-251650048;mso-width-relative:page;mso-height-relative:page;" filled="f" stroked="t" coordsize="21600,21600" o:gfxdata="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CzuelTVAAAACgEAAA8AAAAAAAAAAQAgAAAAIgAAAGRycy9kb3ducmV2&#10;LnhtbFBLAQIUABQAAAAIAIdO4kDUDXQ6/wEAAPwDAAAOAAAAAAAAAAEAIAAAACQBAABkcnMvZTJv&#10;RG9jLnhtbFBLBQYAAAAABgAGAFkBAACVBQAAAAA=&#10;">
                <v:fill on="f" focussize="0,0"/>
                <v:stroke weight="1.25pt" color="#739CC3" joinstyle="miter"/>
                <v:imagedata o:title=""/>
                <o:lock v:ext="edit" aspectratio="f"/>
                <v:textbox>
                  <w:txbxContent>
                    <w:p w14:paraId="5AB37223">
                      <w:pPr>
                        <w:jc w:val="both"/>
                        <w:textAlignment w:val="baseline"/>
                        <w:rPr>
                          <w:rFonts w:ascii="Times New Roman" w:hAnsi="Times New Roman" w:eastAsia="宋体" w:cs="Times New Roman"/>
                          <w:kern w:val="2"/>
                          <w:sz w:val="21"/>
                          <w:szCs w:val="24"/>
                          <w:lang w:val="en-US" w:eastAsia="zh-CN" w:bidi="ar-SA"/>
                        </w:rPr>
                      </w:pPr>
                    </w:p>
                  </w:txbxContent>
                </v:textbox>
              </v:rect>
            </w:pict>
          </mc:Fallback>
        </mc:AlternateContent>
      </w:r>
    </w:p>
    <w:p w14:paraId="30460964">
      <w:pPr>
        <w:snapToGrid/>
        <w:spacing w:before="0" w:beforeAutospacing="0" w:after="156" w:afterAutospacing="0" w:line="240" w:lineRule="auto"/>
        <w:ind w:firstLine="482"/>
        <w:jc w:val="center"/>
        <w:textAlignment w:val="baseline"/>
        <w:rPr>
          <w:rFonts w:hint="eastAsia" w:ascii="宋体" w:hAnsi="宋体" w:eastAsia="宋体" w:cs="宋体"/>
          <w:b/>
          <w:i w:val="0"/>
          <w:caps w:val="0"/>
          <w:color w:val="auto"/>
          <w:spacing w:val="0"/>
          <w:w w:val="100"/>
          <w:kern w:val="2"/>
          <w:sz w:val="21"/>
          <w:szCs w:val="24"/>
          <w:highlight w:val="none"/>
          <w:lang w:val="en-US" w:eastAsia="zh-CN" w:bidi="ar-SA"/>
        </w:rPr>
      </w:pPr>
      <w:r>
        <w:rPr>
          <w:rFonts w:hint="eastAsia" w:ascii="宋体" w:hAnsi="宋体" w:eastAsia="宋体" w:cs="宋体"/>
          <w:b/>
          <w:i w:val="0"/>
          <w:caps w:val="0"/>
          <w:color w:val="auto"/>
          <w:spacing w:val="0"/>
          <w:w w:val="100"/>
          <w:kern w:val="2"/>
          <w:sz w:val="21"/>
          <w:szCs w:val="24"/>
          <w:highlight w:val="none"/>
          <w:lang w:val="en-US" w:eastAsia="zh-CN" w:bidi="ar-SA"/>
        </w:rPr>
        <w:t>退款申请</w:t>
      </w:r>
    </w:p>
    <w:p w14:paraId="3B3FB7B7">
      <w:pPr>
        <w:snapToGrid/>
        <w:spacing w:before="0" w:beforeAutospacing="0" w:after="156" w:afterAutospacing="0" w:line="240" w:lineRule="auto"/>
        <w:jc w:val="both"/>
        <w:textAlignment w:val="baseline"/>
        <w:rPr>
          <w:rFonts w:hint="eastAsia" w:ascii="宋体" w:hAnsi="宋体" w:eastAsia="宋体" w:cs="宋体"/>
          <w:b w:val="0"/>
          <w:i w:val="0"/>
          <w:caps w:val="0"/>
          <w:color w:val="auto"/>
          <w:spacing w:val="0"/>
          <w:w w:val="100"/>
          <w:kern w:val="2"/>
          <w:sz w:val="21"/>
          <w:szCs w:val="21"/>
          <w:highlight w:val="none"/>
          <w:lang w:val="en-US" w:eastAsia="zh-CN" w:bidi="ar-SA"/>
        </w:rPr>
      </w:pPr>
      <w:r>
        <w:rPr>
          <w:rFonts w:hint="eastAsia" w:ascii="宋体" w:hAnsi="宋体" w:eastAsia="宋体" w:cs="宋体"/>
          <w:b w:val="0"/>
          <w:i w:val="0"/>
          <w:caps w:val="0"/>
          <w:color w:val="auto"/>
          <w:spacing w:val="0"/>
          <w:w w:val="100"/>
          <w:kern w:val="2"/>
          <w:sz w:val="21"/>
          <w:szCs w:val="21"/>
          <w:highlight w:val="none"/>
          <w:lang w:val="en-US" w:eastAsia="zh-CN" w:bidi="ar-SA"/>
        </w:rPr>
        <w:t>株洲市公共资源交易中心：</w:t>
      </w:r>
    </w:p>
    <w:p w14:paraId="3A0AE9BE">
      <w:pPr>
        <w:snapToGrid/>
        <w:spacing w:before="0" w:beforeAutospacing="0" w:after="156" w:afterAutospacing="0" w:line="240" w:lineRule="auto"/>
        <w:ind w:firstLine="420"/>
        <w:jc w:val="both"/>
        <w:textAlignment w:val="baseline"/>
        <w:rPr>
          <w:rFonts w:hint="eastAsia" w:ascii="宋体" w:hAnsi="宋体" w:eastAsia="宋体" w:cs="宋体"/>
          <w:b w:val="0"/>
          <w:i w:val="0"/>
          <w:caps w:val="0"/>
          <w:color w:val="auto"/>
          <w:spacing w:val="0"/>
          <w:w w:val="100"/>
          <w:kern w:val="2"/>
          <w:sz w:val="21"/>
          <w:szCs w:val="21"/>
          <w:highlight w:val="none"/>
          <w:lang w:val="en-US" w:eastAsia="zh-CN" w:bidi="ar-SA"/>
        </w:rPr>
      </w:pPr>
      <w:r>
        <w:rPr>
          <w:rFonts w:hint="eastAsia" w:ascii="宋体" w:hAnsi="宋体" w:eastAsia="宋体" w:cs="宋体"/>
          <w:b w:val="0"/>
          <w:i w:val="0"/>
          <w:caps w:val="0"/>
          <w:color w:val="auto"/>
          <w:spacing w:val="0"/>
          <w:w w:val="100"/>
          <w:kern w:val="2"/>
          <w:sz w:val="21"/>
          <w:szCs w:val="21"/>
          <w:highlight w:val="none"/>
          <w:lang w:val="en-US" w:eastAsia="zh-CN" w:bidi="ar-SA"/>
        </w:rPr>
        <w:t>我单位于</w:t>
      </w:r>
      <w:r>
        <w:rPr>
          <w:rFonts w:hint="eastAsia" w:ascii="宋体" w:hAnsi="宋体" w:eastAsia="宋体" w:cs="宋体"/>
          <w:b w:val="0"/>
          <w:i w:val="0"/>
          <w:caps w:val="0"/>
          <w:color w:val="auto"/>
          <w:spacing w:val="0"/>
          <w:w w:val="100"/>
          <w:kern w:val="2"/>
          <w:sz w:val="21"/>
          <w:szCs w:val="21"/>
          <w:highlight w:val="none"/>
          <w:u w:val="single" w:color="000000"/>
          <w:lang w:val="en-US" w:eastAsia="zh-CN" w:bidi="ar-SA"/>
        </w:rPr>
        <w:t xml:space="preserve">    </w:t>
      </w:r>
      <w:r>
        <w:rPr>
          <w:rFonts w:hint="eastAsia" w:ascii="宋体" w:hAnsi="宋体" w:eastAsia="宋体" w:cs="宋体"/>
          <w:b w:val="0"/>
          <w:i w:val="0"/>
          <w:caps w:val="0"/>
          <w:color w:val="auto"/>
          <w:spacing w:val="0"/>
          <w:w w:val="100"/>
          <w:kern w:val="2"/>
          <w:sz w:val="21"/>
          <w:szCs w:val="21"/>
          <w:highlight w:val="none"/>
          <w:lang w:val="en-US" w:eastAsia="zh-CN" w:bidi="ar-SA"/>
        </w:rPr>
        <w:t>年</w:t>
      </w:r>
      <w:r>
        <w:rPr>
          <w:rFonts w:hint="eastAsia" w:ascii="宋体" w:hAnsi="宋体" w:eastAsia="宋体" w:cs="宋体"/>
          <w:b w:val="0"/>
          <w:i w:val="0"/>
          <w:caps w:val="0"/>
          <w:color w:val="auto"/>
          <w:spacing w:val="0"/>
          <w:w w:val="100"/>
          <w:kern w:val="2"/>
          <w:sz w:val="21"/>
          <w:szCs w:val="21"/>
          <w:highlight w:val="none"/>
          <w:u w:val="single" w:color="000000"/>
          <w:lang w:val="en-US" w:eastAsia="zh-CN" w:bidi="ar-SA"/>
        </w:rPr>
        <w:t xml:space="preserve">   </w:t>
      </w:r>
      <w:r>
        <w:rPr>
          <w:rFonts w:hint="eastAsia" w:ascii="宋体" w:hAnsi="宋体" w:eastAsia="宋体" w:cs="宋体"/>
          <w:b w:val="0"/>
          <w:i w:val="0"/>
          <w:caps w:val="0"/>
          <w:color w:val="auto"/>
          <w:spacing w:val="0"/>
          <w:w w:val="100"/>
          <w:kern w:val="2"/>
          <w:sz w:val="21"/>
          <w:szCs w:val="21"/>
          <w:highlight w:val="none"/>
          <w:lang w:val="en-US" w:eastAsia="zh-CN" w:bidi="ar-SA"/>
        </w:rPr>
        <w:t>月</w:t>
      </w:r>
      <w:r>
        <w:rPr>
          <w:rFonts w:hint="eastAsia" w:ascii="宋体" w:hAnsi="宋体" w:eastAsia="宋体" w:cs="宋体"/>
          <w:b w:val="0"/>
          <w:i w:val="0"/>
          <w:caps w:val="0"/>
          <w:color w:val="auto"/>
          <w:spacing w:val="0"/>
          <w:w w:val="100"/>
          <w:kern w:val="2"/>
          <w:sz w:val="21"/>
          <w:szCs w:val="21"/>
          <w:highlight w:val="none"/>
          <w:u w:val="single" w:color="000000"/>
          <w:lang w:val="en-US" w:eastAsia="zh-CN" w:bidi="ar-SA"/>
        </w:rPr>
        <w:t xml:space="preserve">    </w:t>
      </w:r>
      <w:r>
        <w:rPr>
          <w:rFonts w:hint="eastAsia" w:ascii="宋体" w:hAnsi="宋体" w:eastAsia="宋体" w:cs="宋体"/>
          <w:b w:val="0"/>
          <w:i w:val="0"/>
          <w:caps w:val="0"/>
          <w:color w:val="auto"/>
          <w:spacing w:val="0"/>
          <w:w w:val="100"/>
          <w:kern w:val="2"/>
          <w:sz w:val="21"/>
          <w:szCs w:val="21"/>
          <w:highlight w:val="none"/>
          <w:lang w:val="en-US" w:eastAsia="zh-CN" w:bidi="ar-SA"/>
        </w:rPr>
        <w:t>日，参加</w:t>
      </w:r>
      <w:r>
        <w:rPr>
          <w:rFonts w:hint="eastAsia" w:ascii="宋体" w:hAnsi="宋体" w:eastAsia="宋体" w:cs="宋体"/>
          <w:b w:val="0"/>
          <w:i w:val="0"/>
          <w:caps w:val="0"/>
          <w:color w:val="auto"/>
          <w:spacing w:val="0"/>
          <w:w w:val="100"/>
          <w:kern w:val="2"/>
          <w:sz w:val="21"/>
          <w:szCs w:val="21"/>
          <w:highlight w:val="none"/>
          <w:u w:val="single" w:color="000000"/>
          <w:lang w:val="en-US" w:eastAsia="zh-CN" w:bidi="ar-SA"/>
        </w:rPr>
        <w:t xml:space="preserve">              </w:t>
      </w:r>
      <w:r>
        <w:rPr>
          <w:rFonts w:hint="eastAsia" w:ascii="宋体" w:hAnsi="宋体" w:eastAsia="宋体" w:cs="宋体"/>
          <w:b w:val="0"/>
          <w:i w:val="0"/>
          <w:caps w:val="0"/>
          <w:color w:val="auto"/>
          <w:spacing w:val="0"/>
          <w:w w:val="100"/>
          <w:kern w:val="2"/>
          <w:sz w:val="21"/>
          <w:szCs w:val="21"/>
          <w:highlight w:val="none"/>
          <w:lang w:val="en-US" w:eastAsia="zh-CN" w:bidi="ar-SA"/>
        </w:rPr>
        <w:t>项目，汇入投标保证金</w:t>
      </w:r>
      <w:r>
        <w:rPr>
          <w:rFonts w:hint="eastAsia" w:ascii="宋体" w:hAnsi="宋体" w:eastAsia="宋体" w:cs="宋体"/>
          <w:b w:val="0"/>
          <w:i w:val="0"/>
          <w:caps w:val="0"/>
          <w:color w:val="auto"/>
          <w:spacing w:val="0"/>
          <w:w w:val="100"/>
          <w:kern w:val="2"/>
          <w:sz w:val="21"/>
          <w:szCs w:val="21"/>
          <w:highlight w:val="none"/>
          <w:u w:val="single" w:color="000000"/>
          <w:lang w:val="en-US" w:eastAsia="zh-CN" w:bidi="ar-SA"/>
        </w:rPr>
        <w:t xml:space="preserve">     </w:t>
      </w:r>
      <w:r>
        <w:rPr>
          <w:rFonts w:hint="eastAsia" w:ascii="宋体" w:hAnsi="宋体" w:eastAsia="宋体" w:cs="宋体"/>
          <w:b w:val="0"/>
          <w:i w:val="0"/>
          <w:caps w:val="0"/>
          <w:color w:val="auto"/>
          <w:spacing w:val="0"/>
          <w:w w:val="100"/>
          <w:kern w:val="2"/>
          <w:sz w:val="21"/>
          <w:szCs w:val="21"/>
          <w:highlight w:val="none"/>
          <w:lang w:val="en-US" w:eastAsia="zh-CN" w:bidi="ar-SA"/>
        </w:rPr>
        <w:t>元。现确定为中标单位，并已与采购人签订采购合同，特申请退回此笔投标保证金。另附我单位投标保证金付款凭证。</w:t>
      </w:r>
    </w:p>
    <w:p w14:paraId="191C62F7">
      <w:pPr>
        <w:snapToGrid/>
        <w:spacing w:before="0" w:beforeAutospacing="0" w:after="156" w:afterAutospacing="0" w:line="240" w:lineRule="auto"/>
        <w:ind w:firstLine="420"/>
        <w:jc w:val="both"/>
        <w:textAlignment w:val="baseline"/>
        <w:rPr>
          <w:rFonts w:hint="eastAsia" w:ascii="宋体" w:hAnsi="宋体" w:eastAsia="宋体" w:cs="宋体"/>
          <w:b w:val="0"/>
          <w:i w:val="0"/>
          <w:caps w:val="0"/>
          <w:color w:val="auto"/>
          <w:spacing w:val="0"/>
          <w:w w:val="100"/>
          <w:kern w:val="2"/>
          <w:sz w:val="21"/>
          <w:szCs w:val="21"/>
          <w:highlight w:val="none"/>
          <w:lang w:val="en-US" w:eastAsia="zh-CN" w:bidi="ar-SA"/>
        </w:rPr>
      </w:pPr>
      <w:r>
        <w:rPr>
          <w:rFonts w:hint="eastAsia" w:ascii="宋体" w:hAnsi="宋体" w:eastAsia="宋体" w:cs="宋体"/>
          <w:b w:val="0"/>
          <w:i w:val="0"/>
          <w:caps w:val="0"/>
          <w:color w:val="auto"/>
          <w:spacing w:val="0"/>
          <w:w w:val="100"/>
          <w:kern w:val="2"/>
          <w:sz w:val="21"/>
          <w:szCs w:val="21"/>
          <w:highlight w:val="none"/>
          <w:lang w:val="en-US" w:eastAsia="zh-CN" w:bidi="ar-SA"/>
        </w:rPr>
        <w:t>特此申请！</w:t>
      </w:r>
    </w:p>
    <w:p w14:paraId="22809D4B">
      <w:pPr>
        <w:snapToGrid/>
        <w:spacing w:before="0" w:beforeAutospacing="0" w:after="156" w:afterAutospacing="0" w:line="240" w:lineRule="auto"/>
        <w:ind w:firstLine="420"/>
        <w:jc w:val="left"/>
        <w:textAlignment w:val="baseline"/>
        <w:rPr>
          <w:rFonts w:hint="eastAsia" w:ascii="宋体" w:hAnsi="宋体" w:eastAsia="宋体" w:cs="宋体"/>
          <w:b w:val="0"/>
          <w:i w:val="0"/>
          <w:caps w:val="0"/>
          <w:color w:val="auto"/>
          <w:spacing w:val="0"/>
          <w:w w:val="100"/>
          <w:kern w:val="2"/>
          <w:sz w:val="21"/>
          <w:szCs w:val="21"/>
          <w:highlight w:val="none"/>
          <w:lang w:val="en-US" w:eastAsia="zh-CN" w:bidi="ar-SA"/>
        </w:rPr>
      </w:pPr>
    </w:p>
    <w:p w14:paraId="5817B3FF">
      <w:pPr>
        <w:snapToGrid/>
        <w:spacing w:before="0" w:beforeAutospacing="0" w:after="156" w:afterAutospacing="0" w:line="240" w:lineRule="auto"/>
        <w:ind w:firstLine="420"/>
        <w:jc w:val="left"/>
        <w:textAlignment w:val="baseline"/>
        <w:rPr>
          <w:rFonts w:hint="eastAsia" w:ascii="宋体" w:hAnsi="宋体" w:eastAsia="宋体" w:cs="宋体"/>
          <w:b w:val="0"/>
          <w:i w:val="0"/>
          <w:caps w:val="0"/>
          <w:color w:val="auto"/>
          <w:spacing w:val="0"/>
          <w:w w:val="100"/>
          <w:kern w:val="2"/>
          <w:sz w:val="21"/>
          <w:szCs w:val="21"/>
          <w:highlight w:val="none"/>
          <w:lang w:val="en-US" w:eastAsia="zh-CN" w:bidi="ar-SA"/>
        </w:rPr>
      </w:pPr>
      <w:r>
        <w:rPr>
          <w:rFonts w:hint="eastAsia" w:ascii="宋体" w:hAnsi="宋体" w:eastAsia="宋体" w:cs="宋体"/>
          <w:b w:val="0"/>
          <w:i w:val="0"/>
          <w:caps w:val="0"/>
          <w:color w:val="auto"/>
          <w:spacing w:val="0"/>
          <w:w w:val="100"/>
          <w:kern w:val="2"/>
          <w:sz w:val="21"/>
          <w:szCs w:val="21"/>
          <w:highlight w:val="none"/>
          <w:lang w:val="en-US" w:eastAsia="zh-CN" w:bidi="ar-SA"/>
        </w:rPr>
        <w:t>投标单位：（公章）</w:t>
      </w:r>
    </w:p>
    <w:p w14:paraId="24968C16">
      <w:pPr>
        <w:snapToGrid/>
        <w:spacing w:before="0" w:beforeAutospacing="0" w:after="156" w:afterAutospacing="0" w:line="240" w:lineRule="auto"/>
        <w:ind w:firstLine="420"/>
        <w:jc w:val="right"/>
        <w:textAlignment w:val="baseline"/>
        <w:rPr>
          <w:rFonts w:hint="eastAsia" w:ascii="宋体" w:hAnsi="宋体" w:eastAsia="宋体" w:cs="宋体"/>
          <w:b w:val="0"/>
          <w:i w:val="0"/>
          <w:caps w:val="0"/>
          <w:color w:val="auto"/>
          <w:spacing w:val="0"/>
          <w:w w:val="100"/>
          <w:kern w:val="2"/>
          <w:sz w:val="21"/>
          <w:szCs w:val="21"/>
          <w:highlight w:val="none"/>
          <w:lang w:val="en-US" w:eastAsia="zh-CN" w:bidi="ar-SA"/>
        </w:rPr>
      </w:pPr>
      <w:r>
        <w:rPr>
          <w:rFonts w:hint="eastAsia" w:ascii="宋体" w:hAnsi="宋体" w:eastAsia="宋体" w:cs="宋体"/>
          <w:b w:val="0"/>
          <w:i w:val="0"/>
          <w:caps w:val="0"/>
          <w:color w:val="auto"/>
          <w:spacing w:val="0"/>
          <w:w w:val="100"/>
          <w:kern w:val="2"/>
          <w:sz w:val="21"/>
          <w:szCs w:val="21"/>
          <w:highlight w:val="none"/>
          <w:lang w:val="en-US" w:eastAsia="zh-CN" w:bidi="ar-SA"/>
        </w:rPr>
        <w:t xml:space="preserve"> </w:t>
      </w:r>
      <w:r>
        <w:rPr>
          <w:rFonts w:hint="eastAsia" w:ascii="宋体" w:hAnsi="宋体" w:eastAsia="宋体" w:cs="宋体"/>
          <w:b w:val="0"/>
          <w:i w:val="0"/>
          <w:caps w:val="0"/>
          <w:color w:val="auto"/>
          <w:spacing w:val="0"/>
          <w:w w:val="100"/>
          <w:kern w:val="2"/>
          <w:sz w:val="21"/>
          <w:szCs w:val="21"/>
          <w:highlight w:val="none"/>
          <w:u w:val="single" w:color="000000"/>
          <w:lang w:val="en-US" w:eastAsia="zh-CN" w:bidi="ar-SA"/>
        </w:rPr>
        <w:t xml:space="preserve">       </w:t>
      </w:r>
      <w:r>
        <w:rPr>
          <w:rFonts w:hint="eastAsia" w:ascii="宋体" w:hAnsi="宋体" w:eastAsia="宋体" w:cs="宋体"/>
          <w:b w:val="0"/>
          <w:i w:val="0"/>
          <w:caps w:val="0"/>
          <w:color w:val="auto"/>
          <w:spacing w:val="0"/>
          <w:w w:val="100"/>
          <w:kern w:val="2"/>
          <w:sz w:val="21"/>
          <w:szCs w:val="21"/>
          <w:highlight w:val="none"/>
          <w:lang w:val="en-US" w:eastAsia="zh-CN" w:bidi="ar-SA"/>
        </w:rPr>
        <w:t>年</w:t>
      </w:r>
      <w:r>
        <w:rPr>
          <w:rFonts w:hint="eastAsia" w:ascii="宋体" w:hAnsi="宋体" w:eastAsia="宋体" w:cs="宋体"/>
          <w:b w:val="0"/>
          <w:i w:val="0"/>
          <w:caps w:val="0"/>
          <w:color w:val="auto"/>
          <w:spacing w:val="0"/>
          <w:w w:val="100"/>
          <w:kern w:val="2"/>
          <w:sz w:val="21"/>
          <w:szCs w:val="21"/>
          <w:highlight w:val="none"/>
          <w:u w:val="single" w:color="000000"/>
          <w:lang w:val="en-US" w:eastAsia="zh-CN" w:bidi="ar-SA"/>
        </w:rPr>
        <w:t xml:space="preserve">    </w:t>
      </w:r>
      <w:r>
        <w:rPr>
          <w:rFonts w:hint="eastAsia" w:ascii="宋体" w:hAnsi="宋体" w:eastAsia="宋体" w:cs="宋体"/>
          <w:b w:val="0"/>
          <w:i w:val="0"/>
          <w:caps w:val="0"/>
          <w:color w:val="auto"/>
          <w:spacing w:val="0"/>
          <w:w w:val="100"/>
          <w:kern w:val="2"/>
          <w:sz w:val="21"/>
          <w:szCs w:val="21"/>
          <w:highlight w:val="none"/>
          <w:lang w:val="en-US" w:eastAsia="zh-CN" w:bidi="ar-SA"/>
        </w:rPr>
        <w:t>月</w:t>
      </w:r>
      <w:r>
        <w:rPr>
          <w:rFonts w:hint="eastAsia" w:ascii="宋体" w:hAnsi="宋体" w:eastAsia="宋体" w:cs="宋体"/>
          <w:b w:val="0"/>
          <w:i w:val="0"/>
          <w:caps w:val="0"/>
          <w:color w:val="auto"/>
          <w:spacing w:val="0"/>
          <w:w w:val="100"/>
          <w:kern w:val="2"/>
          <w:sz w:val="21"/>
          <w:szCs w:val="21"/>
          <w:highlight w:val="none"/>
          <w:u w:val="single" w:color="000000"/>
          <w:lang w:val="en-US" w:eastAsia="zh-CN" w:bidi="ar-SA"/>
        </w:rPr>
        <w:t xml:space="preserve">   </w:t>
      </w:r>
      <w:r>
        <w:rPr>
          <w:rFonts w:hint="eastAsia" w:ascii="宋体" w:hAnsi="宋体" w:eastAsia="宋体" w:cs="宋体"/>
          <w:b w:val="0"/>
          <w:i w:val="0"/>
          <w:caps w:val="0"/>
          <w:color w:val="auto"/>
          <w:spacing w:val="0"/>
          <w:w w:val="100"/>
          <w:kern w:val="2"/>
          <w:sz w:val="21"/>
          <w:szCs w:val="21"/>
          <w:highlight w:val="none"/>
          <w:lang w:val="en-US" w:eastAsia="zh-CN" w:bidi="ar-SA"/>
        </w:rPr>
        <w:t>日</w:t>
      </w:r>
    </w:p>
    <w:p w14:paraId="16F14A87">
      <w:pPr>
        <w:snapToGrid/>
        <w:spacing w:before="0" w:beforeAutospacing="0" w:after="156" w:afterAutospacing="0" w:line="240" w:lineRule="auto"/>
        <w:ind w:firstLine="420"/>
        <w:jc w:val="left"/>
        <w:textAlignment w:val="baseline"/>
        <w:rPr>
          <w:rFonts w:hint="eastAsia" w:ascii="宋体" w:hAnsi="宋体" w:eastAsia="宋体" w:cs="宋体"/>
          <w:b w:val="0"/>
          <w:i w:val="0"/>
          <w:caps w:val="0"/>
          <w:color w:val="auto"/>
          <w:spacing w:val="0"/>
          <w:w w:val="100"/>
          <w:kern w:val="2"/>
          <w:sz w:val="21"/>
          <w:szCs w:val="21"/>
          <w:highlight w:val="none"/>
          <w:lang w:val="en-US" w:eastAsia="zh-CN" w:bidi="ar-SA"/>
        </w:rPr>
      </w:pPr>
      <w:r>
        <w:rPr>
          <w:rFonts w:hint="eastAsia" w:ascii="宋体" w:hAnsi="宋体" w:eastAsia="宋体" w:cs="宋体"/>
          <w:b w:val="0"/>
          <w:i w:val="0"/>
          <w:caps w:val="0"/>
          <w:color w:val="auto"/>
          <w:spacing w:val="0"/>
          <w:w w:val="100"/>
          <w:kern w:val="2"/>
          <w:sz w:val="21"/>
          <w:szCs w:val="21"/>
          <w:highlight w:val="none"/>
          <w:lang w:val="en-US" w:eastAsia="zh-CN" w:bidi="ar-SA"/>
        </w:rPr>
        <w:t>采购人：（意见加盖公章）</w:t>
      </w:r>
    </w:p>
    <w:p w14:paraId="1A2051EF">
      <w:pPr>
        <w:snapToGrid/>
        <w:spacing w:before="0" w:beforeAutospacing="0" w:after="156" w:afterAutospacing="0" w:line="240" w:lineRule="auto"/>
        <w:ind w:firstLine="420"/>
        <w:jc w:val="right"/>
        <w:textAlignment w:val="baseline"/>
        <w:rPr>
          <w:rFonts w:hint="eastAsia" w:ascii="宋体" w:hAnsi="宋体" w:eastAsia="宋体" w:cs="宋体"/>
          <w:b w:val="0"/>
          <w:i w:val="0"/>
          <w:caps w:val="0"/>
          <w:color w:val="auto"/>
          <w:spacing w:val="0"/>
          <w:w w:val="100"/>
          <w:kern w:val="2"/>
          <w:sz w:val="21"/>
          <w:szCs w:val="21"/>
          <w:highlight w:val="none"/>
          <w:lang w:val="en-US" w:eastAsia="zh-CN" w:bidi="ar-SA"/>
        </w:rPr>
      </w:pPr>
      <w:r>
        <w:rPr>
          <w:rFonts w:hint="eastAsia" w:ascii="宋体" w:hAnsi="宋体" w:eastAsia="宋体" w:cs="宋体"/>
          <w:b w:val="0"/>
          <w:i w:val="0"/>
          <w:caps w:val="0"/>
          <w:color w:val="auto"/>
          <w:spacing w:val="0"/>
          <w:w w:val="100"/>
          <w:kern w:val="2"/>
          <w:sz w:val="21"/>
          <w:szCs w:val="21"/>
          <w:highlight w:val="none"/>
          <w:lang w:val="en-US" w:eastAsia="zh-CN" w:bidi="ar-SA"/>
        </w:rPr>
        <w:t xml:space="preserve"> </w:t>
      </w:r>
      <w:r>
        <w:rPr>
          <w:rFonts w:hint="eastAsia" w:ascii="宋体" w:hAnsi="宋体" w:eastAsia="宋体" w:cs="宋体"/>
          <w:b w:val="0"/>
          <w:i w:val="0"/>
          <w:caps w:val="0"/>
          <w:color w:val="auto"/>
          <w:spacing w:val="0"/>
          <w:w w:val="100"/>
          <w:kern w:val="2"/>
          <w:sz w:val="21"/>
          <w:szCs w:val="21"/>
          <w:highlight w:val="none"/>
          <w:u w:val="single" w:color="000000"/>
          <w:lang w:val="en-US" w:eastAsia="zh-CN" w:bidi="ar-SA"/>
        </w:rPr>
        <w:t xml:space="preserve">       </w:t>
      </w:r>
      <w:r>
        <w:rPr>
          <w:rFonts w:hint="eastAsia" w:ascii="宋体" w:hAnsi="宋体" w:eastAsia="宋体" w:cs="宋体"/>
          <w:b w:val="0"/>
          <w:i w:val="0"/>
          <w:caps w:val="0"/>
          <w:color w:val="auto"/>
          <w:spacing w:val="0"/>
          <w:w w:val="100"/>
          <w:kern w:val="2"/>
          <w:sz w:val="21"/>
          <w:szCs w:val="21"/>
          <w:highlight w:val="none"/>
          <w:lang w:val="en-US" w:eastAsia="zh-CN" w:bidi="ar-SA"/>
        </w:rPr>
        <w:t>年</w:t>
      </w:r>
      <w:r>
        <w:rPr>
          <w:rFonts w:hint="eastAsia" w:ascii="宋体" w:hAnsi="宋体" w:eastAsia="宋体" w:cs="宋体"/>
          <w:b w:val="0"/>
          <w:i w:val="0"/>
          <w:caps w:val="0"/>
          <w:color w:val="auto"/>
          <w:spacing w:val="0"/>
          <w:w w:val="100"/>
          <w:kern w:val="2"/>
          <w:sz w:val="21"/>
          <w:szCs w:val="21"/>
          <w:highlight w:val="none"/>
          <w:u w:val="single" w:color="000000"/>
          <w:lang w:val="en-US" w:eastAsia="zh-CN" w:bidi="ar-SA"/>
        </w:rPr>
        <w:t xml:space="preserve">    </w:t>
      </w:r>
      <w:r>
        <w:rPr>
          <w:rFonts w:hint="eastAsia" w:ascii="宋体" w:hAnsi="宋体" w:eastAsia="宋体" w:cs="宋体"/>
          <w:b w:val="0"/>
          <w:i w:val="0"/>
          <w:caps w:val="0"/>
          <w:color w:val="auto"/>
          <w:spacing w:val="0"/>
          <w:w w:val="100"/>
          <w:kern w:val="2"/>
          <w:sz w:val="21"/>
          <w:szCs w:val="21"/>
          <w:highlight w:val="none"/>
          <w:lang w:val="en-US" w:eastAsia="zh-CN" w:bidi="ar-SA"/>
        </w:rPr>
        <w:t>月</w:t>
      </w:r>
      <w:r>
        <w:rPr>
          <w:rFonts w:hint="eastAsia" w:ascii="宋体" w:hAnsi="宋体" w:eastAsia="宋体" w:cs="宋体"/>
          <w:b w:val="0"/>
          <w:i w:val="0"/>
          <w:caps w:val="0"/>
          <w:color w:val="auto"/>
          <w:spacing w:val="0"/>
          <w:w w:val="100"/>
          <w:kern w:val="2"/>
          <w:sz w:val="21"/>
          <w:szCs w:val="21"/>
          <w:highlight w:val="none"/>
          <w:u w:val="single" w:color="000000"/>
          <w:lang w:val="en-US" w:eastAsia="zh-CN" w:bidi="ar-SA"/>
        </w:rPr>
        <w:t xml:space="preserve">   </w:t>
      </w:r>
      <w:r>
        <w:rPr>
          <w:rFonts w:hint="eastAsia" w:ascii="宋体" w:hAnsi="宋体" w:eastAsia="宋体" w:cs="宋体"/>
          <w:b w:val="0"/>
          <w:i w:val="0"/>
          <w:caps w:val="0"/>
          <w:color w:val="auto"/>
          <w:spacing w:val="0"/>
          <w:w w:val="100"/>
          <w:kern w:val="2"/>
          <w:sz w:val="21"/>
          <w:szCs w:val="21"/>
          <w:highlight w:val="none"/>
          <w:lang w:val="en-US" w:eastAsia="zh-CN" w:bidi="ar-SA"/>
        </w:rPr>
        <w:t>日</w:t>
      </w:r>
    </w:p>
    <w:p w14:paraId="166E1763">
      <w:pPr>
        <w:snapToGrid/>
        <w:spacing w:before="0" w:beforeAutospacing="0" w:after="156" w:afterAutospacing="0" w:line="240" w:lineRule="auto"/>
        <w:ind w:firstLine="420"/>
        <w:jc w:val="right"/>
        <w:textAlignment w:val="baseline"/>
        <w:rPr>
          <w:rFonts w:hint="eastAsia" w:ascii="宋体" w:hAnsi="宋体" w:eastAsia="宋体" w:cs="宋体"/>
          <w:b w:val="0"/>
          <w:i w:val="0"/>
          <w:caps w:val="0"/>
          <w:color w:val="auto"/>
          <w:spacing w:val="0"/>
          <w:w w:val="100"/>
          <w:kern w:val="2"/>
          <w:sz w:val="21"/>
          <w:szCs w:val="21"/>
          <w:highlight w:val="none"/>
          <w:lang w:val="en-US" w:eastAsia="zh-CN" w:bidi="ar-SA"/>
        </w:rPr>
      </w:pPr>
    </w:p>
    <w:p w14:paraId="6429494E">
      <w:pPr>
        <w:keepNext w:val="0"/>
        <w:keepLines w:val="0"/>
        <w:pageBreakBefore w:val="0"/>
        <w:widowControl w:val="0"/>
        <w:kinsoku/>
        <w:wordWrap/>
        <w:overflowPunct/>
        <w:topLinePunct w:val="0"/>
        <w:autoSpaceDE/>
        <w:autoSpaceDN/>
        <w:bidi w:val="0"/>
        <w:adjustRightInd/>
        <w:snapToGrid/>
        <w:spacing w:before="0" w:beforeAutospacing="0" w:after="156" w:afterAutospacing="0" w:line="400" w:lineRule="exact"/>
        <w:ind w:firstLine="316" w:firstLineChars="150"/>
        <w:jc w:val="both"/>
        <w:textAlignment w:val="baseline"/>
        <w:rPr>
          <w:rFonts w:hint="eastAsia" w:ascii="宋体" w:hAnsi="宋体" w:eastAsia="宋体" w:cs="宋体"/>
          <w:b/>
          <w:i w:val="0"/>
          <w:caps w:val="0"/>
          <w:color w:val="auto"/>
          <w:spacing w:val="0"/>
          <w:w w:val="100"/>
          <w:kern w:val="2"/>
          <w:sz w:val="21"/>
          <w:szCs w:val="24"/>
          <w:highlight w:val="none"/>
          <w:lang w:val="en-US" w:eastAsia="zh-CN" w:bidi="ar-SA"/>
        </w:rPr>
      </w:pPr>
    </w:p>
    <w:p w14:paraId="78BA2A8E">
      <w:pPr>
        <w:keepNext w:val="0"/>
        <w:keepLines w:val="0"/>
        <w:pageBreakBefore w:val="0"/>
        <w:widowControl w:val="0"/>
        <w:kinsoku/>
        <w:wordWrap/>
        <w:overflowPunct/>
        <w:topLinePunct w:val="0"/>
        <w:autoSpaceDE/>
        <w:autoSpaceDN/>
        <w:bidi w:val="0"/>
        <w:adjustRightInd/>
        <w:snapToGrid/>
        <w:spacing w:before="0" w:beforeAutospacing="0" w:after="156" w:afterAutospacing="0" w:line="400" w:lineRule="exact"/>
        <w:ind w:firstLine="316" w:firstLineChars="150"/>
        <w:jc w:val="both"/>
        <w:textAlignment w:val="baseline"/>
        <w:rPr>
          <w:rFonts w:hint="eastAsia" w:ascii="宋体" w:hAnsi="宋体" w:eastAsia="宋体" w:cs="宋体"/>
          <w:b/>
          <w:i w:val="0"/>
          <w:caps w:val="0"/>
          <w:color w:val="auto"/>
          <w:spacing w:val="0"/>
          <w:w w:val="100"/>
          <w:kern w:val="2"/>
          <w:sz w:val="21"/>
          <w:szCs w:val="24"/>
          <w:highlight w:val="none"/>
          <w:lang w:val="en-US" w:eastAsia="zh-CN" w:bidi="ar-SA"/>
        </w:rPr>
      </w:pPr>
      <w:r>
        <w:rPr>
          <w:rFonts w:hint="eastAsia" w:ascii="宋体" w:hAnsi="宋体" w:eastAsia="宋体" w:cs="宋体"/>
          <w:b/>
          <w:i w:val="0"/>
          <w:caps w:val="0"/>
          <w:color w:val="auto"/>
          <w:spacing w:val="0"/>
          <w:w w:val="100"/>
          <w:kern w:val="2"/>
          <w:sz w:val="21"/>
          <w:szCs w:val="24"/>
          <w:highlight w:val="none"/>
          <w:lang w:val="en-US" w:eastAsia="zh-CN" w:bidi="ar-SA"/>
        </w:rPr>
        <w:t>4、投标人有下列情况之一的，将不予退回投标保证金：</w:t>
      </w:r>
    </w:p>
    <w:p w14:paraId="405B2583">
      <w:pPr>
        <w:keepNext w:val="0"/>
        <w:keepLines w:val="0"/>
        <w:pageBreakBefore w:val="0"/>
        <w:widowControl w:val="0"/>
        <w:kinsoku/>
        <w:wordWrap/>
        <w:overflowPunct/>
        <w:topLinePunct w:val="0"/>
        <w:autoSpaceDE/>
        <w:autoSpaceDN/>
        <w:bidi w:val="0"/>
        <w:adjustRightInd/>
        <w:snapToGrid w:val="0"/>
        <w:spacing w:before="0" w:beforeAutospacing="0" w:after="0" w:afterAutospacing="0" w:line="400" w:lineRule="exact"/>
        <w:ind w:firstLine="420" w:firstLineChars="200"/>
        <w:jc w:val="both"/>
        <w:textAlignment w:val="baseline"/>
        <w:rPr>
          <w:rFonts w:hint="eastAsia" w:ascii="宋体" w:hAnsi="宋体" w:eastAsia="宋体" w:cs="宋体"/>
          <w:b w:val="0"/>
          <w:i w:val="0"/>
          <w:caps w:val="0"/>
          <w:color w:val="auto"/>
          <w:spacing w:val="0"/>
          <w:w w:val="100"/>
          <w:kern w:val="2"/>
          <w:sz w:val="21"/>
          <w:szCs w:val="24"/>
          <w:highlight w:val="none"/>
          <w:lang w:val="en-US" w:eastAsia="zh-CN" w:bidi="ar-SA"/>
        </w:rPr>
      </w:pPr>
      <w:r>
        <w:rPr>
          <w:rFonts w:hint="eastAsia" w:ascii="宋体" w:hAnsi="宋体" w:eastAsia="宋体" w:cs="宋体"/>
          <w:b w:val="0"/>
          <w:i w:val="0"/>
          <w:caps w:val="0"/>
          <w:color w:val="auto"/>
          <w:spacing w:val="0"/>
          <w:w w:val="100"/>
          <w:kern w:val="2"/>
          <w:sz w:val="21"/>
          <w:szCs w:val="24"/>
          <w:highlight w:val="none"/>
          <w:lang w:val="en-US" w:eastAsia="zh-CN" w:bidi="ar-SA"/>
        </w:rPr>
        <w:t>（1）投标人在投标有效期内撤销其投标文件的；</w:t>
      </w:r>
    </w:p>
    <w:p w14:paraId="0A110863">
      <w:pPr>
        <w:keepNext w:val="0"/>
        <w:keepLines w:val="0"/>
        <w:pageBreakBefore w:val="0"/>
        <w:widowControl w:val="0"/>
        <w:kinsoku/>
        <w:wordWrap/>
        <w:overflowPunct/>
        <w:topLinePunct w:val="0"/>
        <w:autoSpaceDE/>
        <w:autoSpaceDN/>
        <w:bidi w:val="0"/>
        <w:adjustRightInd/>
        <w:snapToGrid w:val="0"/>
        <w:spacing w:before="0" w:beforeAutospacing="0" w:after="0" w:afterAutospacing="0" w:line="400" w:lineRule="exact"/>
        <w:ind w:firstLine="420" w:firstLineChars="200"/>
        <w:jc w:val="both"/>
        <w:textAlignment w:val="baseline"/>
        <w:rPr>
          <w:rFonts w:hint="eastAsia" w:ascii="宋体" w:hAnsi="宋体" w:eastAsia="宋体" w:cs="宋体"/>
          <w:b/>
          <w:bCs/>
          <w:i w:val="0"/>
          <w:caps w:val="0"/>
          <w:color w:val="auto"/>
          <w:spacing w:val="0"/>
          <w:w w:val="100"/>
          <w:kern w:val="2"/>
          <w:sz w:val="28"/>
          <w:szCs w:val="28"/>
          <w:highlight w:val="none"/>
          <w:lang w:val="en-US" w:eastAsia="zh-CN" w:bidi="ar-SA"/>
        </w:rPr>
      </w:pPr>
      <w:r>
        <w:rPr>
          <w:rFonts w:hint="eastAsia" w:ascii="宋体" w:hAnsi="宋体" w:eastAsia="宋体" w:cs="宋体"/>
          <w:b w:val="0"/>
          <w:i w:val="0"/>
          <w:caps w:val="0"/>
          <w:color w:val="auto"/>
          <w:spacing w:val="0"/>
          <w:w w:val="100"/>
          <w:kern w:val="2"/>
          <w:sz w:val="21"/>
          <w:szCs w:val="24"/>
          <w:highlight w:val="none"/>
          <w:lang w:val="en-US" w:eastAsia="zh-CN" w:bidi="ar-SA"/>
        </w:rPr>
        <w:t>（2）中标人无正当理由不与招标人订立合同，在签订合同时向招标人提出附加条件，或者不按照招标文件要求提交履约保证金的。</w:t>
      </w:r>
    </w:p>
    <w:p w14:paraId="3A4B6450">
      <w:pPr>
        <w:widowControl/>
        <w:jc w:val="left"/>
        <w:rPr>
          <w:rFonts w:ascii="黑体" w:hAnsi="Times New Roman" w:eastAsia="黑体" w:cs="Times New Roman"/>
          <w:color w:val="auto"/>
          <w:sz w:val="32"/>
          <w:szCs w:val="32"/>
          <w:highlight w:val="none"/>
        </w:rPr>
      </w:pPr>
    </w:p>
    <w:p w14:paraId="39A83711">
      <w:pPr>
        <w:widowControl/>
        <w:jc w:val="left"/>
        <w:rPr>
          <w:rFonts w:ascii="黑体" w:hAnsi="Times New Roman" w:eastAsia="黑体" w:cs="Times New Roman"/>
          <w:color w:val="auto"/>
          <w:sz w:val="32"/>
          <w:szCs w:val="32"/>
          <w:highlight w:val="none"/>
        </w:rPr>
      </w:pPr>
    </w:p>
    <w:p w14:paraId="13808023">
      <w:pPr>
        <w:widowControl/>
        <w:jc w:val="left"/>
        <w:rPr>
          <w:rFonts w:hint="eastAsia" w:ascii="黑体" w:hAnsi="宋体" w:eastAsia="黑体" w:cs="Times New Roman"/>
          <w:b/>
          <w:bCs/>
          <w:color w:val="auto"/>
          <w:kern w:val="2"/>
          <w:sz w:val="28"/>
          <w:szCs w:val="28"/>
          <w:highlight w:val="none"/>
          <w:lang w:val="en-US" w:eastAsia="zh-CN" w:bidi="ar-SA"/>
        </w:rPr>
      </w:pPr>
      <w:r>
        <w:rPr>
          <w:rFonts w:hint="eastAsia" w:ascii="黑体" w:hAnsi="Times New Roman" w:eastAsia="黑体" w:cs="Times New Roman"/>
          <w:color w:val="auto"/>
          <w:sz w:val="24"/>
          <w:szCs w:val="24"/>
          <w:highlight w:val="none"/>
          <w:lang w:val="en-US" w:eastAsia="zh-CN"/>
        </w:rPr>
        <w:t>备注：退款申请无需做到投标文件中</w:t>
      </w:r>
      <w:r>
        <w:rPr>
          <w:rFonts w:ascii="黑体" w:eastAsia="黑体"/>
          <w:color w:val="auto"/>
          <w:sz w:val="32"/>
          <w:szCs w:val="32"/>
          <w:highlight w:val="none"/>
        </w:rPr>
        <w:br w:type="page"/>
      </w:r>
    </w:p>
    <w:p w14:paraId="2A3A8ADA">
      <w:pPr>
        <w:spacing w:before="216" w:line="224" w:lineRule="auto"/>
        <w:ind w:left="2052"/>
        <w:outlineLvl w:val="2"/>
        <w:rPr>
          <w:rFonts w:hint="eastAsia" w:ascii="黑体" w:hAnsi="宋体" w:eastAsia="黑体" w:cs="Times New Roman"/>
          <w:b/>
          <w:bCs/>
          <w:color w:val="auto"/>
          <w:kern w:val="2"/>
          <w:sz w:val="28"/>
          <w:szCs w:val="28"/>
          <w:highlight w:val="none"/>
          <w:lang w:val="en-US" w:eastAsia="zh-CN" w:bidi="ar-SA"/>
        </w:rPr>
        <w:sectPr>
          <w:pgSz w:w="11905" w:h="16839"/>
          <w:pgMar w:top="1238" w:right="1478" w:bottom="1097" w:left="1387" w:header="917" w:footer="702" w:gutter="0"/>
          <w:pgBorders>
            <w:top w:val="none" w:sz="0" w:space="0"/>
            <w:left w:val="none" w:sz="0" w:space="0"/>
            <w:bottom w:val="none" w:sz="0" w:space="0"/>
            <w:right w:val="none" w:sz="0" w:space="0"/>
          </w:pgBorders>
          <w:pgNumType w:fmt="decimal"/>
          <w:cols w:space="720" w:num="1"/>
        </w:sectPr>
      </w:pPr>
    </w:p>
    <w:p w14:paraId="13820785">
      <w:pPr>
        <w:pStyle w:val="24"/>
        <w:rPr>
          <w:rFonts w:hint="eastAsia"/>
          <w:color w:val="auto"/>
          <w:highlight w:val="none"/>
          <w:lang w:val="en-US" w:eastAsia="zh-CN"/>
        </w:rPr>
      </w:pPr>
    </w:p>
    <w:p w14:paraId="1660A43B">
      <w:pPr>
        <w:spacing w:before="216" w:line="224" w:lineRule="auto"/>
        <w:ind w:left="2052"/>
        <w:outlineLvl w:val="2"/>
        <w:rPr>
          <w:rFonts w:hint="eastAsia" w:ascii="黑体" w:hAnsi="宋体" w:eastAsia="黑体" w:cs="Times New Roman"/>
          <w:b/>
          <w:bCs/>
          <w:color w:val="auto"/>
          <w:kern w:val="2"/>
          <w:sz w:val="28"/>
          <w:szCs w:val="28"/>
          <w:highlight w:val="none"/>
          <w:lang w:val="en-US" w:eastAsia="zh-CN" w:bidi="ar-SA"/>
        </w:rPr>
      </w:pPr>
    </w:p>
    <w:p w14:paraId="0C0374A5">
      <w:pPr>
        <w:spacing w:before="216" w:line="224" w:lineRule="auto"/>
        <w:jc w:val="center"/>
        <w:outlineLvl w:val="2"/>
        <w:rPr>
          <w:rFonts w:hint="eastAsia" w:ascii="黑体" w:hAnsi="宋体" w:eastAsia="黑体" w:cs="Times New Roman"/>
          <w:b/>
          <w:bCs/>
          <w:color w:val="auto"/>
          <w:kern w:val="2"/>
          <w:sz w:val="28"/>
          <w:szCs w:val="28"/>
          <w:highlight w:val="none"/>
          <w:lang w:val="en-US" w:eastAsia="zh-CN" w:bidi="ar-SA"/>
        </w:rPr>
      </w:pPr>
      <w:bookmarkStart w:id="116" w:name="_Toc13336"/>
      <w:r>
        <w:rPr>
          <w:rFonts w:hint="eastAsia" w:ascii="黑体" w:hAnsi="宋体" w:eastAsia="黑体" w:cs="Times New Roman"/>
          <w:b/>
          <w:bCs/>
          <w:color w:val="auto"/>
          <w:kern w:val="2"/>
          <w:sz w:val="28"/>
          <w:szCs w:val="28"/>
          <w:highlight w:val="none"/>
          <w:lang w:val="en-US" w:eastAsia="zh-CN" w:bidi="ar-SA"/>
        </w:rPr>
        <w:t>三、法定代表人(单位负责人)身份证明</w:t>
      </w:r>
      <w:bookmarkEnd w:id="116"/>
    </w:p>
    <w:p w14:paraId="17EED8ED">
      <w:pPr>
        <w:spacing w:line="273" w:lineRule="auto"/>
        <w:rPr>
          <w:rFonts w:ascii="Arial"/>
          <w:color w:val="auto"/>
          <w:sz w:val="21"/>
          <w:highlight w:val="none"/>
        </w:rPr>
      </w:pPr>
    </w:p>
    <w:p w14:paraId="79EA22BA">
      <w:pPr>
        <w:spacing w:line="274" w:lineRule="auto"/>
        <w:rPr>
          <w:rFonts w:ascii="Arial"/>
          <w:color w:val="auto"/>
          <w:sz w:val="21"/>
          <w:highlight w:val="none"/>
        </w:rPr>
      </w:pPr>
    </w:p>
    <w:p w14:paraId="4C296F77">
      <w:pPr>
        <w:spacing w:before="68" w:line="221" w:lineRule="auto"/>
        <w:ind w:left="140"/>
        <w:rPr>
          <w:rFonts w:ascii="宋体" w:hAnsi="宋体" w:eastAsia="宋体" w:cs="宋体"/>
          <w:color w:val="auto"/>
          <w:sz w:val="21"/>
          <w:szCs w:val="21"/>
          <w:highlight w:val="none"/>
        </w:rPr>
      </w:pPr>
      <w:r>
        <w:rPr>
          <w:rFonts w:ascii="宋体" w:hAnsi="宋体" w:eastAsia="宋体" w:cs="宋体"/>
          <w:color w:val="auto"/>
          <w:spacing w:val="-4"/>
          <w:sz w:val="21"/>
          <w:szCs w:val="21"/>
          <w:highlight w:val="none"/>
        </w:rPr>
        <w:t>投</w:t>
      </w:r>
      <w:r>
        <w:rPr>
          <w:rFonts w:ascii="宋体" w:hAnsi="宋体" w:eastAsia="宋体" w:cs="宋体"/>
          <w:color w:val="auto"/>
          <w:spacing w:val="-2"/>
          <w:sz w:val="21"/>
          <w:szCs w:val="21"/>
          <w:highlight w:val="none"/>
        </w:rPr>
        <w:t>标人名称：</w:t>
      </w:r>
      <w:r>
        <w:rPr>
          <w:rFonts w:ascii="宋体" w:hAnsi="宋体" w:eastAsia="宋体" w:cs="宋体"/>
          <w:color w:val="auto"/>
          <w:sz w:val="21"/>
          <w:szCs w:val="21"/>
          <w:highlight w:val="none"/>
          <w:u w:val="single" w:color="auto"/>
        </w:rPr>
        <w:t xml:space="preserve">                  </w:t>
      </w:r>
    </w:p>
    <w:p w14:paraId="51D38C6A">
      <w:pPr>
        <w:spacing w:before="156" w:line="359" w:lineRule="auto"/>
        <w:ind w:left="142"/>
        <w:rPr>
          <w:rFonts w:ascii="宋体" w:hAnsi="宋体" w:eastAsia="宋体" w:cs="宋体"/>
          <w:color w:val="auto"/>
          <w:sz w:val="21"/>
          <w:szCs w:val="21"/>
          <w:highlight w:val="none"/>
        </w:rPr>
      </w:pPr>
      <w:r>
        <w:rPr>
          <w:rFonts w:ascii="宋体" w:hAnsi="宋体" w:eastAsia="宋体" w:cs="宋体"/>
          <w:color w:val="auto"/>
          <w:spacing w:val="-19"/>
          <w:sz w:val="21"/>
          <w:szCs w:val="21"/>
          <w:highlight w:val="none"/>
        </w:rPr>
        <w:t>统</w:t>
      </w:r>
      <w:r>
        <w:rPr>
          <w:rFonts w:ascii="宋体" w:hAnsi="宋体" w:eastAsia="宋体" w:cs="宋体"/>
          <w:color w:val="auto"/>
          <w:spacing w:val="-13"/>
          <w:sz w:val="21"/>
          <w:szCs w:val="21"/>
          <w:highlight w:val="none"/>
        </w:rPr>
        <w:t>一社会信用代码：</w:t>
      </w:r>
      <w:r>
        <w:rPr>
          <w:rFonts w:ascii="宋体" w:hAnsi="宋体" w:eastAsia="宋体" w:cs="宋体"/>
          <w:color w:val="auto"/>
          <w:sz w:val="21"/>
          <w:szCs w:val="21"/>
          <w:highlight w:val="none"/>
          <w:u w:val="single" w:color="auto"/>
        </w:rPr>
        <w:t xml:space="preserve">                  </w:t>
      </w:r>
    </w:p>
    <w:p w14:paraId="06CFCDB7">
      <w:pPr>
        <w:spacing w:line="222" w:lineRule="auto"/>
        <w:ind w:left="137"/>
        <w:rPr>
          <w:rFonts w:ascii="宋体" w:hAnsi="宋体" w:eastAsia="宋体" w:cs="宋体"/>
          <w:color w:val="auto"/>
          <w:sz w:val="21"/>
          <w:szCs w:val="21"/>
          <w:highlight w:val="none"/>
        </w:rPr>
      </w:pPr>
      <w:r>
        <w:rPr>
          <w:rFonts w:hint="eastAsia" w:ascii="宋体" w:hAnsi="宋体" w:eastAsia="宋体" w:cs="宋体"/>
          <w:color w:val="auto"/>
          <w:spacing w:val="-33"/>
          <w:sz w:val="21"/>
          <w:szCs w:val="21"/>
          <w:highlight w:val="none"/>
          <w:lang w:val="en-US" w:eastAsia="zh-CN"/>
        </w:rPr>
        <w:t>注册地址</w:t>
      </w:r>
      <w:r>
        <w:rPr>
          <w:rFonts w:ascii="宋体" w:hAnsi="宋体" w:eastAsia="宋体" w:cs="宋体"/>
          <w:color w:val="auto"/>
          <w:spacing w:val="-31"/>
          <w:sz w:val="21"/>
          <w:szCs w:val="21"/>
          <w:highlight w:val="none"/>
        </w:rPr>
        <w:t>：</w:t>
      </w:r>
      <w:r>
        <w:rPr>
          <w:rFonts w:ascii="宋体" w:hAnsi="宋体" w:eastAsia="宋体" w:cs="宋体"/>
          <w:color w:val="auto"/>
          <w:sz w:val="21"/>
          <w:szCs w:val="21"/>
          <w:highlight w:val="none"/>
          <w:u w:val="single" w:color="auto"/>
        </w:rPr>
        <w:t xml:space="preserve">                  </w:t>
      </w:r>
    </w:p>
    <w:p w14:paraId="08E6F372">
      <w:pPr>
        <w:spacing w:before="155" w:line="220" w:lineRule="auto"/>
        <w:ind w:left="560"/>
        <w:rPr>
          <w:rFonts w:ascii="宋体" w:hAnsi="宋体" w:eastAsia="宋体" w:cs="宋体"/>
          <w:color w:val="auto"/>
          <w:sz w:val="21"/>
          <w:szCs w:val="21"/>
          <w:highlight w:val="none"/>
        </w:rPr>
      </w:pPr>
      <w:r>
        <w:rPr>
          <w:rFonts w:ascii="宋体" w:hAnsi="宋体" w:eastAsia="宋体" w:cs="宋体"/>
          <w:color w:val="auto"/>
          <w:spacing w:val="-12"/>
          <w:sz w:val="21"/>
          <w:szCs w:val="21"/>
          <w:highlight w:val="none"/>
        </w:rPr>
        <w:t>姓名：</w:t>
      </w:r>
      <w:r>
        <w:rPr>
          <w:rFonts w:ascii="宋体" w:hAnsi="宋体" w:eastAsia="宋体" w:cs="宋体"/>
          <w:color w:val="auto"/>
          <w:spacing w:val="-12"/>
          <w:sz w:val="21"/>
          <w:szCs w:val="21"/>
          <w:highlight w:val="none"/>
          <w:u w:val="single" w:color="auto"/>
        </w:rPr>
        <w:t xml:space="preserve">   </w:t>
      </w:r>
      <w:r>
        <w:rPr>
          <w:rFonts w:ascii="宋体" w:hAnsi="宋体" w:eastAsia="宋体" w:cs="宋体"/>
          <w:color w:val="auto"/>
          <w:spacing w:val="-8"/>
          <w:sz w:val="21"/>
          <w:szCs w:val="21"/>
          <w:highlight w:val="none"/>
          <w:u w:val="single" w:color="auto"/>
        </w:rPr>
        <w:t xml:space="preserve"> </w:t>
      </w:r>
      <w:r>
        <w:rPr>
          <w:rFonts w:ascii="宋体" w:hAnsi="宋体" w:eastAsia="宋体" w:cs="宋体"/>
          <w:color w:val="auto"/>
          <w:spacing w:val="-6"/>
          <w:sz w:val="21"/>
          <w:szCs w:val="21"/>
          <w:highlight w:val="none"/>
          <w:u w:val="single" w:color="auto"/>
        </w:rPr>
        <w:t xml:space="preserve">      </w:t>
      </w:r>
      <w:r>
        <w:rPr>
          <w:rFonts w:ascii="宋体" w:hAnsi="宋体" w:eastAsia="宋体" w:cs="宋体"/>
          <w:color w:val="auto"/>
          <w:spacing w:val="-6"/>
          <w:sz w:val="21"/>
          <w:szCs w:val="21"/>
          <w:highlight w:val="none"/>
        </w:rPr>
        <w:t>性别：</w:t>
      </w:r>
      <w:r>
        <w:rPr>
          <w:rFonts w:ascii="宋体" w:hAnsi="宋体" w:eastAsia="宋体" w:cs="宋体"/>
          <w:color w:val="auto"/>
          <w:spacing w:val="-6"/>
          <w:sz w:val="21"/>
          <w:szCs w:val="21"/>
          <w:highlight w:val="none"/>
          <w:u w:val="single" w:color="auto"/>
        </w:rPr>
        <w:t xml:space="preserve">          </w:t>
      </w:r>
      <w:r>
        <w:rPr>
          <w:rFonts w:ascii="宋体" w:hAnsi="宋体" w:eastAsia="宋体" w:cs="宋体"/>
          <w:color w:val="auto"/>
          <w:spacing w:val="-6"/>
          <w:sz w:val="21"/>
          <w:szCs w:val="21"/>
          <w:highlight w:val="none"/>
        </w:rPr>
        <w:t>年龄：</w:t>
      </w:r>
      <w:r>
        <w:rPr>
          <w:rFonts w:ascii="宋体" w:hAnsi="宋体" w:eastAsia="宋体" w:cs="宋体"/>
          <w:color w:val="auto"/>
          <w:spacing w:val="-6"/>
          <w:sz w:val="21"/>
          <w:szCs w:val="21"/>
          <w:highlight w:val="none"/>
          <w:u w:val="single" w:color="auto"/>
        </w:rPr>
        <w:t xml:space="preserve">          </w:t>
      </w:r>
      <w:r>
        <w:rPr>
          <w:rFonts w:ascii="宋体" w:hAnsi="宋体" w:eastAsia="宋体" w:cs="宋体"/>
          <w:color w:val="auto"/>
          <w:spacing w:val="-6"/>
          <w:sz w:val="21"/>
          <w:szCs w:val="21"/>
          <w:highlight w:val="none"/>
        </w:rPr>
        <w:t>职务：</w:t>
      </w:r>
      <w:r>
        <w:rPr>
          <w:rFonts w:ascii="宋体" w:hAnsi="宋体" w:eastAsia="宋体" w:cs="宋体"/>
          <w:color w:val="auto"/>
          <w:spacing w:val="-6"/>
          <w:sz w:val="21"/>
          <w:szCs w:val="21"/>
          <w:highlight w:val="none"/>
          <w:u w:val="single" w:color="auto"/>
        </w:rPr>
        <w:t xml:space="preserve">          </w:t>
      </w:r>
      <w:r>
        <w:rPr>
          <w:rFonts w:ascii="宋体" w:hAnsi="宋体" w:eastAsia="宋体" w:cs="宋体"/>
          <w:color w:val="auto"/>
          <w:spacing w:val="-6"/>
          <w:sz w:val="21"/>
          <w:szCs w:val="21"/>
          <w:highlight w:val="none"/>
        </w:rPr>
        <w:t>系</w:t>
      </w:r>
      <w:r>
        <w:rPr>
          <w:rFonts w:ascii="宋体" w:hAnsi="宋体" w:eastAsia="宋体" w:cs="宋体"/>
          <w:color w:val="auto"/>
          <w:spacing w:val="-6"/>
          <w:sz w:val="21"/>
          <w:szCs w:val="21"/>
          <w:highlight w:val="none"/>
          <w:u w:val="single" w:color="auto"/>
        </w:rPr>
        <w:t xml:space="preserve">          </w:t>
      </w:r>
      <w:r>
        <w:rPr>
          <w:rFonts w:ascii="宋体" w:hAnsi="宋体" w:eastAsia="宋体" w:cs="宋体"/>
          <w:color w:val="auto"/>
          <w:spacing w:val="-6"/>
          <w:sz w:val="21"/>
          <w:szCs w:val="21"/>
          <w:highlight w:val="none"/>
        </w:rPr>
        <w:t>(投标人名</w:t>
      </w:r>
    </w:p>
    <w:p w14:paraId="34F391CF">
      <w:pPr>
        <w:spacing w:before="157" w:line="218" w:lineRule="auto"/>
        <w:ind w:left="136"/>
        <w:rPr>
          <w:rFonts w:ascii="宋体" w:hAnsi="宋体" w:eastAsia="宋体" w:cs="宋体"/>
          <w:color w:val="auto"/>
          <w:sz w:val="21"/>
          <w:szCs w:val="21"/>
          <w:highlight w:val="none"/>
        </w:rPr>
      </w:pPr>
      <w:r>
        <w:rPr>
          <w:rFonts w:ascii="宋体" w:hAnsi="宋体" w:eastAsia="宋体" w:cs="宋体"/>
          <w:color w:val="auto"/>
          <w:spacing w:val="-15"/>
          <w:sz w:val="21"/>
          <w:szCs w:val="21"/>
          <w:highlight w:val="none"/>
        </w:rPr>
        <w:t>称</w:t>
      </w:r>
      <w:r>
        <w:rPr>
          <w:rFonts w:ascii="宋体" w:hAnsi="宋体" w:eastAsia="宋体" w:cs="宋体"/>
          <w:color w:val="auto"/>
          <w:spacing w:val="-9"/>
          <w:sz w:val="21"/>
          <w:szCs w:val="21"/>
          <w:highlight w:val="none"/>
        </w:rPr>
        <w:t>) 的法定代表人 (单位负责人。)</w:t>
      </w:r>
    </w:p>
    <w:p w14:paraId="5558C7CA">
      <w:pPr>
        <w:spacing w:before="160" w:line="221" w:lineRule="auto"/>
        <w:ind w:left="555"/>
        <w:rPr>
          <w:rFonts w:ascii="宋体" w:hAnsi="宋体" w:eastAsia="宋体" w:cs="宋体"/>
          <w:color w:val="auto"/>
          <w:sz w:val="21"/>
          <w:szCs w:val="21"/>
          <w:highlight w:val="none"/>
        </w:rPr>
      </w:pPr>
      <w:r>
        <w:rPr>
          <w:rFonts w:ascii="宋体" w:hAnsi="宋体" w:eastAsia="宋体" w:cs="宋体"/>
          <w:color w:val="auto"/>
          <w:spacing w:val="-8"/>
          <w:sz w:val="21"/>
          <w:szCs w:val="21"/>
          <w:highlight w:val="none"/>
        </w:rPr>
        <w:t>特</w:t>
      </w:r>
      <w:r>
        <w:rPr>
          <w:rFonts w:ascii="宋体" w:hAnsi="宋体" w:eastAsia="宋体" w:cs="宋体"/>
          <w:color w:val="auto"/>
          <w:spacing w:val="-4"/>
          <w:sz w:val="21"/>
          <w:szCs w:val="21"/>
          <w:highlight w:val="none"/>
        </w:rPr>
        <w:t>此证明。</w:t>
      </w:r>
    </w:p>
    <w:p w14:paraId="75E235BF">
      <w:pPr>
        <w:spacing w:before="157" w:line="218" w:lineRule="auto"/>
        <w:ind w:left="154"/>
        <w:rPr>
          <w:rFonts w:ascii="宋体" w:hAnsi="宋体" w:eastAsia="宋体" w:cs="宋体"/>
          <w:color w:val="auto"/>
          <w:sz w:val="21"/>
          <w:szCs w:val="21"/>
          <w:highlight w:val="none"/>
        </w:rPr>
      </w:pPr>
      <w:r>
        <w:rPr>
          <w:rFonts w:ascii="宋体" w:hAnsi="宋体" w:eastAsia="宋体" w:cs="宋体"/>
          <w:color w:val="auto"/>
          <w:spacing w:val="-12"/>
          <w:sz w:val="21"/>
          <w:szCs w:val="21"/>
          <w:highlight w:val="none"/>
        </w:rPr>
        <w:t xml:space="preserve">附： </w:t>
      </w:r>
      <w:r>
        <w:rPr>
          <w:rFonts w:ascii="宋体" w:hAnsi="宋体" w:eastAsia="宋体" w:cs="宋体"/>
          <w:color w:val="auto"/>
          <w:spacing w:val="-6"/>
          <w:sz w:val="21"/>
          <w:szCs w:val="21"/>
          <w:highlight w:val="none"/>
        </w:rPr>
        <w:t>法定代表人 (单位负责人) 身份证复印件。</w:t>
      </w:r>
    </w:p>
    <w:p w14:paraId="16737FF9">
      <w:pPr>
        <w:spacing w:line="135" w:lineRule="exact"/>
        <w:rPr>
          <w:color w:val="auto"/>
          <w:highlight w:val="none"/>
        </w:rPr>
      </w:pPr>
    </w:p>
    <w:tbl>
      <w:tblPr>
        <w:tblStyle w:val="35"/>
        <w:tblW w:w="0" w:type="auto"/>
        <w:tblInd w:w="59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901"/>
        <w:gridCol w:w="3906"/>
      </w:tblGrid>
      <w:tr w14:paraId="48EC27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72" w:hRule="atLeast"/>
        </w:trPr>
        <w:tc>
          <w:tcPr>
            <w:tcW w:w="3901" w:type="dxa"/>
            <w:noWrap w:val="0"/>
            <w:vAlign w:val="top"/>
          </w:tcPr>
          <w:p w14:paraId="01C58048">
            <w:pPr>
              <w:spacing w:line="390" w:lineRule="auto"/>
              <w:rPr>
                <w:rFonts w:ascii="Arial"/>
                <w:color w:val="auto"/>
                <w:sz w:val="21"/>
                <w:highlight w:val="none"/>
              </w:rPr>
            </w:pPr>
          </w:p>
          <w:p w14:paraId="196B718F">
            <w:pPr>
              <w:spacing w:before="68" w:line="221" w:lineRule="auto"/>
              <w:ind w:left="916"/>
              <w:rPr>
                <w:rFonts w:ascii="宋体" w:hAnsi="宋体" w:eastAsia="宋体" w:cs="宋体"/>
                <w:color w:val="auto"/>
                <w:sz w:val="21"/>
                <w:szCs w:val="21"/>
                <w:highlight w:val="none"/>
              </w:rPr>
            </w:pPr>
            <w:r>
              <w:rPr>
                <w:rFonts w:ascii="宋体" w:hAnsi="宋体" w:eastAsia="宋体" w:cs="宋体"/>
                <w:color w:val="auto"/>
                <w:spacing w:val="13"/>
                <w:sz w:val="21"/>
                <w:szCs w:val="21"/>
                <w:highlight w:val="none"/>
              </w:rPr>
              <w:t>身</w:t>
            </w:r>
            <w:r>
              <w:rPr>
                <w:rFonts w:ascii="宋体" w:hAnsi="宋体" w:eastAsia="宋体" w:cs="宋体"/>
                <w:color w:val="auto"/>
                <w:spacing w:val="8"/>
                <w:sz w:val="21"/>
                <w:szCs w:val="21"/>
                <w:highlight w:val="none"/>
              </w:rPr>
              <w:t>份证(正面) 复印件</w:t>
            </w:r>
          </w:p>
        </w:tc>
        <w:tc>
          <w:tcPr>
            <w:tcW w:w="3906" w:type="dxa"/>
            <w:noWrap w:val="0"/>
            <w:vAlign w:val="top"/>
          </w:tcPr>
          <w:p w14:paraId="79850C9A">
            <w:pPr>
              <w:spacing w:line="390" w:lineRule="auto"/>
              <w:rPr>
                <w:rFonts w:ascii="Arial"/>
                <w:color w:val="auto"/>
                <w:sz w:val="21"/>
                <w:highlight w:val="none"/>
              </w:rPr>
            </w:pPr>
          </w:p>
          <w:p w14:paraId="09FF460C">
            <w:pPr>
              <w:spacing w:before="68" w:line="221" w:lineRule="auto"/>
              <w:ind w:left="914"/>
              <w:rPr>
                <w:rFonts w:ascii="宋体" w:hAnsi="宋体" w:eastAsia="宋体" w:cs="宋体"/>
                <w:color w:val="auto"/>
                <w:sz w:val="21"/>
                <w:szCs w:val="21"/>
                <w:highlight w:val="none"/>
              </w:rPr>
            </w:pPr>
            <w:r>
              <w:rPr>
                <w:rFonts w:ascii="宋体" w:hAnsi="宋体" w:eastAsia="宋体" w:cs="宋体"/>
                <w:color w:val="auto"/>
                <w:spacing w:val="13"/>
                <w:sz w:val="21"/>
                <w:szCs w:val="21"/>
                <w:highlight w:val="none"/>
              </w:rPr>
              <w:t>身</w:t>
            </w:r>
            <w:r>
              <w:rPr>
                <w:rFonts w:ascii="宋体" w:hAnsi="宋体" w:eastAsia="宋体" w:cs="宋体"/>
                <w:color w:val="auto"/>
                <w:spacing w:val="8"/>
                <w:sz w:val="21"/>
                <w:szCs w:val="21"/>
                <w:highlight w:val="none"/>
              </w:rPr>
              <w:t>份证(反面) 复印件</w:t>
            </w:r>
          </w:p>
        </w:tc>
      </w:tr>
    </w:tbl>
    <w:p w14:paraId="0EAEB18A">
      <w:pPr>
        <w:spacing w:line="367" w:lineRule="auto"/>
        <w:rPr>
          <w:rFonts w:ascii="Arial"/>
          <w:color w:val="auto"/>
          <w:sz w:val="21"/>
          <w:highlight w:val="none"/>
        </w:rPr>
      </w:pPr>
    </w:p>
    <w:p w14:paraId="1C1E5E56">
      <w:pPr>
        <w:spacing w:before="69" w:line="821" w:lineRule="exact"/>
        <w:ind w:left="37"/>
        <w:rPr>
          <w:rFonts w:ascii="宋体" w:hAnsi="宋体" w:eastAsia="宋体" w:cs="宋体"/>
          <w:color w:val="auto"/>
          <w:sz w:val="21"/>
          <w:szCs w:val="21"/>
          <w:highlight w:val="none"/>
        </w:rPr>
      </w:pPr>
      <w:r>
        <w:rPr>
          <w:rFonts w:ascii="宋体" w:hAnsi="宋体" w:eastAsia="宋体" w:cs="宋体"/>
          <w:color w:val="auto"/>
          <w:spacing w:val="10"/>
          <w:position w:val="48"/>
          <w:sz w:val="21"/>
          <w:szCs w:val="21"/>
          <w:highlight w:val="none"/>
        </w:rPr>
        <w:t>注</w:t>
      </w:r>
      <w:r>
        <w:rPr>
          <w:rFonts w:ascii="宋体" w:hAnsi="宋体" w:eastAsia="宋体" w:cs="宋体"/>
          <w:color w:val="auto"/>
          <w:spacing w:val="9"/>
          <w:position w:val="48"/>
          <w:sz w:val="21"/>
          <w:szCs w:val="21"/>
          <w:highlight w:val="none"/>
        </w:rPr>
        <w:t>：</w:t>
      </w:r>
      <w:r>
        <w:rPr>
          <w:rFonts w:ascii="宋体" w:hAnsi="宋体" w:eastAsia="宋体" w:cs="宋体"/>
          <w:color w:val="auto"/>
          <w:spacing w:val="5"/>
          <w:position w:val="48"/>
          <w:sz w:val="21"/>
          <w:szCs w:val="21"/>
          <w:highlight w:val="none"/>
        </w:rPr>
        <w:t>投标人代表为法定代表人(单位负责人)的提供。自然人投标的无需提供。</w:t>
      </w:r>
    </w:p>
    <w:p w14:paraId="341FD2A1">
      <w:pPr>
        <w:spacing w:before="1" w:line="219" w:lineRule="auto"/>
        <w:ind w:left="39"/>
        <w:rPr>
          <w:rFonts w:ascii="宋体" w:hAnsi="宋体" w:eastAsia="宋体" w:cs="宋体"/>
          <w:color w:val="auto"/>
          <w:sz w:val="21"/>
          <w:szCs w:val="21"/>
          <w:highlight w:val="none"/>
        </w:rPr>
      </w:pPr>
      <w:r>
        <w:rPr>
          <w:rFonts w:ascii="宋体" w:hAnsi="宋体" w:eastAsia="宋体" w:cs="宋体"/>
          <w:color w:val="auto"/>
          <w:spacing w:val="5"/>
          <w:sz w:val="21"/>
          <w:szCs w:val="21"/>
          <w:highlight w:val="none"/>
        </w:rPr>
        <w:t>投</w:t>
      </w:r>
      <w:r>
        <w:rPr>
          <w:rFonts w:ascii="宋体" w:hAnsi="宋体" w:eastAsia="宋体" w:cs="宋体"/>
          <w:color w:val="auto"/>
          <w:spacing w:val="4"/>
          <w:sz w:val="21"/>
          <w:szCs w:val="21"/>
          <w:highlight w:val="none"/>
        </w:rPr>
        <w:t>标人名称(盖单位章)：</w:t>
      </w:r>
      <w:r>
        <w:rPr>
          <w:rFonts w:ascii="宋体" w:hAnsi="宋体" w:eastAsia="宋体" w:cs="宋体"/>
          <w:color w:val="auto"/>
          <w:sz w:val="21"/>
          <w:szCs w:val="21"/>
          <w:highlight w:val="none"/>
          <w:u w:val="single" w:color="auto"/>
        </w:rPr>
        <w:t xml:space="preserve">          </w:t>
      </w:r>
    </w:p>
    <w:p w14:paraId="601C5DF3">
      <w:pPr>
        <w:spacing w:before="157" w:line="221" w:lineRule="auto"/>
        <w:ind w:left="73"/>
        <w:rPr>
          <w:rFonts w:ascii="宋体" w:hAnsi="宋体" w:eastAsia="宋体" w:cs="宋体"/>
          <w:color w:val="auto"/>
          <w:sz w:val="21"/>
          <w:szCs w:val="21"/>
          <w:highlight w:val="none"/>
        </w:rPr>
      </w:pPr>
      <w:r>
        <w:rPr>
          <w:rFonts w:ascii="宋体" w:hAnsi="宋体" w:eastAsia="宋体" w:cs="宋体"/>
          <w:color w:val="auto"/>
          <w:spacing w:val="-8"/>
          <w:sz w:val="21"/>
          <w:szCs w:val="21"/>
          <w:highlight w:val="none"/>
        </w:rPr>
        <w:t>日期</w:t>
      </w:r>
      <w:r>
        <w:rPr>
          <w:rFonts w:ascii="宋体" w:hAnsi="宋体" w:eastAsia="宋体" w:cs="宋体"/>
          <w:color w:val="auto"/>
          <w:spacing w:val="-7"/>
          <w:sz w:val="21"/>
          <w:szCs w:val="21"/>
          <w:highlight w:val="none"/>
        </w:rPr>
        <w:t>：</w:t>
      </w:r>
      <w:r>
        <w:rPr>
          <w:rFonts w:ascii="宋体" w:hAnsi="宋体" w:eastAsia="宋体" w:cs="宋体"/>
          <w:color w:val="auto"/>
          <w:spacing w:val="-4"/>
          <w:sz w:val="21"/>
          <w:szCs w:val="21"/>
          <w:highlight w:val="none"/>
          <w:u w:val="single" w:color="auto"/>
        </w:rPr>
        <w:t xml:space="preserve">          </w:t>
      </w:r>
      <w:r>
        <w:rPr>
          <w:rFonts w:ascii="宋体" w:hAnsi="宋体" w:eastAsia="宋体" w:cs="宋体"/>
          <w:color w:val="auto"/>
          <w:spacing w:val="-4"/>
          <w:sz w:val="21"/>
          <w:szCs w:val="21"/>
          <w:highlight w:val="none"/>
        </w:rPr>
        <w:t>年</w:t>
      </w:r>
      <w:r>
        <w:rPr>
          <w:rFonts w:ascii="宋体" w:hAnsi="宋体" w:eastAsia="宋体" w:cs="宋体"/>
          <w:color w:val="auto"/>
          <w:spacing w:val="-4"/>
          <w:sz w:val="21"/>
          <w:szCs w:val="21"/>
          <w:highlight w:val="none"/>
          <w:u w:val="single" w:color="auto"/>
        </w:rPr>
        <w:t xml:space="preserve">    </w:t>
      </w:r>
      <w:r>
        <w:rPr>
          <w:rFonts w:ascii="宋体" w:hAnsi="宋体" w:eastAsia="宋体" w:cs="宋体"/>
          <w:color w:val="auto"/>
          <w:spacing w:val="-4"/>
          <w:sz w:val="21"/>
          <w:szCs w:val="21"/>
          <w:highlight w:val="none"/>
        </w:rPr>
        <w:t>月</w:t>
      </w:r>
      <w:r>
        <w:rPr>
          <w:rFonts w:ascii="宋体" w:hAnsi="宋体" w:eastAsia="宋体" w:cs="宋体"/>
          <w:color w:val="auto"/>
          <w:spacing w:val="-4"/>
          <w:sz w:val="21"/>
          <w:szCs w:val="21"/>
          <w:highlight w:val="none"/>
          <w:u w:val="single" w:color="auto"/>
        </w:rPr>
        <w:t xml:space="preserve">   </w:t>
      </w:r>
      <w:r>
        <w:rPr>
          <w:rFonts w:ascii="宋体" w:hAnsi="宋体" w:eastAsia="宋体" w:cs="宋体"/>
          <w:color w:val="auto"/>
          <w:spacing w:val="-4"/>
          <w:sz w:val="21"/>
          <w:szCs w:val="21"/>
          <w:highlight w:val="none"/>
        </w:rPr>
        <w:t>日</w:t>
      </w:r>
    </w:p>
    <w:p w14:paraId="767B3FE2">
      <w:pPr>
        <w:widowControl/>
        <w:jc w:val="left"/>
        <w:rPr>
          <w:rFonts w:ascii="黑体" w:eastAsia="黑体"/>
          <w:color w:val="auto"/>
          <w:sz w:val="10"/>
          <w:szCs w:val="10"/>
          <w:highlight w:val="none"/>
        </w:rPr>
      </w:pPr>
    </w:p>
    <w:p w14:paraId="2C0BE992">
      <w:pPr>
        <w:pStyle w:val="4"/>
        <w:adjustRightInd w:val="0"/>
        <w:snapToGrid w:val="0"/>
        <w:spacing w:before="0" w:after="0" w:line="360" w:lineRule="auto"/>
        <w:jc w:val="center"/>
        <w:rPr>
          <w:rFonts w:hint="eastAsia" w:ascii="黑体" w:hAnsi="宋体" w:eastAsia="黑体"/>
          <w:color w:val="auto"/>
          <w:sz w:val="28"/>
          <w:szCs w:val="28"/>
          <w:highlight w:val="none"/>
        </w:rPr>
      </w:pPr>
    </w:p>
    <w:p w14:paraId="6648AFA3">
      <w:pPr>
        <w:rPr>
          <w:rFonts w:hint="eastAsia" w:ascii="黑体" w:hAnsi="宋体" w:eastAsia="黑体"/>
          <w:color w:val="auto"/>
          <w:sz w:val="28"/>
          <w:szCs w:val="28"/>
          <w:highlight w:val="none"/>
        </w:rPr>
      </w:pPr>
    </w:p>
    <w:p w14:paraId="794DE3C1">
      <w:pPr>
        <w:pStyle w:val="10"/>
        <w:rPr>
          <w:rFonts w:hint="eastAsia" w:ascii="黑体" w:hAnsi="宋体" w:eastAsia="黑体"/>
          <w:color w:val="auto"/>
          <w:sz w:val="28"/>
          <w:szCs w:val="28"/>
          <w:highlight w:val="none"/>
        </w:rPr>
      </w:pPr>
    </w:p>
    <w:p w14:paraId="7D501D09">
      <w:pPr>
        <w:pStyle w:val="23"/>
        <w:rPr>
          <w:rFonts w:hint="eastAsia" w:ascii="黑体" w:hAnsi="宋体" w:eastAsia="黑体"/>
          <w:color w:val="auto"/>
          <w:sz w:val="28"/>
          <w:szCs w:val="28"/>
          <w:highlight w:val="none"/>
        </w:rPr>
      </w:pPr>
    </w:p>
    <w:p w14:paraId="38F825A0">
      <w:pPr>
        <w:pStyle w:val="19"/>
        <w:rPr>
          <w:rFonts w:hint="eastAsia" w:ascii="黑体" w:hAnsi="宋体" w:eastAsia="黑体"/>
          <w:color w:val="auto"/>
          <w:sz w:val="28"/>
          <w:szCs w:val="28"/>
          <w:highlight w:val="none"/>
        </w:rPr>
      </w:pPr>
    </w:p>
    <w:p w14:paraId="6A183F33">
      <w:pPr>
        <w:rPr>
          <w:rFonts w:hint="eastAsia"/>
          <w:color w:val="auto"/>
          <w:highlight w:val="none"/>
        </w:rPr>
      </w:pPr>
    </w:p>
    <w:p w14:paraId="62E18023">
      <w:pPr>
        <w:pStyle w:val="4"/>
        <w:adjustRightInd w:val="0"/>
        <w:snapToGrid w:val="0"/>
        <w:spacing w:before="0" w:after="0" w:line="360" w:lineRule="auto"/>
        <w:jc w:val="both"/>
        <w:rPr>
          <w:rFonts w:hint="eastAsia" w:ascii="黑体" w:hAnsi="宋体" w:eastAsia="黑体"/>
          <w:color w:val="auto"/>
          <w:sz w:val="28"/>
          <w:szCs w:val="28"/>
          <w:highlight w:val="none"/>
        </w:rPr>
      </w:pPr>
    </w:p>
    <w:p w14:paraId="0679FC63">
      <w:pPr>
        <w:rPr>
          <w:rFonts w:hint="eastAsia" w:ascii="黑体" w:hAnsi="宋体" w:eastAsia="黑体"/>
          <w:color w:val="auto"/>
          <w:sz w:val="28"/>
          <w:szCs w:val="28"/>
          <w:highlight w:val="none"/>
        </w:rPr>
      </w:pPr>
    </w:p>
    <w:p w14:paraId="06CC9BED">
      <w:pPr>
        <w:pStyle w:val="10"/>
        <w:rPr>
          <w:rFonts w:hint="eastAsia"/>
          <w:color w:val="auto"/>
          <w:highlight w:val="none"/>
        </w:rPr>
      </w:pPr>
    </w:p>
    <w:p w14:paraId="0F446A41">
      <w:pPr>
        <w:pStyle w:val="23"/>
        <w:rPr>
          <w:rFonts w:hint="eastAsia"/>
          <w:color w:val="auto"/>
          <w:highlight w:val="none"/>
        </w:rPr>
      </w:pPr>
    </w:p>
    <w:p w14:paraId="321F95D2">
      <w:pPr>
        <w:pStyle w:val="19"/>
        <w:rPr>
          <w:rFonts w:hint="eastAsia"/>
          <w:color w:val="auto"/>
          <w:highlight w:val="none"/>
        </w:rPr>
      </w:pPr>
    </w:p>
    <w:p w14:paraId="228FC6E2">
      <w:pPr>
        <w:rPr>
          <w:rFonts w:hint="eastAsia"/>
          <w:color w:val="auto"/>
          <w:highlight w:val="none"/>
        </w:rPr>
      </w:pPr>
    </w:p>
    <w:p w14:paraId="48019184">
      <w:pPr>
        <w:pStyle w:val="10"/>
        <w:rPr>
          <w:rFonts w:hint="eastAsia"/>
          <w:color w:val="auto"/>
          <w:highlight w:val="none"/>
        </w:rPr>
      </w:pPr>
    </w:p>
    <w:p w14:paraId="32FC4F2D">
      <w:pPr>
        <w:pStyle w:val="23"/>
        <w:rPr>
          <w:rFonts w:hint="eastAsia"/>
          <w:color w:val="auto"/>
          <w:highlight w:val="none"/>
        </w:rPr>
      </w:pPr>
    </w:p>
    <w:p w14:paraId="4DDFB6DC">
      <w:pPr>
        <w:pStyle w:val="19"/>
        <w:rPr>
          <w:rFonts w:hint="eastAsia"/>
          <w:color w:val="auto"/>
          <w:highlight w:val="none"/>
        </w:rPr>
      </w:pPr>
    </w:p>
    <w:p w14:paraId="5FC68551">
      <w:pPr>
        <w:pStyle w:val="4"/>
        <w:adjustRightInd w:val="0"/>
        <w:snapToGrid w:val="0"/>
        <w:spacing w:before="0" w:after="0" w:line="360" w:lineRule="auto"/>
        <w:jc w:val="center"/>
        <w:rPr>
          <w:rFonts w:ascii="黑体" w:hAnsi="宋体" w:eastAsia="黑体"/>
          <w:color w:val="auto"/>
          <w:sz w:val="28"/>
          <w:szCs w:val="28"/>
          <w:highlight w:val="none"/>
        </w:rPr>
      </w:pPr>
      <w:bookmarkStart w:id="117" w:name="_Toc19485"/>
      <w:r>
        <w:rPr>
          <w:rFonts w:hint="eastAsia" w:ascii="黑体" w:hAnsi="宋体" w:eastAsia="黑体"/>
          <w:color w:val="auto"/>
          <w:sz w:val="28"/>
          <w:szCs w:val="28"/>
          <w:highlight w:val="none"/>
        </w:rPr>
        <w:t>三、授权委托书</w:t>
      </w:r>
      <w:bookmarkEnd w:id="117"/>
    </w:p>
    <w:p w14:paraId="0640D454">
      <w:pPr>
        <w:autoSpaceDE w:val="0"/>
        <w:autoSpaceDN w:val="0"/>
        <w:adjustRightInd w:val="0"/>
        <w:snapToGrid w:val="0"/>
        <w:spacing w:line="360" w:lineRule="auto"/>
        <w:ind w:firstLine="446" w:firstLineChars="200"/>
        <w:jc w:val="left"/>
        <w:rPr>
          <w:rFonts w:ascii="宋体" w:hAnsi="宋体"/>
          <w:b/>
          <w:color w:val="auto"/>
          <w:spacing w:val="6"/>
          <w:szCs w:val="21"/>
          <w:highlight w:val="none"/>
        </w:rPr>
      </w:pPr>
    </w:p>
    <w:p w14:paraId="01EACB43">
      <w:pPr>
        <w:autoSpaceDE w:val="0"/>
        <w:autoSpaceDN w:val="0"/>
        <w:adjustRightInd w:val="0"/>
        <w:snapToGrid w:val="0"/>
        <w:spacing w:line="360" w:lineRule="auto"/>
        <w:ind w:firstLine="420" w:firstLineChars="200"/>
        <w:jc w:val="left"/>
        <w:rPr>
          <w:rFonts w:ascii="宋体" w:hAnsi="宋体" w:cs="宋体"/>
          <w:color w:val="auto"/>
          <w:kern w:val="0"/>
          <w:szCs w:val="21"/>
          <w:highlight w:val="none"/>
        </w:rPr>
      </w:pPr>
    </w:p>
    <w:p w14:paraId="4D59ABAA">
      <w:pPr>
        <w:autoSpaceDE w:val="0"/>
        <w:autoSpaceDN w:val="0"/>
        <w:adjustRightInd w:val="0"/>
        <w:snapToGri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本人</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（姓名、职务）系</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 xml:space="preserve"> （</w:t>
      </w:r>
      <w:r>
        <w:rPr>
          <w:rFonts w:hint="eastAsia" w:ascii="宋体" w:hAnsi="宋体"/>
          <w:color w:val="auto"/>
          <w:szCs w:val="21"/>
          <w:highlight w:val="none"/>
        </w:rPr>
        <w:t>投标人</w:t>
      </w:r>
      <w:r>
        <w:rPr>
          <w:rFonts w:hint="eastAsia" w:ascii="宋体" w:hAnsi="宋体" w:cs="宋体"/>
          <w:color w:val="auto"/>
          <w:kern w:val="0"/>
          <w:szCs w:val="21"/>
          <w:highlight w:val="none"/>
        </w:rPr>
        <w:t>名称）的法定代表人</w:t>
      </w:r>
      <w:r>
        <w:rPr>
          <w:rFonts w:hint="eastAsia" w:ascii="宋体" w:hAnsi="宋体" w:eastAsia="宋体" w:cs="微软雅黑"/>
          <w:color w:val="auto"/>
          <w:kern w:val="0"/>
          <w:szCs w:val="21"/>
          <w:highlight w:val="none"/>
        </w:rPr>
        <w:t>（</w:t>
      </w:r>
      <w:r>
        <w:rPr>
          <w:rFonts w:hint="eastAsia" w:ascii="宋体" w:hAnsi="宋体" w:eastAsia="宋体" w:cs="微软雅黑"/>
          <w:color w:val="auto"/>
          <w:spacing w:val="-2"/>
          <w:kern w:val="0"/>
          <w:szCs w:val="21"/>
          <w:highlight w:val="none"/>
        </w:rPr>
        <w:t>单</w:t>
      </w:r>
      <w:r>
        <w:rPr>
          <w:rFonts w:hint="eastAsia" w:ascii="宋体" w:hAnsi="宋体" w:eastAsia="宋体" w:cs="微软雅黑"/>
          <w:color w:val="auto"/>
          <w:kern w:val="0"/>
          <w:szCs w:val="21"/>
          <w:highlight w:val="none"/>
        </w:rPr>
        <w:t>位</w:t>
      </w:r>
      <w:r>
        <w:rPr>
          <w:rFonts w:hint="eastAsia" w:ascii="宋体" w:hAnsi="宋体" w:eastAsia="宋体" w:cs="微软雅黑"/>
          <w:color w:val="auto"/>
          <w:spacing w:val="-2"/>
          <w:kern w:val="0"/>
          <w:szCs w:val="21"/>
          <w:highlight w:val="none"/>
        </w:rPr>
        <w:t>负</w:t>
      </w:r>
      <w:r>
        <w:rPr>
          <w:rFonts w:hint="eastAsia" w:ascii="宋体" w:hAnsi="宋体" w:eastAsia="宋体" w:cs="微软雅黑"/>
          <w:color w:val="auto"/>
          <w:kern w:val="0"/>
          <w:szCs w:val="21"/>
          <w:highlight w:val="none"/>
        </w:rPr>
        <w:t>责人</w:t>
      </w:r>
      <w:r>
        <w:rPr>
          <w:rFonts w:hint="eastAsia" w:ascii="宋体" w:hAnsi="宋体" w:eastAsia="宋体" w:cs="微软雅黑"/>
          <w:color w:val="auto"/>
          <w:spacing w:val="-2"/>
          <w:kern w:val="0"/>
          <w:szCs w:val="21"/>
          <w:highlight w:val="none"/>
        </w:rPr>
        <w:t>）</w:t>
      </w:r>
      <w:r>
        <w:rPr>
          <w:rFonts w:hint="eastAsia" w:ascii="宋体" w:hAnsi="宋体" w:cs="宋体"/>
          <w:color w:val="auto"/>
          <w:kern w:val="0"/>
          <w:szCs w:val="21"/>
          <w:highlight w:val="none"/>
        </w:rPr>
        <w:t>，现授权</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（姓名、职务）为我方代理人。代理人根据授权，以我方名义签署、澄清、说明、补正、递交、撤回、修改</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（项目名称</w:t>
      </w:r>
      <w:r>
        <w:rPr>
          <w:rFonts w:ascii="宋体" w:hAnsi="宋体" w:cs="宋体"/>
          <w:color w:val="auto"/>
          <w:kern w:val="0"/>
          <w:szCs w:val="21"/>
          <w:highlight w:val="none"/>
        </w:rPr>
        <w:t>）</w:t>
      </w:r>
      <w:r>
        <w:rPr>
          <w:rFonts w:hint="eastAsia" w:ascii="宋体" w:hAnsi="宋体" w:cs="宋体"/>
          <w:color w:val="auto"/>
          <w:kern w:val="0"/>
          <w:szCs w:val="21"/>
          <w:highlight w:val="none"/>
        </w:rPr>
        <w:t>（</w:t>
      </w:r>
      <w:r>
        <w:rPr>
          <w:rFonts w:hint="eastAsia" w:ascii="宋体" w:hAnsi="宋体"/>
          <w:color w:val="auto"/>
          <w:szCs w:val="21"/>
          <w:highlight w:val="none"/>
          <w:lang w:eastAsia="zh-CN"/>
        </w:rPr>
        <w:t>政府采购计划编号</w:t>
      </w:r>
      <w:r>
        <w:rPr>
          <w:rFonts w:hint="eastAsia" w:ascii="宋体" w:hAnsi="宋体" w:eastAsia="宋体"/>
          <w:iCs/>
          <w:color w:val="auto"/>
          <w:highlight w:val="none"/>
        </w:rPr>
        <w:t>：</w:t>
      </w:r>
      <w:r>
        <w:rPr>
          <w:rFonts w:hint="eastAsia" w:ascii="宋体" w:hAnsi="宋体" w:eastAsia="宋体"/>
          <w:iCs/>
          <w:color w:val="auto"/>
          <w:highlight w:val="none"/>
          <w:u w:val="single"/>
        </w:rPr>
        <w:t xml:space="preserve">      </w:t>
      </w:r>
      <w:r>
        <w:rPr>
          <w:rFonts w:hint="eastAsia" w:ascii="宋体" w:hAnsi="宋体" w:eastAsia="宋体"/>
          <w:iCs/>
          <w:color w:val="auto"/>
          <w:highlight w:val="none"/>
        </w:rPr>
        <w:t xml:space="preserve"> ，</w:t>
      </w:r>
      <w:r>
        <w:rPr>
          <w:rFonts w:hint="eastAsia" w:ascii="宋体" w:hAnsi="宋体" w:eastAsia="宋体" w:cs="宋体"/>
          <w:color w:val="auto"/>
          <w:kern w:val="0"/>
          <w:szCs w:val="21"/>
          <w:highlight w:val="none"/>
          <w:lang w:eastAsia="zh-CN"/>
        </w:rPr>
        <w:t>委托代理编号</w:t>
      </w:r>
      <w:r>
        <w:rPr>
          <w:rFonts w:hint="eastAsia" w:ascii="宋体" w:hAnsi="宋体" w:cs="宋体"/>
          <w:color w:val="auto"/>
          <w:kern w:val="0"/>
          <w:szCs w:val="21"/>
          <w:highlight w:val="none"/>
        </w:rPr>
        <w:t>：</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）投标文件、签订合同和处理有关事宜，其法律后果由我方承担。</w:t>
      </w:r>
    </w:p>
    <w:p w14:paraId="38721F01">
      <w:pPr>
        <w:autoSpaceDE w:val="0"/>
        <w:autoSpaceDN w:val="0"/>
        <w:adjustRightInd w:val="0"/>
        <w:snapToGri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委托期限：</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 xml:space="preserve"> 。</w:t>
      </w:r>
    </w:p>
    <w:p w14:paraId="1525FC52">
      <w:pPr>
        <w:adjustRightInd w:val="0"/>
        <w:snapToGrid w:val="0"/>
        <w:spacing w:line="360" w:lineRule="auto"/>
        <w:ind w:firstLine="435"/>
        <w:rPr>
          <w:rFonts w:ascii="宋体" w:hAnsi="宋体" w:cs="宋体"/>
          <w:color w:val="auto"/>
          <w:kern w:val="0"/>
          <w:szCs w:val="21"/>
          <w:highlight w:val="none"/>
        </w:rPr>
      </w:pPr>
      <w:r>
        <w:rPr>
          <w:rFonts w:hint="eastAsia" w:ascii="宋体" w:hAnsi="宋体" w:cs="宋体"/>
          <w:color w:val="auto"/>
          <w:kern w:val="0"/>
          <w:szCs w:val="21"/>
          <w:highlight w:val="none"/>
        </w:rPr>
        <w:t>代理人无转委托权。</w:t>
      </w:r>
    </w:p>
    <w:p w14:paraId="0845C1FC">
      <w:pPr>
        <w:adjustRightInd w:val="0"/>
        <w:snapToGrid w:val="0"/>
        <w:spacing w:line="360" w:lineRule="auto"/>
        <w:ind w:firstLine="435"/>
        <w:rPr>
          <w:rFonts w:ascii="宋体" w:hAnsi="宋体" w:eastAsia="宋体" w:cs="微软雅黑"/>
          <w:color w:val="auto"/>
          <w:kern w:val="0"/>
          <w:szCs w:val="21"/>
          <w:highlight w:val="none"/>
        </w:rPr>
      </w:pPr>
      <w:r>
        <w:rPr>
          <w:rFonts w:hint="eastAsia" w:ascii="宋体" w:hAnsi="宋体"/>
          <w:color w:val="auto"/>
          <w:szCs w:val="21"/>
          <w:highlight w:val="none"/>
        </w:rPr>
        <w:t>本授权书于</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日签字生效，特此声明。</w:t>
      </w:r>
    </w:p>
    <w:tbl>
      <w:tblPr>
        <w:tblStyle w:val="26"/>
        <w:tblW w:w="0" w:type="auto"/>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98"/>
        <w:gridCol w:w="3899"/>
      </w:tblGrid>
      <w:tr w14:paraId="3FE94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5" w:hRule="atLeast"/>
        </w:trPr>
        <w:tc>
          <w:tcPr>
            <w:tcW w:w="3898" w:type="dxa"/>
            <w:noWrap w:val="0"/>
            <w:vAlign w:val="center"/>
          </w:tcPr>
          <w:p w14:paraId="0005A388">
            <w:pPr>
              <w:adjustRightInd w:val="0"/>
              <w:snapToGrid w:val="0"/>
              <w:spacing w:line="360" w:lineRule="auto"/>
              <w:jc w:val="center"/>
              <w:rPr>
                <w:rFonts w:ascii="宋体" w:hAnsi="宋体"/>
                <w:color w:val="auto"/>
                <w:szCs w:val="21"/>
                <w:highlight w:val="none"/>
              </w:rPr>
            </w:pPr>
            <w:r>
              <w:rPr>
                <w:rFonts w:hint="eastAsia" w:ascii="宋体" w:hAnsi="宋体"/>
                <w:color w:val="auto"/>
                <w:szCs w:val="21"/>
                <w:highlight w:val="none"/>
              </w:rPr>
              <w:t>委托代理人身份证（正面）</w:t>
            </w:r>
            <w:r>
              <w:rPr>
                <w:rFonts w:hint="eastAsia" w:ascii="宋体" w:hAnsi="宋体" w:eastAsia="宋体" w:cs="微软雅黑"/>
                <w:color w:val="auto"/>
                <w:spacing w:val="-2"/>
                <w:kern w:val="0"/>
                <w:szCs w:val="21"/>
                <w:highlight w:val="none"/>
              </w:rPr>
              <w:t>复</w:t>
            </w:r>
            <w:r>
              <w:rPr>
                <w:rFonts w:hint="eastAsia" w:ascii="宋体" w:hAnsi="宋体" w:eastAsia="宋体" w:cs="微软雅黑"/>
                <w:color w:val="auto"/>
                <w:kern w:val="0"/>
                <w:szCs w:val="21"/>
                <w:highlight w:val="none"/>
              </w:rPr>
              <w:t>印</w:t>
            </w:r>
            <w:r>
              <w:rPr>
                <w:rFonts w:hint="eastAsia" w:ascii="宋体" w:hAnsi="宋体" w:eastAsia="宋体" w:cs="微软雅黑"/>
                <w:color w:val="auto"/>
                <w:spacing w:val="-2"/>
                <w:kern w:val="0"/>
                <w:szCs w:val="21"/>
                <w:highlight w:val="none"/>
              </w:rPr>
              <w:t>件</w:t>
            </w:r>
          </w:p>
        </w:tc>
        <w:tc>
          <w:tcPr>
            <w:tcW w:w="3899" w:type="dxa"/>
            <w:noWrap w:val="0"/>
            <w:vAlign w:val="center"/>
          </w:tcPr>
          <w:p w14:paraId="5C68284E">
            <w:pPr>
              <w:adjustRightInd w:val="0"/>
              <w:snapToGrid w:val="0"/>
              <w:spacing w:line="360" w:lineRule="auto"/>
              <w:jc w:val="center"/>
              <w:rPr>
                <w:rFonts w:ascii="宋体" w:hAnsi="宋体"/>
                <w:color w:val="auto"/>
                <w:szCs w:val="21"/>
                <w:highlight w:val="none"/>
              </w:rPr>
            </w:pPr>
            <w:r>
              <w:rPr>
                <w:rFonts w:hint="eastAsia" w:ascii="宋体" w:hAnsi="宋体"/>
                <w:color w:val="auto"/>
                <w:szCs w:val="21"/>
                <w:highlight w:val="none"/>
              </w:rPr>
              <w:t>委托代理人身份证（反面）</w:t>
            </w:r>
            <w:r>
              <w:rPr>
                <w:rFonts w:hint="eastAsia" w:ascii="宋体" w:hAnsi="宋体" w:eastAsia="宋体" w:cs="微软雅黑"/>
                <w:color w:val="auto"/>
                <w:spacing w:val="-2"/>
                <w:kern w:val="0"/>
                <w:szCs w:val="21"/>
                <w:highlight w:val="none"/>
              </w:rPr>
              <w:t>复</w:t>
            </w:r>
            <w:r>
              <w:rPr>
                <w:rFonts w:hint="eastAsia" w:ascii="宋体" w:hAnsi="宋体" w:eastAsia="宋体" w:cs="微软雅黑"/>
                <w:color w:val="auto"/>
                <w:kern w:val="0"/>
                <w:szCs w:val="21"/>
                <w:highlight w:val="none"/>
              </w:rPr>
              <w:t>印</w:t>
            </w:r>
            <w:r>
              <w:rPr>
                <w:rFonts w:hint="eastAsia" w:ascii="宋体" w:hAnsi="宋体" w:eastAsia="宋体" w:cs="微软雅黑"/>
                <w:color w:val="auto"/>
                <w:spacing w:val="-2"/>
                <w:kern w:val="0"/>
                <w:szCs w:val="21"/>
                <w:highlight w:val="none"/>
              </w:rPr>
              <w:t>件</w:t>
            </w:r>
          </w:p>
        </w:tc>
      </w:tr>
      <w:tr w14:paraId="6FA4D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5" w:hRule="atLeast"/>
        </w:trPr>
        <w:tc>
          <w:tcPr>
            <w:tcW w:w="3898" w:type="dxa"/>
            <w:noWrap w:val="0"/>
            <w:vAlign w:val="center"/>
          </w:tcPr>
          <w:p w14:paraId="36FA864E">
            <w:pPr>
              <w:adjustRightInd w:val="0"/>
              <w:snapToGrid w:val="0"/>
              <w:spacing w:line="360" w:lineRule="auto"/>
              <w:jc w:val="center"/>
              <w:rPr>
                <w:rFonts w:ascii="宋体" w:hAnsi="宋体"/>
                <w:color w:val="auto"/>
                <w:szCs w:val="21"/>
                <w:highlight w:val="none"/>
              </w:rPr>
            </w:pPr>
            <w:r>
              <w:rPr>
                <w:rFonts w:hint="eastAsia" w:ascii="宋体" w:hAnsi="宋体"/>
                <w:color w:val="auto"/>
                <w:szCs w:val="21"/>
                <w:highlight w:val="none"/>
              </w:rPr>
              <w:t>法定代表人身份证（正面）</w:t>
            </w:r>
            <w:r>
              <w:rPr>
                <w:rFonts w:hint="eastAsia" w:ascii="宋体" w:hAnsi="宋体" w:eastAsia="宋体" w:cs="微软雅黑"/>
                <w:color w:val="auto"/>
                <w:spacing w:val="-2"/>
                <w:kern w:val="0"/>
                <w:szCs w:val="21"/>
                <w:highlight w:val="none"/>
              </w:rPr>
              <w:t>复</w:t>
            </w:r>
            <w:r>
              <w:rPr>
                <w:rFonts w:hint="eastAsia" w:ascii="宋体" w:hAnsi="宋体" w:eastAsia="宋体" w:cs="微软雅黑"/>
                <w:color w:val="auto"/>
                <w:kern w:val="0"/>
                <w:szCs w:val="21"/>
                <w:highlight w:val="none"/>
              </w:rPr>
              <w:t>印</w:t>
            </w:r>
            <w:r>
              <w:rPr>
                <w:rFonts w:hint="eastAsia" w:ascii="宋体" w:hAnsi="宋体" w:eastAsia="宋体" w:cs="微软雅黑"/>
                <w:color w:val="auto"/>
                <w:spacing w:val="-2"/>
                <w:kern w:val="0"/>
                <w:szCs w:val="21"/>
                <w:highlight w:val="none"/>
              </w:rPr>
              <w:t>件</w:t>
            </w:r>
          </w:p>
        </w:tc>
        <w:tc>
          <w:tcPr>
            <w:tcW w:w="3899" w:type="dxa"/>
            <w:noWrap w:val="0"/>
            <w:vAlign w:val="center"/>
          </w:tcPr>
          <w:p w14:paraId="3545532E">
            <w:pPr>
              <w:adjustRightInd w:val="0"/>
              <w:snapToGrid w:val="0"/>
              <w:spacing w:line="360" w:lineRule="auto"/>
              <w:jc w:val="center"/>
              <w:rPr>
                <w:rFonts w:ascii="宋体" w:hAnsi="宋体"/>
                <w:color w:val="auto"/>
                <w:szCs w:val="21"/>
                <w:highlight w:val="none"/>
              </w:rPr>
            </w:pPr>
            <w:r>
              <w:rPr>
                <w:rFonts w:hint="eastAsia" w:ascii="宋体" w:hAnsi="宋体"/>
                <w:color w:val="auto"/>
                <w:szCs w:val="21"/>
                <w:highlight w:val="none"/>
              </w:rPr>
              <w:t>法定代表人身份证（反面）</w:t>
            </w:r>
            <w:r>
              <w:rPr>
                <w:rFonts w:hint="eastAsia" w:ascii="宋体" w:hAnsi="宋体" w:eastAsia="宋体" w:cs="微软雅黑"/>
                <w:color w:val="auto"/>
                <w:spacing w:val="-2"/>
                <w:kern w:val="0"/>
                <w:szCs w:val="21"/>
                <w:highlight w:val="none"/>
              </w:rPr>
              <w:t>复</w:t>
            </w:r>
            <w:r>
              <w:rPr>
                <w:rFonts w:hint="eastAsia" w:ascii="宋体" w:hAnsi="宋体" w:eastAsia="宋体" w:cs="微软雅黑"/>
                <w:color w:val="auto"/>
                <w:kern w:val="0"/>
                <w:szCs w:val="21"/>
                <w:highlight w:val="none"/>
              </w:rPr>
              <w:t>印</w:t>
            </w:r>
            <w:r>
              <w:rPr>
                <w:rFonts w:hint="eastAsia" w:ascii="宋体" w:hAnsi="宋体" w:eastAsia="宋体" w:cs="微软雅黑"/>
                <w:color w:val="auto"/>
                <w:spacing w:val="-2"/>
                <w:kern w:val="0"/>
                <w:szCs w:val="21"/>
                <w:highlight w:val="none"/>
              </w:rPr>
              <w:t>件</w:t>
            </w:r>
          </w:p>
        </w:tc>
      </w:tr>
    </w:tbl>
    <w:p w14:paraId="646B8EA7">
      <w:pPr>
        <w:adjustRightInd w:val="0"/>
        <w:snapToGrid w:val="0"/>
        <w:spacing w:line="360" w:lineRule="auto"/>
        <w:ind w:firstLine="420" w:firstLineChars="200"/>
        <w:rPr>
          <w:rFonts w:ascii="宋体" w:hAnsi="宋体"/>
          <w:color w:val="auto"/>
          <w:szCs w:val="21"/>
          <w:highlight w:val="none"/>
        </w:rPr>
      </w:pPr>
    </w:p>
    <w:p w14:paraId="38323C0E">
      <w:pPr>
        <w:adjustRightInd w:val="0"/>
        <w:snapToGrid w:val="0"/>
        <w:spacing w:line="360" w:lineRule="auto"/>
        <w:ind w:firstLine="420" w:firstLineChars="200"/>
        <w:rPr>
          <w:rFonts w:ascii="宋体" w:hAnsi="宋体"/>
          <w:color w:val="auto"/>
          <w:szCs w:val="21"/>
          <w:highlight w:val="none"/>
        </w:rPr>
      </w:pPr>
    </w:p>
    <w:p w14:paraId="228AA97C">
      <w:pPr>
        <w:adjustRightInd w:val="0"/>
        <w:snapToGrid w:val="0"/>
        <w:spacing w:line="360" w:lineRule="auto"/>
        <w:rPr>
          <w:rFonts w:ascii="宋体" w:hAnsi="宋体"/>
          <w:color w:val="auto"/>
          <w:szCs w:val="21"/>
          <w:highlight w:val="none"/>
        </w:rPr>
      </w:pPr>
      <w:r>
        <w:rPr>
          <w:rFonts w:hint="eastAsia" w:ascii="宋体" w:hAnsi="宋体"/>
          <w:color w:val="auto"/>
          <w:szCs w:val="21"/>
          <w:highlight w:val="none"/>
        </w:rPr>
        <w:t>注：投标人代表不是投标人的法定代表人（单位负责人）的提供。</w:t>
      </w:r>
    </w:p>
    <w:p w14:paraId="66257A12">
      <w:pPr>
        <w:adjustRightInd w:val="0"/>
        <w:snapToGrid w:val="0"/>
        <w:spacing w:line="360" w:lineRule="auto"/>
        <w:ind w:firstLine="420" w:firstLineChars="200"/>
        <w:rPr>
          <w:rFonts w:ascii="宋体" w:hAnsi="宋体"/>
          <w:color w:val="auto"/>
          <w:szCs w:val="21"/>
          <w:highlight w:val="none"/>
        </w:rPr>
      </w:pPr>
    </w:p>
    <w:p w14:paraId="46A5AFB9">
      <w:pPr>
        <w:adjustRightInd w:val="0"/>
        <w:snapToGrid w:val="0"/>
        <w:spacing w:line="360" w:lineRule="auto"/>
        <w:ind w:firstLine="420" w:firstLineChars="200"/>
        <w:rPr>
          <w:rFonts w:ascii="宋体" w:hAnsi="宋体"/>
          <w:color w:val="auto"/>
          <w:szCs w:val="21"/>
          <w:highlight w:val="none"/>
        </w:rPr>
      </w:pPr>
    </w:p>
    <w:p w14:paraId="179F5757">
      <w:pPr>
        <w:adjustRightInd w:val="0"/>
        <w:snapToGrid w:val="0"/>
        <w:spacing w:line="360" w:lineRule="auto"/>
        <w:rPr>
          <w:rFonts w:ascii="宋体" w:hAnsi="宋体"/>
          <w:color w:val="auto"/>
          <w:szCs w:val="21"/>
          <w:highlight w:val="none"/>
        </w:rPr>
      </w:pPr>
      <w:r>
        <w:rPr>
          <w:rFonts w:hint="eastAsia" w:ascii="宋体" w:hAnsi="宋体"/>
          <w:color w:val="auto"/>
          <w:szCs w:val="21"/>
          <w:highlight w:val="none"/>
        </w:rPr>
        <w:t>投标人名称（盖单位章）：</w:t>
      </w:r>
    </w:p>
    <w:p w14:paraId="31600D25">
      <w:pPr>
        <w:adjustRightInd w:val="0"/>
        <w:snapToGrid w:val="0"/>
        <w:spacing w:line="360" w:lineRule="auto"/>
        <w:ind w:right="420"/>
        <w:rPr>
          <w:rFonts w:ascii="宋体" w:hAnsi="宋体"/>
          <w:color w:val="auto"/>
          <w:szCs w:val="21"/>
          <w:highlight w:val="none"/>
        </w:rPr>
      </w:pPr>
      <w:r>
        <w:rPr>
          <w:rFonts w:hint="eastAsia" w:ascii="宋体" w:hAnsi="宋体" w:eastAsia="宋体" w:cs="微软雅黑"/>
          <w:color w:val="auto"/>
          <w:spacing w:val="-2"/>
          <w:kern w:val="0"/>
          <w:szCs w:val="21"/>
          <w:highlight w:val="none"/>
        </w:rPr>
        <w:t>法</w:t>
      </w:r>
      <w:r>
        <w:rPr>
          <w:rFonts w:hint="eastAsia" w:ascii="宋体" w:hAnsi="宋体" w:eastAsia="宋体" w:cs="微软雅黑"/>
          <w:color w:val="auto"/>
          <w:kern w:val="0"/>
          <w:szCs w:val="21"/>
          <w:highlight w:val="none"/>
        </w:rPr>
        <w:t>定</w:t>
      </w:r>
      <w:r>
        <w:rPr>
          <w:rFonts w:hint="eastAsia" w:ascii="宋体" w:hAnsi="宋体" w:eastAsia="宋体" w:cs="微软雅黑"/>
          <w:color w:val="auto"/>
          <w:spacing w:val="-2"/>
          <w:kern w:val="0"/>
          <w:szCs w:val="21"/>
          <w:highlight w:val="none"/>
        </w:rPr>
        <w:t>代</w:t>
      </w:r>
      <w:r>
        <w:rPr>
          <w:rFonts w:hint="eastAsia" w:ascii="宋体" w:hAnsi="宋体" w:eastAsia="宋体" w:cs="微软雅黑"/>
          <w:color w:val="auto"/>
          <w:kern w:val="0"/>
          <w:szCs w:val="21"/>
          <w:highlight w:val="none"/>
        </w:rPr>
        <w:t>表</w:t>
      </w:r>
      <w:r>
        <w:rPr>
          <w:rFonts w:hint="eastAsia" w:ascii="宋体" w:hAnsi="宋体" w:eastAsia="宋体" w:cs="微软雅黑"/>
          <w:color w:val="auto"/>
          <w:spacing w:val="-2"/>
          <w:kern w:val="0"/>
          <w:szCs w:val="21"/>
          <w:highlight w:val="none"/>
        </w:rPr>
        <w:t>人</w:t>
      </w:r>
      <w:r>
        <w:rPr>
          <w:rFonts w:hint="eastAsia" w:ascii="宋体" w:hAnsi="宋体" w:eastAsia="宋体" w:cs="微软雅黑"/>
          <w:color w:val="auto"/>
          <w:kern w:val="0"/>
          <w:szCs w:val="21"/>
          <w:highlight w:val="none"/>
        </w:rPr>
        <w:t>（</w:t>
      </w:r>
      <w:r>
        <w:rPr>
          <w:rFonts w:hint="eastAsia" w:ascii="宋体" w:hAnsi="宋体" w:eastAsia="宋体" w:cs="微软雅黑"/>
          <w:color w:val="auto"/>
          <w:spacing w:val="-2"/>
          <w:kern w:val="0"/>
          <w:szCs w:val="21"/>
          <w:highlight w:val="none"/>
        </w:rPr>
        <w:t>单</w:t>
      </w:r>
      <w:r>
        <w:rPr>
          <w:rFonts w:hint="eastAsia" w:ascii="宋体" w:hAnsi="宋体" w:eastAsia="宋体" w:cs="微软雅黑"/>
          <w:color w:val="auto"/>
          <w:kern w:val="0"/>
          <w:szCs w:val="21"/>
          <w:highlight w:val="none"/>
        </w:rPr>
        <w:t>位</w:t>
      </w:r>
      <w:r>
        <w:rPr>
          <w:rFonts w:hint="eastAsia" w:ascii="宋体" w:hAnsi="宋体" w:eastAsia="宋体" w:cs="微软雅黑"/>
          <w:color w:val="auto"/>
          <w:spacing w:val="-2"/>
          <w:kern w:val="0"/>
          <w:szCs w:val="21"/>
          <w:highlight w:val="none"/>
        </w:rPr>
        <w:t>负</w:t>
      </w:r>
      <w:r>
        <w:rPr>
          <w:rFonts w:hint="eastAsia" w:ascii="宋体" w:hAnsi="宋体" w:eastAsia="宋体" w:cs="微软雅黑"/>
          <w:color w:val="auto"/>
          <w:kern w:val="0"/>
          <w:szCs w:val="21"/>
          <w:highlight w:val="none"/>
        </w:rPr>
        <w:t>责人</w:t>
      </w:r>
      <w:r>
        <w:rPr>
          <w:rFonts w:hint="eastAsia" w:ascii="宋体" w:hAnsi="宋体" w:eastAsia="宋体" w:cs="微软雅黑"/>
          <w:color w:val="auto"/>
          <w:spacing w:val="-2"/>
          <w:kern w:val="0"/>
          <w:szCs w:val="21"/>
          <w:highlight w:val="none"/>
        </w:rPr>
        <w:t>）</w:t>
      </w:r>
      <w:r>
        <w:rPr>
          <w:rFonts w:hint="eastAsia" w:ascii="宋体" w:hAnsi="宋体"/>
          <w:color w:val="auto"/>
          <w:szCs w:val="21"/>
          <w:highlight w:val="none"/>
        </w:rPr>
        <w:t>（签字或印章）：</w:t>
      </w:r>
      <w:r>
        <w:rPr>
          <w:rFonts w:hint="eastAsia" w:ascii="宋体" w:hAnsi="宋体"/>
          <w:color w:val="auto"/>
          <w:szCs w:val="21"/>
          <w:highlight w:val="none"/>
          <w:u w:val="single"/>
        </w:rPr>
        <w:t xml:space="preserve">                     </w:t>
      </w:r>
    </w:p>
    <w:p w14:paraId="6945A287">
      <w:pPr>
        <w:adjustRightInd w:val="0"/>
        <w:snapToGrid w:val="0"/>
        <w:spacing w:line="360" w:lineRule="auto"/>
        <w:ind w:right="420"/>
        <w:rPr>
          <w:rFonts w:ascii="宋体" w:hAnsi="宋体"/>
          <w:color w:val="auto"/>
          <w:szCs w:val="21"/>
          <w:highlight w:val="none"/>
        </w:rPr>
      </w:pPr>
      <w:r>
        <w:rPr>
          <w:rFonts w:hint="eastAsia" w:ascii="宋体" w:hAnsi="宋体"/>
          <w:color w:val="auto"/>
          <w:szCs w:val="21"/>
          <w:highlight w:val="none"/>
        </w:rPr>
        <w:t>委托代理人（签字或印章）：</w:t>
      </w:r>
      <w:r>
        <w:rPr>
          <w:rFonts w:hint="eastAsia" w:ascii="宋体" w:hAnsi="宋体"/>
          <w:color w:val="auto"/>
          <w:szCs w:val="21"/>
          <w:highlight w:val="none"/>
          <w:u w:val="single"/>
        </w:rPr>
        <w:t xml:space="preserve">                     </w:t>
      </w:r>
    </w:p>
    <w:p w14:paraId="51184708">
      <w:pPr>
        <w:adjustRightInd w:val="0"/>
        <w:snapToGrid w:val="0"/>
        <w:spacing w:line="360" w:lineRule="auto"/>
        <w:ind w:right="420"/>
        <w:rPr>
          <w:rFonts w:ascii="宋体" w:hAnsi="宋体"/>
          <w:color w:val="auto"/>
          <w:szCs w:val="21"/>
          <w:highlight w:val="none"/>
        </w:rPr>
      </w:pPr>
      <w:r>
        <w:rPr>
          <w:rFonts w:hint="eastAsia" w:ascii="宋体" w:hAnsi="宋体" w:eastAsia="宋体" w:cs="宋体"/>
          <w:color w:val="auto"/>
          <w:szCs w:val="21"/>
          <w:highlight w:val="none"/>
        </w:rPr>
        <w:t>日期：</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w:t>
      </w:r>
    </w:p>
    <w:p w14:paraId="1C56F391">
      <w:pPr>
        <w:adjustRightInd w:val="0"/>
        <w:snapToGrid w:val="0"/>
        <w:spacing w:line="360" w:lineRule="auto"/>
        <w:jc w:val="left"/>
        <w:rPr>
          <w:rFonts w:ascii="黑体" w:hAnsi="黑体" w:eastAsia="黑体"/>
          <w:bCs/>
          <w:color w:val="auto"/>
          <w:sz w:val="28"/>
          <w:szCs w:val="28"/>
          <w:highlight w:val="none"/>
        </w:rPr>
      </w:pPr>
      <w:r>
        <w:rPr>
          <w:rFonts w:ascii="黑体" w:hAnsi="黑体" w:eastAsia="黑体"/>
          <w:bCs/>
          <w:color w:val="auto"/>
          <w:sz w:val="28"/>
          <w:szCs w:val="28"/>
          <w:highlight w:val="none"/>
        </w:rPr>
        <w:br w:type="page"/>
      </w:r>
    </w:p>
    <w:p w14:paraId="669C8AC7">
      <w:pPr>
        <w:pStyle w:val="4"/>
        <w:adjustRightInd w:val="0"/>
        <w:snapToGrid w:val="0"/>
        <w:spacing w:before="0" w:after="0" w:line="360" w:lineRule="auto"/>
        <w:jc w:val="center"/>
        <w:rPr>
          <w:rFonts w:ascii="黑体" w:hAnsi="宋体" w:eastAsia="黑体"/>
          <w:color w:val="auto"/>
          <w:sz w:val="28"/>
          <w:szCs w:val="28"/>
          <w:highlight w:val="none"/>
        </w:rPr>
      </w:pPr>
      <w:bookmarkStart w:id="118" w:name="_Toc7733"/>
      <w:r>
        <w:rPr>
          <w:rFonts w:hint="eastAsia" w:ascii="黑体" w:hAnsi="宋体" w:eastAsia="黑体"/>
          <w:color w:val="auto"/>
          <w:sz w:val="28"/>
          <w:szCs w:val="28"/>
          <w:highlight w:val="none"/>
        </w:rPr>
        <w:t>四、投标人提供的资格证明文件</w:t>
      </w:r>
      <w:bookmarkEnd w:id="118"/>
      <w:bookmarkStart w:id="119" w:name="_Toc294186060"/>
      <w:bookmarkStart w:id="120" w:name="_Toc294206743"/>
    </w:p>
    <w:p w14:paraId="673A1180">
      <w:pPr>
        <w:pStyle w:val="13"/>
        <w:adjustRightInd w:val="0"/>
        <w:snapToGrid w:val="0"/>
        <w:spacing w:line="360" w:lineRule="auto"/>
        <w:jc w:val="center"/>
        <w:rPr>
          <w:rFonts w:hAnsi="宋体" w:cs="Times New Roman"/>
          <w:b/>
          <w:bCs/>
          <w:color w:val="auto"/>
          <w:sz w:val="24"/>
          <w:szCs w:val="24"/>
          <w:highlight w:val="none"/>
        </w:rPr>
      </w:pPr>
    </w:p>
    <w:p w14:paraId="5CB4E954">
      <w:pPr>
        <w:pStyle w:val="13"/>
        <w:adjustRightInd w:val="0"/>
        <w:snapToGrid w:val="0"/>
        <w:spacing w:line="360" w:lineRule="auto"/>
        <w:jc w:val="center"/>
        <w:rPr>
          <w:rFonts w:ascii="黑体" w:hAnsi="黑体" w:eastAsia="黑体" w:cs="Times New Roman"/>
          <w:b/>
          <w:bCs/>
          <w:color w:val="auto"/>
          <w:sz w:val="28"/>
          <w:szCs w:val="28"/>
          <w:highlight w:val="none"/>
        </w:rPr>
      </w:pPr>
      <w:r>
        <w:rPr>
          <w:rFonts w:hint="eastAsia" w:ascii="黑体" w:hAnsi="黑体" w:eastAsia="黑体" w:cs="Times New Roman"/>
          <w:b/>
          <w:bCs/>
          <w:color w:val="auto"/>
          <w:sz w:val="28"/>
          <w:szCs w:val="28"/>
          <w:highlight w:val="none"/>
        </w:rPr>
        <w:t>须  知</w:t>
      </w:r>
    </w:p>
    <w:p w14:paraId="0F25573A">
      <w:pPr>
        <w:tabs>
          <w:tab w:val="left" w:pos="4725"/>
        </w:tabs>
        <w:adjustRightInd w:val="0"/>
        <w:snapToGrid w:val="0"/>
        <w:spacing w:before="156" w:beforeLines="50" w:line="360" w:lineRule="auto"/>
        <w:ind w:firstLine="422" w:firstLineChars="200"/>
        <w:rPr>
          <w:rFonts w:ascii="宋体" w:hAnsi="宋体"/>
          <w:b/>
          <w:bCs/>
          <w:color w:val="auto"/>
          <w:szCs w:val="21"/>
          <w:highlight w:val="none"/>
        </w:rPr>
      </w:pPr>
      <w:r>
        <w:rPr>
          <w:rFonts w:hint="eastAsia" w:ascii="宋体" w:hAnsi="宋体"/>
          <w:b/>
          <w:color w:val="auto"/>
          <w:szCs w:val="21"/>
          <w:highlight w:val="none"/>
        </w:rPr>
        <w:t>1、投标人</w:t>
      </w:r>
      <w:r>
        <w:rPr>
          <w:rFonts w:hint="eastAsia" w:ascii="宋体" w:hAnsi="宋体"/>
          <w:b/>
          <w:bCs/>
          <w:color w:val="auto"/>
          <w:szCs w:val="21"/>
          <w:highlight w:val="none"/>
        </w:rPr>
        <w:t>应按第二章第15.1款要求提供下列的证明材料</w:t>
      </w:r>
    </w:p>
    <w:p w14:paraId="417042C2">
      <w:pPr>
        <w:tabs>
          <w:tab w:val="left" w:pos="4725"/>
        </w:tabs>
        <w:adjustRightInd w:val="0"/>
        <w:snapToGrid w:val="0"/>
        <w:spacing w:before="156" w:beforeLines="50" w:line="360" w:lineRule="auto"/>
        <w:ind w:firstLine="735" w:firstLineChars="350"/>
        <w:rPr>
          <w:rFonts w:ascii="宋体" w:hAnsi="宋体" w:eastAsia="宋体"/>
          <w:color w:val="auto"/>
          <w:szCs w:val="21"/>
          <w:highlight w:val="none"/>
        </w:rPr>
      </w:pPr>
      <w:r>
        <w:rPr>
          <w:rFonts w:hint="eastAsia" w:ascii="宋体" w:hAnsi="宋体" w:eastAsia="宋体"/>
          <w:color w:val="auto"/>
          <w:szCs w:val="21"/>
          <w:highlight w:val="none"/>
        </w:rPr>
        <w:t>附件4-1 法人或者其他组织的营业执照等主体资格证明文件，自然人的身份证明</w:t>
      </w:r>
    </w:p>
    <w:p w14:paraId="48C13D7C">
      <w:pPr>
        <w:tabs>
          <w:tab w:val="left" w:pos="4725"/>
        </w:tabs>
        <w:adjustRightInd w:val="0"/>
        <w:snapToGrid w:val="0"/>
        <w:spacing w:before="156" w:beforeLines="50" w:line="360" w:lineRule="auto"/>
        <w:ind w:firstLine="735" w:firstLineChars="350"/>
        <w:rPr>
          <w:rFonts w:ascii="宋体" w:hAnsi="宋体" w:eastAsia="宋体"/>
          <w:color w:val="auto"/>
          <w:szCs w:val="21"/>
          <w:highlight w:val="none"/>
        </w:rPr>
      </w:pPr>
      <w:r>
        <w:rPr>
          <w:rFonts w:hint="eastAsia" w:ascii="宋体" w:hAnsi="宋体" w:eastAsia="宋体"/>
          <w:color w:val="auto"/>
          <w:szCs w:val="21"/>
          <w:highlight w:val="none"/>
        </w:rPr>
        <w:t xml:space="preserve">附件4-2 </w:t>
      </w:r>
      <w:r>
        <w:rPr>
          <w:rFonts w:ascii="宋体" w:hAnsi="宋体" w:eastAsia="宋体" w:cs="宋体"/>
          <w:color w:val="auto"/>
          <w:spacing w:val="-4"/>
          <w:sz w:val="21"/>
          <w:szCs w:val="21"/>
          <w:highlight w:val="none"/>
        </w:rPr>
        <w:t>投标人资格声明(格式)</w:t>
      </w:r>
    </w:p>
    <w:p w14:paraId="5F18B80D">
      <w:pPr>
        <w:tabs>
          <w:tab w:val="left" w:pos="4725"/>
        </w:tabs>
        <w:adjustRightInd w:val="0"/>
        <w:snapToGrid w:val="0"/>
        <w:spacing w:before="156" w:beforeLines="50" w:line="360" w:lineRule="auto"/>
        <w:ind w:firstLine="735" w:firstLineChars="35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附件 4-2-1 湖南省政府采购供应商资格承诺函(格式)</w:t>
      </w:r>
    </w:p>
    <w:p w14:paraId="243AE5F6">
      <w:pPr>
        <w:tabs>
          <w:tab w:val="left" w:pos="4725"/>
        </w:tabs>
        <w:adjustRightInd w:val="0"/>
        <w:snapToGrid w:val="0"/>
        <w:spacing w:before="156" w:beforeLines="50" w:line="360" w:lineRule="auto"/>
        <w:ind w:firstLine="735" w:firstLineChars="350"/>
        <w:rPr>
          <w:rFonts w:ascii="宋体" w:hAnsi="宋体" w:eastAsia="宋体"/>
          <w:color w:val="auto"/>
          <w:szCs w:val="21"/>
          <w:highlight w:val="none"/>
        </w:rPr>
      </w:pPr>
      <w:r>
        <w:rPr>
          <w:rFonts w:hint="eastAsia" w:ascii="宋体" w:hAnsi="宋体" w:eastAsia="宋体"/>
          <w:color w:val="auto"/>
          <w:szCs w:val="21"/>
          <w:highlight w:val="none"/>
        </w:rPr>
        <w:t>附件4-3 符合特定资格条件证明材料复印件或者情况说明</w:t>
      </w:r>
    </w:p>
    <w:p w14:paraId="613D7FF4">
      <w:pPr>
        <w:pStyle w:val="30"/>
        <w:rPr>
          <w:rFonts w:hint="eastAsia"/>
          <w:color w:val="auto"/>
          <w:highlight w:val="none"/>
        </w:rPr>
      </w:pPr>
    </w:p>
    <w:p w14:paraId="42868726">
      <w:pPr>
        <w:tabs>
          <w:tab w:val="left" w:pos="4725"/>
        </w:tabs>
        <w:adjustRightInd w:val="0"/>
        <w:snapToGrid w:val="0"/>
        <w:spacing w:line="360" w:lineRule="auto"/>
        <w:rPr>
          <w:rFonts w:ascii="宋体" w:hAnsi="宋体" w:eastAsia="宋体" w:cs="宋体"/>
          <w:color w:val="auto"/>
          <w:szCs w:val="21"/>
          <w:highlight w:val="none"/>
        </w:rPr>
      </w:pPr>
    </w:p>
    <w:p w14:paraId="380502D5">
      <w:pPr>
        <w:widowControl/>
        <w:adjustRightInd w:val="0"/>
        <w:snapToGrid w:val="0"/>
        <w:spacing w:line="360" w:lineRule="auto"/>
        <w:jc w:val="left"/>
        <w:rPr>
          <w:rFonts w:ascii="黑体" w:hAnsi="仿宋" w:eastAsia="黑体" w:cs="宋体"/>
          <w:color w:val="auto"/>
          <w:sz w:val="10"/>
          <w:szCs w:val="10"/>
          <w:highlight w:val="none"/>
        </w:rPr>
      </w:pPr>
      <w:r>
        <w:rPr>
          <w:rFonts w:ascii="黑体" w:hAnsi="仿宋" w:eastAsia="黑体" w:cs="宋体"/>
          <w:color w:val="auto"/>
          <w:szCs w:val="21"/>
          <w:highlight w:val="none"/>
        </w:rPr>
        <w:br w:type="page"/>
      </w:r>
    </w:p>
    <w:p w14:paraId="6CEAE790">
      <w:pPr>
        <w:pStyle w:val="5"/>
        <w:rPr>
          <w:rFonts w:ascii="黑体" w:hAnsi="仿宋" w:cs="宋体"/>
          <w:b w:val="0"/>
          <w:color w:val="auto"/>
          <w:sz w:val="21"/>
          <w:szCs w:val="21"/>
          <w:highlight w:val="none"/>
        </w:rPr>
      </w:pPr>
      <w:bookmarkStart w:id="121" w:name="_Toc1046"/>
      <w:bookmarkStart w:id="122" w:name="_Toc590"/>
      <w:bookmarkStart w:id="123" w:name="_Toc4326"/>
      <w:r>
        <w:rPr>
          <w:rFonts w:hint="eastAsia" w:ascii="黑体" w:hAnsi="仿宋" w:cs="宋体"/>
          <w:b w:val="0"/>
          <w:color w:val="auto"/>
          <w:sz w:val="21"/>
          <w:szCs w:val="21"/>
          <w:highlight w:val="none"/>
        </w:rPr>
        <w:t>附件4-1 法人或者其他组织的营业执照等主体资格证明文件，自然人的身份证明</w:t>
      </w:r>
      <w:bookmarkEnd w:id="121"/>
      <w:bookmarkEnd w:id="122"/>
      <w:bookmarkEnd w:id="123"/>
    </w:p>
    <w:p w14:paraId="47322A25">
      <w:pPr>
        <w:widowControl/>
        <w:adjustRightInd w:val="0"/>
        <w:snapToGrid w:val="0"/>
        <w:spacing w:line="360" w:lineRule="auto"/>
        <w:jc w:val="center"/>
        <w:rPr>
          <w:rFonts w:ascii="黑体" w:hAnsi="仿宋" w:eastAsia="黑体" w:cs="宋体"/>
          <w:b/>
          <w:color w:val="auto"/>
          <w:sz w:val="28"/>
          <w:szCs w:val="28"/>
          <w:highlight w:val="none"/>
        </w:rPr>
      </w:pPr>
      <w:r>
        <w:rPr>
          <w:rFonts w:hint="eastAsia" w:ascii="黑体" w:hAnsi="仿宋" w:eastAsia="黑体" w:cs="宋体"/>
          <w:b/>
          <w:color w:val="auto"/>
          <w:sz w:val="28"/>
          <w:szCs w:val="28"/>
          <w:highlight w:val="none"/>
        </w:rPr>
        <w:t>法人或者其他组织的营业执照等主体资格证明文件，自然人的身份证明</w:t>
      </w:r>
    </w:p>
    <w:p w14:paraId="3EB398F1">
      <w:pPr>
        <w:widowControl/>
        <w:adjustRightInd w:val="0"/>
        <w:snapToGrid w:val="0"/>
        <w:spacing w:before="156" w:beforeLines="50" w:line="360" w:lineRule="auto"/>
        <w:ind w:firstLine="420" w:firstLineChars="200"/>
        <w:jc w:val="left"/>
        <w:rPr>
          <w:rFonts w:ascii="宋体" w:hAnsi="宋体" w:eastAsia="宋体" w:cs="宋体"/>
          <w:color w:val="auto"/>
          <w:szCs w:val="21"/>
          <w:highlight w:val="none"/>
        </w:rPr>
      </w:pPr>
    </w:p>
    <w:p w14:paraId="5EB5D710">
      <w:pPr>
        <w:adjustRightInd w:val="0"/>
        <w:snapToGrid w:val="0"/>
        <w:spacing w:before="156" w:beforeLines="50"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注：按第二章第</w:t>
      </w:r>
      <w:r>
        <w:rPr>
          <w:rFonts w:ascii="宋体" w:hAnsi="宋体" w:eastAsia="宋体" w:cs="宋体"/>
          <w:color w:val="auto"/>
          <w:szCs w:val="21"/>
          <w:highlight w:val="none"/>
        </w:rPr>
        <w:t>1</w:t>
      </w:r>
      <w:r>
        <w:rPr>
          <w:rFonts w:hint="eastAsia" w:ascii="宋体" w:hAnsi="宋体" w:eastAsia="宋体" w:cs="宋体"/>
          <w:color w:val="auto"/>
          <w:szCs w:val="21"/>
          <w:highlight w:val="none"/>
        </w:rPr>
        <w:t>4</w:t>
      </w:r>
      <w:r>
        <w:rPr>
          <w:rFonts w:ascii="宋体" w:hAnsi="宋体" w:eastAsia="宋体" w:cs="宋体"/>
          <w:color w:val="auto"/>
          <w:szCs w:val="21"/>
          <w:highlight w:val="none"/>
        </w:rPr>
        <w:t>.1</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rPr>
        <w:t>）项要求提供。</w:t>
      </w:r>
    </w:p>
    <w:p w14:paraId="3BDC3E4E">
      <w:pPr>
        <w:adjustRightInd w:val="0"/>
        <w:snapToGrid w:val="0"/>
        <w:spacing w:before="156" w:beforeLines="50" w:line="360" w:lineRule="auto"/>
        <w:ind w:firstLine="420" w:firstLineChars="200"/>
        <w:rPr>
          <w:rFonts w:ascii="宋体" w:hAnsi="宋体"/>
          <w:color w:val="auto"/>
          <w:highlight w:val="none"/>
        </w:rPr>
      </w:pPr>
      <w:r>
        <w:rPr>
          <w:rFonts w:hint="eastAsia" w:ascii="宋体" w:hAnsi="宋体" w:eastAsia="宋体" w:cs="宋体"/>
          <w:color w:val="auto"/>
          <w:szCs w:val="21"/>
          <w:highlight w:val="none"/>
        </w:rPr>
        <w:t>（1）</w:t>
      </w:r>
      <w:r>
        <w:rPr>
          <w:rFonts w:hint="eastAsia" w:ascii="宋体" w:hAnsi="宋体"/>
          <w:color w:val="auto"/>
          <w:highlight w:val="none"/>
        </w:rPr>
        <w:t>投标人为法人的，应提交营业执照或法人登记证书的复印件；</w:t>
      </w:r>
    </w:p>
    <w:p w14:paraId="33400D41">
      <w:pPr>
        <w:adjustRightInd w:val="0"/>
        <w:snapToGrid w:val="0"/>
        <w:spacing w:before="156" w:beforeLines="50" w:line="360" w:lineRule="auto"/>
        <w:ind w:firstLine="420" w:firstLineChars="200"/>
        <w:rPr>
          <w:rFonts w:ascii="宋体" w:hAnsi="宋体"/>
          <w:color w:val="auto"/>
          <w:highlight w:val="none"/>
        </w:rPr>
      </w:pPr>
      <w:r>
        <w:rPr>
          <w:rFonts w:hint="eastAsia" w:ascii="宋体" w:hAnsi="宋体" w:eastAsia="宋体" w:cs="宋体"/>
          <w:color w:val="auto"/>
          <w:szCs w:val="21"/>
          <w:highlight w:val="none"/>
        </w:rPr>
        <w:t>（2）</w:t>
      </w:r>
      <w:r>
        <w:rPr>
          <w:rFonts w:hint="eastAsia" w:ascii="宋体" w:hAnsi="宋体"/>
          <w:color w:val="auto"/>
          <w:highlight w:val="none"/>
        </w:rPr>
        <w:t>投标人为非法人组织的，应提交依法登记证书复印件；</w:t>
      </w:r>
    </w:p>
    <w:p w14:paraId="13E41333">
      <w:pPr>
        <w:adjustRightInd w:val="0"/>
        <w:snapToGrid w:val="0"/>
        <w:spacing w:before="156" w:beforeLines="50" w:line="360" w:lineRule="auto"/>
        <w:ind w:firstLine="420" w:firstLineChars="200"/>
        <w:rPr>
          <w:rFonts w:ascii="宋体" w:hAnsi="宋体"/>
          <w:color w:val="auto"/>
          <w:highlight w:val="none"/>
        </w:rPr>
      </w:pPr>
      <w:r>
        <w:rPr>
          <w:rFonts w:hint="eastAsia" w:ascii="宋体" w:hAnsi="宋体" w:eastAsia="宋体" w:cs="宋体"/>
          <w:color w:val="auto"/>
          <w:szCs w:val="21"/>
          <w:highlight w:val="none"/>
        </w:rPr>
        <w:t>（3）</w:t>
      </w:r>
      <w:r>
        <w:rPr>
          <w:rFonts w:hint="eastAsia" w:ascii="宋体" w:hAnsi="宋体"/>
          <w:color w:val="auto"/>
          <w:highlight w:val="none"/>
        </w:rPr>
        <w:t>投标人为个体工商户的，应提交个体工商户营业执照复印件；</w:t>
      </w:r>
    </w:p>
    <w:p w14:paraId="314B3BF5">
      <w:pPr>
        <w:adjustRightInd w:val="0"/>
        <w:snapToGrid w:val="0"/>
        <w:spacing w:before="156" w:beforeLines="50" w:line="360" w:lineRule="auto"/>
        <w:ind w:firstLine="420" w:firstLineChars="200"/>
        <w:rPr>
          <w:rFonts w:ascii="宋体" w:hAnsi="宋体"/>
          <w:color w:val="auto"/>
          <w:highlight w:val="none"/>
        </w:rPr>
      </w:pPr>
      <w:r>
        <w:rPr>
          <w:rFonts w:hint="eastAsia" w:ascii="宋体" w:hAnsi="宋体" w:eastAsia="宋体" w:cs="宋体"/>
          <w:color w:val="auto"/>
          <w:szCs w:val="21"/>
          <w:highlight w:val="none"/>
        </w:rPr>
        <w:t>（4）</w:t>
      </w:r>
      <w:r>
        <w:rPr>
          <w:rFonts w:hint="eastAsia" w:ascii="宋体" w:hAnsi="宋体"/>
          <w:color w:val="auto"/>
          <w:highlight w:val="none"/>
        </w:rPr>
        <w:t>投标人为自然人的，应提交自然人的身份证明复印件。</w:t>
      </w:r>
    </w:p>
    <w:p w14:paraId="0AA117CF">
      <w:pPr>
        <w:adjustRightInd w:val="0"/>
        <w:snapToGrid w:val="0"/>
        <w:spacing w:before="156" w:beforeLines="50" w:line="360" w:lineRule="auto"/>
        <w:ind w:firstLine="420" w:firstLineChars="200"/>
        <w:rPr>
          <w:rFonts w:ascii="宋体" w:hAnsi="宋体"/>
          <w:color w:val="auto"/>
          <w:highlight w:val="none"/>
        </w:rPr>
      </w:pPr>
    </w:p>
    <w:p w14:paraId="7FF43A8E">
      <w:pPr>
        <w:widowControl/>
        <w:jc w:val="left"/>
        <w:rPr>
          <w:rFonts w:ascii="黑体" w:hAnsi="仿宋" w:eastAsia="黑体" w:cs="宋体"/>
          <w:bCs/>
          <w:color w:val="auto"/>
          <w:sz w:val="10"/>
          <w:szCs w:val="10"/>
          <w:highlight w:val="none"/>
        </w:rPr>
      </w:pPr>
      <w:r>
        <w:rPr>
          <w:rFonts w:ascii="黑体" w:hAnsi="仿宋" w:cs="宋体"/>
          <w:b/>
          <w:color w:val="auto"/>
          <w:szCs w:val="21"/>
          <w:highlight w:val="none"/>
        </w:rPr>
        <w:br w:type="page"/>
      </w:r>
    </w:p>
    <w:p w14:paraId="27EFC42A">
      <w:pPr>
        <w:pStyle w:val="5"/>
        <w:adjustRightInd w:val="0"/>
        <w:snapToGrid w:val="0"/>
        <w:spacing w:before="156" w:beforeLines="50" w:after="0" w:line="360" w:lineRule="auto"/>
        <w:rPr>
          <w:rFonts w:hint="eastAsia" w:ascii="黑体" w:hAnsi="仿宋" w:cs="宋体"/>
          <w:b w:val="0"/>
          <w:color w:val="auto"/>
          <w:sz w:val="21"/>
          <w:szCs w:val="21"/>
          <w:highlight w:val="none"/>
        </w:rPr>
      </w:pPr>
      <w:bookmarkStart w:id="124" w:name="_Toc24449"/>
      <w:bookmarkStart w:id="125" w:name="_Toc6037"/>
      <w:bookmarkStart w:id="126" w:name="_Toc6586"/>
      <w:r>
        <w:rPr>
          <w:rFonts w:hint="eastAsia" w:ascii="黑体" w:hAnsi="仿宋" w:cs="宋体"/>
          <w:b w:val="0"/>
          <w:color w:val="auto"/>
          <w:sz w:val="21"/>
          <w:szCs w:val="21"/>
          <w:highlight w:val="none"/>
        </w:rPr>
        <w:t xml:space="preserve">附件4-2 </w:t>
      </w:r>
      <w:bookmarkEnd w:id="124"/>
      <w:r>
        <w:rPr>
          <w:rFonts w:hint="eastAsia" w:ascii="黑体" w:hAnsi="仿宋" w:cs="宋体"/>
          <w:b w:val="0"/>
          <w:color w:val="auto"/>
          <w:sz w:val="21"/>
          <w:szCs w:val="21"/>
          <w:highlight w:val="none"/>
        </w:rPr>
        <w:t>投标人资格声明(格式)</w:t>
      </w:r>
      <w:bookmarkEnd w:id="125"/>
      <w:bookmarkEnd w:id="126"/>
    </w:p>
    <w:p w14:paraId="17E4D3C8">
      <w:pPr>
        <w:widowControl/>
        <w:adjustRightInd w:val="0"/>
        <w:snapToGrid w:val="0"/>
        <w:spacing w:line="360" w:lineRule="auto"/>
        <w:jc w:val="center"/>
        <w:rPr>
          <w:rFonts w:hint="eastAsia" w:ascii="黑体" w:hAnsi="仿宋" w:eastAsia="黑体" w:cs="宋体"/>
          <w:b/>
          <w:color w:val="auto"/>
          <w:sz w:val="28"/>
          <w:szCs w:val="28"/>
          <w:highlight w:val="none"/>
        </w:rPr>
      </w:pPr>
    </w:p>
    <w:p w14:paraId="1AF1BC9D">
      <w:pPr>
        <w:widowControl/>
        <w:adjustRightInd w:val="0"/>
        <w:snapToGrid w:val="0"/>
        <w:spacing w:line="360" w:lineRule="auto"/>
        <w:jc w:val="center"/>
        <w:rPr>
          <w:rFonts w:hint="eastAsia" w:ascii="黑体" w:hAnsi="仿宋" w:eastAsia="黑体" w:cs="宋体"/>
          <w:b/>
          <w:color w:val="auto"/>
          <w:sz w:val="28"/>
          <w:szCs w:val="28"/>
          <w:highlight w:val="none"/>
        </w:rPr>
      </w:pPr>
      <w:r>
        <w:rPr>
          <w:rFonts w:hint="eastAsia" w:ascii="黑体" w:hAnsi="仿宋" w:eastAsia="黑体" w:cs="宋体"/>
          <w:b/>
          <w:color w:val="auto"/>
          <w:sz w:val="28"/>
          <w:szCs w:val="28"/>
          <w:highlight w:val="none"/>
        </w:rPr>
        <w:t>投标人资格声明(格式)</w:t>
      </w:r>
    </w:p>
    <w:p w14:paraId="2AF468B8">
      <w:pPr>
        <w:widowControl/>
        <w:adjustRightInd w:val="0"/>
        <w:snapToGrid w:val="0"/>
        <w:spacing w:line="360" w:lineRule="auto"/>
        <w:jc w:val="center"/>
        <w:rPr>
          <w:rFonts w:hint="eastAsia" w:ascii="黑体" w:hAnsi="仿宋" w:eastAsia="黑体" w:cs="宋体"/>
          <w:b/>
          <w:color w:val="auto"/>
          <w:sz w:val="28"/>
          <w:szCs w:val="28"/>
          <w:highlight w:val="none"/>
        </w:rPr>
      </w:pPr>
    </w:p>
    <w:p w14:paraId="2248B059">
      <w:pPr>
        <w:spacing w:before="68" w:line="219" w:lineRule="auto"/>
        <w:ind w:left="37"/>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致</w:t>
      </w:r>
      <w:r>
        <w:rPr>
          <w:rFonts w:ascii="宋体" w:hAnsi="宋体" w:eastAsia="宋体" w:cs="宋体"/>
          <w:color w:val="auto"/>
          <w:spacing w:val="-1"/>
          <w:sz w:val="21"/>
          <w:szCs w:val="21"/>
          <w:highlight w:val="none"/>
          <w:u w:val="single" w:color="auto"/>
        </w:rPr>
        <w:t xml:space="preserve">    </w:t>
      </w:r>
      <w:r>
        <w:rPr>
          <w:rFonts w:ascii="宋体" w:hAnsi="宋体" w:eastAsia="宋体" w:cs="宋体"/>
          <w:color w:val="auto"/>
          <w:sz w:val="21"/>
          <w:szCs w:val="21"/>
          <w:highlight w:val="none"/>
          <w:u w:val="single" w:color="auto"/>
        </w:rPr>
        <w:t xml:space="preserve">        </w:t>
      </w:r>
      <w:r>
        <w:rPr>
          <w:rFonts w:ascii="宋体" w:hAnsi="宋体" w:eastAsia="宋体" w:cs="宋体"/>
          <w:color w:val="auto"/>
          <w:sz w:val="21"/>
          <w:szCs w:val="21"/>
          <w:highlight w:val="none"/>
        </w:rPr>
        <w:t>(采购人、采购代理机构)：</w:t>
      </w:r>
    </w:p>
    <w:p w14:paraId="48FBA984">
      <w:pPr>
        <w:spacing w:line="247" w:lineRule="auto"/>
        <w:rPr>
          <w:rFonts w:ascii="Arial"/>
          <w:color w:val="auto"/>
          <w:sz w:val="21"/>
          <w:highlight w:val="none"/>
        </w:rPr>
      </w:pPr>
    </w:p>
    <w:p w14:paraId="64E39450">
      <w:pPr>
        <w:spacing w:before="68" w:line="219" w:lineRule="auto"/>
        <w:ind w:left="461"/>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按照《</w:t>
      </w:r>
      <w:r>
        <w:rPr>
          <w:rFonts w:ascii="宋体" w:hAnsi="宋体" w:eastAsia="宋体" w:cs="宋体"/>
          <w:color w:val="auto"/>
          <w:spacing w:val="-1"/>
          <w:sz w:val="21"/>
          <w:szCs w:val="21"/>
          <w:highlight w:val="none"/>
        </w:rPr>
        <w:t>中华人民共和国政府采购法》第二十二条和招标文件的规定，我单位郑重声明如下：</w:t>
      </w:r>
    </w:p>
    <w:p w14:paraId="7559D4E6">
      <w:pPr>
        <w:spacing w:line="247" w:lineRule="auto"/>
        <w:rPr>
          <w:rFonts w:ascii="Arial"/>
          <w:color w:val="auto"/>
          <w:sz w:val="21"/>
          <w:highlight w:val="none"/>
        </w:rPr>
      </w:pPr>
    </w:p>
    <w:p w14:paraId="126A808E">
      <w:pPr>
        <w:spacing w:before="69" w:line="219" w:lineRule="auto"/>
        <w:ind w:left="462"/>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一、我单位是按</w:t>
      </w:r>
      <w:r>
        <w:rPr>
          <w:rFonts w:ascii="宋体" w:hAnsi="宋体" w:eastAsia="宋体" w:cs="宋体"/>
          <w:color w:val="auto"/>
          <w:sz w:val="21"/>
          <w:szCs w:val="21"/>
          <w:highlight w:val="none"/>
        </w:rPr>
        <w:t>照中华人民共和国法律规定登记注册的，注册地点为</w:t>
      </w:r>
      <w:r>
        <w:rPr>
          <w:rFonts w:ascii="宋体" w:hAnsi="宋体" w:eastAsia="宋体" w:cs="宋体"/>
          <w:color w:val="auto"/>
          <w:sz w:val="21"/>
          <w:szCs w:val="21"/>
          <w:highlight w:val="none"/>
          <w:u w:val="single" w:color="auto"/>
        </w:rPr>
        <w:t xml:space="preserve">         </w:t>
      </w:r>
      <w:r>
        <w:rPr>
          <w:rFonts w:ascii="宋体" w:hAnsi="宋体" w:eastAsia="宋体" w:cs="宋体"/>
          <w:color w:val="auto"/>
          <w:sz w:val="21"/>
          <w:szCs w:val="21"/>
          <w:highlight w:val="none"/>
        </w:rPr>
        <w:t>，全称</w:t>
      </w:r>
    </w:p>
    <w:p w14:paraId="7A8C14EB">
      <w:pPr>
        <w:spacing w:before="160" w:line="366" w:lineRule="auto"/>
        <w:ind w:left="37" w:right="24" w:firstLine="2"/>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为</w:t>
      </w:r>
      <w:r>
        <w:rPr>
          <w:rFonts w:ascii="宋体" w:hAnsi="宋体" w:eastAsia="宋体" w:cs="宋体"/>
          <w:color w:val="auto"/>
          <w:spacing w:val="-2"/>
          <w:sz w:val="21"/>
          <w:szCs w:val="21"/>
          <w:highlight w:val="none"/>
          <w:u w:val="single" w:color="auto"/>
        </w:rPr>
        <w:t xml:space="preserve">     </w:t>
      </w:r>
      <w:r>
        <w:rPr>
          <w:rFonts w:ascii="宋体" w:hAnsi="宋体" w:eastAsia="宋体" w:cs="宋体"/>
          <w:color w:val="auto"/>
          <w:spacing w:val="-1"/>
          <w:sz w:val="21"/>
          <w:szCs w:val="21"/>
          <w:highlight w:val="none"/>
          <w:u w:val="single" w:color="auto"/>
        </w:rPr>
        <w:t xml:space="preserve">   </w:t>
      </w:r>
      <w:r>
        <w:rPr>
          <w:rFonts w:ascii="宋体" w:hAnsi="宋体" w:eastAsia="宋体" w:cs="宋体"/>
          <w:color w:val="auto"/>
          <w:spacing w:val="-1"/>
          <w:sz w:val="21"/>
          <w:szCs w:val="21"/>
          <w:highlight w:val="none"/>
        </w:rPr>
        <w:t>，统一社会信用代码为</w:t>
      </w:r>
      <w:r>
        <w:rPr>
          <w:rFonts w:ascii="宋体" w:hAnsi="宋体" w:eastAsia="宋体" w:cs="宋体"/>
          <w:color w:val="auto"/>
          <w:spacing w:val="-1"/>
          <w:sz w:val="21"/>
          <w:szCs w:val="21"/>
          <w:highlight w:val="none"/>
          <w:u w:val="single" w:color="auto"/>
        </w:rPr>
        <w:t xml:space="preserve">            </w:t>
      </w:r>
      <w:r>
        <w:rPr>
          <w:rFonts w:ascii="宋体" w:hAnsi="宋体" w:eastAsia="宋体" w:cs="宋体"/>
          <w:color w:val="auto"/>
          <w:spacing w:val="-1"/>
          <w:sz w:val="21"/>
          <w:szCs w:val="21"/>
          <w:highlight w:val="none"/>
        </w:rPr>
        <w:t>，法定代表人 (单位负责人) 为</w:t>
      </w:r>
      <w:r>
        <w:rPr>
          <w:rFonts w:ascii="宋体" w:hAnsi="宋体" w:eastAsia="宋体" w:cs="宋体"/>
          <w:color w:val="auto"/>
          <w:spacing w:val="-1"/>
          <w:sz w:val="21"/>
          <w:szCs w:val="21"/>
          <w:highlight w:val="none"/>
          <w:u w:val="single" w:color="auto"/>
        </w:rPr>
        <w:t xml:space="preserve">         </w:t>
      </w:r>
      <w:r>
        <w:rPr>
          <w:rFonts w:ascii="宋体" w:hAnsi="宋体" w:eastAsia="宋体" w:cs="宋体"/>
          <w:color w:val="auto"/>
          <w:spacing w:val="-1"/>
          <w:sz w:val="21"/>
          <w:szCs w:val="21"/>
          <w:highlight w:val="none"/>
        </w:rPr>
        <w:t>，具有独</w:t>
      </w:r>
      <w:r>
        <w:rPr>
          <w:rFonts w:ascii="宋体" w:hAnsi="宋体" w:eastAsia="宋体" w:cs="宋体"/>
          <w:color w:val="auto"/>
          <w:sz w:val="21"/>
          <w:szCs w:val="21"/>
          <w:highlight w:val="none"/>
        </w:rPr>
        <w:t xml:space="preserve"> </w:t>
      </w:r>
      <w:r>
        <w:rPr>
          <w:rFonts w:ascii="宋体" w:hAnsi="宋体" w:eastAsia="宋体" w:cs="宋体"/>
          <w:color w:val="auto"/>
          <w:spacing w:val="-2"/>
          <w:sz w:val="21"/>
          <w:szCs w:val="21"/>
          <w:highlight w:val="none"/>
        </w:rPr>
        <w:t>立承担民事责任的能</w:t>
      </w:r>
      <w:r>
        <w:rPr>
          <w:rFonts w:ascii="宋体" w:hAnsi="宋体" w:eastAsia="宋体" w:cs="宋体"/>
          <w:color w:val="auto"/>
          <w:spacing w:val="-1"/>
          <w:sz w:val="21"/>
          <w:szCs w:val="21"/>
          <w:highlight w:val="none"/>
        </w:rPr>
        <w:t>力。</w:t>
      </w:r>
    </w:p>
    <w:p w14:paraId="50FD1762">
      <w:pPr>
        <w:spacing w:before="151" w:line="219" w:lineRule="auto"/>
        <w:ind w:left="462"/>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二、我单位未被“国家企业信用信息系统”列入经</w:t>
      </w:r>
      <w:r>
        <w:rPr>
          <w:rFonts w:ascii="宋体" w:hAnsi="宋体" w:eastAsia="宋体" w:cs="宋体"/>
          <w:color w:val="auto"/>
          <w:sz w:val="21"/>
          <w:szCs w:val="21"/>
          <w:highlight w:val="none"/>
        </w:rPr>
        <w:t>营异常名录或者严重违法企业名单。</w:t>
      </w:r>
    </w:p>
    <w:p w14:paraId="32295DA2">
      <w:pPr>
        <w:spacing w:line="290" w:lineRule="auto"/>
        <w:rPr>
          <w:rFonts w:ascii="Arial"/>
          <w:color w:val="auto"/>
          <w:sz w:val="21"/>
          <w:highlight w:val="none"/>
        </w:rPr>
      </w:pPr>
    </w:p>
    <w:p w14:paraId="64690E33">
      <w:pPr>
        <w:spacing w:before="68" w:line="217" w:lineRule="auto"/>
        <w:ind w:left="459"/>
        <w:rPr>
          <w:rFonts w:ascii="宋体" w:hAnsi="宋体" w:eastAsia="宋体" w:cs="宋体"/>
          <w:color w:val="auto"/>
          <w:sz w:val="21"/>
          <w:szCs w:val="21"/>
          <w:highlight w:val="none"/>
        </w:rPr>
      </w:pPr>
      <w:r>
        <w:rPr>
          <w:rFonts w:ascii="宋体" w:hAnsi="宋体" w:eastAsia="宋体" w:cs="宋体"/>
          <w:color w:val="auto"/>
          <w:spacing w:val="-5"/>
          <w:sz w:val="21"/>
          <w:szCs w:val="21"/>
          <w:highlight w:val="none"/>
        </w:rPr>
        <w:t>三、 我单位具有良好的商业信誉和健全的财务会计制度</w:t>
      </w:r>
      <w:r>
        <w:rPr>
          <w:rFonts w:ascii="宋体" w:hAnsi="宋体" w:eastAsia="宋体" w:cs="宋体"/>
          <w:color w:val="auto"/>
          <w:spacing w:val="-2"/>
          <w:sz w:val="21"/>
          <w:szCs w:val="21"/>
          <w:highlight w:val="none"/>
        </w:rPr>
        <w:t>。</w:t>
      </w:r>
    </w:p>
    <w:p w14:paraId="73283611">
      <w:pPr>
        <w:spacing w:line="245" w:lineRule="auto"/>
        <w:rPr>
          <w:rFonts w:ascii="Arial"/>
          <w:color w:val="auto"/>
          <w:sz w:val="21"/>
          <w:highlight w:val="none"/>
        </w:rPr>
      </w:pPr>
    </w:p>
    <w:p w14:paraId="357A8213">
      <w:pPr>
        <w:spacing w:before="69" w:line="217" w:lineRule="auto"/>
        <w:ind w:left="479"/>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四、我单位依法进行纳税和社会保险申报并实际</w:t>
      </w:r>
      <w:r>
        <w:rPr>
          <w:rFonts w:ascii="宋体" w:hAnsi="宋体" w:eastAsia="宋体" w:cs="宋体"/>
          <w:color w:val="auto"/>
          <w:spacing w:val="-1"/>
          <w:sz w:val="21"/>
          <w:szCs w:val="21"/>
          <w:highlight w:val="none"/>
        </w:rPr>
        <w:t>履行了义务。</w:t>
      </w:r>
    </w:p>
    <w:p w14:paraId="70B4F87E">
      <w:pPr>
        <w:spacing w:line="250" w:lineRule="auto"/>
        <w:rPr>
          <w:rFonts w:ascii="Arial"/>
          <w:color w:val="auto"/>
          <w:sz w:val="21"/>
          <w:highlight w:val="none"/>
        </w:rPr>
      </w:pPr>
    </w:p>
    <w:p w14:paraId="75E14510">
      <w:pPr>
        <w:spacing w:before="69" w:line="218" w:lineRule="auto"/>
        <w:ind w:left="462"/>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五、我单位具有履</w:t>
      </w:r>
      <w:r>
        <w:rPr>
          <w:rFonts w:ascii="宋体" w:hAnsi="宋体" w:eastAsia="宋体" w:cs="宋体"/>
          <w:color w:val="auto"/>
          <w:sz w:val="21"/>
          <w:szCs w:val="21"/>
          <w:highlight w:val="none"/>
        </w:rPr>
        <w:t>行本项目采购合同所必需的设备和专业技术能力，并具有履行合同的良好记</w:t>
      </w:r>
    </w:p>
    <w:p w14:paraId="47E304F2">
      <w:pPr>
        <w:spacing w:before="300" w:line="106" w:lineRule="exact"/>
        <w:ind w:left="268"/>
        <w:rPr>
          <w:rFonts w:ascii="宋体" w:hAnsi="宋体" w:eastAsia="宋体" w:cs="宋体"/>
          <w:color w:val="auto"/>
          <w:sz w:val="21"/>
          <w:szCs w:val="21"/>
          <w:highlight w:val="none"/>
        </w:rPr>
      </w:pPr>
      <w:r>
        <w:rPr>
          <w:rFonts w:hint="eastAsia" w:ascii="宋体" w:hAnsi="宋体" w:eastAsia="宋体" w:cs="宋体"/>
          <w:color w:val="auto"/>
          <w:position w:val="1"/>
          <w:sz w:val="21"/>
          <w:szCs w:val="21"/>
          <w:highlight w:val="none"/>
          <w:lang w:val="en-US" w:eastAsia="zh-CN"/>
        </w:rPr>
        <w:t>录</w:t>
      </w:r>
      <w:r>
        <w:rPr>
          <w:rFonts w:ascii="宋体" w:hAnsi="宋体" w:eastAsia="宋体" w:cs="宋体"/>
          <w:color w:val="auto"/>
          <w:position w:val="1"/>
          <w:sz w:val="21"/>
          <w:szCs w:val="21"/>
          <w:highlight w:val="none"/>
        </w:rPr>
        <w:t>。</w:t>
      </w:r>
    </w:p>
    <w:p w14:paraId="57B8711E">
      <w:pPr>
        <w:spacing w:line="249" w:lineRule="auto"/>
        <w:rPr>
          <w:rFonts w:ascii="Arial"/>
          <w:color w:val="auto"/>
          <w:sz w:val="21"/>
          <w:highlight w:val="none"/>
        </w:rPr>
      </w:pPr>
    </w:p>
    <w:p w14:paraId="3303680E">
      <w:pPr>
        <w:spacing w:before="69" w:line="364" w:lineRule="auto"/>
        <w:ind w:left="36" w:right="71" w:firstLine="424"/>
        <w:rPr>
          <w:rFonts w:ascii="宋体" w:hAnsi="宋体" w:eastAsia="宋体" w:cs="宋体"/>
          <w:color w:val="auto"/>
          <w:sz w:val="21"/>
          <w:szCs w:val="21"/>
          <w:highlight w:val="none"/>
        </w:rPr>
      </w:pPr>
      <w:r>
        <w:rPr>
          <w:rFonts w:ascii="宋体" w:hAnsi="宋体" w:eastAsia="宋体" w:cs="宋体"/>
          <w:color w:val="auto"/>
          <w:spacing w:val="-4"/>
          <w:sz w:val="21"/>
          <w:szCs w:val="21"/>
          <w:highlight w:val="none"/>
        </w:rPr>
        <w:t>六、我单位在参加采购项目政府采</w:t>
      </w:r>
      <w:r>
        <w:rPr>
          <w:rFonts w:ascii="宋体" w:hAnsi="宋体" w:eastAsia="宋体" w:cs="宋体"/>
          <w:color w:val="auto"/>
          <w:spacing w:val="-3"/>
          <w:sz w:val="21"/>
          <w:szCs w:val="21"/>
          <w:highlight w:val="none"/>
        </w:rPr>
        <w:t>购</w:t>
      </w:r>
      <w:r>
        <w:rPr>
          <w:rFonts w:ascii="宋体" w:hAnsi="宋体" w:eastAsia="宋体" w:cs="宋体"/>
          <w:color w:val="auto"/>
          <w:spacing w:val="-2"/>
          <w:sz w:val="21"/>
          <w:szCs w:val="21"/>
          <w:highlight w:val="none"/>
        </w:rPr>
        <w:t>活动前三年内， 在经营活动中，未因违法经营受到刑事处</w:t>
      </w:r>
      <w:r>
        <w:rPr>
          <w:rFonts w:ascii="宋体" w:hAnsi="宋体" w:eastAsia="宋体" w:cs="宋体"/>
          <w:color w:val="auto"/>
          <w:sz w:val="21"/>
          <w:szCs w:val="21"/>
          <w:highlight w:val="none"/>
        </w:rPr>
        <w:t xml:space="preserve"> </w:t>
      </w:r>
      <w:r>
        <w:rPr>
          <w:rFonts w:ascii="宋体" w:hAnsi="宋体" w:eastAsia="宋体" w:cs="宋体"/>
          <w:color w:val="auto"/>
          <w:spacing w:val="-2"/>
          <w:sz w:val="21"/>
          <w:szCs w:val="21"/>
          <w:highlight w:val="none"/>
        </w:rPr>
        <w:t>罚或者责令停产停业、吊</w:t>
      </w:r>
      <w:r>
        <w:rPr>
          <w:rFonts w:ascii="宋体" w:hAnsi="宋体" w:eastAsia="宋体" w:cs="宋体"/>
          <w:color w:val="auto"/>
          <w:spacing w:val="-1"/>
          <w:sz w:val="21"/>
          <w:szCs w:val="21"/>
          <w:highlight w:val="none"/>
        </w:rPr>
        <w:t>销许可证或者执照、较大数额罚款等行政处罚。其中较大数额罚款是指：</w:t>
      </w:r>
      <w:r>
        <w:rPr>
          <w:rFonts w:ascii="宋体" w:hAnsi="宋体" w:eastAsia="宋体" w:cs="宋体"/>
          <w:color w:val="auto"/>
          <w:sz w:val="21"/>
          <w:szCs w:val="21"/>
          <w:highlight w:val="none"/>
        </w:rPr>
        <w:t xml:space="preserve"> </w:t>
      </w:r>
      <w:r>
        <w:rPr>
          <w:rFonts w:ascii="宋体" w:hAnsi="宋体" w:eastAsia="宋体" w:cs="宋体"/>
          <w:color w:val="auto"/>
          <w:spacing w:val="-1"/>
          <w:sz w:val="21"/>
          <w:szCs w:val="21"/>
          <w:highlight w:val="none"/>
        </w:rPr>
        <w:t>达到处罚地</w:t>
      </w:r>
      <w:r>
        <w:rPr>
          <w:rFonts w:ascii="宋体" w:hAnsi="宋体" w:eastAsia="宋体" w:cs="宋体"/>
          <w:color w:val="auto"/>
          <w:sz w:val="21"/>
          <w:szCs w:val="21"/>
          <w:highlight w:val="none"/>
        </w:rPr>
        <w:t xml:space="preserve">行政处罚听证范围中“较大数额罚款”标准的；法律、法规、规章、国务院有关行政主 </w:t>
      </w:r>
      <w:r>
        <w:rPr>
          <w:rFonts w:ascii="宋体" w:hAnsi="宋体" w:eastAsia="宋体" w:cs="宋体"/>
          <w:color w:val="auto"/>
          <w:spacing w:val="-1"/>
          <w:sz w:val="21"/>
          <w:szCs w:val="21"/>
          <w:highlight w:val="none"/>
        </w:rPr>
        <w:t>管部门对“较大数额罚款”标准另有规定的，从</w:t>
      </w:r>
      <w:r>
        <w:rPr>
          <w:rFonts w:ascii="宋体" w:hAnsi="宋体" w:eastAsia="宋体" w:cs="宋体"/>
          <w:color w:val="auto"/>
          <w:sz w:val="21"/>
          <w:szCs w:val="21"/>
          <w:highlight w:val="none"/>
        </w:rPr>
        <w:t>其规定。</w:t>
      </w:r>
    </w:p>
    <w:p w14:paraId="60D4A56F">
      <w:pPr>
        <w:spacing w:before="135" w:line="367" w:lineRule="auto"/>
        <w:ind w:left="40" w:right="69" w:firstLine="419"/>
        <w:rPr>
          <w:rFonts w:ascii="宋体" w:hAnsi="宋体" w:eastAsia="宋体" w:cs="宋体"/>
          <w:color w:val="auto"/>
          <w:sz w:val="21"/>
          <w:szCs w:val="21"/>
          <w:highlight w:val="none"/>
        </w:rPr>
      </w:pPr>
      <w:r>
        <w:rPr>
          <w:rFonts w:ascii="宋体" w:hAnsi="宋体" w:eastAsia="宋体" w:cs="宋体"/>
          <w:color w:val="auto"/>
          <w:spacing w:val="-4"/>
          <w:sz w:val="21"/>
          <w:szCs w:val="21"/>
          <w:highlight w:val="none"/>
        </w:rPr>
        <w:t>供应商在参加政府采购活动</w:t>
      </w:r>
      <w:r>
        <w:rPr>
          <w:rFonts w:ascii="宋体" w:hAnsi="宋体" w:eastAsia="宋体" w:cs="宋体"/>
          <w:color w:val="auto"/>
          <w:spacing w:val="-3"/>
          <w:sz w:val="21"/>
          <w:szCs w:val="21"/>
          <w:highlight w:val="none"/>
        </w:rPr>
        <w:t>前</w:t>
      </w:r>
      <w:r>
        <w:rPr>
          <w:rFonts w:ascii="宋体" w:hAnsi="宋体" w:eastAsia="宋体" w:cs="宋体"/>
          <w:color w:val="auto"/>
          <w:spacing w:val="-2"/>
          <w:sz w:val="21"/>
          <w:szCs w:val="21"/>
          <w:highlight w:val="none"/>
        </w:rPr>
        <w:t xml:space="preserve"> 3 年内因违法经营被禁止在一定期限内参加政府采购活动，期限</w:t>
      </w:r>
      <w:r>
        <w:rPr>
          <w:rFonts w:ascii="宋体" w:hAnsi="宋体" w:eastAsia="宋体" w:cs="宋体"/>
          <w:color w:val="auto"/>
          <w:sz w:val="21"/>
          <w:szCs w:val="21"/>
          <w:highlight w:val="none"/>
        </w:rPr>
        <w:t xml:space="preserve"> </w:t>
      </w:r>
      <w:r>
        <w:rPr>
          <w:rFonts w:ascii="宋体" w:hAnsi="宋体" w:eastAsia="宋体" w:cs="宋体"/>
          <w:color w:val="auto"/>
          <w:spacing w:val="-2"/>
          <w:sz w:val="21"/>
          <w:szCs w:val="21"/>
          <w:highlight w:val="none"/>
        </w:rPr>
        <w:t>届满的，可以参加</w:t>
      </w:r>
      <w:r>
        <w:rPr>
          <w:rFonts w:ascii="宋体" w:hAnsi="宋体" w:eastAsia="宋体" w:cs="宋体"/>
          <w:color w:val="auto"/>
          <w:spacing w:val="-1"/>
          <w:sz w:val="21"/>
          <w:szCs w:val="21"/>
          <w:highlight w:val="none"/>
        </w:rPr>
        <w:t>政府采购活动。</w:t>
      </w:r>
    </w:p>
    <w:p w14:paraId="0952939B">
      <w:pPr>
        <w:spacing w:before="135" w:line="218" w:lineRule="auto"/>
        <w:ind w:left="458"/>
        <w:rPr>
          <w:rFonts w:ascii="宋体" w:hAnsi="宋体" w:eastAsia="宋体" w:cs="宋体"/>
          <w:color w:val="auto"/>
          <w:sz w:val="21"/>
          <w:szCs w:val="21"/>
          <w:highlight w:val="none"/>
        </w:rPr>
      </w:pPr>
      <w:r>
        <w:rPr>
          <w:rFonts w:ascii="宋体" w:hAnsi="宋体" w:eastAsia="宋体" w:cs="宋体"/>
          <w:color w:val="auto"/>
          <w:spacing w:val="-8"/>
          <w:sz w:val="21"/>
          <w:szCs w:val="21"/>
          <w:highlight w:val="none"/>
        </w:rPr>
        <w:t xml:space="preserve">七、 </w:t>
      </w:r>
      <w:r>
        <w:rPr>
          <w:rFonts w:ascii="宋体" w:hAnsi="宋体" w:eastAsia="宋体" w:cs="宋体"/>
          <w:color w:val="auto"/>
          <w:spacing w:val="-7"/>
          <w:sz w:val="21"/>
          <w:szCs w:val="21"/>
          <w:highlight w:val="none"/>
        </w:rPr>
        <w:t>我</w:t>
      </w:r>
      <w:r>
        <w:rPr>
          <w:rFonts w:ascii="宋体" w:hAnsi="宋体" w:eastAsia="宋体" w:cs="宋体"/>
          <w:color w:val="auto"/>
          <w:spacing w:val="-4"/>
          <w:sz w:val="21"/>
          <w:szCs w:val="21"/>
          <w:highlight w:val="none"/>
        </w:rPr>
        <w:t>单位具备法律、行政法规规定的其他条件。</w:t>
      </w:r>
    </w:p>
    <w:p w14:paraId="01F97067">
      <w:pPr>
        <w:spacing w:line="247" w:lineRule="auto"/>
        <w:rPr>
          <w:rFonts w:ascii="Arial"/>
          <w:color w:val="auto"/>
          <w:sz w:val="21"/>
          <w:highlight w:val="none"/>
        </w:rPr>
      </w:pPr>
    </w:p>
    <w:p w14:paraId="392CD885">
      <w:pPr>
        <w:spacing w:before="69" w:line="371" w:lineRule="auto"/>
        <w:ind w:left="43" w:right="70" w:firstLine="419"/>
        <w:rPr>
          <w:rFonts w:ascii="宋体" w:hAnsi="宋体" w:eastAsia="宋体" w:cs="宋体"/>
          <w:color w:val="auto"/>
          <w:sz w:val="21"/>
          <w:szCs w:val="21"/>
          <w:highlight w:val="none"/>
        </w:rPr>
      </w:pPr>
      <w:r>
        <w:rPr>
          <w:rFonts w:ascii="宋体" w:hAnsi="宋体" w:eastAsia="宋体" w:cs="宋体"/>
          <w:color w:val="auto"/>
          <w:spacing w:val="-4"/>
          <w:sz w:val="21"/>
          <w:szCs w:val="21"/>
          <w:highlight w:val="none"/>
        </w:rPr>
        <w:t>八、 与我单位存在“单位负责人为</w:t>
      </w:r>
      <w:r>
        <w:rPr>
          <w:rFonts w:ascii="宋体" w:hAnsi="宋体" w:eastAsia="宋体" w:cs="宋体"/>
          <w:color w:val="auto"/>
          <w:spacing w:val="-2"/>
          <w:sz w:val="21"/>
          <w:szCs w:val="21"/>
          <w:highlight w:val="none"/>
        </w:rPr>
        <w:t>同一人或者存在直接控股、管理关系”的其他单位信息如下</w:t>
      </w:r>
      <w:r>
        <w:rPr>
          <w:rFonts w:ascii="宋体" w:hAnsi="宋体" w:eastAsia="宋体" w:cs="宋体"/>
          <w:color w:val="auto"/>
          <w:sz w:val="21"/>
          <w:szCs w:val="21"/>
          <w:highlight w:val="none"/>
        </w:rPr>
        <w:t xml:space="preserve"> </w:t>
      </w:r>
      <w:r>
        <w:rPr>
          <w:rFonts w:ascii="宋体" w:hAnsi="宋体" w:eastAsia="宋体" w:cs="宋体"/>
          <w:color w:val="auto"/>
          <w:spacing w:val="19"/>
          <w:sz w:val="21"/>
          <w:szCs w:val="21"/>
          <w:highlight w:val="none"/>
        </w:rPr>
        <w:t>(</w:t>
      </w:r>
      <w:r>
        <w:rPr>
          <w:rFonts w:ascii="宋体" w:hAnsi="宋体" w:eastAsia="宋体" w:cs="宋体"/>
          <w:color w:val="auto"/>
          <w:spacing w:val="13"/>
          <w:sz w:val="21"/>
          <w:szCs w:val="21"/>
          <w:highlight w:val="none"/>
        </w:rPr>
        <w:t>如无，填写“无”)：</w:t>
      </w:r>
    </w:p>
    <w:p w14:paraId="17D193CA">
      <w:pPr>
        <w:spacing w:before="132" w:line="242" w:lineRule="auto"/>
        <w:ind w:left="475"/>
        <w:rPr>
          <w:rFonts w:ascii="宋体" w:hAnsi="宋体" w:eastAsia="宋体" w:cs="宋体"/>
          <w:color w:val="auto"/>
          <w:sz w:val="21"/>
          <w:szCs w:val="21"/>
          <w:highlight w:val="none"/>
        </w:rPr>
      </w:pPr>
      <w:r>
        <w:rPr>
          <w:rFonts w:ascii="宋体" w:hAnsi="宋体" w:eastAsia="宋体" w:cs="宋体"/>
          <w:color w:val="auto"/>
          <w:spacing w:val="3"/>
          <w:sz w:val="21"/>
          <w:szCs w:val="21"/>
          <w:highlight w:val="none"/>
        </w:rPr>
        <w:t>1、与我单位的法定代表人(单位负责人)为同一人的其他单位</w:t>
      </w:r>
      <w:r>
        <w:rPr>
          <w:rFonts w:ascii="宋体" w:hAnsi="宋体" w:eastAsia="宋体" w:cs="宋体"/>
          <w:color w:val="auto"/>
          <w:spacing w:val="2"/>
          <w:sz w:val="21"/>
          <w:szCs w:val="21"/>
          <w:highlight w:val="none"/>
        </w:rPr>
        <w:t>如</w:t>
      </w:r>
      <w:r>
        <w:rPr>
          <w:rFonts w:ascii="宋体" w:hAnsi="宋体" w:eastAsia="宋体" w:cs="宋体"/>
          <w:color w:val="auto"/>
          <w:sz w:val="21"/>
          <w:szCs w:val="21"/>
          <w:highlight w:val="none"/>
        </w:rPr>
        <w:t>下：</w:t>
      </w:r>
      <w:r>
        <w:rPr>
          <w:rFonts w:ascii="宋体" w:hAnsi="宋体" w:eastAsia="宋体" w:cs="宋体"/>
          <w:color w:val="auto"/>
          <w:sz w:val="21"/>
          <w:szCs w:val="21"/>
          <w:highlight w:val="none"/>
          <w:u w:val="single" w:color="auto"/>
        </w:rPr>
        <w:t xml:space="preserve">                </w:t>
      </w:r>
    </w:p>
    <w:p w14:paraId="339D2485">
      <w:pPr>
        <w:spacing w:before="286" w:line="218" w:lineRule="auto"/>
        <w:ind w:left="461"/>
        <w:rPr>
          <w:rFonts w:ascii="宋体" w:hAnsi="宋体" w:eastAsia="宋体" w:cs="宋体"/>
          <w:color w:val="auto"/>
          <w:sz w:val="21"/>
          <w:szCs w:val="21"/>
          <w:highlight w:val="none"/>
        </w:rPr>
      </w:pPr>
      <w:r>
        <w:rPr>
          <w:rFonts w:ascii="宋体" w:hAnsi="宋体" w:eastAsia="宋体" w:cs="宋体"/>
          <w:color w:val="auto"/>
          <w:spacing w:val="-12"/>
          <w:sz w:val="21"/>
          <w:szCs w:val="21"/>
          <w:highlight w:val="none"/>
        </w:rPr>
        <w:t>2</w:t>
      </w:r>
      <w:r>
        <w:rPr>
          <w:rFonts w:ascii="宋体" w:hAnsi="宋体" w:eastAsia="宋体" w:cs="宋体"/>
          <w:color w:val="auto"/>
          <w:spacing w:val="-6"/>
          <w:sz w:val="21"/>
          <w:szCs w:val="21"/>
          <w:highlight w:val="none"/>
        </w:rPr>
        <w:t>、我单位直接控股的其他单位如下：</w:t>
      </w:r>
      <w:r>
        <w:rPr>
          <w:rFonts w:ascii="宋体" w:hAnsi="宋体" w:eastAsia="宋体" w:cs="宋体"/>
          <w:color w:val="auto"/>
          <w:sz w:val="21"/>
          <w:szCs w:val="21"/>
          <w:highlight w:val="none"/>
          <w:u w:val="single" w:color="auto"/>
        </w:rPr>
        <w:t xml:space="preserve">                </w:t>
      </w:r>
    </w:p>
    <w:p w14:paraId="407CE8B8">
      <w:pPr>
        <w:spacing w:line="249" w:lineRule="auto"/>
        <w:rPr>
          <w:rFonts w:ascii="Arial"/>
          <w:color w:val="auto"/>
          <w:sz w:val="21"/>
          <w:highlight w:val="none"/>
        </w:rPr>
      </w:pPr>
    </w:p>
    <w:p w14:paraId="18112EA0">
      <w:pPr>
        <w:spacing w:before="69" w:line="218" w:lineRule="auto"/>
        <w:ind w:left="463"/>
        <w:rPr>
          <w:rFonts w:ascii="宋体" w:hAnsi="宋体" w:eastAsia="宋体" w:cs="宋体"/>
          <w:color w:val="auto"/>
          <w:sz w:val="21"/>
          <w:szCs w:val="21"/>
          <w:highlight w:val="none"/>
        </w:rPr>
      </w:pPr>
      <w:r>
        <w:rPr>
          <w:rFonts w:ascii="宋体" w:hAnsi="宋体" w:eastAsia="宋体" w:cs="宋体"/>
          <w:color w:val="auto"/>
          <w:spacing w:val="-8"/>
          <w:sz w:val="21"/>
          <w:szCs w:val="21"/>
          <w:highlight w:val="none"/>
        </w:rPr>
        <w:t>3</w:t>
      </w:r>
      <w:r>
        <w:rPr>
          <w:rFonts w:ascii="宋体" w:hAnsi="宋体" w:eastAsia="宋体" w:cs="宋体"/>
          <w:color w:val="auto"/>
          <w:spacing w:val="-4"/>
          <w:sz w:val="21"/>
          <w:szCs w:val="21"/>
          <w:highlight w:val="none"/>
        </w:rPr>
        <w:t>、与我单位存在管理关系的其他单位如下：</w:t>
      </w:r>
      <w:r>
        <w:rPr>
          <w:rFonts w:ascii="宋体" w:hAnsi="宋体" w:eastAsia="宋体" w:cs="宋体"/>
          <w:color w:val="auto"/>
          <w:sz w:val="21"/>
          <w:szCs w:val="21"/>
          <w:highlight w:val="none"/>
          <w:u w:val="single" w:color="auto"/>
        </w:rPr>
        <w:t xml:space="preserve">                </w:t>
      </w:r>
    </w:p>
    <w:p w14:paraId="27C46B2E">
      <w:pPr>
        <w:spacing w:line="248" w:lineRule="auto"/>
        <w:rPr>
          <w:rFonts w:ascii="Arial"/>
          <w:color w:val="auto"/>
          <w:sz w:val="21"/>
          <w:highlight w:val="none"/>
        </w:rPr>
      </w:pPr>
    </w:p>
    <w:p w14:paraId="058C00F3">
      <w:pPr>
        <w:spacing w:before="68" w:line="219" w:lineRule="auto"/>
        <w:ind w:left="464"/>
        <w:rPr>
          <w:rFonts w:ascii="宋体" w:hAnsi="宋体" w:eastAsia="宋体" w:cs="宋体"/>
          <w:color w:val="auto"/>
          <w:sz w:val="21"/>
          <w:szCs w:val="21"/>
          <w:highlight w:val="none"/>
        </w:rPr>
      </w:pPr>
      <w:r>
        <w:rPr>
          <w:rFonts w:ascii="宋体" w:hAnsi="宋体" w:eastAsia="宋体" w:cs="宋体"/>
          <w:color w:val="auto"/>
          <w:spacing w:val="-4"/>
          <w:sz w:val="21"/>
          <w:szCs w:val="21"/>
          <w:highlight w:val="none"/>
        </w:rPr>
        <w:t>九、 我单位不属于为本项目提供</w:t>
      </w:r>
      <w:r>
        <w:rPr>
          <w:rFonts w:ascii="宋体" w:hAnsi="宋体" w:eastAsia="宋体" w:cs="宋体"/>
          <w:color w:val="auto"/>
          <w:spacing w:val="-2"/>
          <w:sz w:val="21"/>
          <w:szCs w:val="21"/>
          <w:highlight w:val="none"/>
        </w:rPr>
        <w:t>整体设计、规范编制或者项目管理、监理、检测等服务的投标</w:t>
      </w:r>
    </w:p>
    <w:p w14:paraId="2AE46657">
      <w:pPr>
        <w:spacing w:before="159" w:line="223" w:lineRule="auto"/>
        <w:ind w:left="38"/>
        <w:rPr>
          <w:rFonts w:ascii="宋体" w:hAnsi="宋体" w:eastAsia="宋体" w:cs="宋体"/>
          <w:color w:val="auto"/>
          <w:sz w:val="21"/>
          <w:szCs w:val="21"/>
          <w:highlight w:val="none"/>
        </w:rPr>
      </w:pPr>
      <w:r>
        <w:rPr>
          <w:rFonts w:ascii="宋体" w:hAnsi="宋体" w:eastAsia="宋体" w:cs="宋体"/>
          <w:color w:val="auto"/>
          <w:spacing w:val="-11"/>
          <w:sz w:val="21"/>
          <w:szCs w:val="21"/>
          <w:highlight w:val="none"/>
        </w:rPr>
        <w:t>人</w:t>
      </w:r>
      <w:r>
        <w:rPr>
          <w:rFonts w:ascii="宋体" w:hAnsi="宋体" w:eastAsia="宋体" w:cs="宋体"/>
          <w:color w:val="auto"/>
          <w:spacing w:val="-9"/>
          <w:sz w:val="21"/>
          <w:szCs w:val="21"/>
          <w:highlight w:val="none"/>
        </w:rPr>
        <w:t>。</w:t>
      </w:r>
    </w:p>
    <w:p w14:paraId="2A9A3157">
      <w:pPr>
        <w:numPr>
          <w:ilvl w:val="0"/>
          <w:numId w:val="16"/>
        </w:numPr>
        <w:spacing w:before="206" w:line="221" w:lineRule="auto"/>
        <w:rPr>
          <w:rFonts w:ascii="宋体" w:hAnsi="宋体" w:eastAsia="宋体" w:cs="宋体"/>
          <w:color w:val="auto"/>
          <w:sz w:val="21"/>
          <w:szCs w:val="21"/>
          <w:highlight w:val="none"/>
        </w:rPr>
      </w:pPr>
      <w:r>
        <w:rPr>
          <w:rFonts w:ascii="宋体" w:hAnsi="宋体" w:eastAsia="宋体" w:cs="宋体"/>
          <w:color w:val="auto"/>
          <w:spacing w:val="-8"/>
          <w:sz w:val="21"/>
          <w:szCs w:val="21"/>
          <w:highlight w:val="none"/>
        </w:rPr>
        <w:t>我单位无以下不良信用记录情形：</w:t>
      </w:r>
    </w:p>
    <w:p w14:paraId="54047109">
      <w:pPr>
        <w:numPr>
          <w:ilvl w:val="0"/>
          <w:numId w:val="0"/>
        </w:numPr>
        <w:spacing w:before="206" w:line="221" w:lineRule="auto"/>
        <w:ind w:firstLine="388" w:firstLineChars="200"/>
        <w:rPr>
          <w:rFonts w:ascii="宋体" w:hAnsi="宋体" w:eastAsia="宋体" w:cs="宋体"/>
          <w:color w:val="auto"/>
          <w:sz w:val="21"/>
          <w:szCs w:val="21"/>
          <w:highlight w:val="none"/>
        </w:rPr>
      </w:pPr>
      <w:r>
        <w:rPr>
          <w:rFonts w:ascii="宋体" w:hAnsi="宋体" w:eastAsia="宋体" w:cs="宋体"/>
          <w:color w:val="auto"/>
          <w:spacing w:val="-8"/>
          <w:sz w:val="21"/>
          <w:szCs w:val="21"/>
          <w:highlight w:val="none"/>
        </w:rPr>
        <w:t>1、在</w:t>
      </w:r>
      <w:r>
        <w:rPr>
          <w:rFonts w:ascii="宋体" w:hAnsi="宋体" w:eastAsia="宋体" w:cs="宋体"/>
          <w:color w:val="auto"/>
          <w:spacing w:val="-7"/>
          <w:sz w:val="21"/>
          <w:szCs w:val="21"/>
          <w:highlight w:val="none"/>
        </w:rPr>
        <w:t xml:space="preserve"> </w:t>
      </w:r>
      <w:r>
        <w:rPr>
          <w:rFonts w:ascii="宋体" w:hAnsi="宋体" w:eastAsia="宋体" w:cs="宋体"/>
          <w:color w:val="auto"/>
          <w:spacing w:val="-4"/>
          <w:sz w:val="21"/>
          <w:szCs w:val="21"/>
          <w:highlight w:val="none"/>
        </w:rPr>
        <w:t>“信用中国”网站被列入失信被执行人和重大税收违法案件当事人名单；</w:t>
      </w:r>
    </w:p>
    <w:p w14:paraId="5E449865">
      <w:pPr>
        <w:rPr>
          <w:rFonts w:ascii="Arial"/>
          <w:color w:val="auto"/>
          <w:sz w:val="21"/>
          <w:highlight w:val="none"/>
        </w:rPr>
      </w:pPr>
    </w:p>
    <w:p w14:paraId="51D8ACA1">
      <w:pPr>
        <w:spacing w:before="69" w:line="220" w:lineRule="auto"/>
        <w:ind w:left="461"/>
        <w:rPr>
          <w:rFonts w:ascii="宋体" w:hAnsi="宋体" w:eastAsia="宋体" w:cs="宋体"/>
          <w:color w:val="auto"/>
          <w:sz w:val="21"/>
          <w:szCs w:val="21"/>
          <w:highlight w:val="none"/>
        </w:rPr>
      </w:pPr>
      <w:r>
        <w:rPr>
          <w:rFonts w:ascii="宋体" w:hAnsi="宋体" w:eastAsia="宋体" w:cs="宋体"/>
          <w:color w:val="auto"/>
          <w:spacing w:val="-4"/>
          <w:sz w:val="21"/>
          <w:szCs w:val="21"/>
          <w:highlight w:val="none"/>
        </w:rPr>
        <w:t>2、在 “中国政府采购网”网站被列入政府采购严重违法失信行为记录名单</w:t>
      </w:r>
      <w:r>
        <w:rPr>
          <w:rFonts w:ascii="宋体" w:hAnsi="宋体" w:eastAsia="宋体" w:cs="宋体"/>
          <w:color w:val="auto"/>
          <w:spacing w:val="-2"/>
          <w:sz w:val="21"/>
          <w:szCs w:val="21"/>
          <w:highlight w:val="none"/>
        </w:rPr>
        <w:t>；</w:t>
      </w:r>
    </w:p>
    <w:p w14:paraId="4C81C1CF">
      <w:pPr>
        <w:spacing w:line="246" w:lineRule="auto"/>
        <w:rPr>
          <w:rFonts w:ascii="Arial"/>
          <w:color w:val="auto"/>
          <w:sz w:val="21"/>
          <w:highlight w:val="none"/>
        </w:rPr>
      </w:pPr>
    </w:p>
    <w:p w14:paraId="32B5D41E">
      <w:pPr>
        <w:spacing w:before="69" w:line="241" w:lineRule="auto"/>
        <w:ind w:left="463"/>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3</w:t>
      </w:r>
      <w:r>
        <w:rPr>
          <w:rFonts w:ascii="宋体" w:hAnsi="宋体" w:eastAsia="宋体" w:cs="宋体"/>
          <w:color w:val="auto"/>
          <w:spacing w:val="-1"/>
          <w:sz w:val="21"/>
          <w:szCs w:val="21"/>
          <w:highlight w:val="none"/>
        </w:rPr>
        <w:t>、不符合《政府采购法》第二十二条规定的条件。</w:t>
      </w:r>
    </w:p>
    <w:p w14:paraId="7DDDDACC">
      <w:pPr>
        <w:spacing w:before="292" w:line="368" w:lineRule="auto"/>
        <w:ind w:left="53" w:right="71" w:firstLine="407"/>
        <w:rPr>
          <w:rFonts w:ascii="宋体" w:hAnsi="宋体" w:eastAsia="宋体" w:cs="宋体"/>
          <w:color w:val="auto"/>
          <w:sz w:val="21"/>
          <w:szCs w:val="21"/>
          <w:highlight w:val="none"/>
        </w:rPr>
      </w:pPr>
      <w:r>
        <w:rPr>
          <w:rFonts w:ascii="宋体" w:hAnsi="宋体" w:eastAsia="宋体" w:cs="宋体"/>
          <w:color w:val="auto"/>
          <w:spacing w:val="-4"/>
          <w:sz w:val="21"/>
          <w:szCs w:val="21"/>
          <w:highlight w:val="none"/>
        </w:rPr>
        <w:t>我单位保证上述声明的事项都是真</w:t>
      </w:r>
      <w:r>
        <w:rPr>
          <w:rFonts w:ascii="宋体" w:hAnsi="宋体" w:eastAsia="宋体" w:cs="宋体"/>
          <w:color w:val="auto"/>
          <w:spacing w:val="-3"/>
          <w:sz w:val="21"/>
          <w:szCs w:val="21"/>
          <w:highlight w:val="none"/>
        </w:rPr>
        <w:t>实</w:t>
      </w:r>
      <w:r>
        <w:rPr>
          <w:rFonts w:ascii="宋体" w:hAnsi="宋体" w:eastAsia="宋体" w:cs="宋体"/>
          <w:color w:val="auto"/>
          <w:spacing w:val="-2"/>
          <w:sz w:val="21"/>
          <w:szCs w:val="21"/>
          <w:highlight w:val="none"/>
        </w:rPr>
        <w:t>的，如有虚假， 我单位愿意承担相应的法律责任，并承担</w:t>
      </w:r>
      <w:r>
        <w:rPr>
          <w:rFonts w:ascii="宋体" w:hAnsi="宋体" w:eastAsia="宋体" w:cs="宋体"/>
          <w:color w:val="auto"/>
          <w:sz w:val="21"/>
          <w:szCs w:val="21"/>
          <w:highlight w:val="none"/>
        </w:rPr>
        <w:t xml:space="preserve"> </w:t>
      </w:r>
      <w:r>
        <w:rPr>
          <w:rFonts w:ascii="宋体" w:hAnsi="宋体" w:eastAsia="宋体" w:cs="宋体"/>
          <w:color w:val="auto"/>
          <w:spacing w:val="-6"/>
          <w:sz w:val="21"/>
          <w:szCs w:val="21"/>
          <w:highlight w:val="none"/>
        </w:rPr>
        <w:t>因</w:t>
      </w:r>
      <w:r>
        <w:rPr>
          <w:rFonts w:ascii="宋体" w:hAnsi="宋体" w:eastAsia="宋体" w:cs="宋体"/>
          <w:color w:val="auto"/>
          <w:spacing w:val="-3"/>
          <w:sz w:val="21"/>
          <w:szCs w:val="21"/>
          <w:highlight w:val="none"/>
        </w:rPr>
        <w:t>此所造成的一切损失。</w:t>
      </w:r>
    </w:p>
    <w:p w14:paraId="2E7E8F4A">
      <w:pPr>
        <w:spacing w:line="313" w:lineRule="auto"/>
        <w:rPr>
          <w:rFonts w:ascii="Arial"/>
          <w:color w:val="auto"/>
          <w:sz w:val="21"/>
          <w:highlight w:val="none"/>
        </w:rPr>
      </w:pPr>
    </w:p>
    <w:p w14:paraId="4B763BD5">
      <w:pPr>
        <w:spacing w:line="314" w:lineRule="auto"/>
        <w:rPr>
          <w:rFonts w:ascii="Arial"/>
          <w:color w:val="auto"/>
          <w:sz w:val="21"/>
          <w:highlight w:val="none"/>
        </w:rPr>
      </w:pPr>
    </w:p>
    <w:p w14:paraId="2E3D9A15">
      <w:pPr>
        <w:spacing w:before="68" w:line="219" w:lineRule="auto"/>
        <w:ind w:left="37"/>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注：第</w:t>
      </w:r>
      <w:r>
        <w:rPr>
          <w:rFonts w:ascii="宋体" w:hAnsi="宋体" w:eastAsia="宋体" w:cs="宋体"/>
          <w:color w:val="auto"/>
          <w:sz w:val="21"/>
          <w:szCs w:val="21"/>
          <w:highlight w:val="none"/>
        </w:rPr>
        <w:t>三条“良好的商业信誉”是指投标人经营状况良好，无本资格声明第十条情形。</w:t>
      </w:r>
    </w:p>
    <w:p w14:paraId="55AEAAEF">
      <w:pPr>
        <w:spacing w:line="326" w:lineRule="auto"/>
        <w:rPr>
          <w:rFonts w:ascii="Arial"/>
          <w:color w:val="auto"/>
          <w:sz w:val="21"/>
          <w:highlight w:val="none"/>
        </w:rPr>
      </w:pPr>
    </w:p>
    <w:p w14:paraId="4BB1C027">
      <w:pPr>
        <w:spacing w:line="326" w:lineRule="auto"/>
        <w:rPr>
          <w:rFonts w:ascii="Arial"/>
          <w:color w:val="auto"/>
          <w:sz w:val="21"/>
          <w:highlight w:val="none"/>
        </w:rPr>
      </w:pPr>
    </w:p>
    <w:p w14:paraId="403EE045">
      <w:pPr>
        <w:spacing w:before="69" w:line="220" w:lineRule="auto"/>
        <w:ind w:left="39"/>
        <w:rPr>
          <w:rFonts w:ascii="宋体" w:hAnsi="宋体" w:eastAsia="宋体" w:cs="宋体"/>
          <w:color w:val="auto"/>
          <w:sz w:val="21"/>
          <w:szCs w:val="21"/>
          <w:highlight w:val="none"/>
        </w:rPr>
      </w:pPr>
      <w:r>
        <w:rPr>
          <w:rFonts w:ascii="宋体" w:hAnsi="宋体" w:eastAsia="宋体" w:cs="宋体"/>
          <w:color w:val="auto"/>
          <w:spacing w:val="12"/>
          <w:sz w:val="21"/>
          <w:szCs w:val="21"/>
          <w:highlight w:val="none"/>
        </w:rPr>
        <w:t>投标人名称(盖单位公章)</w:t>
      </w:r>
      <w:r>
        <w:rPr>
          <w:rFonts w:ascii="宋体" w:hAnsi="宋体" w:eastAsia="宋体" w:cs="宋体"/>
          <w:color w:val="auto"/>
          <w:spacing w:val="11"/>
          <w:sz w:val="21"/>
          <w:szCs w:val="21"/>
          <w:highlight w:val="none"/>
        </w:rPr>
        <w:t>：</w:t>
      </w:r>
    </w:p>
    <w:p w14:paraId="4D773B97">
      <w:pPr>
        <w:spacing w:before="158" w:line="359" w:lineRule="auto"/>
        <w:ind w:left="37"/>
        <w:rPr>
          <w:rFonts w:ascii="宋体" w:hAnsi="宋体" w:eastAsia="宋体" w:cs="宋体"/>
          <w:color w:val="auto"/>
          <w:sz w:val="21"/>
          <w:szCs w:val="21"/>
          <w:highlight w:val="none"/>
        </w:rPr>
      </w:pPr>
      <w:r>
        <w:rPr>
          <w:rFonts w:ascii="宋体" w:hAnsi="宋体" w:eastAsia="宋体" w:cs="宋体"/>
          <w:color w:val="auto"/>
          <w:spacing w:val="-6"/>
          <w:sz w:val="21"/>
          <w:szCs w:val="21"/>
          <w:highlight w:val="none"/>
        </w:rPr>
        <w:t xml:space="preserve">法定代表人 </w:t>
      </w:r>
      <w:r>
        <w:rPr>
          <w:rFonts w:ascii="宋体" w:hAnsi="宋体" w:eastAsia="宋体" w:cs="宋体"/>
          <w:color w:val="auto"/>
          <w:spacing w:val="-5"/>
          <w:sz w:val="21"/>
          <w:szCs w:val="21"/>
          <w:highlight w:val="none"/>
        </w:rPr>
        <w:t>(</w:t>
      </w:r>
      <w:r>
        <w:rPr>
          <w:rFonts w:ascii="宋体" w:hAnsi="宋体" w:eastAsia="宋体" w:cs="宋体"/>
          <w:color w:val="auto"/>
          <w:spacing w:val="-3"/>
          <w:sz w:val="21"/>
          <w:szCs w:val="21"/>
          <w:highlight w:val="none"/>
        </w:rPr>
        <w:t>单位负责人) 或委托代理人：</w:t>
      </w:r>
      <w:r>
        <w:rPr>
          <w:rFonts w:ascii="宋体" w:hAnsi="宋体" w:eastAsia="宋体" w:cs="宋体"/>
          <w:color w:val="auto"/>
          <w:spacing w:val="-3"/>
          <w:sz w:val="21"/>
          <w:szCs w:val="21"/>
          <w:highlight w:val="none"/>
          <w:u w:val="single" w:color="auto"/>
        </w:rPr>
        <w:t xml:space="preserve">         </w:t>
      </w:r>
      <w:r>
        <w:rPr>
          <w:rFonts w:ascii="宋体" w:hAnsi="宋体" w:eastAsia="宋体" w:cs="宋体"/>
          <w:color w:val="auto"/>
          <w:spacing w:val="-3"/>
          <w:sz w:val="21"/>
          <w:szCs w:val="21"/>
          <w:highlight w:val="none"/>
        </w:rPr>
        <w:t>(签字或印章)</w:t>
      </w:r>
    </w:p>
    <w:p w14:paraId="1B2F2CF9">
      <w:pPr>
        <w:spacing w:line="220" w:lineRule="auto"/>
        <w:ind w:left="73"/>
        <w:rPr>
          <w:color w:val="auto"/>
          <w:highlight w:val="none"/>
        </w:rPr>
        <w:sectPr>
          <w:pgSz w:w="11905" w:h="16839"/>
          <w:pgMar w:top="1238" w:right="1383" w:bottom="1097" w:left="1387" w:header="917" w:footer="702" w:gutter="0"/>
          <w:pgBorders>
            <w:top w:val="none" w:sz="0" w:space="0"/>
            <w:left w:val="none" w:sz="0" w:space="0"/>
            <w:bottom w:val="none" w:sz="0" w:space="0"/>
            <w:right w:val="none" w:sz="0" w:space="0"/>
          </w:pgBorders>
          <w:pgNumType w:fmt="decimal"/>
          <w:cols w:space="720" w:num="1"/>
        </w:sectPr>
      </w:pPr>
      <w:r>
        <w:rPr>
          <w:rFonts w:ascii="宋体" w:hAnsi="宋体" w:eastAsia="宋体" w:cs="宋体"/>
          <w:color w:val="auto"/>
          <w:spacing w:val="-10"/>
          <w:sz w:val="21"/>
          <w:szCs w:val="21"/>
          <w:highlight w:val="none"/>
        </w:rPr>
        <w:t>日期</w:t>
      </w:r>
      <w:r>
        <w:rPr>
          <w:rFonts w:ascii="宋体" w:hAnsi="宋体" w:eastAsia="宋体" w:cs="宋体"/>
          <w:color w:val="auto"/>
          <w:spacing w:val="-7"/>
          <w:sz w:val="21"/>
          <w:szCs w:val="21"/>
          <w:highlight w:val="none"/>
        </w:rPr>
        <w:t>：</w:t>
      </w:r>
      <w:r>
        <w:rPr>
          <w:rFonts w:ascii="宋体" w:hAnsi="宋体" w:eastAsia="宋体" w:cs="宋体"/>
          <w:color w:val="auto"/>
          <w:spacing w:val="-5"/>
          <w:sz w:val="21"/>
          <w:szCs w:val="21"/>
          <w:highlight w:val="none"/>
          <w:u w:val="single" w:color="auto"/>
        </w:rPr>
        <w:t xml:space="preserve">        </w:t>
      </w:r>
      <w:r>
        <w:rPr>
          <w:rFonts w:ascii="宋体" w:hAnsi="宋体" w:eastAsia="宋体" w:cs="宋体"/>
          <w:color w:val="auto"/>
          <w:spacing w:val="-5"/>
          <w:sz w:val="21"/>
          <w:szCs w:val="21"/>
          <w:highlight w:val="none"/>
        </w:rPr>
        <w:t>年</w:t>
      </w:r>
      <w:r>
        <w:rPr>
          <w:rFonts w:ascii="宋体" w:hAnsi="宋体" w:eastAsia="宋体" w:cs="宋体"/>
          <w:color w:val="auto"/>
          <w:spacing w:val="-5"/>
          <w:sz w:val="21"/>
          <w:szCs w:val="21"/>
          <w:highlight w:val="none"/>
          <w:u w:val="single" w:color="auto"/>
        </w:rPr>
        <w:t xml:space="preserve">  </w:t>
      </w:r>
      <w:r>
        <w:rPr>
          <w:rFonts w:ascii="宋体" w:hAnsi="宋体" w:eastAsia="宋体" w:cs="宋体"/>
          <w:color w:val="auto"/>
          <w:spacing w:val="-5"/>
          <w:sz w:val="21"/>
          <w:szCs w:val="21"/>
          <w:highlight w:val="none"/>
        </w:rPr>
        <w:t>月</w:t>
      </w:r>
      <w:r>
        <w:rPr>
          <w:rFonts w:ascii="宋体" w:hAnsi="宋体" w:eastAsia="宋体" w:cs="宋体"/>
          <w:color w:val="auto"/>
          <w:spacing w:val="-5"/>
          <w:sz w:val="21"/>
          <w:szCs w:val="21"/>
          <w:highlight w:val="none"/>
          <w:u w:val="single" w:color="auto"/>
        </w:rPr>
        <w:t xml:space="preserve"> </w:t>
      </w:r>
      <w:r>
        <w:rPr>
          <w:rFonts w:ascii="宋体" w:hAnsi="宋体" w:eastAsia="宋体" w:cs="宋体"/>
          <w:color w:val="auto"/>
          <w:spacing w:val="-5"/>
          <w:sz w:val="21"/>
          <w:szCs w:val="21"/>
          <w:highlight w:val="none"/>
        </w:rPr>
        <w:t xml:space="preserve"> 日</w:t>
      </w:r>
    </w:p>
    <w:p w14:paraId="758EC30D">
      <w:pPr>
        <w:spacing w:before="207" w:line="219" w:lineRule="auto"/>
        <w:ind w:left="48"/>
        <w:outlineLvl w:val="3"/>
        <w:rPr>
          <w:rFonts w:ascii="黑体" w:hAnsi="黑体" w:eastAsia="黑体" w:cs="黑体"/>
          <w:color w:val="auto"/>
          <w:spacing w:val="-4"/>
          <w:sz w:val="21"/>
          <w:szCs w:val="21"/>
          <w:highlight w:val="none"/>
        </w:rPr>
      </w:pPr>
    </w:p>
    <w:p w14:paraId="5C6F24CA">
      <w:pPr>
        <w:spacing w:before="207" w:line="219" w:lineRule="auto"/>
        <w:ind w:left="48"/>
        <w:outlineLvl w:val="3"/>
        <w:rPr>
          <w:rFonts w:ascii="黑体" w:hAnsi="黑体" w:eastAsia="黑体" w:cs="黑体"/>
          <w:color w:val="auto"/>
          <w:sz w:val="21"/>
          <w:szCs w:val="21"/>
          <w:highlight w:val="none"/>
        </w:rPr>
      </w:pPr>
      <w:bookmarkStart w:id="127" w:name="_Toc6322"/>
      <w:bookmarkStart w:id="128" w:name="_Toc23096"/>
      <w:r>
        <w:rPr>
          <w:rFonts w:ascii="黑体" w:hAnsi="黑体" w:eastAsia="黑体" w:cs="黑体"/>
          <w:color w:val="auto"/>
          <w:spacing w:val="-4"/>
          <w:sz w:val="21"/>
          <w:szCs w:val="21"/>
          <w:highlight w:val="none"/>
        </w:rPr>
        <w:t>附件 4-</w:t>
      </w:r>
      <w:r>
        <w:rPr>
          <w:rFonts w:ascii="黑体" w:hAnsi="黑体" w:eastAsia="黑体" w:cs="黑体"/>
          <w:color w:val="auto"/>
          <w:spacing w:val="-3"/>
          <w:sz w:val="21"/>
          <w:szCs w:val="21"/>
          <w:highlight w:val="none"/>
        </w:rPr>
        <w:t>2</w:t>
      </w:r>
      <w:r>
        <w:rPr>
          <w:rFonts w:ascii="黑体" w:hAnsi="黑体" w:eastAsia="黑体" w:cs="黑体"/>
          <w:color w:val="auto"/>
          <w:spacing w:val="-2"/>
          <w:sz w:val="21"/>
          <w:szCs w:val="21"/>
          <w:highlight w:val="none"/>
        </w:rPr>
        <w:t>-1 湖南省政府采购供应商资格承诺函(格式)</w:t>
      </w:r>
      <w:bookmarkEnd w:id="127"/>
      <w:bookmarkEnd w:id="128"/>
    </w:p>
    <w:p w14:paraId="027D35A9">
      <w:pPr>
        <w:spacing w:line="271" w:lineRule="auto"/>
        <w:rPr>
          <w:rFonts w:ascii="Arial"/>
          <w:color w:val="auto"/>
          <w:sz w:val="21"/>
          <w:highlight w:val="none"/>
        </w:rPr>
      </w:pPr>
    </w:p>
    <w:p w14:paraId="4E60ED41">
      <w:pPr>
        <w:spacing w:line="271" w:lineRule="auto"/>
        <w:rPr>
          <w:rFonts w:ascii="Arial"/>
          <w:color w:val="auto"/>
          <w:sz w:val="21"/>
          <w:highlight w:val="none"/>
        </w:rPr>
      </w:pPr>
    </w:p>
    <w:p w14:paraId="17463B49">
      <w:pPr>
        <w:spacing w:before="88" w:line="224" w:lineRule="auto"/>
        <w:ind w:left="2044"/>
        <w:rPr>
          <w:rFonts w:ascii="黑体" w:hAnsi="黑体" w:eastAsia="黑体" w:cs="黑体"/>
          <w:color w:val="auto"/>
          <w:sz w:val="27"/>
          <w:szCs w:val="27"/>
          <w:highlight w:val="none"/>
        </w:rPr>
      </w:pPr>
      <w:r>
        <w:rPr>
          <w:rFonts w:ascii="黑体" w:hAnsi="黑体" w:eastAsia="黑体" w:cs="黑体"/>
          <w:color w:val="auto"/>
          <w:spacing w:val="3"/>
          <w:sz w:val="27"/>
          <w:szCs w:val="27"/>
          <w:highlight w:val="none"/>
        </w:rPr>
        <w:t>湖南省政府采购供应商资格承诺函 (格式</w:t>
      </w:r>
      <w:r>
        <w:rPr>
          <w:rFonts w:ascii="黑体" w:hAnsi="黑体" w:eastAsia="黑体" w:cs="黑体"/>
          <w:color w:val="auto"/>
          <w:sz w:val="27"/>
          <w:szCs w:val="27"/>
          <w:highlight w:val="none"/>
        </w:rPr>
        <w:t>)</w:t>
      </w:r>
    </w:p>
    <w:p w14:paraId="687ADCAA">
      <w:pPr>
        <w:spacing w:line="395" w:lineRule="auto"/>
        <w:rPr>
          <w:rFonts w:ascii="Arial"/>
          <w:color w:val="auto"/>
          <w:sz w:val="21"/>
          <w:highlight w:val="none"/>
        </w:rPr>
      </w:pPr>
    </w:p>
    <w:p w14:paraId="16C9B291">
      <w:pPr>
        <w:spacing w:before="68" w:line="417" w:lineRule="auto"/>
        <w:ind w:left="37" w:right="71" w:firstLine="422"/>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本公司独立承担民事</w:t>
      </w:r>
      <w:r>
        <w:rPr>
          <w:rFonts w:ascii="宋体" w:hAnsi="宋体" w:eastAsia="宋体" w:cs="宋体"/>
          <w:color w:val="auto"/>
          <w:sz w:val="21"/>
          <w:szCs w:val="21"/>
          <w:highlight w:val="none"/>
        </w:rPr>
        <w:t xml:space="preserve">责任、具有良好的商业信誉和健全的财务会计制度、依法缴纳税收和社会 </w:t>
      </w:r>
      <w:r>
        <w:rPr>
          <w:rFonts w:ascii="宋体" w:hAnsi="宋体" w:eastAsia="宋体" w:cs="宋体"/>
          <w:color w:val="auto"/>
          <w:spacing w:val="-1"/>
          <w:sz w:val="21"/>
          <w:szCs w:val="21"/>
          <w:highlight w:val="none"/>
        </w:rPr>
        <w:t>保障资金</w:t>
      </w:r>
      <w:r>
        <w:rPr>
          <w:rFonts w:ascii="宋体" w:hAnsi="宋体" w:eastAsia="宋体" w:cs="宋体"/>
          <w:color w:val="auto"/>
          <w:sz w:val="21"/>
          <w:szCs w:val="21"/>
          <w:highlight w:val="none"/>
        </w:rPr>
        <w:t xml:space="preserve">,在前三年的经营活动中无重大违法记录,未列入严重失信行为名单,符合政府采购供应商 </w:t>
      </w:r>
      <w:r>
        <w:rPr>
          <w:rFonts w:ascii="宋体" w:hAnsi="宋体" w:eastAsia="宋体" w:cs="宋体"/>
          <w:color w:val="auto"/>
          <w:spacing w:val="-4"/>
          <w:sz w:val="21"/>
          <w:szCs w:val="21"/>
          <w:highlight w:val="none"/>
        </w:rPr>
        <w:t>的</w:t>
      </w:r>
      <w:r>
        <w:rPr>
          <w:rFonts w:ascii="宋体" w:hAnsi="宋体" w:eastAsia="宋体" w:cs="宋体"/>
          <w:color w:val="auto"/>
          <w:spacing w:val="-3"/>
          <w:sz w:val="21"/>
          <w:szCs w:val="21"/>
          <w:highlight w:val="none"/>
        </w:rPr>
        <w:t>基本资格要求。</w:t>
      </w:r>
    </w:p>
    <w:p w14:paraId="7742D2F6">
      <w:pPr>
        <w:spacing w:before="136" w:line="420" w:lineRule="auto"/>
        <w:ind w:left="69" w:right="120" w:firstLine="391"/>
        <w:rPr>
          <w:rFonts w:ascii="宋体" w:hAnsi="宋体" w:eastAsia="宋体" w:cs="宋体"/>
          <w:color w:val="auto"/>
          <w:sz w:val="21"/>
          <w:szCs w:val="21"/>
          <w:highlight w:val="none"/>
        </w:rPr>
      </w:pPr>
      <w:r>
        <w:rPr>
          <w:rFonts w:ascii="宋体" w:hAnsi="宋体" w:eastAsia="宋体" w:cs="宋体"/>
          <w:color w:val="auto"/>
          <w:spacing w:val="-6"/>
          <w:sz w:val="21"/>
          <w:szCs w:val="21"/>
          <w:highlight w:val="none"/>
        </w:rPr>
        <w:t>按照《政府采</w:t>
      </w:r>
      <w:r>
        <w:rPr>
          <w:rFonts w:ascii="宋体" w:hAnsi="宋体" w:eastAsia="宋体" w:cs="宋体"/>
          <w:color w:val="auto"/>
          <w:spacing w:val="-5"/>
          <w:sz w:val="21"/>
          <w:szCs w:val="21"/>
          <w:highlight w:val="none"/>
        </w:rPr>
        <w:t>购</w:t>
      </w:r>
      <w:r>
        <w:rPr>
          <w:rFonts w:ascii="宋体" w:hAnsi="宋体" w:eastAsia="宋体" w:cs="宋体"/>
          <w:color w:val="auto"/>
          <w:spacing w:val="-3"/>
          <w:sz w:val="21"/>
          <w:szCs w:val="21"/>
          <w:highlight w:val="none"/>
        </w:rPr>
        <w:t>促进中小企业发展管理办法》 (财库〔2020〕46 号),本公司企业规模为: 大型</w:t>
      </w:r>
      <w:r>
        <w:rPr>
          <w:rFonts w:ascii="宋体" w:hAnsi="宋体" w:eastAsia="宋体" w:cs="宋体"/>
          <w:color w:val="auto"/>
          <w:sz w:val="21"/>
          <w:szCs w:val="21"/>
          <w:highlight w:val="none"/>
        </w:rPr>
        <w:t xml:space="preserve"> </w:t>
      </w:r>
      <w:r>
        <w:rPr>
          <w:rFonts w:ascii="宋体" w:hAnsi="宋体" w:eastAsia="宋体" w:cs="宋体"/>
          <w:color w:val="auto"/>
          <w:spacing w:val="-8"/>
          <w:sz w:val="21"/>
          <w:szCs w:val="21"/>
          <w:highlight w:val="none"/>
        </w:rPr>
        <w:t>口中</w:t>
      </w:r>
      <w:r>
        <w:rPr>
          <w:rFonts w:ascii="宋体" w:hAnsi="宋体" w:eastAsia="宋体" w:cs="宋体"/>
          <w:color w:val="auto"/>
          <w:spacing w:val="-4"/>
          <w:sz w:val="21"/>
          <w:szCs w:val="21"/>
          <w:highlight w:val="none"/>
        </w:rPr>
        <w:t>型口小型□微型□。</w:t>
      </w:r>
    </w:p>
    <w:p w14:paraId="17968584">
      <w:pPr>
        <w:spacing w:before="138" w:line="417" w:lineRule="auto"/>
        <w:ind w:left="35" w:right="25" w:firstLine="445"/>
        <w:rPr>
          <w:rFonts w:ascii="宋体" w:hAnsi="宋体" w:eastAsia="宋体" w:cs="宋体"/>
          <w:color w:val="auto"/>
          <w:sz w:val="21"/>
          <w:szCs w:val="21"/>
          <w:highlight w:val="none"/>
        </w:rPr>
      </w:pPr>
      <w:r>
        <w:rPr>
          <w:rFonts w:ascii="宋体" w:hAnsi="宋体" w:eastAsia="宋体" w:cs="宋体"/>
          <w:color w:val="auto"/>
          <w:spacing w:val="-5"/>
          <w:sz w:val="21"/>
          <w:szCs w:val="21"/>
          <w:highlight w:val="none"/>
        </w:rPr>
        <w:t>□</w:t>
      </w:r>
      <w:r>
        <w:rPr>
          <w:rFonts w:ascii="宋体" w:hAnsi="宋体" w:eastAsia="宋体" w:cs="宋体"/>
          <w:color w:val="auto"/>
          <w:spacing w:val="-3"/>
          <w:sz w:val="21"/>
          <w:szCs w:val="21"/>
          <w:highlight w:val="none"/>
        </w:rPr>
        <w:t>本公司自愿入驻湖南省政府采购电子卖场,遵守《湖南省政府采购电子卖场管理办法》 (湘财</w:t>
      </w:r>
      <w:r>
        <w:rPr>
          <w:rFonts w:ascii="宋体" w:hAnsi="宋体" w:eastAsia="宋体" w:cs="宋体"/>
          <w:color w:val="auto"/>
          <w:sz w:val="21"/>
          <w:szCs w:val="21"/>
          <w:highlight w:val="none"/>
        </w:rPr>
        <w:t xml:space="preserve"> </w:t>
      </w:r>
      <w:r>
        <w:rPr>
          <w:rFonts w:ascii="宋体" w:hAnsi="宋体" w:eastAsia="宋体" w:cs="宋体"/>
          <w:color w:val="auto"/>
          <w:spacing w:val="-2"/>
          <w:sz w:val="21"/>
          <w:szCs w:val="21"/>
          <w:highlight w:val="none"/>
        </w:rPr>
        <w:t>购〔2019〕27 号),如</w:t>
      </w:r>
      <w:r>
        <w:rPr>
          <w:rFonts w:ascii="宋体" w:hAnsi="宋体" w:eastAsia="宋体" w:cs="宋体"/>
          <w:color w:val="auto"/>
          <w:spacing w:val="-1"/>
          <w:sz w:val="21"/>
          <w:szCs w:val="21"/>
          <w:highlight w:val="none"/>
        </w:rPr>
        <w:t>违反承诺,同意金融机构将增信保证划缴国库(非电子卖场采购活动项目不需勾</w:t>
      </w:r>
      <w:r>
        <w:rPr>
          <w:rFonts w:ascii="宋体" w:hAnsi="宋体" w:eastAsia="宋体" w:cs="宋体"/>
          <w:color w:val="auto"/>
          <w:sz w:val="21"/>
          <w:szCs w:val="21"/>
          <w:highlight w:val="none"/>
        </w:rPr>
        <w:t xml:space="preserve"> </w:t>
      </w:r>
      <w:r>
        <w:rPr>
          <w:rFonts w:ascii="宋体" w:hAnsi="宋体" w:eastAsia="宋体" w:cs="宋体"/>
          <w:color w:val="auto"/>
          <w:spacing w:val="-2"/>
          <w:sz w:val="21"/>
          <w:szCs w:val="21"/>
          <w:highlight w:val="none"/>
        </w:rPr>
        <w:t>选)</w:t>
      </w:r>
      <w:r>
        <w:rPr>
          <w:rFonts w:ascii="宋体" w:hAnsi="宋体" w:eastAsia="宋体" w:cs="宋体"/>
          <w:color w:val="auto"/>
          <w:spacing w:val="-1"/>
          <w:sz w:val="21"/>
          <w:szCs w:val="21"/>
          <w:highlight w:val="none"/>
        </w:rPr>
        <w:t>。</w:t>
      </w:r>
    </w:p>
    <w:p w14:paraId="20359C64">
      <w:pPr>
        <w:spacing w:line="345" w:lineRule="auto"/>
        <w:rPr>
          <w:rFonts w:ascii="Arial"/>
          <w:color w:val="auto"/>
          <w:sz w:val="21"/>
          <w:highlight w:val="none"/>
        </w:rPr>
      </w:pPr>
    </w:p>
    <w:p w14:paraId="0C956DF3">
      <w:pPr>
        <w:spacing w:line="345" w:lineRule="auto"/>
        <w:rPr>
          <w:rFonts w:ascii="Arial"/>
          <w:color w:val="auto"/>
          <w:sz w:val="21"/>
          <w:highlight w:val="none"/>
        </w:rPr>
      </w:pPr>
    </w:p>
    <w:p w14:paraId="5874CF10">
      <w:pPr>
        <w:spacing w:before="68" w:line="220" w:lineRule="auto"/>
        <w:ind w:left="465"/>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公司(单位)名称(盖章)</w:t>
      </w:r>
      <w:r>
        <w:rPr>
          <w:rFonts w:ascii="宋体" w:hAnsi="宋体" w:eastAsia="宋体" w:cs="宋体"/>
          <w:color w:val="auto"/>
          <w:sz w:val="21"/>
          <w:szCs w:val="21"/>
          <w:highlight w:val="none"/>
        </w:rPr>
        <w:t>：</w:t>
      </w:r>
    </w:p>
    <w:p w14:paraId="5A86D74D">
      <w:pPr>
        <w:spacing w:line="304" w:lineRule="auto"/>
        <w:rPr>
          <w:rFonts w:ascii="Arial"/>
          <w:color w:val="auto"/>
          <w:sz w:val="21"/>
          <w:highlight w:val="none"/>
        </w:rPr>
      </w:pPr>
    </w:p>
    <w:p w14:paraId="33D2E937">
      <w:pPr>
        <w:spacing w:before="69" w:line="546" w:lineRule="auto"/>
        <w:ind w:left="459" w:right="1009" w:hanging="1"/>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机构代码、注册登记机构、日期、有效期、注册资本、地 址、经济行业、经济性质 </w:t>
      </w:r>
      <w:r>
        <w:rPr>
          <w:rFonts w:ascii="宋体" w:hAnsi="宋体" w:eastAsia="宋体" w:cs="宋体"/>
          <w:color w:val="auto"/>
          <w:spacing w:val="-1"/>
          <w:sz w:val="21"/>
          <w:szCs w:val="21"/>
          <w:highlight w:val="none"/>
        </w:rPr>
        <w:t>法定代表人</w:t>
      </w:r>
      <w:r>
        <w:rPr>
          <w:rFonts w:ascii="宋体" w:hAnsi="宋体" w:eastAsia="宋体" w:cs="宋体"/>
          <w:color w:val="auto"/>
          <w:sz w:val="21"/>
          <w:szCs w:val="21"/>
          <w:highlight w:val="none"/>
        </w:rPr>
        <w:t>(负责人)姓名(签字)、身份证号、手机号:</w:t>
      </w:r>
    </w:p>
    <w:p w14:paraId="0E6E77B6">
      <w:pPr>
        <w:spacing w:before="207" w:line="219" w:lineRule="auto"/>
        <w:ind w:left="48"/>
        <w:outlineLvl w:val="3"/>
        <w:rPr>
          <w:rFonts w:ascii="宋体" w:hAnsi="宋体" w:eastAsia="宋体" w:cs="宋体"/>
          <w:color w:val="auto"/>
          <w:sz w:val="21"/>
          <w:szCs w:val="21"/>
          <w:highlight w:val="none"/>
        </w:rPr>
      </w:pPr>
      <w:bookmarkStart w:id="129" w:name="_Toc30062"/>
      <w:bookmarkStart w:id="130" w:name="_Toc8972"/>
      <w:r>
        <w:rPr>
          <w:rFonts w:ascii="宋体" w:hAnsi="宋体" w:eastAsia="宋体" w:cs="宋体"/>
          <w:color w:val="auto"/>
          <w:spacing w:val="-1"/>
          <w:sz w:val="21"/>
          <w:szCs w:val="21"/>
          <w:highlight w:val="none"/>
        </w:rPr>
        <w:t>授权</w:t>
      </w:r>
      <w:r>
        <w:rPr>
          <w:rFonts w:ascii="宋体" w:hAnsi="宋体" w:eastAsia="宋体" w:cs="宋体"/>
          <w:color w:val="auto"/>
          <w:sz w:val="21"/>
          <w:szCs w:val="21"/>
          <w:highlight w:val="none"/>
        </w:rPr>
        <w:t>代表人姓名(签字)、身份证号、手机号:</w:t>
      </w:r>
      <w:bookmarkEnd w:id="129"/>
      <w:bookmarkEnd w:id="130"/>
    </w:p>
    <w:p w14:paraId="6FBD1712">
      <w:pPr>
        <w:spacing w:before="207" w:line="219" w:lineRule="auto"/>
        <w:ind w:left="48"/>
        <w:outlineLvl w:val="3"/>
        <w:rPr>
          <w:rFonts w:ascii="宋体" w:hAnsi="宋体" w:eastAsia="宋体" w:cs="宋体"/>
          <w:color w:val="auto"/>
          <w:sz w:val="21"/>
          <w:szCs w:val="21"/>
          <w:highlight w:val="none"/>
        </w:rPr>
      </w:pPr>
    </w:p>
    <w:p w14:paraId="344AF0B4">
      <w:pPr>
        <w:spacing w:before="207" w:line="219" w:lineRule="auto"/>
        <w:ind w:left="48"/>
        <w:outlineLvl w:val="3"/>
        <w:rPr>
          <w:rFonts w:ascii="宋体" w:hAnsi="宋体" w:eastAsia="宋体" w:cs="宋体"/>
          <w:color w:val="auto"/>
          <w:sz w:val="21"/>
          <w:szCs w:val="21"/>
          <w:highlight w:val="none"/>
        </w:rPr>
      </w:pPr>
    </w:p>
    <w:p w14:paraId="6BE06E4B">
      <w:pPr>
        <w:spacing w:before="207" w:line="219" w:lineRule="auto"/>
        <w:ind w:left="48"/>
        <w:outlineLvl w:val="3"/>
        <w:rPr>
          <w:rFonts w:ascii="宋体" w:hAnsi="宋体" w:eastAsia="宋体" w:cs="宋体"/>
          <w:color w:val="auto"/>
          <w:sz w:val="21"/>
          <w:szCs w:val="21"/>
          <w:highlight w:val="none"/>
        </w:rPr>
      </w:pPr>
    </w:p>
    <w:p w14:paraId="2E3A38F7">
      <w:pPr>
        <w:spacing w:before="207" w:line="219" w:lineRule="auto"/>
        <w:ind w:left="48"/>
        <w:outlineLvl w:val="3"/>
        <w:rPr>
          <w:rFonts w:ascii="宋体" w:hAnsi="宋体" w:eastAsia="宋体" w:cs="宋体"/>
          <w:color w:val="auto"/>
          <w:sz w:val="21"/>
          <w:szCs w:val="21"/>
          <w:highlight w:val="none"/>
        </w:rPr>
      </w:pPr>
    </w:p>
    <w:p w14:paraId="3AB0E957">
      <w:pPr>
        <w:spacing w:before="207" w:line="219" w:lineRule="auto"/>
        <w:outlineLvl w:val="3"/>
        <w:rPr>
          <w:rFonts w:ascii="宋体" w:hAnsi="宋体" w:eastAsia="宋体" w:cs="宋体"/>
          <w:color w:val="auto"/>
          <w:sz w:val="21"/>
          <w:szCs w:val="21"/>
          <w:highlight w:val="none"/>
        </w:rPr>
      </w:pPr>
    </w:p>
    <w:bookmarkEnd w:id="119"/>
    <w:bookmarkEnd w:id="120"/>
    <w:p w14:paraId="6576931B">
      <w:pPr>
        <w:pStyle w:val="5"/>
        <w:spacing w:before="0" w:beforeAutospacing="0"/>
        <w:rPr>
          <w:rFonts w:ascii="黑体" w:hAnsi="仿宋" w:cs="宋体"/>
          <w:b w:val="0"/>
          <w:color w:val="auto"/>
          <w:sz w:val="21"/>
          <w:szCs w:val="21"/>
          <w:highlight w:val="none"/>
        </w:rPr>
      </w:pPr>
      <w:bookmarkStart w:id="131" w:name="_Toc1244"/>
      <w:bookmarkStart w:id="132" w:name="_Toc22892"/>
      <w:bookmarkStart w:id="133" w:name="_Toc13891"/>
      <w:r>
        <w:rPr>
          <w:rFonts w:hint="eastAsia" w:ascii="黑体" w:hAnsi="仿宋" w:cs="宋体"/>
          <w:b w:val="0"/>
          <w:color w:val="auto"/>
          <w:sz w:val="21"/>
          <w:szCs w:val="21"/>
          <w:highlight w:val="none"/>
        </w:rPr>
        <w:t>附件4-3 符合特定资格条件证明材料复印件或者情况说明</w:t>
      </w:r>
      <w:bookmarkEnd w:id="131"/>
      <w:bookmarkEnd w:id="132"/>
      <w:bookmarkEnd w:id="133"/>
    </w:p>
    <w:p w14:paraId="61DE57D6">
      <w:pPr>
        <w:widowControl/>
        <w:adjustRightInd w:val="0"/>
        <w:snapToGrid w:val="0"/>
        <w:spacing w:line="360" w:lineRule="auto"/>
        <w:jc w:val="center"/>
        <w:rPr>
          <w:rFonts w:ascii="黑体" w:hAnsi="仿宋" w:eastAsia="黑体" w:cs="宋体"/>
          <w:b/>
          <w:color w:val="auto"/>
          <w:sz w:val="28"/>
          <w:szCs w:val="28"/>
          <w:highlight w:val="none"/>
        </w:rPr>
      </w:pPr>
      <w:r>
        <w:rPr>
          <w:rFonts w:hint="eastAsia" w:ascii="黑体" w:hAnsi="仿宋" w:eastAsia="黑体" w:cs="宋体"/>
          <w:b/>
          <w:color w:val="auto"/>
          <w:sz w:val="28"/>
          <w:szCs w:val="28"/>
          <w:highlight w:val="none"/>
        </w:rPr>
        <w:t>符合特定资格条件证明材料复印件或者情况说明</w:t>
      </w:r>
    </w:p>
    <w:p w14:paraId="4FA41797">
      <w:pPr>
        <w:widowControl/>
        <w:adjustRightInd w:val="0"/>
        <w:snapToGrid w:val="0"/>
        <w:spacing w:line="360" w:lineRule="auto"/>
        <w:ind w:firstLine="560" w:firstLineChars="200"/>
        <w:jc w:val="left"/>
        <w:rPr>
          <w:rFonts w:ascii="黑体" w:hAnsi="仿宋" w:eastAsia="黑体" w:cs="宋体"/>
          <w:color w:val="auto"/>
          <w:sz w:val="28"/>
          <w:szCs w:val="28"/>
          <w:highlight w:val="none"/>
        </w:rPr>
      </w:pPr>
    </w:p>
    <w:p w14:paraId="553E7EF2">
      <w:pPr>
        <w:widowControl/>
        <w:adjustRightInd w:val="0"/>
        <w:snapToGrid w:val="0"/>
        <w:spacing w:line="360" w:lineRule="auto"/>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注：按第二章第</w:t>
      </w:r>
      <w:r>
        <w:rPr>
          <w:rFonts w:ascii="宋体" w:hAnsi="宋体" w:eastAsia="宋体" w:cs="宋体"/>
          <w:color w:val="auto"/>
          <w:szCs w:val="21"/>
          <w:highlight w:val="none"/>
        </w:rPr>
        <w:t>1</w:t>
      </w:r>
      <w:r>
        <w:rPr>
          <w:rFonts w:hint="eastAsia" w:ascii="宋体" w:hAnsi="宋体" w:eastAsia="宋体" w:cs="宋体"/>
          <w:color w:val="auto"/>
          <w:szCs w:val="21"/>
          <w:highlight w:val="none"/>
        </w:rPr>
        <w:t>4</w:t>
      </w:r>
      <w:r>
        <w:rPr>
          <w:rFonts w:ascii="宋体" w:hAnsi="宋体" w:eastAsia="宋体" w:cs="宋体"/>
          <w:color w:val="auto"/>
          <w:szCs w:val="21"/>
          <w:highlight w:val="none"/>
        </w:rPr>
        <w:t>.1</w:t>
      </w:r>
      <w:r>
        <w:rPr>
          <w:rFonts w:hint="eastAsia" w:ascii="宋体" w:hAnsi="宋体" w:eastAsia="宋体" w:cs="宋体"/>
          <w:color w:val="auto"/>
          <w:szCs w:val="21"/>
          <w:highlight w:val="none"/>
        </w:rPr>
        <w:t>（3）项要求提供。</w:t>
      </w:r>
    </w:p>
    <w:p w14:paraId="1B02C4F1">
      <w:pPr>
        <w:widowControl/>
        <w:spacing w:afterAutospacing="0"/>
        <w:jc w:val="left"/>
        <w:rPr>
          <w:rFonts w:ascii="黑体" w:eastAsia="黑体"/>
          <w:color w:val="auto"/>
          <w:sz w:val="32"/>
          <w:szCs w:val="32"/>
          <w:highlight w:val="none"/>
        </w:rPr>
        <w:sectPr>
          <w:headerReference r:id="rId16" w:type="first"/>
          <w:footerReference r:id="rId19" w:type="first"/>
          <w:headerReference r:id="rId14" w:type="default"/>
          <w:footerReference r:id="rId17" w:type="default"/>
          <w:headerReference r:id="rId15" w:type="even"/>
          <w:footerReference r:id="rId18" w:type="even"/>
          <w:pgSz w:w="11906" w:h="16838"/>
          <w:pgMar w:top="1474" w:right="1474" w:bottom="1474" w:left="1588" w:header="851" w:footer="992" w:gutter="0"/>
          <w:pgBorders>
            <w:top w:val="none" w:sz="0" w:space="0"/>
            <w:left w:val="none" w:sz="0" w:space="0"/>
            <w:bottom w:val="none" w:sz="0" w:space="0"/>
            <w:right w:val="none" w:sz="0" w:space="0"/>
          </w:pgBorders>
          <w:pgNumType w:fmt="decimal"/>
          <w:cols w:space="720" w:num="1"/>
          <w:docGrid w:type="lines" w:linePitch="312" w:charSpace="0"/>
        </w:sectPr>
      </w:pPr>
    </w:p>
    <w:p w14:paraId="2D1F0F9E">
      <w:pPr>
        <w:pStyle w:val="30"/>
        <w:rPr>
          <w:color w:val="auto"/>
          <w:highlight w:val="none"/>
        </w:rPr>
      </w:pPr>
    </w:p>
    <w:p w14:paraId="2B1E9DB4">
      <w:pPr>
        <w:pStyle w:val="13"/>
        <w:adjustRightInd w:val="0"/>
        <w:snapToGrid w:val="0"/>
        <w:spacing w:line="360" w:lineRule="auto"/>
        <w:jc w:val="center"/>
        <w:rPr>
          <w:rFonts w:ascii="华文中宋" w:hAnsi="华文中宋" w:eastAsia="华文中宋"/>
          <w:bCs/>
          <w:color w:val="auto"/>
          <w:sz w:val="72"/>
          <w:szCs w:val="72"/>
          <w:highlight w:val="none"/>
        </w:rPr>
      </w:pPr>
      <w:r>
        <w:rPr>
          <w:rFonts w:hint="eastAsia" w:ascii="华文中宋" w:hAnsi="华文中宋" w:eastAsia="华文中宋"/>
          <w:bCs/>
          <w:color w:val="auto"/>
          <w:sz w:val="72"/>
          <w:szCs w:val="72"/>
          <w:highlight w:val="none"/>
        </w:rPr>
        <w:t>政府采购</w:t>
      </w:r>
    </w:p>
    <w:p w14:paraId="194B5EE2">
      <w:pPr>
        <w:adjustRightInd w:val="0"/>
        <w:snapToGrid w:val="0"/>
        <w:spacing w:line="360" w:lineRule="auto"/>
        <w:jc w:val="center"/>
        <w:rPr>
          <w:rFonts w:ascii="宋体" w:hAnsi="宋体" w:eastAsia="宋体"/>
          <w:b/>
          <w:bCs/>
          <w:color w:val="auto"/>
          <w:sz w:val="84"/>
          <w:szCs w:val="84"/>
          <w:highlight w:val="none"/>
        </w:rPr>
      </w:pPr>
      <w:r>
        <w:rPr>
          <w:rFonts w:hint="eastAsia" w:ascii="宋体" w:hAnsi="宋体" w:eastAsia="宋体"/>
          <w:b/>
          <w:bCs/>
          <w:color w:val="auto"/>
          <w:sz w:val="84"/>
          <w:szCs w:val="84"/>
          <w:highlight w:val="none"/>
        </w:rPr>
        <w:t>投 标 文 件</w:t>
      </w:r>
    </w:p>
    <w:p w14:paraId="1E3A3583">
      <w:pPr>
        <w:pStyle w:val="3"/>
        <w:adjustRightInd w:val="0"/>
        <w:snapToGrid w:val="0"/>
        <w:jc w:val="center"/>
        <w:rPr>
          <w:rFonts w:ascii="黑体" w:hAnsi="黑体" w:eastAsia="黑体"/>
          <w:color w:val="auto"/>
          <w:sz w:val="44"/>
          <w:szCs w:val="44"/>
          <w:highlight w:val="none"/>
        </w:rPr>
      </w:pPr>
      <w:bookmarkStart w:id="134" w:name="_Toc21522"/>
      <w:r>
        <w:rPr>
          <w:rFonts w:hint="eastAsia" w:ascii="黑体" w:hAnsi="黑体" w:eastAsia="黑体"/>
          <w:color w:val="auto"/>
          <w:sz w:val="44"/>
          <w:szCs w:val="44"/>
          <w:highlight w:val="none"/>
        </w:rPr>
        <w:t>第二部分 商务技术文件</w:t>
      </w:r>
      <w:bookmarkEnd w:id="134"/>
    </w:p>
    <w:p w14:paraId="5F6EB2FE">
      <w:pPr>
        <w:adjustRightInd w:val="0"/>
        <w:snapToGrid w:val="0"/>
        <w:spacing w:line="360" w:lineRule="auto"/>
        <w:rPr>
          <w:rFonts w:ascii="宋体" w:hAnsi="宋体" w:eastAsia="宋体"/>
          <w:color w:val="auto"/>
          <w:sz w:val="32"/>
          <w:szCs w:val="32"/>
          <w:highlight w:val="none"/>
        </w:rPr>
      </w:pPr>
    </w:p>
    <w:p w14:paraId="2BF91153">
      <w:pPr>
        <w:pStyle w:val="13"/>
        <w:adjustRightInd w:val="0"/>
        <w:snapToGrid w:val="0"/>
        <w:spacing w:line="360" w:lineRule="auto"/>
        <w:ind w:firstLine="1988" w:firstLineChars="660"/>
        <w:rPr>
          <w:rFonts w:ascii="宋体" w:hAnsi="宋体" w:eastAsia="宋体"/>
          <w:b/>
          <w:bCs/>
          <w:color w:val="auto"/>
          <w:sz w:val="30"/>
          <w:szCs w:val="30"/>
          <w:highlight w:val="none"/>
        </w:rPr>
      </w:pPr>
    </w:p>
    <w:p w14:paraId="2D864DCB">
      <w:pPr>
        <w:pStyle w:val="13"/>
        <w:adjustRightInd w:val="0"/>
        <w:snapToGrid w:val="0"/>
        <w:spacing w:line="360" w:lineRule="auto"/>
        <w:ind w:firstLine="1988" w:firstLineChars="660"/>
        <w:rPr>
          <w:rFonts w:ascii="宋体" w:hAnsi="宋体" w:eastAsia="宋体"/>
          <w:b/>
          <w:bCs/>
          <w:color w:val="auto"/>
          <w:sz w:val="30"/>
          <w:szCs w:val="30"/>
          <w:highlight w:val="none"/>
          <w:u w:val="single"/>
        </w:rPr>
      </w:pPr>
      <w:r>
        <w:rPr>
          <w:rFonts w:hint="eastAsia" w:ascii="宋体" w:hAnsi="宋体" w:eastAsia="宋体"/>
          <w:b/>
          <w:bCs/>
          <w:color w:val="auto"/>
          <w:sz w:val="30"/>
          <w:szCs w:val="30"/>
          <w:highlight w:val="none"/>
        </w:rPr>
        <w:t>采购项目名称:</w:t>
      </w:r>
      <w:r>
        <w:rPr>
          <w:rFonts w:hint="eastAsia" w:ascii="宋体" w:hAnsi="宋体" w:eastAsia="宋体"/>
          <w:b/>
          <w:bCs/>
          <w:color w:val="auto"/>
          <w:sz w:val="30"/>
          <w:szCs w:val="30"/>
          <w:highlight w:val="none"/>
          <w:u w:val="single"/>
        </w:rPr>
        <w:t xml:space="preserve">                        </w:t>
      </w:r>
    </w:p>
    <w:p w14:paraId="6BF2028D">
      <w:pPr>
        <w:pStyle w:val="13"/>
        <w:adjustRightInd w:val="0"/>
        <w:snapToGrid w:val="0"/>
        <w:spacing w:line="360" w:lineRule="auto"/>
        <w:ind w:firstLine="1988" w:firstLineChars="660"/>
        <w:rPr>
          <w:rFonts w:ascii="宋体" w:hAnsi="宋体" w:eastAsia="宋体"/>
          <w:b/>
          <w:bCs/>
          <w:color w:val="auto"/>
          <w:sz w:val="30"/>
          <w:szCs w:val="30"/>
          <w:highlight w:val="none"/>
        </w:rPr>
      </w:pPr>
      <w:r>
        <w:rPr>
          <w:rFonts w:hint="eastAsia" w:ascii="宋体" w:hAnsi="宋体" w:eastAsia="宋体"/>
          <w:b/>
          <w:bCs/>
          <w:color w:val="auto"/>
          <w:sz w:val="30"/>
          <w:szCs w:val="30"/>
          <w:highlight w:val="none"/>
        </w:rPr>
        <w:t>采   购   人：</w:t>
      </w:r>
      <w:r>
        <w:rPr>
          <w:rFonts w:hint="eastAsia" w:ascii="宋体" w:hAnsi="宋体" w:eastAsia="宋体"/>
          <w:b/>
          <w:bCs/>
          <w:color w:val="auto"/>
          <w:sz w:val="30"/>
          <w:szCs w:val="30"/>
          <w:highlight w:val="none"/>
          <w:u w:val="single"/>
        </w:rPr>
        <w:t xml:space="preserve">                       </w:t>
      </w:r>
    </w:p>
    <w:p w14:paraId="044DC135">
      <w:pPr>
        <w:pStyle w:val="13"/>
        <w:adjustRightInd w:val="0"/>
        <w:snapToGrid w:val="0"/>
        <w:spacing w:line="360" w:lineRule="auto"/>
        <w:ind w:firstLine="1988" w:firstLineChars="660"/>
        <w:rPr>
          <w:rFonts w:ascii="宋体" w:hAnsi="宋体" w:eastAsia="宋体"/>
          <w:b/>
          <w:bCs/>
          <w:color w:val="auto"/>
          <w:sz w:val="30"/>
          <w:szCs w:val="30"/>
          <w:highlight w:val="none"/>
          <w:u w:val="single"/>
        </w:rPr>
      </w:pPr>
      <w:r>
        <w:rPr>
          <w:rFonts w:hint="eastAsia" w:ascii="宋体" w:hAnsi="宋体" w:eastAsia="宋体"/>
          <w:b/>
          <w:bCs/>
          <w:color w:val="auto"/>
          <w:sz w:val="30"/>
          <w:szCs w:val="30"/>
          <w:highlight w:val="none"/>
        </w:rPr>
        <w:t>政府采购计划编号:</w:t>
      </w:r>
      <w:r>
        <w:rPr>
          <w:rFonts w:hint="eastAsia" w:ascii="宋体" w:hAnsi="宋体" w:eastAsia="宋体"/>
          <w:b/>
          <w:bCs/>
          <w:color w:val="auto"/>
          <w:sz w:val="30"/>
          <w:szCs w:val="30"/>
          <w:highlight w:val="none"/>
          <w:u w:val="single"/>
        </w:rPr>
        <w:t xml:space="preserve">                    </w:t>
      </w:r>
    </w:p>
    <w:p w14:paraId="76CA07D4">
      <w:pPr>
        <w:pStyle w:val="13"/>
        <w:adjustRightInd w:val="0"/>
        <w:snapToGrid w:val="0"/>
        <w:spacing w:line="360" w:lineRule="auto"/>
        <w:ind w:firstLine="1988" w:firstLineChars="660"/>
        <w:rPr>
          <w:rFonts w:ascii="宋体" w:hAnsi="宋体" w:eastAsia="宋体"/>
          <w:b/>
          <w:bCs/>
          <w:color w:val="auto"/>
          <w:sz w:val="30"/>
          <w:szCs w:val="30"/>
          <w:highlight w:val="none"/>
          <w:u w:val="single"/>
        </w:rPr>
      </w:pPr>
      <w:r>
        <w:rPr>
          <w:rFonts w:hint="eastAsia" w:ascii="宋体" w:hAnsi="宋体" w:eastAsia="宋体"/>
          <w:b/>
          <w:bCs/>
          <w:color w:val="auto"/>
          <w:sz w:val="30"/>
          <w:szCs w:val="30"/>
          <w:highlight w:val="none"/>
          <w:lang w:eastAsia="zh-CN"/>
        </w:rPr>
        <w:t>委托代理编号</w:t>
      </w:r>
      <w:r>
        <w:rPr>
          <w:rFonts w:hint="eastAsia" w:ascii="宋体" w:hAnsi="宋体" w:eastAsia="宋体"/>
          <w:b/>
          <w:bCs/>
          <w:color w:val="auto"/>
          <w:sz w:val="30"/>
          <w:szCs w:val="30"/>
          <w:highlight w:val="none"/>
        </w:rPr>
        <w:t>:</w:t>
      </w:r>
      <w:r>
        <w:rPr>
          <w:rFonts w:hint="eastAsia" w:ascii="宋体" w:hAnsi="宋体" w:eastAsia="宋体"/>
          <w:b/>
          <w:bCs/>
          <w:color w:val="auto"/>
          <w:sz w:val="30"/>
          <w:szCs w:val="30"/>
          <w:highlight w:val="none"/>
          <w:u w:val="single"/>
        </w:rPr>
        <w:t xml:space="preserve">                        </w:t>
      </w:r>
    </w:p>
    <w:p w14:paraId="1BA4C6F0">
      <w:pPr>
        <w:pStyle w:val="13"/>
        <w:adjustRightInd w:val="0"/>
        <w:snapToGrid w:val="0"/>
        <w:spacing w:line="360" w:lineRule="auto"/>
        <w:ind w:firstLine="1988" w:firstLineChars="660"/>
        <w:rPr>
          <w:rFonts w:ascii="宋体" w:hAnsi="宋体" w:eastAsia="宋体"/>
          <w:b/>
          <w:bCs/>
          <w:color w:val="auto"/>
          <w:sz w:val="30"/>
          <w:szCs w:val="30"/>
          <w:highlight w:val="none"/>
          <w:u w:val="single"/>
        </w:rPr>
      </w:pPr>
      <w:r>
        <w:rPr>
          <w:rFonts w:hint="eastAsia" w:ascii="宋体" w:hAnsi="宋体" w:eastAsia="宋体"/>
          <w:b/>
          <w:bCs/>
          <w:color w:val="auto"/>
          <w:sz w:val="30"/>
          <w:szCs w:val="30"/>
          <w:highlight w:val="none"/>
        </w:rPr>
        <w:t>采购代理机构：</w:t>
      </w:r>
      <w:r>
        <w:rPr>
          <w:rFonts w:hint="eastAsia" w:ascii="宋体" w:hAnsi="宋体" w:eastAsia="宋体"/>
          <w:b/>
          <w:bCs/>
          <w:color w:val="auto"/>
          <w:sz w:val="30"/>
          <w:szCs w:val="30"/>
          <w:highlight w:val="none"/>
          <w:u w:val="single"/>
        </w:rPr>
        <w:t xml:space="preserve">                       </w:t>
      </w:r>
    </w:p>
    <w:p w14:paraId="66565507">
      <w:pPr>
        <w:adjustRightInd w:val="0"/>
        <w:snapToGrid w:val="0"/>
        <w:spacing w:line="360" w:lineRule="auto"/>
        <w:rPr>
          <w:rFonts w:ascii="宋体" w:hAnsi="宋体" w:eastAsia="宋体"/>
          <w:color w:val="auto"/>
          <w:sz w:val="30"/>
          <w:szCs w:val="30"/>
          <w:highlight w:val="none"/>
        </w:rPr>
      </w:pPr>
    </w:p>
    <w:p w14:paraId="446F5BEE">
      <w:pPr>
        <w:adjustRightInd w:val="0"/>
        <w:snapToGrid w:val="0"/>
        <w:spacing w:line="360" w:lineRule="auto"/>
        <w:rPr>
          <w:rFonts w:ascii="宋体" w:hAnsi="宋体" w:eastAsia="宋体"/>
          <w:color w:val="auto"/>
          <w:sz w:val="30"/>
          <w:szCs w:val="30"/>
          <w:highlight w:val="none"/>
        </w:rPr>
      </w:pPr>
    </w:p>
    <w:p w14:paraId="15954E66">
      <w:pPr>
        <w:adjustRightInd w:val="0"/>
        <w:snapToGrid w:val="0"/>
        <w:spacing w:line="360" w:lineRule="auto"/>
        <w:rPr>
          <w:rFonts w:ascii="宋体" w:hAnsi="宋体" w:eastAsia="宋体"/>
          <w:color w:val="auto"/>
          <w:sz w:val="30"/>
          <w:szCs w:val="30"/>
          <w:highlight w:val="none"/>
        </w:rPr>
      </w:pPr>
    </w:p>
    <w:p w14:paraId="6DA3DE74">
      <w:pPr>
        <w:adjustRightInd w:val="0"/>
        <w:snapToGrid w:val="0"/>
        <w:spacing w:line="360" w:lineRule="auto"/>
        <w:rPr>
          <w:rFonts w:hint="eastAsia" w:ascii="黑体" w:hAnsi="黑体" w:eastAsia="黑体" w:cs="黑体"/>
          <w:b w:val="0"/>
          <w:bCs w:val="0"/>
          <w:color w:val="auto"/>
          <w:sz w:val="30"/>
          <w:szCs w:val="30"/>
          <w:highlight w:val="none"/>
        </w:rPr>
      </w:pPr>
    </w:p>
    <w:p w14:paraId="04A35539">
      <w:pPr>
        <w:adjustRightInd w:val="0"/>
        <w:snapToGrid w:val="0"/>
        <w:spacing w:line="360" w:lineRule="auto"/>
        <w:ind w:left="1273" w:leftChars="606" w:firstLine="640" w:firstLineChars="200"/>
        <w:rPr>
          <w:rFonts w:hint="eastAsia" w:ascii="黑体" w:hAnsi="黑体" w:eastAsia="黑体" w:cs="黑体"/>
          <w:b w:val="0"/>
          <w:bCs w:val="0"/>
          <w:color w:val="auto"/>
          <w:sz w:val="32"/>
          <w:szCs w:val="32"/>
          <w:highlight w:val="none"/>
          <w:u w:val="single"/>
        </w:rPr>
      </w:pPr>
      <w:r>
        <w:rPr>
          <w:rFonts w:hint="eastAsia" w:ascii="黑体" w:hAnsi="黑体" w:eastAsia="黑体" w:cs="黑体"/>
          <w:b w:val="0"/>
          <w:bCs w:val="0"/>
          <w:color w:val="auto"/>
          <w:sz w:val="32"/>
          <w:szCs w:val="32"/>
          <w:highlight w:val="none"/>
        </w:rPr>
        <w:t>投标人</w:t>
      </w:r>
      <w:r>
        <w:rPr>
          <w:rFonts w:hint="eastAsia" w:ascii="黑体" w:hAnsi="黑体" w:eastAsia="黑体" w:cs="黑体"/>
          <w:b w:val="0"/>
          <w:bCs w:val="0"/>
          <w:color w:val="auto"/>
          <w:sz w:val="32"/>
          <w:szCs w:val="32"/>
          <w:highlight w:val="none"/>
          <w:u w:val="single"/>
        </w:rPr>
        <w:t xml:space="preserve">                         </w:t>
      </w:r>
    </w:p>
    <w:p w14:paraId="0516D3A8">
      <w:pPr>
        <w:adjustRightInd w:val="0"/>
        <w:snapToGrid w:val="0"/>
        <w:spacing w:line="360" w:lineRule="auto"/>
        <w:jc w:val="center"/>
        <w:rPr>
          <w:rFonts w:hint="eastAsia" w:ascii="黑体" w:hAnsi="黑体" w:eastAsia="黑体" w:cs="黑体"/>
          <w:b w:val="0"/>
          <w:bCs w:val="0"/>
          <w:color w:val="auto"/>
          <w:sz w:val="32"/>
          <w:szCs w:val="32"/>
          <w:highlight w:val="none"/>
        </w:rPr>
      </w:pPr>
      <w:r>
        <w:rPr>
          <w:rFonts w:hint="eastAsia" w:ascii="黑体" w:hAnsi="黑体" w:eastAsia="黑体" w:cs="黑体"/>
          <w:b w:val="0"/>
          <w:bCs w:val="0"/>
          <w:color w:val="auto"/>
          <w:sz w:val="32"/>
          <w:szCs w:val="32"/>
          <w:highlight w:val="none"/>
        </w:rPr>
        <w:t>年  月  日</w:t>
      </w:r>
    </w:p>
    <w:p w14:paraId="5EE09524">
      <w:pPr>
        <w:widowControl/>
        <w:jc w:val="left"/>
        <w:rPr>
          <w:rFonts w:ascii="黑体" w:hAnsi="宋体" w:eastAsia="黑体"/>
          <w:b/>
          <w:bCs/>
          <w:color w:val="auto"/>
          <w:sz w:val="28"/>
          <w:szCs w:val="28"/>
          <w:highlight w:val="none"/>
        </w:rPr>
      </w:pPr>
      <w:r>
        <w:rPr>
          <w:rFonts w:ascii="宋体" w:hAnsi="宋体" w:eastAsia="宋体"/>
          <w:color w:val="auto"/>
          <w:highlight w:val="none"/>
          <w:u w:val="single"/>
        </w:rPr>
        <w:br w:type="page"/>
      </w:r>
    </w:p>
    <w:p w14:paraId="44234F33">
      <w:pPr>
        <w:pStyle w:val="4"/>
        <w:adjustRightInd w:val="0"/>
        <w:snapToGrid w:val="0"/>
        <w:spacing w:before="0" w:after="0" w:line="360" w:lineRule="auto"/>
        <w:jc w:val="center"/>
        <w:rPr>
          <w:rFonts w:ascii="黑体" w:hAnsi="宋体" w:eastAsia="黑体"/>
          <w:color w:val="auto"/>
          <w:sz w:val="28"/>
          <w:szCs w:val="28"/>
          <w:highlight w:val="none"/>
        </w:rPr>
      </w:pPr>
      <w:bookmarkStart w:id="135" w:name="_Toc19427"/>
      <w:r>
        <w:rPr>
          <w:rFonts w:hint="eastAsia" w:ascii="黑体" w:hAnsi="宋体" w:eastAsia="黑体"/>
          <w:color w:val="auto"/>
          <w:sz w:val="28"/>
          <w:szCs w:val="28"/>
          <w:highlight w:val="none"/>
        </w:rPr>
        <w:t>五</w:t>
      </w:r>
      <w:r>
        <w:rPr>
          <w:rFonts w:ascii="黑体" w:hAnsi="宋体" w:eastAsia="黑体"/>
          <w:color w:val="auto"/>
          <w:sz w:val="28"/>
          <w:szCs w:val="28"/>
          <w:highlight w:val="none"/>
        </w:rPr>
        <w:t>、</w:t>
      </w:r>
      <w:r>
        <w:rPr>
          <w:rFonts w:hint="eastAsia" w:ascii="黑体" w:hAnsi="宋体" w:eastAsia="黑体"/>
          <w:color w:val="auto"/>
          <w:sz w:val="28"/>
          <w:szCs w:val="28"/>
          <w:highlight w:val="none"/>
        </w:rPr>
        <w:t>投标函</w:t>
      </w:r>
      <w:bookmarkEnd w:id="135"/>
    </w:p>
    <w:p w14:paraId="112EF5EC">
      <w:pPr>
        <w:adjustRightInd w:val="0"/>
        <w:snapToGrid w:val="0"/>
        <w:spacing w:before="156" w:beforeLines="50" w:line="360" w:lineRule="auto"/>
        <w:rPr>
          <w:rFonts w:ascii="宋体" w:hAnsi="宋体" w:eastAsia="宋体"/>
          <w:color w:val="auto"/>
          <w:szCs w:val="21"/>
          <w:highlight w:val="none"/>
        </w:rPr>
      </w:pPr>
      <w:r>
        <w:rPr>
          <w:rFonts w:hint="eastAsia" w:ascii="宋体" w:hAnsi="宋体" w:eastAsia="宋体"/>
          <w:color w:val="auto"/>
          <w:szCs w:val="21"/>
          <w:highlight w:val="none"/>
        </w:rPr>
        <w:t>致：</w:t>
      </w:r>
      <w:r>
        <w:rPr>
          <w:rFonts w:hint="eastAsia" w:ascii="宋体" w:hAnsi="宋体" w:eastAsia="宋体"/>
          <w:color w:val="auto"/>
          <w:szCs w:val="21"/>
          <w:highlight w:val="none"/>
          <w:u w:val="single"/>
        </w:rPr>
        <w:t xml:space="preserve">           </w:t>
      </w:r>
      <w:r>
        <w:rPr>
          <w:rFonts w:hint="eastAsia" w:ascii="宋体" w:hAnsi="宋体" w:eastAsia="宋体"/>
          <w:color w:val="auto"/>
          <w:szCs w:val="21"/>
          <w:highlight w:val="none"/>
        </w:rPr>
        <w:t>（采购人、采购代理机构）：</w:t>
      </w:r>
    </w:p>
    <w:p w14:paraId="40413A37">
      <w:pPr>
        <w:adjustRightInd w:val="0"/>
        <w:snapToGrid w:val="0"/>
        <w:spacing w:before="156" w:beforeLines="50" w:line="360" w:lineRule="auto"/>
        <w:ind w:firstLine="435"/>
        <w:rPr>
          <w:rFonts w:ascii="宋体" w:hAnsi="宋体" w:eastAsia="宋体"/>
          <w:color w:val="auto"/>
          <w:szCs w:val="21"/>
          <w:highlight w:val="none"/>
        </w:rPr>
      </w:pPr>
      <w:r>
        <w:rPr>
          <w:rFonts w:hint="eastAsia" w:ascii="宋体" w:hAnsi="宋体" w:eastAsia="宋体"/>
          <w:color w:val="auto"/>
          <w:szCs w:val="21"/>
          <w:highlight w:val="none"/>
        </w:rPr>
        <w:t>根据贵方为</w:t>
      </w:r>
      <w:r>
        <w:rPr>
          <w:rFonts w:hint="eastAsia" w:ascii="宋体" w:hAnsi="宋体" w:eastAsia="宋体"/>
          <w:color w:val="auto"/>
          <w:szCs w:val="21"/>
          <w:highlight w:val="none"/>
          <w:u w:val="single"/>
        </w:rPr>
        <w:t xml:space="preserve">           </w:t>
      </w:r>
      <w:r>
        <w:rPr>
          <w:rFonts w:hint="eastAsia" w:ascii="宋体" w:hAnsi="宋体" w:eastAsia="宋体"/>
          <w:color w:val="auto"/>
          <w:szCs w:val="21"/>
          <w:highlight w:val="none"/>
        </w:rPr>
        <w:t>（项目名称）的投标邀请（</w:t>
      </w:r>
      <w:r>
        <w:rPr>
          <w:rFonts w:hint="eastAsia" w:ascii="宋体" w:hAnsi="宋体"/>
          <w:color w:val="auto"/>
          <w:szCs w:val="21"/>
          <w:highlight w:val="none"/>
          <w:lang w:eastAsia="zh-CN"/>
        </w:rPr>
        <w:t>政府采购计划编号</w:t>
      </w:r>
      <w:r>
        <w:rPr>
          <w:rFonts w:hint="eastAsia" w:ascii="宋体" w:hAnsi="宋体" w:eastAsia="宋体"/>
          <w:iCs/>
          <w:color w:val="auto"/>
          <w:highlight w:val="none"/>
        </w:rPr>
        <w:t>：</w:t>
      </w:r>
      <w:r>
        <w:rPr>
          <w:rFonts w:hint="eastAsia" w:ascii="宋体" w:hAnsi="宋体" w:eastAsia="宋体"/>
          <w:iCs/>
          <w:color w:val="auto"/>
          <w:highlight w:val="none"/>
          <w:u w:val="single"/>
        </w:rPr>
        <w:t xml:space="preserve">      </w:t>
      </w:r>
      <w:r>
        <w:rPr>
          <w:rFonts w:hint="eastAsia" w:ascii="宋体" w:hAnsi="宋体" w:eastAsia="宋体"/>
          <w:iCs/>
          <w:color w:val="auto"/>
          <w:highlight w:val="none"/>
        </w:rPr>
        <w:t xml:space="preserve"> ，</w:t>
      </w:r>
      <w:r>
        <w:rPr>
          <w:rFonts w:hint="eastAsia" w:ascii="宋体" w:hAnsi="宋体" w:eastAsia="宋体"/>
          <w:color w:val="auto"/>
          <w:szCs w:val="21"/>
          <w:highlight w:val="none"/>
          <w:lang w:eastAsia="zh-CN"/>
        </w:rPr>
        <w:t>委托代理编号</w:t>
      </w:r>
      <w:r>
        <w:rPr>
          <w:rFonts w:hint="eastAsia" w:ascii="宋体" w:hAnsi="宋体" w:eastAsia="宋体"/>
          <w:color w:val="auto"/>
          <w:szCs w:val="21"/>
          <w:highlight w:val="none"/>
        </w:rPr>
        <w:t>：</w:t>
      </w:r>
      <w:r>
        <w:rPr>
          <w:rFonts w:hint="eastAsia" w:ascii="宋体" w:hAnsi="宋体" w:eastAsia="宋体"/>
          <w:color w:val="auto"/>
          <w:szCs w:val="21"/>
          <w:highlight w:val="none"/>
          <w:u w:val="single"/>
        </w:rPr>
        <w:t xml:space="preserve">         </w:t>
      </w:r>
      <w:r>
        <w:rPr>
          <w:rFonts w:hint="eastAsia" w:ascii="宋体" w:hAnsi="宋体" w:eastAsia="宋体"/>
          <w:color w:val="auto"/>
          <w:szCs w:val="21"/>
          <w:highlight w:val="none"/>
        </w:rPr>
        <w:t xml:space="preserve">），签字代表 </w:t>
      </w:r>
      <w:r>
        <w:rPr>
          <w:rFonts w:hint="eastAsia" w:ascii="宋体" w:hAnsi="宋体" w:eastAsia="宋体"/>
          <w:color w:val="auto"/>
          <w:szCs w:val="21"/>
          <w:highlight w:val="none"/>
          <w:u w:val="single"/>
        </w:rPr>
        <w:t xml:space="preserve">      </w:t>
      </w:r>
      <w:r>
        <w:rPr>
          <w:rFonts w:hint="eastAsia" w:ascii="宋体" w:hAnsi="宋体" w:eastAsia="宋体"/>
          <w:color w:val="auto"/>
          <w:szCs w:val="21"/>
          <w:highlight w:val="none"/>
        </w:rPr>
        <w:t>（姓名、职务）经正式授权并代表投标人</w:t>
      </w:r>
      <w:r>
        <w:rPr>
          <w:rFonts w:hint="eastAsia" w:ascii="宋体" w:hAnsi="宋体" w:eastAsia="宋体"/>
          <w:color w:val="auto"/>
          <w:szCs w:val="21"/>
          <w:highlight w:val="none"/>
          <w:u w:val="single"/>
        </w:rPr>
        <w:t xml:space="preserve">       </w:t>
      </w:r>
      <w:r>
        <w:rPr>
          <w:rFonts w:hint="eastAsia" w:ascii="宋体" w:hAnsi="宋体" w:eastAsia="宋体"/>
          <w:color w:val="auto"/>
          <w:szCs w:val="21"/>
          <w:highlight w:val="none"/>
        </w:rPr>
        <w:t xml:space="preserve"> （投标人名称）提交投标文件电子文档一份，参加采购项目第</w:t>
      </w:r>
      <w:r>
        <w:rPr>
          <w:rFonts w:hint="eastAsia" w:ascii="宋体" w:hAnsi="宋体" w:eastAsia="宋体"/>
          <w:color w:val="auto"/>
          <w:szCs w:val="21"/>
          <w:highlight w:val="none"/>
          <w:u w:val="single"/>
        </w:rPr>
        <w:t xml:space="preserve">   </w:t>
      </w:r>
      <w:r>
        <w:rPr>
          <w:rFonts w:hint="eastAsia" w:ascii="宋体" w:hAnsi="宋体" w:eastAsia="宋体"/>
          <w:color w:val="auto"/>
          <w:szCs w:val="21"/>
          <w:highlight w:val="none"/>
        </w:rPr>
        <w:t>包投标，并在此声明，所递交的投标文件内容完整、真实。</w:t>
      </w:r>
    </w:p>
    <w:p w14:paraId="6656F895">
      <w:pPr>
        <w:adjustRightInd w:val="0"/>
        <w:snapToGrid w:val="0"/>
        <w:spacing w:before="156" w:beforeLines="50" w:line="360" w:lineRule="auto"/>
        <w:ind w:firstLine="422" w:firstLineChars="200"/>
        <w:rPr>
          <w:rFonts w:ascii="宋体" w:hAnsi="宋体" w:eastAsia="宋体"/>
          <w:b/>
          <w:color w:val="auto"/>
          <w:szCs w:val="21"/>
          <w:highlight w:val="none"/>
        </w:rPr>
      </w:pPr>
      <w:r>
        <w:rPr>
          <w:rFonts w:hint="eastAsia" w:ascii="宋体" w:hAnsi="宋体" w:eastAsia="宋体"/>
          <w:b/>
          <w:color w:val="auto"/>
          <w:szCs w:val="21"/>
          <w:highlight w:val="none"/>
        </w:rPr>
        <w:t>第一部分 资格证明文件</w:t>
      </w:r>
    </w:p>
    <w:p w14:paraId="542C9C29">
      <w:pPr>
        <w:adjustRightInd w:val="0"/>
        <w:snapToGrid w:val="0"/>
        <w:spacing w:before="156" w:beforeLines="50" w:line="360" w:lineRule="auto"/>
        <w:ind w:firstLine="630" w:firstLineChars="300"/>
        <w:rPr>
          <w:rFonts w:ascii="宋体" w:hAnsi="宋体" w:eastAsia="宋体"/>
          <w:color w:val="auto"/>
          <w:szCs w:val="21"/>
          <w:highlight w:val="none"/>
        </w:rPr>
      </w:pPr>
      <w:r>
        <w:rPr>
          <w:rFonts w:hint="eastAsia" w:ascii="宋体" w:hAnsi="宋体" w:eastAsia="宋体"/>
          <w:color w:val="auto"/>
          <w:szCs w:val="21"/>
          <w:highlight w:val="none"/>
        </w:rPr>
        <w:t>一、开标一览表</w:t>
      </w:r>
    </w:p>
    <w:p w14:paraId="7A861EDF">
      <w:pPr>
        <w:adjustRightInd w:val="0"/>
        <w:snapToGrid w:val="0"/>
        <w:spacing w:before="156" w:beforeLines="50" w:line="360" w:lineRule="auto"/>
        <w:ind w:firstLine="630" w:firstLineChars="300"/>
        <w:rPr>
          <w:rFonts w:ascii="宋体" w:hAnsi="宋体" w:eastAsia="宋体"/>
          <w:color w:val="auto"/>
          <w:szCs w:val="21"/>
          <w:highlight w:val="none"/>
        </w:rPr>
      </w:pPr>
      <w:r>
        <w:rPr>
          <w:rFonts w:hint="eastAsia" w:ascii="宋体" w:hAnsi="宋体" w:eastAsia="宋体"/>
          <w:color w:val="auto"/>
          <w:szCs w:val="21"/>
          <w:highlight w:val="none"/>
        </w:rPr>
        <w:t>二、投标保证金</w:t>
      </w:r>
    </w:p>
    <w:p w14:paraId="014C1F60">
      <w:pPr>
        <w:adjustRightInd w:val="0"/>
        <w:snapToGrid w:val="0"/>
        <w:spacing w:before="156" w:beforeLines="50" w:line="360" w:lineRule="auto"/>
        <w:ind w:firstLine="630" w:firstLineChars="300"/>
        <w:rPr>
          <w:rFonts w:ascii="宋体" w:hAnsi="宋体" w:eastAsia="宋体"/>
          <w:color w:val="auto"/>
          <w:szCs w:val="21"/>
          <w:highlight w:val="none"/>
        </w:rPr>
      </w:pPr>
      <w:r>
        <w:rPr>
          <w:rFonts w:hint="eastAsia" w:ascii="宋体" w:hAnsi="宋体" w:eastAsia="宋体"/>
          <w:color w:val="auto"/>
          <w:szCs w:val="21"/>
          <w:highlight w:val="none"/>
        </w:rPr>
        <w:t>三、</w:t>
      </w:r>
      <w:r>
        <w:rPr>
          <w:rFonts w:ascii="宋体" w:hAnsi="宋体" w:eastAsia="宋体" w:cs="宋体"/>
          <w:color w:val="auto"/>
          <w:spacing w:val="8"/>
          <w:sz w:val="21"/>
          <w:szCs w:val="21"/>
          <w:highlight w:val="none"/>
        </w:rPr>
        <w:t>法定代表人(单位负责人)身份证明或授权委托书</w:t>
      </w:r>
    </w:p>
    <w:p w14:paraId="0461FC0A">
      <w:pPr>
        <w:adjustRightInd w:val="0"/>
        <w:snapToGrid w:val="0"/>
        <w:spacing w:before="156" w:beforeLines="50" w:line="360" w:lineRule="auto"/>
        <w:ind w:firstLine="630" w:firstLineChars="300"/>
        <w:rPr>
          <w:rFonts w:ascii="宋体" w:hAnsi="宋体" w:eastAsia="宋体"/>
          <w:color w:val="auto"/>
          <w:szCs w:val="21"/>
          <w:highlight w:val="none"/>
        </w:rPr>
      </w:pPr>
      <w:r>
        <w:rPr>
          <w:rFonts w:hint="eastAsia" w:ascii="宋体" w:hAnsi="宋体" w:eastAsia="宋体"/>
          <w:color w:val="auto"/>
          <w:szCs w:val="21"/>
          <w:highlight w:val="none"/>
        </w:rPr>
        <w:t>四、投标人提供的资格证明文件</w:t>
      </w:r>
    </w:p>
    <w:p w14:paraId="4185CEAA">
      <w:pPr>
        <w:adjustRightInd w:val="0"/>
        <w:snapToGrid w:val="0"/>
        <w:spacing w:before="156" w:beforeLines="50" w:line="360" w:lineRule="auto"/>
        <w:ind w:firstLine="422" w:firstLineChars="200"/>
        <w:rPr>
          <w:rFonts w:ascii="宋体" w:hAnsi="宋体" w:eastAsia="宋体"/>
          <w:b/>
          <w:color w:val="auto"/>
          <w:szCs w:val="21"/>
          <w:highlight w:val="none"/>
        </w:rPr>
      </w:pPr>
      <w:r>
        <w:rPr>
          <w:rFonts w:hint="eastAsia" w:ascii="宋体" w:hAnsi="宋体" w:eastAsia="宋体"/>
          <w:b/>
          <w:color w:val="auto"/>
          <w:szCs w:val="21"/>
          <w:highlight w:val="none"/>
        </w:rPr>
        <w:t>第二部分 商务技术文件</w:t>
      </w:r>
    </w:p>
    <w:p w14:paraId="3F419B5F">
      <w:pPr>
        <w:adjustRightInd w:val="0"/>
        <w:snapToGrid w:val="0"/>
        <w:spacing w:before="156" w:beforeLines="50" w:line="360" w:lineRule="auto"/>
        <w:ind w:firstLine="630" w:firstLineChars="300"/>
        <w:rPr>
          <w:rFonts w:ascii="宋体" w:hAnsi="宋体" w:eastAsia="宋体"/>
          <w:color w:val="auto"/>
          <w:szCs w:val="21"/>
          <w:highlight w:val="none"/>
        </w:rPr>
      </w:pPr>
      <w:r>
        <w:rPr>
          <w:rFonts w:hint="eastAsia" w:ascii="宋体" w:hAnsi="宋体" w:eastAsia="宋体"/>
          <w:color w:val="auto"/>
          <w:szCs w:val="21"/>
          <w:highlight w:val="none"/>
        </w:rPr>
        <w:t>五、投标函</w:t>
      </w:r>
    </w:p>
    <w:p w14:paraId="17785371">
      <w:pPr>
        <w:adjustRightInd w:val="0"/>
        <w:snapToGrid w:val="0"/>
        <w:spacing w:before="156" w:beforeLines="50" w:line="360" w:lineRule="auto"/>
        <w:ind w:firstLine="630" w:firstLineChars="300"/>
        <w:rPr>
          <w:rFonts w:ascii="宋体" w:hAnsi="宋体" w:eastAsia="宋体"/>
          <w:color w:val="auto"/>
          <w:szCs w:val="21"/>
          <w:highlight w:val="none"/>
        </w:rPr>
      </w:pPr>
      <w:r>
        <w:rPr>
          <w:rFonts w:hint="eastAsia" w:ascii="宋体" w:hAnsi="宋体" w:eastAsia="宋体"/>
          <w:color w:val="auto"/>
          <w:szCs w:val="21"/>
          <w:highlight w:val="none"/>
        </w:rPr>
        <w:t>六、分项报价</w:t>
      </w:r>
    </w:p>
    <w:p w14:paraId="1A27EAF1">
      <w:pPr>
        <w:adjustRightInd w:val="0"/>
        <w:snapToGrid w:val="0"/>
        <w:spacing w:before="156" w:beforeLines="50" w:line="360" w:lineRule="auto"/>
        <w:ind w:firstLine="630" w:firstLineChars="300"/>
        <w:rPr>
          <w:rFonts w:ascii="宋体" w:hAnsi="宋体" w:eastAsia="宋体"/>
          <w:color w:val="auto"/>
          <w:szCs w:val="21"/>
          <w:highlight w:val="none"/>
        </w:rPr>
      </w:pPr>
      <w:r>
        <w:rPr>
          <w:rFonts w:hint="eastAsia" w:ascii="宋体" w:hAnsi="宋体" w:eastAsia="宋体"/>
          <w:color w:val="auto"/>
          <w:szCs w:val="21"/>
          <w:highlight w:val="none"/>
        </w:rPr>
        <w:t>七、采购需求响应</w:t>
      </w:r>
    </w:p>
    <w:p w14:paraId="7D8D36B3">
      <w:pPr>
        <w:adjustRightInd w:val="0"/>
        <w:snapToGrid w:val="0"/>
        <w:spacing w:before="156" w:beforeLines="50" w:line="360" w:lineRule="auto"/>
        <w:ind w:firstLine="630" w:firstLineChars="300"/>
        <w:rPr>
          <w:rFonts w:ascii="宋体" w:hAnsi="宋体" w:eastAsia="宋体"/>
          <w:color w:val="auto"/>
          <w:szCs w:val="21"/>
          <w:highlight w:val="none"/>
        </w:rPr>
      </w:pPr>
      <w:r>
        <w:rPr>
          <w:rFonts w:hint="eastAsia" w:ascii="宋体" w:hAnsi="宋体" w:eastAsia="宋体"/>
          <w:color w:val="auto"/>
          <w:szCs w:val="21"/>
          <w:highlight w:val="none"/>
        </w:rPr>
        <w:t>八、合同条款偏离表</w:t>
      </w:r>
    </w:p>
    <w:p w14:paraId="439207AD">
      <w:pPr>
        <w:adjustRightInd w:val="0"/>
        <w:snapToGrid w:val="0"/>
        <w:spacing w:before="156" w:beforeLines="50" w:line="360" w:lineRule="auto"/>
        <w:ind w:firstLine="630" w:firstLineChars="300"/>
        <w:rPr>
          <w:rFonts w:ascii="宋体" w:hAnsi="宋体" w:eastAsia="宋体"/>
          <w:color w:val="auto"/>
          <w:szCs w:val="21"/>
          <w:highlight w:val="none"/>
        </w:rPr>
      </w:pPr>
      <w:r>
        <w:rPr>
          <w:rFonts w:hint="eastAsia" w:ascii="宋体" w:hAnsi="宋体" w:eastAsia="宋体"/>
          <w:color w:val="auto"/>
          <w:szCs w:val="21"/>
          <w:highlight w:val="none"/>
        </w:rPr>
        <w:t>九、采购需求偏离表</w:t>
      </w:r>
    </w:p>
    <w:p w14:paraId="3C56088D">
      <w:pPr>
        <w:adjustRightInd w:val="0"/>
        <w:snapToGrid w:val="0"/>
        <w:spacing w:before="156" w:beforeLines="50" w:line="360" w:lineRule="auto"/>
        <w:ind w:firstLine="630" w:firstLineChars="300"/>
        <w:rPr>
          <w:rFonts w:ascii="宋体" w:hAnsi="宋体" w:eastAsia="宋体"/>
          <w:color w:val="auto"/>
          <w:szCs w:val="21"/>
          <w:highlight w:val="none"/>
        </w:rPr>
      </w:pPr>
      <w:r>
        <w:rPr>
          <w:rFonts w:hint="eastAsia" w:ascii="宋体" w:hAnsi="宋体" w:eastAsia="宋体"/>
          <w:color w:val="auto"/>
          <w:szCs w:val="21"/>
          <w:highlight w:val="none"/>
        </w:rPr>
        <w:t>十、享受政府采购政策优惠的证明资料</w:t>
      </w:r>
    </w:p>
    <w:p w14:paraId="5DBBDF4A">
      <w:pPr>
        <w:adjustRightInd w:val="0"/>
        <w:snapToGrid w:val="0"/>
        <w:spacing w:before="156" w:beforeLines="50" w:line="360" w:lineRule="auto"/>
        <w:ind w:firstLine="630" w:firstLineChars="300"/>
        <w:rPr>
          <w:rFonts w:ascii="宋体" w:hAnsi="宋体" w:eastAsia="宋体"/>
          <w:color w:val="auto"/>
          <w:szCs w:val="21"/>
          <w:highlight w:val="none"/>
        </w:rPr>
      </w:pPr>
      <w:r>
        <w:rPr>
          <w:rFonts w:hint="eastAsia" w:ascii="宋体" w:hAnsi="宋体" w:eastAsia="宋体"/>
          <w:color w:val="auto"/>
          <w:szCs w:val="21"/>
          <w:highlight w:val="none"/>
        </w:rPr>
        <w:t>十一、投标货物符合招标文件规定的证明文件</w:t>
      </w:r>
    </w:p>
    <w:p w14:paraId="57303610">
      <w:pPr>
        <w:adjustRightInd w:val="0"/>
        <w:snapToGrid w:val="0"/>
        <w:spacing w:before="156" w:beforeLines="50" w:line="360" w:lineRule="auto"/>
        <w:ind w:firstLine="630" w:firstLineChars="300"/>
        <w:rPr>
          <w:rFonts w:ascii="宋体" w:hAnsi="宋体" w:eastAsia="宋体"/>
          <w:color w:val="auto"/>
          <w:szCs w:val="21"/>
          <w:highlight w:val="none"/>
        </w:rPr>
      </w:pPr>
      <w:r>
        <w:rPr>
          <w:rFonts w:hint="eastAsia" w:ascii="宋体" w:hAnsi="宋体" w:eastAsia="宋体"/>
          <w:color w:val="auto"/>
          <w:szCs w:val="21"/>
          <w:highlight w:val="none"/>
        </w:rPr>
        <w:t>十二、投标人认为需提供的其他资料</w:t>
      </w:r>
    </w:p>
    <w:p w14:paraId="222F0217">
      <w:pPr>
        <w:adjustRightInd w:val="0"/>
        <w:snapToGrid w:val="0"/>
        <w:spacing w:before="156" w:beforeLines="50" w:line="360" w:lineRule="auto"/>
        <w:ind w:firstLine="420" w:firstLineChars="200"/>
        <w:rPr>
          <w:rFonts w:ascii="宋体" w:hAnsi="宋体" w:eastAsia="宋体"/>
          <w:color w:val="auto"/>
          <w:szCs w:val="21"/>
          <w:highlight w:val="none"/>
        </w:rPr>
      </w:pPr>
      <w:r>
        <w:rPr>
          <w:rFonts w:hint="eastAsia" w:ascii="宋体" w:hAnsi="宋体" w:eastAsia="宋体"/>
          <w:color w:val="auto"/>
          <w:szCs w:val="21"/>
          <w:highlight w:val="none"/>
        </w:rPr>
        <w:t>在此，签字代表宣布同意如下：</w:t>
      </w:r>
    </w:p>
    <w:p w14:paraId="081A33B7">
      <w:pPr>
        <w:adjustRightInd w:val="0"/>
        <w:snapToGrid w:val="0"/>
        <w:spacing w:before="156" w:beforeLines="50" w:line="360" w:lineRule="auto"/>
        <w:ind w:firstLine="420" w:firstLineChars="200"/>
        <w:rPr>
          <w:rFonts w:ascii="宋体" w:hAnsi="宋体" w:eastAsia="宋体"/>
          <w:color w:val="auto"/>
          <w:szCs w:val="21"/>
          <w:highlight w:val="none"/>
        </w:rPr>
      </w:pPr>
      <w:r>
        <w:rPr>
          <w:rFonts w:hint="eastAsia" w:ascii="宋体" w:hAnsi="宋体" w:eastAsia="宋体"/>
          <w:color w:val="auto"/>
          <w:szCs w:val="21"/>
          <w:highlight w:val="none"/>
        </w:rPr>
        <w:t>1、投标人严格按照招标文件的规定报价，见《开标一览表》。</w:t>
      </w:r>
    </w:p>
    <w:p w14:paraId="0C9E8E72">
      <w:pPr>
        <w:adjustRightInd w:val="0"/>
        <w:snapToGrid w:val="0"/>
        <w:spacing w:before="156" w:beforeLines="50" w:line="360" w:lineRule="auto"/>
        <w:ind w:firstLine="420" w:firstLineChars="200"/>
        <w:rPr>
          <w:rFonts w:ascii="宋体" w:hAnsi="宋体" w:eastAsia="宋体"/>
          <w:color w:val="auto"/>
          <w:szCs w:val="21"/>
          <w:highlight w:val="none"/>
        </w:rPr>
      </w:pPr>
      <w:r>
        <w:rPr>
          <w:rFonts w:hint="eastAsia" w:ascii="宋体" w:hAnsi="宋体" w:eastAsia="宋体"/>
          <w:color w:val="auto"/>
          <w:szCs w:val="21"/>
          <w:highlight w:val="none"/>
        </w:rPr>
        <w:t>2、投标人将按招标文件的规定履行合同责任和义务。</w:t>
      </w:r>
    </w:p>
    <w:p w14:paraId="38103F27">
      <w:pPr>
        <w:adjustRightInd w:val="0"/>
        <w:snapToGrid w:val="0"/>
        <w:spacing w:before="156" w:beforeLines="50" w:line="360" w:lineRule="auto"/>
        <w:ind w:firstLine="420" w:firstLineChars="200"/>
        <w:rPr>
          <w:rFonts w:ascii="宋体" w:hAnsi="宋体" w:eastAsia="宋体"/>
          <w:color w:val="auto"/>
          <w:szCs w:val="21"/>
          <w:highlight w:val="none"/>
        </w:rPr>
      </w:pPr>
      <w:r>
        <w:rPr>
          <w:rFonts w:hint="eastAsia" w:ascii="宋体" w:hAnsi="宋体" w:eastAsia="宋体"/>
          <w:color w:val="auto"/>
          <w:szCs w:val="21"/>
          <w:highlight w:val="none"/>
        </w:rPr>
        <w:t>3、投标人已详细审查招标文件。我们完全理解并同意放弃对这方面有不明及误解的权力。</w:t>
      </w:r>
    </w:p>
    <w:p w14:paraId="077BFCED">
      <w:pPr>
        <w:adjustRightInd w:val="0"/>
        <w:snapToGrid w:val="0"/>
        <w:spacing w:before="156" w:beforeLines="50" w:line="360" w:lineRule="auto"/>
        <w:ind w:firstLine="420" w:firstLineChars="200"/>
        <w:rPr>
          <w:rFonts w:ascii="宋体" w:hAnsi="宋体" w:eastAsia="宋体"/>
          <w:color w:val="auto"/>
          <w:highlight w:val="none"/>
        </w:rPr>
      </w:pPr>
      <w:r>
        <w:rPr>
          <w:rFonts w:hint="eastAsia" w:ascii="宋体" w:hAnsi="宋体" w:eastAsia="宋体"/>
          <w:color w:val="auto"/>
          <w:szCs w:val="21"/>
          <w:highlight w:val="none"/>
        </w:rPr>
        <w:t>4、本投标有效期为自招标文件规定的提交投标文件截止之日起</w:t>
      </w:r>
      <w:r>
        <w:rPr>
          <w:rFonts w:hint="eastAsia" w:ascii="宋体" w:hAnsi="宋体" w:eastAsia="宋体"/>
          <w:color w:val="auto"/>
          <w:szCs w:val="21"/>
          <w:highlight w:val="none"/>
          <w:u w:val="single"/>
        </w:rPr>
        <w:t xml:space="preserve">    </w:t>
      </w:r>
      <w:r>
        <w:rPr>
          <w:rFonts w:hint="eastAsia" w:ascii="宋体" w:hAnsi="宋体" w:eastAsia="宋体"/>
          <w:color w:val="auto"/>
          <w:szCs w:val="21"/>
          <w:highlight w:val="none"/>
        </w:rPr>
        <w:t>个日历日。在投标有效期内，</w:t>
      </w:r>
      <w:r>
        <w:rPr>
          <w:rFonts w:hint="eastAsia" w:ascii="宋体" w:hAnsi="宋体" w:eastAsia="宋体"/>
          <w:color w:val="auto"/>
          <w:highlight w:val="none"/>
        </w:rPr>
        <w:t>投标人同意遵守本</w:t>
      </w:r>
      <w:r>
        <w:rPr>
          <w:rFonts w:hint="eastAsia" w:ascii="宋体" w:hAnsi="宋体" w:eastAsia="宋体"/>
          <w:color w:val="auto"/>
          <w:szCs w:val="21"/>
          <w:highlight w:val="none"/>
        </w:rPr>
        <w:t>投标</w:t>
      </w:r>
      <w:r>
        <w:rPr>
          <w:rFonts w:hint="eastAsia" w:ascii="宋体" w:hAnsi="宋体" w:eastAsia="宋体"/>
          <w:color w:val="auto"/>
          <w:highlight w:val="none"/>
        </w:rPr>
        <w:t>文件中的承诺且在此期限期满之前</w:t>
      </w:r>
      <w:r>
        <w:rPr>
          <w:rFonts w:hint="eastAsia" w:ascii="宋体" w:hAnsi="宋体" w:eastAsia="宋体"/>
          <w:color w:val="auto"/>
          <w:szCs w:val="21"/>
          <w:highlight w:val="none"/>
        </w:rPr>
        <w:t>投标</w:t>
      </w:r>
      <w:r>
        <w:rPr>
          <w:rFonts w:hint="eastAsia" w:ascii="宋体" w:hAnsi="宋体" w:eastAsia="宋体"/>
          <w:color w:val="auto"/>
          <w:highlight w:val="none"/>
        </w:rPr>
        <w:t>文件</w:t>
      </w:r>
      <w:r>
        <w:rPr>
          <w:rFonts w:hint="eastAsia" w:ascii="宋体" w:hAnsi="宋体" w:eastAsia="宋体"/>
          <w:color w:val="auto"/>
          <w:szCs w:val="21"/>
          <w:highlight w:val="none"/>
        </w:rPr>
        <w:t>对我方具有法律约束力</w:t>
      </w:r>
      <w:r>
        <w:rPr>
          <w:rFonts w:hint="eastAsia" w:ascii="宋体" w:hAnsi="宋体" w:eastAsia="宋体"/>
          <w:color w:val="auto"/>
          <w:highlight w:val="none"/>
        </w:rPr>
        <w:t>。</w:t>
      </w:r>
    </w:p>
    <w:p w14:paraId="214E2A24">
      <w:pPr>
        <w:adjustRightInd w:val="0"/>
        <w:snapToGrid w:val="0"/>
        <w:spacing w:before="156" w:beforeLines="50" w:line="360" w:lineRule="auto"/>
        <w:ind w:firstLine="420" w:firstLineChars="200"/>
        <w:rPr>
          <w:rFonts w:ascii="宋体" w:hAnsi="宋体" w:eastAsia="宋体"/>
          <w:color w:val="auto"/>
          <w:highlight w:val="none"/>
        </w:rPr>
      </w:pPr>
      <w:r>
        <w:rPr>
          <w:rFonts w:hint="eastAsia" w:ascii="宋体" w:hAnsi="宋体" w:eastAsia="宋体"/>
          <w:color w:val="auto"/>
          <w:highlight w:val="none"/>
        </w:rPr>
        <w:t>5、</w:t>
      </w:r>
      <w:r>
        <w:rPr>
          <w:rFonts w:hint="eastAsia" w:ascii="宋体" w:hAnsi="宋体" w:eastAsia="宋体"/>
          <w:color w:val="auto"/>
          <w:szCs w:val="21"/>
          <w:highlight w:val="none"/>
        </w:rPr>
        <w:t>同意提供贵方可能要求的与其投标有关的一切数据或资料。</w:t>
      </w:r>
    </w:p>
    <w:p w14:paraId="51C23A70">
      <w:pPr>
        <w:adjustRightInd w:val="0"/>
        <w:snapToGrid w:val="0"/>
        <w:spacing w:before="156" w:beforeLines="50" w:line="360" w:lineRule="auto"/>
        <w:ind w:firstLine="420" w:firstLineChars="200"/>
        <w:rPr>
          <w:rFonts w:ascii="宋体" w:hAnsi="宋体" w:eastAsia="宋体"/>
          <w:color w:val="auto"/>
          <w:szCs w:val="21"/>
          <w:highlight w:val="none"/>
        </w:rPr>
      </w:pPr>
      <w:r>
        <w:rPr>
          <w:rFonts w:hint="eastAsia" w:ascii="宋体" w:hAnsi="宋体" w:eastAsia="宋体"/>
          <w:color w:val="auto"/>
          <w:szCs w:val="21"/>
          <w:highlight w:val="none"/>
        </w:rPr>
        <w:t>6、与本投标有关的一切正式往来信函请寄：</w:t>
      </w:r>
    </w:p>
    <w:p w14:paraId="4BF016AD">
      <w:pPr>
        <w:adjustRightInd w:val="0"/>
        <w:snapToGrid w:val="0"/>
        <w:spacing w:before="156" w:beforeLines="50" w:line="360" w:lineRule="auto"/>
        <w:ind w:firstLine="420" w:firstLineChars="200"/>
        <w:rPr>
          <w:rFonts w:ascii="宋体" w:hAnsi="宋体" w:eastAsia="宋体"/>
          <w:color w:val="auto"/>
          <w:szCs w:val="21"/>
          <w:highlight w:val="none"/>
        </w:rPr>
      </w:pPr>
      <w:r>
        <w:rPr>
          <w:rFonts w:hint="eastAsia" w:ascii="宋体" w:hAnsi="宋体" w:eastAsia="宋体"/>
          <w:color w:val="auto"/>
          <w:szCs w:val="21"/>
          <w:highlight w:val="none"/>
        </w:rPr>
        <w:t>地址：</w:t>
      </w:r>
      <w:r>
        <w:rPr>
          <w:rFonts w:hint="eastAsia" w:ascii="宋体" w:hAnsi="宋体" w:eastAsia="宋体"/>
          <w:color w:val="auto"/>
          <w:szCs w:val="21"/>
          <w:highlight w:val="none"/>
          <w:u w:val="single"/>
        </w:rPr>
        <w:t xml:space="preserve">    </w:t>
      </w:r>
      <w:r>
        <w:rPr>
          <w:rFonts w:hint="eastAsia" w:ascii="宋体" w:hAnsi="宋体" w:eastAsia="宋体"/>
          <w:color w:val="auto"/>
          <w:szCs w:val="21"/>
          <w:highlight w:val="none"/>
        </w:rPr>
        <w:t>；邮编：</w:t>
      </w:r>
      <w:r>
        <w:rPr>
          <w:rFonts w:hint="eastAsia" w:ascii="宋体" w:hAnsi="宋体" w:eastAsia="宋体"/>
          <w:color w:val="auto"/>
          <w:szCs w:val="21"/>
          <w:highlight w:val="none"/>
          <w:u w:val="single"/>
        </w:rPr>
        <w:t xml:space="preserve">     </w:t>
      </w:r>
      <w:r>
        <w:rPr>
          <w:rFonts w:hint="eastAsia" w:ascii="宋体" w:hAnsi="宋体" w:eastAsia="宋体"/>
          <w:color w:val="auto"/>
          <w:szCs w:val="21"/>
          <w:highlight w:val="none"/>
        </w:rPr>
        <w:t xml:space="preserve"> ；电话：</w:t>
      </w:r>
      <w:r>
        <w:rPr>
          <w:rFonts w:hint="eastAsia" w:ascii="宋体" w:hAnsi="宋体" w:eastAsia="宋体"/>
          <w:color w:val="auto"/>
          <w:szCs w:val="21"/>
          <w:highlight w:val="none"/>
          <w:u w:val="single"/>
        </w:rPr>
        <w:t xml:space="preserve">      </w:t>
      </w:r>
      <w:r>
        <w:rPr>
          <w:rFonts w:hint="eastAsia" w:ascii="宋体" w:hAnsi="宋体" w:eastAsia="宋体"/>
          <w:color w:val="auto"/>
          <w:szCs w:val="21"/>
          <w:highlight w:val="none"/>
        </w:rPr>
        <w:t>；电子邮箱：</w:t>
      </w:r>
      <w:r>
        <w:rPr>
          <w:rFonts w:hint="eastAsia" w:ascii="宋体" w:hAnsi="宋体" w:eastAsia="宋体"/>
          <w:color w:val="auto"/>
          <w:szCs w:val="21"/>
          <w:highlight w:val="none"/>
          <w:u w:val="single"/>
        </w:rPr>
        <w:t xml:space="preserve">        </w:t>
      </w:r>
      <w:r>
        <w:rPr>
          <w:rFonts w:hint="eastAsia" w:ascii="宋体" w:hAnsi="宋体" w:eastAsia="宋体"/>
          <w:color w:val="auto"/>
          <w:szCs w:val="21"/>
          <w:highlight w:val="none"/>
        </w:rPr>
        <w:t xml:space="preserve"> 。</w:t>
      </w:r>
    </w:p>
    <w:p w14:paraId="4F189BF0">
      <w:pPr>
        <w:adjustRightInd w:val="0"/>
        <w:snapToGrid w:val="0"/>
        <w:spacing w:before="156" w:beforeLines="50" w:line="360" w:lineRule="auto"/>
        <w:ind w:firstLine="420" w:firstLineChars="200"/>
        <w:rPr>
          <w:rFonts w:ascii="宋体" w:hAnsi="宋体" w:eastAsia="宋体"/>
          <w:color w:val="auto"/>
          <w:szCs w:val="21"/>
          <w:highlight w:val="none"/>
        </w:rPr>
      </w:pPr>
    </w:p>
    <w:p w14:paraId="3D01669F">
      <w:pPr>
        <w:pStyle w:val="13"/>
        <w:adjustRightInd w:val="0"/>
        <w:snapToGrid w:val="0"/>
        <w:spacing w:before="156" w:beforeLines="50" w:line="360" w:lineRule="auto"/>
        <w:rPr>
          <w:rFonts w:ascii="宋体" w:hAnsi="宋体" w:eastAsia="宋体"/>
          <w:color w:val="auto"/>
          <w:highlight w:val="none"/>
        </w:rPr>
      </w:pPr>
    </w:p>
    <w:p w14:paraId="214BBFBC">
      <w:pPr>
        <w:pStyle w:val="13"/>
        <w:adjustRightInd w:val="0"/>
        <w:snapToGrid w:val="0"/>
        <w:spacing w:before="156" w:beforeLines="50" w:line="360" w:lineRule="auto"/>
        <w:rPr>
          <w:rFonts w:ascii="宋体" w:hAnsi="宋体" w:eastAsia="宋体"/>
          <w:color w:val="auto"/>
          <w:highlight w:val="none"/>
        </w:rPr>
      </w:pPr>
      <w:r>
        <w:rPr>
          <w:rFonts w:hint="eastAsia" w:ascii="宋体" w:hAnsi="宋体" w:eastAsia="宋体"/>
          <w:color w:val="auto"/>
          <w:highlight w:val="none"/>
        </w:rPr>
        <w:t xml:space="preserve">投标人名称（盖单位章）：                       </w:t>
      </w:r>
    </w:p>
    <w:p w14:paraId="758E4390">
      <w:pPr>
        <w:adjustRightInd w:val="0"/>
        <w:snapToGrid w:val="0"/>
        <w:spacing w:before="156" w:beforeLines="50" w:line="360" w:lineRule="auto"/>
        <w:rPr>
          <w:rFonts w:ascii="宋体" w:hAnsi="宋体" w:eastAsia="宋体"/>
          <w:color w:val="auto"/>
          <w:szCs w:val="21"/>
          <w:highlight w:val="none"/>
          <w:u w:val="single"/>
        </w:rPr>
      </w:pPr>
      <w:r>
        <w:rPr>
          <w:rFonts w:hint="eastAsia" w:ascii="宋体" w:hAnsi="宋体" w:eastAsia="宋体" w:cs="微软雅黑"/>
          <w:color w:val="auto"/>
          <w:spacing w:val="-2"/>
          <w:kern w:val="0"/>
          <w:szCs w:val="21"/>
          <w:highlight w:val="none"/>
        </w:rPr>
        <w:t>法</w:t>
      </w:r>
      <w:r>
        <w:rPr>
          <w:rFonts w:hint="eastAsia" w:ascii="宋体" w:hAnsi="宋体" w:eastAsia="宋体" w:cs="微软雅黑"/>
          <w:color w:val="auto"/>
          <w:kern w:val="0"/>
          <w:szCs w:val="21"/>
          <w:highlight w:val="none"/>
        </w:rPr>
        <w:t>定</w:t>
      </w:r>
      <w:r>
        <w:rPr>
          <w:rFonts w:hint="eastAsia" w:ascii="宋体" w:hAnsi="宋体" w:eastAsia="宋体" w:cs="微软雅黑"/>
          <w:color w:val="auto"/>
          <w:spacing w:val="-2"/>
          <w:kern w:val="0"/>
          <w:szCs w:val="21"/>
          <w:highlight w:val="none"/>
        </w:rPr>
        <w:t>代</w:t>
      </w:r>
      <w:r>
        <w:rPr>
          <w:rFonts w:hint="eastAsia" w:ascii="宋体" w:hAnsi="宋体" w:eastAsia="宋体" w:cs="微软雅黑"/>
          <w:color w:val="auto"/>
          <w:kern w:val="0"/>
          <w:szCs w:val="21"/>
          <w:highlight w:val="none"/>
        </w:rPr>
        <w:t>表</w:t>
      </w:r>
      <w:r>
        <w:rPr>
          <w:rFonts w:hint="eastAsia" w:ascii="宋体" w:hAnsi="宋体" w:eastAsia="宋体" w:cs="微软雅黑"/>
          <w:color w:val="auto"/>
          <w:spacing w:val="-2"/>
          <w:kern w:val="0"/>
          <w:szCs w:val="21"/>
          <w:highlight w:val="none"/>
        </w:rPr>
        <w:t>人</w:t>
      </w:r>
      <w:r>
        <w:rPr>
          <w:rFonts w:hint="eastAsia" w:ascii="宋体" w:hAnsi="宋体" w:eastAsia="宋体" w:cs="微软雅黑"/>
          <w:color w:val="auto"/>
          <w:kern w:val="0"/>
          <w:szCs w:val="21"/>
          <w:highlight w:val="none"/>
        </w:rPr>
        <w:t>（</w:t>
      </w:r>
      <w:r>
        <w:rPr>
          <w:rFonts w:hint="eastAsia" w:ascii="宋体" w:hAnsi="宋体" w:eastAsia="宋体" w:cs="微软雅黑"/>
          <w:color w:val="auto"/>
          <w:spacing w:val="-2"/>
          <w:kern w:val="0"/>
          <w:szCs w:val="21"/>
          <w:highlight w:val="none"/>
        </w:rPr>
        <w:t>单</w:t>
      </w:r>
      <w:r>
        <w:rPr>
          <w:rFonts w:hint="eastAsia" w:ascii="宋体" w:hAnsi="宋体" w:eastAsia="宋体" w:cs="微软雅黑"/>
          <w:color w:val="auto"/>
          <w:kern w:val="0"/>
          <w:szCs w:val="21"/>
          <w:highlight w:val="none"/>
        </w:rPr>
        <w:t>位</w:t>
      </w:r>
      <w:r>
        <w:rPr>
          <w:rFonts w:hint="eastAsia" w:ascii="宋体" w:hAnsi="宋体" w:eastAsia="宋体" w:cs="微软雅黑"/>
          <w:color w:val="auto"/>
          <w:spacing w:val="-2"/>
          <w:kern w:val="0"/>
          <w:szCs w:val="21"/>
          <w:highlight w:val="none"/>
        </w:rPr>
        <w:t>负</w:t>
      </w:r>
      <w:r>
        <w:rPr>
          <w:rFonts w:hint="eastAsia" w:ascii="宋体" w:hAnsi="宋体" w:eastAsia="宋体" w:cs="微软雅黑"/>
          <w:color w:val="auto"/>
          <w:kern w:val="0"/>
          <w:szCs w:val="21"/>
          <w:highlight w:val="none"/>
        </w:rPr>
        <w:t>责人</w:t>
      </w:r>
      <w:r>
        <w:rPr>
          <w:rFonts w:hint="eastAsia" w:ascii="宋体" w:hAnsi="宋体" w:eastAsia="宋体" w:cs="微软雅黑"/>
          <w:color w:val="auto"/>
          <w:spacing w:val="-2"/>
          <w:kern w:val="0"/>
          <w:szCs w:val="21"/>
          <w:highlight w:val="none"/>
        </w:rPr>
        <w:t>）</w:t>
      </w:r>
      <w:r>
        <w:rPr>
          <w:rFonts w:hint="eastAsia" w:ascii="宋体" w:hAnsi="宋体" w:eastAsia="宋体"/>
          <w:color w:val="auto"/>
          <w:szCs w:val="21"/>
          <w:highlight w:val="none"/>
        </w:rPr>
        <w:t>或其授权的代理人（签字或印章）：</w:t>
      </w:r>
      <w:r>
        <w:rPr>
          <w:rFonts w:hint="eastAsia" w:ascii="宋体" w:hAnsi="宋体" w:eastAsia="宋体"/>
          <w:color w:val="auto"/>
          <w:szCs w:val="21"/>
          <w:highlight w:val="none"/>
          <w:u w:val="single"/>
        </w:rPr>
        <w:t xml:space="preserve">               </w:t>
      </w:r>
    </w:p>
    <w:p w14:paraId="4465913B">
      <w:pPr>
        <w:adjustRightInd w:val="0"/>
        <w:snapToGrid w:val="0"/>
        <w:spacing w:before="156" w:beforeLines="50" w:line="120" w:lineRule="auto"/>
        <w:rPr>
          <w:rFonts w:ascii="黑体" w:hAnsi="宋体" w:eastAsia="黑体"/>
          <w:b/>
          <w:bCs/>
          <w:color w:val="auto"/>
          <w:sz w:val="28"/>
          <w:szCs w:val="28"/>
          <w:highlight w:val="none"/>
        </w:rPr>
      </w:pPr>
      <w:r>
        <w:rPr>
          <w:rFonts w:hint="eastAsia" w:ascii="宋体" w:hAnsi="宋体" w:eastAsia="宋体"/>
          <w:color w:val="auto"/>
          <w:szCs w:val="21"/>
          <w:highlight w:val="none"/>
        </w:rPr>
        <w:t>日期：</w:t>
      </w:r>
      <w:r>
        <w:rPr>
          <w:rFonts w:hint="eastAsia" w:ascii="宋体" w:hAnsi="宋体" w:eastAsia="宋体"/>
          <w:color w:val="auto"/>
          <w:szCs w:val="21"/>
          <w:highlight w:val="none"/>
          <w:u w:val="single"/>
        </w:rPr>
        <w:t xml:space="preserve">               </w:t>
      </w:r>
      <w:r>
        <w:rPr>
          <w:rFonts w:hint="eastAsia" w:ascii="宋体" w:hAnsi="宋体" w:eastAsia="宋体"/>
          <w:color w:val="auto"/>
          <w:szCs w:val="21"/>
          <w:highlight w:val="none"/>
        </w:rPr>
        <w:t>年</w:t>
      </w:r>
      <w:r>
        <w:rPr>
          <w:rFonts w:hint="eastAsia" w:ascii="宋体" w:hAnsi="宋体" w:eastAsia="宋体"/>
          <w:color w:val="auto"/>
          <w:szCs w:val="21"/>
          <w:highlight w:val="none"/>
          <w:u w:val="single"/>
        </w:rPr>
        <w:t xml:space="preserve">      </w:t>
      </w:r>
      <w:r>
        <w:rPr>
          <w:rFonts w:hint="eastAsia" w:ascii="宋体" w:hAnsi="宋体" w:eastAsia="宋体"/>
          <w:color w:val="auto"/>
          <w:szCs w:val="21"/>
          <w:highlight w:val="none"/>
        </w:rPr>
        <w:t>月</w:t>
      </w:r>
      <w:r>
        <w:rPr>
          <w:rFonts w:hint="eastAsia" w:ascii="宋体" w:hAnsi="宋体" w:eastAsia="宋体"/>
          <w:color w:val="auto"/>
          <w:szCs w:val="21"/>
          <w:highlight w:val="none"/>
          <w:u w:val="single"/>
        </w:rPr>
        <w:t xml:space="preserve">     </w:t>
      </w:r>
      <w:r>
        <w:rPr>
          <w:rFonts w:hint="eastAsia" w:ascii="宋体" w:hAnsi="宋体" w:eastAsia="宋体"/>
          <w:color w:val="auto"/>
          <w:szCs w:val="21"/>
          <w:highlight w:val="none"/>
        </w:rPr>
        <w:t>日</w:t>
      </w:r>
      <w:r>
        <w:rPr>
          <w:rFonts w:ascii="黑体" w:hAnsi="宋体" w:eastAsia="黑体"/>
          <w:b/>
          <w:bCs/>
          <w:color w:val="auto"/>
          <w:sz w:val="28"/>
          <w:szCs w:val="28"/>
          <w:highlight w:val="none"/>
        </w:rPr>
        <w:br w:type="page"/>
      </w:r>
    </w:p>
    <w:p w14:paraId="09B359D6">
      <w:pPr>
        <w:pStyle w:val="4"/>
        <w:adjustRightInd w:val="0"/>
        <w:snapToGrid w:val="0"/>
        <w:spacing w:before="0" w:after="0" w:line="360" w:lineRule="auto"/>
        <w:jc w:val="center"/>
        <w:rPr>
          <w:rFonts w:ascii="黑体" w:hAnsi="宋体" w:eastAsia="黑体"/>
          <w:color w:val="auto"/>
          <w:sz w:val="28"/>
          <w:szCs w:val="28"/>
          <w:highlight w:val="none"/>
        </w:rPr>
      </w:pPr>
      <w:bookmarkStart w:id="136" w:name="_Toc23109"/>
      <w:bookmarkStart w:id="137" w:name="_Toc21900"/>
      <w:r>
        <w:rPr>
          <w:rFonts w:hint="eastAsia" w:ascii="黑体" w:hAnsi="宋体" w:eastAsia="黑体"/>
          <w:color w:val="auto"/>
          <w:sz w:val="28"/>
          <w:szCs w:val="28"/>
          <w:highlight w:val="none"/>
        </w:rPr>
        <w:t>六、分项报价</w:t>
      </w:r>
      <w:bookmarkEnd w:id="136"/>
      <w:bookmarkEnd w:id="137"/>
    </w:p>
    <w:p w14:paraId="58B0A887">
      <w:pPr>
        <w:pStyle w:val="5"/>
        <w:jc w:val="left"/>
        <w:rPr>
          <w:rFonts w:ascii="黑体" w:hAnsi="宋体" w:cs="微软雅黑"/>
          <w:b w:val="0"/>
          <w:color w:val="auto"/>
          <w:kern w:val="0"/>
          <w:sz w:val="21"/>
          <w:szCs w:val="21"/>
          <w:highlight w:val="none"/>
        </w:rPr>
      </w:pPr>
      <w:bookmarkStart w:id="138" w:name="_Toc19920"/>
      <w:bookmarkStart w:id="139" w:name="_Toc6929"/>
      <w:bookmarkStart w:id="140" w:name="_Toc4027"/>
      <w:r>
        <w:rPr>
          <w:rFonts w:hint="eastAsia" w:ascii="黑体" w:hAnsi="华文中宋" w:cs="宋体"/>
          <w:b w:val="0"/>
          <w:bCs w:val="0"/>
          <w:color w:val="auto"/>
          <w:spacing w:val="6"/>
          <w:kern w:val="0"/>
          <w:sz w:val="21"/>
          <w:szCs w:val="21"/>
          <w:highlight w:val="none"/>
        </w:rPr>
        <w:t xml:space="preserve">附件6-1 </w:t>
      </w:r>
      <w:r>
        <w:rPr>
          <w:rFonts w:hint="eastAsia" w:ascii="黑体" w:hAnsi="宋体" w:cs="微软雅黑"/>
          <w:b w:val="0"/>
          <w:color w:val="auto"/>
          <w:spacing w:val="-2"/>
          <w:kern w:val="0"/>
          <w:sz w:val="21"/>
          <w:szCs w:val="21"/>
          <w:highlight w:val="none"/>
        </w:rPr>
        <w:t>分</w:t>
      </w:r>
      <w:r>
        <w:rPr>
          <w:rFonts w:hint="eastAsia" w:ascii="黑体" w:hAnsi="宋体" w:cs="微软雅黑"/>
          <w:b w:val="0"/>
          <w:color w:val="auto"/>
          <w:kern w:val="0"/>
          <w:sz w:val="21"/>
          <w:szCs w:val="21"/>
          <w:highlight w:val="none"/>
        </w:rPr>
        <w:t>项</w:t>
      </w:r>
      <w:r>
        <w:rPr>
          <w:rFonts w:hint="eastAsia" w:ascii="黑体" w:hAnsi="宋体" w:cs="微软雅黑"/>
          <w:b w:val="0"/>
          <w:color w:val="auto"/>
          <w:spacing w:val="-2"/>
          <w:kern w:val="0"/>
          <w:sz w:val="21"/>
          <w:szCs w:val="21"/>
          <w:highlight w:val="none"/>
        </w:rPr>
        <w:t>报</w:t>
      </w:r>
      <w:r>
        <w:rPr>
          <w:rFonts w:hint="eastAsia" w:ascii="黑体" w:hAnsi="宋体" w:cs="微软雅黑"/>
          <w:b w:val="0"/>
          <w:color w:val="auto"/>
          <w:kern w:val="0"/>
          <w:sz w:val="21"/>
          <w:szCs w:val="21"/>
          <w:highlight w:val="none"/>
        </w:rPr>
        <w:t>价说明</w:t>
      </w:r>
      <w:bookmarkEnd w:id="138"/>
      <w:bookmarkEnd w:id="139"/>
      <w:bookmarkEnd w:id="140"/>
      <w:r>
        <w:rPr>
          <w:rFonts w:hint="eastAsia" w:ascii="黑体" w:hAnsi="宋体" w:cs="微软雅黑"/>
          <w:b w:val="0"/>
          <w:color w:val="auto"/>
          <w:kern w:val="0"/>
          <w:sz w:val="21"/>
          <w:szCs w:val="21"/>
          <w:highlight w:val="none"/>
        </w:rPr>
        <w:t xml:space="preserve">  </w:t>
      </w:r>
    </w:p>
    <w:p w14:paraId="40489372">
      <w:pPr>
        <w:autoSpaceDE w:val="0"/>
        <w:autoSpaceDN w:val="0"/>
        <w:adjustRightInd w:val="0"/>
        <w:snapToGrid w:val="0"/>
        <w:spacing w:line="360" w:lineRule="auto"/>
        <w:jc w:val="center"/>
        <w:rPr>
          <w:rFonts w:ascii="黑体" w:hAnsi="宋体" w:eastAsia="黑体" w:cs="微软雅黑"/>
          <w:b/>
          <w:color w:val="auto"/>
          <w:kern w:val="0"/>
          <w:sz w:val="28"/>
          <w:szCs w:val="28"/>
          <w:highlight w:val="none"/>
        </w:rPr>
      </w:pPr>
      <w:r>
        <w:rPr>
          <w:rFonts w:hint="eastAsia" w:ascii="黑体" w:hAnsi="宋体" w:eastAsia="黑体" w:cs="微软雅黑"/>
          <w:b/>
          <w:color w:val="auto"/>
          <w:spacing w:val="-2"/>
          <w:kern w:val="0"/>
          <w:sz w:val="28"/>
          <w:szCs w:val="28"/>
          <w:highlight w:val="none"/>
        </w:rPr>
        <w:t>分</w:t>
      </w:r>
      <w:r>
        <w:rPr>
          <w:rFonts w:hint="eastAsia" w:ascii="黑体" w:hAnsi="宋体" w:eastAsia="黑体" w:cs="微软雅黑"/>
          <w:b/>
          <w:color w:val="auto"/>
          <w:kern w:val="0"/>
          <w:sz w:val="28"/>
          <w:szCs w:val="28"/>
          <w:highlight w:val="none"/>
        </w:rPr>
        <w:t>项</w:t>
      </w:r>
      <w:r>
        <w:rPr>
          <w:rFonts w:hint="eastAsia" w:ascii="黑体" w:hAnsi="宋体" w:eastAsia="黑体" w:cs="微软雅黑"/>
          <w:b/>
          <w:color w:val="auto"/>
          <w:spacing w:val="-2"/>
          <w:kern w:val="0"/>
          <w:sz w:val="28"/>
          <w:szCs w:val="28"/>
          <w:highlight w:val="none"/>
        </w:rPr>
        <w:t>报</w:t>
      </w:r>
      <w:r>
        <w:rPr>
          <w:rFonts w:hint="eastAsia" w:ascii="黑体" w:hAnsi="宋体" w:eastAsia="黑体" w:cs="微软雅黑"/>
          <w:b/>
          <w:color w:val="auto"/>
          <w:kern w:val="0"/>
          <w:sz w:val="28"/>
          <w:szCs w:val="28"/>
          <w:highlight w:val="none"/>
        </w:rPr>
        <w:t>价说明</w:t>
      </w:r>
    </w:p>
    <w:p w14:paraId="2F61A532">
      <w:pPr>
        <w:autoSpaceDE w:val="0"/>
        <w:autoSpaceDN w:val="0"/>
        <w:adjustRightInd w:val="0"/>
        <w:snapToGrid w:val="0"/>
        <w:spacing w:line="360" w:lineRule="auto"/>
        <w:jc w:val="left"/>
        <w:rPr>
          <w:rFonts w:ascii="宋体" w:hAnsi="宋体" w:eastAsia="宋体" w:cs="微软雅黑"/>
          <w:color w:val="auto"/>
          <w:kern w:val="0"/>
          <w:szCs w:val="21"/>
          <w:highlight w:val="none"/>
        </w:rPr>
      </w:pPr>
      <w:r>
        <w:rPr>
          <w:rFonts w:hint="eastAsia" w:ascii="宋体" w:hAnsi="宋体" w:eastAsia="宋体" w:cs="微软雅黑"/>
          <w:color w:val="auto"/>
          <w:kern w:val="0"/>
          <w:szCs w:val="21"/>
          <w:highlight w:val="none"/>
        </w:rPr>
        <w:t>备注：投标人应按招标文件第二章相关要求，对本节</w:t>
      </w:r>
      <w:r>
        <w:rPr>
          <w:rFonts w:hint="eastAsia" w:ascii="宋体" w:hAnsi="宋体" w:eastAsia="宋体"/>
          <w:bCs/>
          <w:color w:val="auto"/>
          <w:szCs w:val="21"/>
          <w:highlight w:val="none"/>
        </w:rPr>
        <w:t>“</w:t>
      </w:r>
      <w:r>
        <w:rPr>
          <w:rFonts w:hint="eastAsia" w:ascii="宋体" w:hAnsi="宋体" w:eastAsia="宋体" w:cs="微软雅黑"/>
          <w:color w:val="auto"/>
          <w:kern w:val="0"/>
          <w:szCs w:val="21"/>
          <w:highlight w:val="none"/>
        </w:rPr>
        <w:t>分项报价明细表</w:t>
      </w:r>
      <w:r>
        <w:rPr>
          <w:rFonts w:hint="eastAsia" w:ascii="宋体" w:hAnsi="宋体" w:eastAsia="宋体"/>
          <w:bCs/>
          <w:color w:val="auto"/>
          <w:szCs w:val="21"/>
          <w:highlight w:val="none"/>
        </w:rPr>
        <w:t>”进行</w:t>
      </w:r>
      <w:r>
        <w:rPr>
          <w:rFonts w:hint="eastAsia" w:ascii="宋体" w:hAnsi="宋体" w:eastAsia="宋体" w:cs="微软雅黑"/>
          <w:color w:val="auto"/>
          <w:kern w:val="0"/>
          <w:szCs w:val="21"/>
          <w:highlight w:val="none"/>
        </w:rPr>
        <w:t>编制，并说明。</w:t>
      </w:r>
    </w:p>
    <w:p w14:paraId="61BF2678">
      <w:pPr>
        <w:rPr>
          <w:color w:val="auto"/>
          <w:highlight w:val="none"/>
        </w:rPr>
      </w:pPr>
    </w:p>
    <w:p w14:paraId="5289BB6E">
      <w:pPr>
        <w:pStyle w:val="5"/>
        <w:jc w:val="left"/>
        <w:rPr>
          <w:rFonts w:ascii="黑体" w:hAnsi="宋体" w:cs="微软雅黑"/>
          <w:b w:val="0"/>
          <w:color w:val="auto"/>
          <w:kern w:val="0"/>
          <w:sz w:val="21"/>
          <w:szCs w:val="21"/>
          <w:highlight w:val="none"/>
        </w:rPr>
      </w:pPr>
      <w:bookmarkStart w:id="141" w:name="_Toc27783"/>
      <w:bookmarkStart w:id="142" w:name="_Toc21982"/>
      <w:bookmarkStart w:id="143" w:name="_Toc2189"/>
      <w:r>
        <w:rPr>
          <w:rFonts w:hint="eastAsia" w:ascii="黑体" w:hAnsi="华文中宋" w:cs="宋体"/>
          <w:b w:val="0"/>
          <w:bCs w:val="0"/>
          <w:color w:val="auto"/>
          <w:spacing w:val="6"/>
          <w:kern w:val="0"/>
          <w:sz w:val="21"/>
          <w:szCs w:val="21"/>
          <w:highlight w:val="none"/>
        </w:rPr>
        <w:t xml:space="preserve">附件6-2 </w:t>
      </w:r>
      <w:r>
        <w:rPr>
          <w:rFonts w:hint="eastAsia" w:ascii="黑体" w:hAnsi="宋体" w:cs="微软雅黑"/>
          <w:b w:val="0"/>
          <w:color w:val="auto"/>
          <w:spacing w:val="-2"/>
          <w:kern w:val="0"/>
          <w:position w:val="-3"/>
          <w:sz w:val="21"/>
          <w:szCs w:val="21"/>
          <w:highlight w:val="none"/>
        </w:rPr>
        <w:t>分</w:t>
      </w:r>
      <w:r>
        <w:rPr>
          <w:rFonts w:hint="eastAsia" w:ascii="黑体" w:hAnsi="宋体" w:cs="微软雅黑"/>
          <w:b w:val="0"/>
          <w:color w:val="auto"/>
          <w:kern w:val="0"/>
          <w:position w:val="-3"/>
          <w:sz w:val="21"/>
          <w:szCs w:val="21"/>
          <w:highlight w:val="none"/>
        </w:rPr>
        <w:t>项</w:t>
      </w:r>
      <w:r>
        <w:rPr>
          <w:rFonts w:hint="eastAsia" w:ascii="黑体" w:hAnsi="宋体" w:cs="微软雅黑"/>
          <w:b w:val="0"/>
          <w:color w:val="auto"/>
          <w:spacing w:val="-2"/>
          <w:kern w:val="0"/>
          <w:position w:val="-3"/>
          <w:sz w:val="21"/>
          <w:szCs w:val="21"/>
          <w:highlight w:val="none"/>
        </w:rPr>
        <w:t>报</w:t>
      </w:r>
      <w:r>
        <w:rPr>
          <w:rFonts w:hint="eastAsia" w:ascii="黑体" w:hAnsi="宋体" w:cs="微软雅黑"/>
          <w:b w:val="0"/>
          <w:color w:val="auto"/>
          <w:kern w:val="0"/>
          <w:position w:val="-3"/>
          <w:sz w:val="21"/>
          <w:szCs w:val="21"/>
          <w:highlight w:val="none"/>
        </w:rPr>
        <w:t>价明细表</w:t>
      </w:r>
      <w:bookmarkEnd w:id="141"/>
      <w:bookmarkEnd w:id="142"/>
      <w:bookmarkEnd w:id="143"/>
    </w:p>
    <w:p w14:paraId="39DA29C2">
      <w:pPr>
        <w:adjustRightInd w:val="0"/>
        <w:snapToGrid w:val="0"/>
        <w:spacing w:line="360" w:lineRule="auto"/>
        <w:jc w:val="center"/>
        <w:rPr>
          <w:rFonts w:ascii="黑体" w:hAnsi="宋体" w:eastAsia="黑体" w:cs="微软雅黑"/>
          <w:b/>
          <w:color w:val="auto"/>
          <w:kern w:val="0"/>
          <w:position w:val="-3"/>
          <w:sz w:val="28"/>
          <w:szCs w:val="28"/>
          <w:highlight w:val="none"/>
        </w:rPr>
      </w:pPr>
      <w:r>
        <w:rPr>
          <w:rFonts w:hint="eastAsia" w:ascii="黑体" w:hAnsi="宋体" w:eastAsia="黑体" w:cs="微软雅黑"/>
          <w:b/>
          <w:color w:val="auto"/>
          <w:spacing w:val="-2"/>
          <w:kern w:val="0"/>
          <w:position w:val="-3"/>
          <w:sz w:val="28"/>
          <w:szCs w:val="28"/>
          <w:highlight w:val="none"/>
        </w:rPr>
        <w:t>分</w:t>
      </w:r>
      <w:r>
        <w:rPr>
          <w:rFonts w:hint="eastAsia" w:ascii="黑体" w:hAnsi="宋体" w:eastAsia="黑体" w:cs="微软雅黑"/>
          <w:b/>
          <w:color w:val="auto"/>
          <w:kern w:val="0"/>
          <w:position w:val="-3"/>
          <w:sz w:val="28"/>
          <w:szCs w:val="28"/>
          <w:highlight w:val="none"/>
        </w:rPr>
        <w:t>项</w:t>
      </w:r>
      <w:r>
        <w:rPr>
          <w:rFonts w:hint="eastAsia" w:ascii="黑体" w:hAnsi="宋体" w:eastAsia="黑体" w:cs="微软雅黑"/>
          <w:b/>
          <w:color w:val="auto"/>
          <w:spacing w:val="-2"/>
          <w:kern w:val="0"/>
          <w:position w:val="-3"/>
          <w:sz w:val="28"/>
          <w:szCs w:val="28"/>
          <w:highlight w:val="none"/>
        </w:rPr>
        <w:t>报</w:t>
      </w:r>
      <w:r>
        <w:rPr>
          <w:rFonts w:hint="eastAsia" w:ascii="黑体" w:hAnsi="宋体" w:eastAsia="黑体" w:cs="微软雅黑"/>
          <w:b/>
          <w:color w:val="auto"/>
          <w:kern w:val="0"/>
          <w:position w:val="-3"/>
          <w:sz w:val="28"/>
          <w:szCs w:val="28"/>
          <w:highlight w:val="none"/>
        </w:rPr>
        <w:t>价明细表</w:t>
      </w:r>
    </w:p>
    <w:p w14:paraId="1691AE4B">
      <w:pPr>
        <w:adjustRightInd w:val="0"/>
        <w:snapToGrid w:val="0"/>
        <w:spacing w:line="360" w:lineRule="auto"/>
        <w:rPr>
          <w:rFonts w:ascii="宋体" w:hAnsi="宋体" w:eastAsia="宋体"/>
          <w:color w:val="auto"/>
          <w:szCs w:val="21"/>
          <w:highlight w:val="none"/>
        </w:rPr>
      </w:pPr>
      <w:r>
        <w:rPr>
          <w:rFonts w:hint="eastAsia" w:ascii="宋体" w:hAnsi="宋体"/>
          <w:color w:val="auto"/>
          <w:szCs w:val="21"/>
          <w:highlight w:val="none"/>
          <w:lang w:eastAsia="zh-CN"/>
        </w:rPr>
        <w:t>政府采购计划编号</w:t>
      </w:r>
      <w:r>
        <w:rPr>
          <w:rFonts w:hint="eastAsia" w:ascii="宋体" w:hAnsi="宋体" w:eastAsia="宋体"/>
          <w:color w:val="auto"/>
          <w:szCs w:val="21"/>
          <w:highlight w:val="none"/>
        </w:rPr>
        <w:t>：</w:t>
      </w:r>
      <w:r>
        <w:rPr>
          <w:rFonts w:hint="eastAsia" w:ascii="宋体" w:hAnsi="宋体" w:eastAsia="宋体"/>
          <w:color w:val="auto"/>
          <w:szCs w:val="21"/>
          <w:highlight w:val="none"/>
          <w:u w:val="single"/>
        </w:rPr>
        <w:t xml:space="preserve">               </w:t>
      </w:r>
      <w:r>
        <w:rPr>
          <w:rFonts w:hint="eastAsia" w:ascii="宋体" w:hAnsi="宋体" w:eastAsia="宋体"/>
          <w:color w:val="auto"/>
          <w:szCs w:val="21"/>
          <w:highlight w:val="none"/>
        </w:rPr>
        <w:t xml:space="preserve">                   项目名称：</w:t>
      </w:r>
      <w:r>
        <w:rPr>
          <w:rFonts w:hint="eastAsia" w:ascii="宋体" w:hAnsi="宋体" w:eastAsia="宋体"/>
          <w:color w:val="auto"/>
          <w:szCs w:val="21"/>
          <w:highlight w:val="none"/>
          <w:u w:val="single"/>
        </w:rPr>
        <w:t xml:space="preserve">                   </w:t>
      </w:r>
      <w:r>
        <w:rPr>
          <w:rFonts w:hint="eastAsia" w:ascii="宋体" w:hAnsi="宋体" w:eastAsia="宋体"/>
          <w:color w:val="auto"/>
          <w:szCs w:val="21"/>
          <w:highlight w:val="none"/>
        </w:rPr>
        <w:t xml:space="preserve"> </w:t>
      </w:r>
    </w:p>
    <w:p w14:paraId="61FD4719">
      <w:pPr>
        <w:adjustRightInd w:val="0"/>
        <w:snapToGrid w:val="0"/>
        <w:spacing w:line="360" w:lineRule="auto"/>
        <w:rPr>
          <w:rFonts w:ascii="宋体" w:hAnsi="宋体" w:eastAsia="宋体"/>
          <w:color w:val="auto"/>
          <w:szCs w:val="21"/>
          <w:highlight w:val="none"/>
        </w:rPr>
      </w:pPr>
      <w:r>
        <w:rPr>
          <w:rFonts w:hint="eastAsia" w:ascii="宋体" w:hAnsi="宋体" w:eastAsia="宋体"/>
          <w:color w:val="auto"/>
          <w:szCs w:val="21"/>
          <w:highlight w:val="none"/>
        </w:rPr>
        <w:t>包号：</w:t>
      </w:r>
      <w:r>
        <w:rPr>
          <w:rFonts w:hint="eastAsia" w:ascii="宋体" w:hAnsi="宋体" w:eastAsia="宋体"/>
          <w:color w:val="auto"/>
          <w:szCs w:val="21"/>
          <w:highlight w:val="none"/>
          <w:u w:val="single"/>
        </w:rPr>
        <w:t xml:space="preserve">                        </w:t>
      </w:r>
      <w:r>
        <w:rPr>
          <w:rFonts w:hint="eastAsia" w:ascii="宋体" w:hAnsi="宋体" w:eastAsia="宋体"/>
          <w:color w:val="auto"/>
          <w:szCs w:val="21"/>
          <w:highlight w:val="none"/>
        </w:rPr>
        <w:t xml:space="preserve">                      包名称：</w:t>
      </w:r>
      <w:r>
        <w:rPr>
          <w:rFonts w:hint="eastAsia" w:ascii="宋体" w:hAnsi="宋体" w:eastAsia="宋体"/>
          <w:color w:val="auto"/>
          <w:szCs w:val="21"/>
          <w:highlight w:val="none"/>
          <w:u w:val="single"/>
        </w:rPr>
        <w:t xml:space="preserve">                 </w:t>
      </w:r>
      <w:r>
        <w:rPr>
          <w:rFonts w:hint="eastAsia" w:ascii="宋体" w:hAnsi="宋体" w:eastAsia="宋体"/>
          <w:color w:val="auto"/>
          <w:szCs w:val="21"/>
          <w:highlight w:val="none"/>
        </w:rPr>
        <w:t xml:space="preserve"> </w:t>
      </w:r>
    </w:p>
    <w:tbl>
      <w:tblPr>
        <w:tblStyle w:val="25"/>
        <w:tblW w:w="0" w:type="auto"/>
        <w:tblInd w:w="0" w:type="dxa"/>
        <w:tblLayout w:type="fixed"/>
        <w:tblCellMar>
          <w:top w:w="0" w:type="dxa"/>
          <w:left w:w="0" w:type="dxa"/>
          <w:bottom w:w="0" w:type="dxa"/>
          <w:right w:w="0" w:type="dxa"/>
        </w:tblCellMar>
      </w:tblPr>
      <w:tblGrid>
        <w:gridCol w:w="333"/>
        <w:gridCol w:w="1383"/>
        <w:gridCol w:w="2126"/>
        <w:gridCol w:w="1200"/>
        <w:gridCol w:w="1092"/>
        <w:gridCol w:w="910"/>
        <w:gridCol w:w="916"/>
        <w:gridCol w:w="914"/>
      </w:tblGrid>
      <w:tr w14:paraId="08F61A2A">
        <w:tblPrEx>
          <w:tblCellMar>
            <w:top w:w="0" w:type="dxa"/>
            <w:left w:w="0" w:type="dxa"/>
            <w:bottom w:w="0" w:type="dxa"/>
            <w:right w:w="0" w:type="dxa"/>
          </w:tblCellMar>
        </w:tblPrEx>
        <w:trPr>
          <w:trHeight w:val="415" w:hRule="exact"/>
        </w:trPr>
        <w:tc>
          <w:tcPr>
            <w:tcW w:w="1716" w:type="dxa"/>
            <w:gridSpan w:val="2"/>
            <w:vMerge w:val="restart"/>
            <w:tcBorders>
              <w:top w:val="double" w:color="auto" w:sz="4" w:space="0"/>
              <w:left w:val="double" w:color="auto" w:sz="4" w:space="0"/>
              <w:right w:val="single" w:color="auto" w:sz="6" w:space="0"/>
            </w:tcBorders>
            <w:noWrap w:val="0"/>
            <w:vAlign w:val="center"/>
          </w:tcPr>
          <w:p w14:paraId="2E63B70A">
            <w:pPr>
              <w:autoSpaceDE w:val="0"/>
              <w:autoSpaceDN w:val="0"/>
              <w:adjustRightInd w:val="0"/>
              <w:snapToGrid w:val="0"/>
              <w:spacing w:line="360" w:lineRule="auto"/>
              <w:ind w:right="-20"/>
              <w:jc w:val="center"/>
              <w:rPr>
                <w:rFonts w:ascii="宋体" w:hAnsi="宋体" w:eastAsia="宋体" w:cs="微软雅黑"/>
                <w:color w:val="auto"/>
                <w:kern w:val="0"/>
                <w:position w:val="-1"/>
                <w:szCs w:val="21"/>
                <w:highlight w:val="none"/>
              </w:rPr>
            </w:pPr>
            <w:r>
              <w:rPr>
                <w:rFonts w:hint="eastAsia" w:ascii="宋体" w:hAnsi="宋体" w:eastAsia="宋体" w:cs="微软雅黑"/>
                <w:color w:val="auto"/>
                <w:kern w:val="0"/>
                <w:position w:val="-1"/>
                <w:szCs w:val="21"/>
                <w:highlight w:val="none"/>
              </w:rPr>
              <w:t>标的名称</w:t>
            </w:r>
          </w:p>
        </w:tc>
        <w:tc>
          <w:tcPr>
            <w:tcW w:w="2126" w:type="dxa"/>
            <w:vMerge w:val="restart"/>
            <w:tcBorders>
              <w:top w:val="double" w:color="auto" w:sz="4" w:space="0"/>
              <w:left w:val="single" w:color="auto" w:sz="6" w:space="0"/>
              <w:bottom w:val="single" w:color="auto" w:sz="6" w:space="0"/>
              <w:right w:val="single" w:color="auto" w:sz="4" w:space="0"/>
            </w:tcBorders>
            <w:noWrap w:val="0"/>
            <w:vAlign w:val="center"/>
          </w:tcPr>
          <w:p w14:paraId="68EB82DB">
            <w:pPr>
              <w:autoSpaceDE w:val="0"/>
              <w:autoSpaceDN w:val="0"/>
              <w:adjustRightInd w:val="0"/>
              <w:snapToGrid w:val="0"/>
              <w:spacing w:line="360" w:lineRule="auto"/>
              <w:ind w:right="-20"/>
              <w:jc w:val="center"/>
              <w:rPr>
                <w:rFonts w:ascii="宋体" w:hAnsi="宋体"/>
                <w:color w:val="auto"/>
                <w:szCs w:val="21"/>
                <w:highlight w:val="none"/>
              </w:rPr>
            </w:pPr>
            <w:r>
              <w:rPr>
                <w:rFonts w:hint="eastAsia" w:ascii="宋体" w:hAnsi="宋体"/>
                <w:color w:val="auto"/>
                <w:szCs w:val="21"/>
                <w:highlight w:val="none"/>
              </w:rPr>
              <w:t>规格型号</w:t>
            </w:r>
          </w:p>
          <w:p w14:paraId="005A17DC">
            <w:pPr>
              <w:autoSpaceDE w:val="0"/>
              <w:autoSpaceDN w:val="0"/>
              <w:adjustRightInd w:val="0"/>
              <w:snapToGrid w:val="0"/>
              <w:spacing w:line="360" w:lineRule="auto"/>
              <w:ind w:right="-20"/>
              <w:jc w:val="center"/>
              <w:rPr>
                <w:rFonts w:ascii="宋体" w:hAnsi="宋体"/>
                <w:color w:val="auto"/>
                <w:szCs w:val="21"/>
                <w:highlight w:val="none"/>
              </w:rPr>
            </w:pPr>
            <w:r>
              <w:rPr>
                <w:rFonts w:hint="eastAsia" w:ascii="宋体" w:hAnsi="宋体"/>
                <w:color w:val="auto"/>
                <w:szCs w:val="21"/>
                <w:highlight w:val="none"/>
              </w:rPr>
              <w:t>（或项目特征描述</w:t>
            </w:r>
            <w:r>
              <w:rPr>
                <w:rFonts w:ascii="宋体" w:hAnsi="宋体"/>
                <w:color w:val="auto"/>
                <w:szCs w:val="21"/>
                <w:highlight w:val="none"/>
              </w:rPr>
              <w:t>）</w:t>
            </w:r>
          </w:p>
        </w:tc>
        <w:tc>
          <w:tcPr>
            <w:tcW w:w="1200" w:type="dxa"/>
            <w:vMerge w:val="restart"/>
            <w:tcBorders>
              <w:top w:val="double" w:color="auto" w:sz="4" w:space="0"/>
              <w:left w:val="single" w:color="auto" w:sz="4" w:space="0"/>
              <w:bottom w:val="single" w:color="auto" w:sz="6" w:space="0"/>
              <w:right w:val="single" w:color="auto" w:sz="6" w:space="0"/>
            </w:tcBorders>
            <w:noWrap w:val="0"/>
            <w:vAlign w:val="center"/>
          </w:tcPr>
          <w:p w14:paraId="2C2AD1F5">
            <w:pPr>
              <w:autoSpaceDE w:val="0"/>
              <w:autoSpaceDN w:val="0"/>
              <w:adjustRightInd w:val="0"/>
              <w:snapToGrid w:val="0"/>
              <w:spacing w:line="360" w:lineRule="auto"/>
              <w:ind w:right="-20"/>
              <w:jc w:val="center"/>
              <w:rPr>
                <w:rFonts w:ascii="宋体" w:hAnsi="宋体"/>
                <w:color w:val="auto"/>
                <w:szCs w:val="21"/>
                <w:highlight w:val="none"/>
              </w:rPr>
            </w:pPr>
            <w:r>
              <w:rPr>
                <w:rFonts w:hint="eastAsia" w:ascii="宋体" w:hAnsi="宋体"/>
                <w:color w:val="auto"/>
                <w:szCs w:val="21"/>
                <w:highlight w:val="none"/>
              </w:rPr>
              <w:t>品牌/产地</w:t>
            </w:r>
          </w:p>
        </w:tc>
        <w:tc>
          <w:tcPr>
            <w:tcW w:w="1092" w:type="dxa"/>
            <w:vMerge w:val="restart"/>
            <w:tcBorders>
              <w:top w:val="double" w:color="auto" w:sz="4" w:space="0"/>
              <w:left w:val="single" w:color="auto" w:sz="6" w:space="0"/>
              <w:right w:val="single" w:color="auto" w:sz="4" w:space="0"/>
            </w:tcBorders>
            <w:noWrap w:val="0"/>
            <w:vAlign w:val="center"/>
          </w:tcPr>
          <w:p w14:paraId="52F1E3BF">
            <w:pPr>
              <w:autoSpaceDE w:val="0"/>
              <w:autoSpaceDN w:val="0"/>
              <w:adjustRightInd w:val="0"/>
              <w:snapToGrid w:val="0"/>
              <w:spacing w:line="360" w:lineRule="auto"/>
              <w:ind w:right="-20"/>
              <w:jc w:val="center"/>
              <w:rPr>
                <w:rFonts w:ascii="宋体" w:hAnsi="宋体" w:eastAsia="宋体" w:cs="微软雅黑"/>
                <w:color w:val="auto"/>
                <w:kern w:val="0"/>
                <w:position w:val="-1"/>
                <w:szCs w:val="21"/>
                <w:highlight w:val="none"/>
              </w:rPr>
            </w:pPr>
            <w:r>
              <w:rPr>
                <w:rFonts w:hint="eastAsia" w:ascii="宋体" w:hAnsi="宋体" w:eastAsia="宋体"/>
                <w:color w:val="auto"/>
                <w:kern w:val="0"/>
                <w:szCs w:val="21"/>
                <w:highlight w:val="none"/>
              </w:rPr>
              <w:t>数量/单位</w:t>
            </w:r>
          </w:p>
        </w:tc>
        <w:tc>
          <w:tcPr>
            <w:tcW w:w="1826" w:type="dxa"/>
            <w:gridSpan w:val="2"/>
            <w:tcBorders>
              <w:top w:val="double" w:color="auto" w:sz="4" w:space="0"/>
              <w:left w:val="single" w:color="auto" w:sz="4" w:space="0"/>
              <w:bottom w:val="single" w:color="auto" w:sz="6" w:space="0"/>
              <w:right w:val="single" w:color="auto" w:sz="6" w:space="0"/>
            </w:tcBorders>
            <w:noWrap w:val="0"/>
            <w:vAlign w:val="center"/>
          </w:tcPr>
          <w:p w14:paraId="49561B93">
            <w:pPr>
              <w:autoSpaceDE w:val="0"/>
              <w:autoSpaceDN w:val="0"/>
              <w:adjustRightInd w:val="0"/>
              <w:snapToGrid w:val="0"/>
              <w:spacing w:line="360" w:lineRule="auto"/>
              <w:ind w:right="-20"/>
              <w:jc w:val="center"/>
              <w:rPr>
                <w:rFonts w:ascii="宋体" w:hAnsi="宋体" w:eastAsia="宋体" w:cs="微软雅黑"/>
                <w:color w:val="auto"/>
                <w:kern w:val="0"/>
                <w:position w:val="-1"/>
                <w:szCs w:val="21"/>
                <w:highlight w:val="none"/>
              </w:rPr>
            </w:pPr>
            <w:r>
              <w:rPr>
                <w:rFonts w:hint="eastAsia" w:ascii="宋体" w:hAnsi="宋体" w:eastAsia="宋体" w:cs="微软雅黑"/>
                <w:color w:val="auto"/>
                <w:kern w:val="0"/>
                <w:position w:val="-1"/>
                <w:szCs w:val="21"/>
                <w:highlight w:val="none"/>
              </w:rPr>
              <w:t>金额（元）</w:t>
            </w:r>
          </w:p>
        </w:tc>
        <w:tc>
          <w:tcPr>
            <w:tcW w:w="914" w:type="dxa"/>
            <w:vMerge w:val="restart"/>
            <w:tcBorders>
              <w:top w:val="double" w:color="auto" w:sz="4" w:space="0"/>
              <w:left w:val="single" w:color="auto" w:sz="6" w:space="0"/>
              <w:bottom w:val="single" w:color="auto" w:sz="6" w:space="0"/>
              <w:right w:val="double" w:color="auto" w:sz="4" w:space="0"/>
            </w:tcBorders>
            <w:noWrap w:val="0"/>
            <w:vAlign w:val="center"/>
          </w:tcPr>
          <w:p w14:paraId="6119F91F">
            <w:pPr>
              <w:autoSpaceDE w:val="0"/>
              <w:autoSpaceDN w:val="0"/>
              <w:adjustRightInd w:val="0"/>
              <w:snapToGrid w:val="0"/>
              <w:spacing w:line="360" w:lineRule="auto"/>
              <w:ind w:right="-20"/>
              <w:jc w:val="center"/>
              <w:rPr>
                <w:rFonts w:ascii="宋体" w:hAnsi="宋体" w:eastAsia="宋体" w:cs="微软雅黑"/>
                <w:color w:val="auto"/>
                <w:kern w:val="0"/>
                <w:position w:val="-1"/>
                <w:szCs w:val="21"/>
                <w:highlight w:val="none"/>
              </w:rPr>
            </w:pPr>
            <w:r>
              <w:rPr>
                <w:rFonts w:hint="eastAsia" w:ascii="宋体" w:hAnsi="宋体" w:eastAsia="宋体" w:cs="微软雅黑"/>
                <w:color w:val="auto"/>
                <w:kern w:val="0"/>
                <w:position w:val="-1"/>
                <w:szCs w:val="21"/>
                <w:highlight w:val="none"/>
              </w:rPr>
              <w:t>备注</w:t>
            </w:r>
          </w:p>
        </w:tc>
      </w:tr>
      <w:tr w14:paraId="344EF13A">
        <w:tblPrEx>
          <w:tblCellMar>
            <w:top w:w="0" w:type="dxa"/>
            <w:left w:w="0" w:type="dxa"/>
            <w:bottom w:w="0" w:type="dxa"/>
            <w:right w:w="0" w:type="dxa"/>
          </w:tblCellMar>
        </w:tblPrEx>
        <w:trPr>
          <w:trHeight w:val="415" w:hRule="exact"/>
        </w:trPr>
        <w:tc>
          <w:tcPr>
            <w:tcW w:w="1716" w:type="dxa"/>
            <w:gridSpan w:val="2"/>
            <w:vMerge w:val="continue"/>
            <w:tcBorders>
              <w:left w:val="double" w:color="auto" w:sz="4" w:space="0"/>
              <w:bottom w:val="single" w:color="auto" w:sz="6" w:space="0"/>
              <w:right w:val="single" w:color="auto" w:sz="6" w:space="0"/>
            </w:tcBorders>
            <w:noWrap w:val="0"/>
            <w:vAlign w:val="top"/>
          </w:tcPr>
          <w:p w14:paraId="7DE23386">
            <w:pPr>
              <w:autoSpaceDE w:val="0"/>
              <w:autoSpaceDN w:val="0"/>
              <w:adjustRightInd w:val="0"/>
              <w:snapToGrid w:val="0"/>
              <w:spacing w:line="360" w:lineRule="auto"/>
              <w:ind w:left="352" w:right="-20"/>
              <w:jc w:val="left"/>
              <w:rPr>
                <w:rFonts w:ascii="宋体" w:hAnsi="宋体" w:eastAsia="宋体"/>
                <w:color w:val="auto"/>
                <w:kern w:val="0"/>
                <w:szCs w:val="21"/>
                <w:highlight w:val="none"/>
              </w:rPr>
            </w:pPr>
          </w:p>
        </w:tc>
        <w:tc>
          <w:tcPr>
            <w:tcW w:w="2126" w:type="dxa"/>
            <w:vMerge w:val="continue"/>
            <w:tcBorders>
              <w:top w:val="single" w:color="auto" w:sz="6" w:space="0"/>
              <w:left w:val="single" w:color="auto" w:sz="6" w:space="0"/>
              <w:bottom w:val="single" w:color="auto" w:sz="6" w:space="0"/>
              <w:right w:val="single" w:color="auto" w:sz="4" w:space="0"/>
            </w:tcBorders>
            <w:noWrap w:val="0"/>
            <w:vAlign w:val="center"/>
          </w:tcPr>
          <w:p w14:paraId="58A0DDB5">
            <w:pPr>
              <w:autoSpaceDE w:val="0"/>
              <w:autoSpaceDN w:val="0"/>
              <w:adjustRightInd w:val="0"/>
              <w:snapToGrid w:val="0"/>
              <w:spacing w:line="360" w:lineRule="auto"/>
              <w:ind w:right="-20"/>
              <w:jc w:val="center"/>
              <w:rPr>
                <w:rFonts w:ascii="宋体" w:hAnsi="宋体" w:eastAsia="宋体"/>
                <w:color w:val="auto"/>
                <w:kern w:val="0"/>
                <w:szCs w:val="21"/>
                <w:highlight w:val="none"/>
              </w:rPr>
            </w:pPr>
          </w:p>
        </w:tc>
        <w:tc>
          <w:tcPr>
            <w:tcW w:w="1200" w:type="dxa"/>
            <w:vMerge w:val="continue"/>
            <w:tcBorders>
              <w:top w:val="single" w:color="auto" w:sz="6" w:space="0"/>
              <w:left w:val="single" w:color="auto" w:sz="4" w:space="0"/>
              <w:bottom w:val="single" w:color="auto" w:sz="6" w:space="0"/>
              <w:right w:val="single" w:color="auto" w:sz="6" w:space="0"/>
            </w:tcBorders>
            <w:noWrap w:val="0"/>
            <w:vAlign w:val="center"/>
          </w:tcPr>
          <w:p w14:paraId="48A596AE">
            <w:pPr>
              <w:autoSpaceDE w:val="0"/>
              <w:autoSpaceDN w:val="0"/>
              <w:adjustRightInd w:val="0"/>
              <w:snapToGrid w:val="0"/>
              <w:spacing w:line="360" w:lineRule="auto"/>
              <w:ind w:right="-20"/>
              <w:jc w:val="center"/>
              <w:rPr>
                <w:rFonts w:ascii="宋体" w:hAnsi="宋体" w:eastAsia="宋体"/>
                <w:color w:val="auto"/>
                <w:kern w:val="0"/>
                <w:szCs w:val="21"/>
                <w:highlight w:val="none"/>
              </w:rPr>
            </w:pPr>
          </w:p>
        </w:tc>
        <w:tc>
          <w:tcPr>
            <w:tcW w:w="1092" w:type="dxa"/>
            <w:vMerge w:val="continue"/>
            <w:tcBorders>
              <w:left w:val="single" w:color="auto" w:sz="6" w:space="0"/>
              <w:bottom w:val="single" w:color="auto" w:sz="6" w:space="0"/>
              <w:right w:val="single" w:color="auto" w:sz="4" w:space="0"/>
            </w:tcBorders>
            <w:noWrap w:val="0"/>
            <w:vAlign w:val="center"/>
          </w:tcPr>
          <w:p w14:paraId="3774508E">
            <w:pPr>
              <w:autoSpaceDE w:val="0"/>
              <w:autoSpaceDN w:val="0"/>
              <w:adjustRightInd w:val="0"/>
              <w:snapToGrid w:val="0"/>
              <w:spacing w:line="360" w:lineRule="auto"/>
              <w:ind w:right="-20"/>
              <w:jc w:val="center"/>
              <w:rPr>
                <w:rFonts w:ascii="宋体" w:hAnsi="宋体" w:eastAsia="宋体"/>
                <w:color w:val="auto"/>
                <w:kern w:val="0"/>
                <w:szCs w:val="21"/>
                <w:highlight w:val="none"/>
              </w:rPr>
            </w:pPr>
          </w:p>
        </w:tc>
        <w:tc>
          <w:tcPr>
            <w:tcW w:w="910" w:type="dxa"/>
            <w:tcBorders>
              <w:top w:val="single" w:color="auto" w:sz="6" w:space="0"/>
              <w:left w:val="single" w:color="auto" w:sz="4" w:space="0"/>
              <w:bottom w:val="single" w:color="auto" w:sz="6" w:space="0"/>
              <w:right w:val="single" w:color="auto" w:sz="4" w:space="0"/>
            </w:tcBorders>
            <w:noWrap w:val="0"/>
            <w:vAlign w:val="center"/>
          </w:tcPr>
          <w:p w14:paraId="5497E057">
            <w:pPr>
              <w:autoSpaceDE w:val="0"/>
              <w:autoSpaceDN w:val="0"/>
              <w:adjustRightInd w:val="0"/>
              <w:snapToGrid w:val="0"/>
              <w:spacing w:line="360" w:lineRule="auto"/>
              <w:ind w:right="-20"/>
              <w:jc w:val="center"/>
              <w:rPr>
                <w:rFonts w:ascii="宋体" w:hAnsi="宋体" w:eastAsia="宋体"/>
                <w:color w:val="auto"/>
                <w:kern w:val="0"/>
                <w:szCs w:val="21"/>
                <w:highlight w:val="none"/>
              </w:rPr>
            </w:pPr>
            <w:r>
              <w:rPr>
                <w:rFonts w:hint="eastAsia" w:ascii="宋体" w:hAnsi="宋体" w:eastAsia="宋体" w:cs="微软雅黑"/>
                <w:color w:val="auto"/>
                <w:kern w:val="0"/>
                <w:position w:val="-1"/>
                <w:szCs w:val="21"/>
                <w:highlight w:val="none"/>
              </w:rPr>
              <w:t>单价</w:t>
            </w:r>
          </w:p>
        </w:tc>
        <w:tc>
          <w:tcPr>
            <w:tcW w:w="916" w:type="dxa"/>
            <w:tcBorders>
              <w:top w:val="single" w:color="auto" w:sz="6" w:space="0"/>
              <w:left w:val="single" w:color="auto" w:sz="4" w:space="0"/>
              <w:bottom w:val="single" w:color="auto" w:sz="6" w:space="0"/>
              <w:right w:val="single" w:color="auto" w:sz="6" w:space="0"/>
            </w:tcBorders>
            <w:noWrap w:val="0"/>
            <w:vAlign w:val="center"/>
          </w:tcPr>
          <w:p w14:paraId="53106B40">
            <w:pPr>
              <w:autoSpaceDE w:val="0"/>
              <w:autoSpaceDN w:val="0"/>
              <w:adjustRightInd w:val="0"/>
              <w:snapToGrid w:val="0"/>
              <w:spacing w:line="360" w:lineRule="auto"/>
              <w:ind w:left="70" w:right="-20"/>
              <w:jc w:val="center"/>
              <w:rPr>
                <w:rFonts w:ascii="宋体" w:hAnsi="宋体" w:eastAsia="宋体"/>
                <w:color w:val="auto"/>
                <w:kern w:val="0"/>
                <w:szCs w:val="21"/>
                <w:highlight w:val="none"/>
              </w:rPr>
            </w:pPr>
            <w:r>
              <w:rPr>
                <w:rFonts w:hint="eastAsia" w:ascii="宋体" w:hAnsi="宋体" w:eastAsia="宋体"/>
                <w:color w:val="auto"/>
                <w:kern w:val="0"/>
                <w:szCs w:val="21"/>
                <w:highlight w:val="none"/>
              </w:rPr>
              <w:t>小计</w:t>
            </w:r>
          </w:p>
        </w:tc>
        <w:tc>
          <w:tcPr>
            <w:tcW w:w="914" w:type="dxa"/>
            <w:vMerge w:val="continue"/>
            <w:tcBorders>
              <w:top w:val="single" w:color="auto" w:sz="6" w:space="0"/>
              <w:left w:val="single" w:color="auto" w:sz="6" w:space="0"/>
              <w:bottom w:val="single" w:color="auto" w:sz="6" w:space="0"/>
              <w:right w:val="double" w:color="auto" w:sz="4" w:space="0"/>
            </w:tcBorders>
            <w:noWrap w:val="0"/>
            <w:vAlign w:val="top"/>
          </w:tcPr>
          <w:p w14:paraId="212905D1">
            <w:pPr>
              <w:autoSpaceDE w:val="0"/>
              <w:autoSpaceDN w:val="0"/>
              <w:adjustRightInd w:val="0"/>
              <w:snapToGrid w:val="0"/>
              <w:spacing w:line="360" w:lineRule="auto"/>
              <w:ind w:left="422" w:right="-20"/>
              <w:jc w:val="left"/>
              <w:rPr>
                <w:rFonts w:ascii="宋体" w:hAnsi="宋体" w:eastAsia="宋体"/>
                <w:color w:val="auto"/>
                <w:kern w:val="0"/>
                <w:szCs w:val="21"/>
                <w:highlight w:val="none"/>
              </w:rPr>
            </w:pPr>
          </w:p>
        </w:tc>
      </w:tr>
      <w:tr w14:paraId="7DAB3CB8">
        <w:tblPrEx>
          <w:tblCellMar>
            <w:top w:w="0" w:type="dxa"/>
            <w:left w:w="0" w:type="dxa"/>
            <w:bottom w:w="0" w:type="dxa"/>
            <w:right w:w="0" w:type="dxa"/>
          </w:tblCellMar>
        </w:tblPrEx>
        <w:trPr>
          <w:trHeight w:val="378" w:hRule="exact"/>
        </w:trPr>
        <w:tc>
          <w:tcPr>
            <w:tcW w:w="333" w:type="dxa"/>
            <w:tcBorders>
              <w:top w:val="single" w:color="auto" w:sz="6" w:space="0"/>
              <w:left w:val="double" w:color="auto" w:sz="4" w:space="0"/>
              <w:bottom w:val="single" w:color="auto" w:sz="6" w:space="0"/>
              <w:right w:val="single" w:color="auto" w:sz="6" w:space="0"/>
            </w:tcBorders>
            <w:noWrap w:val="0"/>
            <w:vAlign w:val="center"/>
          </w:tcPr>
          <w:p w14:paraId="11851E60">
            <w:pPr>
              <w:jc w:val="center"/>
              <w:rPr>
                <w:rFonts w:ascii="宋体" w:hAnsi="宋体" w:eastAsia="宋体" w:cs="宋体"/>
                <w:color w:val="auto"/>
                <w:highlight w:val="none"/>
              </w:rPr>
            </w:pPr>
            <w:r>
              <w:rPr>
                <w:rFonts w:hint="eastAsia" w:ascii="宋体" w:hAnsi="宋体" w:eastAsia="宋体" w:cs="宋体"/>
                <w:color w:val="auto"/>
                <w:highlight w:val="none"/>
              </w:rPr>
              <w:t>1</w:t>
            </w:r>
          </w:p>
        </w:tc>
        <w:tc>
          <w:tcPr>
            <w:tcW w:w="1383" w:type="dxa"/>
            <w:tcBorders>
              <w:top w:val="single" w:color="auto" w:sz="6" w:space="0"/>
              <w:left w:val="single" w:color="auto" w:sz="6" w:space="0"/>
              <w:bottom w:val="single" w:color="auto" w:sz="6" w:space="0"/>
              <w:right w:val="single" w:color="auto" w:sz="6" w:space="0"/>
            </w:tcBorders>
            <w:noWrap w:val="0"/>
            <w:vAlign w:val="center"/>
          </w:tcPr>
          <w:p w14:paraId="18C48DF6">
            <w:pPr>
              <w:autoSpaceDE w:val="0"/>
              <w:autoSpaceDN w:val="0"/>
              <w:adjustRightInd w:val="0"/>
              <w:snapToGrid w:val="0"/>
              <w:spacing w:line="360" w:lineRule="auto"/>
              <w:jc w:val="center"/>
              <w:rPr>
                <w:rFonts w:ascii="宋体" w:hAnsi="宋体" w:eastAsia="宋体"/>
                <w:color w:val="auto"/>
                <w:kern w:val="0"/>
                <w:szCs w:val="21"/>
                <w:highlight w:val="none"/>
              </w:rPr>
            </w:pPr>
          </w:p>
        </w:tc>
        <w:tc>
          <w:tcPr>
            <w:tcW w:w="2126" w:type="dxa"/>
            <w:tcBorders>
              <w:top w:val="single" w:color="auto" w:sz="6" w:space="0"/>
              <w:left w:val="single" w:color="auto" w:sz="6" w:space="0"/>
              <w:bottom w:val="single" w:color="auto" w:sz="6" w:space="0"/>
              <w:right w:val="single" w:color="auto" w:sz="4" w:space="0"/>
            </w:tcBorders>
            <w:noWrap w:val="0"/>
            <w:vAlign w:val="top"/>
          </w:tcPr>
          <w:p w14:paraId="05B15BE1">
            <w:pPr>
              <w:autoSpaceDE w:val="0"/>
              <w:autoSpaceDN w:val="0"/>
              <w:adjustRightInd w:val="0"/>
              <w:snapToGrid w:val="0"/>
              <w:spacing w:line="360" w:lineRule="auto"/>
              <w:jc w:val="left"/>
              <w:rPr>
                <w:rFonts w:ascii="宋体" w:hAnsi="宋体" w:eastAsia="宋体"/>
                <w:color w:val="auto"/>
                <w:kern w:val="0"/>
                <w:szCs w:val="21"/>
                <w:highlight w:val="none"/>
              </w:rPr>
            </w:pPr>
          </w:p>
        </w:tc>
        <w:tc>
          <w:tcPr>
            <w:tcW w:w="1200" w:type="dxa"/>
            <w:tcBorders>
              <w:top w:val="single" w:color="auto" w:sz="6" w:space="0"/>
              <w:left w:val="single" w:color="auto" w:sz="4" w:space="0"/>
              <w:bottom w:val="single" w:color="auto" w:sz="6" w:space="0"/>
              <w:right w:val="single" w:color="auto" w:sz="6" w:space="0"/>
            </w:tcBorders>
            <w:noWrap w:val="0"/>
            <w:vAlign w:val="top"/>
          </w:tcPr>
          <w:p w14:paraId="478D530D">
            <w:pPr>
              <w:autoSpaceDE w:val="0"/>
              <w:autoSpaceDN w:val="0"/>
              <w:adjustRightInd w:val="0"/>
              <w:snapToGrid w:val="0"/>
              <w:spacing w:line="360" w:lineRule="auto"/>
              <w:jc w:val="left"/>
              <w:rPr>
                <w:rFonts w:ascii="宋体" w:hAnsi="宋体" w:eastAsia="宋体"/>
                <w:color w:val="auto"/>
                <w:kern w:val="0"/>
                <w:szCs w:val="21"/>
                <w:highlight w:val="none"/>
              </w:rPr>
            </w:pPr>
          </w:p>
        </w:tc>
        <w:tc>
          <w:tcPr>
            <w:tcW w:w="1092" w:type="dxa"/>
            <w:tcBorders>
              <w:top w:val="single" w:color="auto" w:sz="6" w:space="0"/>
              <w:left w:val="single" w:color="auto" w:sz="6" w:space="0"/>
              <w:bottom w:val="single" w:color="auto" w:sz="6" w:space="0"/>
              <w:right w:val="single" w:color="auto" w:sz="4" w:space="0"/>
            </w:tcBorders>
            <w:noWrap w:val="0"/>
            <w:vAlign w:val="top"/>
          </w:tcPr>
          <w:p w14:paraId="55702693">
            <w:pPr>
              <w:autoSpaceDE w:val="0"/>
              <w:autoSpaceDN w:val="0"/>
              <w:adjustRightInd w:val="0"/>
              <w:snapToGrid w:val="0"/>
              <w:spacing w:line="360" w:lineRule="auto"/>
              <w:jc w:val="left"/>
              <w:rPr>
                <w:rFonts w:ascii="宋体" w:hAnsi="宋体" w:eastAsia="宋体"/>
                <w:color w:val="auto"/>
                <w:kern w:val="0"/>
                <w:szCs w:val="21"/>
                <w:highlight w:val="none"/>
              </w:rPr>
            </w:pPr>
          </w:p>
        </w:tc>
        <w:tc>
          <w:tcPr>
            <w:tcW w:w="910" w:type="dxa"/>
            <w:tcBorders>
              <w:top w:val="single" w:color="auto" w:sz="6" w:space="0"/>
              <w:left w:val="single" w:color="auto" w:sz="6" w:space="0"/>
              <w:bottom w:val="single" w:color="auto" w:sz="6" w:space="0"/>
              <w:right w:val="single" w:color="auto" w:sz="6" w:space="0"/>
            </w:tcBorders>
            <w:noWrap w:val="0"/>
            <w:vAlign w:val="top"/>
          </w:tcPr>
          <w:p w14:paraId="2134DC7D">
            <w:pPr>
              <w:autoSpaceDE w:val="0"/>
              <w:autoSpaceDN w:val="0"/>
              <w:adjustRightInd w:val="0"/>
              <w:snapToGrid w:val="0"/>
              <w:spacing w:line="360" w:lineRule="auto"/>
              <w:jc w:val="left"/>
              <w:rPr>
                <w:rFonts w:ascii="宋体" w:hAnsi="宋体" w:eastAsia="宋体"/>
                <w:color w:val="auto"/>
                <w:kern w:val="0"/>
                <w:szCs w:val="21"/>
                <w:highlight w:val="none"/>
              </w:rPr>
            </w:pPr>
          </w:p>
        </w:tc>
        <w:tc>
          <w:tcPr>
            <w:tcW w:w="916" w:type="dxa"/>
            <w:tcBorders>
              <w:top w:val="single" w:color="auto" w:sz="6" w:space="0"/>
              <w:left w:val="single" w:color="auto" w:sz="6" w:space="0"/>
              <w:bottom w:val="single" w:color="auto" w:sz="6" w:space="0"/>
              <w:right w:val="single" w:color="auto" w:sz="6" w:space="0"/>
            </w:tcBorders>
            <w:noWrap w:val="0"/>
            <w:vAlign w:val="top"/>
          </w:tcPr>
          <w:p w14:paraId="7B513BAF">
            <w:pPr>
              <w:autoSpaceDE w:val="0"/>
              <w:autoSpaceDN w:val="0"/>
              <w:adjustRightInd w:val="0"/>
              <w:snapToGrid w:val="0"/>
              <w:spacing w:line="360" w:lineRule="auto"/>
              <w:jc w:val="left"/>
              <w:rPr>
                <w:rFonts w:ascii="宋体" w:hAnsi="宋体" w:eastAsia="宋体"/>
                <w:color w:val="auto"/>
                <w:kern w:val="0"/>
                <w:szCs w:val="21"/>
                <w:highlight w:val="none"/>
              </w:rPr>
            </w:pPr>
          </w:p>
        </w:tc>
        <w:tc>
          <w:tcPr>
            <w:tcW w:w="914" w:type="dxa"/>
            <w:tcBorders>
              <w:top w:val="single" w:color="auto" w:sz="6" w:space="0"/>
              <w:left w:val="single" w:color="auto" w:sz="6" w:space="0"/>
              <w:bottom w:val="single" w:color="auto" w:sz="6" w:space="0"/>
              <w:right w:val="double" w:color="auto" w:sz="4" w:space="0"/>
            </w:tcBorders>
            <w:noWrap w:val="0"/>
            <w:vAlign w:val="top"/>
          </w:tcPr>
          <w:p w14:paraId="3C8CA97C">
            <w:pPr>
              <w:autoSpaceDE w:val="0"/>
              <w:autoSpaceDN w:val="0"/>
              <w:adjustRightInd w:val="0"/>
              <w:snapToGrid w:val="0"/>
              <w:spacing w:line="360" w:lineRule="auto"/>
              <w:jc w:val="left"/>
              <w:rPr>
                <w:rFonts w:ascii="宋体" w:hAnsi="宋体" w:eastAsia="宋体"/>
                <w:color w:val="auto"/>
                <w:kern w:val="0"/>
                <w:szCs w:val="21"/>
                <w:highlight w:val="none"/>
              </w:rPr>
            </w:pPr>
          </w:p>
        </w:tc>
      </w:tr>
      <w:tr w14:paraId="4D4BCEAD">
        <w:tblPrEx>
          <w:tblCellMar>
            <w:top w:w="0" w:type="dxa"/>
            <w:left w:w="0" w:type="dxa"/>
            <w:bottom w:w="0" w:type="dxa"/>
            <w:right w:w="0" w:type="dxa"/>
          </w:tblCellMar>
        </w:tblPrEx>
        <w:trPr>
          <w:trHeight w:val="415" w:hRule="exact"/>
        </w:trPr>
        <w:tc>
          <w:tcPr>
            <w:tcW w:w="333" w:type="dxa"/>
            <w:tcBorders>
              <w:top w:val="single" w:color="auto" w:sz="6" w:space="0"/>
              <w:left w:val="double" w:color="auto" w:sz="4" w:space="0"/>
              <w:bottom w:val="single" w:color="auto" w:sz="6" w:space="0"/>
              <w:right w:val="single" w:color="auto" w:sz="6" w:space="0"/>
            </w:tcBorders>
            <w:noWrap w:val="0"/>
            <w:vAlign w:val="center"/>
          </w:tcPr>
          <w:p w14:paraId="51A2F171">
            <w:pPr>
              <w:jc w:val="center"/>
              <w:rPr>
                <w:rFonts w:ascii="宋体" w:hAnsi="宋体" w:eastAsia="宋体" w:cs="宋体"/>
                <w:color w:val="auto"/>
                <w:highlight w:val="none"/>
              </w:rPr>
            </w:pPr>
            <w:r>
              <w:rPr>
                <w:rFonts w:hint="eastAsia" w:ascii="宋体" w:hAnsi="宋体" w:eastAsia="宋体" w:cs="宋体"/>
                <w:color w:val="auto"/>
                <w:highlight w:val="none"/>
              </w:rPr>
              <w:t>2</w:t>
            </w:r>
          </w:p>
        </w:tc>
        <w:tc>
          <w:tcPr>
            <w:tcW w:w="1383" w:type="dxa"/>
            <w:tcBorders>
              <w:top w:val="single" w:color="auto" w:sz="6" w:space="0"/>
              <w:left w:val="single" w:color="auto" w:sz="6" w:space="0"/>
              <w:bottom w:val="single" w:color="auto" w:sz="6" w:space="0"/>
              <w:right w:val="single" w:color="auto" w:sz="6" w:space="0"/>
            </w:tcBorders>
            <w:noWrap w:val="0"/>
            <w:vAlign w:val="center"/>
          </w:tcPr>
          <w:p w14:paraId="216EDA99">
            <w:pPr>
              <w:autoSpaceDE w:val="0"/>
              <w:autoSpaceDN w:val="0"/>
              <w:adjustRightInd w:val="0"/>
              <w:snapToGrid w:val="0"/>
              <w:spacing w:line="360" w:lineRule="auto"/>
              <w:jc w:val="center"/>
              <w:rPr>
                <w:rFonts w:ascii="宋体" w:hAnsi="宋体" w:eastAsia="宋体"/>
                <w:color w:val="auto"/>
                <w:kern w:val="0"/>
                <w:szCs w:val="21"/>
                <w:highlight w:val="none"/>
              </w:rPr>
            </w:pPr>
          </w:p>
        </w:tc>
        <w:tc>
          <w:tcPr>
            <w:tcW w:w="2126" w:type="dxa"/>
            <w:tcBorders>
              <w:top w:val="single" w:color="auto" w:sz="6" w:space="0"/>
              <w:left w:val="single" w:color="auto" w:sz="6" w:space="0"/>
              <w:bottom w:val="single" w:color="auto" w:sz="6" w:space="0"/>
              <w:right w:val="single" w:color="auto" w:sz="4" w:space="0"/>
            </w:tcBorders>
            <w:noWrap w:val="0"/>
            <w:vAlign w:val="top"/>
          </w:tcPr>
          <w:p w14:paraId="0F73A080">
            <w:pPr>
              <w:autoSpaceDE w:val="0"/>
              <w:autoSpaceDN w:val="0"/>
              <w:adjustRightInd w:val="0"/>
              <w:snapToGrid w:val="0"/>
              <w:spacing w:line="360" w:lineRule="auto"/>
              <w:jc w:val="left"/>
              <w:rPr>
                <w:rFonts w:ascii="宋体" w:hAnsi="宋体" w:eastAsia="宋体"/>
                <w:color w:val="auto"/>
                <w:kern w:val="0"/>
                <w:szCs w:val="21"/>
                <w:highlight w:val="none"/>
              </w:rPr>
            </w:pPr>
          </w:p>
        </w:tc>
        <w:tc>
          <w:tcPr>
            <w:tcW w:w="1200" w:type="dxa"/>
            <w:tcBorders>
              <w:top w:val="single" w:color="auto" w:sz="6" w:space="0"/>
              <w:left w:val="single" w:color="auto" w:sz="4" w:space="0"/>
              <w:bottom w:val="single" w:color="auto" w:sz="6" w:space="0"/>
              <w:right w:val="single" w:color="auto" w:sz="6" w:space="0"/>
            </w:tcBorders>
            <w:noWrap w:val="0"/>
            <w:vAlign w:val="top"/>
          </w:tcPr>
          <w:p w14:paraId="74E4FEB3">
            <w:pPr>
              <w:autoSpaceDE w:val="0"/>
              <w:autoSpaceDN w:val="0"/>
              <w:adjustRightInd w:val="0"/>
              <w:snapToGrid w:val="0"/>
              <w:spacing w:line="360" w:lineRule="auto"/>
              <w:jc w:val="left"/>
              <w:rPr>
                <w:rFonts w:ascii="宋体" w:hAnsi="宋体" w:eastAsia="宋体"/>
                <w:color w:val="auto"/>
                <w:kern w:val="0"/>
                <w:szCs w:val="21"/>
                <w:highlight w:val="none"/>
              </w:rPr>
            </w:pPr>
          </w:p>
        </w:tc>
        <w:tc>
          <w:tcPr>
            <w:tcW w:w="1092" w:type="dxa"/>
            <w:tcBorders>
              <w:top w:val="single" w:color="auto" w:sz="6" w:space="0"/>
              <w:left w:val="single" w:color="auto" w:sz="6" w:space="0"/>
              <w:bottom w:val="single" w:color="auto" w:sz="6" w:space="0"/>
              <w:right w:val="single" w:color="auto" w:sz="4" w:space="0"/>
            </w:tcBorders>
            <w:noWrap w:val="0"/>
            <w:vAlign w:val="top"/>
          </w:tcPr>
          <w:p w14:paraId="2CA343D3">
            <w:pPr>
              <w:autoSpaceDE w:val="0"/>
              <w:autoSpaceDN w:val="0"/>
              <w:adjustRightInd w:val="0"/>
              <w:snapToGrid w:val="0"/>
              <w:spacing w:line="360" w:lineRule="auto"/>
              <w:jc w:val="left"/>
              <w:rPr>
                <w:rFonts w:ascii="宋体" w:hAnsi="宋体" w:eastAsia="宋体"/>
                <w:color w:val="auto"/>
                <w:kern w:val="0"/>
                <w:szCs w:val="21"/>
                <w:highlight w:val="none"/>
              </w:rPr>
            </w:pPr>
          </w:p>
        </w:tc>
        <w:tc>
          <w:tcPr>
            <w:tcW w:w="910" w:type="dxa"/>
            <w:tcBorders>
              <w:top w:val="single" w:color="auto" w:sz="6" w:space="0"/>
              <w:left w:val="single" w:color="auto" w:sz="6" w:space="0"/>
              <w:bottom w:val="single" w:color="auto" w:sz="6" w:space="0"/>
              <w:right w:val="single" w:color="auto" w:sz="6" w:space="0"/>
            </w:tcBorders>
            <w:noWrap w:val="0"/>
            <w:vAlign w:val="top"/>
          </w:tcPr>
          <w:p w14:paraId="42CD99B8">
            <w:pPr>
              <w:autoSpaceDE w:val="0"/>
              <w:autoSpaceDN w:val="0"/>
              <w:adjustRightInd w:val="0"/>
              <w:snapToGrid w:val="0"/>
              <w:spacing w:line="360" w:lineRule="auto"/>
              <w:jc w:val="left"/>
              <w:rPr>
                <w:rFonts w:ascii="宋体" w:hAnsi="宋体" w:eastAsia="宋体"/>
                <w:color w:val="auto"/>
                <w:kern w:val="0"/>
                <w:szCs w:val="21"/>
                <w:highlight w:val="none"/>
              </w:rPr>
            </w:pPr>
          </w:p>
        </w:tc>
        <w:tc>
          <w:tcPr>
            <w:tcW w:w="916" w:type="dxa"/>
            <w:tcBorders>
              <w:top w:val="single" w:color="auto" w:sz="6" w:space="0"/>
              <w:left w:val="single" w:color="auto" w:sz="6" w:space="0"/>
              <w:bottom w:val="single" w:color="auto" w:sz="6" w:space="0"/>
              <w:right w:val="single" w:color="auto" w:sz="6" w:space="0"/>
            </w:tcBorders>
            <w:noWrap w:val="0"/>
            <w:vAlign w:val="top"/>
          </w:tcPr>
          <w:p w14:paraId="2366C772">
            <w:pPr>
              <w:autoSpaceDE w:val="0"/>
              <w:autoSpaceDN w:val="0"/>
              <w:adjustRightInd w:val="0"/>
              <w:snapToGrid w:val="0"/>
              <w:spacing w:line="360" w:lineRule="auto"/>
              <w:jc w:val="left"/>
              <w:rPr>
                <w:rFonts w:ascii="宋体" w:hAnsi="宋体" w:eastAsia="宋体"/>
                <w:color w:val="auto"/>
                <w:kern w:val="0"/>
                <w:szCs w:val="21"/>
                <w:highlight w:val="none"/>
              </w:rPr>
            </w:pPr>
          </w:p>
        </w:tc>
        <w:tc>
          <w:tcPr>
            <w:tcW w:w="914" w:type="dxa"/>
            <w:tcBorders>
              <w:top w:val="single" w:color="auto" w:sz="6" w:space="0"/>
              <w:left w:val="single" w:color="auto" w:sz="6" w:space="0"/>
              <w:bottom w:val="single" w:color="auto" w:sz="6" w:space="0"/>
              <w:right w:val="double" w:color="auto" w:sz="4" w:space="0"/>
            </w:tcBorders>
            <w:noWrap w:val="0"/>
            <w:vAlign w:val="top"/>
          </w:tcPr>
          <w:p w14:paraId="3A5097C2">
            <w:pPr>
              <w:autoSpaceDE w:val="0"/>
              <w:autoSpaceDN w:val="0"/>
              <w:adjustRightInd w:val="0"/>
              <w:snapToGrid w:val="0"/>
              <w:spacing w:line="360" w:lineRule="auto"/>
              <w:jc w:val="left"/>
              <w:rPr>
                <w:rFonts w:ascii="宋体" w:hAnsi="宋体" w:eastAsia="宋体"/>
                <w:color w:val="auto"/>
                <w:kern w:val="0"/>
                <w:szCs w:val="21"/>
                <w:highlight w:val="none"/>
              </w:rPr>
            </w:pPr>
          </w:p>
        </w:tc>
      </w:tr>
      <w:tr w14:paraId="527DBE68">
        <w:tblPrEx>
          <w:tblCellMar>
            <w:top w:w="0" w:type="dxa"/>
            <w:left w:w="0" w:type="dxa"/>
            <w:bottom w:w="0" w:type="dxa"/>
            <w:right w:w="0" w:type="dxa"/>
          </w:tblCellMar>
        </w:tblPrEx>
        <w:trPr>
          <w:trHeight w:val="415" w:hRule="exact"/>
        </w:trPr>
        <w:tc>
          <w:tcPr>
            <w:tcW w:w="333" w:type="dxa"/>
            <w:tcBorders>
              <w:top w:val="single" w:color="auto" w:sz="6" w:space="0"/>
              <w:left w:val="double" w:color="auto" w:sz="4" w:space="0"/>
              <w:bottom w:val="single" w:color="auto" w:sz="6" w:space="0"/>
              <w:right w:val="single" w:color="auto" w:sz="6" w:space="0"/>
            </w:tcBorders>
            <w:noWrap w:val="0"/>
            <w:vAlign w:val="center"/>
          </w:tcPr>
          <w:p w14:paraId="07112ECA">
            <w:pPr>
              <w:jc w:val="center"/>
              <w:rPr>
                <w:rFonts w:ascii="宋体" w:hAnsi="宋体" w:eastAsia="宋体" w:cs="宋体"/>
                <w:color w:val="auto"/>
                <w:highlight w:val="none"/>
              </w:rPr>
            </w:pPr>
            <w:r>
              <w:rPr>
                <w:rFonts w:hint="eastAsia" w:ascii="宋体" w:hAnsi="宋体" w:eastAsia="宋体" w:cs="宋体"/>
                <w:color w:val="auto"/>
                <w:highlight w:val="none"/>
              </w:rPr>
              <w:t>3</w:t>
            </w:r>
          </w:p>
        </w:tc>
        <w:tc>
          <w:tcPr>
            <w:tcW w:w="1383" w:type="dxa"/>
            <w:tcBorders>
              <w:top w:val="single" w:color="auto" w:sz="6" w:space="0"/>
              <w:left w:val="single" w:color="auto" w:sz="6" w:space="0"/>
              <w:bottom w:val="single" w:color="auto" w:sz="6" w:space="0"/>
              <w:right w:val="single" w:color="auto" w:sz="6" w:space="0"/>
            </w:tcBorders>
            <w:noWrap w:val="0"/>
            <w:vAlign w:val="center"/>
          </w:tcPr>
          <w:p w14:paraId="3C09F19C">
            <w:pPr>
              <w:autoSpaceDE w:val="0"/>
              <w:autoSpaceDN w:val="0"/>
              <w:adjustRightInd w:val="0"/>
              <w:snapToGrid w:val="0"/>
              <w:spacing w:line="360" w:lineRule="auto"/>
              <w:jc w:val="center"/>
              <w:rPr>
                <w:rFonts w:ascii="宋体" w:hAnsi="宋体" w:eastAsia="宋体"/>
                <w:color w:val="auto"/>
                <w:kern w:val="0"/>
                <w:szCs w:val="21"/>
                <w:highlight w:val="none"/>
              </w:rPr>
            </w:pPr>
          </w:p>
        </w:tc>
        <w:tc>
          <w:tcPr>
            <w:tcW w:w="2126" w:type="dxa"/>
            <w:tcBorders>
              <w:top w:val="single" w:color="auto" w:sz="6" w:space="0"/>
              <w:left w:val="single" w:color="auto" w:sz="6" w:space="0"/>
              <w:bottom w:val="single" w:color="auto" w:sz="6" w:space="0"/>
              <w:right w:val="single" w:color="auto" w:sz="4" w:space="0"/>
            </w:tcBorders>
            <w:noWrap w:val="0"/>
            <w:vAlign w:val="top"/>
          </w:tcPr>
          <w:p w14:paraId="0CD13301">
            <w:pPr>
              <w:autoSpaceDE w:val="0"/>
              <w:autoSpaceDN w:val="0"/>
              <w:adjustRightInd w:val="0"/>
              <w:snapToGrid w:val="0"/>
              <w:spacing w:line="360" w:lineRule="auto"/>
              <w:jc w:val="left"/>
              <w:rPr>
                <w:rFonts w:ascii="宋体" w:hAnsi="宋体" w:eastAsia="宋体"/>
                <w:color w:val="auto"/>
                <w:kern w:val="0"/>
                <w:szCs w:val="21"/>
                <w:highlight w:val="none"/>
              </w:rPr>
            </w:pPr>
          </w:p>
        </w:tc>
        <w:tc>
          <w:tcPr>
            <w:tcW w:w="1200" w:type="dxa"/>
            <w:tcBorders>
              <w:top w:val="single" w:color="auto" w:sz="6" w:space="0"/>
              <w:left w:val="single" w:color="auto" w:sz="4" w:space="0"/>
              <w:bottom w:val="single" w:color="auto" w:sz="6" w:space="0"/>
              <w:right w:val="single" w:color="auto" w:sz="6" w:space="0"/>
            </w:tcBorders>
            <w:noWrap w:val="0"/>
            <w:vAlign w:val="top"/>
          </w:tcPr>
          <w:p w14:paraId="2D39FB0B">
            <w:pPr>
              <w:autoSpaceDE w:val="0"/>
              <w:autoSpaceDN w:val="0"/>
              <w:adjustRightInd w:val="0"/>
              <w:snapToGrid w:val="0"/>
              <w:spacing w:line="360" w:lineRule="auto"/>
              <w:jc w:val="left"/>
              <w:rPr>
                <w:rFonts w:ascii="宋体" w:hAnsi="宋体" w:eastAsia="宋体"/>
                <w:color w:val="auto"/>
                <w:kern w:val="0"/>
                <w:szCs w:val="21"/>
                <w:highlight w:val="none"/>
              </w:rPr>
            </w:pPr>
          </w:p>
        </w:tc>
        <w:tc>
          <w:tcPr>
            <w:tcW w:w="1092" w:type="dxa"/>
            <w:tcBorders>
              <w:top w:val="single" w:color="auto" w:sz="6" w:space="0"/>
              <w:left w:val="single" w:color="auto" w:sz="6" w:space="0"/>
              <w:bottom w:val="single" w:color="auto" w:sz="6" w:space="0"/>
              <w:right w:val="single" w:color="auto" w:sz="4" w:space="0"/>
            </w:tcBorders>
            <w:noWrap w:val="0"/>
            <w:vAlign w:val="top"/>
          </w:tcPr>
          <w:p w14:paraId="7EB21D89">
            <w:pPr>
              <w:autoSpaceDE w:val="0"/>
              <w:autoSpaceDN w:val="0"/>
              <w:adjustRightInd w:val="0"/>
              <w:snapToGrid w:val="0"/>
              <w:spacing w:line="360" w:lineRule="auto"/>
              <w:jc w:val="left"/>
              <w:rPr>
                <w:rFonts w:ascii="宋体" w:hAnsi="宋体" w:eastAsia="宋体"/>
                <w:color w:val="auto"/>
                <w:kern w:val="0"/>
                <w:szCs w:val="21"/>
                <w:highlight w:val="none"/>
              </w:rPr>
            </w:pPr>
          </w:p>
        </w:tc>
        <w:tc>
          <w:tcPr>
            <w:tcW w:w="910" w:type="dxa"/>
            <w:tcBorders>
              <w:top w:val="single" w:color="auto" w:sz="6" w:space="0"/>
              <w:left w:val="single" w:color="auto" w:sz="6" w:space="0"/>
              <w:bottom w:val="single" w:color="auto" w:sz="6" w:space="0"/>
              <w:right w:val="single" w:color="auto" w:sz="6" w:space="0"/>
            </w:tcBorders>
            <w:noWrap w:val="0"/>
            <w:vAlign w:val="top"/>
          </w:tcPr>
          <w:p w14:paraId="2AFF7F40">
            <w:pPr>
              <w:autoSpaceDE w:val="0"/>
              <w:autoSpaceDN w:val="0"/>
              <w:adjustRightInd w:val="0"/>
              <w:snapToGrid w:val="0"/>
              <w:spacing w:line="360" w:lineRule="auto"/>
              <w:jc w:val="left"/>
              <w:rPr>
                <w:rFonts w:ascii="宋体" w:hAnsi="宋体" w:eastAsia="宋体"/>
                <w:color w:val="auto"/>
                <w:kern w:val="0"/>
                <w:szCs w:val="21"/>
                <w:highlight w:val="none"/>
              </w:rPr>
            </w:pPr>
          </w:p>
        </w:tc>
        <w:tc>
          <w:tcPr>
            <w:tcW w:w="916" w:type="dxa"/>
            <w:tcBorders>
              <w:top w:val="single" w:color="auto" w:sz="6" w:space="0"/>
              <w:left w:val="single" w:color="auto" w:sz="6" w:space="0"/>
              <w:bottom w:val="single" w:color="auto" w:sz="6" w:space="0"/>
              <w:right w:val="single" w:color="auto" w:sz="6" w:space="0"/>
            </w:tcBorders>
            <w:noWrap w:val="0"/>
            <w:vAlign w:val="top"/>
          </w:tcPr>
          <w:p w14:paraId="3BAB9041">
            <w:pPr>
              <w:autoSpaceDE w:val="0"/>
              <w:autoSpaceDN w:val="0"/>
              <w:adjustRightInd w:val="0"/>
              <w:snapToGrid w:val="0"/>
              <w:spacing w:line="360" w:lineRule="auto"/>
              <w:jc w:val="left"/>
              <w:rPr>
                <w:rFonts w:ascii="宋体" w:hAnsi="宋体" w:eastAsia="宋体"/>
                <w:color w:val="auto"/>
                <w:kern w:val="0"/>
                <w:szCs w:val="21"/>
                <w:highlight w:val="none"/>
              </w:rPr>
            </w:pPr>
          </w:p>
        </w:tc>
        <w:tc>
          <w:tcPr>
            <w:tcW w:w="914" w:type="dxa"/>
            <w:tcBorders>
              <w:top w:val="single" w:color="auto" w:sz="6" w:space="0"/>
              <w:left w:val="single" w:color="auto" w:sz="6" w:space="0"/>
              <w:bottom w:val="single" w:color="auto" w:sz="6" w:space="0"/>
              <w:right w:val="double" w:color="auto" w:sz="4" w:space="0"/>
            </w:tcBorders>
            <w:noWrap w:val="0"/>
            <w:vAlign w:val="top"/>
          </w:tcPr>
          <w:p w14:paraId="2CD2E403">
            <w:pPr>
              <w:autoSpaceDE w:val="0"/>
              <w:autoSpaceDN w:val="0"/>
              <w:adjustRightInd w:val="0"/>
              <w:snapToGrid w:val="0"/>
              <w:spacing w:line="360" w:lineRule="auto"/>
              <w:jc w:val="left"/>
              <w:rPr>
                <w:rFonts w:ascii="宋体" w:hAnsi="宋体" w:eastAsia="宋体"/>
                <w:color w:val="auto"/>
                <w:kern w:val="0"/>
                <w:szCs w:val="21"/>
                <w:highlight w:val="none"/>
              </w:rPr>
            </w:pPr>
          </w:p>
        </w:tc>
      </w:tr>
      <w:tr w14:paraId="00ED56C3">
        <w:tblPrEx>
          <w:tblCellMar>
            <w:top w:w="0" w:type="dxa"/>
            <w:left w:w="0" w:type="dxa"/>
            <w:bottom w:w="0" w:type="dxa"/>
            <w:right w:w="0" w:type="dxa"/>
          </w:tblCellMar>
        </w:tblPrEx>
        <w:trPr>
          <w:trHeight w:val="415" w:hRule="exact"/>
        </w:trPr>
        <w:tc>
          <w:tcPr>
            <w:tcW w:w="333" w:type="dxa"/>
            <w:tcBorders>
              <w:top w:val="single" w:color="auto" w:sz="6" w:space="0"/>
              <w:left w:val="double" w:color="auto" w:sz="4" w:space="0"/>
              <w:bottom w:val="single" w:color="auto" w:sz="6" w:space="0"/>
              <w:right w:val="single" w:color="auto" w:sz="6" w:space="0"/>
            </w:tcBorders>
            <w:noWrap w:val="0"/>
            <w:vAlign w:val="center"/>
          </w:tcPr>
          <w:p w14:paraId="4C013815">
            <w:pPr>
              <w:jc w:val="center"/>
              <w:rPr>
                <w:rFonts w:ascii="宋体" w:hAnsi="宋体" w:eastAsia="宋体" w:cs="宋体"/>
                <w:color w:val="auto"/>
                <w:highlight w:val="none"/>
              </w:rPr>
            </w:pPr>
            <w:r>
              <w:rPr>
                <w:rFonts w:hint="eastAsia" w:ascii="宋体" w:hAnsi="宋体" w:eastAsia="宋体" w:cs="宋体"/>
                <w:color w:val="auto"/>
                <w:highlight w:val="none"/>
              </w:rPr>
              <w:t>4</w:t>
            </w:r>
          </w:p>
        </w:tc>
        <w:tc>
          <w:tcPr>
            <w:tcW w:w="1383" w:type="dxa"/>
            <w:tcBorders>
              <w:top w:val="single" w:color="auto" w:sz="6" w:space="0"/>
              <w:left w:val="single" w:color="auto" w:sz="6" w:space="0"/>
              <w:bottom w:val="single" w:color="auto" w:sz="6" w:space="0"/>
              <w:right w:val="single" w:color="auto" w:sz="6" w:space="0"/>
            </w:tcBorders>
            <w:noWrap w:val="0"/>
            <w:vAlign w:val="center"/>
          </w:tcPr>
          <w:p w14:paraId="489A69B2">
            <w:pPr>
              <w:autoSpaceDE w:val="0"/>
              <w:autoSpaceDN w:val="0"/>
              <w:adjustRightInd w:val="0"/>
              <w:snapToGrid w:val="0"/>
              <w:spacing w:line="360" w:lineRule="auto"/>
              <w:jc w:val="center"/>
              <w:rPr>
                <w:rFonts w:ascii="宋体" w:hAnsi="宋体" w:eastAsia="宋体"/>
                <w:color w:val="auto"/>
                <w:kern w:val="0"/>
                <w:szCs w:val="21"/>
                <w:highlight w:val="none"/>
              </w:rPr>
            </w:pPr>
          </w:p>
        </w:tc>
        <w:tc>
          <w:tcPr>
            <w:tcW w:w="2126" w:type="dxa"/>
            <w:tcBorders>
              <w:top w:val="single" w:color="auto" w:sz="6" w:space="0"/>
              <w:left w:val="single" w:color="auto" w:sz="6" w:space="0"/>
              <w:bottom w:val="single" w:color="auto" w:sz="6" w:space="0"/>
              <w:right w:val="single" w:color="auto" w:sz="4" w:space="0"/>
            </w:tcBorders>
            <w:noWrap w:val="0"/>
            <w:vAlign w:val="top"/>
          </w:tcPr>
          <w:p w14:paraId="18CB6BC9">
            <w:pPr>
              <w:autoSpaceDE w:val="0"/>
              <w:autoSpaceDN w:val="0"/>
              <w:adjustRightInd w:val="0"/>
              <w:snapToGrid w:val="0"/>
              <w:spacing w:line="360" w:lineRule="auto"/>
              <w:jc w:val="left"/>
              <w:rPr>
                <w:rFonts w:ascii="宋体" w:hAnsi="宋体" w:eastAsia="宋体"/>
                <w:color w:val="auto"/>
                <w:kern w:val="0"/>
                <w:szCs w:val="21"/>
                <w:highlight w:val="none"/>
              </w:rPr>
            </w:pPr>
          </w:p>
        </w:tc>
        <w:tc>
          <w:tcPr>
            <w:tcW w:w="1200" w:type="dxa"/>
            <w:tcBorders>
              <w:top w:val="single" w:color="auto" w:sz="6" w:space="0"/>
              <w:left w:val="single" w:color="auto" w:sz="4" w:space="0"/>
              <w:bottom w:val="single" w:color="auto" w:sz="6" w:space="0"/>
              <w:right w:val="single" w:color="auto" w:sz="6" w:space="0"/>
            </w:tcBorders>
            <w:noWrap w:val="0"/>
            <w:vAlign w:val="top"/>
          </w:tcPr>
          <w:p w14:paraId="41854FF1">
            <w:pPr>
              <w:autoSpaceDE w:val="0"/>
              <w:autoSpaceDN w:val="0"/>
              <w:adjustRightInd w:val="0"/>
              <w:snapToGrid w:val="0"/>
              <w:spacing w:line="360" w:lineRule="auto"/>
              <w:jc w:val="left"/>
              <w:rPr>
                <w:rFonts w:ascii="宋体" w:hAnsi="宋体" w:eastAsia="宋体"/>
                <w:color w:val="auto"/>
                <w:kern w:val="0"/>
                <w:szCs w:val="21"/>
                <w:highlight w:val="none"/>
              </w:rPr>
            </w:pPr>
          </w:p>
        </w:tc>
        <w:tc>
          <w:tcPr>
            <w:tcW w:w="1092" w:type="dxa"/>
            <w:tcBorders>
              <w:top w:val="single" w:color="auto" w:sz="6" w:space="0"/>
              <w:left w:val="single" w:color="auto" w:sz="6" w:space="0"/>
              <w:bottom w:val="single" w:color="auto" w:sz="6" w:space="0"/>
              <w:right w:val="single" w:color="auto" w:sz="4" w:space="0"/>
            </w:tcBorders>
            <w:noWrap w:val="0"/>
            <w:vAlign w:val="top"/>
          </w:tcPr>
          <w:p w14:paraId="3F03BE13">
            <w:pPr>
              <w:autoSpaceDE w:val="0"/>
              <w:autoSpaceDN w:val="0"/>
              <w:adjustRightInd w:val="0"/>
              <w:snapToGrid w:val="0"/>
              <w:spacing w:line="360" w:lineRule="auto"/>
              <w:jc w:val="left"/>
              <w:rPr>
                <w:rFonts w:ascii="宋体" w:hAnsi="宋体" w:eastAsia="宋体"/>
                <w:color w:val="auto"/>
                <w:kern w:val="0"/>
                <w:szCs w:val="21"/>
                <w:highlight w:val="none"/>
              </w:rPr>
            </w:pPr>
          </w:p>
        </w:tc>
        <w:tc>
          <w:tcPr>
            <w:tcW w:w="910" w:type="dxa"/>
            <w:tcBorders>
              <w:top w:val="single" w:color="auto" w:sz="6" w:space="0"/>
              <w:left w:val="single" w:color="auto" w:sz="4" w:space="0"/>
              <w:bottom w:val="single" w:color="auto" w:sz="6" w:space="0"/>
              <w:right w:val="single" w:color="auto" w:sz="6" w:space="0"/>
            </w:tcBorders>
            <w:noWrap w:val="0"/>
            <w:vAlign w:val="top"/>
          </w:tcPr>
          <w:p w14:paraId="0857BC24">
            <w:pPr>
              <w:autoSpaceDE w:val="0"/>
              <w:autoSpaceDN w:val="0"/>
              <w:adjustRightInd w:val="0"/>
              <w:snapToGrid w:val="0"/>
              <w:spacing w:line="360" w:lineRule="auto"/>
              <w:jc w:val="left"/>
              <w:rPr>
                <w:rFonts w:ascii="宋体" w:hAnsi="宋体" w:eastAsia="宋体"/>
                <w:color w:val="auto"/>
                <w:kern w:val="0"/>
                <w:szCs w:val="21"/>
                <w:highlight w:val="none"/>
              </w:rPr>
            </w:pPr>
          </w:p>
        </w:tc>
        <w:tc>
          <w:tcPr>
            <w:tcW w:w="916" w:type="dxa"/>
            <w:tcBorders>
              <w:top w:val="single" w:color="auto" w:sz="6" w:space="0"/>
              <w:left w:val="single" w:color="auto" w:sz="6" w:space="0"/>
              <w:bottom w:val="single" w:color="auto" w:sz="6" w:space="0"/>
              <w:right w:val="single" w:color="auto" w:sz="6" w:space="0"/>
            </w:tcBorders>
            <w:noWrap w:val="0"/>
            <w:vAlign w:val="top"/>
          </w:tcPr>
          <w:p w14:paraId="1481C56A">
            <w:pPr>
              <w:autoSpaceDE w:val="0"/>
              <w:autoSpaceDN w:val="0"/>
              <w:adjustRightInd w:val="0"/>
              <w:snapToGrid w:val="0"/>
              <w:spacing w:line="360" w:lineRule="auto"/>
              <w:jc w:val="left"/>
              <w:rPr>
                <w:rFonts w:ascii="宋体" w:hAnsi="宋体" w:eastAsia="宋体"/>
                <w:color w:val="auto"/>
                <w:kern w:val="0"/>
                <w:szCs w:val="21"/>
                <w:highlight w:val="none"/>
              </w:rPr>
            </w:pPr>
          </w:p>
        </w:tc>
        <w:tc>
          <w:tcPr>
            <w:tcW w:w="914" w:type="dxa"/>
            <w:tcBorders>
              <w:top w:val="single" w:color="auto" w:sz="6" w:space="0"/>
              <w:left w:val="single" w:color="auto" w:sz="6" w:space="0"/>
              <w:bottom w:val="single" w:color="auto" w:sz="6" w:space="0"/>
              <w:right w:val="double" w:color="auto" w:sz="4" w:space="0"/>
            </w:tcBorders>
            <w:noWrap w:val="0"/>
            <w:vAlign w:val="top"/>
          </w:tcPr>
          <w:p w14:paraId="632F1B99">
            <w:pPr>
              <w:autoSpaceDE w:val="0"/>
              <w:autoSpaceDN w:val="0"/>
              <w:adjustRightInd w:val="0"/>
              <w:snapToGrid w:val="0"/>
              <w:spacing w:line="360" w:lineRule="auto"/>
              <w:jc w:val="left"/>
              <w:rPr>
                <w:rFonts w:ascii="宋体" w:hAnsi="宋体" w:eastAsia="宋体"/>
                <w:color w:val="auto"/>
                <w:kern w:val="0"/>
                <w:szCs w:val="21"/>
                <w:highlight w:val="none"/>
              </w:rPr>
            </w:pPr>
          </w:p>
        </w:tc>
      </w:tr>
      <w:tr w14:paraId="3960ECA2">
        <w:tblPrEx>
          <w:tblCellMar>
            <w:top w:w="0" w:type="dxa"/>
            <w:left w:w="0" w:type="dxa"/>
            <w:bottom w:w="0" w:type="dxa"/>
            <w:right w:w="0" w:type="dxa"/>
          </w:tblCellMar>
        </w:tblPrEx>
        <w:trPr>
          <w:trHeight w:val="415" w:hRule="exact"/>
        </w:trPr>
        <w:tc>
          <w:tcPr>
            <w:tcW w:w="333" w:type="dxa"/>
            <w:tcBorders>
              <w:top w:val="single" w:color="auto" w:sz="6" w:space="0"/>
              <w:left w:val="double" w:color="auto" w:sz="4" w:space="0"/>
              <w:bottom w:val="single" w:color="auto" w:sz="6" w:space="0"/>
              <w:right w:val="single" w:color="auto" w:sz="6" w:space="0"/>
            </w:tcBorders>
            <w:noWrap w:val="0"/>
            <w:vAlign w:val="center"/>
          </w:tcPr>
          <w:p w14:paraId="45153E53">
            <w:pPr>
              <w:jc w:val="center"/>
              <w:rPr>
                <w:rFonts w:ascii="宋体" w:hAnsi="宋体" w:eastAsia="宋体" w:cs="宋体"/>
                <w:color w:val="auto"/>
                <w:highlight w:val="none"/>
              </w:rPr>
            </w:pPr>
            <w:r>
              <w:rPr>
                <w:rFonts w:hint="eastAsia" w:ascii="宋体" w:hAnsi="宋体" w:eastAsia="宋体" w:cs="宋体"/>
                <w:color w:val="auto"/>
                <w:highlight w:val="none"/>
              </w:rPr>
              <w:t>5</w:t>
            </w:r>
          </w:p>
        </w:tc>
        <w:tc>
          <w:tcPr>
            <w:tcW w:w="1383" w:type="dxa"/>
            <w:tcBorders>
              <w:top w:val="single" w:color="auto" w:sz="6" w:space="0"/>
              <w:left w:val="single" w:color="auto" w:sz="6" w:space="0"/>
              <w:bottom w:val="single" w:color="auto" w:sz="6" w:space="0"/>
              <w:right w:val="single" w:color="auto" w:sz="6" w:space="0"/>
            </w:tcBorders>
            <w:noWrap w:val="0"/>
            <w:vAlign w:val="center"/>
          </w:tcPr>
          <w:p w14:paraId="1C2AE352">
            <w:pPr>
              <w:autoSpaceDE w:val="0"/>
              <w:autoSpaceDN w:val="0"/>
              <w:adjustRightInd w:val="0"/>
              <w:snapToGrid w:val="0"/>
              <w:spacing w:line="360" w:lineRule="auto"/>
              <w:jc w:val="center"/>
              <w:rPr>
                <w:rFonts w:ascii="宋体" w:hAnsi="宋体" w:eastAsia="宋体"/>
                <w:color w:val="auto"/>
                <w:kern w:val="0"/>
                <w:szCs w:val="21"/>
                <w:highlight w:val="none"/>
              </w:rPr>
            </w:pPr>
          </w:p>
        </w:tc>
        <w:tc>
          <w:tcPr>
            <w:tcW w:w="2126" w:type="dxa"/>
            <w:tcBorders>
              <w:top w:val="single" w:color="auto" w:sz="6" w:space="0"/>
              <w:left w:val="single" w:color="auto" w:sz="6" w:space="0"/>
              <w:bottom w:val="single" w:color="auto" w:sz="6" w:space="0"/>
              <w:right w:val="single" w:color="auto" w:sz="4" w:space="0"/>
            </w:tcBorders>
            <w:noWrap w:val="0"/>
            <w:vAlign w:val="top"/>
          </w:tcPr>
          <w:p w14:paraId="508E7642">
            <w:pPr>
              <w:autoSpaceDE w:val="0"/>
              <w:autoSpaceDN w:val="0"/>
              <w:adjustRightInd w:val="0"/>
              <w:snapToGrid w:val="0"/>
              <w:spacing w:line="360" w:lineRule="auto"/>
              <w:jc w:val="left"/>
              <w:rPr>
                <w:rFonts w:ascii="宋体" w:hAnsi="宋体" w:eastAsia="宋体"/>
                <w:color w:val="auto"/>
                <w:kern w:val="0"/>
                <w:szCs w:val="21"/>
                <w:highlight w:val="none"/>
              </w:rPr>
            </w:pPr>
          </w:p>
        </w:tc>
        <w:tc>
          <w:tcPr>
            <w:tcW w:w="1200" w:type="dxa"/>
            <w:tcBorders>
              <w:top w:val="single" w:color="auto" w:sz="6" w:space="0"/>
              <w:left w:val="single" w:color="auto" w:sz="4" w:space="0"/>
              <w:bottom w:val="single" w:color="auto" w:sz="6" w:space="0"/>
              <w:right w:val="single" w:color="auto" w:sz="6" w:space="0"/>
            </w:tcBorders>
            <w:noWrap w:val="0"/>
            <w:vAlign w:val="top"/>
          </w:tcPr>
          <w:p w14:paraId="21DA137A">
            <w:pPr>
              <w:autoSpaceDE w:val="0"/>
              <w:autoSpaceDN w:val="0"/>
              <w:adjustRightInd w:val="0"/>
              <w:snapToGrid w:val="0"/>
              <w:spacing w:line="360" w:lineRule="auto"/>
              <w:jc w:val="left"/>
              <w:rPr>
                <w:rFonts w:ascii="宋体" w:hAnsi="宋体" w:eastAsia="宋体"/>
                <w:color w:val="auto"/>
                <w:kern w:val="0"/>
                <w:szCs w:val="21"/>
                <w:highlight w:val="none"/>
              </w:rPr>
            </w:pPr>
          </w:p>
        </w:tc>
        <w:tc>
          <w:tcPr>
            <w:tcW w:w="1092" w:type="dxa"/>
            <w:tcBorders>
              <w:top w:val="single" w:color="auto" w:sz="6" w:space="0"/>
              <w:left w:val="single" w:color="auto" w:sz="6" w:space="0"/>
              <w:bottom w:val="single" w:color="auto" w:sz="6" w:space="0"/>
              <w:right w:val="single" w:color="auto" w:sz="4" w:space="0"/>
            </w:tcBorders>
            <w:noWrap w:val="0"/>
            <w:vAlign w:val="top"/>
          </w:tcPr>
          <w:p w14:paraId="7B7460D5">
            <w:pPr>
              <w:autoSpaceDE w:val="0"/>
              <w:autoSpaceDN w:val="0"/>
              <w:adjustRightInd w:val="0"/>
              <w:snapToGrid w:val="0"/>
              <w:spacing w:line="360" w:lineRule="auto"/>
              <w:jc w:val="left"/>
              <w:rPr>
                <w:rFonts w:ascii="宋体" w:hAnsi="宋体" w:eastAsia="宋体"/>
                <w:color w:val="auto"/>
                <w:kern w:val="0"/>
                <w:szCs w:val="21"/>
                <w:highlight w:val="none"/>
              </w:rPr>
            </w:pPr>
          </w:p>
        </w:tc>
        <w:tc>
          <w:tcPr>
            <w:tcW w:w="910" w:type="dxa"/>
            <w:tcBorders>
              <w:top w:val="single" w:color="auto" w:sz="6" w:space="0"/>
              <w:left w:val="single" w:color="auto" w:sz="4" w:space="0"/>
              <w:bottom w:val="single" w:color="auto" w:sz="6" w:space="0"/>
              <w:right w:val="single" w:color="auto" w:sz="6" w:space="0"/>
            </w:tcBorders>
            <w:noWrap w:val="0"/>
            <w:vAlign w:val="top"/>
          </w:tcPr>
          <w:p w14:paraId="547D85DD">
            <w:pPr>
              <w:autoSpaceDE w:val="0"/>
              <w:autoSpaceDN w:val="0"/>
              <w:adjustRightInd w:val="0"/>
              <w:snapToGrid w:val="0"/>
              <w:spacing w:line="360" w:lineRule="auto"/>
              <w:jc w:val="left"/>
              <w:rPr>
                <w:rFonts w:ascii="宋体" w:hAnsi="宋体" w:eastAsia="宋体"/>
                <w:color w:val="auto"/>
                <w:kern w:val="0"/>
                <w:szCs w:val="21"/>
                <w:highlight w:val="none"/>
              </w:rPr>
            </w:pPr>
          </w:p>
        </w:tc>
        <w:tc>
          <w:tcPr>
            <w:tcW w:w="916" w:type="dxa"/>
            <w:tcBorders>
              <w:top w:val="single" w:color="auto" w:sz="6" w:space="0"/>
              <w:left w:val="single" w:color="auto" w:sz="6" w:space="0"/>
              <w:bottom w:val="single" w:color="auto" w:sz="6" w:space="0"/>
              <w:right w:val="single" w:color="auto" w:sz="6" w:space="0"/>
            </w:tcBorders>
            <w:noWrap w:val="0"/>
            <w:vAlign w:val="top"/>
          </w:tcPr>
          <w:p w14:paraId="32893E33">
            <w:pPr>
              <w:autoSpaceDE w:val="0"/>
              <w:autoSpaceDN w:val="0"/>
              <w:adjustRightInd w:val="0"/>
              <w:snapToGrid w:val="0"/>
              <w:spacing w:line="360" w:lineRule="auto"/>
              <w:jc w:val="left"/>
              <w:rPr>
                <w:rFonts w:ascii="宋体" w:hAnsi="宋体" w:eastAsia="宋体"/>
                <w:color w:val="auto"/>
                <w:kern w:val="0"/>
                <w:szCs w:val="21"/>
                <w:highlight w:val="none"/>
              </w:rPr>
            </w:pPr>
          </w:p>
        </w:tc>
        <w:tc>
          <w:tcPr>
            <w:tcW w:w="914" w:type="dxa"/>
            <w:tcBorders>
              <w:top w:val="single" w:color="auto" w:sz="6" w:space="0"/>
              <w:left w:val="single" w:color="auto" w:sz="6" w:space="0"/>
              <w:bottom w:val="single" w:color="auto" w:sz="6" w:space="0"/>
              <w:right w:val="double" w:color="auto" w:sz="4" w:space="0"/>
            </w:tcBorders>
            <w:noWrap w:val="0"/>
            <w:vAlign w:val="top"/>
          </w:tcPr>
          <w:p w14:paraId="5C421A2F">
            <w:pPr>
              <w:autoSpaceDE w:val="0"/>
              <w:autoSpaceDN w:val="0"/>
              <w:adjustRightInd w:val="0"/>
              <w:snapToGrid w:val="0"/>
              <w:spacing w:line="360" w:lineRule="auto"/>
              <w:jc w:val="left"/>
              <w:rPr>
                <w:rFonts w:ascii="宋体" w:hAnsi="宋体" w:eastAsia="宋体"/>
                <w:color w:val="auto"/>
                <w:kern w:val="0"/>
                <w:szCs w:val="21"/>
                <w:highlight w:val="none"/>
              </w:rPr>
            </w:pPr>
          </w:p>
        </w:tc>
      </w:tr>
      <w:tr w14:paraId="53FF1677">
        <w:tblPrEx>
          <w:tblCellMar>
            <w:top w:w="0" w:type="dxa"/>
            <w:left w:w="0" w:type="dxa"/>
            <w:bottom w:w="0" w:type="dxa"/>
            <w:right w:w="0" w:type="dxa"/>
          </w:tblCellMar>
        </w:tblPrEx>
        <w:trPr>
          <w:trHeight w:val="415" w:hRule="exact"/>
        </w:trPr>
        <w:tc>
          <w:tcPr>
            <w:tcW w:w="333" w:type="dxa"/>
            <w:tcBorders>
              <w:top w:val="single" w:color="auto" w:sz="6" w:space="0"/>
              <w:left w:val="double" w:color="auto" w:sz="4" w:space="0"/>
              <w:bottom w:val="single" w:color="auto" w:sz="6" w:space="0"/>
              <w:right w:val="single" w:color="auto" w:sz="6" w:space="0"/>
            </w:tcBorders>
            <w:noWrap w:val="0"/>
            <w:vAlign w:val="center"/>
          </w:tcPr>
          <w:p w14:paraId="2809F5F4">
            <w:pPr>
              <w:jc w:val="center"/>
              <w:rPr>
                <w:color w:val="auto"/>
                <w:highlight w:val="none"/>
              </w:rPr>
            </w:pPr>
            <w:r>
              <w:rPr>
                <w:color w:val="auto"/>
                <w:highlight w:val="none"/>
              </w:rPr>
              <w:t>…</w:t>
            </w:r>
          </w:p>
        </w:tc>
        <w:tc>
          <w:tcPr>
            <w:tcW w:w="1383" w:type="dxa"/>
            <w:tcBorders>
              <w:top w:val="single" w:color="auto" w:sz="6" w:space="0"/>
              <w:left w:val="single" w:color="auto" w:sz="6" w:space="0"/>
              <w:bottom w:val="single" w:color="auto" w:sz="6" w:space="0"/>
              <w:right w:val="single" w:color="auto" w:sz="6" w:space="0"/>
            </w:tcBorders>
            <w:noWrap w:val="0"/>
            <w:vAlign w:val="top"/>
          </w:tcPr>
          <w:p w14:paraId="175D9AC1">
            <w:pPr>
              <w:autoSpaceDE w:val="0"/>
              <w:autoSpaceDN w:val="0"/>
              <w:adjustRightInd w:val="0"/>
              <w:snapToGrid w:val="0"/>
              <w:spacing w:line="360" w:lineRule="auto"/>
              <w:ind w:left="527" w:right="507"/>
              <w:jc w:val="center"/>
              <w:rPr>
                <w:rFonts w:ascii="宋体" w:hAnsi="宋体" w:eastAsia="宋体"/>
                <w:color w:val="auto"/>
                <w:kern w:val="0"/>
                <w:szCs w:val="21"/>
                <w:highlight w:val="none"/>
              </w:rPr>
            </w:pPr>
          </w:p>
        </w:tc>
        <w:tc>
          <w:tcPr>
            <w:tcW w:w="2126" w:type="dxa"/>
            <w:tcBorders>
              <w:top w:val="single" w:color="auto" w:sz="6" w:space="0"/>
              <w:left w:val="single" w:color="auto" w:sz="6" w:space="0"/>
              <w:bottom w:val="single" w:color="auto" w:sz="6" w:space="0"/>
              <w:right w:val="single" w:color="auto" w:sz="4" w:space="0"/>
            </w:tcBorders>
            <w:noWrap w:val="0"/>
            <w:vAlign w:val="top"/>
          </w:tcPr>
          <w:p w14:paraId="18AB8751">
            <w:pPr>
              <w:autoSpaceDE w:val="0"/>
              <w:autoSpaceDN w:val="0"/>
              <w:adjustRightInd w:val="0"/>
              <w:snapToGrid w:val="0"/>
              <w:spacing w:line="360" w:lineRule="auto"/>
              <w:jc w:val="left"/>
              <w:rPr>
                <w:rFonts w:ascii="宋体" w:hAnsi="宋体" w:eastAsia="宋体"/>
                <w:color w:val="auto"/>
                <w:kern w:val="0"/>
                <w:szCs w:val="21"/>
                <w:highlight w:val="none"/>
              </w:rPr>
            </w:pPr>
          </w:p>
        </w:tc>
        <w:tc>
          <w:tcPr>
            <w:tcW w:w="1200" w:type="dxa"/>
            <w:tcBorders>
              <w:top w:val="single" w:color="auto" w:sz="6" w:space="0"/>
              <w:left w:val="single" w:color="auto" w:sz="4" w:space="0"/>
              <w:bottom w:val="single" w:color="auto" w:sz="6" w:space="0"/>
              <w:right w:val="single" w:color="auto" w:sz="6" w:space="0"/>
            </w:tcBorders>
            <w:noWrap w:val="0"/>
            <w:vAlign w:val="top"/>
          </w:tcPr>
          <w:p w14:paraId="3FE6ED43">
            <w:pPr>
              <w:autoSpaceDE w:val="0"/>
              <w:autoSpaceDN w:val="0"/>
              <w:adjustRightInd w:val="0"/>
              <w:snapToGrid w:val="0"/>
              <w:spacing w:line="360" w:lineRule="auto"/>
              <w:jc w:val="left"/>
              <w:rPr>
                <w:rFonts w:ascii="宋体" w:hAnsi="宋体" w:eastAsia="宋体"/>
                <w:color w:val="auto"/>
                <w:kern w:val="0"/>
                <w:szCs w:val="21"/>
                <w:highlight w:val="none"/>
              </w:rPr>
            </w:pPr>
          </w:p>
        </w:tc>
        <w:tc>
          <w:tcPr>
            <w:tcW w:w="1092" w:type="dxa"/>
            <w:tcBorders>
              <w:top w:val="single" w:color="auto" w:sz="6" w:space="0"/>
              <w:left w:val="single" w:color="auto" w:sz="6" w:space="0"/>
              <w:bottom w:val="single" w:color="auto" w:sz="6" w:space="0"/>
              <w:right w:val="single" w:color="auto" w:sz="4" w:space="0"/>
            </w:tcBorders>
            <w:noWrap w:val="0"/>
            <w:vAlign w:val="top"/>
          </w:tcPr>
          <w:p w14:paraId="78918314">
            <w:pPr>
              <w:autoSpaceDE w:val="0"/>
              <w:autoSpaceDN w:val="0"/>
              <w:adjustRightInd w:val="0"/>
              <w:snapToGrid w:val="0"/>
              <w:spacing w:line="360" w:lineRule="auto"/>
              <w:jc w:val="left"/>
              <w:rPr>
                <w:rFonts w:ascii="宋体" w:hAnsi="宋体" w:eastAsia="宋体"/>
                <w:color w:val="auto"/>
                <w:kern w:val="0"/>
                <w:szCs w:val="21"/>
                <w:highlight w:val="none"/>
              </w:rPr>
            </w:pPr>
          </w:p>
        </w:tc>
        <w:tc>
          <w:tcPr>
            <w:tcW w:w="910" w:type="dxa"/>
            <w:tcBorders>
              <w:top w:val="single" w:color="auto" w:sz="6" w:space="0"/>
              <w:left w:val="single" w:color="auto" w:sz="4" w:space="0"/>
              <w:bottom w:val="single" w:color="auto" w:sz="6" w:space="0"/>
              <w:right w:val="single" w:color="auto" w:sz="6" w:space="0"/>
            </w:tcBorders>
            <w:noWrap w:val="0"/>
            <w:vAlign w:val="top"/>
          </w:tcPr>
          <w:p w14:paraId="62BA615F">
            <w:pPr>
              <w:autoSpaceDE w:val="0"/>
              <w:autoSpaceDN w:val="0"/>
              <w:adjustRightInd w:val="0"/>
              <w:snapToGrid w:val="0"/>
              <w:spacing w:line="360" w:lineRule="auto"/>
              <w:jc w:val="left"/>
              <w:rPr>
                <w:rFonts w:ascii="宋体" w:hAnsi="宋体" w:eastAsia="宋体"/>
                <w:color w:val="auto"/>
                <w:kern w:val="0"/>
                <w:szCs w:val="21"/>
                <w:highlight w:val="none"/>
              </w:rPr>
            </w:pPr>
          </w:p>
        </w:tc>
        <w:tc>
          <w:tcPr>
            <w:tcW w:w="916" w:type="dxa"/>
            <w:tcBorders>
              <w:top w:val="single" w:color="auto" w:sz="6" w:space="0"/>
              <w:left w:val="single" w:color="auto" w:sz="6" w:space="0"/>
              <w:bottom w:val="single" w:color="auto" w:sz="6" w:space="0"/>
              <w:right w:val="single" w:color="auto" w:sz="6" w:space="0"/>
            </w:tcBorders>
            <w:noWrap w:val="0"/>
            <w:vAlign w:val="top"/>
          </w:tcPr>
          <w:p w14:paraId="1A8B97E5">
            <w:pPr>
              <w:autoSpaceDE w:val="0"/>
              <w:autoSpaceDN w:val="0"/>
              <w:adjustRightInd w:val="0"/>
              <w:snapToGrid w:val="0"/>
              <w:spacing w:line="360" w:lineRule="auto"/>
              <w:jc w:val="left"/>
              <w:rPr>
                <w:rFonts w:ascii="宋体" w:hAnsi="宋体" w:eastAsia="宋体"/>
                <w:color w:val="auto"/>
                <w:kern w:val="0"/>
                <w:szCs w:val="21"/>
                <w:highlight w:val="none"/>
              </w:rPr>
            </w:pPr>
          </w:p>
        </w:tc>
        <w:tc>
          <w:tcPr>
            <w:tcW w:w="914" w:type="dxa"/>
            <w:tcBorders>
              <w:top w:val="single" w:color="auto" w:sz="6" w:space="0"/>
              <w:left w:val="single" w:color="auto" w:sz="6" w:space="0"/>
              <w:bottom w:val="single" w:color="auto" w:sz="6" w:space="0"/>
              <w:right w:val="double" w:color="auto" w:sz="4" w:space="0"/>
            </w:tcBorders>
            <w:noWrap w:val="0"/>
            <w:vAlign w:val="top"/>
          </w:tcPr>
          <w:p w14:paraId="1A9A481C">
            <w:pPr>
              <w:autoSpaceDE w:val="0"/>
              <w:autoSpaceDN w:val="0"/>
              <w:adjustRightInd w:val="0"/>
              <w:snapToGrid w:val="0"/>
              <w:spacing w:line="360" w:lineRule="auto"/>
              <w:jc w:val="left"/>
              <w:rPr>
                <w:rFonts w:ascii="宋体" w:hAnsi="宋体" w:eastAsia="宋体"/>
                <w:color w:val="auto"/>
                <w:kern w:val="0"/>
                <w:szCs w:val="21"/>
                <w:highlight w:val="none"/>
              </w:rPr>
            </w:pPr>
          </w:p>
        </w:tc>
      </w:tr>
      <w:tr w14:paraId="7EB2B26B">
        <w:tblPrEx>
          <w:tblCellMar>
            <w:top w:w="0" w:type="dxa"/>
            <w:left w:w="0" w:type="dxa"/>
            <w:bottom w:w="0" w:type="dxa"/>
            <w:right w:w="0" w:type="dxa"/>
          </w:tblCellMar>
        </w:tblPrEx>
        <w:trPr>
          <w:trHeight w:val="415" w:hRule="exact"/>
        </w:trPr>
        <w:tc>
          <w:tcPr>
            <w:tcW w:w="7044" w:type="dxa"/>
            <w:gridSpan w:val="6"/>
            <w:tcBorders>
              <w:top w:val="single" w:color="auto" w:sz="6" w:space="0"/>
              <w:left w:val="double" w:color="auto" w:sz="4" w:space="0"/>
              <w:bottom w:val="double" w:color="auto" w:sz="4" w:space="0"/>
              <w:right w:val="single" w:color="auto" w:sz="6" w:space="0"/>
            </w:tcBorders>
            <w:noWrap w:val="0"/>
            <w:vAlign w:val="center"/>
          </w:tcPr>
          <w:p w14:paraId="5A8DFD9F">
            <w:pPr>
              <w:autoSpaceDE w:val="0"/>
              <w:autoSpaceDN w:val="0"/>
              <w:adjustRightInd w:val="0"/>
              <w:snapToGrid w:val="0"/>
              <w:spacing w:line="360" w:lineRule="auto"/>
              <w:jc w:val="center"/>
              <w:rPr>
                <w:rFonts w:ascii="宋体" w:hAnsi="宋体" w:eastAsia="宋体"/>
                <w:color w:val="auto"/>
                <w:kern w:val="0"/>
                <w:szCs w:val="21"/>
                <w:highlight w:val="none"/>
              </w:rPr>
            </w:pPr>
            <w:r>
              <w:rPr>
                <w:rFonts w:hint="eastAsia" w:ascii="宋体" w:hAnsi="宋体" w:eastAsia="宋体" w:cs="微软雅黑"/>
                <w:color w:val="auto"/>
                <w:kern w:val="0"/>
                <w:position w:val="-1"/>
                <w:szCs w:val="21"/>
                <w:highlight w:val="none"/>
              </w:rPr>
              <w:t>投标报价（元）：</w:t>
            </w:r>
          </w:p>
        </w:tc>
        <w:tc>
          <w:tcPr>
            <w:tcW w:w="916" w:type="dxa"/>
            <w:tcBorders>
              <w:top w:val="single" w:color="auto" w:sz="6" w:space="0"/>
              <w:left w:val="single" w:color="auto" w:sz="6" w:space="0"/>
              <w:bottom w:val="double" w:color="auto" w:sz="4" w:space="0"/>
              <w:right w:val="single" w:color="auto" w:sz="6" w:space="0"/>
            </w:tcBorders>
            <w:noWrap w:val="0"/>
            <w:vAlign w:val="top"/>
          </w:tcPr>
          <w:p w14:paraId="555D3E70">
            <w:pPr>
              <w:autoSpaceDE w:val="0"/>
              <w:autoSpaceDN w:val="0"/>
              <w:adjustRightInd w:val="0"/>
              <w:snapToGrid w:val="0"/>
              <w:spacing w:line="360" w:lineRule="auto"/>
              <w:jc w:val="left"/>
              <w:rPr>
                <w:rFonts w:ascii="宋体" w:hAnsi="宋体" w:eastAsia="宋体"/>
                <w:color w:val="auto"/>
                <w:kern w:val="0"/>
                <w:szCs w:val="21"/>
                <w:highlight w:val="none"/>
              </w:rPr>
            </w:pPr>
          </w:p>
        </w:tc>
        <w:tc>
          <w:tcPr>
            <w:tcW w:w="914" w:type="dxa"/>
            <w:tcBorders>
              <w:top w:val="single" w:color="auto" w:sz="6" w:space="0"/>
              <w:left w:val="single" w:color="auto" w:sz="6" w:space="0"/>
              <w:bottom w:val="double" w:color="auto" w:sz="4" w:space="0"/>
              <w:right w:val="double" w:color="auto" w:sz="4" w:space="0"/>
            </w:tcBorders>
            <w:noWrap w:val="0"/>
            <w:vAlign w:val="top"/>
          </w:tcPr>
          <w:p w14:paraId="57330C6D">
            <w:pPr>
              <w:autoSpaceDE w:val="0"/>
              <w:autoSpaceDN w:val="0"/>
              <w:adjustRightInd w:val="0"/>
              <w:snapToGrid w:val="0"/>
              <w:spacing w:line="360" w:lineRule="auto"/>
              <w:jc w:val="left"/>
              <w:rPr>
                <w:rFonts w:ascii="宋体" w:hAnsi="宋体" w:eastAsia="宋体"/>
                <w:color w:val="auto"/>
                <w:kern w:val="0"/>
                <w:szCs w:val="21"/>
                <w:highlight w:val="none"/>
              </w:rPr>
            </w:pPr>
          </w:p>
        </w:tc>
      </w:tr>
    </w:tbl>
    <w:p w14:paraId="54F24B34">
      <w:pPr>
        <w:adjustRightInd w:val="0"/>
        <w:snapToGrid w:val="0"/>
        <w:spacing w:line="360" w:lineRule="auto"/>
        <w:rPr>
          <w:rFonts w:ascii="宋体" w:hAnsi="宋体"/>
          <w:color w:val="auto"/>
          <w:szCs w:val="21"/>
          <w:highlight w:val="none"/>
        </w:rPr>
      </w:pPr>
      <w:r>
        <w:rPr>
          <w:rFonts w:hint="eastAsia" w:ascii="宋体" w:hAnsi="宋体"/>
          <w:color w:val="auto"/>
          <w:szCs w:val="21"/>
          <w:highlight w:val="none"/>
        </w:rPr>
        <w:t>注：</w:t>
      </w:r>
      <w:r>
        <w:rPr>
          <w:rFonts w:hint="eastAsia" w:ascii="宋体" w:hAnsi="宋体"/>
          <w:color w:val="auto"/>
          <w:szCs w:val="21"/>
          <w:highlight w:val="none"/>
          <w:lang w:val="en-US" w:eastAsia="zh-CN"/>
        </w:rPr>
        <w:t>1.</w:t>
      </w:r>
      <w:r>
        <w:rPr>
          <w:rFonts w:hint="eastAsia" w:ascii="宋体" w:hAnsi="宋体" w:eastAsia="宋体"/>
          <w:b/>
          <w:color w:val="auto"/>
          <w:szCs w:val="21"/>
          <w:highlight w:val="none"/>
        </w:rPr>
        <w:t>本表应对应</w:t>
      </w:r>
      <w:r>
        <w:rPr>
          <w:rFonts w:hint="eastAsia" w:ascii="宋体" w:hAnsi="宋体"/>
          <w:color w:val="auto"/>
          <w:szCs w:val="21"/>
          <w:highlight w:val="none"/>
        </w:rPr>
        <w:t>“</w:t>
      </w:r>
      <w:r>
        <w:rPr>
          <w:rFonts w:hint="eastAsia" w:ascii="宋体" w:hAnsi="宋体" w:eastAsia="宋体"/>
          <w:b/>
          <w:color w:val="auto"/>
          <w:szCs w:val="21"/>
          <w:highlight w:val="none"/>
        </w:rPr>
        <w:t>开标一览表</w:t>
      </w:r>
      <w:r>
        <w:rPr>
          <w:rFonts w:hint="eastAsia" w:ascii="宋体" w:hAnsi="宋体"/>
          <w:color w:val="auto"/>
          <w:szCs w:val="21"/>
          <w:highlight w:val="none"/>
        </w:rPr>
        <w:t>”</w:t>
      </w:r>
      <w:r>
        <w:rPr>
          <w:rFonts w:hint="eastAsia" w:ascii="宋体" w:hAnsi="宋体" w:eastAsia="宋体"/>
          <w:b/>
          <w:color w:val="auto"/>
          <w:szCs w:val="21"/>
          <w:highlight w:val="none"/>
        </w:rPr>
        <w:t>，按包填写</w:t>
      </w:r>
      <w:r>
        <w:rPr>
          <w:rFonts w:hint="eastAsia" w:ascii="宋体" w:hAnsi="宋体" w:eastAsia="宋体"/>
          <w:color w:val="auto"/>
          <w:szCs w:val="21"/>
          <w:highlight w:val="none"/>
        </w:rPr>
        <w:t>。</w:t>
      </w:r>
      <w:r>
        <w:rPr>
          <w:rFonts w:hint="eastAsia" w:ascii="宋体" w:hAnsi="宋体"/>
          <w:color w:val="auto"/>
          <w:szCs w:val="21"/>
          <w:highlight w:val="none"/>
        </w:rPr>
        <w:t>投标人如果不提供分项报价明细表，其</w:t>
      </w:r>
      <w:r>
        <w:rPr>
          <w:rFonts w:hint="eastAsia" w:ascii="宋体" w:hAnsi="宋体"/>
          <w:b/>
          <w:color w:val="auto"/>
          <w:szCs w:val="21"/>
          <w:highlight w:val="none"/>
        </w:rPr>
        <w:t>投标无效</w:t>
      </w:r>
      <w:r>
        <w:rPr>
          <w:rFonts w:hint="eastAsia" w:ascii="宋体" w:hAnsi="宋体"/>
          <w:color w:val="auto"/>
          <w:szCs w:val="21"/>
          <w:highlight w:val="none"/>
        </w:rPr>
        <w:t>。</w:t>
      </w:r>
    </w:p>
    <w:p w14:paraId="2EEFE713">
      <w:pPr>
        <w:adjustRightInd w:val="0"/>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lang w:val="en-US" w:eastAsia="zh-CN"/>
        </w:rPr>
        <w:t>2.</w:t>
      </w:r>
      <w:r>
        <w:rPr>
          <w:rFonts w:hint="eastAsia" w:ascii="宋体" w:hAnsi="宋体"/>
          <w:color w:val="auto"/>
          <w:szCs w:val="21"/>
          <w:highlight w:val="none"/>
        </w:rPr>
        <w:t>不得填写“免费”或“赠与”，也不得进行“零”报价，否则</w:t>
      </w:r>
      <w:r>
        <w:rPr>
          <w:rFonts w:hint="eastAsia" w:ascii="宋体" w:hAnsi="宋体"/>
          <w:b/>
          <w:color w:val="auto"/>
          <w:szCs w:val="21"/>
          <w:highlight w:val="none"/>
        </w:rPr>
        <w:t>投标无效</w:t>
      </w:r>
      <w:r>
        <w:rPr>
          <w:rFonts w:hint="eastAsia" w:ascii="宋体" w:hAnsi="宋体"/>
          <w:color w:val="auto"/>
          <w:szCs w:val="21"/>
          <w:highlight w:val="none"/>
        </w:rPr>
        <w:t>。</w:t>
      </w:r>
    </w:p>
    <w:p w14:paraId="0B9A93B2">
      <w:pPr>
        <w:adjustRightInd w:val="0"/>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lang w:val="en-US" w:eastAsia="zh-CN"/>
        </w:rPr>
        <w:t>3.</w:t>
      </w:r>
      <w:r>
        <w:rPr>
          <w:rFonts w:hint="eastAsia" w:ascii="宋体" w:hAnsi="宋体"/>
          <w:color w:val="auto"/>
          <w:szCs w:val="21"/>
          <w:highlight w:val="none"/>
        </w:rPr>
        <w:t>如果开标一览表内容与本表内容不一致的，以开标一览表内容为准。</w:t>
      </w:r>
    </w:p>
    <w:p w14:paraId="285DA282">
      <w:pPr>
        <w:adjustRightInd w:val="0"/>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lang w:val="en-US" w:eastAsia="zh-CN"/>
        </w:rPr>
        <w:t>4.</w:t>
      </w:r>
      <w:r>
        <w:rPr>
          <w:rFonts w:hint="eastAsia" w:ascii="宋体" w:hAnsi="宋体" w:eastAsia="宋体"/>
          <w:bCs/>
          <w:color w:val="auto"/>
          <w:szCs w:val="21"/>
          <w:highlight w:val="none"/>
        </w:rPr>
        <w:t>投标人在投标截止时间前修改“开标一览表”中的投标报价的，应按第二章第13.7款规定修改本表相应内容。否则，</w:t>
      </w:r>
      <w:r>
        <w:rPr>
          <w:rFonts w:hint="eastAsia" w:ascii="宋体" w:hAnsi="宋体"/>
          <w:color w:val="auto"/>
          <w:szCs w:val="21"/>
          <w:highlight w:val="none"/>
        </w:rPr>
        <w:t>本表相应内容按投标报价修改的相同比例进行调整。</w:t>
      </w:r>
    </w:p>
    <w:p w14:paraId="0E684E6B">
      <w:pPr>
        <w:adjustRightInd w:val="0"/>
        <w:snapToGrid w:val="0"/>
        <w:spacing w:line="360" w:lineRule="auto"/>
        <w:rPr>
          <w:rFonts w:ascii="宋体" w:hAnsi="宋体"/>
          <w:color w:val="auto"/>
          <w:szCs w:val="21"/>
          <w:highlight w:val="none"/>
        </w:rPr>
      </w:pPr>
    </w:p>
    <w:p w14:paraId="09F6AE57">
      <w:pPr>
        <w:adjustRightInd w:val="0"/>
        <w:snapToGrid w:val="0"/>
        <w:spacing w:line="360" w:lineRule="auto"/>
        <w:rPr>
          <w:rFonts w:ascii="宋体" w:hAnsi="宋体"/>
          <w:color w:val="auto"/>
          <w:szCs w:val="21"/>
          <w:highlight w:val="none"/>
        </w:rPr>
      </w:pPr>
      <w:r>
        <w:rPr>
          <w:rFonts w:hint="eastAsia" w:ascii="宋体" w:hAnsi="宋体"/>
          <w:color w:val="auto"/>
          <w:szCs w:val="21"/>
          <w:highlight w:val="none"/>
        </w:rPr>
        <w:t>投标人名称（盖单位章）：</w:t>
      </w:r>
    </w:p>
    <w:p w14:paraId="68B06131">
      <w:pPr>
        <w:adjustRightInd w:val="0"/>
        <w:snapToGrid w:val="0"/>
        <w:spacing w:line="360" w:lineRule="auto"/>
        <w:rPr>
          <w:rFonts w:ascii="宋体" w:hAnsi="宋体"/>
          <w:color w:val="auto"/>
          <w:szCs w:val="21"/>
          <w:highlight w:val="none"/>
        </w:rPr>
      </w:pPr>
      <w:r>
        <w:rPr>
          <w:rFonts w:hint="eastAsia" w:ascii="宋体" w:hAnsi="宋体" w:eastAsia="宋体" w:cs="微软雅黑"/>
          <w:color w:val="auto"/>
          <w:spacing w:val="-2"/>
          <w:kern w:val="0"/>
          <w:szCs w:val="21"/>
          <w:highlight w:val="none"/>
        </w:rPr>
        <w:t>法</w:t>
      </w:r>
      <w:r>
        <w:rPr>
          <w:rFonts w:hint="eastAsia" w:ascii="宋体" w:hAnsi="宋体" w:eastAsia="宋体" w:cs="微软雅黑"/>
          <w:color w:val="auto"/>
          <w:kern w:val="0"/>
          <w:szCs w:val="21"/>
          <w:highlight w:val="none"/>
        </w:rPr>
        <w:t>定</w:t>
      </w:r>
      <w:r>
        <w:rPr>
          <w:rFonts w:hint="eastAsia" w:ascii="宋体" w:hAnsi="宋体" w:eastAsia="宋体" w:cs="微软雅黑"/>
          <w:color w:val="auto"/>
          <w:spacing w:val="-2"/>
          <w:kern w:val="0"/>
          <w:szCs w:val="21"/>
          <w:highlight w:val="none"/>
        </w:rPr>
        <w:t>代</w:t>
      </w:r>
      <w:r>
        <w:rPr>
          <w:rFonts w:hint="eastAsia" w:ascii="宋体" w:hAnsi="宋体" w:eastAsia="宋体" w:cs="微软雅黑"/>
          <w:color w:val="auto"/>
          <w:kern w:val="0"/>
          <w:szCs w:val="21"/>
          <w:highlight w:val="none"/>
        </w:rPr>
        <w:t>表</w:t>
      </w:r>
      <w:r>
        <w:rPr>
          <w:rFonts w:hint="eastAsia" w:ascii="宋体" w:hAnsi="宋体" w:eastAsia="宋体" w:cs="微软雅黑"/>
          <w:color w:val="auto"/>
          <w:spacing w:val="-2"/>
          <w:kern w:val="0"/>
          <w:szCs w:val="21"/>
          <w:highlight w:val="none"/>
        </w:rPr>
        <w:t>人</w:t>
      </w:r>
      <w:r>
        <w:rPr>
          <w:rFonts w:hint="eastAsia" w:ascii="宋体" w:hAnsi="宋体" w:eastAsia="宋体" w:cs="微软雅黑"/>
          <w:color w:val="auto"/>
          <w:kern w:val="0"/>
          <w:szCs w:val="21"/>
          <w:highlight w:val="none"/>
        </w:rPr>
        <w:t>（</w:t>
      </w:r>
      <w:r>
        <w:rPr>
          <w:rFonts w:hint="eastAsia" w:ascii="宋体" w:hAnsi="宋体" w:eastAsia="宋体" w:cs="微软雅黑"/>
          <w:color w:val="auto"/>
          <w:spacing w:val="-2"/>
          <w:kern w:val="0"/>
          <w:szCs w:val="21"/>
          <w:highlight w:val="none"/>
        </w:rPr>
        <w:t>单</w:t>
      </w:r>
      <w:r>
        <w:rPr>
          <w:rFonts w:hint="eastAsia" w:ascii="宋体" w:hAnsi="宋体" w:eastAsia="宋体" w:cs="微软雅黑"/>
          <w:color w:val="auto"/>
          <w:kern w:val="0"/>
          <w:szCs w:val="21"/>
          <w:highlight w:val="none"/>
        </w:rPr>
        <w:t>位</w:t>
      </w:r>
      <w:r>
        <w:rPr>
          <w:rFonts w:hint="eastAsia" w:ascii="宋体" w:hAnsi="宋体" w:eastAsia="宋体" w:cs="微软雅黑"/>
          <w:color w:val="auto"/>
          <w:spacing w:val="-2"/>
          <w:kern w:val="0"/>
          <w:szCs w:val="21"/>
          <w:highlight w:val="none"/>
        </w:rPr>
        <w:t>负</w:t>
      </w:r>
      <w:r>
        <w:rPr>
          <w:rFonts w:hint="eastAsia" w:ascii="宋体" w:hAnsi="宋体" w:eastAsia="宋体" w:cs="微软雅黑"/>
          <w:color w:val="auto"/>
          <w:kern w:val="0"/>
          <w:szCs w:val="21"/>
          <w:highlight w:val="none"/>
        </w:rPr>
        <w:t>责人</w:t>
      </w:r>
      <w:r>
        <w:rPr>
          <w:rFonts w:hint="eastAsia" w:ascii="宋体" w:hAnsi="宋体" w:eastAsia="宋体" w:cs="微软雅黑"/>
          <w:color w:val="auto"/>
          <w:spacing w:val="-2"/>
          <w:kern w:val="0"/>
          <w:szCs w:val="21"/>
          <w:highlight w:val="none"/>
        </w:rPr>
        <w:t>）</w:t>
      </w:r>
      <w:r>
        <w:rPr>
          <w:rFonts w:hint="eastAsia" w:ascii="宋体" w:hAnsi="宋体"/>
          <w:color w:val="auto"/>
          <w:szCs w:val="21"/>
          <w:highlight w:val="none"/>
        </w:rPr>
        <w:t>或其授权的代理人（签字或印章）：</w:t>
      </w:r>
      <w:r>
        <w:rPr>
          <w:rFonts w:hint="eastAsia" w:ascii="宋体" w:hAnsi="宋体"/>
          <w:color w:val="auto"/>
          <w:szCs w:val="21"/>
          <w:highlight w:val="none"/>
          <w:u w:val="single"/>
        </w:rPr>
        <w:t xml:space="preserve">       </w:t>
      </w:r>
    </w:p>
    <w:p w14:paraId="21C2887F">
      <w:pPr>
        <w:adjustRightInd w:val="0"/>
        <w:snapToGrid w:val="0"/>
        <w:spacing w:line="360" w:lineRule="auto"/>
        <w:rPr>
          <w:rFonts w:ascii="宋体" w:hAnsi="宋体"/>
          <w:color w:val="auto"/>
          <w:szCs w:val="21"/>
          <w:highlight w:val="none"/>
        </w:rPr>
      </w:pPr>
      <w:r>
        <w:rPr>
          <w:rFonts w:hint="eastAsia" w:ascii="宋体" w:hAnsi="宋体"/>
          <w:color w:val="auto"/>
          <w:szCs w:val="21"/>
          <w:highlight w:val="none"/>
        </w:rPr>
        <w:t>日期：</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w:t>
      </w:r>
    </w:p>
    <w:p w14:paraId="7E9428E7">
      <w:pPr>
        <w:adjustRightInd w:val="0"/>
        <w:snapToGrid w:val="0"/>
        <w:spacing w:line="360" w:lineRule="auto"/>
        <w:jc w:val="both"/>
        <w:rPr>
          <w:rFonts w:ascii="宋体" w:hAnsi="宋体"/>
          <w:color w:val="auto"/>
          <w:szCs w:val="21"/>
          <w:highlight w:val="none"/>
        </w:rPr>
        <w:sectPr>
          <w:pgSz w:w="11906" w:h="16838"/>
          <w:pgMar w:top="1474" w:right="1474" w:bottom="1474" w:left="1588" w:header="851" w:footer="992" w:gutter="0"/>
          <w:pgBorders>
            <w:top w:val="none" w:sz="0" w:space="0"/>
            <w:left w:val="none" w:sz="0" w:space="0"/>
            <w:bottom w:val="none" w:sz="0" w:space="0"/>
            <w:right w:val="none" w:sz="0" w:space="0"/>
          </w:pgBorders>
          <w:pgNumType w:fmt="decimal"/>
          <w:cols w:space="720" w:num="1"/>
          <w:docGrid w:type="lines" w:linePitch="312" w:charSpace="0"/>
        </w:sectPr>
      </w:pPr>
    </w:p>
    <w:p w14:paraId="32A874A5">
      <w:pPr>
        <w:pStyle w:val="4"/>
        <w:adjustRightInd w:val="0"/>
        <w:snapToGrid w:val="0"/>
        <w:spacing w:before="0" w:after="0" w:line="360" w:lineRule="auto"/>
        <w:jc w:val="center"/>
        <w:rPr>
          <w:rFonts w:ascii="黑体" w:hAnsi="宋体" w:eastAsia="黑体"/>
          <w:color w:val="auto"/>
          <w:sz w:val="28"/>
          <w:szCs w:val="28"/>
          <w:highlight w:val="none"/>
        </w:rPr>
      </w:pPr>
      <w:bookmarkStart w:id="144" w:name="_Toc30088"/>
      <w:r>
        <w:rPr>
          <w:rFonts w:hint="eastAsia" w:ascii="黑体" w:hAnsi="宋体" w:eastAsia="黑体"/>
          <w:color w:val="auto"/>
          <w:sz w:val="28"/>
          <w:szCs w:val="28"/>
          <w:highlight w:val="none"/>
        </w:rPr>
        <w:t>七、采购需求响应</w:t>
      </w:r>
      <w:bookmarkEnd w:id="144"/>
    </w:p>
    <w:p w14:paraId="2769CB39">
      <w:pPr>
        <w:adjustRightInd w:val="0"/>
        <w:snapToGrid w:val="0"/>
        <w:spacing w:line="360" w:lineRule="auto"/>
        <w:rPr>
          <w:rFonts w:ascii="宋体" w:hAnsi="宋体" w:eastAsia="宋体"/>
          <w:b/>
          <w:color w:val="auto"/>
          <w:szCs w:val="21"/>
          <w:highlight w:val="none"/>
        </w:rPr>
      </w:pPr>
    </w:p>
    <w:p w14:paraId="761EB42A">
      <w:pPr>
        <w:adjustRightInd w:val="0"/>
        <w:snapToGrid w:val="0"/>
        <w:spacing w:line="360" w:lineRule="auto"/>
        <w:rPr>
          <w:b/>
          <w:color w:val="auto"/>
          <w:highlight w:val="none"/>
        </w:rPr>
      </w:pPr>
      <w:r>
        <w:rPr>
          <w:rFonts w:hint="eastAsia" w:ascii="宋体" w:hAnsi="宋体" w:eastAsia="宋体"/>
          <w:b/>
          <w:color w:val="auto"/>
          <w:szCs w:val="21"/>
          <w:highlight w:val="none"/>
        </w:rPr>
        <w:t>编制说明</w:t>
      </w:r>
      <w:r>
        <w:rPr>
          <w:rFonts w:hint="eastAsia" w:ascii="宋体" w:hAnsi="宋体" w:eastAsia="宋体"/>
          <w:bCs/>
          <w:color w:val="auto"/>
          <w:szCs w:val="21"/>
          <w:highlight w:val="none"/>
        </w:rPr>
        <w:t>：</w:t>
      </w:r>
      <w:r>
        <w:rPr>
          <w:rFonts w:hint="eastAsia"/>
          <w:b/>
          <w:color w:val="auto"/>
          <w:highlight w:val="none"/>
        </w:rPr>
        <w:t>投标人应按招标文件第五章采购需求自行编写采购需求响应文件（其内容可包括，且不限于详细的技术指标和性能、售后服务和技术服务的组织及保证措施等，格式自拟）。</w:t>
      </w:r>
    </w:p>
    <w:p w14:paraId="7678DFE9">
      <w:pPr>
        <w:pStyle w:val="14"/>
        <w:adjustRightInd w:val="0"/>
        <w:snapToGrid w:val="0"/>
        <w:spacing w:line="360" w:lineRule="auto"/>
        <w:ind w:left="-88" w:leftChars="-42"/>
        <w:rPr>
          <w:rFonts w:ascii="宋体" w:hAnsi="宋体"/>
          <w:bCs/>
          <w:color w:val="auto"/>
          <w:sz w:val="21"/>
          <w:szCs w:val="21"/>
          <w:highlight w:val="none"/>
        </w:rPr>
      </w:pPr>
    </w:p>
    <w:p w14:paraId="63F77557">
      <w:pPr>
        <w:rPr>
          <w:color w:val="auto"/>
          <w:highlight w:val="none"/>
        </w:rPr>
      </w:pPr>
    </w:p>
    <w:p w14:paraId="4888ADCE">
      <w:pPr>
        <w:rPr>
          <w:color w:val="auto"/>
          <w:highlight w:val="none"/>
        </w:rPr>
      </w:pPr>
    </w:p>
    <w:p w14:paraId="3237B8BA">
      <w:pPr>
        <w:pStyle w:val="14"/>
        <w:tabs>
          <w:tab w:val="left" w:pos="6208"/>
        </w:tabs>
        <w:adjustRightInd w:val="0"/>
        <w:snapToGrid w:val="0"/>
        <w:spacing w:line="360" w:lineRule="auto"/>
        <w:ind w:left="-88" w:leftChars="-42"/>
        <w:rPr>
          <w:rFonts w:ascii="宋体" w:hAnsi="宋体"/>
          <w:bCs/>
          <w:color w:val="auto"/>
          <w:sz w:val="21"/>
          <w:szCs w:val="21"/>
          <w:highlight w:val="none"/>
        </w:rPr>
      </w:pPr>
    </w:p>
    <w:p w14:paraId="54FF14C0">
      <w:pPr>
        <w:adjustRightInd w:val="0"/>
        <w:snapToGrid w:val="0"/>
        <w:spacing w:line="360" w:lineRule="auto"/>
        <w:rPr>
          <w:rFonts w:ascii="宋体" w:hAnsi="宋体"/>
          <w:color w:val="auto"/>
          <w:szCs w:val="21"/>
          <w:highlight w:val="none"/>
        </w:rPr>
      </w:pPr>
    </w:p>
    <w:p w14:paraId="2EB60BE1">
      <w:pPr>
        <w:adjustRightInd w:val="0"/>
        <w:snapToGrid w:val="0"/>
        <w:spacing w:line="360" w:lineRule="auto"/>
        <w:rPr>
          <w:rFonts w:ascii="宋体" w:hAnsi="宋体"/>
          <w:color w:val="auto"/>
          <w:szCs w:val="21"/>
          <w:highlight w:val="none"/>
        </w:rPr>
      </w:pPr>
      <w:r>
        <w:rPr>
          <w:rFonts w:hint="eastAsia" w:ascii="宋体" w:hAnsi="宋体"/>
          <w:color w:val="auto"/>
          <w:szCs w:val="21"/>
          <w:highlight w:val="none"/>
        </w:rPr>
        <w:t>投标人名称（盖单位章）：</w:t>
      </w:r>
    </w:p>
    <w:p w14:paraId="7BE17B10">
      <w:pPr>
        <w:adjustRightInd w:val="0"/>
        <w:snapToGrid w:val="0"/>
        <w:spacing w:line="360" w:lineRule="auto"/>
        <w:rPr>
          <w:rFonts w:ascii="宋体" w:hAnsi="宋体"/>
          <w:color w:val="auto"/>
          <w:szCs w:val="21"/>
          <w:highlight w:val="none"/>
          <w:u w:val="single"/>
        </w:rPr>
      </w:pPr>
      <w:r>
        <w:rPr>
          <w:rFonts w:hint="eastAsia" w:ascii="宋体" w:hAnsi="宋体" w:eastAsia="宋体" w:cs="微软雅黑"/>
          <w:color w:val="auto"/>
          <w:spacing w:val="-2"/>
          <w:kern w:val="0"/>
          <w:szCs w:val="21"/>
          <w:highlight w:val="none"/>
        </w:rPr>
        <w:t>法</w:t>
      </w:r>
      <w:r>
        <w:rPr>
          <w:rFonts w:hint="eastAsia" w:ascii="宋体" w:hAnsi="宋体" w:eastAsia="宋体" w:cs="微软雅黑"/>
          <w:color w:val="auto"/>
          <w:kern w:val="0"/>
          <w:szCs w:val="21"/>
          <w:highlight w:val="none"/>
        </w:rPr>
        <w:t>定</w:t>
      </w:r>
      <w:r>
        <w:rPr>
          <w:rFonts w:hint="eastAsia" w:ascii="宋体" w:hAnsi="宋体" w:eastAsia="宋体" w:cs="微软雅黑"/>
          <w:color w:val="auto"/>
          <w:spacing w:val="-2"/>
          <w:kern w:val="0"/>
          <w:szCs w:val="21"/>
          <w:highlight w:val="none"/>
        </w:rPr>
        <w:t>代</w:t>
      </w:r>
      <w:r>
        <w:rPr>
          <w:rFonts w:hint="eastAsia" w:ascii="宋体" w:hAnsi="宋体" w:eastAsia="宋体" w:cs="微软雅黑"/>
          <w:color w:val="auto"/>
          <w:kern w:val="0"/>
          <w:szCs w:val="21"/>
          <w:highlight w:val="none"/>
        </w:rPr>
        <w:t>表</w:t>
      </w:r>
      <w:r>
        <w:rPr>
          <w:rFonts w:hint="eastAsia" w:ascii="宋体" w:hAnsi="宋体" w:eastAsia="宋体" w:cs="微软雅黑"/>
          <w:color w:val="auto"/>
          <w:spacing w:val="-2"/>
          <w:kern w:val="0"/>
          <w:szCs w:val="21"/>
          <w:highlight w:val="none"/>
        </w:rPr>
        <w:t>人</w:t>
      </w:r>
      <w:r>
        <w:rPr>
          <w:rFonts w:hint="eastAsia" w:ascii="宋体" w:hAnsi="宋体" w:eastAsia="宋体" w:cs="微软雅黑"/>
          <w:color w:val="auto"/>
          <w:kern w:val="0"/>
          <w:szCs w:val="21"/>
          <w:highlight w:val="none"/>
        </w:rPr>
        <w:t>（</w:t>
      </w:r>
      <w:r>
        <w:rPr>
          <w:rFonts w:hint="eastAsia" w:ascii="宋体" w:hAnsi="宋体" w:eastAsia="宋体" w:cs="微软雅黑"/>
          <w:color w:val="auto"/>
          <w:spacing w:val="-2"/>
          <w:kern w:val="0"/>
          <w:szCs w:val="21"/>
          <w:highlight w:val="none"/>
        </w:rPr>
        <w:t>单</w:t>
      </w:r>
      <w:r>
        <w:rPr>
          <w:rFonts w:hint="eastAsia" w:ascii="宋体" w:hAnsi="宋体" w:eastAsia="宋体" w:cs="微软雅黑"/>
          <w:color w:val="auto"/>
          <w:kern w:val="0"/>
          <w:szCs w:val="21"/>
          <w:highlight w:val="none"/>
        </w:rPr>
        <w:t>位</w:t>
      </w:r>
      <w:r>
        <w:rPr>
          <w:rFonts w:hint="eastAsia" w:ascii="宋体" w:hAnsi="宋体" w:eastAsia="宋体" w:cs="微软雅黑"/>
          <w:color w:val="auto"/>
          <w:spacing w:val="-2"/>
          <w:kern w:val="0"/>
          <w:szCs w:val="21"/>
          <w:highlight w:val="none"/>
        </w:rPr>
        <w:t>负</w:t>
      </w:r>
      <w:r>
        <w:rPr>
          <w:rFonts w:hint="eastAsia" w:ascii="宋体" w:hAnsi="宋体" w:eastAsia="宋体" w:cs="微软雅黑"/>
          <w:color w:val="auto"/>
          <w:kern w:val="0"/>
          <w:szCs w:val="21"/>
          <w:highlight w:val="none"/>
        </w:rPr>
        <w:t>责人</w:t>
      </w:r>
      <w:r>
        <w:rPr>
          <w:rFonts w:hint="eastAsia" w:ascii="宋体" w:hAnsi="宋体" w:eastAsia="宋体" w:cs="微软雅黑"/>
          <w:color w:val="auto"/>
          <w:spacing w:val="-2"/>
          <w:kern w:val="0"/>
          <w:szCs w:val="21"/>
          <w:highlight w:val="none"/>
        </w:rPr>
        <w:t>）</w:t>
      </w:r>
      <w:r>
        <w:rPr>
          <w:rFonts w:hint="eastAsia" w:ascii="宋体" w:hAnsi="宋体"/>
          <w:color w:val="auto"/>
          <w:szCs w:val="21"/>
          <w:highlight w:val="none"/>
        </w:rPr>
        <w:t>或其授权的代理人（签字或印章）：</w:t>
      </w:r>
      <w:r>
        <w:rPr>
          <w:rFonts w:hint="eastAsia" w:ascii="宋体" w:hAnsi="宋体"/>
          <w:color w:val="auto"/>
          <w:szCs w:val="21"/>
          <w:highlight w:val="none"/>
          <w:u w:val="single"/>
        </w:rPr>
        <w:t xml:space="preserve">             </w:t>
      </w:r>
    </w:p>
    <w:p w14:paraId="2DE90A40">
      <w:pPr>
        <w:adjustRightInd w:val="0"/>
        <w:snapToGrid w:val="0"/>
        <w:spacing w:line="360" w:lineRule="auto"/>
        <w:rPr>
          <w:rFonts w:ascii="宋体" w:hAnsi="宋体"/>
          <w:color w:val="auto"/>
          <w:szCs w:val="21"/>
          <w:highlight w:val="none"/>
        </w:rPr>
      </w:pPr>
      <w:r>
        <w:rPr>
          <w:rFonts w:hint="eastAsia" w:ascii="宋体" w:hAnsi="宋体"/>
          <w:color w:val="auto"/>
          <w:szCs w:val="21"/>
          <w:highlight w:val="none"/>
        </w:rPr>
        <w:t>日期：</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w:t>
      </w:r>
    </w:p>
    <w:p w14:paraId="561B195F">
      <w:pPr>
        <w:rPr>
          <w:color w:val="auto"/>
          <w:highlight w:val="none"/>
        </w:rPr>
      </w:pPr>
    </w:p>
    <w:p w14:paraId="59DAB155">
      <w:pPr>
        <w:rPr>
          <w:color w:val="auto"/>
          <w:highlight w:val="none"/>
        </w:rPr>
      </w:pPr>
    </w:p>
    <w:p w14:paraId="5896A221">
      <w:pPr>
        <w:pStyle w:val="5"/>
        <w:adjustRightInd w:val="0"/>
        <w:snapToGrid w:val="0"/>
        <w:spacing w:before="156" w:beforeLines="50" w:after="0" w:line="360" w:lineRule="auto"/>
        <w:rPr>
          <w:rFonts w:ascii="黑体" w:hAnsi="黑体"/>
          <w:b w:val="0"/>
          <w:color w:val="auto"/>
          <w:sz w:val="21"/>
          <w:szCs w:val="21"/>
          <w:highlight w:val="none"/>
        </w:rPr>
      </w:pPr>
      <w:bookmarkStart w:id="145" w:name="_Toc1420"/>
      <w:bookmarkStart w:id="146" w:name="_Toc30601"/>
      <w:r>
        <w:rPr>
          <w:rFonts w:hint="eastAsia" w:ascii="黑体" w:hAnsi="黑体" w:cs="宋体"/>
          <w:b w:val="0"/>
          <w:color w:val="auto"/>
          <w:spacing w:val="6"/>
          <w:kern w:val="0"/>
          <w:sz w:val="21"/>
          <w:szCs w:val="21"/>
          <w:highlight w:val="none"/>
        </w:rPr>
        <w:t>附件7-1 响应</w:t>
      </w:r>
      <w:r>
        <w:rPr>
          <w:rFonts w:hint="eastAsia" w:ascii="黑体" w:hAnsi="黑体"/>
          <w:b w:val="0"/>
          <w:color w:val="auto"/>
          <w:sz w:val="21"/>
          <w:szCs w:val="21"/>
          <w:highlight w:val="none"/>
          <w:lang w:eastAsia="zh-CN"/>
        </w:rPr>
        <w:t>一</w:t>
      </w:r>
      <w:r>
        <w:rPr>
          <w:rFonts w:hint="eastAsia" w:ascii="黑体" w:hAnsi="黑体"/>
          <w:b w:val="0"/>
          <w:color w:val="auto"/>
          <w:sz w:val="21"/>
          <w:szCs w:val="21"/>
          <w:highlight w:val="none"/>
        </w:rPr>
        <w:t>览表</w:t>
      </w:r>
      <w:bookmarkEnd w:id="145"/>
      <w:bookmarkEnd w:id="146"/>
    </w:p>
    <w:p w14:paraId="2E45AE3E">
      <w:pPr>
        <w:adjustRightInd w:val="0"/>
        <w:snapToGrid w:val="0"/>
        <w:spacing w:before="156" w:beforeLines="50" w:line="360" w:lineRule="auto"/>
        <w:jc w:val="center"/>
        <w:rPr>
          <w:rFonts w:ascii="黑体" w:hAnsi="黑体" w:eastAsia="黑体"/>
          <w:b/>
          <w:bCs/>
          <w:color w:val="auto"/>
          <w:sz w:val="28"/>
          <w:szCs w:val="28"/>
          <w:highlight w:val="none"/>
        </w:rPr>
      </w:pPr>
      <w:r>
        <w:rPr>
          <w:rFonts w:hint="eastAsia" w:ascii="黑体" w:hAnsi="黑体" w:eastAsia="黑体"/>
          <w:b/>
          <w:bCs/>
          <w:color w:val="auto"/>
          <w:sz w:val="28"/>
          <w:szCs w:val="28"/>
          <w:highlight w:val="none"/>
        </w:rPr>
        <w:t>响应</w:t>
      </w:r>
      <w:r>
        <w:rPr>
          <w:rFonts w:hint="eastAsia" w:ascii="黑体" w:hAnsi="黑体" w:eastAsia="黑体"/>
          <w:b/>
          <w:bCs/>
          <w:color w:val="auto"/>
          <w:sz w:val="28"/>
          <w:szCs w:val="28"/>
          <w:highlight w:val="none"/>
          <w:lang w:eastAsia="zh-CN"/>
        </w:rPr>
        <w:t>一</w:t>
      </w:r>
      <w:r>
        <w:rPr>
          <w:rFonts w:hint="eastAsia" w:ascii="黑体" w:hAnsi="黑体" w:eastAsia="黑体"/>
          <w:b/>
          <w:bCs/>
          <w:color w:val="auto"/>
          <w:sz w:val="28"/>
          <w:szCs w:val="28"/>
          <w:highlight w:val="none"/>
        </w:rPr>
        <w:t>览表</w:t>
      </w:r>
    </w:p>
    <w:p w14:paraId="5D3AB086">
      <w:pPr>
        <w:jc w:val="center"/>
        <w:rPr>
          <w:rFonts w:ascii="宋体" w:hAnsi="宋体" w:eastAsia="宋体"/>
          <w:color w:val="auto"/>
          <w:szCs w:val="21"/>
          <w:highlight w:val="none"/>
        </w:rPr>
      </w:pPr>
    </w:p>
    <w:tbl>
      <w:tblPr>
        <w:tblStyle w:val="25"/>
        <w:tblW w:w="0" w:type="auto"/>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429"/>
        <w:gridCol w:w="957"/>
        <w:gridCol w:w="2124"/>
        <w:gridCol w:w="2127"/>
        <w:gridCol w:w="992"/>
        <w:gridCol w:w="1136"/>
        <w:gridCol w:w="1200"/>
      </w:tblGrid>
      <w:tr w14:paraId="4F182D5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880" w:hRule="atLeast"/>
        </w:trPr>
        <w:tc>
          <w:tcPr>
            <w:tcW w:w="429" w:type="dxa"/>
            <w:noWrap w:val="0"/>
            <w:vAlign w:val="center"/>
          </w:tcPr>
          <w:p w14:paraId="169A3C16">
            <w:pPr>
              <w:jc w:val="center"/>
              <w:rPr>
                <w:color w:val="auto"/>
                <w:szCs w:val="21"/>
                <w:highlight w:val="none"/>
              </w:rPr>
            </w:pPr>
            <w:r>
              <w:rPr>
                <w:rFonts w:hint="eastAsia"/>
                <w:color w:val="auto"/>
                <w:szCs w:val="21"/>
                <w:highlight w:val="none"/>
              </w:rPr>
              <w:t xml:space="preserve">包号 </w:t>
            </w:r>
          </w:p>
        </w:tc>
        <w:tc>
          <w:tcPr>
            <w:tcW w:w="957" w:type="dxa"/>
            <w:tcBorders>
              <w:right w:val="single" w:color="auto" w:sz="4" w:space="0"/>
            </w:tcBorders>
            <w:noWrap w:val="0"/>
            <w:vAlign w:val="center"/>
          </w:tcPr>
          <w:p w14:paraId="447EA2CB">
            <w:pPr>
              <w:jc w:val="center"/>
              <w:rPr>
                <w:color w:val="auto"/>
                <w:szCs w:val="21"/>
                <w:highlight w:val="none"/>
              </w:rPr>
            </w:pPr>
            <w:r>
              <w:rPr>
                <w:rFonts w:hint="eastAsia"/>
                <w:color w:val="auto"/>
                <w:szCs w:val="21"/>
                <w:highlight w:val="none"/>
              </w:rPr>
              <w:t>包名称</w:t>
            </w:r>
          </w:p>
        </w:tc>
        <w:tc>
          <w:tcPr>
            <w:tcW w:w="2124" w:type="dxa"/>
            <w:tcBorders>
              <w:left w:val="single" w:color="auto" w:sz="4" w:space="0"/>
            </w:tcBorders>
            <w:noWrap w:val="0"/>
            <w:vAlign w:val="center"/>
          </w:tcPr>
          <w:p w14:paraId="46B9A3A2">
            <w:pPr>
              <w:jc w:val="center"/>
              <w:rPr>
                <w:color w:val="auto"/>
                <w:szCs w:val="21"/>
                <w:highlight w:val="none"/>
              </w:rPr>
            </w:pPr>
            <w:r>
              <w:rPr>
                <w:rFonts w:hint="eastAsia"/>
                <w:color w:val="auto"/>
                <w:szCs w:val="21"/>
                <w:highlight w:val="none"/>
              </w:rPr>
              <w:t>标的名称</w:t>
            </w:r>
          </w:p>
        </w:tc>
        <w:tc>
          <w:tcPr>
            <w:tcW w:w="2127" w:type="dxa"/>
            <w:noWrap w:val="0"/>
            <w:vAlign w:val="center"/>
          </w:tcPr>
          <w:p w14:paraId="1968F743">
            <w:pPr>
              <w:jc w:val="center"/>
              <w:rPr>
                <w:color w:val="auto"/>
                <w:szCs w:val="21"/>
                <w:highlight w:val="none"/>
              </w:rPr>
            </w:pPr>
            <w:r>
              <w:rPr>
                <w:rFonts w:hint="eastAsia"/>
                <w:color w:val="auto"/>
                <w:szCs w:val="21"/>
                <w:highlight w:val="none"/>
              </w:rPr>
              <w:t>主要技术参数或规格</w:t>
            </w:r>
          </w:p>
        </w:tc>
        <w:tc>
          <w:tcPr>
            <w:tcW w:w="992" w:type="dxa"/>
            <w:noWrap w:val="0"/>
            <w:vAlign w:val="center"/>
          </w:tcPr>
          <w:p w14:paraId="237CCE3A">
            <w:pPr>
              <w:jc w:val="center"/>
              <w:rPr>
                <w:color w:val="auto"/>
                <w:szCs w:val="21"/>
                <w:highlight w:val="none"/>
              </w:rPr>
            </w:pPr>
            <w:r>
              <w:rPr>
                <w:rFonts w:hint="eastAsia"/>
                <w:color w:val="auto"/>
                <w:szCs w:val="21"/>
                <w:highlight w:val="none"/>
              </w:rPr>
              <w:t>数量</w:t>
            </w:r>
          </w:p>
        </w:tc>
        <w:tc>
          <w:tcPr>
            <w:tcW w:w="1136" w:type="dxa"/>
            <w:noWrap w:val="0"/>
            <w:vAlign w:val="center"/>
          </w:tcPr>
          <w:p w14:paraId="6B81F5FF">
            <w:pPr>
              <w:adjustRightInd w:val="0"/>
              <w:snapToGrid w:val="0"/>
              <w:jc w:val="center"/>
              <w:rPr>
                <w:color w:val="auto"/>
                <w:szCs w:val="21"/>
                <w:highlight w:val="none"/>
              </w:rPr>
            </w:pPr>
            <w:r>
              <w:rPr>
                <w:rFonts w:hint="eastAsia"/>
                <w:color w:val="auto"/>
                <w:szCs w:val="21"/>
                <w:highlight w:val="none"/>
              </w:rPr>
              <w:t>节能产品</w:t>
            </w:r>
          </w:p>
        </w:tc>
        <w:tc>
          <w:tcPr>
            <w:tcW w:w="1200" w:type="dxa"/>
            <w:noWrap w:val="0"/>
            <w:vAlign w:val="center"/>
          </w:tcPr>
          <w:p w14:paraId="5F6D2934">
            <w:pPr>
              <w:adjustRightInd w:val="0"/>
              <w:snapToGrid w:val="0"/>
              <w:jc w:val="center"/>
              <w:rPr>
                <w:color w:val="auto"/>
                <w:szCs w:val="21"/>
                <w:highlight w:val="none"/>
              </w:rPr>
            </w:pPr>
            <w:r>
              <w:rPr>
                <w:rFonts w:hint="eastAsia"/>
                <w:color w:val="auto"/>
                <w:szCs w:val="21"/>
                <w:highlight w:val="none"/>
              </w:rPr>
              <w:t>进口产品</w:t>
            </w:r>
          </w:p>
        </w:tc>
      </w:tr>
      <w:tr w14:paraId="633DEAB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20" w:hRule="atLeast"/>
        </w:trPr>
        <w:tc>
          <w:tcPr>
            <w:tcW w:w="429" w:type="dxa"/>
            <w:vMerge w:val="restart"/>
            <w:noWrap w:val="0"/>
            <w:vAlign w:val="top"/>
          </w:tcPr>
          <w:p w14:paraId="1A294F69">
            <w:pPr>
              <w:rPr>
                <w:color w:val="auto"/>
                <w:szCs w:val="21"/>
                <w:highlight w:val="none"/>
              </w:rPr>
            </w:pPr>
          </w:p>
        </w:tc>
        <w:tc>
          <w:tcPr>
            <w:tcW w:w="957" w:type="dxa"/>
            <w:vMerge w:val="restart"/>
            <w:tcBorders>
              <w:right w:val="single" w:color="auto" w:sz="4" w:space="0"/>
            </w:tcBorders>
            <w:noWrap w:val="0"/>
            <w:vAlign w:val="top"/>
          </w:tcPr>
          <w:p w14:paraId="174AFD2D">
            <w:pPr>
              <w:rPr>
                <w:color w:val="auto"/>
                <w:szCs w:val="21"/>
                <w:highlight w:val="none"/>
              </w:rPr>
            </w:pPr>
          </w:p>
        </w:tc>
        <w:tc>
          <w:tcPr>
            <w:tcW w:w="2124" w:type="dxa"/>
            <w:tcBorders>
              <w:left w:val="single" w:color="auto" w:sz="4" w:space="0"/>
            </w:tcBorders>
            <w:noWrap w:val="0"/>
            <w:vAlign w:val="top"/>
          </w:tcPr>
          <w:p w14:paraId="06BD5F4D">
            <w:pPr>
              <w:rPr>
                <w:color w:val="auto"/>
                <w:szCs w:val="21"/>
                <w:highlight w:val="none"/>
              </w:rPr>
            </w:pPr>
          </w:p>
        </w:tc>
        <w:tc>
          <w:tcPr>
            <w:tcW w:w="2127" w:type="dxa"/>
            <w:noWrap w:val="0"/>
            <w:vAlign w:val="top"/>
          </w:tcPr>
          <w:p w14:paraId="095C12FD">
            <w:pPr>
              <w:rPr>
                <w:color w:val="auto"/>
                <w:szCs w:val="21"/>
                <w:highlight w:val="none"/>
              </w:rPr>
            </w:pPr>
          </w:p>
        </w:tc>
        <w:tc>
          <w:tcPr>
            <w:tcW w:w="992" w:type="dxa"/>
            <w:noWrap w:val="0"/>
            <w:vAlign w:val="top"/>
          </w:tcPr>
          <w:p w14:paraId="57911736">
            <w:pPr>
              <w:rPr>
                <w:color w:val="auto"/>
                <w:szCs w:val="21"/>
                <w:highlight w:val="none"/>
              </w:rPr>
            </w:pPr>
          </w:p>
        </w:tc>
        <w:tc>
          <w:tcPr>
            <w:tcW w:w="1136" w:type="dxa"/>
            <w:noWrap w:val="0"/>
            <w:vAlign w:val="top"/>
          </w:tcPr>
          <w:p w14:paraId="07808BA4">
            <w:pPr>
              <w:adjustRightInd w:val="0"/>
              <w:snapToGrid w:val="0"/>
              <w:spacing w:before="156" w:beforeLines="50" w:line="360" w:lineRule="auto"/>
              <w:rPr>
                <w:color w:val="auto"/>
                <w:szCs w:val="21"/>
                <w:highlight w:val="none"/>
              </w:rPr>
            </w:pPr>
            <w:r>
              <w:rPr>
                <w:rFonts w:hint="eastAsia" w:ascii="宋体" w:hAnsi="宋体"/>
                <w:iCs/>
                <w:color w:val="auto"/>
                <w:szCs w:val="21"/>
                <w:highlight w:val="none"/>
              </w:rPr>
              <w:sym w:font="Wingdings" w:char="00A8"/>
            </w:r>
          </w:p>
        </w:tc>
        <w:tc>
          <w:tcPr>
            <w:tcW w:w="1200" w:type="dxa"/>
            <w:noWrap w:val="0"/>
            <w:vAlign w:val="top"/>
          </w:tcPr>
          <w:p w14:paraId="51B41247">
            <w:pPr>
              <w:adjustRightInd w:val="0"/>
              <w:snapToGrid w:val="0"/>
              <w:spacing w:before="156" w:beforeLines="50" w:line="360" w:lineRule="auto"/>
              <w:rPr>
                <w:color w:val="auto"/>
                <w:szCs w:val="21"/>
                <w:highlight w:val="none"/>
              </w:rPr>
            </w:pPr>
          </w:p>
        </w:tc>
      </w:tr>
      <w:tr w14:paraId="2C45659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20" w:hRule="atLeast"/>
        </w:trPr>
        <w:tc>
          <w:tcPr>
            <w:tcW w:w="429" w:type="dxa"/>
            <w:vMerge w:val="continue"/>
            <w:noWrap w:val="0"/>
            <w:vAlign w:val="top"/>
          </w:tcPr>
          <w:p w14:paraId="735DE9A2">
            <w:pPr>
              <w:rPr>
                <w:color w:val="auto"/>
                <w:szCs w:val="21"/>
                <w:highlight w:val="none"/>
              </w:rPr>
            </w:pPr>
          </w:p>
        </w:tc>
        <w:tc>
          <w:tcPr>
            <w:tcW w:w="957" w:type="dxa"/>
            <w:vMerge w:val="continue"/>
            <w:tcBorders>
              <w:right w:val="single" w:color="auto" w:sz="4" w:space="0"/>
            </w:tcBorders>
            <w:noWrap w:val="0"/>
            <w:vAlign w:val="top"/>
          </w:tcPr>
          <w:p w14:paraId="092A0F12">
            <w:pPr>
              <w:rPr>
                <w:color w:val="auto"/>
                <w:szCs w:val="21"/>
                <w:highlight w:val="none"/>
              </w:rPr>
            </w:pPr>
          </w:p>
        </w:tc>
        <w:tc>
          <w:tcPr>
            <w:tcW w:w="2124" w:type="dxa"/>
            <w:tcBorders>
              <w:left w:val="single" w:color="auto" w:sz="4" w:space="0"/>
            </w:tcBorders>
            <w:noWrap w:val="0"/>
            <w:vAlign w:val="top"/>
          </w:tcPr>
          <w:p w14:paraId="092A8180">
            <w:pPr>
              <w:rPr>
                <w:color w:val="auto"/>
                <w:szCs w:val="21"/>
                <w:highlight w:val="none"/>
              </w:rPr>
            </w:pPr>
          </w:p>
        </w:tc>
        <w:tc>
          <w:tcPr>
            <w:tcW w:w="2127" w:type="dxa"/>
            <w:noWrap w:val="0"/>
            <w:vAlign w:val="top"/>
          </w:tcPr>
          <w:p w14:paraId="0DDA7C05">
            <w:pPr>
              <w:rPr>
                <w:color w:val="auto"/>
                <w:szCs w:val="21"/>
                <w:highlight w:val="none"/>
              </w:rPr>
            </w:pPr>
          </w:p>
        </w:tc>
        <w:tc>
          <w:tcPr>
            <w:tcW w:w="992" w:type="dxa"/>
            <w:noWrap w:val="0"/>
            <w:vAlign w:val="top"/>
          </w:tcPr>
          <w:p w14:paraId="57B56FB5">
            <w:pPr>
              <w:rPr>
                <w:color w:val="auto"/>
                <w:szCs w:val="21"/>
                <w:highlight w:val="none"/>
              </w:rPr>
            </w:pPr>
          </w:p>
        </w:tc>
        <w:tc>
          <w:tcPr>
            <w:tcW w:w="1136" w:type="dxa"/>
            <w:noWrap w:val="0"/>
            <w:vAlign w:val="top"/>
          </w:tcPr>
          <w:p w14:paraId="3657B18C">
            <w:pPr>
              <w:adjustRightInd w:val="0"/>
              <w:snapToGrid w:val="0"/>
              <w:spacing w:before="156" w:beforeLines="50" w:line="360" w:lineRule="auto"/>
              <w:rPr>
                <w:color w:val="auto"/>
                <w:szCs w:val="21"/>
                <w:highlight w:val="none"/>
              </w:rPr>
            </w:pPr>
          </w:p>
        </w:tc>
        <w:tc>
          <w:tcPr>
            <w:tcW w:w="1200" w:type="dxa"/>
            <w:noWrap w:val="0"/>
            <w:vAlign w:val="top"/>
          </w:tcPr>
          <w:p w14:paraId="18C495F6">
            <w:pPr>
              <w:adjustRightInd w:val="0"/>
              <w:snapToGrid w:val="0"/>
              <w:spacing w:before="156" w:beforeLines="50" w:line="360" w:lineRule="auto"/>
              <w:rPr>
                <w:color w:val="auto"/>
                <w:szCs w:val="21"/>
                <w:highlight w:val="none"/>
              </w:rPr>
            </w:pPr>
            <w:r>
              <w:rPr>
                <w:rFonts w:hint="eastAsia" w:ascii="宋体" w:hAnsi="宋体"/>
                <w:iCs/>
                <w:color w:val="auto"/>
                <w:szCs w:val="21"/>
                <w:highlight w:val="none"/>
              </w:rPr>
              <w:sym w:font="Wingdings" w:char="00A8"/>
            </w:r>
          </w:p>
        </w:tc>
      </w:tr>
      <w:tr w14:paraId="7C9AE5C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20" w:hRule="atLeast"/>
        </w:trPr>
        <w:tc>
          <w:tcPr>
            <w:tcW w:w="429" w:type="dxa"/>
            <w:vMerge w:val="restart"/>
            <w:noWrap w:val="0"/>
            <w:vAlign w:val="top"/>
          </w:tcPr>
          <w:p w14:paraId="779747AD">
            <w:pPr>
              <w:rPr>
                <w:color w:val="auto"/>
                <w:szCs w:val="21"/>
                <w:highlight w:val="none"/>
              </w:rPr>
            </w:pPr>
          </w:p>
        </w:tc>
        <w:tc>
          <w:tcPr>
            <w:tcW w:w="957" w:type="dxa"/>
            <w:vMerge w:val="restart"/>
            <w:tcBorders>
              <w:right w:val="single" w:color="auto" w:sz="4" w:space="0"/>
            </w:tcBorders>
            <w:noWrap w:val="0"/>
            <w:vAlign w:val="top"/>
          </w:tcPr>
          <w:p w14:paraId="7EF2E898">
            <w:pPr>
              <w:rPr>
                <w:color w:val="auto"/>
                <w:szCs w:val="21"/>
                <w:highlight w:val="none"/>
              </w:rPr>
            </w:pPr>
          </w:p>
        </w:tc>
        <w:tc>
          <w:tcPr>
            <w:tcW w:w="2124" w:type="dxa"/>
            <w:tcBorders>
              <w:left w:val="single" w:color="auto" w:sz="4" w:space="0"/>
            </w:tcBorders>
            <w:noWrap w:val="0"/>
            <w:vAlign w:val="top"/>
          </w:tcPr>
          <w:p w14:paraId="0AA93A1D">
            <w:pPr>
              <w:rPr>
                <w:color w:val="auto"/>
                <w:szCs w:val="21"/>
                <w:highlight w:val="none"/>
              </w:rPr>
            </w:pPr>
          </w:p>
        </w:tc>
        <w:tc>
          <w:tcPr>
            <w:tcW w:w="2127" w:type="dxa"/>
            <w:noWrap w:val="0"/>
            <w:vAlign w:val="top"/>
          </w:tcPr>
          <w:p w14:paraId="6E226FFF">
            <w:pPr>
              <w:rPr>
                <w:color w:val="auto"/>
                <w:szCs w:val="21"/>
                <w:highlight w:val="none"/>
              </w:rPr>
            </w:pPr>
          </w:p>
        </w:tc>
        <w:tc>
          <w:tcPr>
            <w:tcW w:w="992" w:type="dxa"/>
            <w:noWrap w:val="0"/>
            <w:vAlign w:val="top"/>
          </w:tcPr>
          <w:p w14:paraId="71225EBF">
            <w:pPr>
              <w:rPr>
                <w:color w:val="auto"/>
                <w:szCs w:val="21"/>
                <w:highlight w:val="none"/>
              </w:rPr>
            </w:pPr>
          </w:p>
        </w:tc>
        <w:tc>
          <w:tcPr>
            <w:tcW w:w="1136" w:type="dxa"/>
            <w:noWrap w:val="0"/>
            <w:vAlign w:val="top"/>
          </w:tcPr>
          <w:p w14:paraId="379A4EE6">
            <w:pPr>
              <w:rPr>
                <w:color w:val="auto"/>
                <w:szCs w:val="21"/>
                <w:highlight w:val="none"/>
              </w:rPr>
            </w:pPr>
          </w:p>
        </w:tc>
        <w:tc>
          <w:tcPr>
            <w:tcW w:w="1200" w:type="dxa"/>
            <w:noWrap w:val="0"/>
            <w:vAlign w:val="top"/>
          </w:tcPr>
          <w:p w14:paraId="4FCCD2C5">
            <w:pPr>
              <w:rPr>
                <w:color w:val="auto"/>
                <w:szCs w:val="21"/>
                <w:highlight w:val="none"/>
              </w:rPr>
            </w:pPr>
          </w:p>
        </w:tc>
      </w:tr>
      <w:tr w14:paraId="66254C0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20" w:hRule="atLeast"/>
        </w:trPr>
        <w:tc>
          <w:tcPr>
            <w:tcW w:w="429" w:type="dxa"/>
            <w:vMerge w:val="continue"/>
            <w:noWrap w:val="0"/>
            <w:vAlign w:val="top"/>
          </w:tcPr>
          <w:p w14:paraId="27FBD05C">
            <w:pPr>
              <w:rPr>
                <w:color w:val="auto"/>
                <w:szCs w:val="21"/>
                <w:highlight w:val="none"/>
              </w:rPr>
            </w:pPr>
          </w:p>
        </w:tc>
        <w:tc>
          <w:tcPr>
            <w:tcW w:w="957" w:type="dxa"/>
            <w:vMerge w:val="continue"/>
            <w:tcBorders>
              <w:right w:val="single" w:color="auto" w:sz="4" w:space="0"/>
            </w:tcBorders>
            <w:noWrap w:val="0"/>
            <w:vAlign w:val="top"/>
          </w:tcPr>
          <w:p w14:paraId="0A273C50">
            <w:pPr>
              <w:rPr>
                <w:color w:val="auto"/>
                <w:szCs w:val="21"/>
                <w:highlight w:val="none"/>
              </w:rPr>
            </w:pPr>
          </w:p>
        </w:tc>
        <w:tc>
          <w:tcPr>
            <w:tcW w:w="2124" w:type="dxa"/>
            <w:tcBorders>
              <w:left w:val="single" w:color="auto" w:sz="4" w:space="0"/>
            </w:tcBorders>
            <w:noWrap w:val="0"/>
            <w:vAlign w:val="top"/>
          </w:tcPr>
          <w:p w14:paraId="6E96C073">
            <w:pPr>
              <w:rPr>
                <w:color w:val="auto"/>
                <w:szCs w:val="21"/>
                <w:highlight w:val="none"/>
              </w:rPr>
            </w:pPr>
          </w:p>
        </w:tc>
        <w:tc>
          <w:tcPr>
            <w:tcW w:w="2127" w:type="dxa"/>
            <w:noWrap w:val="0"/>
            <w:vAlign w:val="top"/>
          </w:tcPr>
          <w:p w14:paraId="5E26A397">
            <w:pPr>
              <w:rPr>
                <w:color w:val="auto"/>
                <w:szCs w:val="21"/>
                <w:highlight w:val="none"/>
              </w:rPr>
            </w:pPr>
          </w:p>
        </w:tc>
        <w:tc>
          <w:tcPr>
            <w:tcW w:w="992" w:type="dxa"/>
            <w:noWrap w:val="0"/>
            <w:vAlign w:val="top"/>
          </w:tcPr>
          <w:p w14:paraId="34EE991B">
            <w:pPr>
              <w:rPr>
                <w:color w:val="auto"/>
                <w:szCs w:val="21"/>
                <w:highlight w:val="none"/>
              </w:rPr>
            </w:pPr>
          </w:p>
        </w:tc>
        <w:tc>
          <w:tcPr>
            <w:tcW w:w="1136" w:type="dxa"/>
            <w:noWrap w:val="0"/>
            <w:vAlign w:val="top"/>
          </w:tcPr>
          <w:p w14:paraId="2693B29E">
            <w:pPr>
              <w:rPr>
                <w:color w:val="auto"/>
                <w:szCs w:val="21"/>
                <w:highlight w:val="none"/>
              </w:rPr>
            </w:pPr>
          </w:p>
        </w:tc>
        <w:tc>
          <w:tcPr>
            <w:tcW w:w="1200" w:type="dxa"/>
            <w:noWrap w:val="0"/>
            <w:vAlign w:val="top"/>
          </w:tcPr>
          <w:p w14:paraId="7FF3E4E0">
            <w:pPr>
              <w:rPr>
                <w:color w:val="auto"/>
                <w:szCs w:val="21"/>
                <w:highlight w:val="none"/>
              </w:rPr>
            </w:pPr>
          </w:p>
        </w:tc>
      </w:tr>
      <w:tr w14:paraId="303AFFA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20" w:hRule="atLeast"/>
        </w:trPr>
        <w:tc>
          <w:tcPr>
            <w:tcW w:w="429" w:type="dxa"/>
            <w:vMerge w:val="continue"/>
            <w:noWrap w:val="0"/>
            <w:vAlign w:val="top"/>
          </w:tcPr>
          <w:p w14:paraId="536ADB15">
            <w:pPr>
              <w:rPr>
                <w:color w:val="auto"/>
                <w:szCs w:val="21"/>
                <w:highlight w:val="none"/>
              </w:rPr>
            </w:pPr>
          </w:p>
        </w:tc>
        <w:tc>
          <w:tcPr>
            <w:tcW w:w="957" w:type="dxa"/>
            <w:vMerge w:val="continue"/>
            <w:tcBorders>
              <w:right w:val="single" w:color="auto" w:sz="4" w:space="0"/>
            </w:tcBorders>
            <w:noWrap w:val="0"/>
            <w:vAlign w:val="top"/>
          </w:tcPr>
          <w:p w14:paraId="5B175B2F">
            <w:pPr>
              <w:rPr>
                <w:color w:val="auto"/>
                <w:szCs w:val="21"/>
                <w:highlight w:val="none"/>
              </w:rPr>
            </w:pPr>
          </w:p>
        </w:tc>
        <w:tc>
          <w:tcPr>
            <w:tcW w:w="2124" w:type="dxa"/>
            <w:tcBorders>
              <w:left w:val="single" w:color="auto" w:sz="4" w:space="0"/>
            </w:tcBorders>
            <w:noWrap w:val="0"/>
            <w:vAlign w:val="top"/>
          </w:tcPr>
          <w:p w14:paraId="1EA2CFFD">
            <w:pPr>
              <w:rPr>
                <w:color w:val="auto"/>
                <w:szCs w:val="21"/>
                <w:highlight w:val="none"/>
              </w:rPr>
            </w:pPr>
          </w:p>
        </w:tc>
        <w:tc>
          <w:tcPr>
            <w:tcW w:w="2127" w:type="dxa"/>
            <w:noWrap w:val="0"/>
            <w:vAlign w:val="top"/>
          </w:tcPr>
          <w:p w14:paraId="0CF60047">
            <w:pPr>
              <w:rPr>
                <w:color w:val="auto"/>
                <w:szCs w:val="21"/>
                <w:highlight w:val="none"/>
              </w:rPr>
            </w:pPr>
          </w:p>
        </w:tc>
        <w:tc>
          <w:tcPr>
            <w:tcW w:w="992" w:type="dxa"/>
            <w:noWrap w:val="0"/>
            <w:vAlign w:val="top"/>
          </w:tcPr>
          <w:p w14:paraId="75056031">
            <w:pPr>
              <w:rPr>
                <w:color w:val="auto"/>
                <w:szCs w:val="21"/>
                <w:highlight w:val="none"/>
              </w:rPr>
            </w:pPr>
          </w:p>
        </w:tc>
        <w:tc>
          <w:tcPr>
            <w:tcW w:w="1136" w:type="dxa"/>
            <w:noWrap w:val="0"/>
            <w:vAlign w:val="top"/>
          </w:tcPr>
          <w:p w14:paraId="67AEFF5C">
            <w:pPr>
              <w:rPr>
                <w:color w:val="auto"/>
                <w:szCs w:val="21"/>
                <w:highlight w:val="none"/>
              </w:rPr>
            </w:pPr>
          </w:p>
        </w:tc>
        <w:tc>
          <w:tcPr>
            <w:tcW w:w="1200" w:type="dxa"/>
            <w:noWrap w:val="0"/>
            <w:vAlign w:val="top"/>
          </w:tcPr>
          <w:p w14:paraId="2EEF0250">
            <w:pPr>
              <w:rPr>
                <w:color w:val="auto"/>
                <w:szCs w:val="21"/>
                <w:highlight w:val="none"/>
              </w:rPr>
            </w:pPr>
          </w:p>
        </w:tc>
      </w:tr>
    </w:tbl>
    <w:p w14:paraId="014EAC4F">
      <w:pPr>
        <w:adjustRightInd w:val="0"/>
        <w:snapToGrid w:val="0"/>
        <w:spacing w:line="360" w:lineRule="auto"/>
        <w:rPr>
          <w:color w:val="auto"/>
          <w:highlight w:val="none"/>
        </w:rPr>
      </w:pPr>
    </w:p>
    <w:p w14:paraId="0F05B84D">
      <w:pPr>
        <w:adjustRightInd w:val="0"/>
        <w:snapToGrid w:val="0"/>
        <w:spacing w:line="360" w:lineRule="auto"/>
        <w:rPr>
          <w:rFonts w:ascii="宋体" w:hAnsi="宋体"/>
          <w:color w:val="auto"/>
          <w:szCs w:val="21"/>
          <w:highlight w:val="none"/>
        </w:rPr>
      </w:pPr>
    </w:p>
    <w:p w14:paraId="5D729C18">
      <w:pPr>
        <w:adjustRightInd w:val="0"/>
        <w:snapToGrid w:val="0"/>
        <w:spacing w:line="360" w:lineRule="auto"/>
        <w:rPr>
          <w:rFonts w:ascii="宋体" w:hAnsi="宋体"/>
          <w:color w:val="auto"/>
          <w:szCs w:val="21"/>
          <w:highlight w:val="none"/>
        </w:rPr>
      </w:pPr>
    </w:p>
    <w:p w14:paraId="631098B6">
      <w:pPr>
        <w:adjustRightInd w:val="0"/>
        <w:snapToGrid w:val="0"/>
        <w:spacing w:line="360" w:lineRule="auto"/>
        <w:rPr>
          <w:rFonts w:ascii="黑体" w:hAnsi="宋体" w:eastAsia="黑体"/>
          <w:color w:val="auto"/>
          <w:sz w:val="28"/>
          <w:szCs w:val="28"/>
          <w:highlight w:val="none"/>
        </w:rPr>
        <w:sectPr>
          <w:headerReference r:id="rId22" w:type="first"/>
          <w:headerReference r:id="rId20" w:type="default"/>
          <w:footerReference r:id="rId23" w:type="default"/>
          <w:headerReference r:id="rId21" w:type="even"/>
          <w:pgSz w:w="11906" w:h="16838"/>
          <w:pgMar w:top="1474" w:right="1474" w:bottom="1474" w:left="1588" w:header="851" w:footer="992" w:gutter="0"/>
          <w:pgBorders>
            <w:top w:val="none" w:sz="0" w:space="0"/>
            <w:left w:val="none" w:sz="0" w:space="0"/>
            <w:bottom w:val="none" w:sz="0" w:space="0"/>
            <w:right w:val="none" w:sz="0" w:space="0"/>
          </w:pgBorders>
          <w:pgNumType w:fmt="decimal"/>
          <w:cols w:space="720" w:num="1"/>
          <w:docGrid w:type="lines" w:linePitch="312" w:charSpace="0"/>
        </w:sectPr>
      </w:pPr>
    </w:p>
    <w:p w14:paraId="2FEFE9E2">
      <w:pPr>
        <w:pStyle w:val="4"/>
        <w:adjustRightInd w:val="0"/>
        <w:snapToGrid w:val="0"/>
        <w:spacing w:before="156" w:beforeLines="50" w:after="0" w:line="360" w:lineRule="auto"/>
        <w:jc w:val="center"/>
        <w:rPr>
          <w:rFonts w:ascii="黑体" w:hAnsi="黑体" w:eastAsia="黑体"/>
          <w:color w:val="auto"/>
          <w:sz w:val="28"/>
          <w:szCs w:val="28"/>
          <w:highlight w:val="none"/>
        </w:rPr>
      </w:pPr>
      <w:bookmarkStart w:id="147" w:name="_Toc6886"/>
      <w:r>
        <w:rPr>
          <w:rFonts w:hint="eastAsia" w:ascii="黑体" w:hAnsi="黑体" w:eastAsia="黑体"/>
          <w:color w:val="auto"/>
          <w:sz w:val="28"/>
          <w:szCs w:val="28"/>
          <w:highlight w:val="none"/>
        </w:rPr>
        <w:t>八、合同条款偏离表</w:t>
      </w:r>
      <w:bookmarkEnd w:id="147"/>
    </w:p>
    <w:p w14:paraId="25336AFF">
      <w:pPr>
        <w:adjustRightInd w:val="0"/>
        <w:snapToGrid w:val="0"/>
        <w:spacing w:before="156" w:beforeLines="50" w:line="360" w:lineRule="auto"/>
        <w:rPr>
          <w:rFonts w:ascii="宋体" w:hAnsi="宋体" w:eastAsia="宋体"/>
          <w:color w:val="auto"/>
          <w:szCs w:val="21"/>
          <w:highlight w:val="none"/>
          <w:u w:val="single"/>
        </w:rPr>
      </w:pPr>
      <w:r>
        <w:rPr>
          <w:rFonts w:hint="eastAsia" w:ascii="宋体" w:hAnsi="宋体"/>
          <w:color w:val="auto"/>
          <w:szCs w:val="21"/>
          <w:highlight w:val="none"/>
          <w:lang w:eastAsia="zh-CN"/>
        </w:rPr>
        <w:t>政府采购计划编号</w:t>
      </w:r>
      <w:r>
        <w:rPr>
          <w:rFonts w:hint="eastAsia" w:ascii="宋体" w:hAnsi="宋体"/>
          <w:color w:val="auto"/>
          <w:szCs w:val="21"/>
          <w:highlight w:val="none"/>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r>
        <w:rPr>
          <w:rFonts w:hint="eastAsia" w:ascii="宋体" w:hAnsi="宋体" w:eastAsia="宋体"/>
          <w:color w:val="auto"/>
          <w:szCs w:val="21"/>
          <w:highlight w:val="none"/>
        </w:rPr>
        <w:t>项目名称：</w:t>
      </w:r>
      <w:r>
        <w:rPr>
          <w:rFonts w:hint="eastAsia" w:ascii="宋体" w:hAnsi="宋体" w:eastAsia="宋体"/>
          <w:color w:val="auto"/>
          <w:szCs w:val="21"/>
          <w:highlight w:val="none"/>
          <w:u w:val="single"/>
        </w:rPr>
        <w:t xml:space="preserve">                    </w:t>
      </w:r>
    </w:p>
    <w:p w14:paraId="78460845">
      <w:pPr>
        <w:adjustRightInd w:val="0"/>
        <w:snapToGrid w:val="0"/>
        <w:spacing w:before="50" w:line="360" w:lineRule="auto"/>
        <w:rPr>
          <w:rFonts w:ascii="宋体" w:hAnsi="宋体" w:eastAsia="宋体"/>
          <w:color w:val="auto"/>
          <w:szCs w:val="21"/>
          <w:highlight w:val="none"/>
          <w:u w:val="single"/>
        </w:rPr>
      </w:pPr>
      <w:r>
        <w:rPr>
          <w:rFonts w:hint="eastAsia" w:ascii="宋体" w:hAnsi="宋体" w:eastAsia="宋体"/>
          <w:color w:val="auto"/>
          <w:szCs w:val="21"/>
          <w:highlight w:val="none"/>
        </w:rPr>
        <w:t>包           号：</w:t>
      </w:r>
      <w:r>
        <w:rPr>
          <w:rFonts w:hint="eastAsia" w:ascii="宋体" w:hAnsi="宋体" w:eastAsia="宋体"/>
          <w:color w:val="auto"/>
          <w:szCs w:val="21"/>
          <w:highlight w:val="none"/>
          <w:u w:val="single"/>
        </w:rPr>
        <w:t xml:space="preserve">                        </w:t>
      </w:r>
      <w:r>
        <w:rPr>
          <w:rFonts w:hint="eastAsia" w:ascii="宋体" w:hAnsi="宋体" w:eastAsia="宋体"/>
          <w:color w:val="auto"/>
          <w:szCs w:val="21"/>
          <w:highlight w:val="none"/>
        </w:rPr>
        <w:t xml:space="preserve">           包名称：</w:t>
      </w:r>
      <w:r>
        <w:rPr>
          <w:rFonts w:hint="eastAsia" w:ascii="宋体" w:hAnsi="宋体" w:eastAsia="宋体"/>
          <w:color w:val="auto"/>
          <w:szCs w:val="21"/>
          <w:highlight w:val="none"/>
          <w:u w:val="single"/>
        </w:rPr>
        <w:t xml:space="preserve">                      </w:t>
      </w:r>
    </w:p>
    <w:tbl>
      <w:tblPr>
        <w:tblStyle w:val="25"/>
        <w:tblW w:w="0" w:type="auto"/>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595"/>
        <w:gridCol w:w="2410"/>
        <w:gridCol w:w="1985"/>
        <w:gridCol w:w="2082"/>
        <w:gridCol w:w="1942"/>
      </w:tblGrid>
      <w:tr w14:paraId="301CAF0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595" w:type="dxa"/>
            <w:noWrap w:val="0"/>
            <w:vAlign w:val="center"/>
          </w:tcPr>
          <w:p w14:paraId="517448BF">
            <w:pPr>
              <w:adjustRightInd w:val="0"/>
              <w:snapToGrid w:val="0"/>
              <w:spacing w:before="50" w:line="360" w:lineRule="auto"/>
              <w:ind w:left="-88" w:leftChars="-42"/>
              <w:jc w:val="center"/>
              <w:rPr>
                <w:rFonts w:ascii="宋体" w:hAnsi="宋体" w:eastAsia="宋体"/>
                <w:color w:val="auto"/>
                <w:szCs w:val="21"/>
                <w:highlight w:val="none"/>
              </w:rPr>
            </w:pPr>
            <w:r>
              <w:rPr>
                <w:rFonts w:hint="eastAsia" w:ascii="宋体" w:hAnsi="宋体" w:eastAsia="宋体"/>
                <w:bCs/>
                <w:color w:val="auto"/>
                <w:szCs w:val="21"/>
                <w:highlight w:val="none"/>
              </w:rPr>
              <w:t>序</w:t>
            </w:r>
            <w:r>
              <w:rPr>
                <w:rFonts w:hint="eastAsia" w:ascii="宋体" w:hAnsi="宋体" w:eastAsia="宋体"/>
                <w:color w:val="auto"/>
                <w:szCs w:val="21"/>
                <w:highlight w:val="none"/>
              </w:rPr>
              <w:t>号</w:t>
            </w:r>
          </w:p>
        </w:tc>
        <w:tc>
          <w:tcPr>
            <w:tcW w:w="2410" w:type="dxa"/>
            <w:noWrap w:val="0"/>
            <w:vAlign w:val="center"/>
          </w:tcPr>
          <w:p w14:paraId="541B9BBE">
            <w:pPr>
              <w:adjustRightInd w:val="0"/>
              <w:snapToGrid w:val="0"/>
              <w:spacing w:before="50" w:line="360" w:lineRule="auto"/>
              <w:ind w:left="-88" w:leftChars="-42"/>
              <w:jc w:val="center"/>
              <w:rPr>
                <w:rFonts w:ascii="宋体" w:hAnsi="宋体" w:eastAsia="宋体"/>
                <w:color w:val="auto"/>
                <w:szCs w:val="21"/>
                <w:highlight w:val="none"/>
              </w:rPr>
            </w:pPr>
            <w:r>
              <w:rPr>
                <w:rFonts w:hint="eastAsia" w:ascii="宋体" w:hAnsi="宋体" w:eastAsia="宋体"/>
                <w:color w:val="auto"/>
                <w:szCs w:val="21"/>
                <w:highlight w:val="none"/>
              </w:rPr>
              <w:t>招标文件章节</w:t>
            </w:r>
            <w:r>
              <w:rPr>
                <w:rFonts w:hint="eastAsia" w:ascii="宋体" w:hAnsi="宋体" w:eastAsia="宋体"/>
                <w:bCs/>
                <w:color w:val="auto"/>
                <w:szCs w:val="21"/>
                <w:highlight w:val="none"/>
              </w:rPr>
              <w:t>条</w:t>
            </w:r>
            <w:r>
              <w:rPr>
                <w:rFonts w:hint="eastAsia" w:ascii="宋体" w:hAnsi="宋体" w:eastAsia="宋体"/>
                <w:color w:val="auto"/>
                <w:szCs w:val="21"/>
                <w:highlight w:val="none"/>
              </w:rPr>
              <w:t>款号</w:t>
            </w:r>
          </w:p>
        </w:tc>
        <w:tc>
          <w:tcPr>
            <w:tcW w:w="1985" w:type="dxa"/>
            <w:noWrap w:val="0"/>
            <w:vAlign w:val="center"/>
          </w:tcPr>
          <w:p w14:paraId="15B2FBD6">
            <w:pPr>
              <w:adjustRightInd w:val="0"/>
              <w:snapToGrid w:val="0"/>
              <w:spacing w:before="50" w:line="360" w:lineRule="auto"/>
              <w:ind w:left="-88" w:leftChars="-42"/>
              <w:jc w:val="center"/>
              <w:rPr>
                <w:rFonts w:ascii="宋体" w:hAnsi="宋体" w:eastAsia="宋体"/>
                <w:color w:val="auto"/>
                <w:szCs w:val="21"/>
                <w:highlight w:val="none"/>
              </w:rPr>
            </w:pPr>
            <w:r>
              <w:rPr>
                <w:rFonts w:hint="eastAsia"/>
                <w:color w:val="auto"/>
                <w:highlight w:val="none"/>
              </w:rPr>
              <w:t>招标文件要求</w:t>
            </w:r>
          </w:p>
        </w:tc>
        <w:tc>
          <w:tcPr>
            <w:tcW w:w="2082" w:type="dxa"/>
            <w:tcBorders>
              <w:right w:val="single" w:color="auto" w:sz="4" w:space="0"/>
            </w:tcBorders>
            <w:noWrap w:val="0"/>
            <w:vAlign w:val="center"/>
          </w:tcPr>
          <w:p w14:paraId="42FF65EE">
            <w:pPr>
              <w:adjustRightInd w:val="0"/>
              <w:snapToGrid w:val="0"/>
              <w:spacing w:before="50" w:line="360" w:lineRule="auto"/>
              <w:jc w:val="center"/>
              <w:rPr>
                <w:rFonts w:ascii="宋体" w:hAnsi="宋体" w:eastAsia="宋体"/>
                <w:color w:val="auto"/>
                <w:szCs w:val="21"/>
                <w:highlight w:val="none"/>
              </w:rPr>
            </w:pPr>
            <w:r>
              <w:rPr>
                <w:rFonts w:hint="eastAsia"/>
                <w:color w:val="auto"/>
                <w:highlight w:val="none"/>
              </w:rPr>
              <w:t>投标文件的应答</w:t>
            </w:r>
          </w:p>
        </w:tc>
        <w:tc>
          <w:tcPr>
            <w:tcW w:w="1942" w:type="dxa"/>
            <w:tcBorders>
              <w:left w:val="single" w:color="auto" w:sz="4" w:space="0"/>
            </w:tcBorders>
            <w:noWrap w:val="0"/>
            <w:vAlign w:val="center"/>
          </w:tcPr>
          <w:p w14:paraId="02614BC0">
            <w:pPr>
              <w:adjustRightInd w:val="0"/>
              <w:snapToGrid w:val="0"/>
              <w:spacing w:before="50" w:line="360" w:lineRule="auto"/>
              <w:ind w:left="-88" w:leftChars="-42"/>
              <w:jc w:val="center"/>
              <w:rPr>
                <w:rFonts w:ascii="宋体" w:hAnsi="宋体" w:eastAsia="宋体"/>
                <w:color w:val="auto"/>
                <w:szCs w:val="21"/>
                <w:highlight w:val="none"/>
              </w:rPr>
            </w:pPr>
            <w:r>
              <w:rPr>
                <w:rFonts w:hint="eastAsia" w:ascii="宋体" w:hAnsi="宋体" w:eastAsia="宋体"/>
                <w:color w:val="auto"/>
                <w:szCs w:val="21"/>
                <w:highlight w:val="none"/>
              </w:rPr>
              <w:t>偏离说明</w:t>
            </w:r>
          </w:p>
        </w:tc>
      </w:tr>
      <w:tr w14:paraId="336C457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noWrap w:val="0"/>
            <w:vAlign w:val="center"/>
          </w:tcPr>
          <w:p w14:paraId="4540C2E4">
            <w:pPr>
              <w:adjustRightInd w:val="0"/>
              <w:snapToGrid w:val="0"/>
              <w:spacing w:before="50" w:line="360" w:lineRule="auto"/>
              <w:ind w:left="-88" w:leftChars="-42"/>
              <w:jc w:val="center"/>
              <w:rPr>
                <w:rFonts w:ascii="宋体" w:hAnsi="宋体" w:eastAsia="宋体"/>
                <w:color w:val="auto"/>
                <w:szCs w:val="21"/>
                <w:highlight w:val="none"/>
              </w:rPr>
            </w:pPr>
          </w:p>
        </w:tc>
        <w:tc>
          <w:tcPr>
            <w:tcW w:w="2410" w:type="dxa"/>
            <w:noWrap w:val="0"/>
            <w:vAlign w:val="center"/>
          </w:tcPr>
          <w:p w14:paraId="59E80B0D">
            <w:pPr>
              <w:adjustRightInd w:val="0"/>
              <w:snapToGrid w:val="0"/>
              <w:spacing w:before="50" w:line="360" w:lineRule="auto"/>
              <w:ind w:left="-88" w:leftChars="-42"/>
              <w:jc w:val="center"/>
              <w:rPr>
                <w:rFonts w:ascii="宋体" w:hAnsi="宋体" w:eastAsia="宋体"/>
                <w:color w:val="auto"/>
                <w:szCs w:val="21"/>
                <w:highlight w:val="none"/>
              </w:rPr>
            </w:pPr>
          </w:p>
        </w:tc>
        <w:tc>
          <w:tcPr>
            <w:tcW w:w="1985" w:type="dxa"/>
            <w:noWrap w:val="0"/>
            <w:vAlign w:val="top"/>
          </w:tcPr>
          <w:p w14:paraId="7022DF29">
            <w:pPr>
              <w:adjustRightInd w:val="0"/>
              <w:snapToGrid w:val="0"/>
              <w:spacing w:before="50" w:line="360" w:lineRule="auto"/>
              <w:rPr>
                <w:color w:val="auto"/>
                <w:highlight w:val="none"/>
              </w:rPr>
            </w:pPr>
          </w:p>
        </w:tc>
        <w:tc>
          <w:tcPr>
            <w:tcW w:w="2082" w:type="dxa"/>
            <w:tcBorders>
              <w:right w:val="single" w:color="auto" w:sz="4" w:space="0"/>
            </w:tcBorders>
            <w:noWrap w:val="0"/>
            <w:vAlign w:val="top"/>
          </w:tcPr>
          <w:p w14:paraId="6AA306CD">
            <w:pPr>
              <w:adjustRightInd w:val="0"/>
              <w:snapToGrid w:val="0"/>
              <w:spacing w:before="50" w:line="360" w:lineRule="auto"/>
              <w:rPr>
                <w:color w:val="auto"/>
                <w:highlight w:val="none"/>
              </w:rPr>
            </w:pPr>
          </w:p>
        </w:tc>
        <w:tc>
          <w:tcPr>
            <w:tcW w:w="1942" w:type="dxa"/>
            <w:tcBorders>
              <w:left w:val="single" w:color="auto" w:sz="4" w:space="0"/>
            </w:tcBorders>
            <w:noWrap w:val="0"/>
            <w:vAlign w:val="top"/>
          </w:tcPr>
          <w:p w14:paraId="6B02D2EF">
            <w:pPr>
              <w:adjustRightInd w:val="0"/>
              <w:snapToGrid w:val="0"/>
              <w:spacing w:before="50" w:line="360" w:lineRule="auto"/>
              <w:ind w:left="-88" w:leftChars="-42"/>
              <w:jc w:val="center"/>
              <w:rPr>
                <w:rFonts w:ascii="宋体" w:hAnsi="宋体" w:eastAsia="宋体"/>
                <w:color w:val="auto"/>
                <w:szCs w:val="21"/>
                <w:highlight w:val="none"/>
              </w:rPr>
            </w:pPr>
          </w:p>
        </w:tc>
      </w:tr>
      <w:tr w14:paraId="6D2C63D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noWrap w:val="0"/>
            <w:vAlign w:val="center"/>
          </w:tcPr>
          <w:p w14:paraId="36361814">
            <w:pPr>
              <w:adjustRightInd w:val="0"/>
              <w:snapToGrid w:val="0"/>
              <w:spacing w:before="50" w:line="360" w:lineRule="auto"/>
              <w:ind w:left="-88" w:leftChars="-42"/>
              <w:jc w:val="center"/>
              <w:rPr>
                <w:rFonts w:ascii="宋体" w:hAnsi="宋体" w:eastAsia="宋体"/>
                <w:color w:val="auto"/>
                <w:szCs w:val="21"/>
                <w:highlight w:val="none"/>
              </w:rPr>
            </w:pPr>
          </w:p>
        </w:tc>
        <w:tc>
          <w:tcPr>
            <w:tcW w:w="2410" w:type="dxa"/>
            <w:noWrap w:val="0"/>
            <w:vAlign w:val="center"/>
          </w:tcPr>
          <w:p w14:paraId="37C8B801">
            <w:pPr>
              <w:adjustRightInd w:val="0"/>
              <w:snapToGrid w:val="0"/>
              <w:spacing w:before="50" w:line="360" w:lineRule="auto"/>
              <w:ind w:left="-88" w:leftChars="-42"/>
              <w:jc w:val="center"/>
              <w:rPr>
                <w:rFonts w:ascii="宋体" w:hAnsi="宋体" w:eastAsia="宋体"/>
                <w:color w:val="auto"/>
                <w:szCs w:val="21"/>
                <w:highlight w:val="none"/>
              </w:rPr>
            </w:pPr>
          </w:p>
        </w:tc>
        <w:tc>
          <w:tcPr>
            <w:tcW w:w="1985" w:type="dxa"/>
            <w:noWrap w:val="0"/>
            <w:vAlign w:val="center"/>
          </w:tcPr>
          <w:p w14:paraId="74B28D5D">
            <w:pPr>
              <w:adjustRightInd w:val="0"/>
              <w:snapToGrid w:val="0"/>
              <w:spacing w:before="50" w:line="360" w:lineRule="auto"/>
              <w:ind w:left="-88" w:leftChars="-42"/>
              <w:jc w:val="center"/>
              <w:rPr>
                <w:rFonts w:ascii="宋体" w:hAnsi="宋体" w:eastAsia="宋体"/>
                <w:color w:val="auto"/>
                <w:szCs w:val="21"/>
                <w:highlight w:val="none"/>
              </w:rPr>
            </w:pPr>
          </w:p>
        </w:tc>
        <w:tc>
          <w:tcPr>
            <w:tcW w:w="2082" w:type="dxa"/>
            <w:tcBorders>
              <w:right w:val="single" w:color="auto" w:sz="4" w:space="0"/>
            </w:tcBorders>
            <w:noWrap w:val="0"/>
            <w:vAlign w:val="center"/>
          </w:tcPr>
          <w:p w14:paraId="2946B5AD">
            <w:pPr>
              <w:adjustRightInd w:val="0"/>
              <w:snapToGrid w:val="0"/>
              <w:spacing w:before="50" w:line="360" w:lineRule="auto"/>
              <w:ind w:left="-88" w:leftChars="-42"/>
              <w:jc w:val="center"/>
              <w:rPr>
                <w:rFonts w:ascii="宋体" w:hAnsi="宋体" w:eastAsia="宋体"/>
                <w:color w:val="auto"/>
                <w:szCs w:val="21"/>
                <w:highlight w:val="none"/>
              </w:rPr>
            </w:pPr>
          </w:p>
        </w:tc>
        <w:tc>
          <w:tcPr>
            <w:tcW w:w="1942" w:type="dxa"/>
            <w:tcBorders>
              <w:left w:val="single" w:color="auto" w:sz="4" w:space="0"/>
            </w:tcBorders>
            <w:noWrap w:val="0"/>
            <w:vAlign w:val="center"/>
          </w:tcPr>
          <w:p w14:paraId="3FD80D07">
            <w:pPr>
              <w:adjustRightInd w:val="0"/>
              <w:snapToGrid w:val="0"/>
              <w:spacing w:before="50" w:line="360" w:lineRule="auto"/>
              <w:ind w:left="-88" w:leftChars="-42"/>
              <w:jc w:val="center"/>
              <w:rPr>
                <w:rFonts w:ascii="宋体" w:hAnsi="宋体" w:eastAsia="宋体"/>
                <w:color w:val="auto"/>
                <w:szCs w:val="21"/>
                <w:highlight w:val="none"/>
              </w:rPr>
            </w:pPr>
          </w:p>
        </w:tc>
      </w:tr>
      <w:tr w14:paraId="5F2ECA5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noWrap w:val="0"/>
            <w:vAlign w:val="center"/>
          </w:tcPr>
          <w:p w14:paraId="068E63CF">
            <w:pPr>
              <w:adjustRightInd w:val="0"/>
              <w:snapToGrid w:val="0"/>
              <w:spacing w:before="50" w:line="360" w:lineRule="auto"/>
              <w:ind w:left="-88" w:leftChars="-42"/>
              <w:jc w:val="center"/>
              <w:rPr>
                <w:rFonts w:ascii="宋体" w:hAnsi="宋体" w:eastAsia="宋体"/>
                <w:color w:val="auto"/>
                <w:szCs w:val="21"/>
                <w:highlight w:val="none"/>
              </w:rPr>
            </w:pPr>
          </w:p>
        </w:tc>
        <w:tc>
          <w:tcPr>
            <w:tcW w:w="2410" w:type="dxa"/>
            <w:noWrap w:val="0"/>
            <w:vAlign w:val="center"/>
          </w:tcPr>
          <w:p w14:paraId="5506E6F5">
            <w:pPr>
              <w:adjustRightInd w:val="0"/>
              <w:snapToGrid w:val="0"/>
              <w:spacing w:before="50" w:line="360" w:lineRule="auto"/>
              <w:ind w:left="-88" w:leftChars="-42"/>
              <w:jc w:val="center"/>
              <w:rPr>
                <w:rFonts w:ascii="宋体" w:hAnsi="宋体" w:eastAsia="宋体"/>
                <w:color w:val="auto"/>
                <w:szCs w:val="21"/>
                <w:highlight w:val="none"/>
              </w:rPr>
            </w:pPr>
          </w:p>
        </w:tc>
        <w:tc>
          <w:tcPr>
            <w:tcW w:w="1985" w:type="dxa"/>
            <w:noWrap w:val="0"/>
            <w:vAlign w:val="center"/>
          </w:tcPr>
          <w:p w14:paraId="16EF6BE0">
            <w:pPr>
              <w:adjustRightInd w:val="0"/>
              <w:snapToGrid w:val="0"/>
              <w:spacing w:before="50" w:line="360" w:lineRule="auto"/>
              <w:ind w:left="-88" w:leftChars="-42"/>
              <w:jc w:val="center"/>
              <w:rPr>
                <w:rFonts w:ascii="宋体" w:hAnsi="宋体" w:eastAsia="宋体"/>
                <w:color w:val="auto"/>
                <w:szCs w:val="21"/>
                <w:highlight w:val="none"/>
              </w:rPr>
            </w:pPr>
          </w:p>
        </w:tc>
        <w:tc>
          <w:tcPr>
            <w:tcW w:w="2082" w:type="dxa"/>
            <w:tcBorders>
              <w:right w:val="single" w:color="auto" w:sz="4" w:space="0"/>
            </w:tcBorders>
            <w:noWrap w:val="0"/>
            <w:vAlign w:val="center"/>
          </w:tcPr>
          <w:p w14:paraId="69C2E4E2">
            <w:pPr>
              <w:adjustRightInd w:val="0"/>
              <w:snapToGrid w:val="0"/>
              <w:spacing w:before="50" w:line="360" w:lineRule="auto"/>
              <w:ind w:left="-88" w:leftChars="-42"/>
              <w:jc w:val="center"/>
              <w:rPr>
                <w:rFonts w:ascii="宋体" w:hAnsi="宋体" w:eastAsia="宋体"/>
                <w:color w:val="auto"/>
                <w:szCs w:val="21"/>
                <w:highlight w:val="none"/>
              </w:rPr>
            </w:pPr>
          </w:p>
        </w:tc>
        <w:tc>
          <w:tcPr>
            <w:tcW w:w="1942" w:type="dxa"/>
            <w:tcBorders>
              <w:left w:val="single" w:color="auto" w:sz="4" w:space="0"/>
            </w:tcBorders>
            <w:noWrap w:val="0"/>
            <w:vAlign w:val="center"/>
          </w:tcPr>
          <w:p w14:paraId="3E85DFCC">
            <w:pPr>
              <w:adjustRightInd w:val="0"/>
              <w:snapToGrid w:val="0"/>
              <w:spacing w:before="50" w:line="360" w:lineRule="auto"/>
              <w:ind w:left="-88" w:leftChars="-42"/>
              <w:jc w:val="center"/>
              <w:rPr>
                <w:rFonts w:ascii="宋体" w:hAnsi="宋体" w:eastAsia="宋体"/>
                <w:color w:val="auto"/>
                <w:szCs w:val="21"/>
                <w:highlight w:val="none"/>
              </w:rPr>
            </w:pPr>
          </w:p>
        </w:tc>
      </w:tr>
      <w:tr w14:paraId="22BDA9D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noWrap w:val="0"/>
            <w:vAlign w:val="center"/>
          </w:tcPr>
          <w:p w14:paraId="6C0639E1">
            <w:pPr>
              <w:adjustRightInd w:val="0"/>
              <w:snapToGrid w:val="0"/>
              <w:spacing w:before="50" w:line="360" w:lineRule="auto"/>
              <w:ind w:left="-88" w:leftChars="-42"/>
              <w:jc w:val="center"/>
              <w:rPr>
                <w:rFonts w:ascii="宋体" w:hAnsi="宋体" w:eastAsia="宋体"/>
                <w:color w:val="auto"/>
                <w:szCs w:val="21"/>
                <w:highlight w:val="none"/>
              </w:rPr>
            </w:pPr>
          </w:p>
        </w:tc>
        <w:tc>
          <w:tcPr>
            <w:tcW w:w="2410" w:type="dxa"/>
            <w:noWrap w:val="0"/>
            <w:vAlign w:val="center"/>
          </w:tcPr>
          <w:p w14:paraId="09EA9040">
            <w:pPr>
              <w:adjustRightInd w:val="0"/>
              <w:snapToGrid w:val="0"/>
              <w:spacing w:before="50" w:line="360" w:lineRule="auto"/>
              <w:ind w:left="-88" w:leftChars="-42"/>
              <w:jc w:val="center"/>
              <w:rPr>
                <w:rFonts w:ascii="宋体" w:hAnsi="宋体" w:eastAsia="宋体"/>
                <w:color w:val="auto"/>
                <w:szCs w:val="21"/>
                <w:highlight w:val="none"/>
              </w:rPr>
            </w:pPr>
          </w:p>
        </w:tc>
        <w:tc>
          <w:tcPr>
            <w:tcW w:w="1985" w:type="dxa"/>
            <w:noWrap w:val="0"/>
            <w:vAlign w:val="center"/>
          </w:tcPr>
          <w:p w14:paraId="29FA84DC">
            <w:pPr>
              <w:adjustRightInd w:val="0"/>
              <w:snapToGrid w:val="0"/>
              <w:spacing w:before="50" w:line="360" w:lineRule="auto"/>
              <w:ind w:left="-88" w:leftChars="-42"/>
              <w:jc w:val="center"/>
              <w:rPr>
                <w:rFonts w:ascii="宋体" w:hAnsi="宋体" w:eastAsia="宋体"/>
                <w:color w:val="auto"/>
                <w:szCs w:val="21"/>
                <w:highlight w:val="none"/>
              </w:rPr>
            </w:pPr>
          </w:p>
        </w:tc>
        <w:tc>
          <w:tcPr>
            <w:tcW w:w="2082" w:type="dxa"/>
            <w:tcBorders>
              <w:right w:val="single" w:color="auto" w:sz="4" w:space="0"/>
            </w:tcBorders>
            <w:noWrap w:val="0"/>
            <w:vAlign w:val="center"/>
          </w:tcPr>
          <w:p w14:paraId="041CC627">
            <w:pPr>
              <w:adjustRightInd w:val="0"/>
              <w:snapToGrid w:val="0"/>
              <w:spacing w:before="50" w:line="360" w:lineRule="auto"/>
              <w:ind w:left="-88" w:leftChars="-42"/>
              <w:jc w:val="center"/>
              <w:rPr>
                <w:rFonts w:ascii="宋体" w:hAnsi="宋体" w:eastAsia="宋体"/>
                <w:color w:val="auto"/>
                <w:szCs w:val="21"/>
                <w:highlight w:val="none"/>
              </w:rPr>
            </w:pPr>
          </w:p>
        </w:tc>
        <w:tc>
          <w:tcPr>
            <w:tcW w:w="1942" w:type="dxa"/>
            <w:tcBorders>
              <w:left w:val="single" w:color="auto" w:sz="4" w:space="0"/>
            </w:tcBorders>
            <w:noWrap w:val="0"/>
            <w:vAlign w:val="center"/>
          </w:tcPr>
          <w:p w14:paraId="78EE3380">
            <w:pPr>
              <w:adjustRightInd w:val="0"/>
              <w:snapToGrid w:val="0"/>
              <w:spacing w:before="50" w:line="360" w:lineRule="auto"/>
              <w:ind w:left="-88" w:leftChars="-42"/>
              <w:jc w:val="center"/>
              <w:rPr>
                <w:rFonts w:ascii="宋体" w:hAnsi="宋体" w:eastAsia="宋体"/>
                <w:color w:val="auto"/>
                <w:szCs w:val="21"/>
                <w:highlight w:val="none"/>
              </w:rPr>
            </w:pPr>
          </w:p>
        </w:tc>
      </w:tr>
      <w:tr w14:paraId="083CF35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noWrap w:val="0"/>
            <w:vAlign w:val="center"/>
          </w:tcPr>
          <w:p w14:paraId="7052A61D">
            <w:pPr>
              <w:adjustRightInd w:val="0"/>
              <w:snapToGrid w:val="0"/>
              <w:spacing w:before="50" w:line="360" w:lineRule="auto"/>
              <w:ind w:left="-88" w:leftChars="-42"/>
              <w:jc w:val="center"/>
              <w:rPr>
                <w:rFonts w:ascii="宋体" w:hAnsi="宋体" w:eastAsia="宋体"/>
                <w:color w:val="auto"/>
                <w:szCs w:val="21"/>
                <w:highlight w:val="none"/>
              </w:rPr>
            </w:pPr>
          </w:p>
        </w:tc>
        <w:tc>
          <w:tcPr>
            <w:tcW w:w="2410" w:type="dxa"/>
            <w:noWrap w:val="0"/>
            <w:vAlign w:val="center"/>
          </w:tcPr>
          <w:p w14:paraId="657FC70A">
            <w:pPr>
              <w:adjustRightInd w:val="0"/>
              <w:snapToGrid w:val="0"/>
              <w:spacing w:before="50" w:line="360" w:lineRule="auto"/>
              <w:ind w:left="-88" w:leftChars="-42"/>
              <w:jc w:val="center"/>
              <w:rPr>
                <w:rFonts w:ascii="宋体" w:hAnsi="宋体" w:eastAsia="宋体"/>
                <w:color w:val="auto"/>
                <w:szCs w:val="21"/>
                <w:highlight w:val="none"/>
              </w:rPr>
            </w:pPr>
          </w:p>
        </w:tc>
        <w:tc>
          <w:tcPr>
            <w:tcW w:w="1985" w:type="dxa"/>
            <w:noWrap w:val="0"/>
            <w:vAlign w:val="center"/>
          </w:tcPr>
          <w:p w14:paraId="6069BB25">
            <w:pPr>
              <w:adjustRightInd w:val="0"/>
              <w:snapToGrid w:val="0"/>
              <w:spacing w:before="50" w:line="360" w:lineRule="auto"/>
              <w:ind w:left="-88" w:leftChars="-42"/>
              <w:jc w:val="center"/>
              <w:rPr>
                <w:rFonts w:ascii="宋体" w:hAnsi="宋体" w:eastAsia="宋体"/>
                <w:color w:val="auto"/>
                <w:szCs w:val="21"/>
                <w:highlight w:val="none"/>
              </w:rPr>
            </w:pPr>
          </w:p>
        </w:tc>
        <w:tc>
          <w:tcPr>
            <w:tcW w:w="2082" w:type="dxa"/>
            <w:tcBorders>
              <w:right w:val="single" w:color="auto" w:sz="4" w:space="0"/>
            </w:tcBorders>
            <w:noWrap w:val="0"/>
            <w:vAlign w:val="center"/>
          </w:tcPr>
          <w:p w14:paraId="58F03A37">
            <w:pPr>
              <w:adjustRightInd w:val="0"/>
              <w:snapToGrid w:val="0"/>
              <w:spacing w:before="50" w:line="360" w:lineRule="auto"/>
              <w:ind w:left="-88" w:leftChars="-42"/>
              <w:jc w:val="center"/>
              <w:rPr>
                <w:rFonts w:ascii="宋体" w:hAnsi="宋体" w:eastAsia="宋体"/>
                <w:color w:val="auto"/>
                <w:szCs w:val="21"/>
                <w:highlight w:val="none"/>
              </w:rPr>
            </w:pPr>
          </w:p>
        </w:tc>
        <w:tc>
          <w:tcPr>
            <w:tcW w:w="1942" w:type="dxa"/>
            <w:tcBorders>
              <w:left w:val="single" w:color="auto" w:sz="4" w:space="0"/>
            </w:tcBorders>
            <w:noWrap w:val="0"/>
            <w:vAlign w:val="center"/>
          </w:tcPr>
          <w:p w14:paraId="3E6FB12D">
            <w:pPr>
              <w:adjustRightInd w:val="0"/>
              <w:snapToGrid w:val="0"/>
              <w:spacing w:before="50" w:line="360" w:lineRule="auto"/>
              <w:ind w:left="-88" w:leftChars="-42"/>
              <w:jc w:val="center"/>
              <w:rPr>
                <w:rFonts w:ascii="宋体" w:hAnsi="宋体" w:eastAsia="宋体"/>
                <w:color w:val="auto"/>
                <w:szCs w:val="21"/>
                <w:highlight w:val="none"/>
              </w:rPr>
            </w:pPr>
          </w:p>
        </w:tc>
      </w:tr>
      <w:tr w14:paraId="7F25B0E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PrEx>
        <w:trPr>
          <w:trHeight w:val="505" w:hRule="atLeast"/>
          <w:jc w:val="center"/>
        </w:trPr>
        <w:tc>
          <w:tcPr>
            <w:tcW w:w="595" w:type="dxa"/>
            <w:noWrap w:val="0"/>
            <w:vAlign w:val="center"/>
          </w:tcPr>
          <w:p w14:paraId="129648ED">
            <w:pPr>
              <w:adjustRightInd w:val="0"/>
              <w:snapToGrid w:val="0"/>
              <w:spacing w:before="50" w:line="360" w:lineRule="auto"/>
              <w:ind w:left="-88" w:leftChars="-42"/>
              <w:jc w:val="center"/>
              <w:rPr>
                <w:rFonts w:ascii="宋体" w:hAnsi="宋体" w:eastAsia="宋体"/>
                <w:color w:val="auto"/>
                <w:szCs w:val="21"/>
                <w:highlight w:val="none"/>
              </w:rPr>
            </w:pPr>
          </w:p>
        </w:tc>
        <w:tc>
          <w:tcPr>
            <w:tcW w:w="2410" w:type="dxa"/>
            <w:noWrap w:val="0"/>
            <w:vAlign w:val="center"/>
          </w:tcPr>
          <w:p w14:paraId="6FD2F180">
            <w:pPr>
              <w:adjustRightInd w:val="0"/>
              <w:snapToGrid w:val="0"/>
              <w:spacing w:before="50" w:line="360" w:lineRule="auto"/>
              <w:ind w:left="-88" w:leftChars="-42"/>
              <w:jc w:val="center"/>
              <w:rPr>
                <w:rFonts w:ascii="宋体" w:hAnsi="宋体" w:eastAsia="宋体"/>
                <w:color w:val="auto"/>
                <w:szCs w:val="21"/>
                <w:highlight w:val="none"/>
              </w:rPr>
            </w:pPr>
          </w:p>
        </w:tc>
        <w:tc>
          <w:tcPr>
            <w:tcW w:w="1985" w:type="dxa"/>
            <w:noWrap w:val="0"/>
            <w:vAlign w:val="center"/>
          </w:tcPr>
          <w:p w14:paraId="196E0107">
            <w:pPr>
              <w:adjustRightInd w:val="0"/>
              <w:snapToGrid w:val="0"/>
              <w:spacing w:before="50" w:line="360" w:lineRule="auto"/>
              <w:ind w:left="-88" w:leftChars="-42"/>
              <w:jc w:val="center"/>
              <w:rPr>
                <w:rFonts w:ascii="宋体" w:hAnsi="宋体" w:eastAsia="宋体"/>
                <w:color w:val="auto"/>
                <w:szCs w:val="21"/>
                <w:highlight w:val="none"/>
              </w:rPr>
            </w:pPr>
          </w:p>
        </w:tc>
        <w:tc>
          <w:tcPr>
            <w:tcW w:w="2082" w:type="dxa"/>
            <w:tcBorders>
              <w:right w:val="single" w:color="auto" w:sz="4" w:space="0"/>
            </w:tcBorders>
            <w:noWrap w:val="0"/>
            <w:vAlign w:val="center"/>
          </w:tcPr>
          <w:p w14:paraId="464BBCBD">
            <w:pPr>
              <w:adjustRightInd w:val="0"/>
              <w:snapToGrid w:val="0"/>
              <w:spacing w:before="50" w:line="360" w:lineRule="auto"/>
              <w:ind w:left="-88" w:leftChars="-42"/>
              <w:jc w:val="center"/>
              <w:rPr>
                <w:rFonts w:ascii="宋体" w:hAnsi="宋体" w:eastAsia="宋体"/>
                <w:color w:val="auto"/>
                <w:szCs w:val="21"/>
                <w:highlight w:val="none"/>
              </w:rPr>
            </w:pPr>
          </w:p>
        </w:tc>
        <w:tc>
          <w:tcPr>
            <w:tcW w:w="1942" w:type="dxa"/>
            <w:tcBorders>
              <w:left w:val="single" w:color="auto" w:sz="4" w:space="0"/>
            </w:tcBorders>
            <w:noWrap w:val="0"/>
            <w:vAlign w:val="center"/>
          </w:tcPr>
          <w:p w14:paraId="0A180B44">
            <w:pPr>
              <w:adjustRightInd w:val="0"/>
              <w:snapToGrid w:val="0"/>
              <w:spacing w:before="50" w:line="360" w:lineRule="auto"/>
              <w:ind w:left="-88" w:leftChars="-42"/>
              <w:jc w:val="center"/>
              <w:rPr>
                <w:rFonts w:ascii="宋体" w:hAnsi="宋体" w:eastAsia="宋体"/>
                <w:color w:val="auto"/>
                <w:szCs w:val="21"/>
                <w:highlight w:val="none"/>
              </w:rPr>
            </w:pPr>
          </w:p>
        </w:tc>
      </w:tr>
      <w:tr w14:paraId="6CC165F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noWrap w:val="0"/>
            <w:vAlign w:val="center"/>
          </w:tcPr>
          <w:p w14:paraId="032020FB">
            <w:pPr>
              <w:adjustRightInd w:val="0"/>
              <w:snapToGrid w:val="0"/>
              <w:spacing w:before="50" w:line="360" w:lineRule="auto"/>
              <w:ind w:left="-88" w:leftChars="-42"/>
              <w:jc w:val="center"/>
              <w:rPr>
                <w:rFonts w:ascii="宋体" w:hAnsi="宋体" w:eastAsia="宋体"/>
                <w:color w:val="auto"/>
                <w:szCs w:val="21"/>
                <w:highlight w:val="none"/>
              </w:rPr>
            </w:pPr>
          </w:p>
        </w:tc>
        <w:tc>
          <w:tcPr>
            <w:tcW w:w="2410" w:type="dxa"/>
            <w:noWrap w:val="0"/>
            <w:vAlign w:val="center"/>
          </w:tcPr>
          <w:p w14:paraId="71D9B899">
            <w:pPr>
              <w:adjustRightInd w:val="0"/>
              <w:snapToGrid w:val="0"/>
              <w:spacing w:before="50" w:line="360" w:lineRule="auto"/>
              <w:ind w:left="-88" w:leftChars="-42"/>
              <w:jc w:val="center"/>
              <w:rPr>
                <w:rFonts w:ascii="宋体" w:hAnsi="宋体" w:eastAsia="宋体"/>
                <w:color w:val="auto"/>
                <w:szCs w:val="21"/>
                <w:highlight w:val="none"/>
              </w:rPr>
            </w:pPr>
          </w:p>
        </w:tc>
        <w:tc>
          <w:tcPr>
            <w:tcW w:w="1985" w:type="dxa"/>
            <w:noWrap w:val="0"/>
            <w:vAlign w:val="center"/>
          </w:tcPr>
          <w:p w14:paraId="6CE8C7E5">
            <w:pPr>
              <w:adjustRightInd w:val="0"/>
              <w:snapToGrid w:val="0"/>
              <w:spacing w:before="50" w:line="360" w:lineRule="auto"/>
              <w:ind w:left="-88" w:leftChars="-42"/>
              <w:jc w:val="center"/>
              <w:rPr>
                <w:rFonts w:ascii="宋体" w:hAnsi="宋体" w:eastAsia="宋体"/>
                <w:color w:val="auto"/>
                <w:szCs w:val="21"/>
                <w:highlight w:val="none"/>
              </w:rPr>
            </w:pPr>
          </w:p>
        </w:tc>
        <w:tc>
          <w:tcPr>
            <w:tcW w:w="4024" w:type="dxa"/>
            <w:gridSpan w:val="2"/>
            <w:noWrap w:val="0"/>
            <w:vAlign w:val="center"/>
          </w:tcPr>
          <w:p w14:paraId="086B7792">
            <w:pPr>
              <w:adjustRightInd w:val="0"/>
              <w:snapToGrid w:val="0"/>
              <w:spacing w:before="50" w:line="360" w:lineRule="auto"/>
              <w:ind w:firstLine="422" w:firstLineChars="200"/>
              <w:jc w:val="left"/>
              <w:rPr>
                <w:rFonts w:ascii="宋体" w:hAnsi="宋体" w:eastAsia="宋体"/>
                <w:b/>
                <w:color w:val="auto"/>
                <w:szCs w:val="21"/>
                <w:highlight w:val="none"/>
              </w:rPr>
            </w:pPr>
            <w:r>
              <w:rPr>
                <w:rFonts w:hint="eastAsia" w:ascii="宋体" w:hAnsi="宋体" w:eastAsia="宋体"/>
                <w:b/>
                <w:color w:val="auto"/>
                <w:szCs w:val="21"/>
                <w:highlight w:val="none"/>
              </w:rPr>
              <w:t>投标人保证：除本合同条款偏离表列出的偏离外，我单位对招标文件的其他商务、合同条款完全响应，无偏离。</w:t>
            </w:r>
          </w:p>
        </w:tc>
      </w:tr>
    </w:tbl>
    <w:p w14:paraId="6AE4D89F">
      <w:pPr>
        <w:adjustRightInd w:val="0"/>
        <w:snapToGrid w:val="0"/>
        <w:spacing w:before="50" w:line="360" w:lineRule="auto"/>
        <w:ind w:left="-88" w:leftChars="-42"/>
        <w:rPr>
          <w:rFonts w:ascii="宋体" w:hAnsi="宋体"/>
          <w:color w:val="auto"/>
          <w:szCs w:val="21"/>
          <w:highlight w:val="none"/>
        </w:rPr>
      </w:pPr>
      <w:r>
        <w:rPr>
          <w:rFonts w:hint="eastAsia" w:ascii="宋体" w:hAnsi="宋体" w:eastAsia="宋体"/>
          <w:b w:val="0"/>
          <w:bCs/>
          <w:color w:val="auto"/>
          <w:szCs w:val="21"/>
          <w:highlight w:val="none"/>
        </w:rPr>
        <w:t>注：</w:t>
      </w:r>
      <w:r>
        <w:rPr>
          <w:rFonts w:hint="eastAsia" w:ascii="宋体" w:hAnsi="宋体"/>
          <w:color w:val="auto"/>
          <w:szCs w:val="21"/>
          <w:highlight w:val="none"/>
          <w:lang w:val="en-US" w:eastAsia="zh-CN"/>
        </w:rPr>
        <w:t>1.</w:t>
      </w:r>
      <w:r>
        <w:rPr>
          <w:rFonts w:hint="eastAsia" w:ascii="宋体" w:hAnsi="宋体"/>
          <w:color w:val="auto"/>
          <w:szCs w:val="21"/>
          <w:highlight w:val="none"/>
        </w:rPr>
        <w:t>投标人应根据招标文件第六章</w:t>
      </w:r>
      <w:r>
        <w:rPr>
          <w:rFonts w:hint="eastAsia" w:ascii="华文宋体" w:hAnsi="华文宋体" w:eastAsia="华文宋体"/>
          <w:color w:val="auto"/>
          <w:szCs w:val="21"/>
          <w:highlight w:val="none"/>
        </w:rPr>
        <w:t>“</w:t>
      </w:r>
      <w:r>
        <w:rPr>
          <w:rFonts w:hint="eastAsia" w:ascii="宋体" w:hAnsi="宋体"/>
          <w:color w:val="auto"/>
          <w:szCs w:val="21"/>
          <w:highlight w:val="none"/>
        </w:rPr>
        <w:t>政府采购合同</w:t>
      </w:r>
      <w:r>
        <w:rPr>
          <w:rFonts w:hint="eastAsia" w:ascii="华文宋体" w:hAnsi="华文宋体" w:eastAsia="华文宋体"/>
          <w:color w:val="auto"/>
          <w:szCs w:val="21"/>
          <w:highlight w:val="none"/>
        </w:rPr>
        <w:t>”</w:t>
      </w:r>
      <w:r>
        <w:rPr>
          <w:rFonts w:hint="eastAsia" w:ascii="宋体" w:hAnsi="宋体"/>
          <w:color w:val="auto"/>
          <w:szCs w:val="21"/>
          <w:highlight w:val="none"/>
        </w:rPr>
        <w:t>填写本表；</w:t>
      </w:r>
    </w:p>
    <w:p w14:paraId="4C4E34CA">
      <w:pPr>
        <w:adjustRightInd w:val="0"/>
        <w:snapToGrid w:val="0"/>
        <w:spacing w:before="50" w:line="360" w:lineRule="auto"/>
        <w:ind w:left="-88" w:leftChars="-42" w:firstLine="420" w:firstLineChars="200"/>
        <w:rPr>
          <w:rFonts w:ascii="宋体" w:hAnsi="宋体"/>
          <w:b/>
          <w:color w:val="auto"/>
          <w:szCs w:val="21"/>
          <w:highlight w:val="none"/>
        </w:rPr>
      </w:pPr>
      <w:r>
        <w:rPr>
          <w:rFonts w:hint="eastAsia" w:ascii="宋体" w:hAnsi="宋体"/>
          <w:color w:val="auto"/>
          <w:szCs w:val="21"/>
          <w:highlight w:val="none"/>
          <w:lang w:val="en-US" w:eastAsia="zh-CN"/>
        </w:rPr>
        <w:t>2.</w:t>
      </w:r>
      <w:r>
        <w:rPr>
          <w:rFonts w:hint="eastAsia" w:ascii="宋体" w:hAnsi="宋体"/>
          <w:b/>
          <w:color w:val="auto"/>
          <w:szCs w:val="21"/>
          <w:highlight w:val="none"/>
        </w:rPr>
        <w:t>投标人如果对招标文件第六章“政府采购合同”的响应有偏离，应将偏离条款逐条如实应答，并作出说明；</w:t>
      </w:r>
    </w:p>
    <w:p w14:paraId="47A17B47">
      <w:pPr>
        <w:adjustRightInd w:val="0"/>
        <w:snapToGrid w:val="0"/>
        <w:spacing w:before="50" w:line="360" w:lineRule="auto"/>
        <w:ind w:left="-88" w:leftChars="-42" w:firstLine="420" w:firstLineChars="200"/>
        <w:rPr>
          <w:rFonts w:ascii="宋体" w:hAnsi="宋体"/>
          <w:color w:val="auto"/>
          <w:szCs w:val="21"/>
          <w:highlight w:val="none"/>
        </w:rPr>
      </w:pPr>
      <w:r>
        <w:rPr>
          <w:rFonts w:hint="eastAsia" w:ascii="宋体" w:hAnsi="宋体"/>
          <w:color w:val="auto"/>
          <w:szCs w:val="21"/>
          <w:highlight w:val="none"/>
          <w:lang w:val="en-US" w:eastAsia="zh-CN"/>
        </w:rPr>
        <w:t>3.</w:t>
      </w:r>
      <w:r>
        <w:rPr>
          <w:rFonts w:hint="eastAsia" w:ascii="宋体" w:hAnsi="宋体"/>
          <w:color w:val="auto"/>
          <w:szCs w:val="21"/>
          <w:highlight w:val="none"/>
        </w:rPr>
        <w:t>如不提供此表，则视为投标人不满足招标文件第六章的所有条款要求，</w:t>
      </w:r>
      <w:r>
        <w:rPr>
          <w:rFonts w:hint="eastAsia" w:ascii="宋体" w:hAnsi="宋体" w:eastAsia="宋体"/>
          <w:color w:val="auto"/>
          <w:szCs w:val="21"/>
          <w:highlight w:val="none"/>
        </w:rPr>
        <w:t>其</w:t>
      </w:r>
      <w:r>
        <w:rPr>
          <w:rFonts w:hint="eastAsia" w:ascii="宋体" w:hAnsi="宋体" w:eastAsia="宋体"/>
          <w:b/>
          <w:color w:val="auto"/>
          <w:szCs w:val="21"/>
          <w:highlight w:val="none"/>
        </w:rPr>
        <w:t>投标无效</w:t>
      </w:r>
      <w:r>
        <w:rPr>
          <w:rFonts w:hint="eastAsia" w:ascii="宋体" w:hAnsi="宋体"/>
          <w:color w:val="auto"/>
          <w:szCs w:val="21"/>
          <w:highlight w:val="none"/>
        </w:rPr>
        <w:t>。</w:t>
      </w:r>
    </w:p>
    <w:p w14:paraId="2327EFE9">
      <w:pPr>
        <w:adjustRightInd w:val="0"/>
        <w:snapToGrid w:val="0"/>
        <w:spacing w:before="50" w:line="360" w:lineRule="auto"/>
        <w:ind w:left="-88" w:leftChars="-42" w:firstLine="420" w:firstLineChars="200"/>
        <w:rPr>
          <w:rFonts w:ascii="宋体" w:hAnsi="宋体"/>
          <w:color w:val="auto"/>
          <w:szCs w:val="21"/>
          <w:highlight w:val="none"/>
        </w:rPr>
      </w:pPr>
      <w:r>
        <w:rPr>
          <w:rFonts w:hint="eastAsia" w:ascii="宋体" w:hAnsi="宋体"/>
          <w:color w:val="auto"/>
          <w:szCs w:val="21"/>
          <w:highlight w:val="none"/>
          <w:lang w:val="en-US" w:eastAsia="zh-CN"/>
        </w:rPr>
        <w:t>4.</w:t>
      </w:r>
      <w:r>
        <w:rPr>
          <w:rFonts w:hint="eastAsia" w:ascii="宋体" w:hAnsi="宋体" w:eastAsia="宋体"/>
          <w:color w:val="auto"/>
          <w:szCs w:val="21"/>
          <w:highlight w:val="none"/>
        </w:rPr>
        <w:t>在采购人与中标人签订合同时，如中标人未在投标文件“合同条款偏离表”中列出偏离说明，无论已发生或即将发生任何情形，均视为完全符合招标文件要求，并写入合同。若中标人在合同签订前，以上述事项为借口而不履行合同签订手续及执行合同，则视作拒绝与采购人签订合同。</w:t>
      </w:r>
    </w:p>
    <w:p w14:paraId="6B8947D1">
      <w:pPr>
        <w:adjustRightInd w:val="0"/>
        <w:snapToGrid w:val="0"/>
        <w:spacing w:before="50" w:line="360" w:lineRule="auto"/>
        <w:rPr>
          <w:rFonts w:ascii="宋体" w:hAnsi="宋体" w:eastAsia="宋体"/>
          <w:color w:val="auto"/>
          <w:szCs w:val="21"/>
          <w:highlight w:val="none"/>
        </w:rPr>
      </w:pPr>
    </w:p>
    <w:p w14:paraId="4F28659F">
      <w:pPr>
        <w:adjustRightInd w:val="0"/>
        <w:snapToGrid w:val="0"/>
        <w:spacing w:before="50" w:line="360" w:lineRule="auto"/>
        <w:rPr>
          <w:rFonts w:ascii="宋体" w:hAnsi="宋体"/>
          <w:color w:val="auto"/>
          <w:szCs w:val="21"/>
          <w:highlight w:val="none"/>
        </w:rPr>
      </w:pPr>
    </w:p>
    <w:p w14:paraId="7015E225">
      <w:pPr>
        <w:adjustRightInd w:val="0"/>
        <w:snapToGrid w:val="0"/>
        <w:spacing w:before="50" w:line="360" w:lineRule="auto"/>
        <w:rPr>
          <w:rFonts w:ascii="宋体" w:hAnsi="宋体"/>
          <w:color w:val="auto"/>
          <w:szCs w:val="21"/>
          <w:highlight w:val="none"/>
        </w:rPr>
      </w:pPr>
      <w:r>
        <w:rPr>
          <w:rFonts w:hint="eastAsia" w:ascii="宋体" w:hAnsi="宋体"/>
          <w:color w:val="auto"/>
          <w:szCs w:val="21"/>
          <w:highlight w:val="none"/>
        </w:rPr>
        <w:t>投标人名称（盖单位章）：</w:t>
      </w:r>
    </w:p>
    <w:p w14:paraId="3D0DBCB4">
      <w:pPr>
        <w:adjustRightInd w:val="0"/>
        <w:snapToGrid w:val="0"/>
        <w:spacing w:before="50" w:line="360" w:lineRule="auto"/>
        <w:rPr>
          <w:rFonts w:ascii="宋体" w:hAnsi="宋体"/>
          <w:color w:val="auto"/>
          <w:szCs w:val="21"/>
          <w:highlight w:val="none"/>
        </w:rPr>
      </w:pPr>
      <w:r>
        <w:rPr>
          <w:rFonts w:hint="eastAsia" w:ascii="宋体" w:hAnsi="宋体" w:eastAsia="宋体" w:cs="微软雅黑"/>
          <w:color w:val="auto"/>
          <w:spacing w:val="-2"/>
          <w:kern w:val="0"/>
          <w:szCs w:val="21"/>
          <w:highlight w:val="none"/>
        </w:rPr>
        <w:t>法</w:t>
      </w:r>
      <w:r>
        <w:rPr>
          <w:rFonts w:hint="eastAsia" w:ascii="宋体" w:hAnsi="宋体" w:eastAsia="宋体" w:cs="微软雅黑"/>
          <w:color w:val="auto"/>
          <w:kern w:val="0"/>
          <w:szCs w:val="21"/>
          <w:highlight w:val="none"/>
        </w:rPr>
        <w:t>定</w:t>
      </w:r>
      <w:r>
        <w:rPr>
          <w:rFonts w:hint="eastAsia" w:ascii="宋体" w:hAnsi="宋体" w:eastAsia="宋体" w:cs="微软雅黑"/>
          <w:color w:val="auto"/>
          <w:spacing w:val="-2"/>
          <w:kern w:val="0"/>
          <w:szCs w:val="21"/>
          <w:highlight w:val="none"/>
        </w:rPr>
        <w:t>代</w:t>
      </w:r>
      <w:r>
        <w:rPr>
          <w:rFonts w:hint="eastAsia" w:ascii="宋体" w:hAnsi="宋体" w:eastAsia="宋体" w:cs="微软雅黑"/>
          <w:color w:val="auto"/>
          <w:kern w:val="0"/>
          <w:szCs w:val="21"/>
          <w:highlight w:val="none"/>
        </w:rPr>
        <w:t>表</w:t>
      </w:r>
      <w:r>
        <w:rPr>
          <w:rFonts w:hint="eastAsia" w:ascii="宋体" w:hAnsi="宋体" w:eastAsia="宋体" w:cs="微软雅黑"/>
          <w:color w:val="auto"/>
          <w:spacing w:val="-2"/>
          <w:kern w:val="0"/>
          <w:szCs w:val="21"/>
          <w:highlight w:val="none"/>
        </w:rPr>
        <w:t>人</w:t>
      </w:r>
      <w:r>
        <w:rPr>
          <w:rFonts w:hint="eastAsia" w:ascii="宋体" w:hAnsi="宋体" w:eastAsia="宋体" w:cs="微软雅黑"/>
          <w:color w:val="auto"/>
          <w:kern w:val="0"/>
          <w:szCs w:val="21"/>
          <w:highlight w:val="none"/>
        </w:rPr>
        <w:t>（</w:t>
      </w:r>
      <w:r>
        <w:rPr>
          <w:rFonts w:hint="eastAsia" w:ascii="宋体" w:hAnsi="宋体" w:eastAsia="宋体" w:cs="微软雅黑"/>
          <w:color w:val="auto"/>
          <w:spacing w:val="-2"/>
          <w:kern w:val="0"/>
          <w:szCs w:val="21"/>
          <w:highlight w:val="none"/>
        </w:rPr>
        <w:t>单</w:t>
      </w:r>
      <w:r>
        <w:rPr>
          <w:rFonts w:hint="eastAsia" w:ascii="宋体" w:hAnsi="宋体" w:eastAsia="宋体" w:cs="微软雅黑"/>
          <w:color w:val="auto"/>
          <w:kern w:val="0"/>
          <w:szCs w:val="21"/>
          <w:highlight w:val="none"/>
        </w:rPr>
        <w:t>位</w:t>
      </w:r>
      <w:r>
        <w:rPr>
          <w:rFonts w:hint="eastAsia" w:ascii="宋体" w:hAnsi="宋体" w:eastAsia="宋体" w:cs="微软雅黑"/>
          <w:color w:val="auto"/>
          <w:spacing w:val="-2"/>
          <w:kern w:val="0"/>
          <w:szCs w:val="21"/>
          <w:highlight w:val="none"/>
        </w:rPr>
        <w:t>负</w:t>
      </w:r>
      <w:r>
        <w:rPr>
          <w:rFonts w:hint="eastAsia" w:ascii="宋体" w:hAnsi="宋体" w:eastAsia="宋体" w:cs="微软雅黑"/>
          <w:color w:val="auto"/>
          <w:kern w:val="0"/>
          <w:szCs w:val="21"/>
          <w:highlight w:val="none"/>
        </w:rPr>
        <w:t>责人</w:t>
      </w:r>
      <w:r>
        <w:rPr>
          <w:rFonts w:hint="eastAsia" w:ascii="宋体" w:hAnsi="宋体" w:eastAsia="宋体" w:cs="微软雅黑"/>
          <w:color w:val="auto"/>
          <w:spacing w:val="-2"/>
          <w:kern w:val="0"/>
          <w:szCs w:val="21"/>
          <w:highlight w:val="none"/>
        </w:rPr>
        <w:t>）</w:t>
      </w:r>
      <w:r>
        <w:rPr>
          <w:rFonts w:hint="eastAsia" w:ascii="宋体" w:hAnsi="宋体"/>
          <w:color w:val="auto"/>
          <w:szCs w:val="21"/>
          <w:highlight w:val="none"/>
        </w:rPr>
        <w:t>或其授权的代理人（签字或印章）：</w:t>
      </w:r>
      <w:r>
        <w:rPr>
          <w:rFonts w:hint="eastAsia" w:ascii="宋体" w:hAnsi="宋体"/>
          <w:color w:val="auto"/>
          <w:szCs w:val="21"/>
          <w:highlight w:val="none"/>
          <w:u w:val="single"/>
        </w:rPr>
        <w:t xml:space="preserve">                     </w:t>
      </w:r>
    </w:p>
    <w:p w14:paraId="6B396CC5">
      <w:pPr>
        <w:adjustRightInd w:val="0"/>
        <w:snapToGrid w:val="0"/>
        <w:spacing w:before="50" w:line="168" w:lineRule="auto"/>
        <w:rPr>
          <w:rFonts w:ascii="黑体" w:hAnsi="宋体" w:eastAsia="黑体"/>
          <w:b/>
          <w:bCs/>
          <w:color w:val="auto"/>
          <w:sz w:val="28"/>
          <w:szCs w:val="28"/>
          <w:highlight w:val="none"/>
        </w:rPr>
      </w:pPr>
      <w:r>
        <w:rPr>
          <w:rFonts w:hint="eastAsia" w:ascii="宋体" w:hAnsi="宋体"/>
          <w:color w:val="auto"/>
          <w:szCs w:val="21"/>
          <w:highlight w:val="none"/>
        </w:rPr>
        <w:t>日       期：</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_日</w:t>
      </w:r>
      <w:r>
        <w:rPr>
          <w:rFonts w:ascii="黑体" w:hAnsi="宋体" w:eastAsia="黑体"/>
          <w:color w:val="auto"/>
          <w:sz w:val="28"/>
          <w:szCs w:val="28"/>
          <w:highlight w:val="none"/>
        </w:rPr>
        <w:br w:type="page"/>
      </w:r>
    </w:p>
    <w:p w14:paraId="53B2C767">
      <w:pPr>
        <w:pStyle w:val="4"/>
        <w:adjustRightInd w:val="0"/>
        <w:snapToGrid w:val="0"/>
        <w:spacing w:before="156" w:beforeLines="50" w:after="0" w:line="360" w:lineRule="auto"/>
        <w:jc w:val="center"/>
        <w:rPr>
          <w:rFonts w:ascii="黑体" w:hAnsi="宋体" w:eastAsia="黑体"/>
          <w:color w:val="auto"/>
          <w:sz w:val="28"/>
          <w:szCs w:val="28"/>
          <w:highlight w:val="none"/>
        </w:rPr>
      </w:pPr>
      <w:bookmarkStart w:id="148" w:name="_Toc29536"/>
      <w:r>
        <w:rPr>
          <w:rFonts w:hint="eastAsia" w:ascii="黑体" w:hAnsi="宋体" w:eastAsia="黑体"/>
          <w:color w:val="auto"/>
          <w:sz w:val="28"/>
          <w:szCs w:val="28"/>
          <w:highlight w:val="none"/>
        </w:rPr>
        <w:t>九、采购需求偏离表</w:t>
      </w:r>
      <w:bookmarkEnd w:id="148"/>
    </w:p>
    <w:p w14:paraId="5EF403F2">
      <w:pPr>
        <w:adjustRightInd w:val="0"/>
        <w:snapToGrid w:val="0"/>
        <w:spacing w:before="156" w:beforeLines="50" w:line="360" w:lineRule="auto"/>
        <w:rPr>
          <w:rFonts w:ascii="宋体" w:hAnsi="宋体" w:eastAsia="宋体"/>
          <w:color w:val="auto"/>
          <w:szCs w:val="21"/>
          <w:highlight w:val="none"/>
          <w:u w:val="single"/>
        </w:rPr>
      </w:pPr>
      <w:r>
        <w:rPr>
          <w:rFonts w:hint="eastAsia" w:ascii="宋体" w:hAnsi="宋体"/>
          <w:color w:val="auto"/>
          <w:szCs w:val="21"/>
          <w:highlight w:val="none"/>
          <w:lang w:eastAsia="zh-CN"/>
        </w:rPr>
        <w:t>政府采购计划编号</w:t>
      </w:r>
      <w:r>
        <w:rPr>
          <w:rFonts w:hint="eastAsia" w:ascii="宋体" w:hAnsi="宋体"/>
          <w:color w:val="auto"/>
          <w:szCs w:val="21"/>
          <w:highlight w:val="none"/>
        </w:rPr>
        <w:t>:</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r>
        <w:rPr>
          <w:rFonts w:hint="eastAsia" w:ascii="宋体" w:hAnsi="宋体" w:eastAsia="宋体"/>
          <w:color w:val="auto"/>
          <w:szCs w:val="21"/>
          <w:highlight w:val="none"/>
        </w:rPr>
        <w:t>项目名称：</w:t>
      </w:r>
      <w:r>
        <w:rPr>
          <w:rFonts w:hint="eastAsia" w:ascii="宋体" w:hAnsi="宋体" w:eastAsia="宋体"/>
          <w:color w:val="auto"/>
          <w:szCs w:val="21"/>
          <w:highlight w:val="none"/>
          <w:u w:val="single"/>
        </w:rPr>
        <w:t xml:space="preserve">                   </w:t>
      </w:r>
    </w:p>
    <w:p w14:paraId="7337C0B8">
      <w:pPr>
        <w:adjustRightInd w:val="0"/>
        <w:snapToGrid w:val="0"/>
        <w:spacing w:before="156" w:beforeLines="50" w:line="360" w:lineRule="auto"/>
        <w:rPr>
          <w:rFonts w:ascii="宋体" w:hAnsi="宋体" w:eastAsia="宋体"/>
          <w:color w:val="auto"/>
          <w:szCs w:val="21"/>
          <w:highlight w:val="none"/>
          <w:u w:val="single"/>
        </w:rPr>
      </w:pPr>
      <w:r>
        <w:rPr>
          <w:rFonts w:hint="eastAsia" w:ascii="宋体" w:hAnsi="宋体" w:eastAsia="宋体"/>
          <w:color w:val="auto"/>
          <w:szCs w:val="21"/>
          <w:highlight w:val="none"/>
        </w:rPr>
        <w:t>包           号：</w:t>
      </w:r>
      <w:r>
        <w:rPr>
          <w:rFonts w:hint="eastAsia" w:ascii="宋体" w:hAnsi="宋体" w:eastAsia="宋体"/>
          <w:color w:val="auto"/>
          <w:szCs w:val="21"/>
          <w:highlight w:val="none"/>
          <w:u w:val="single"/>
        </w:rPr>
        <w:t xml:space="preserve">                        </w:t>
      </w:r>
      <w:r>
        <w:rPr>
          <w:rFonts w:hint="eastAsia" w:ascii="宋体" w:hAnsi="宋体" w:eastAsia="宋体"/>
          <w:color w:val="auto"/>
          <w:szCs w:val="21"/>
          <w:highlight w:val="none"/>
        </w:rPr>
        <w:t xml:space="preserve">           包名称：</w:t>
      </w:r>
      <w:r>
        <w:rPr>
          <w:rFonts w:hint="eastAsia" w:ascii="宋体" w:hAnsi="宋体" w:eastAsia="宋体"/>
          <w:color w:val="auto"/>
          <w:szCs w:val="21"/>
          <w:highlight w:val="none"/>
          <w:u w:val="single"/>
        </w:rPr>
        <w:t xml:space="preserve">                    </w:t>
      </w:r>
    </w:p>
    <w:tbl>
      <w:tblPr>
        <w:tblStyle w:val="25"/>
        <w:tblW w:w="0" w:type="auto"/>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737"/>
        <w:gridCol w:w="2410"/>
        <w:gridCol w:w="1985"/>
        <w:gridCol w:w="2126"/>
        <w:gridCol w:w="1756"/>
      </w:tblGrid>
      <w:tr w14:paraId="1FA8435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737" w:type="dxa"/>
            <w:noWrap w:val="0"/>
            <w:vAlign w:val="center"/>
          </w:tcPr>
          <w:p w14:paraId="7139E690">
            <w:pPr>
              <w:adjustRightInd w:val="0"/>
              <w:snapToGrid w:val="0"/>
              <w:spacing w:before="50" w:line="360" w:lineRule="auto"/>
              <w:ind w:left="-88" w:leftChars="-42"/>
              <w:jc w:val="center"/>
              <w:rPr>
                <w:rFonts w:ascii="宋体" w:hAnsi="宋体" w:eastAsia="宋体"/>
                <w:color w:val="auto"/>
                <w:szCs w:val="21"/>
                <w:highlight w:val="none"/>
              </w:rPr>
            </w:pPr>
            <w:r>
              <w:rPr>
                <w:rFonts w:hint="eastAsia" w:ascii="宋体" w:hAnsi="宋体" w:eastAsia="宋体"/>
                <w:bCs/>
                <w:color w:val="auto"/>
                <w:szCs w:val="21"/>
                <w:highlight w:val="none"/>
              </w:rPr>
              <w:t>序</w:t>
            </w:r>
            <w:r>
              <w:rPr>
                <w:rFonts w:hint="eastAsia" w:ascii="宋体" w:hAnsi="宋体" w:eastAsia="宋体"/>
                <w:color w:val="auto"/>
                <w:szCs w:val="21"/>
                <w:highlight w:val="none"/>
              </w:rPr>
              <w:t>号</w:t>
            </w:r>
          </w:p>
        </w:tc>
        <w:tc>
          <w:tcPr>
            <w:tcW w:w="2410" w:type="dxa"/>
            <w:noWrap w:val="0"/>
            <w:vAlign w:val="center"/>
          </w:tcPr>
          <w:p w14:paraId="54960169">
            <w:pPr>
              <w:adjustRightInd w:val="0"/>
              <w:snapToGrid w:val="0"/>
              <w:spacing w:before="50" w:line="360" w:lineRule="auto"/>
              <w:ind w:left="-88" w:leftChars="-42"/>
              <w:jc w:val="center"/>
              <w:rPr>
                <w:rFonts w:ascii="宋体" w:hAnsi="宋体" w:eastAsia="宋体"/>
                <w:color w:val="auto"/>
                <w:szCs w:val="21"/>
                <w:highlight w:val="none"/>
              </w:rPr>
            </w:pPr>
            <w:r>
              <w:rPr>
                <w:rFonts w:hint="eastAsia" w:ascii="宋体" w:hAnsi="宋体" w:eastAsia="宋体"/>
                <w:color w:val="auto"/>
                <w:szCs w:val="21"/>
                <w:highlight w:val="none"/>
              </w:rPr>
              <w:t>招标文件章节</w:t>
            </w:r>
            <w:r>
              <w:rPr>
                <w:rFonts w:hint="eastAsia" w:ascii="宋体" w:hAnsi="宋体" w:eastAsia="宋体"/>
                <w:bCs/>
                <w:color w:val="auto"/>
                <w:szCs w:val="21"/>
                <w:highlight w:val="none"/>
              </w:rPr>
              <w:t>条</w:t>
            </w:r>
            <w:r>
              <w:rPr>
                <w:rFonts w:hint="eastAsia" w:ascii="宋体" w:hAnsi="宋体" w:eastAsia="宋体"/>
                <w:color w:val="auto"/>
                <w:szCs w:val="21"/>
                <w:highlight w:val="none"/>
              </w:rPr>
              <w:t>款号</w:t>
            </w:r>
          </w:p>
        </w:tc>
        <w:tc>
          <w:tcPr>
            <w:tcW w:w="1985" w:type="dxa"/>
            <w:tcBorders>
              <w:right w:val="single" w:color="auto" w:sz="4" w:space="0"/>
            </w:tcBorders>
            <w:noWrap w:val="0"/>
            <w:vAlign w:val="top"/>
          </w:tcPr>
          <w:p w14:paraId="408934AB">
            <w:pPr>
              <w:adjustRightInd w:val="0"/>
              <w:snapToGrid w:val="0"/>
              <w:spacing w:before="50" w:line="360" w:lineRule="auto"/>
              <w:jc w:val="center"/>
              <w:rPr>
                <w:color w:val="auto"/>
                <w:highlight w:val="none"/>
              </w:rPr>
            </w:pPr>
            <w:r>
              <w:rPr>
                <w:rFonts w:hint="eastAsia"/>
                <w:color w:val="auto"/>
                <w:highlight w:val="none"/>
              </w:rPr>
              <w:t>招标文件要求</w:t>
            </w:r>
          </w:p>
        </w:tc>
        <w:tc>
          <w:tcPr>
            <w:tcW w:w="2126" w:type="dxa"/>
            <w:tcBorders>
              <w:left w:val="single" w:color="auto" w:sz="4" w:space="0"/>
            </w:tcBorders>
            <w:noWrap w:val="0"/>
            <w:vAlign w:val="top"/>
          </w:tcPr>
          <w:p w14:paraId="4EB66409">
            <w:pPr>
              <w:adjustRightInd w:val="0"/>
              <w:snapToGrid w:val="0"/>
              <w:spacing w:before="50" w:line="360" w:lineRule="auto"/>
              <w:jc w:val="center"/>
              <w:rPr>
                <w:color w:val="auto"/>
                <w:highlight w:val="none"/>
              </w:rPr>
            </w:pPr>
            <w:r>
              <w:rPr>
                <w:rFonts w:hint="eastAsia"/>
                <w:color w:val="auto"/>
                <w:highlight w:val="none"/>
              </w:rPr>
              <w:t>投标文件应答</w:t>
            </w:r>
          </w:p>
        </w:tc>
        <w:tc>
          <w:tcPr>
            <w:tcW w:w="1756" w:type="dxa"/>
            <w:noWrap w:val="0"/>
            <w:vAlign w:val="center"/>
          </w:tcPr>
          <w:p w14:paraId="455C2738">
            <w:pPr>
              <w:adjustRightInd w:val="0"/>
              <w:snapToGrid w:val="0"/>
              <w:spacing w:before="50" w:line="360" w:lineRule="auto"/>
              <w:ind w:left="-88" w:leftChars="-42"/>
              <w:jc w:val="center"/>
              <w:rPr>
                <w:rFonts w:ascii="宋体" w:hAnsi="宋体" w:eastAsia="宋体"/>
                <w:color w:val="auto"/>
                <w:szCs w:val="21"/>
                <w:highlight w:val="none"/>
              </w:rPr>
            </w:pPr>
            <w:r>
              <w:rPr>
                <w:rFonts w:hint="eastAsia" w:ascii="宋体" w:hAnsi="宋体" w:eastAsia="宋体"/>
                <w:color w:val="auto"/>
                <w:szCs w:val="21"/>
                <w:highlight w:val="none"/>
              </w:rPr>
              <w:t>偏离说明</w:t>
            </w:r>
          </w:p>
        </w:tc>
      </w:tr>
      <w:tr w14:paraId="56AF1C4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noWrap w:val="0"/>
            <w:vAlign w:val="center"/>
          </w:tcPr>
          <w:p w14:paraId="2EDB3B8D">
            <w:pPr>
              <w:adjustRightInd w:val="0"/>
              <w:snapToGrid w:val="0"/>
              <w:spacing w:before="50" w:line="360" w:lineRule="auto"/>
              <w:ind w:left="-88" w:leftChars="-42"/>
              <w:jc w:val="center"/>
              <w:rPr>
                <w:rFonts w:ascii="宋体" w:hAnsi="宋体" w:eastAsia="宋体"/>
                <w:color w:val="auto"/>
                <w:szCs w:val="21"/>
                <w:highlight w:val="none"/>
              </w:rPr>
            </w:pPr>
          </w:p>
        </w:tc>
        <w:tc>
          <w:tcPr>
            <w:tcW w:w="2410" w:type="dxa"/>
            <w:noWrap w:val="0"/>
            <w:vAlign w:val="center"/>
          </w:tcPr>
          <w:p w14:paraId="6EBAD086">
            <w:pPr>
              <w:adjustRightInd w:val="0"/>
              <w:snapToGrid w:val="0"/>
              <w:spacing w:before="50" w:line="360" w:lineRule="auto"/>
              <w:ind w:left="-88" w:leftChars="-42"/>
              <w:jc w:val="center"/>
              <w:rPr>
                <w:rFonts w:ascii="宋体" w:hAnsi="宋体" w:eastAsia="宋体"/>
                <w:color w:val="auto"/>
                <w:szCs w:val="21"/>
                <w:highlight w:val="none"/>
              </w:rPr>
            </w:pPr>
          </w:p>
        </w:tc>
        <w:tc>
          <w:tcPr>
            <w:tcW w:w="1985" w:type="dxa"/>
            <w:tcBorders>
              <w:right w:val="single" w:color="auto" w:sz="4" w:space="0"/>
            </w:tcBorders>
            <w:noWrap w:val="0"/>
            <w:vAlign w:val="center"/>
          </w:tcPr>
          <w:p w14:paraId="68C6C18D">
            <w:pPr>
              <w:adjustRightInd w:val="0"/>
              <w:snapToGrid w:val="0"/>
              <w:spacing w:before="50" w:line="360" w:lineRule="auto"/>
              <w:ind w:left="-88" w:leftChars="-42"/>
              <w:jc w:val="center"/>
              <w:rPr>
                <w:rFonts w:ascii="宋体" w:hAnsi="宋体" w:eastAsia="宋体"/>
                <w:color w:val="auto"/>
                <w:szCs w:val="21"/>
                <w:highlight w:val="none"/>
              </w:rPr>
            </w:pPr>
          </w:p>
        </w:tc>
        <w:tc>
          <w:tcPr>
            <w:tcW w:w="2126" w:type="dxa"/>
            <w:tcBorders>
              <w:left w:val="single" w:color="auto" w:sz="4" w:space="0"/>
            </w:tcBorders>
            <w:noWrap w:val="0"/>
            <w:vAlign w:val="center"/>
          </w:tcPr>
          <w:p w14:paraId="480D5138">
            <w:pPr>
              <w:adjustRightInd w:val="0"/>
              <w:snapToGrid w:val="0"/>
              <w:spacing w:before="50" w:line="360" w:lineRule="auto"/>
              <w:ind w:left="-88" w:leftChars="-42"/>
              <w:jc w:val="center"/>
              <w:rPr>
                <w:rFonts w:ascii="宋体" w:hAnsi="宋体" w:eastAsia="宋体"/>
                <w:color w:val="auto"/>
                <w:szCs w:val="21"/>
                <w:highlight w:val="none"/>
              </w:rPr>
            </w:pPr>
          </w:p>
        </w:tc>
        <w:tc>
          <w:tcPr>
            <w:tcW w:w="1756" w:type="dxa"/>
            <w:noWrap w:val="0"/>
            <w:vAlign w:val="center"/>
          </w:tcPr>
          <w:p w14:paraId="31B22864">
            <w:pPr>
              <w:adjustRightInd w:val="0"/>
              <w:snapToGrid w:val="0"/>
              <w:spacing w:before="50" w:line="360" w:lineRule="auto"/>
              <w:ind w:left="-88" w:leftChars="-42"/>
              <w:jc w:val="center"/>
              <w:rPr>
                <w:rFonts w:ascii="宋体" w:hAnsi="宋体" w:eastAsia="宋体"/>
                <w:color w:val="auto"/>
                <w:szCs w:val="21"/>
                <w:highlight w:val="none"/>
              </w:rPr>
            </w:pPr>
          </w:p>
        </w:tc>
      </w:tr>
      <w:tr w14:paraId="5A53FF5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noWrap w:val="0"/>
            <w:vAlign w:val="center"/>
          </w:tcPr>
          <w:p w14:paraId="6AB5EAE8">
            <w:pPr>
              <w:adjustRightInd w:val="0"/>
              <w:snapToGrid w:val="0"/>
              <w:spacing w:before="50" w:line="360" w:lineRule="auto"/>
              <w:ind w:left="-88" w:leftChars="-42"/>
              <w:jc w:val="center"/>
              <w:rPr>
                <w:rFonts w:ascii="宋体" w:hAnsi="宋体" w:eastAsia="宋体"/>
                <w:color w:val="auto"/>
                <w:szCs w:val="21"/>
                <w:highlight w:val="none"/>
              </w:rPr>
            </w:pPr>
          </w:p>
        </w:tc>
        <w:tc>
          <w:tcPr>
            <w:tcW w:w="2410" w:type="dxa"/>
            <w:noWrap w:val="0"/>
            <w:vAlign w:val="center"/>
          </w:tcPr>
          <w:p w14:paraId="6B1EC6DF">
            <w:pPr>
              <w:adjustRightInd w:val="0"/>
              <w:snapToGrid w:val="0"/>
              <w:spacing w:before="50" w:line="360" w:lineRule="auto"/>
              <w:ind w:left="-88" w:leftChars="-42"/>
              <w:jc w:val="center"/>
              <w:rPr>
                <w:rFonts w:ascii="宋体" w:hAnsi="宋体" w:eastAsia="宋体"/>
                <w:color w:val="auto"/>
                <w:szCs w:val="21"/>
                <w:highlight w:val="none"/>
              </w:rPr>
            </w:pPr>
          </w:p>
        </w:tc>
        <w:tc>
          <w:tcPr>
            <w:tcW w:w="1985" w:type="dxa"/>
            <w:tcBorders>
              <w:right w:val="single" w:color="auto" w:sz="4" w:space="0"/>
            </w:tcBorders>
            <w:noWrap w:val="0"/>
            <w:vAlign w:val="center"/>
          </w:tcPr>
          <w:p w14:paraId="712A40E9">
            <w:pPr>
              <w:adjustRightInd w:val="0"/>
              <w:snapToGrid w:val="0"/>
              <w:spacing w:before="50" w:line="360" w:lineRule="auto"/>
              <w:ind w:left="-88" w:leftChars="-42"/>
              <w:jc w:val="center"/>
              <w:rPr>
                <w:rFonts w:ascii="宋体" w:hAnsi="宋体" w:eastAsia="宋体"/>
                <w:color w:val="auto"/>
                <w:szCs w:val="21"/>
                <w:highlight w:val="none"/>
              </w:rPr>
            </w:pPr>
          </w:p>
        </w:tc>
        <w:tc>
          <w:tcPr>
            <w:tcW w:w="2126" w:type="dxa"/>
            <w:tcBorders>
              <w:left w:val="single" w:color="auto" w:sz="4" w:space="0"/>
            </w:tcBorders>
            <w:noWrap w:val="0"/>
            <w:vAlign w:val="center"/>
          </w:tcPr>
          <w:p w14:paraId="34F7F9FA">
            <w:pPr>
              <w:adjustRightInd w:val="0"/>
              <w:snapToGrid w:val="0"/>
              <w:spacing w:before="50" w:line="360" w:lineRule="auto"/>
              <w:ind w:left="-88" w:leftChars="-42"/>
              <w:jc w:val="center"/>
              <w:rPr>
                <w:rFonts w:ascii="宋体" w:hAnsi="宋体" w:eastAsia="宋体"/>
                <w:color w:val="auto"/>
                <w:szCs w:val="21"/>
                <w:highlight w:val="none"/>
              </w:rPr>
            </w:pPr>
          </w:p>
        </w:tc>
        <w:tc>
          <w:tcPr>
            <w:tcW w:w="1756" w:type="dxa"/>
            <w:noWrap w:val="0"/>
            <w:vAlign w:val="center"/>
          </w:tcPr>
          <w:p w14:paraId="4583F93B">
            <w:pPr>
              <w:adjustRightInd w:val="0"/>
              <w:snapToGrid w:val="0"/>
              <w:spacing w:before="50" w:line="360" w:lineRule="auto"/>
              <w:ind w:left="-88" w:leftChars="-42"/>
              <w:jc w:val="center"/>
              <w:rPr>
                <w:rFonts w:ascii="宋体" w:hAnsi="宋体" w:eastAsia="宋体"/>
                <w:color w:val="auto"/>
                <w:szCs w:val="21"/>
                <w:highlight w:val="none"/>
              </w:rPr>
            </w:pPr>
          </w:p>
        </w:tc>
      </w:tr>
      <w:tr w14:paraId="32208D3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noWrap w:val="0"/>
            <w:vAlign w:val="center"/>
          </w:tcPr>
          <w:p w14:paraId="59BD984B">
            <w:pPr>
              <w:adjustRightInd w:val="0"/>
              <w:snapToGrid w:val="0"/>
              <w:spacing w:before="50" w:line="360" w:lineRule="auto"/>
              <w:ind w:left="-88" w:leftChars="-42"/>
              <w:jc w:val="center"/>
              <w:rPr>
                <w:rFonts w:ascii="宋体" w:hAnsi="宋体" w:eastAsia="宋体"/>
                <w:color w:val="auto"/>
                <w:szCs w:val="21"/>
                <w:highlight w:val="none"/>
              </w:rPr>
            </w:pPr>
          </w:p>
        </w:tc>
        <w:tc>
          <w:tcPr>
            <w:tcW w:w="2410" w:type="dxa"/>
            <w:noWrap w:val="0"/>
            <w:vAlign w:val="center"/>
          </w:tcPr>
          <w:p w14:paraId="3E6B57D1">
            <w:pPr>
              <w:adjustRightInd w:val="0"/>
              <w:snapToGrid w:val="0"/>
              <w:spacing w:before="50" w:line="360" w:lineRule="auto"/>
              <w:ind w:left="-88" w:leftChars="-42"/>
              <w:jc w:val="center"/>
              <w:rPr>
                <w:rFonts w:ascii="宋体" w:hAnsi="宋体" w:eastAsia="宋体"/>
                <w:color w:val="auto"/>
                <w:szCs w:val="21"/>
                <w:highlight w:val="none"/>
              </w:rPr>
            </w:pPr>
          </w:p>
        </w:tc>
        <w:tc>
          <w:tcPr>
            <w:tcW w:w="1985" w:type="dxa"/>
            <w:tcBorders>
              <w:right w:val="single" w:color="auto" w:sz="4" w:space="0"/>
            </w:tcBorders>
            <w:noWrap w:val="0"/>
            <w:vAlign w:val="center"/>
          </w:tcPr>
          <w:p w14:paraId="07F5875C">
            <w:pPr>
              <w:adjustRightInd w:val="0"/>
              <w:snapToGrid w:val="0"/>
              <w:spacing w:before="50" w:line="360" w:lineRule="auto"/>
              <w:ind w:left="-88" w:leftChars="-42"/>
              <w:jc w:val="center"/>
              <w:rPr>
                <w:rFonts w:ascii="宋体" w:hAnsi="宋体" w:eastAsia="宋体"/>
                <w:color w:val="auto"/>
                <w:szCs w:val="21"/>
                <w:highlight w:val="none"/>
              </w:rPr>
            </w:pPr>
          </w:p>
        </w:tc>
        <w:tc>
          <w:tcPr>
            <w:tcW w:w="2126" w:type="dxa"/>
            <w:tcBorders>
              <w:left w:val="single" w:color="auto" w:sz="4" w:space="0"/>
            </w:tcBorders>
            <w:noWrap w:val="0"/>
            <w:vAlign w:val="center"/>
          </w:tcPr>
          <w:p w14:paraId="2E5FD17C">
            <w:pPr>
              <w:adjustRightInd w:val="0"/>
              <w:snapToGrid w:val="0"/>
              <w:spacing w:before="50" w:line="360" w:lineRule="auto"/>
              <w:ind w:left="-88" w:leftChars="-42"/>
              <w:jc w:val="center"/>
              <w:rPr>
                <w:rFonts w:ascii="宋体" w:hAnsi="宋体" w:eastAsia="宋体"/>
                <w:color w:val="auto"/>
                <w:szCs w:val="21"/>
                <w:highlight w:val="none"/>
              </w:rPr>
            </w:pPr>
          </w:p>
        </w:tc>
        <w:tc>
          <w:tcPr>
            <w:tcW w:w="1756" w:type="dxa"/>
            <w:noWrap w:val="0"/>
            <w:vAlign w:val="center"/>
          </w:tcPr>
          <w:p w14:paraId="3DF05537">
            <w:pPr>
              <w:adjustRightInd w:val="0"/>
              <w:snapToGrid w:val="0"/>
              <w:spacing w:before="50" w:line="360" w:lineRule="auto"/>
              <w:ind w:left="-88" w:leftChars="-42"/>
              <w:jc w:val="center"/>
              <w:rPr>
                <w:rFonts w:ascii="宋体" w:hAnsi="宋体" w:eastAsia="宋体"/>
                <w:color w:val="auto"/>
                <w:szCs w:val="21"/>
                <w:highlight w:val="none"/>
              </w:rPr>
            </w:pPr>
          </w:p>
        </w:tc>
      </w:tr>
      <w:tr w14:paraId="0A2675E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noWrap w:val="0"/>
            <w:vAlign w:val="center"/>
          </w:tcPr>
          <w:p w14:paraId="02C37C9A">
            <w:pPr>
              <w:adjustRightInd w:val="0"/>
              <w:snapToGrid w:val="0"/>
              <w:spacing w:before="50" w:line="360" w:lineRule="auto"/>
              <w:ind w:left="-88" w:leftChars="-42"/>
              <w:jc w:val="center"/>
              <w:rPr>
                <w:rFonts w:ascii="宋体" w:hAnsi="宋体" w:eastAsia="宋体"/>
                <w:color w:val="auto"/>
                <w:szCs w:val="21"/>
                <w:highlight w:val="none"/>
              </w:rPr>
            </w:pPr>
          </w:p>
        </w:tc>
        <w:tc>
          <w:tcPr>
            <w:tcW w:w="2410" w:type="dxa"/>
            <w:noWrap w:val="0"/>
            <w:vAlign w:val="center"/>
          </w:tcPr>
          <w:p w14:paraId="6DCB3CB2">
            <w:pPr>
              <w:adjustRightInd w:val="0"/>
              <w:snapToGrid w:val="0"/>
              <w:spacing w:before="50" w:line="360" w:lineRule="auto"/>
              <w:ind w:left="-88" w:leftChars="-42"/>
              <w:jc w:val="center"/>
              <w:rPr>
                <w:rFonts w:ascii="宋体" w:hAnsi="宋体" w:eastAsia="宋体"/>
                <w:color w:val="auto"/>
                <w:szCs w:val="21"/>
                <w:highlight w:val="none"/>
              </w:rPr>
            </w:pPr>
          </w:p>
        </w:tc>
        <w:tc>
          <w:tcPr>
            <w:tcW w:w="1985" w:type="dxa"/>
            <w:tcBorders>
              <w:right w:val="single" w:color="auto" w:sz="4" w:space="0"/>
            </w:tcBorders>
            <w:noWrap w:val="0"/>
            <w:vAlign w:val="center"/>
          </w:tcPr>
          <w:p w14:paraId="69C5FD06">
            <w:pPr>
              <w:adjustRightInd w:val="0"/>
              <w:snapToGrid w:val="0"/>
              <w:spacing w:before="50" w:line="360" w:lineRule="auto"/>
              <w:ind w:left="-88" w:leftChars="-42"/>
              <w:jc w:val="center"/>
              <w:rPr>
                <w:rFonts w:ascii="宋体" w:hAnsi="宋体" w:eastAsia="宋体"/>
                <w:color w:val="auto"/>
                <w:szCs w:val="21"/>
                <w:highlight w:val="none"/>
              </w:rPr>
            </w:pPr>
          </w:p>
        </w:tc>
        <w:tc>
          <w:tcPr>
            <w:tcW w:w="2126" w:type="dxa"/>
            <w:tcBorders>
              <w:left w:val="single" w:color="auto" w:sz="4" w:space="0"/>
            </w:tcBorders>
            <w:noWrap w:val="0"/>
            <w:vAlign w:val="center"/>
          </w:tcPr>
          <w:p w14:paraId="1250E323">
            <w:pPr>
              <w:adjustRightInd w:val="0"/>
              <w:snapToGrid w:val="0"/>
              <w:spacing w:before="50" w:line="360" w:lineRule="auto"/>
              <w:ind w:left="-88" w:leftChars="-42"/>
              <w:jc w:val="center"/>
              <w:rPr>
                <w:rFonts w:ascii="宋体" w:hAnsi="宋体" w:eastAsia="宋体"/>
                <w:color w:val="auto"/>
                <w:szCs w:val="21"/>
                <w:highlight w:val="none"/>
              </w:rPr>
            </w:pPr>
          </w:p>
        </w:tc>
        <w:tc>
          <w:tcPr>
            <w:tcW w:w="1756" w:type="dxa"/>
            <w:noWrap w:val="0"/>
            <w:vAlign w:val="center"/>
          </w:tcPr>
          <w:p w14:paraId="5411A544">
            <w:pPr>
              <w:adjustRightInd w:val="0"/>
              <w:snapToGrid w:val="0"/>
              <w:spacing w:before="50" w:line="360" w:lineRule="auto"/>
              <w:ind w:left="-88" w:leftChars="-42"/>
              <w:jc w:val="center"/>
              <w:rPr>
                <w:rFonts w:ascii="宋体" w:hAnsi="宋体" w:eastAsia="宋体"/>
                <w:color w:val="auto"/>
                <w:szCs w:val="21"/>
                <w:highlight w:val="none"/>
              </w:rPr>
            </w:pPr>
          </w:p>
        </w:tc>
      </w:tr>
      <w:tr w14:paraId="6476B3B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noWrap w:val="0"/>
            <w:vAlign w:val="center"/>
          </w:tcPr>
          <w:p w14:paraId="1C4CA38A">
            <w:pPr>
              <w:adjustRightInd w:val="0"/>
              <w:snapToGrid w:val="0"/>
              <w:spacing w:before="50" w:line="360" w:lineRule="auto"/>
              <w:ind w:left="-88" w:leftChars="-42"/>
              <w:jc w:val="center"/>
              <w:rPr>
                <w:rFonts w:ascii="宋体" w:hAnsi="宋体" w:eastAsia="宋体"/>
                <w:color w:val="auto"/>
                <w:szCs w:val="21"/>
                <w:highlight w:val="none"/>
              </w:rPr>
            </w:pPr>
          </w:p>
        </w:tc>
        <w:tc>
          <w:tcPr>
            <w:tcW w:w="2410" w:type="dxa"/>
            <w:noWrap w:val="0"/>
            <w:vAlign w:val="center"/>
          </w:tcPr>
          <w:p w14:paraId="3DDB625E">
            <w:pPr>
              <w:adjustRightInd w:val="0"/>
              <w:snapToGrid w:val="0"/>
              <w:spacing w:before="50" w:line="360" w:lineRule="auto"/>
              <w:ind w:left="-88" w:leftChars="-42"/>
              <w:jc w:val="center"/>
              <w:rPr>
                <w:rFonts w:ascii="宋体" w:hAnsi="宋体" w:eastAsia="宋体"/>
                <w:color w:val="auto"/>
                <w:szCs w:val="21"/>
                <w:highlight w:val="none"/>
              </w:rPr>
            </w:pPr>
          </w:p>
        </w:tc>
        <w:tc>
          <w:tcPr>
            <w:tcW w:w="1985" w:type="dxa"/>
            <w:tcBorders>
              <w:right w:val="single" w:color="auto" w:sz="4" w:space="0"/>
            </w:tcBorders>
            <w:noWrap w:val="0"/>
            <w:vAlign w:val="center"/>
          </w:tcPr>
          <w:p w14:paraId="66C89DD0">
            <w:pPr>
              <w:adjustRightInd w:val="0"/>
              <w:snapToGrid w:val="0"/>
              <w:spacing w:before="50" w:line="360" w:lineRule="auto"/>
              <w:ind w:left="-88" w:leftChars="-42"/>
              <w:jc w:val="center"/>
              <w:rPr>
                <w:rFonts w:ascii="宋体" w:hAnsi="宋体" w:eastAsia="宋体"/>
                <w:color w:val="auto"/>
                <w:szCs w:val="21"/>
                <w:highlight w:val="none"/>
              </w:rPr>
            </w:pPr>
          </w:p>
        </w:tc>
        <w:tc>
          <w:tcPr>
            <w:tcW w:w="2126" w:type="dxa"/>
            <w:tcBorders>
              <w:left w:val="single" w:color="auto" w:sz="4" w:space="0"/>
            </w:tcBorders>
            <w:noWrap w:val="0"/>
            <w:vAlign w:val="center"/>
          </w:tcPr>
          <w:p w14:paraId="48E700D4">
            <w:pPr>
              <w:adjustRightInd w:val="0"/>
              <w:snapToGrid w:val="0"/>
              <w:spacing w:before="50" w:line="360" w:lineRule="auto"/>
              <w:ind w:left="-88" w:leftChars="-42"/>
              <w:jc w:val="center"/>
              <w:rPr>
                <w:rFonts w:ascii="宋体" w:hAnsi="宋体" w:eastAsia="宋体"/>
                <w:color w:val="auto"/>
                <w:szCs w:val="21"/>
                <w:highlight w:val="none"/>
              </w:rPr>
            </w:pPr>
          </w:p>
        </w:tc>
        <w:tc>
          <w:tcPr>
            <w:tcW w:w="1756" w:type="dxa"/>
            <w:noWrap w:val="0"/>
            <w:vAlign w:val="center"/>
          </w:tcPr>
          <w:p w14:paraId="29432954">
            <w:pPr>
              <w:adjustRightInd w:val="0"/>
              <w:snapToGrid w:val="0"/>
              <w:spacing w:before="50" w:line="360" w:lineRule="auto"/>
              <w:ind w:left="-88" w:leftChars="-42"/>
              <w:jc w:val="center"/>
              <w:rPr>
                <w:rFonts w:ascii="宋体" w:hAnsi="宋体" w:eastAsia="宋体"/>
                <w:color w:val="auto"/>
                <w:szCs w:val="21"/>
                <w:highlight w:val="none"/>
              </w:rPr>
            </w:pPr>
          </w:p>
        </w:tc>
      </w:tr>
      <w:tr w14:paraId="2B30DCA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noWrap w:val="0"/>
            <w:vAlign w:val="center"/>
          </w:tcPr>
          <w:p w14:paraId="0406D2D1">
            <w:pPr>
              <w:adjustRightInd w:val="0"/>
              <w:snapToGrid w:val="0"/>
              <w:spacing w:before="50" w:line="360" w:lineRule="auto"/>
              <w:ind w:left="-88" w:leftChars="-42"/>
              <w:jc w:val="center"/>
              <w:rPr>
                <w:rFonts w:ascii="宋体" w:hAnsi="宋体" w:eastAsia="宋体"/>
                <w:color w:val="auto"/>
                <w:szCs w:val="21"/>
                <w:highlight w:val="none"/>
              </w:rPr>
            </w:pPr>
          </w:p>
        </w:tc>
        <w:tc>
          <w:tcPr>
            <w:tcW w:w="2410" w:type="dxa"/>
            <w:noWrap w:val="0"/>
            <w:vAlign w:val="center"/>
          </w:tcPr>
          <w:p w14:paraId="41716786">
            <w:pPr>
              <w:adjustRightInd w:val="0"/>
              <w:snapToGrid w:val="0"/>
              <w:spacing w:before="50" w:line="360" w:lineRule="auto"/>
              <w:ind w:left="-88" w:leftChars="-42"/>
              <w:jc w:val="center"/>
              <w:rPr>
                <w:rFonts w:ascii="宋体" w:hAnsi="宋体" w:eastAsia="宋体"/>
                <w:color w:val="auto"/>
                <w:szCs w:val="21"/>
                <w:highlight w:val="none"/>
              </w:rPr>
            </w:pPr>
          </w:p>
        </w:tc>
        <w:tc>
          <w:tcPr>
            <w:tcW w:w="1985" w:type="dxa"/>
            <w:tcBorders>
              <w:right w:val="single" w:color="auto" w:sz="4" w:space="0"/>
            </w:tcBorders>
            <w:noWrap w:val="0"/>
            <w:vAlign w:val="center"/>
          </w:tcPr>
          <w:p w14:paraId="24D180B1">
            <w:pPr>
              <w:adjustRightInd w:val="0"/>
              <w:snapToGrid w:val="0"/>
              <w:spacing w:before="50" w:line="360" w:lineRule="auto"/>
              <w:ind w:left="-88" w:leftChars="-42"/>
              <w:jc w:val="center"/>
              <w:rPr>
                <w:rFonts w:ascii="宋体" w:hAnsi="宋体" w:eastAsia="宋体"/>
                <w:color w:val="auto"/>
                <w:szCs w:val="21"/>
                <w:highlight w:val="none"/>
              </w:rPr>
            </w:pPr>
          </w:p>
        </w:tc>
        <w:tc>
          <w:tcPr>
            <w:tcW w:w="3882" w:type="dxa"/>
            <w:gridSpan w:val="2"/>
            <w:tcBorders>
              <w:left w:val="single" w:color="auto" w:sz="4" w:space="0"/>
            </w:tcBorders>
            <w:noWrap w:val="0"/>
            <w:vAlign w:val="center"/>
          </w:tcPr>
          <w:p w14:paraId="75A974A7">
            <w:pPr>
              <w:adjustRightInd w:val="0"/>
              <w:snapToGrid w:val="0"/>
              <w:spacing w:before="50" w:line="360" w:lineRule="auto"/>
              <w:ind w:firstLine="422" w:firstLineChars="200"/>
              <w:rPr>
                <w:rFonts w:ascii="宋体" w:hAnsi="宋体" w:eastAsia="宋体"/>
                <w:color w:val="auto"/>
                <w:szCs w:val="21"/>
                <w:highlight w:val="none"/>
              </w:rPr>
            </w:pPr>
            <w:r>
              <w:rPr>
                <w:rFonts w:hint="eastAsia" w:ascii="宋体" w:hAnsi="宋体" w:eastAsia="宋体"/>
                <w:b/>
                <w:color w:val="auto"/>
                <w:szCs w:val="21"/>
                <w:highlight w:val="none"/>
              </w:rPr>
              <w:t>投标人保证：除本采购需求偏离表列出的偏离外，我单位对招标文件的其他采购需求条款完全响应，无偏离。</w:t>
            </w:r>
          </w:p>
        </w:tc>
      </w:tr>
    </w:tbl>
    <w:p w14:paraId="37949D79">
      <w:pPr>
        <w:adjustRightInd w:val="0"/>
        <w:snapToGrid w:val="0"/>
        <w:spacing w:before="50" w:line="360" w:lineRule="auto"/>
        <w:ind w:left="-88" w:leftChars="-42"/>
        <w:rPr>
          <w:rFonts w:ascii="宋体" w:hAnsi="宋体" w:eastAsia="宋体"/>
          <w:color w:val="auto"/>
          <w:szCs w:val="21"/>
          <w:highlight w:val="none"/>
        </w:rPr>
      </w:pPr>
      <w:r>
        <w:rPr>
          <w:rFonts w:hint="eastAsia" w:ascii="宋体" w:hAnsi="宋体" w:eastAsia="宋体"/>
          <w:b w:val="0"/>
          <w:bCs/>
          <w:color w:val="auto"/>
          <w:szCs w:val="21"/>
          <w:highlight w:val="none"/>
        </w:rPr>
        <w:t>注：</w:t>
      </w:r>
      <w:r>
        <w:rPr>
          <w:rFonts w:hint="eastAsia" w:ascii="宋体" w:hAnsi="宋体"/>
          <w:color w:val="auto"/>
          <w:szCs w:val="21"/>
          <w:highlight w:val="none"/>
          <w:lang w:val="en-US" w:eastAsia="zh-CN"/>
        </w:rPr>
        <w:t>1.</w:t>
      </w:r>
      <w:r>
        <w:rPr>
          <w:rFonts w:hint="eastAsia" w:ascii="宋体" w:hAnsi="宋体" w:eastAsia="宋体"/>
          <w:color w:val="auto"/>
          <w:szCs w:val="21"/>
          <w:highlight w:val="none"/>
        </w:rPr>
        <w:t>投标人应根据招标文件第五章“采购需求”填写本表；</w:t>
      </w:r>
    </w:p>
    <w:p w14:paraId="5ADC053C">
      <w:pPr>
        <w:adjustRightInd w:val="0"/>
        <w:snapToGrid w:val="0"/>
        <w:spacing w:before="50" w:line="360" w:lineRule="auto"/>
        <w:ind w:left="-88" w:leftChars="-42" w:firstLine="420" w:firstLineChars="200"/>
        <w:rPr>
          <w:rFonts w:ascii="宋体" w:hAnsi="宋体" w:eastAsia="宋体"/>
          <w:b/>
          <w:color w:val="auto"/>
          <w:szCs w:val="21"/>
          <w:highlight w:val="none"/>
        </w:rPr>
      </w:pPr>
      <w:r>
        <w:rPr>
          <w:rFonts w:hint="eastAsia" w:ascii="宋体" w:hAnsi="宋体"/>
          <w:color w:val="auto"/>
          <w:szCs w:val="21"/>
          <w:highlight w:val="none"/>
          <w:lang w:val="en-US" w:eastAsia="zh-CN"/>
        </w:rPr>
        <w:t>2.</w:t>
      </w:r>
      <w:r>
        <w:rPr>
          <w:rFonts w:hint="eastAsia" w:ascii="宋体" w:hAnsi="宋体" w:eastAsia="宋体"/>
          <w:b/>
          <w:color w:val="auto"/>
          <w:szCs w:val="21"/>
          <w:highlight w:val="none"/>
        </w:rPr>
        <w:t>投标人如果对招标文件第五章“采购需求”的响应有偏离，应将偏离条款逐条如实应答，并作出说明；</w:t>
      </w:r>
    </w:p>
    <w:p w14:paraId="4C7B819F">
      <w:pPr>
        <w:adjustRightInd w:val="0"/>
        <w:snapToGrid w:val="0"/>
        <w:spacing w:before="50" w:line="360" w:lineRule="auto"/>
        <w:ind w:left="-88" w:leftChars="-42" w:firstLine="420" w:firstLineChars="200"/>
        <w:rPr>
          <w:rFonts w:ascii="宋体" w:hAnsi="宋体" w:eastAsia="宋体"/>
          <w:color w:val="auto"/>
          <w:szCs w:val="21"/>
          <w:highlight w:val="none"/>
        </w:rPr>
      </w:pPr>
      <w:r>
        <w:rPr>
          <w:rFonts w:hint="eastAsia" w:ascii="宋体" w:hAnsi="宋体"/>
          <w:color w:val="auto"/>
          <w:szCs w:val="21"/>
          <w:highlight w:val="none"/>
          <w:lang w:val="en-US" w:eastAsia="zh-CN"/>
        </w:rPr>
        <w:t>3.</w:t>
      </w:r>
      <w:r>
        <w:rPr>
          <w:rFonts w:hint="eastAsia" w:ascii="宋体" w:hAnsi="宋体" w:eastAsia="宋体"/>
          <w:color w:val="auto"/>
          <w:szCs w:val="21"/>
          <w:highlight w:val="none"/>
        </w:rPr>
        <w:t>如不提供此表，则视为投标人不满足招标文件第五章的所有条款要求，其</w:t>
      </w:r>
      <w:r>
        <w:rPr>
          <w:rFonts w:hint="eastAsia" w:ascii="宋体" w:hAnsi="宋体" w:eastAsia="宋体"/>
          <w:b/>
          <w:color w:val="auto"/>
          <w:szCs w:val="21"/>
          <w:highlight w:val="none"/>
        </w:rPr>
        <w:t>投标无效</w:t>
      </w:r>
      <w:r>
        <w:rPr>
          <w:rFonts w:hint="eastAsia" w:ascii="宋体" w:hAnsi="宋体" w:eastAsia="宋体"/>
          <w:color w:val="auto"/>
          <w:szCs w:val="21"/>
          <w:highlight w:val="none"/>
        </w:rPr>
        <w:t>。</w:t>
      </w:r>
    </w:p>
    <w:p w14:paraId="072A068B">
      <w:pPr>
        <w:adjustRightInd w:val="0"/>
        <w:snapToGrid w:val="0"/>
        <w:spacing w:before="50" w:line="360" w:lineRule="auto"/>
        <w:ind w:left="-88" w:leftChars="-42" w:firstLine="420" w:firstLineChars="200"/>
        <w:rPr>
          <w:rFonts w:ascii="宋体" w:hAnsi="宋体" w:eastAsia="宋体"/>
          <w:color w:val="auto"/>
          <w:szCs w:val="21"/>
          <w:highlight w:val="none"/>
        </w:rPr>
      </w:pPr>
      <w:r>
        <w:rPr>
          <w:rFonts w:hint="eastAsia" w:ascii="宋体" w:hAnsi="宋体"/>
          <w:color w:val="auto"/>
          <w:szCs w:val="21"/>
          <w:highlight w:val="none"/>
          <w:lang w:val="en-US" w:eastAsia="zh-CN"/>
        </w:rPr>
        <w:t>4.</w:t>
      </w:r>
      <w:r>
        <w:rPr>
          <w:rFonts w:hint="eastAsia" w:ascii="宋体" w:hAnsi="宋体" w:eastAsia="宋体"/>
          <w:color w:val="auto"/>
          <w:szCs w:val="21"/>
          <w:highlight w:val="none"/>
        </w:rPr>
        <w:t>在采购人与中标人签订合同时，如中标人未在投标文件“采购需求偏离表”中列出偏离说明，无论已发生或即将发生任何情形，均视为完全符合招标文件要求，并写入合同。若中标人在合同签订前，以上述事项为借口而不履行合同签订手续及执行合同，则视作拒绝与采购人签订合同。</w:t>
      </w:r>
    </w:p>
    <w:p w14:paraId="544E3856">
      <w:pPr>
        <w:adjustRightInd w:val="0"/>
        <w:snapToGrid w:val="0"/>
        <w:spacing w:before="50" w:line="360" w:lineRule="auto"/>
        <w:ind w:left="-88" w:leftChars="-42" w:firstLine="420" w:firstLineChars="200"/>
        <w:rPr>
          <w:rFonts w:ascii="宋体" w:hAnsi="宋体" w:eastAsia="宋体"/>
          <w:color w:val="auto"/>
          <w:szCs w:val="21"/>
          <w:highlight w:val="none"/>
        </w:rPr>
      </w:pPr>
      <w:r>
        <w:rPr>
          <w:rFonts w:hint="eastAsia" w:ascii="宋体" w:hAnsi="宋体"/>
          <w:color w:val="auto"/>
          <w:szCs w:val="21"/>
          <w:highlight w:val="none"/>
          <w:lang w:val="en-US" w:eastAsia="zh-CN"/>
        </w:rPr>
        <w:t>5.</w:t>
      </w:r>
      <w:r>
        <w:rPr>
          <w:rFonts w:hint="eastAsia" w:ascii="宋体" w:hAnsi="宋体" w:eastAsia="宋体"/>
          <w:color w:val="auto"/>
          <w:szCs w:val="21"/>
          <w:highlight w:val="none"/>
        </w:rPr>
        <w:t>本表偏离表与本章第七节“采购需求响应”不一致时，以“采购需求响应”为准。</w:t>
      </w:r>
    </w:p>
    <w:p w14:paraId="72E60596">
      <w:pPr>
        <w:adjustRightInd w:val="0"/>
        <w:snapToGrid w:val="0"/>
        <w:spacing w:before="50" w:line="360" w:lineRule="auto"/>
        <w:rPr>
          <w:rFonts w:ascii="宋体" w:hAnsi="宋体" w:eastAsia="宋体"/>
          <w:color w:val="auto"/>
          <w:szCs w:val="21"/>
          <w:highlight w:val="none"/>
        </w:rPr>
      </w:pPr>
    </w:p>
    <w:p w14:paraId="235D6393">
      <w:pPr>
        <w:adjustRightInd w:val="0"/>
        <w:snapToGrid w:val="0"/>
        <w:spacing w:before="50" w:line="360" w:lineRule="auto"/>
        <w:rPr>
          <w:rFonts w:ascii="宋体" w:hAnsi="宋体"/>
          <w:color w:val="auto"/>
          <w:szCs w:val="21"/>
          <w:highlight w:val="none"/>
        </w:rPr>
      </w:pPr>
    </w:p>
    <w:p w14:paraId="6A50C5EE">
      <w:pPr>
        <w:adjustRightInd w:val="0"/>
        <w:snapToGrid w:val="0"/>
        <w:spacing w:before="50" w:line="360" w:lineRule="auto"/>
        <w:rPr>
          <w:rFonts w:ascii="宋体" w:hAnsi="宋体"/>
          <w:color w:val="auto"/>
          <w:szCs w:val="21"/>
          <w:highlight w:val="none"/>
        </w:rPr>
      </w:pPr>
      <w:r>
        <w:rPr>
          <w:rFonts w:hint="eastAsia" w:ascii="宋体" w:hAnsi="宋体"/>
          <w:color w:val="auto"/>
          <w:szCs w:val="21"/>
          <w:highlight w:val="none"/>
        </w:rPr>
        <w:t>投标人名称（盖单位章）：</w:t>
      </w:r>
    </w:p>
    <w:p w14:paraId="02B42A14">
      <w:pPr>
        <w:adjustRightInd w:val="0"/>
        <w:snapToGrid w:val="0"/>
        <w:spacing w:before="50" w:line="360" w:lineRule="auto"/>
        <w:rPr>
          <w:rFonts w:ascii="宋体" w:hAnsi="宋体"/>
          <w:color w:val="auto"/>
          <w:szCs w:val="21"/>
          <w:highlight w:val="none"/>
        </w:rPr>
      </w:pPr>
      <w:r>
        <w:rPr>
          <w:rFonts w:hint="eastAsia" w:ascii="宋体" w:hAnsi="宋体" w:eastAsia="宋体" w:cs="微软雅黑"/>
          <w:color w:val="auto"/>
          <w:spacing w:val="-2"/>
          <w:kern w:val="0"/>
          <w:szCs w:val="21"/>
          <w:highlight w:val="none"/>
        </w:rPr>
        <w:t>法</w:t>
      </w:r>
      <w:r>
        <w:rPr>
          <w:rFonts w:hint="eastAsia" w:ascii="宋体" w:hAnsi="宋体" w:eastAsia="宋体" w:cs="微软雅黑"/>
          <w:color w:val="auto"/>
          <w:kern w:val="0"/>
          <w:szCs w:val="21"/>
          <w:highlight w:val="none"/>
        </w:rPr>
        <w:t>定</w:t>
      </w:r>
      <w:r>
        <w:rPr>
          <w:rFonts w:hint="eastAsia" w:ascii="宋体" w:hAnsi="宋体" w:eastAsia="宋体" w:cs="微软雅黑"/>
          <w:color w:val="auto"/>
          <w:spacing w:val="-2"/>
          <w:kern w:val="0"/>
          <w:szCs w:val="21"/>
          <w:highlight w:val="none"/>
        </w:rPr>
        <w:t>代</w:t>
      </w:r>
      <w:r>
        <w:rPr>
          <w:rFonts w:hint="eastAsia" w:ascii="宋体" w:hAnsi="宋体" w:eastAsia="宋体" w:cs="微软雅黑"/>
          <w:color w:val="auto"/>
          <w:kern w:val="0"/>
          <w:szCs w:val="21"/>
          <w:highlight w:val="none"/>
        </w:rPr>
        <w:t>表</w:t>
      </w:r>
      <w:r>
        <w:rPr>
          <w:rFonts w:hint="eastAsia" w:ascii="宋体" w:hAnsi="宋体" w:eastAsia="宋体" w:cs="微软雅黑"/>
          <w:color w:val="auto"/>
          <w:spacing w:val="-2"/>
          <w:kern w:val="0"/>
          <w:szCs w:val="21"/>
          <w:highlight w:val="none"/>
        </w:rPr>
        <w:t>人</w:t>
      </w:r>
      <w:r>
        <w:rPr>
          <w:rFonts w:hint="eastAsia" w:ascii="宋体" w:hAnsi="宋体" w:eastAsia="宋体" w:cs="微软雅黑"/>
          <w:color w:val="auto"/>
          <w:kern w:val="0"/>
          <w:szCs w:val="21"/>
          <w:highlight w:val="none"/>
        </w:rPr>
        <w:t>（</w:t>
      </w:r>
      <w:r>
        <w:rPr>
          <w:rFonts w:hint="eastAsia" w:ascii="宋体" w:hAnsi="宋体" w:eastAsia="宋体" w:cs="微软雅黑"/>
          <w:color w:val="auto"/>
          <w:spacing w:val="-2"/>
          <w:kern w:val="0"/>
          <w:szCs w:val="21"/>
          <w:highlight w:val="none"/>
        </w:rPr>
        <w:t>单</w:t>
      </w:r>
      <w:r>
        <w:rPr>
          <w:rFonts w:hint="eastAsia" w:ascii="宋体" w:hAnsi="宋体" w:eastAsia="宋体" w:cs="微软雅黑"/>
          <w:color w:val="auto"/>
          <w:kern w:val="0"/>
          <w:szCs w:val="21"/>
          <w:highlight w:val="none"/>
        </w:rPr>
        <w:t>位</w:t>
      </w:r>
      <w:r>
        <w:rPr>
          <w:rFonts w:hint="eastAsia" w:ascii="宋体" w:hAnsi="宋体" w:eastAsia="宋体" w:cs="微软雅黑"/>
          <w:color w:val="auto"/>
          <w:spacing w:val="-2"/>
          <w:kern w:val="0"/>
          <w:szCs w:val="21"/>
          <w:highlight w:val="none"/>
        </w:rPr>
        <w:t>负</w:t>
      </w:r>
      <w:r>
        <w:rPr>
          <w:rFonts w:hint="eastAsia" w:ascii="宋体" w:hAnsi="宋体" w:eastAsia="宋体" w:cs="微软雅黑"/>
          <w:color w:val="auto"/>
          <w:kern w:val="0"/>
          <w:szCs w:val="21"/>
          <w:highlight w:val="none"/>
        </w:rPr>
        <w:t>责人</w:t>
      </w:r>
      <w:r>
        <w:rPr>
          <w:rFonts w:hint="eastAsia" w:ascii="宋体" w:hAnsi="宋体" w:eastAsia="宋体" w:cs="微软雅黑"/>
          <w:color w:val="auto"/>
          <w:spacing w:val="-2"/>
          <w:kern w:val="0"/>
          <w:szCs w:val="21"/>
          <w:highlight w:val="none"/>
        </w:rPr>
        <w:t>）</w:t>
      </w:r>
      <w:r>
        <w:rPr>
          <w:rFonts w:hint="eastAsia" w:ascii="宋体" w:hAnsi="宋体"/>
          <w:color w:val="auto"/>
          <w:szCs w:val="21"/>
          <w:highlight w:val="none"/>
        </w:rPr>
        <w:t>或其授权的代理人（签字或印章）：</w:t>
      </w:r>
      <w:r>
        <w:rPr>
          <w:rFonts w:hint="eastAsia" w:ascii="宋体" w:hAnsi="宋体"/>
          <w:color w:val="auto"/>
          <w:szCs w:val="21"/>
          <w:highlight w:val="none"/>
          <w:u w:val="single"/>
        </w:rPr>
        <w:t xml:space="preserve">                     </w:t>
      </w:r>
    </w:p>
    <w:p w14:paraId="26225F81">
      <w:pPr>
        <w:adjustRightInd w:val="0"/>
        <w:snapToGrid w:val="0"/>
        <w:spacing w:before="50" w:line="360" w:lineRule="auto"/>
        <w:rPr>
          <w:rFonts w:ascii="宋体" w:hAnsi="宋体"/>
          <w:color w:val="auto"/>
          <w:szCs w:val="21"/>
          <w:highlight w:val="none"/>
        </w:rPr>
      </w:pPr>
      <w:r>
        <w:rPr>
          <w:rFonts w:hint="eastAsia" w:ascii="宋体" w:hAnsi="宋体"/>
          <w:color w:val="auto"/>
          <w:szCs w:val="21"/>
          <w:highlight w:val="none"/>
        </w:rPr>
        <w:t>日      期：</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w:t>
      </w:r>
    </w:p>
    <w:p w14:paraId="11005F6E">
      <w:pPr>
        <w:pStyle w:val="4"/>
        <w:adjustRightInd w:val="0"/>
        <w:snapToGrid w:val="0"/>
        <w:spacing w:before="0" w:after="0" w:line="360" w:lineRule="auto"/>
        <w:jc w:val="both"/>
        <w:rPr>
          <w:rFonts w:ascii="宋体" w:hAnsi="宋体"/>
          <w:color w:val="auto"/>
          <w:szCs w:val="21"/>
          <w:highlight w:val="none"/>
        </w:rPr>
        <w:sectPr>
          <w:pgSz w:w="11906" w:h="16838"/>
          <w:pgMar w:top="1474" w:right="1474" w:bottom="1474" w:left="1474" w:header="851" w:footer="992" w:gutter="0"/>
          <w:pgBorders>
            <w:top w:val="none" w:sz="0" w:space="0"/>
            <w:left w:val="none" w:sz="0" w:space="0"/>
            <w:bottom w:val="none" w:sz="0" w:space="0"/>
            <w:right w:val="none" w:sz="0" w:space="0"/>
          </w:pgBorders>
          <w:pgNumType w:fmt="decimal"/>
          <w:cols w:space="720" w:num="1"/>
          <w:docGrid w:type="lines" w:linePitch="312" w:charSpace="0"/>
        </w:sectPr>
      </w:pPr>
    </w:p>
    <w:p w14:paraId="1E7209F6">
      <w:pPr>
        <w:pStyle w:val="4"/>
        <w:adjustRightInd w:val="0"/>
        <w:snapToGrid w:val="0"/>
        <w:spacing w:before="0" w:after="0" w:line="360" w:lineRule="auto"/>
        <w:jc w:val="center"/>
        <w:rPr>
          <w:rFonts w:ascii="黑体" w:hAnsi="宋体" w:eastAsia="黑体"/>
          <w:color w:val="auto"/>
          <w:sz w:val="28"/>
          <w:szCs w:val="28"/>
          <w:highlight w:val="none"/>
        </w:rPr>
      </w:pPr>
      <w:bookmarkStart w:id="149" w:name="_Toc9776"/>
      <w:r>
        <w:rPr>
          <w:rFonts w:hint="eastAsia" w:ascii="宋体" w:hAnsi="宋体"/>
          <w:color w:val="auto"/>
          <w:szCs w:val="21"/>
          <w:highlight w:val="none"/>
        </w:rPr>
        <w:t>十</w:t>
      </w:r>
      <w:r>
        <w:rPr>
          <w:rFonts w:hint="eastAsia" w:ascii="黑体" w:hAnsi="宋体" w:eastAsia="黑体"/>
          <w:color w:val="auto"/>
          <w:sz w:val="28"/>
          <w:szCs w:val="28"/>
          <w:highlight w:val="none"/>
        </w:rPr>
        <w:t>、享受政府采购政策优惠的证明资料</w:t>
      </w:r>
      <w:bookmarkEnd w:id="149"/>
    </w:p>
    <w:p w14:paraId="22B44AF7">
      <w:pPr>
        <w:adjustRightInd w:val="0"/>
        <w:snapToGrid w:val="0"/>
        <w:spacing w:line="360" w:lineRule="auto"/>
        <w:rPr>
          <w:rFonts w:ascii="黑体" w:hAnsi="华文中宋" w:eastAsia="黑体" w:cs="宋体"/>
          <w:bCs/>
          <w:color w:val="auto"/>
          <w:spacing w:val="6"/>
          <w:kern w:val="0"/>
          <w:szCs w:val="21"/>
          <w:highlight w:val="none"/>
        </w:rPr>
      </w:pPr>
    </w:p>
    <w:p w14:paraId="2440B932">
      <w:pPr>
        <w:adjustRightInd w:val="0"/>
        <w:snapToGrid w:val="0"/>
        <w:spacing w:line="360" w:lineRule="auto"/>
        <w:ind w:firstLine="444" w:firstLineChars="200"/>
        <w:rPr>
          <w:rFonts w:ascii="宋体" w:hAnsi="宋体" w:eastAsia="宋体" w:cs="宋体"/>
          <w:bCs/>
          <w:color w:val="auto"/>
          <w:spacing w:val="6"/>
          <w:kern w:val="0"/>
          <w:szCs w:val="21"/>
          <w:highlight w:val="none"/>
        </w:rPr>
      </w:pPr>
      <w:r>
        <w:rPr>
          <w:rFonts w:hint="eastAsia" w:ascii="宋体" w:hAnsi="宋体" w:eastAsia="宋体" w:cs="宋体"/>
          <w:bCs/>
          <w:color w:val="auto"/>
          <w:spacing w:val="6"/>
          <w:kern w:val="0"/>
          <w:szCs w:val="21"/>
          <w:highlight w:val="none"/>
        </w:rPr>
        <w:t>投标人符合第二章第33.6款要求的，应提供下列证明资料，并填写相关数据。否则，评审时不予以考虑。</w:t>
      </w:r>
    </w:p>
    <w:p w14:paraId="0D24E929">
      <w:pPr>
        <w:adjustRightInd w:val="0"/>
        <w:snapToGrid w:val="0"/>
        <w:spacing w:line="360" w:lineRule="auto"/>
        <w:rPr>
          <w:rFonts w:ascii="黑体" w:hAnsi="华文中宋" w:eastAsia="黑体" w:cs="宋体"/>
          <w:bCs/>
          <w:color w:val="auto"/>
          <w:spacing w:val="6"/>
          <w:kern w:val="0"/>
          <w:szCs w:val="21"/>
          <w:highlight w:val="none"/>
        </w:rPr>
      </w:pPr>
    </w:p>
    <w:p w14:paraId="64B113A1">
      <w:pPr>
        <w:pStyle w:val="5"/>
        <w:rPr>
          <w:rFonts w:ascii="黑体" w:hAnsi="宋体"/>
          <w:b w:val="0"/>
          <w:bCs w:val="0"/>
          <w:color w:val="auto"/>
          <w:sz w:val="21"/>
          <w:szCs w:val="21"/>
          <w:highlight w:val="none"/>
        </w:rPr>
      </w:pPr>
      <w:bookmarkStart w:id="150" w:name="_Toc3379"/>
      <w:bookmarkStart w:id="151" w:name="_Toc9968"/>
      <w:r>
        <w:rPr>
          <w:rFonts w:hint="eastAsia" w:ascii="黑体" w:hAnsi="华文中宋" w:cs="宋体"/>
          <w:b w:val="0"/>
          <w:bCs w:val="0"/>
          <w:color w:val="auto"/>
          <w:spacing w:val="6"/>
          <w:kern w:val="0"/>
          <w:sz w:val="21"/>
          <w:szCs w:val="21"/>
          <w:highlight w:val="none"/>
        </w:rPr>
        <w:t xml:space="preserve">附件10-1 </w:t>
      </w:r>
      <w:r>
        <w:rPr>
          <w:rFonts w:hint="eastAsia" w:ascii="黑体" w:hAnsi="宋体"/>
          <w:b w:val="0"/>
          <w:bCs w:val="0"/>
          <w:color w:val="auto"/>
          <w:sz w:val="21"/>
          <w:szCs w:val="21"/>
          <w:highlight w:val="none"/>
        </w:rPr>
        <w:t>中小企业声明函</w:t>
      </w:r>
      <w:bookmarkEnd w:id="150"/>
      <w:bookmarkEnd w:id="151"/>
    </w:p>
    <w:p w14:paraId="23408797">
      <w:pPr>
        <w:widowControl/>
        <w:adjustRightInd w:val="0"/>
        <w:snapToGrid w:val="0"/>
        <w:spacing w:line="360" w:lineRule="auto"/>
        <w:jc w:val="center"/>
        <w:rPr>
          <w:rFonts w:ascii="黑体" w:hAnsi="黑体" w:eastAsia="黑体" w:cs="宋体"/>
          <w:b/>
          <w:bCs/>
          <w:color w:val="auto"/>
          <w:spacing w:val="6"/>
          <w:kern w:val="0"/>
          <w:sz w:val="28"/>
          <w:szCs w:val="28"/>
          <w:highlight w:val="none"/>
        </w:rPr>
      </w:pPr>
      <w:r>
        <w:rPr>
          <w:rFonts w:hint="eastAsia" w:ascii="黑体" w:hAnsi="黑体" w:eastAsia="黑体" w:cs="黑体"/>
          <w:b/>
          <w:bCs/>
          <w:color w:val="auto"/>
          <w:spacing w:val="6"/>
          <w:kern w:val="0"/>
          <w:sz w:val="28"/>
          <w:szCs w:val="28"/>
          <w:highlight w:val="none"/>
        </w:rPr>
        <w:t>中小企业声明函（货物类）</w:t>
      </w:r>
    </w:p>
    <w:p w14:paraId="6C4C4575">
      <w:pPr>
        <w:widowControl/>
        <w:adjustRightInd w:val="0"/>
        <w:snapToGrid w:val="0"/>
        <w:spacing w:line="360" w:lineRule="auto"/>
        <w:jc w:val="center"/>
        <w:rPr>
          <w:rFonts w:ascii="宋体" w:hAnsi="宋体" w:cs="宋体"/>
          <w:color w:val="auto"/>
          <w:kern w:val="0"/>
          <w:szCs w:val="21"/>
          <w:highlight w:val="none"/>
          <w:lang w:bidi="ar"/>
        </w:rPr>
      </w:pPr>
      <w:r>
        <w:rPr>
          <w:rFonts w:hint="eastAsia" w:ascii="宋体" w:hAnsi="宋体" w:cs="宋体"/>
          <w:b/>
          <w:color w:val="auto"/>
          <w:spacing w:val="6"/>
          <w:kern w:val="0"/>
          <w:szCs w:val="21"/>
          <w:highlight w:val="none"/>
        </w:rPr>
        <w:t>(不满足以下条件的无需填写)</w:t>
      </w:r>
    </w:p>
    <w:p w14:paraId="42C0E1D6">
      <w:pPr>
        <w:widowControl/>
        <w:spacing w:line="360" w:lineRule="auto"/>
        <w:ind w:firstLine="420" w:firstLineChars="200"/>
        <w:jc w:val="left"/>
        <w:rPr>
          <w:rFonts w:ascii="宋体" w:hAnsi="宋体" w:cs="宋体"/>
          <w:color w:val="auto"/>
          <w:szCs w:val="21"/>
          <w:highlight w:val="none"/>
        </w:rPr>
      </w:pPr>
      <w:r>
        <w:rPr>
          <w:rFonts w:hint="eastAsia" w:ascii="宋体" w:hAnsi="宋体" w:cs="宋体"/>
          <w:color w:val="auto"/>
          <w:kern w:val="0"/>
          <w:szCs w:val="21"/>
          <w:highlight w:val="none"/>
          <w:lang w:bidi="ar"/>
        </w:rPr>
        <w:t>本公司（联合体）郑重声明，根据《政府采购促进中小企业发展管理办法》（财库﹝2020﹞46 号）的规定，本公司（联合体）参加</w:t>
      </w:r>
      <w:r>
        <w:rPr>
          <w:rFonts w:hint="eastAsia" w:ascii="宋体" w:hAnsi="宋体" w:cs="宋体"/>
          <w:color w:val="auto"/>
          <w:kern w:val="0"/>
          <w:szCs w:val="21"/>
          <w:highlight w:val="none"/>
          <w:u w:val="single"/>
          <w:lang w:bidi="ar"/>
        </w:rPr>
        <w:t>（单位名称）</w:t>
      </w:r>
      <w:r>
        <w:rPr>
          <w:rFonts w:hint="eastAsia" w:ascii="宋体" w:hAnsi="宋体" w:cs="宋体"/>
          <w:color w:val="auto"/>
          <w:kern w:val="0"/>
          <w:szCs w:val="21"/>
          <w:highlight w:val="none"/>
          <w:lang w:bidi="ar"/>
        </w:rPr>
        <w:t>的</w:t>
      </w:r>
      <w:r>
        <w:rPr>
          <w:rFonts w:hint="eastAsia" w:ascii="宋体" w:hAnsi="宋体" w:cs="宋体"/>
          <w:color w:val="auto"/>
          <w:kern w:val="0"/>
          <w:szCs w:val="21"/>
          <w:highlight w:val="none"/>
          <w:u w:val="single"/>
          <w:lang w:bidi="ar"/>
        </w:rPr>
        <w:t>（项目名称）</w:t>
      </w:r>
      <w:r>
        <w:rPr>
          <w:rFonts w:hint="eastAsia" w:ascii="宋体" w:hAnsi="宋体" w:cs="宋体"/>
          <w:color w:val="auto"/>
          <w:kern w:val="0"/>
          <w:szCs w:val="21"/>
          <w:highlight w:val="none"/>
          <w:lang w:bidi="ar"/>
        </w:rPr>
        <w:t xml:space="preserve">采购活动，提供的货物全部由符合政策要求的中小企业制造。相关企业（含联合体中的中小企业、签订分包意向协议的中小企业）的具体情况如下： </w:t>
      </w:r>
    </w:p>
    <w:p w14:paraId="5630BBDD">
      <w:pPr>
        <w:widowControl/>
        <w:spacing w:line="360" w:lineRule="auto"/>
        <w:ind w:firstLine="420" w:firstLineChars="200"/>
        <w:jc w:val="left"/>
        <w:rPr>
          <w:rFonts w:ascii="宋体" w:hAnsi="宋体" w:cs="宋体"/>
          <w:color w:val="auto"/>
          <w:szCs w:val="21"/>
          <w:highlight w:val="none"/>
        </w:rPr>
      </w:pPr>
      <w:r>
        <w:rPr>
          <w:rFonts w:hint="eastAsia" w:ascii="宋体" w:hAnsi="宋体" w:cs="宋体"/>
          <w:color w:val="auto"/>
          <w:kern w:val="0"/>
          <w:szCs w:val="21"/>
          <w:highlight w:val="none"/>
          <w:lang w:bidi="ar"/>
        </w:rPr>
        <w:t xml:space="preserve">1. </w:t>
      </w:r>
      <w:r>
        <w:rPr>
          <w:rFonts w:hint="eastAsia" w:ascii="宋体" w:hAnsi="宋体" w:cs="宋体"/>
          <w:color w:val="auto"/>
          <w:kern w:val="0"/>
          <w:szCs w:val="21"/>
          <w:highlight w:val="none"/>
          <w:u w:val="single"/>
          <w:lang w:bidi="ar"/>
        </w:rPr>
        <w:t xml:space="preserve">（标的名称） </w:t>
      </w:r>
      <w:r>
        <w:rPr>
          <w:rFonts w:hint="eastAsia" w:ascii="宋体" w:hAnsi="宋体" w:cs="宋体"/>
          <w:color w:val="auto"/>
          <w:kern w:val="0"/>
          <w:szCs w:val="21"/>
          <w:highlight w:val="none"/>
          <w:lang w:bidi="ar"/>
        </w:rPr>
        <w:t>，属于</w:t>
      </w:r>
      <w:r>
        <w:rPr>
          <w:rFonts w:hint="eastAsia" w:ascii="宋体" w:hAnsi="宋体" w:cs="宋体"/>
          <w:color w:val="auto"/>
          <w:kern w:val="0"/>
          <w:szCs w:val="21"/>
          <w:highlight w:val="none"/>
          <w:u w:val="single"/>
          <w:lang w:bidi="ar"/>
        </w:rPr>
        <w:t>（采购文件中明确的所属行业）</w:t>
      </w:r>
      <w:r>
        <w:rPr>
          <w:rFonts w:hint="eastAsia" w:ascii="宋体" w:hAnsi="宋体" w:cs="宋体"/>
          <w:color w:val="auto"/>
          <w:kern w:val="0"/>
          <w:szCs w:val="21"/>
          <w:highlight w:val="none"/>
          <w:lang w:bidi="ar"/>
        </w:rPr>
        <w:t>行业；制造商为</w:t>
      </w:r>
      <w:r>
        <w:rPr>
          <w:rFonts w:hint="eastAsia" w:ascii="宋体" w:hAnsi="宋体" w:cs="宋体"/>
          <w:color w:val="auto"/>
          <w:kern w:val="0"/>
          <w:szCs w:val="21"/>
          <w:highlight w:val="none"/>
          <w:u w:val="single"/>
          <w:lang w:bidi="ar"/>
        </w:rPr>
        <w:t>（企业名称）</w:t>
      </w:r>
      <w:r>
        <w:rPr>
          <w:rFonts w:hint="eastAsia" w:ascii="宋体" w:hAnsi="宋体" w:cs="宋体"/>
          <w:color w:val="auto"/>
          <w:kern w:val="0"/>
          <w:szCs w:val="21"/>
          <w:highlight w:val="none"/>
          <w:lang w:bidi="ar"/>
        </w:rPr>
        <w:t>，从业人员</w:t>
      </w:r>
      <w:r>
        <w:rPr>
          <w:rFonts w:hint="eastAsia" w:ascii="宋体" w:hAnsi="宋体" w:cs="宋体"/>
          <w:color w:val="auto"/>
          <w:kern w:val="0"/>
          <w:szCs w:val="21"/>
          <w:highlight w:val="none"/>
          <w:u w:val="single"/>
          <w:lang w:bidi="ar"/>
        </w:rPr>
        <w:t xml:space="preserve">      </w:t>
      </w:r>
      <w:r>
        <w:rPr>
          <w:rFonts w:hint="eastAsia" w:ascii="宋体" w:hAnsi="宋体" w:cs="宋体"/>
          <w:color w:val="auto"/>
          <w:kern w:val="0"/>
          <w:szCs w:val="21"/>
          <w:highlight w:val="none"/>
          <w:lang w:bidi="ar"/>
        </w:rPr>
        <w:t>人，营业收入为</w:t>
      </w:r>
      <w:r>
        <w:rPr>
          <w:rFonts w:hint="eastAsia" w:ascii="宋体" w:hAnsi="宋体" w:cs="宋体"/>
          <w:color w:val="auto"/>
          <w:kern w:val="0"/>
          <w:szCs w:val="21"/>
          <w:highlight w:val="none"/>
          <w:u w:val="single"/>
          <w:lang w:bidi="ar"/>
        </w:rPr>
        <w:t xml:space="preserve">       </w:t>
      </w:r>
      <w:r>
        <w:rPr>
          <w:rFonts w:hint="eastAsia" w:ascii="宋体" w:hAnsi="宋体" w:cs="宋体"/>
          <w:color w:val="auto"/>
          <w:kern w:val="0"/>
          <w:szCs w:val="21"/>
          <w:highlight w:val="none"/>
          <w:lang w:bidi="ar"/>
        </w:rPr>
        <w:t>万元，资产总额为</w:t>
      </w:r>
      <w:r>
        <w:rPr>
          <w:rFonts w:hint="eastAsia" w:ascii="宋体" w:hAnsi="宋体" w:cs="宋体"/>
          <w:color w:val="auto"/>
          <w:kern w:val="0"/>
          <w:szCs w:val="21"/>
          <w:highlight w:val="none"/>
          <w:u w:val="single"/>
          <w:lang w:bidi="ar"/>
        </w:rPr>
        <w:t xml:space="preserve">       </w:t>
      </w:r>
      <w:r>
        <w:rPr>
          <w:rFonts w:hint="eastAsia" w:ascii="宋体" w:hAnsi="宋体" w:cs="宋体"/>
          <w:color w:val="auto"/>
          <w:kern w:val="0"/>
          <w:szCs w:val="21"/>
          <w:highlight w:val="none"/>
          <w:lang w:bidi="ar"/>
        </w:rPr>
        <w:t>万元，属于</w:t>
      </w:r>
      <w:r>
        <w:rPr>
          <w:rFonts w:hint="eastAsia" w:ascii="宋体" w:hAnsi="宋体" w:cs="宋体"/>
          <w:color w:val="auto"/>
          <w:kern w:val="0"/>
          <w:szCs w:val="21"/>
          <w:highlight w:val="none"/>
          <w:u w:val="single"/>
          <w:lang w:bidi="ar"/>
        </w:rPr>
        <w:t>（中型企业、小型企业、微型企业）</w:t>
      </w:r>
      <w:r>
        <w:rPr>
          <w:rFonts w:hint="eastAsia" w:ascii="宋体" w:hAnsi="宋体" w:cs="宋体"/>
          <w:color w:val="auto"/>
          <w:kern w:val="0"/>
          <w:szCs w:val="21"/>
          <w:highlight w:val="none"/>
          <w:lang w:bidi="ar"/>
        </w:rPr>
        <w:t xml:space="preserve">； </w:t>
      </w:r>
    </w:p>
    <w:p w14:paraId="1CCBDFF4">
      <w:pPr>
        <w:widowControl/>
        <w:spacing w:line="360" w:lineRule="auto"/>
        <w:ind w:firstLine="420" w:firstLineChars="200"/>
        <w:jc w:val="left"/>
        <w:rPr>
          <w:rFonts w:ascii="宋体" w:hAnsi="宋体" w:cs="宋体"/>
          <w:color w:val="auto"/>
          <w:szCs w:val="21"/>
          <w:highlight w:val="none"/>
        </w:rPr>
      </w:pPr>
      <w:r>
        <w:rPr>
          <w:rFonts w:hint="eastAsia" w:ascii="宋体" w:hAnsi="宋体" w:cs="宋体"/>
          <w:color w:val="auto"/>
          <w:kern w:val="0"/>
          <w:szCs w:val="21"/>
          <w:highlight w:val="none"/>
          <w:lang w:bidi="ar"/>
        </w:rPr>
        <w:t xml:space="preserve">2. </w:t>
      </w:r>
      <w:r>
        <w:rPr>
          <w:rFonts w:hint="eastAsia" w:ascii="宋体" w:hAnsi="宋体" w:cs="宋体"/>
          <w:color w:val="auto"/>
          <w:kern w:val="0"/>
          <w:szCs w:val="21"/>
          <w:highlight w:val="none"/>
          <w:u w:val="single"/>
          <w:lang w:bidi="ar"/>
        </w:rPr>
        <w:t xml:space="preserve">（标的名称） </w:t>
      </w:r>
      <w:r>
        <w:rPr>
          <w:rFonts w:hint="eastAsia" w:ascii="宋体" w:hAnsi="宋体" w:cs="宋体"/>
          <w:color w:val="auto"/>
          <w:kern w:val="0"/>
          <w:szCs w:val="21"/>
          <w:highlight w:val="none"/>
          <w:lang w:bidi="ar"/>
        </w:rPr>
        <w:t>，属于</w:t>
      </w:r>
      <w:r>
        <w:rPr>
          <w:rFonts w:hint="eastAsia" w:ascii="宋体" w:hAnsi="宋体" w:cs="宋体"/>
          <w:color w:val="auto"/>
          <w:kern w:val="0"/>
          <w:szCs w:val="21"/>
          <w:highlight w:val="none"/>
          <w:u w:val="single"/>
          <w:lang w:bidi="ar"/>
        </w:rPr>
        <w:t>（采购文件中明确的所属行业）</w:t>
      </w:r>
      <w:r>
        <w:rPr>
          <w:rFonts w:hint="eastAsia" w:ascii="宋体" w:hAnsi="宋体" w:cs="宋体"/>
          <w:color w:val="auto"/>
          <w:kern w:val="0"/>
          <w:szCs w:val="21"/>
          <w:highlight w:val="none"/>
          <w:lang w:bidi="ar"/>
        </w:rPr>
        <w:t>行业；制造商为</w:t>
      </w:r>
      <w:r>
        <w:rPr>
          <w:rFonts w:hint="eastAsia" w:ascii="宋体" w:hAnsi="宋体" w:cs="宋体"/>
          <w:color w:val="auto"/>
          <w:kern w:val="0"/>
          <w:szCs w:val="21"/>
          <w:highlight w:val="none"/>
          <w:u w:val="single"/>
          <w:lang w:bidi="ar"/>
        </w:rPr>
        <w:t>（企业名称）</w:t>
      </w:r>
      <w:r>
        <w:rPr>
          <w:rFonts w:hint="eastAsia" w:ascii="宋体" w:hAnsi="宋体" w:cs="宋体"/>
          <w:color w:val="auto"/>
          <w:kern w:val="0"/>
          <w:szCs w:val="21"/>
          <w:highlight w:val="none"/>
          <w:lang w:bidi="ar"/>
        </w:rPr>
        <w:t>，从业人员</w:t>
      </w:r>
      <w:r>
        <w:rPr>
          <w:rFonts w:hint="eastAsia" w:ascii="宋体" w:hAnsi="宋体" w:cs="宋体"/>
          <w:color w:val="auto"/>
          <w:kern w:val="0"/>
          <w:szCs w:val="21"/>
          <w:highlight w:val="none"/>
          <w:u w:val="single"/>
          <w:lang w:bidi="ar"/>
        </w:rPr>
        <w:t xml:space="preserve">      </w:t>
      </w:r>
      <w:r>
        <w:rPr>
          <w:rFonts w:hint="eastAsia" w:ascii="宋体" w:hAnsi="宋体" w:cs="宋体"/>
          <w:color w:val="auto"/>
          <w:kern w:val="0"/>
          <w:szCs w:val="21"/>
          <w:highlight w:val="none"/>
          <w:lang w:bidi="ar"/>
        </w:rPr>
        <w:t>人，营业收入为</w:t>
      </w:r>
      <w:r>
        <w:rPr>
          <w:rFonts w:hint="eastAsia" w:ascii="宋体" w:hAnsi="宋体" w:cs="宋体"/>
          <w:color w:val="auto"/>
          <w:kern w:val="0"/>
          <w:szCs w:val="21"/>
          <w:highlight w:val="none"/>
          <w:u w:val="single"/>
          <w:lang w:bidi="ar"/>
        </w:rPr>
        <w:t xml:space="preserve">       </w:t>
      </w:r>
      <w:r>
        <w:rPr>
          <w:rFonts w:hint="eastAsia" w:ascii="宋体" w:hAnsi="宋体" w:cs="宋体"/>
          <w:color w:val="auto"/>
          <w:kern w:val="0"/>
          <w:szCs w:val="21"/>
          <w:highlight w:val="none"/>
          <w:lang w:bidi="ar"/>
        </w:rPr>
        <w:t>万元，资产总额为</w:t>
      </w:r>
      <w:r>
        <w:rPr>
          <w:rFonts w:hint="eastAsia" w:ascii="宋体" w:hAnsi="宋体" w:cs="宋体"/>
          <w:color w:val="auto"/>
          <w:kern w:val="0"/>
          <w:szCs w:val="21"/>
          <w:highlight w:val="none"/>
          <w:u w:val="single"/>
          <w:lang w:bidi="ar"/>
        </w:rPr>
        <w:t xml:space="preserve">       </w:t>
      </w:r>
      <w:r>
        <w:rPr>
          <w:rFonts w:hint="eastAsia" w:ascii="宋体" w:hAnsi="宋体" w:cs="宋体"/>
          <w:color w:val="auto"/>
          <w:kern w:val="0"/>
          <w:szCs w:val="21"/>
          <w:highlight w:val="none"/>
          <w:lang w:bidi="ar"/>
        </w:rPr>
        <w:t>万元，属于</w:t>
      </w:r>
      <w:r>
        <w:rPr>
          <w:rFonts w:hint="eastAsia" w:ascii="宋体" w:hAnsi="宋体" w:cs="宋体"/>
          <w:color w:val="auto"/>
          <w:kern w:val="0"/>
          <w:szCs w:val="21"/>
          <w:highlight w:val="none"/>
          <w:u w:val="single"/>
          <w:lang w:bidi="ar"/>
        </w:rPr>
        <w:t>（中型企业、小型企业、微型企业）</w:t>
      </w:r>
      <w:r>
        <w:rPr>
          <w:rFonts w:hint="eastAsia" w:ascii="宋体" w:hAnsi="宋体" w:cs="宋体"/>
          <w:color w:val="auto"/>
          <w:kern w:val="0"/>
          <w:szCs w:val="21"/>
          <w:highlight w:val="none"/>
          <w:lang w:bidi="ar"/>
        </w:rPr>
        <w:t xml:space="preserve">；  </w:t>
      </w:r>
    </w:p>
    <w:p w14:paraId="7A22D589">
      <w:pPr>
        <w:widowControl/>
        <w:spacing w:line="360" w:lineRule="auto"/>
        <w:ind w:firstLine="420" w:firstLineChars="200"/>
        <w:jc w:val="left"/>
        <w:rPr>
          <w:rFonts w:ascii="宋体" w:hAnsi="宋体" w:cs="宋体"/>
          <w:color w:val="auto"/>
          <w:szCs w:val="21"/>
          <w:highlight w:val="none"/>
        </w:rPr>
      </w:pPr>
      <w:r>
        <w:rPr>
          <w:rFonts w:hint="eastAsia" w:ascii="宋体" w:hAnsi="宋体" w:cs="宋体"/>
          <w:color w:val="auto"/>
          <w:kern w:val="0"/>
          <w:szCs w:val="21"/>
          <w:highlight w:val="none"/>
          <w:lang w:bidi="ar"/>
        </w:rPr>
        <w:t>……</w:t>
      </w:r>
    </w:p>
    <w:p w14:paraId="087AAA8F">
      <w:pPr>
        <w:widowControl/>
        <w:spacing w:line="360" w:lineRule="auto"/>
        <w:ind w:firstLine="420" w:firstLineChars="200"/>
        <w:jc w:val="left"/>
        <w:rPr>
          <w:rFonts w:ascii="宋体" w:hAnsi="宋体" w:cs="宋体"/>
          <w:color w:val="auto"/>
          <w:szCs w:val="21"/>
          <w:highlight w:val="none"/>
        </w:rPr>
      </w:pPr>
      <w:r>
        <w:rPr>
          <w:rFonts w:hint="eastAsia" w:ascii="宋体" w:hAnsi="宋体" w:cs="宋体"/>
          <w:color w:val="auto"/>
          <w:kern w:val="0"/>
          <w:szCs w:val="21"/>
          <w:highlight w:val="none"/>
          <w:lang w:bidi="ar"/>
        </w:rPr>
        <w:t xml:space="preserve">以上企业，不属于大企业的分支机构，不存在控股股东为大企业的情形，也不存在与大企业的负责人为同一人的情形。本企业对上述声明内容的真实性负责。如有虚假，将依法承担相应责任。 </w:t>
      </w:r>
    </w:p>
    <w:p w14:paraId="084F48A3">
      <w:pPr>
        <w:widowControl/>
        <w:spacing w:line="360" w:lineRule="auto"/>
        <w:ind w:firstLine="420" w:firstLineChars="200"/>
        <w:jc w:val="left"/>
        <w:rPr>
          <w:rFonts w:ascii="宋体" w:hAnsi="宋体" w:cs="宋体"/>
          <w:color w:val="auto"/>
          <w:szCs w:val="21"/>
          <w:highlight w:val="none"/>
        </w:rPr>
      </w:pPr>
      <w:r>
        <w:rPr>
          <w:rFonts w:hint="eastAsia" w:ascii="宋体" w:hAnsi="宋体" w:cs="宋体"/>
          <w:color w:val="auto"/>
          <w:kern w:val="0"/>
          <w:szCs w:val="21"/>
          <w:highlight w:val="none"/>
          <w:lang w:bidi="ar"/>
        </w:rPr>
        <w:t xml:space="preserve">企业名称（盖章）： </w:t>
      </w:r>
    </w:p>
    <w:p w14:paraId="599C7980">
      <w:pPr>
        <w:widowControl/>
        <w:spacing w:line="360" w:lineRule="auto"/>
        <w:ind w:firstLine="420" w:firstLineChars="200"/>
        <w:jc w:val="left"/>
        <w:rPr>
          <w:rFonts w:ascii="宋体" w:hAnsi="宋体" w:cs="宋体"/>
          <w:color w:val="auto"/>
          <w:szCs w:val="21"/>
          <w:highlight w:val="none"/>
        </w:rPr>
      </w:pPr>
      <w:r>
        <w:rPr>
          <w:rFonts w:hint="eastAsia" w:ascii="宋体" w:hAnsi="宋体" w:cs="宋体"/>
          <w:color w:val="auto"/>
          <w:kern w:val="0"/>
          <w:szCs w:val="21"/>
          <w:highlight w:val="none"/>
          <w:lang w:bidi="ar"/>
        </w:rPr>
        <w:t xml:space="preserve">日 期： </w:t>
      </w:r>
    </w:p>
    <w:p w14:paraId="250F2437">
      <w:pPr>
        <w:widowControl/>
        <w:ind w:firstLine="360" w:firstLineChars="200"/>
        <w:jc w:val="left"/>
        <w:rPr>
          <w:rFonts w:ascii="宋体" w:hAnsi="宋体" w:cs="宋体"/>
          <w:color w:val="auto"/>
          <w:kern w:val="0"/>
          <w:sz w:val="18"/>
          <w:szCs w:val="18"/>
          <w:highlight w:val="none"/>
          <w:lang w:bidi="ar"/>
        </w:rPr>
      </w:pPr>
    </w:p>
    <w:p w14:paraId="75A807A0">
      <w:pPr>
        <w:widowControl/>
        <w:ind w:firstLine="420" w:firstLineChars="200"/>
        <w:jc w:val="left"/>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注：1.属于专门面向中小企业采购的政府采购货物类项目，投标人应按本声明函内容和格式如实声明采购标的制造商的企业规模，未提供本声明函或不符合《政府采购促进中小企业发展管理办法》（财库﹝2020﹞46 号）规定的，其</w:t>
      </w:r>
      <w:r>
        <w:rPr>
          <w:rFonts w:hint="eastAsia" w:ascii="宋体" w:hAnsi="宋体" w:cs="宋体"/>
          <w:b/>
          <w:bCs/>
          <w:color w:val="auto"/>
          <w:kern w:val="0"/>
          <w:szCs w:val="21"/>
          <w:highlight w:val="none"/>
          <w:lang w:bidi="ar"/>
        </w:rPr>
        <w:t>投标无效。</w:t>
      </w:r>
    </w:p>
    <w:p w14:paraId="718BB4BA">
      <w:pPr>
        <w:widowControl/>
        <w:ind w:firstLine="420" w:firstLineChars="200"/>
        <w:jc w:val="left"/>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2.从业人员、营业收入、资产总额填报上一年度数据，无上一年度数据的新成立企业可不填报。</w:t>
      </w:r>
    </w:p>
    <w:p w14:paraId="5A0E266F">
      <w:pPr>
        <w:widowControl/>
        <w:ind w:firstLine="211" w:firstLineChars="100"/>
        <w:jc w:val="left"/>
        <w:rPr>
          <w:rFonts w:hint="default" w:ascii="宋体" w:hAnsi="宋体" w:eastAsia="宋体" w:cs="宋体"/>
          <w:b/>
          <w:bCs/>
          <w:color w:val="auto"/>
          <w:kern w:val="0"/>
          <w:szCs w:val="21"/>
          <w:highlight w:val="none"/>
          <w:lang w:val="en-US" w:eastAsia="zh-CN" w:bidi="ar"/>
        </w:rPr>
      </w:pPr>
      <w:r>
        <w:rPr>
          <w:rFonts w:hint="eastAsia" w:ascii="宋体" w:hAnsi="宋体" w:eastAsia="宋体" w:cs="宋体"/>
          <w:b/>
          <w:bCs/>
          <w:color w:val="auto"/>
          <w:kern w:val="0"/>
          <w:szCs w:val="21"/>
          <w:highlight w:val="none"/>
          <w:lang w:val="en-US" w:eastAsia="zh-CN" w:bidi="ar"/>
        </w:rPr>
        <w:t xml:space="preserve"> 3.投标人应按采购清单逐项填写标的名称、制造商等情况。</w:t>
      </w:r>
    </w:p>
    <w:p w14:paraId="385B7168">
      <w:pPr>
        <w:pStyle w:val="5"/>
        <w:rPr>
          <w:rFonts w:ascii="黑体" w:hAnsi="黑体"/>
          <w:b w:val="0"/>
          <w:bCs w:val="0"/>
          <w:color w:val="auto"/>
          <w:sz w:val="21"/>
          <w:szCs w:val="21"/>
          <w:highlight w:val="none"/>
        </w:rPr>
      </w:pPr>
      <w:bookmarkStart w:id="152" w:name="_Toc22201164"/>
      <w:bookmarkStart w:id="153" w:name="_Toc5841"/>
      <w:bookmarkStart w:id="154" w:name="_Toc82155492"/>
      <w:bookmarkStart w:id="155" w:name="_Toc62206227"/>
      <w:bookmarkStart w:id="156" w:name="_Toc32067"/>
      <w:r>
        <w:rPr>
          <w:rFonts w:hint="eastAsia" w:ascii="黑体" w:hAnsi="黑体" w:cs="宋体"/>
          <w:b w:val="0"/>
          <w:bCs w:val="0"/>
          <w:color w:val="auto"/>
          <w:kern w:val="0"/>
          <w:sz w:val="21"/>
          <w:szCs w:val="21"/>
          <w:highlight w:val="none"/>
        </w:rPr>
        <w:t xml:space="preserve">附件10-2 </w:t>
      </w:r>
      <w:r>
        <w:rPr>
          <w:rFonts w:hint="eastAsia" w:ascii="黑体" w:hAnsi="黑体"/>
          <w:b w:val="0"/>
          <w:bCs w:val="0"/>
          <w:color w:val="auto"/>
          <w:sz w:val="21"/>
          <w:szCs w:val="21"/>
          <w:highlight w:val="none"/>
        </w:rPr>
        <w:t>残疾人福利性单位声明函</w:t>
      </w:r>
      <w:bookmarkEnd w:id="152"/>
      <w:bookmarkEnd w:id="153"/>
      <w:bookmarkEnd w:id="154"/>
      <w:bookmarkEnd w:id="155"/>
      <w:bookmarkEnd w:id="156"/>
    </w:p>
    <w:p w14:paraId="60B14E5F">
      <w:pPr>
        <w:adjustRightInd w:val="0"/>
        <w:snapToGrid w:val="0"/>
        <w:spacing w:line="360" w:lineRule="auto"/>
        <w:jc w:val="center"/>
        <w:rPr>
          <w:rFonts w:ascii="黑体" w:hAnsi="黑体" w:eastAsia="黑体"/>
          <w:b/>
          <w:color w:val="auto"/>
          <w:spacing w:val="6"/>
          <w:sz w:val="28"/>
          <w:szCs w:val="28"/>
          <w:highlight w:val="none"/>
        </w:rPr>
      </w:pPr>
      <w:r>
        <w:rPr>
          <w:rFonts w:hint="eastAsia" w:ascii="黑体" w:hAnsi="黑体" w:eastAsia="黑体"/>
          <w:b/>
          <w:color w:val="auto"/>
          <w:spacing w:val="6"/>
          <w:sz w:val="28"/>
          <w:szCs w:val="28"/>
          <w:highlight w:val="none"/>
        </w:rPr>
        <w:t>残疾人福利性单位声明函</w:t>
      </w:r>
    </w:p>
    <w:p w14:paraId="0487BDE2">
      <w:pPr>
        <w:adjustRightInd w:val="0"/>
        <w:snapToGrid w:val="0"/>
        <w:spacing w:line="360" w:lineRule="auto"/>
        <w:ind w:firstLine="446" w:firstLineChars="200"/>
        <w:rPr>
          <w:rFonts w:ascii="宋体" w:hAnsi="宋体"/>
          <w:b/>
          <w:color w:val="auto"/>
          <w:spacing w:val="6"/>
          <w:szCs w:val="21"/>
          <w:highlight w:val="none"/>
        </w:rPr>
      </w:pPr>
    </w:p>
    <w:p w14:paraId="5B85F1CB">
      <w:pPr>
        <w:adjustRightInd w:val="0"/>
        <w:snapToGrid w:val="0"/>
        <w:spacing w:line="360" w:lineRule="auto"/>
        <w:ind w:firstLine="444" w:firstLineChars="200"/>
        <w:rPr>
          <w:rFonts w:ascii="宋体" w:hAnsi="宋体"/>
          <w:color w:val="auto"/>
          <w:spacing w:val="6"/>
          <w:szCs w:val="21"/>
          <w:highlight w:val="none"/>
        </w:rPr>
      </w:pPr>
      <w:r>
        <w:rPr>
          <w:rFonts w:hint="eastAsia" w:ascii="宋体" w:hAnsi="宋体"/>
          <w:color w:val="auto"/>
          <w:spacing w:val="6"/>
          <w:szCs w:val="21"/>
          <w:highlight w:val="none"/>
        </w:rPr>
        <w:t>本单位郑重声明，根据《财政部民政部中国残疾人联合会关于促进残疾人就业政府采购政策的通知》（财库</w:t>
      </w:r>
      <w:r>
        <w:rPr>
          <w:rFonts w:hint="eastAsia" w:ascii="宋体" w:hAnsi="宋体"/>
          <w:color w:val="auto"/>
          <w:szCs w:val="21"/>
          <w:highlight w:val="none"/>
        </w:rPr>
        <w:t>〔2017〕141</w:t>
      </w:r>
      <w:r>
        <w:rPr>
          <w:rFonts w:hint="eastAsia" w:ascii="宋体" w:hAnsi="宋体"/>
          <w:color w:val="auto"/>
          <w:spacing w:val="6"/>
          <w:szCs w:val="21"/>
          <w:highlight w:val="none"/>
        </w:rPr>
        <w:t>号）的规定，本单位为符合条件的残疾人福利性单位，且本单位参加</w:t>
      </w:r>
      <w:r>
        <w:rPr>
          <w:rFonts w:hint="eastAsia" w:ascii="宋体" w:hAnsi="宋体"/>
          <w:color w:val="auto"/>
          <w:spacing w:val="6"/>
          <w:szCs w:val="21"/>
          <w:highlight w:val="none"/>
          <w:u w:val="single"/>
        </w:rPr>
        <w:t xml:space="preserve">           </w:t>
      </w:r>
      <w:r>
        <w:rPr>
          <w:rFonts w:hint="eastAsia" w:ascii="宋体" w:hAnsi="宋体"/>
          <w:color w:val="auto"/>
          <w:spacing w:val="6"/>
          <w:szCs w:val="21"/>
          <w:highlight w:val="none"/>
        </w:rPr>
        <w:t>单位的</w:t>
      </w:r>
      <w:r>
        <w:rPr>
          <w:rFonts w:hint="eastAsia" w:ascii="宋体" w:hAnsi="宋体"/>
          <w:color w:val="auto"/>
          <w:spacing w:val="6"/>
          <w:szCs w:val="21"/>
          <w:highlight w:val="none"/>
          <w:u w:val="single"/>
        </w:rPr>
        <w:t xml:space="preserve">           </w:t>
      </w:r>
      <w:r>
        <w:rPr>
          <w:rFonts w:hint="eastAsia" w:ascii="宋体" w:hAnsi="宋体"/>
          <w:color w:val="auto"/>
          <w:spacing w:val="6"/>
          <w:szCs w:val="21"/>
          <w:highlight w:val="none"/>
        </w:rPr>
        <w:t>项目采购活动提供本单位制造的货物（由本单位承担工程/提供服务），或者提供其他残疾人福利性单位制造的货物（不包括使用非残疾人福利性单位注册商标的货物）。</w:t>
      </w:r>
    </w:p>
    <w:p w14:paraId="5990719E">
      <w:pPr>
        <w:adjustRightInd w:val="0"/>
        <w:snapToGrid w:val="0"/>
        <w:spacing w:line="360" w:lineRule="auto"/>
        <w:ind w:firstLine="444" w:firstLineChars="200"/>
        <w:rPr>
          <w:rFonts w:ascii="宋体" w:hAnsi="宋体"/>
          <w:color w:val="auto"/>
          <w:spacing w:val="6"/>
          <w:szCs w:val="21"/>
          <w:highlight w:val="none"/>
        </w:rPr>
      </w:pPr>
      <w:r>
        <w:rPr>
          <w:rFonts w:hint="eastAsia" w:ascii="宋体" w:hAnsi="宋体"/>
          <w:color w:val="auto"/>
          <w:spacing w:val="6"/>
          <w:szCs w:val="21"/>
          <w:highlight w:val="none"/>
        </w:rPr>
        <w:t>本单位对上述声明的真实性负责。如有虚假，将依法承担相应责任。</w:t>
      </w:r>
    </w:p>
    <w:p w14:paraId="0ED6F9F6">
      <w:pPr>
        <w:adjustRightInd w:val="0"/>
        <w:snapToGrid w:val="0"/>
        <w:spacing w:line="360" w:lineRule="auto"/>
        <w:ind w:firstLine="444" w:firstLineChars="200"/>
        <w:rPr>
          <w:rFonts w:ascii="宋体" w:hAnsi="宋体"/>
          <w:color w:val="auto"/>
          <w:spacing w:val="6"/>
          <w:szCs w:val="21"/>
          <w:highlight w:val="none"/>
        </w:rPr>
      </w:pPr>
    </w:p>
    <w:p w14:paraId="55918CCB">
      <w:pPr>
        <w:adjustRightInd w:val="0"/>
        <w:snapToGrid w:val="0"/>
        <w:spacing w:line="360" w:lineRule="auto"/>
        <w:ind w:firstLine="444" w:firstLineChars="200"/>
        <w:rPr>
          <w:rFonts w:ascii="宋体" w:hAnsi="宋体"/>
          <w:color w:val="auto"/>
          <w:spacing w:val="6"/>
          <w:szCs w:val="21"/>
          <w:highlight w:val="none"/>
        </w:rPr>
      </w:pPr>
    </w:p>
    <w:p w14:paraId="1917C6E4">
      <w:pPr>
        <w:tabs>
          <w:tab w:val="left" w:pos="4860"/>
        </w:tabs>
        <w:adjustRightInd w:val="0"/>
        <w:snapToGrid w:val="0"/>
        <w:spacing w:line="360" w:lineRule="auto"/>
        <w:ind w:right="1560" w:firstLine="444" w:firstLineChars="200"/>
        <w:jc w:val="center"/>
        <w:rPr>
          <w:rFonts w:ascii="宋体" w:hAnsi="宋体"/>
          <w:color w:val="auto"/>
          <w:spacing w:val="6"/>
          <w:szCs w:val="21"/>
          <w:highlight w:val="none"/>
        </w:rPr>
      </w:pPr>
      <w:r>
        <w:rPr>
          <w:rFonts w:hint="eastAsia" w:ascii="宋体" w:hAnsi="宋体"/>
          <w:color w:val="auto"/>
          <w:spacing w:val="6"/>
          <w:szCs w:val="21"/>
          <w:highlight w:val="none"/>
        </w:rPr>
        <w:t xml:space="preserve">               单位名称（盖章）：</w:t>
      </w:r>
    </w:p>
    <w:p w14:paraId="7270F2D1">
      <w:pPr>
        <w:tabs>
          <w:tab w:val="left" w:pos="4860"/>
        </w:tabs>
        <w:adjustRightInd w:val="0"/>
        <w:snapToGrid w:val="0"/>
        <w:spacing w:line="360" w:lineRule="auto"/>
        <w:ind w:right="1560" w:firstLine="444" w:firstLineChars="200"/>
        <w:jc w:val="center"/>
        <w:rPr>
          <w:rFonts w:ascii="宋体" w:hAnsi="宋体"/>
          <w:color w:val="auto"/>
          <w:spacing w:val="6"/>
          <w:szCs w:val="21"/>
          <w:highlight w:val="none"/>
        </w:rPr>
      </w:pPr>
      <w:r>
        <w:rPr>
          <w:rFonts w:hint="eastAsia" w:ascii="宋体" w:hAnsi="宋体"/>
          <w:color w:val="auto"/>
          <w:spacing w:val="6"/>
          <w:szCs w:val="21"/>
          <w:highlight w:val="none"/>
        </w:rPr>
        <w:t xml:space="preserve">       日  期：</w:t>
      </w:r>
    </w:p>
    <w:p w14:paraId="3C713F51">
      <w:pPr>
        <w:widowControl/>
        <w:adjustRightInd w:val="0"/>
        <w:snapToGrid w:val="0"/>
        <w:spacing w:line="360" w:lineRule="auto"/>
        <w:jc w:val="left"/>
        <w:rPr>
          <w:rFonts w:ascii="宋体" w:hAnsi="宋体" w:cs="宋体"/>
          <w:color w:val="auto"/>
          <w:kern w:val="0"/>
          <w:szCs w:val="21"/>
          <w:highlight w:val="none"/>
        </w:rPr>
      </w:pPr>
    </w:p>
    <w:p w14:paraId="3615817A">
      <w:pPr>
        <w:pStyle w:val="5"/>
        <w:rPr>
          <w:rFonts w:ascii="黑体" w:hAnsi="黑体"/>
          <w:color w:val="auto"/>
          <w:sz w:val="21"/>
          <w:szCs w:val="21"/>
          <w:highlight w:val="none"/>
        </w:rPr>
      </w:pPr>
      <w:r>
        <w:rPr>
          <w:rFonts w:ascii="黑体" w:hAnsi="华文中宋" w:cs="宋体"/>
          <w:color w:val="auto"/>
          <w:spacing w:val="6"/>
          <w:kern w:val="0"/>
          <w:highlight w:val="none"/>
        </w:rPr>
        <w:br w:type="page"/>
      </w:r>
      <w:bookmarkStart w:id="157" w:name="_Toc25551"/>
      <w:bookmarkStart w:id="158" w:name="_Toc62206228"/>
      <w:bookmarkStart w:id="159" w:name="_Toc82155493"/>
      <w:bookmarkStart w:id="160" w:name="_Toc22201165"/>
      <w:bookmarkStart w:id="161" w:name="_Toc4982"/>
      <w:r>
        <w:rPr>
          <w:rFonts w:hint="eastAsia" w:ascii="黑体" w:hAnsi="黑体" w:cs="宋体"/>
          <w:b w:val="0"/>
          <w:bCs w:val="0"/>
          <w:color w:val="auto"/>
          <w:kern w:val="0"/>
          <w:sz w:val="21"/>
          <w:szCs w:val="21"/>
          <w:highlight w:val="none"/>
        </w:rPr>
        <w:t xml:space="preserve">附件10-3 </w:t>
      </w:r>
      <w:r>
        <w:rPr>
          <w:rFonts w:hint="eastAsia" w:ascii="黑体" w:hAnsi="黑体"/>
          <w:b w:val="0"/>
          <w:bCs w:val="0"/>
          <w:color w:val="auto"/>
          <w:sz w:val="21"/>
          <w:szCs w:val="21"/>
          <w:highlight w:val="none"/>
        </w:rPr>
        <w:t>监狱企业证明资料</w:t>
      </w:r>
      <w:bookmarkEnd w:id="157"/>
      <w:bookmarkEnd w:id="158"/>
      <w:bookmarkEnd w:id="159"/>
      <w:bookmarkEnd w:id="160"/>
      <w:bookmarkEnd w:id="161"/>
    </w:p>
    <w:p w14:paraId="4AD0A359">
      <w:pPr>
        <w:adjustRightInd w:val="0"/>
        <w:snapToGrid w:val="0"/>
        <w:spacing w:line="360" w:lineRule="auto"/>
        <w:jc w:val="center"/>
        <w:rPr>
          <w:rFonts w:ascii="黑体" w:hAnsi="宋体"/>
          <w:b/>
          <w:color w:val="auto"/>
          <w:sz w:val="28"/>
          <w:szCs w:val="28"/>
          <w:highlight w:val="none"/>
        </w:rPr>
      </w:pPr>
      <w:r>
        <w:rPr>
          <w:rFonts w:hint="eastAsia" w:ascii="黑体" w:hAnsi="宋体"/>
          <w:b/>
          <w:color w:val="auto"/>
          <w:sz w:val="28"/>
          <w:szCs w:val="28"/>
          <w:highlight w:val="none"/>
        </w:rPr>
        <w:t>监狱企业证明资料</w:t>
      </w:r>
    </w:p>
    <w:p w14:paraId="2EB366F4">
      <w:pPr>
        <w:adjustRightInd w:val="0"/>
        <w:snapToGrid w:val="0"/>
        <w:spacing w:line="360" w:lineRule="auto"/>
        <w:rPr>
          <w:rFonts w:ascii="宋体" w:hAnsi="宋体"/>
          <w:b/>
          <w:color w:val="auto"/>
          <w:spacing w:val="6"/>
          <w:szCs w:val="21"/>
          <w:highlight w:val="none"/>
        </w:rPr>
      </w:pPr>
    </w:p>
    <w:p w14:paraId="0E2AAE15">
      <w:pPr>
        <w:adjustRightInd w:val="0"/>
        <w:snapToGrid w:val="0"/>
        <w:spacing w:line="360" w:lineRule="auto"/>
        <w:ind w:firstLine="420" w:firstLineChars="200"/>
        <w:rPr>
          <w:rFonts w:ascii="宋体" w:hAnsi="宋体"/>
          <w:color w:val="auto"/>
          <w:szCs w:val="21"/>
          <w:highlight w:val="none"/>
        </w:rPr>
      </w:pPr>
      <w:r>
        <w:rPr>
          <w:rFonts w:hint="eastAsia" w:ascii="宋体" w:hAnsi="宋体" w:eastAsia="宋体"/>
          <w:b w:val="0"/>
          <w:bCs/>
          <w:color w:val="auto"/>
          <w:szCs w:val="21"/>
          <w:highlight w:val="none"/>
        </w:rPr>
        <w:t>注</w:t>
      </w:r>
      <w:r>
        <w:rPr>
          <w:rFonts w:hint="eastAsia" w:ascii="宋体" w:hAnsi="宋体" w:cs="宋体"/>
          <w:b w:val="0"/>
          <w:bCs/>
          <w:color w:val="auto"/>
          <w:spacing w:val="6"/>
          <w:kern w:val="0"/>
          <w:szCs w:val="21"/>
          <w:highlight w:val="none"/>
        </w:rPr>
        <w:t>：</w:t>
      </w:r>
      <w:r>
        <w:rPr>
          <w:rFonts w:hint="eastAsia" w:ascii="宋体" w:hAnsi="宋体"/>
          <w:color w:val="auto"/>
          <w:szCs w:val="21"/>
          <w:highlight w:val="none"/>
        </w:rPr>
        <w:t>按</w:t>
      </w:r>
      <w:r>
        <w:rPr>
          <w:rFonts w:hint="eastAsia" w:ascii="宋体" w:hAnsi="宋体"/>
          <w:color w:val="auto"/>
          <w:spacing w:val="6"/>
          <w:szCs w:val="21"/>
          <w:highlight w:val="none"/>
        </w:rPr>
        <w:t>《</w:t>
      </w:r>
      <w:r>
        <w:rPr>
          <w:rFonts w:hint="eastAsia" w:ascii="宋体" w:hAnsi="宋体"/>
          <w:color w:val="auto"/>
          <w:szCs w:val="21"/>
          <w:highlight w:val="none"/>
        </w:rPr>
        <w:t>财政部司法部关于政府采购支持监狱企业发展有关问题的通知</w:t>
      </w:r>
      <w:r>
        <w:rPr>
          <w:rFonts w:hint="eastAsia" w:ascii="宋体" w:hAnsi="宋体"/>
          <w:color w:val="auto"/>
          <w:spacing w:val="6"/>
          <w:szCs w:val="21"/>
          <w:highlight w:val="none"/>
        </w:rPr>
        <w:t>》</w:t>
      </w:r>
      <w:r>
        <w:rPr>
          <w:rFonts w:hint="eastAsia" w:ascii="宋体" w:hAnsi="宋体"/>
          <w:color w:val="auto"/>
          <w:szCs w:val="21"/>
          <w:highlight w:val="none"/>
        </w:rPr>
        <w:t>(财库〔2014〕68号)文件规定提供证明文件。</w:t>
      </w:r>
    </w:p>
    <w:p w14:paraId="4C51B0F7">
      <w:pPr>
        <w:adjustRightInd w:val="0"/>
        <w:snapToGrid w:val="0"/>
        <w:spacing w:line="360" w:lineRule="auto"/>
        <w:rPr>
          <w:rFonts w:ascii="黑体" w:hAnsi="华文中宋" w:eastAsia="黑体" w:cs="宋体"/>
          <w:bCs/>
          <w:color w:val="auto"/>
          <w:spacing w:val="6"/>
          <w:kern w:val="0"/>
          <w:szCs w:val="21"/>
          <w:highlight w:val="none"/>
        </w:rPr>
      </w:pPr>
    </w:p>
    <w:p w14:paraId="542EA10C">
      <w:pPr>
        <w:adjustRightInd w:val="0"/>
        <w:snapToGrid w:val="0"/>
        <w:spacing w:line="192" w:lineRule="auto"/>
        <w:rPr>
          <w:rFonts w:ascii="黑体" w:hAnsi="华文中宋" w:eastAsia="黑体" w:cs="宋体"/>
          <w:bCs/>
          <w:color w:val="auto"/>
          <w:spacing w:val="6"/>
          <w:kern w:val="0"/>
          <w:szCs w:val="21"/>
          <w:highlight w:val="none"/>
        </w:rPr>
      </w:pPr>
      <w:r>
        <w:rPr>
          <w:rFonts w:ascii="黑体" w:hAnsi="华文中宋" w:eastAsia="黑体" w:cs="宋体"/>
          <w:bCs/>
          <w:color w:val="auto"/>
          <w:spacing w:val="6"/>
          <w:kern w:val="0"/>
          <w:szCs w:val="21"/>
          <w:highlight w:val="none"/>
        </w:rPr>
        <w:br w:type="page"/>
      </w:r>
    </w:p>
    <w:p w14:paraId="77F21F27">
      <w:pPr>
        <w:pStyle w:val="5"/>
        <w:rPr>
          <w:rFonts w:ascii="黑体" w:hAnsi="宋体"/>
          <w:b w:val="0"/>
          <w:bCs w:val="0"/>
          <w:color w:val="auto"/>
          <w:sz w:val="21"/>
          <w:szCs w:val="21"/>
          <w:highlight w:val="none"/>
        </w:rPr>
      </w:pPr>
      <w:bookmarkStart w:id="162" w:name="_Toc24733"/>
      <w:bookmarkStart w:id="163" w:name="_Toc23716"/>
      <w:r>
        <w:rPr>
          <w:rFonts w:hint="eastAsia" w:ascii="黑体" w:hAnsi="华文中宋" w:cs="宋体"/>
          <w:b w:val="0"/>
          <w:bCs w:val="0"/>
          <w:color w:val="auto"/>
          <w:spacing w:val="6"/>
          <w:kern w:val="0"/>
          <w:sz w:val="21"/>
          <w:szCs w:val="21"/>
          <w:highlight w:val="none"/>
        </w:rPr>
        <w:t xml:space="preserve">附件10-4 </w:t>
      </w:r>
      <w:r>
        <w:rPr>
          <w:rFonts w:hint="eastAsia" w:ascii="黑体" w:hAnsi="宋体"/>
          <w:b w:val="0"/>
          <w:bCs w:val="0"/>
          <w:color w:val="auto"/>
          <w:sz w:val="21"/>
          <w:szCs w:val="21"/>
          <w:highlight w:val="none"/>
        </w:rPr>
        <w:t>强制采购或者优先采购产品的证明材料</w:t>
      </w:r>
      <w:bookmarkEnd w:id="162"/>
      <w:bookmarkEnd w:id="163"/>
    </w:p>
    <w:p w14:paraId="0A2749A1">
      <w:pPr>
        <w:adjustRightInd w:val="0"/>
        <w:snapToGrid w:val="0"/>
        <w:spacing w:line="360" w:lineRule="auto"/>
        <w:jc w:val="center"/>
        <w:rPr>
          <w:rFonts w:ascii="黑体" w:hAnsi="黑体" w:eastAsia="黑体"/>
          <w:b/>
          <w:color w:val="auto"/>
          <w:sz w:val="28"/>
          <w:szCs w:val="28"/>
          <w:highlight w:val="none"/>
        </w:rPr>
      </w:pPr>
      <w:r>
        <w:rPr>
          <w:rFonts w:hint="eastAsia" w:ascii="黑体" w:hAnsi="黑体" w:eastAsia="黑体"/>
          <w:b/>
          <w:color w:val="auto"/>
          <w:sz w:val="28"/>
          <w:szCs w:val="28"/>
          <w:highlight w:val="none"/>
        </w:rPr>
        <w:t>强制采购或者优先采购产品</w:t>
      </w:r>
      <w:r>
        <w:rPr>
          <w:rFonts w:hint="eastAsia" w:ascii="黑体" w:hAnsi="黑体" w:eastAsia="黑体"/>
          <w:b/>
          <w:bCs/>
          <w:color w:val="auto"/>
          <w:sz w:val="28"/>
          <w:szCs w:val="28"/>
          <w:highlight w:val="none"/>
        </w:rPr>
        <w:t>的</w:t>
      </w:r>
      <w:r>
        <w:rPr>
          <w:rFonts w:hint="eastAsia" w:ascii="黑体" w:hAnsi="黑体" w:eastAsia="黑体"/>
          <w:b/>
          <w:color w:val="auto"/>
          <w:sz w:val="28"/>
          <w:szCs w:val="28"/>
          <w:highlight w:val="none"/>
        </w:rPr>
        <w:t>证明材料</w:t>
      </w:r>
    </w:p>
    <w:p w14:paraId="634B12C5">
      <w:pPr>
        <w:adjustRightInd w:val="0"/>
        <w:snapToGrid w:val="0"/>
        <w:spacing w:line="360" w:lineRule="auto"/>
        <w:jc w:val="center"/>
        <w:rPr>
          <w:rFonts w:ascii="宋体" w:hAnsi="宋体"/>
          <w:b/>
          <w:color w:val="auto"/>
          <w:spacing w:val="6"/>
          <w:szCs w:val="21"/>
          <w:highlight w:val="none"/>
        </w:rPr>
      </w:pPr>
      <w:r>
        <w:rPr>
          <w:rFonts w:hint="eastAsia" w:ascii="宋体" w:hAnsi="宋体"/>
          <w:b/>
          <w:color w:val="auto"/>
          <w:spacing w:val="6"/>
          <w:szCs w:val="21"/>
          <w:highlight w:val="none"/>
        </w:rPr>
        <w:t>(不属于强制采购或者优先采购产品的无需提供)</w:t>
      </w:r>
    </w:p>
    <w:p w14:paraId="5FBEF259">
      <w:pPr>
        <w:adjustRightInd w:val="0"/>
        <w:snapToGrid w:val="0"/>
        <w:spacing w:line="360" w:lineRule="auto"/>
        <w:ind w:firstLine="420" w:firstLineChars="200"/>
        <w:jc w:val="left"/>
        <w:rPr>
          <w:rFonts w:ascii="宋体" w:hAnsi="宋体" w:eastAsia="宋体"/>
          <w:color w:val="auto"/>
          <w:szCs w:val="21"/>
          <w:highlight w:val="none"/>
        </w:rPr>
      </w:pPr>
    </w:p>
    <w:p w14:paraId="63A09095">
      <w:pPr>
        <w:adjustRightInd w:val="0"/>
        <w:snapToGrid w:val="0"/>
        <w:spacing w:line="360" w:lineRule="auto"/>
        <w:ind w:firstLine="420" w:firstLineChars="200"/>
        <w:jc w:val="left"/>
        <w:rPr>
          <w:rFonts w:ascii="宋体" w:hAnsi="宋体" w:eastAsia="宋体"/>
          <w:color w:val="auto"/>
          <w:szCs w:val="21"/>
          <w:highlight w:val="none"/>
        </w:rPr>
      </w:pPr>
      <w:r>
        <w:rPr>
          <w:rFonts w:hint="eastAsia" w:ascii="宋体" w:hAnsi="宋体"/>
          <w:color w:val="auto"/>
          <w:szCs w:val="21"/>
          <w:highlight w:val="none"/>
          <w:lang w:val="en-US" w:eastAsia="zh-CN"/>
        </w:rPr>
        <w:t>注</w:t>
      </w:r>
      <w:r>
        <w:rPr>
          <w:rFonts w:hint="eastAsia" w:ascii="宋体" w:hAnsi="宋体" w:eastAsia="宋体"/>
          <w:color w:val="auto"/>
          <w:szCs w:val="21"/>
          <w:highlight w:val="none"/>
        </w:rPr>
        <w:t>：投标人提供的产品</w:t>
      </w:r>
      <w:r>
        <w:rPr>
          <w:rFonts w:hint="eastAsia" w:ascii="宋体" w:hAnsi="宋体" w:eastAsia="宋体"/>
          <w:bCs/>
          <w:color w:val="auto"/>
          <w:szCs w:val="21"/>
          <w:highlight w:val="none"/>
        </w:rPr>
        <w:t>属于强制采购或者优先采购的</w:t>
      </w:r>
      <w:r>
        <w:rPr>
          <w:rFonts w:hint="eastAsia" w:ascii="宋体" w:hAnsi="宋体" w:eastAsia="宋体"/>
          <w:color w:val="auto"/>
          <w:szCs w:val="21"/>
          <w:highlight w:val="none"/>
        </w:rPr>
        <w:t>，应按第二章第33.6款规定提供证明材料和本章本节附页2“优先采购产品清单”，并加盖投标人单位章。</w:t>
      </w:r>
    </w:p>
    <w:p w14:paraId="74D578BE">
      <w:pPr>
        <w:keepNext/>
        <w:keepLines/>
        <w:widowControl w:val="0"/>
        <w:spacing w:before="280" w:after="290" w:line="376" w:lineRule="auto"/>
        <w:jc w:val="both"/>
        <w:outlineLvl w:val="3"/>
        <w:rPr>
          <w:rFonts w:hint="eastAsia" w:ascii="黑体" w:hAnsi="宋体" w:eastAsia="黑体" w:cs="Times New Roman"/>
          <w:b w:val="0"/>
          <w:bCs w:val="0"/>
          <w:color w:val="auto"/>
          <w:kern w:val="2"/>
          <w:sz w:val="21"/>
          <w:szCs w:val="21"/>
          <w:highlight w:val="none"/>
          <w:lang w:val="en-US" w:eastAsia="zh-CN" w:bidi="ar-SA"/>
        </w:rPr>
        <w:sectPr>
          <w:pgSz w:w="11906" w:h="16838"/>
          <w:pgMar w:top="1440" w:right="1800" w:bottom="1440" w:left="1800" w:header="851" w:footer="992" w:gutter="0"/>
          <w:pgNumType w:fmt="decimal"/>
          <w:cols w:space="720" w:num="1"/>
          <w:docGrid w:type="lines" w:linePitch="312" w:charSpace="0"/>
        </w:sectPr>
      </w:pPr>
      <w:bookmarkStart w:id="164" w:name="_Toc5018"/>
    </w:p>
    <w:p w14:paraId="70BDEC4A">
      <w:pPr>
        <w:keepNext/>
        <w:keepLines/>
        <w:widowControl w:val="0"/>
        <w:spacing w:before="280" w:after="290" w:line="376" w:lineRule="auto"/>
        <w:jc w:val="both"/>
        <w:outlineLvl w:val="3"/>
        <w:rPr>
          <w:rFonts w:hint="eastAsia" w:ascii="黑体" w:hAnsi="宋体" w:eastAsia="黑体" w:cs="Times New Roman"/>
          <w:b w:val="0"/>
          <w:bCs w:val="0"/>
          <w:color w:val="auto"/>
          <w:kern w:val="2"/>
          <w:sz w:val="21"/>
          <w:szCs w:val="21"/>
          <w:highlight w:val="none"/>
          <w:lang w:val="en-US" w:eastAsia="zh-CN" w:bidi="ar-SA"/>
        </w:rPr>
      </w:pPr>
      <w:r>
        <w:rPr>
          <w:rFonts w:hint="eastAsia" w:ascii="黑体" w:hAnsi="宋体" w:eastAsia="黑体" w:cs="Times New Roman"/>
          <w:b w:val="0"/>
          <w:bCs w:val="0"/>
          <w:color w:val="auto"/>
          <w:kern w:val="2"/>
          <w:sz w:val="21"/>
          <w:szCs w:val="21"/>
          <w:highlight w:val="none"/>
          <w:lang w:val="en-US" w:eastAsia="zh-CN" w:bidi="ar-SA"/>
        </w:rPr>
        <w:t>附件10-5 符合本国产品标准的产品</w:t>
      </w:r>
      <w:bookmarkEnd w:id="164"/>
    </w:p>
    <w:p w14:paraId="4D353F17">
      <w:pPr>
        <w:widowControl/>
        <w:jc w:val="center"/>
        <w:rPr>
          <w:rFonts w:hint="eastAsia" w:ascii="宋体" w:hAnsi="宋体" w:eastAsia="宋体" w:cs="宋体"/>
          <w:b/>
          <w:bCs/>
          <w:color w:val="auto"/>
          <w:kern w:val="0"/>
          <w:sz w:val="28"/>
          <w:szCs w:val="28"/>
          <w:highlight w:val="none"/>
          <w:lang w:bidi="ar"/>
        </w:rPr>
      </w:pPr>
      <w:r>
        <w:rPr>
          <w:rFonts w:hint="eastAsia" w:ascii="宋体" w:hAnsi="宋体" w:eastAsia="宋体" w:cs="宋体"/>
          <w:b/>
          <w:bCs/>
          <w:color w:val="auto"/>
          <w:kern w:val="0"/>
          <w:sz w:val="28"/>
          <w:szCs w:val="28"/>
          <w:highlight w:val="none"/>
          <w:lang w:bidi="ar"/>
        </w:rPr>
        <w:t xml:space="preserve">中国境内生产的组件成本核算基本规则 </w:t>
      </w:r>
    </w:p>
    <w:p w14:paraId="062BD8FD">
      <w:pPr>
        <w:adjustRightInd w:val="0"/>
        <w:snapToGrid w:val="0"/>
        <w:spacing w:line="480" w:lineRule="exact"/>
        <w:ind w:firstLine="420" w:firstLineChars="200"/>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产品在中国境内生产的组件成本，一般按照其二级组件的相关成本进行核算。按照产品的一 级组件进行成本核算能够满足中国境内生产的组件成本判定需求的，可以按照一级组件的相关成本进行核算。 </w:t>
      </w:r>
    </w:p>
    <w:p w14:paraId="611201FC">
      <w:pPr>
        <w:adjustRightInd w:val="0"/>
        <w:snapToGrid w:val="0"/>
        <w:spacing w:line="480" w:lineRule="exact"/>
        <w:ind w:firstLine="420" w:firstLineChars="200"/>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一、产品的一级组件是指直接组成产品的组件。产品的二级组件是指直接组成产品一级组件的组件。一级组件不可分解的，视同二级组件。 </w:t>
      </w:r>
    </w:p>
    <w:p w14:paraId="33D76A94">
      <w:pPr>
        <w:adjustRightInd w:val="0"/>
        <w:snapToGrid w:val="0"/>
        <w:spacing w:line="480" w:lineRule="exact"/>
        <w:ind w:firstLine="420" w:firstLineChars="200"/>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二、二级组件在中国境内生产的，其全部成本计入中国境内生产的组件成本；二级组件不在中国境内生产的，其成本不计入中国境内生产的组件成本。 </w:t>
      </w:r>
    </w:p>
    <w:p w14:paraId="58D2FFAC">
      <w:pPr>
        <w:adjustRightInd w:val="0"/>
        <w:snapToGrid w:val="0"/>
        <w:spacing w:line="480" w:lineRule="exact"/>
        <w:ind w:firstLine="420" w:firstLineChars="200"/>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三、产品总成本和组件成本以相关会计核算数据、采购合同、进货记录等为基础进行计算。 </w:t>
      </w:r>
    </w:p>
    <w:p w14:paraId="50E78A34">
      <w:pPr>
        <w:spacing w:line="480" w:lineRule="exact"/>
        <w:ind w:firstLine="420" w:firstLineChars="200"/>
        <w:rPr>
          <w:rFonts w:hint="eastAsia" w:ascii="宋体" w:hAnsi="宋体"/>
          <w:color w:val="auto"/>
          <w:szCs w:val="21"/>
          <w:highlight w:val="none"/>
        </w:rPr>
        <w:sectPr>
          <w:pgSz w:w="11906" w:h="16838"/>
          <w:pgMar w:top="1440" w:right="1800" w:bottom="1440" w:left="1800" w:header="851" w:footer="992" w:gutter="0"/>
          <w:pgNumType w:fmt="decimal"/>
          <w:cols w:space="720" w:num="1"/>
          <w:docGrid w:type="lines" w:linePitch="312" w:charSpace="0"/>
        </w:sectPr>
      </w:pPr>
      <w:r>
        <w:rPr>
          <w:rFonts w:hint="eastAsia" w:ascii="宋体" w:hAnsi="宋体" w:eastAsia="宋体" w:cs="Times New Roman"/>
          <w:color w:val="auto"/>
          <w:szCs w:val="21"/>
          <w:highlight w:val="none"/>
        </w:rPr>
        <w:t>四、需要对成本核算规则予以进一步明确的其他有关事项，由财政部会同有关部门另行规定。</w:t>
      </w:r>
    </w:p>
    <w:p w14:paraId="414A8377">
      <w:pPr>
        <w:widowControl/>
        <w:jc w:val="center"/>
        <w:rPr>
          <w:rFonts w:hint="eastAsia" w:ascii="宋体" w:hAnsi="宋体" w:eastAsia="宋体" w:cs="宋体"/>
          <w:b/>
          <w:bCs/>
          <w:color w:val="auto"/>
          <w:kern w:val="0"/>
          <w:sz w:val="28"/>
          <w:szCs w:val="28"/>
          <w:highlight w:val="none"/>
          <w:lang w:bidi="ar"/>
        </w:rPr>
      </w:pPr>
      <w:r>
        <w:rPr>
          <w:rFonts w:hint="eastAsia" w:ascii="宋体" w:hAnsi="宋体" w:eastAsia="宋体" w:cs="宋体"/>
          <w:b/>
          <w:bCs/>
          <w:color w:val="auto"/>
          <w:kern w:val="0"/>
          <w:sz w:val="28"/>
          <w:szCs w:val="28"/>
          <w:highlight w:val="none"/>
          <w:lang w:bidi="ar"/>
        </w:rPr>
        <w:t xml:space="preserve">关于符合本国产品标准的声明函 </w:t>
      </w:r>
    </w:p>
    <w:p w14:paraId="6E33F72E">
      <w:pPr>
        <w:adjustRightInd w:val="0"/>
        <w:snapToGrid w:val="0"/>
        <w:spacing w:line="480" w:lineRule="exact"/>
        <w:ind w:firstLine="630" w:firstLineChars="300"/>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本公司（单位）郑重声明，根据《国务院办公厅关于在政府采购中实施本国产品标准及相关政策的通知》（国办发〔2025〕34号）的规定，本公司（单位）提供的以下产品属于本国产品。 </w:t>
      </w:r>
    </w:p>
    <w:p w14:paraId="612D04A0">
      <w:pPr>
        <w:adjustRightInd w:val="0"/>
        <w:snapToGrid w:val="0"/>
        <w:spacing w:line="480" w:lineRule="exact"/>
        <w:ind w:firstLine="630" w:firstLineChars="300"/>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具体情况如下： </w:t>
      </w:r>
    </w:p>
    <w:p w14:paraId="79F463C8">
      <w:pPr>
        <w:adjustRightInd w:val="0"/>
        <w:snapToGrid w:val="0"/>
        <w:spacing w:line="480" w:lineRule="exact"/>
        <w:ind w:firstLine="630" w:firstLineChars="300"/>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1.（产品名称 1），生产厂为（厂名），厂址为（生产厂址）。（产品名称 1）的中国境内生产的组件成本占比≥（规定比例）。（产品名称）的（关键组件）在中国境内生产。（产品名称）的（关键工序）在中国境内完成。 </w:t>
      </w:r>
    </w:p>
    <w:p w14:paraId="7F9089C5">
      <w:pPr>
        <w:adjustRightInd w:val="0"/>
        <w:snapToGrid w:val="0"/>
        <w:spacing w:line="480" w:lineRule="exact"/>
        <w:ind w:firstLine="630" w:firstLineChars="300"/>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2.（产品名称 2），生产厂为（厂名），厂址为（生产厂址）。（产品名称 2）的中国境内生产的组件成本占比≥（规定比例）。（产品名称 2）的（关键组件）在中国境内生产。（产品名称 2）的（关键工序）在中国境内完成。 </w:t>
      </w:r>
    </w:p>
    <w:p w14:paraId="4262AA1E">
      <w:pPr>
        <w:adjustRightInd w:val="0"/>
        <w:snapToGrid w:val="0"/>
        <w:spacing w:line="480" w:lineRule="exact"/>
        <w:ind w:firstLine="630" w:firstLineChars="300"/>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 </w:t>
      </w:r>
    </w:p>
    <w:p w14:paraId="640860C8">
      <w:pPr>
        <w:adjustRightInd w:val="0"/>
        <w:snapToGrid w:val="0"/>
        <w:spacing w:line="480" w:lineRule="exact"/>
        <w:ind w:firstLine="630" w:firstLineChars="300"/>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本公司（单位）对上述声明内容的真实性负责。如有虚假，愿承担相应法律责任。 </w:t>
      </w:r>
    </w:p>
    <w:p w14:paraId="4D71D959">
      <w:pPr>
        <w:adjustRightInd w:val="0"/>
        <w:snapToGrid w:val="0"/>
        <w:spacing w:line="480" w:lineRule="exact"/>
        <w:ind w:firstLine="630" w:firstLineChars="300"/>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公司（单位）名称（盖章）： </w:t>
      </w:r>
    </w:p>
    <w:p w14:paraId="3560F139">
      <w:pPr>
        <w:adjustRightInd w:val="0"/>
        <w:snapToGrid w:val="0"/>
        <w:spacing w:line="480" w:lineRule="exact"/>
        <w:ind w:firstLine="630" w:firstLineChars="300"/>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日期： 年 月 日 </w:t>
      </w:r>
    </w:p>
    <w:p w14:paraId="03405166">
      <w:pPr>
        <w:adjustRightInd w:val="0"/>
        <w:snapToGrid w:val="0"/>
        <w:spacing w:line="480" w:lineRule="exact"/>
        <w:ind w:firstLine="630" w:firstLineChars="300"/>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1.产品如有型号，请在“产品名称”栏一并填写。 </w:t>
      </w:r>
    </w:p>
    <w:p w14:paraId="4BCF1F73">
      <w:pPr>
        <w:adjustRightInd w:val="0"/>
        <w:snapToGrid w:val="0"/>
        <w:spacing w:line="480" w:lineRule="exact"/>
        <w:ind w:firstLine="630" w:firstLineChars="300"/>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2.生产厂名与厂址应与生产厂营业执照载明的相关信息保持一致。 </w:t>
      </w:r>
    </w:p>
    <w:p w14:paraId="72C14302">
      <w:pPr>
        <w:adjustRightInd w:val="0"/>
        <w:snapToGrid w:val="0"/>
        <w:spacing w:line="480" w:lineRule="exact"/>
        <w:ind w:firstLine="630" w:firstLineChars="300"/>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3.该产品的中国境内生产的组件成本占比相关要求实施前，“规定比例”栏可不填，下同。 </w:t>
      </w:r>
    </w:p>
    <w:p w14:paraId="2E25A8B4">
      <w:pPr>
        <w:adjustRightInd w:val="0"/>
        <w:snapToGrid w:val="0"/>
        <w:spacing w:line="480" w:lineRule="exact"/>
        <w:ind w:firstLine="630" w:firstLineChars="300"/>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4.该产品的关键组件要求实施前，“关键组件”栏可不填，下同。 </w:t>
      </w:r>
    </w:p>
    <w:p w14:paraId="722065AF">
      <w:pPr>
        <w:adjustRightInd w:val="0"/>
        <w:snapToGrid w:val="0"/>
        <w:spacing w:line="480" w:lineRule="exact"/>
        <w:ind w:firstLine="630" w:firstLineChars="300"/>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5.该产品的关键工序要求实施前，“关键工序”栏可不填，下同。</w:t>
      </w:r>
    </w:p>
    <w:p w14:paraId="7AA45844">
      <w:pPr>
        <w:adjustRightInd w:val="0"/>
        <w:snapToGrid w:val="0"/>
        <w:spacing w:line="360" w:lineRule="auto"/>
        <w:ind w:firstLine="420" w:firstLineChars="200"/>
        <w:jc w:val="left"/>
        <w:rPr>
          <w:rFonts w:ascii="宋体" w:hAnsi="宋体" w:eastAsia="宋体"/>
          <w:color w:val="auto"/>
          <w:szCs w:val="21"/>
          <w:highlight w:val="none"/>
        </w:rPr>
      </w:pPr>
    </w:p>
    <w:p w14:paraId="7204697E">
      <w:pPr>
        <w:adjustRightInd w:val="0"/>
        <w:snapToGrid w:val="0"/>
        <w:spacing w:after="159" w:afterLines="50" w:afterAutospacing="0" w:line="192" w:lineRule="auto"/>
        <w:rPr>
          <w:rFonts w:ascii="黑体" w:hAnsi="宋体" w:eastAsia="黑体"/>
          <w:color w:val="auto"/>
          <w:szCs w:val="21"/>
          <w:highlight w:val="none"/>
        </w:rPr>
      </w:pPr>
      <w:r>
        <w:rPr>
          <w:rFonts w:ascii="黑体" w:hAnsi="宋体" w:eastAsia="黑体"/>
          <w:b/>
          <w:color w:val="auto"/>
          <w:sz w:val="28"/>
          <w:szCs w:val="28"/>
          <w:highlight w:val="none"/>
        </w:rPr>
        <w:br w:type="page"/>
      </w:r>
    </w:p>
    <w:p w14:paraId="05F5103E">
      <w:pPr>
        <w:pStyle w:val="5"/>
        <w:spacing w:before="0" w:beforeAutospacing="0"/>
        <w:jc w:val="left"/>
        <w:rPr>
          <w:rFonts w:ascii="黑体" w:hAnsi="宋体"/>
          <w:b w:val="0"/>
          <w:color w:val="auto"/>
          <w:sz w:val="21"/>
          <w:szCs w:val="21"/>
          <w:highlight w:val="none"/>
        </w:rPr>
      </w:pPr>
      <w:bookmarkStart w:id="165" w:name="_Toc24823"/>
      <w:bookmarkStart w:id="166" w:name="_Toc20939"/>
      <w:r>
        <w:rPr>
          <w:rFonts w:hint="eastAsia" w:ascii="黑体" w:hAnsi="华文中宋" w:cs="宋体"/>
          <w:b w:val="0"/>
          <w:bCs w:val="0"/>
          <w:color w:val="auto"/>
          <w:spacing w:val="6"/>
          <w:kern w:val="0"/>
          <w:sz w:val="21"/>
          <w:szCs w:val="21"/>
          <w:highlight w:val="none"/>
        </w:rPr>
        <w:t xml:space="preserve">附页 1 </w:t>
      </w:r>
      <w:r>
        <w:rPr>
          <w:rFonts w:hint="eastAsia" w:ascii="黑体" w:hAnsi="宋体"/>
          <w:b w:val="0"/>
          <w:color w:val="auto"/>
          <w:sz w:val="21"/>
          <w:szCs w:val="21"/>
          <w:highlight w:val="none"/>
        </w:rPr>
        <w:t>优先采购产品清单</w:t>
      </w:r>
      <w:bookmarkEnd w:id="165"/>
      <w:bookmarkEnd w:id="166"/>
    </w:p>
    <w:p w14:paraId="0681994D">
      <w:pPr>
        <w:adjustRightInd w:val="0"/>
        <w:snapToGrid w:val="0"/>
        <w:spacing w:line="360" w:lineRule="auto"/>
        <w:jc w:val="center"/>
        <w:rPr>
          <w:rFonts w:ascii="宋体" w:hAnsi="宋体"/>
          <w:b/>
          <w:color w:val="auto"/>
          <w:spacing w:val="6"/>
          <w:szCs w:val="21"/>
          <w:highlight w:val="none"/>
        </w:rPr>
      </w:pPr>
      <w:r>
        <w:rPr>
          <w:rFonts w:hint="eastAsia" w:ascii="黑体" w:hAnsi="宋体" w:eastAsia="黑体"/>
          <w:b/>
          <w:color w:val="auto"/>
          <w:sz w:val="28"/>
          <w:szCs w:val="28"/>
          <w:highlight w:val="none"/>
        </w:rPr>
        <w:t>优先采购产品清单</w:t>
      </w:r>
    </w:p>
    <w:p w14:paraId="3E497314">
      <w:pPr>
        <w:adjustRightInd w:val="0"/>
        <w:snapToGrid w:val="0"/>
        <w:spacing w:line="360" w:lineRule="auto"/>
        <w:rPr>
          <w:rFonts w:ascii="宋体" w:hAnsi="宋体" w:eastAsia="宋体"/>
          <w:color w:val="auto"/>
          <w:szCs w:val="21"/>
          <w:highlight w:val="none"/>
        </w:rPr>
      </w:pPr>
      <w:r>
        <w:rPr>
          <w:rFonts w:hint="eastAsia" w:ascii="宋体" w:hAnsi="宋体"/>
          <w:color w:val="auto"/>
          <w:szCs w:val="21"/>
          <w:highlight w:val="none"/>
          <w:lang w:eastAsia="zh-CN"/>
        </w:rPr>
        <w:t>政府采购计划编号</w:t>
      </w:r>
      <w:r>
        <w:rPr>
          <w:rFonts w:hint="eastAsia" w:ascii="宋体" w:hAnsi="宋体" w:eastAsia="宋体"/>
          <w:color w:val="auto"/>
          <w:szCs w:val="21"/>
          <w:highlight w:val="none"/>
        </w:rPr>
        <w:t>：</w:t>
      </w:r>
      <w:r>
        <w:rPr>
          <w:rFonts w:hint="eastAsia" w:ascii="宋体" w:hAnsi="宋体" w:eastAsia="宋体"/>
          <w:color w:val="auto"/>
          <w:szCs w:val="21"/>
          <w:highlight w:val="none"/>
          <w:u w:val="single"/>
        </w:rPr>
        <w:t xml:space="preserve">              </w:t>
      </w:r>
      <w:r>
        <w:rPr>
          <w:rFonts w:hint="eastAsia" w:ascii="宋体" w:hAnsi="宋体" w:eastAsia="宋体"/>
          <w:color w:val="auto"/>
          <w:szCs w:val="21"/>
          <w:highlight w:val="none"/>
        </w:rPr>
        <w:t xml:space="preserve">                     项目名称：</w:t>
      </w:r>
      <w:r>
        <w:rPr>
          <w:rFonts w:hint="eastAsia" w:ascii="宋体" w:hAnsi="宋体" w:eastAsia="宋体"/>
          <w:color w:val="auto"/>
          <w:szCs w:val="21"/>
          <w:highlight w:val="none"/>
          <w:u w:val="single"/>
        </w:rPr>
        <w:t xml:space="preserve">                     </w:t>
      </w:r>
      <w:r>
        <w:rPr>
          <w:rFonts w:hint="eastAsia" w:ascii="宋体" w:hAnsi="宋体" w:eastAsia="宋体"/>
          <w:color w:val="auto"/>
          <w:szCs w:val="21"/>
          <w:highlight w:val="none"/>
        </w:rPr>
        <w:t xml:space="preserve"> </w:t>
      </w:r>
    </w:p>
    <w:p w14:paraId="3A298009">
      <w:pPr>
        <w:adjustRightInd w:val="0"/>
        <w:snapToGrid w:val="0"/>
        <w:spacing w:line="360" w:lineRule="auto"/>
        <w:rPr>
          <w:rFonts w:ascii="宋体" w:hAnsi="宋体" w:eastAsia="宋体"/>
          <w:color w:val="auto"/>
          <w:szCs w:val="21"/>
          <w:highlight w:val="none"/>
        </w:rPr>
      </w:pPr>
      <w:r>
        <w:rPr>
          <w:rFonts w:hint="eastAsia" w:ascii="宋体" w:hAnsi="宋体" w:eastAsia="宋体"/>
          <w:color w:val="auto"/>
          <w:szCs w:val="21"/>
          <w:highlight w:val="none"/>
        </w:rPr>
        <w:t>包       号：</w:t>
      </w:r>
      <w:r>
        <w:rPr>
          <w:rFonts w:hint="eastAsia" w:ascii="宋体" w:hAnsi="宋体" w:eastAsia="宋体"/>
          <w:color w:val="auto"/>
          <w:szCs w:val="21"/>
          <w:highlight w:val="none"/>
          <w:u w:val="single"/>
        </w:rPr>
        <w:t xml:space="preserve">              </w:t>
      </w:r>
      <w:r>
        <w:rPr>
          <w:rFonts w:hint="eastAsia" w:ascii="宋体" w:hAnsi="宋体" w:eastAsia="宋体"/>
          <w:color w:val="auto"/>
          <w:szCs w:val="21"/>
          <w:highlight w:val="none"/>
        </w:rPr>
        <w:t xml:space="preserve">                      包名称：</w:t>
      </w:r>
      <w:r>
        <w:rPr>
          <w:rFonts w:hint="eastAsia" w:ascii="宋体" w:hAnsi="宋体" w:eastAsia="宋体"/>
          <w:color w:val="auto"/>
          <w:szCs w:val="21"/>
          <w:highlight w:val="none"/>
          <w:u w:val="single"/>
        </w:rPr>
        <w:t xml:space="preserve">                      </w:t>
      </w:r>
      <w:r>
        <w:rPr>
          <w:rFonts w:hint="eastAsia" w:ascii="宋体" w:hAnsi="宋体" w:eastAsia="宋体"/>
          <w:color w:val="auto"/>
          <w:szCs w:val="21"/>
          <w:highlight w:val="none"/>
        </w:rPr>
        <w:t xml:space="preserve">  </w:t>
      </w:r>
    </w:p>
    <w:tbl>
      <w:tblPr>
        <w:tblStyle w:val="25"/>
        <w:tblW w:w="0" w:type="auto"/>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67"/>
        <w:gridCol w:w="1729"/>
        <w:gridCol w:w="1127"/>
        <w:gridCol w:w="1410"/>
        <w:gridCol w:w="1972"/>
        <w:gridCol w:w="1835"/>
      </w:tblGrid>
      <w:tr w14:paraId="6551AF8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8740" w:type="dxa"/>
            <w:gridSpan w:val="6"/>
            <w:noWrap w:val="0"/>
            <w:vAlign w:val="center"/>
          </w:tcPr>
          <w:p w14:paraId="4215187F">
            <w:pPr>
              <w:widowControl/>
              <w:adjustRightInd w:val="0"/>
              <w:snapToGrid w:val="0"/>
              <w:spacing w:line="360" w:lineRule="auto"/>
              <w:ind w:firstLine="480" w:firstLineChars="200"/>
              <w:jc w:val="left"/>
              <w:rPr>
                <w:rFonts w:ascii="黑体" w:hAnsi="黑体" w:eastAsia="黑体"/>
                <w:color w:val="auto"/>
                <w:kern w:val="0"/>
                <w:sz w:val="24"/>
                <w:highlight w:val="none"/>
              </w:rPr>
            </w:pPr>
            <w:r>
              <w:rPr>
                <w:rFonts w:hint="eastAsia" w:ascii="黑体" w:hAnsi="宋体" w:eastAsia="黑体"/>
                <w:color w:val="auto"/>
                <w:kern w:val="0"/>
                <w:sz w:val="24"/>
                <w:highlight w:val="none"/>
              </w:rPr>
              <w:t>以下为投标人提供的政府采购优先采购产品，投标人对本表的真实性负责。如有虚假，将依法承担相应责任。</w:t>
            </w:r>
          </w:p>
        </w:tc>
      </w:tr>
      <w:tr w14:paraId="4B08CDC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27" w:hRule="atLeast"/>
        </w:trPr>
        <w:tc>
          <w:tcPr>
            <w:tcW w:w="667" w:type="dxa"/>
            <w:noWrap w:val="0"/>
            <w:vAlign w:val="center"/>
          </w:tcPr>
          <w:p w14:paraId="473A6647">
            <w:pPr>
              <w:widowControl/>
              <w:adjustRightInd w:val="0"/>
              <w:snapToGrid w:val="0"/>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1</w:t>
            </w:r>
          </w:p>
        </w:tc>
        <w:tc>
          <w:tcPr>
            <w:tcW w:w="1729" w:type="dxa"/>
            <w:noWrap w:val="0"/>
            <w:vAlign w:val="center"/>
          </w:tcPr>
          <w:p w14:paraId="3F68DBB0">
            <w:pPr>
              <w:widowControl/>
              <w:adjustRightInd w:val="0"/>
              <w:snapToGrid w:val="0"/>
              <w:spacing w:line="360" w:lineRule="auto"/>
              <w:jc w:val="center"/>
              <w:rPr>
                <w:rFonts w:ascii="宋体" w:hAnsi="宋体" w:eastAsia="宋体"/>
                <w:color w:val="auto"/>
                <w:kern w:val="0"/>
                <w:szCs w:val="21"/>
                <w:highlight w:val="none"/>
              </w:rPr>
            </w:pPr>
            <w:r>
              <w:rPr>
                <w:rFonts w:hint="eastAsia" w:ascii="宋体" w:hAnsi="宋体" w:eastAsia="宋体"/>
                <w:color w:val="auto"/>
                <w:kern w:val="0"/>
                <w:szCs w:val="21"/>
                <w:highlight w:val="none"/>
              </w:rPr>
              <w:t>2</w:t>
            </w:r>
          </w:p>
        </w:tc>
        <w:tc>
          <w:tcPr>
            <w:tcW w:w="1127" w:type="dxa"/>
            <w:tcBorders>
              <w:right w:val="single" w:color="auto" w:sz="4" w:space="0"/>
            </w:tcBorders>
            <w:noWrap w:val="0"/>
            <w:vAlign w:val="center"/>
          </w:tcPr>
          <w:p w14:paraId="42C149B0">
            <w:pPr>
              <w:adjustRightInd w:val="0"/>
              <w:snapToGrid w:val="0"/>
              <w:spacing w:line="360" w:lineRule="auto"/>
              <w:jc w:val="center"/>
              <w:rPr>
                <w:rFonts w:ascii="宋体" w:hAnsi="宋体" w:eastAsia="宋体"/>
                <w:color w:val="auto"/>
                <w:kern w:val="0"/>
                <w:szCs w:val="21"/>
                <w:highlight w:val="none"/>
              </w:rPr>
            </w:pPr>
            <w:r>
              <w:rPr>
                <w:rFonts w:hint="eastAsia" w:ascii="宋体" w:hAnsi="宋体" w:eastAsia="宋体"/>
                <w:color w:val="auto"/>
                <w:kern w:val="0"/>
                <w:szCs w:val="21"/>
                <w:highlight w:val="none"/>
              </w:rPr>
              <w:t>3</w:t>
            </w:r>
          </w:p>
        </w:tc>
        <w:tc>
          <w:tcPr>
            <w:tcW w:w="1410" w:type="dxa"/>
            <w:tcBorders>
              <w:left w:val="single" w:color="auto" w:sz="4" w:space="0"/>
            </w:tcBorders>
            <w:noWrap w:val="0"/>
            <w:vAlign w:val="center"/>
          </w:tcPr>
          <w:p w14:paraId="371E63B9">
            <w:pPr>
              <w:widowControl/>
              <w:adjustRightInd w:val="0"/>
              <w:snapToGrid w:val="0"/>
              <w:spacing w:line="360" w:lineRule="auto"/>
              <w:jc w:val="center"/>
              <w:rPr>
                <w:rFonts w:ascii="宋体" w:hAnsi="宋体" w:eastAsia="宋体"/>
                <w:color w:val="auto"/>
                <w:kern w:val="0"/>
                <w:szCs w:val="21"/>
                <w:highlight w:val="none"/>
              </w:rPr>
            </w:pPr>
            <w:r>
              <w:rPr>
                <w:rFonts w:hint="eastAsia" w:ascii="宋体" w:hAnsi="宋体" w:eastAsia="宋体"/>
                <w:color w:val="auto"/>
                <w:kern w:val="0"/>
                <w:szCs w:val="21"/>
                <w:highlight w:val="none"/>
              </w:rPr>
              <w:t>4</w:t>
            </w:r>
          </w:p>
        </w:tc>
        <w:tc>
          <w:tcPr>
            <w:tcW w:w="1972" w:type="dxa"/>
            <w:noWrap w:val="0"/>
            <w:vAlign w:val="center"/>
          </w:tcPr>
          <w:p w14:paraId="65285B9D">
            <w:pPr>
              <w:widowControl/>
              <w:adjustRightInd w:val="0"/>
              <w:snapToGrid w:val="0"/>
              <w:spacing w:line="360" w:lineRule="auto"/>
              <w:jc w:val="center"/>
              <w:rPr>
                <w:rFonts w:ascii="宋体" w:hAnsi="宋体" w:eastAsia="宋体"/>
                <w:color w:val="auto"/>
                <w:kern w:val="0"/>
                <w:szCs w:val="21"/>
                <w:highlight w:val="none"/>
              </w:rPr>
            </w:pPr>
            <w:r>
              <w:rPr>
                <w:rFonts w:hint="eastAsia" w:ascii="宋体" w:hAnsi="宋体" w:eastAsia="宋体"/>
                <w:color w:val="auto"/>
                <w:kern w:val="0"/>
                <w:szCs w:val="21"/>
                <w:highlight w:val="none"/>
              </w:rPr>
              <w:t>5</w:t>
            </w:r>
          </w:p>
        </w:tc>
        <w:tc>
          <w:tcPr>
            <w:tcW w:w="1835" w:type="dxa"/>
            <w:noWrap w:val="0"/>
            <w:vAlign w:val="center"/>
          </w:tcPr>
          <w:p w14:paraId="000EF6BF">
            <w:pPr>
              <w:widowControl/>
              <w:adjustRightInd w:val="0"/>
              <w:snapToGrid w:val="0"/>
              <w:spacing w:line="360" w:lineRule="auto"/>
              <w:jc w:val="center"/>
              <w:rPr>
                <w:rFonts w:ascii="宋体" w:hAnsi="宋体" w:eastAsia="宋体"/>
                <w:color w:val="auto"/>
                <w:kern w:val="0"/>
                <w:szCs w:val="21"/>
                <w:highlight w:val="none"/>
              </w:rPr>
            </w:pPr>
            <w:r>
              <w:rPr>
                <w:rFonts w:hint="eastAsia" w:ascii="宋体" w:hAnsi="宋体" w:eastAsia="宋体"/>
                <w:color w:val="auto"/>
                <w:kern w:val="0"/>
                <w:szCs w:val="21"/>
                <w:highlight w:val="none"/>
              </w:rPr>
              <w:t>6</w:t>
            </w:r>
          </w:p>
        </w:tc>
      </w:tr>
      <w:tr w14:paraId="71EF3C9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2" w:hRule="atLeast"/>
        </w:trPr>
        <w:tc>
          <w:tcPr>
            <w:tcW w:w="667" w:type="dxa"/>
            <w:noWrap w:val="0"/>
            <w:vAlign w:val="center"/>
          </w:tcPr>
          <w:p w14:paraId="0CB79EF6">
            <w:pPr>
              <w:widowControl/>
              <w:adjustRightInd w:val="0"/>
              <w:snapToGrid w:val="0"/>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序号</w:t>
            </w:r>
          </w:p>
        </w:tc>
        <w:tc>
          <w:tcPr>
            <w:tcW w:w="1729" w:type="dxa"/>
            <w:noWrap w:val="0"/>
            <w:vAlign w:val="center"/>
          </w:tcPr>
          <w:p w14:paraId="192D0E40">
            <w:pPr>
              <w:widowControl/>
              <w:adjustRightInd w:val="0"/>
              <w:snapToGrid w:val="0"/>
              <w:spacing w:line="360" w:lineRule="auto"/>
              <w:jc w:val="center"/>
              <w:rPr>
                <w:rFonts w:ascii="宋体" w:hAnsi="宋体" w:eastAsia="宋体"/>
                <w:color w:val="auto"/>
                <w:kern w:val="0"/>
                <w:szCs w:val="21"/>
                <w:highlight w:val="none"/>
              </w:rPr>
            </w:pPr>
            <w:r>
              <w:rPr>
                <w:rFonts w:hint="eastAsia" w:ascii="宋体" w:hAnsi="宋体" w:eastAsia="宋体"/>
                <w:color w:val="auto"/>
                <w:kern w:val="0"/>
                <w:szCs w:val="21"/>
                <w:highlight w:val="none"/>
              </w:rPr>
              <w:t>货物名称</w:t>
            </w:r>
          </w:p>
        </w:tc>
        <w:tc>
          <w:tcPr>
            <w:tcW w:w="1127" w:type="dxa"/>
            <w:tcBorders>
              <w:right w:val="single" w:color="auto" w:sz="4" w:space="0"/>
            </w:tcBorders>
            <w:noWrap w:val="0"/>
            <w:vAlign w:val="center"/>
          </w:tcPr>
          <w:p w14:paraId="51DA84CB">
            <w:pPr>
              <w:widowControl/>
              <w:adjustRightInd w:val="0"/>
              <w:snapToGrid w:val="0"/>
              <w:spacing w:line="360" w:lineRule="auto"/>
              <w:jc w:val="center"/>
              <w:rPr>
                <w:rFonts w:ascii="宋体" w:hAnsi="宋体" w:eastAsia="宋体"/>
                <w:color w:val="auto"/>
                <w:kern w:val="0"/>
                <w:szCs w:val="21"/>
                <w:highlight w:val="none"/>
              </w:rPr>
            </w:pPr>
            <w:r>
              <w:rPr>
                <w:rFonts w:hint="eastAsia" w:ascii="宋体" w:hAnsi="宋体" w:eastAsia="宋体"/>
                <w:color w:val="auto"/>
                <w:kern w:val="0"/>
                <w:szCs w:val="21"/>
                <w:highlight w:val="none"/>
              </w:rPr>
              <w:t>规格型号</w:t>
            </w:r>
          </w:p>
        </w:tc>
        <w:tc>
          <w:tcPr>
            <w:tcW w:w="1410" w:type="dxa"/>
            <w:tcBorders>
              <w:left w:val="single" w:color="auto" w:sz="4" w:space="0"/>
            </w:tcBorders>
            <w:noWrap w:val="0"/>
            <w:vAlign w:val="center"/>
          </w:tcPr>
          <w:p w14:paraId="1AFC7E60">
            <w:pPr>
              <w:adjustRightInd w:val="0"/>
              <w:snapToGrid w:val="0"/>
              <w:spacing w:line="360" w:lineRule="auto"/>
              <w:jc w:val="center"/>
              <w:rPr>
                <w:rFonts w:ascii="宋体" w:hAnsi="宋体" w:eastAsia="宋体"/>
                <w:color w:val="auto"/>
                <w:kern w:val="0"/>
                <w:szCs w:val="21"/>
                <w:highlight w:val="none"/>
              </w:rPr>
            </w:pPr>
            <w:r>
              <w:rPr>
                <w:rFonts w:hint="eastAsia" w:ascii="宋体" w:hAnsi="宋体" w:eastAsia="宋体"/>
                <w:color w:val="auto"/>
                <w:kern w:val="0"/>
                <w:szCs w:val="21"/>
                <w:highlight w:val="none"/>
              </w:rPr>
              <w:t>价格（元）</w:t>
            </w:r>
          </w:p>
        </w:tc>
        <w:tc>
          <w:tcPr>
            <w:tcW w:w="1972" w:type="dxa"/>
            <w:noWrap w:val="0"/>
            <w:vAlign w:val="center"/>
          </w:tcPr>
          <w:p w14:paraId="686DA276">
            <w:pPr>
              <w:widowControl/>
              <w:adjustRightInd w:val="0"/>
              <w:snapToGrid w:val="0"/>
              <w:spacing w:line="360" w:lineRule="auto"/>
              <w:jc w:val="center"/>
              <w:rPr>
                <w:rFonts w:ascii="宋体" w:hAnsi="宋体" w:eastAsia="宋体"/>
                <w:color w:val="auto"/>
                <w:kern w:val="0"/>
                <w:szCs w:val="21"/>
                <w:highlight w:val="none"/>
              </w:rPr>
            </w:pPr>
            <w:r>
              <w:rPr>
                <w:rFonts w:hint="eastAsia" w:ascii="宋体" w:hAnsi="宋体" w:eastAsia="宋体"/>
                <w:color w:val="auto"/>
                <w:kern w:val="0"/>
                <w:szCs w:val="21"/>
                <w:highlight w:val="none"/>
              </w:rPr>
              <w:t>货物制造商名称</w:t>
            </w:r>
          </w:p>
        </w:tc>
        <w:tc>
          <w:tcPr>
            <w:tcW w:w="1835" w:type="dxa"/>
            <w:noWrap w:val="0"/>
            <w:vAlign w:val="center"/>
          </w:tcPr>
          <w:p w14:paraId="2BE837E6">
            <w:pPr>
              <w:widowControl/>
              <w:adjustRightInd w:val="0"/>
              <w:snapToGrid w:val="0"/>
              <w:spacing w:line="360" w:lineRule="auto"/>
              <w:jc w:val="center"/>
              <w:rPr>
                <w:rFonts w:ascii="宋体" w:hAnsi="宋体" w:eastAsia="宋体"/>
                <w:color w:val="auto"/>
                <w:kern w:val="0"/>
                <w:szCs w:val="21"/>
                <w:highlight w:val="none"/>
              </w:rPr>
            </w:pPr>
            <w:r>
              <w:rPr>
                <w:rFonts w:hint="eastAsia" w:ascii="宋体" w:hAnsi="宋体" w:eastAsia="宋体"/>
                <w:color w:val="auto"/>
                <w:kern w:val="0"/>
                <w:szCs w:val="21"/>
                <w:highlight w:val="none"/>
              </w:rPr>
              <w:t>政策功能编码</w:t>
            </w:r>
          </w:p>
        </w:tc>
      </w:tr>
      <w:tr w14:paraId="3C0BB38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66" w:hRule="atLeast"/>
        </w:trPr>
        <w:tc>
          <w:tcPr>
            <w:tcW w:w="8740" w:type="dxa"/>
            <w:gridSpan w:val="6"/>
            <w:noWrap w:val="0"/>
            <w:vAlign w:val="center"/>
          </w:tcPr>
          <w:p w14:paraId="735FAAE7">
            <w:pPr>
              <w:adjustRightInd w:val="0"/>
              <w:snapToGrid w:val="0"/>
              <w:spacing w:line="360" w:lineRule="auto"/>
              <w:jc w:val="left"/>
              <w:rPr>
                <w:rFonts w:ascii="宋体" w:hAnsi="宋体" w:eastAsia="宋体"/>
                <w:b/>
                <w:color w:val="auto"/>
                <w:szCs w:val="21"/>
                <w:highlight w:val="none"/>
              </w:rPr>
            </w:pPr>
            <w:r>
              <w:rPr>
                <w:rFonts w:hint="eastAsia" w:ascii="宋体" w:hAnsi="宋体" w:eastAsia="宋体"/>
                <w:b/>
                <w:color w:val="auto"/>
                <w:szCs w:val="21"/>
                <w:highlight w:val="none"/>
              </w:rPr>
              <w:t>节能产品</w:t>
            </w:r>
          </w:p>
        </w:tc>
      </w:tr>
      <w:tr w14:paraId="621366E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66" w:hRule="atLeast"/>
        </w:trPr>
        <w:tc>
          <w:tcPr>
            <w:tcW w:w="667" w:type="dxa"/>
            <w:noWrap w:val="0"/>
            <w:vAlign w:val="center"/>
          </w:tcPr>
          <w:p w14:paraId="4683288C">
            <w:pPr>
              <w:adjustRightInd w:val="0"/>
              <w:snapToGrid w:val="0"/>
              <w:spacing w:line="360" w:lineRule="auto"/>
              <w:jc w:val="center"/>
              <w:rPr>
                <w:rFonts w:ascii="宋体" w:hAnsi="宋体"/>
                <w:b/>
                <w:color w:val="auto"/>
                <w:szCs w:val="21"/>
                <w:highlight w:val="none"/>
              </w:rPr>
            </w:pPr>
          </w:p>
        </w:tc>
        <w:tc>
          <w:tcPr>
            <w:tcW w:w="1729" w:type="dxa"/>
            <w:noWrap w:val="0"/>
            <w:vAlign w:val="center"/>
          </w:tcPr>
          <w:p w14:paraId="385D5DD3">
            <w:pPr>
              <w:adjustRightInd w:val="0"/>
              <w:snapToGrid w:val="0"/>
              <w:spacing w:line="360" w:lineRule="auto"/>
              <w:jc w:val="center"/>
              <w:rPr>
                <w:rFonts w:ascii="宋体" w:hAnsi="宋体" w:eastAsia="宋体"/>
                <w:b/>
                <w:color w:val="auto"/>
                <w:szCs w:val="21"/>
                <w:highlight w:val="none"/>
              </w:rPr>
            </w:pPr>
          </w:p>
        </w:tc>
        <w:tc>
          <w:tcPr>
            <w:tcW w:w="1127" w:type="dxa"/>
            <w:tcBorders>
              <w:right w:val="single" w:color="auto" w:sz="4" w:space="0"/>
            </w:tcBorders>
            <w:noWrap w:val="0"/>
            <w:vAlign w:val="center"/>
          </w:tcPr>
          <w:p w14:paraId="0C31BF84">
            <w:pPr>
              <w:adjustRightInd w:val="0"/>
              <w:snapToGrid w:val="0"/>
              <w:spacing w:line="360" w:lineRule="auto"/>
              <w:jc w:val="left"/>
              <w:rPr>
                <w:rFonts w:ascii="宋体" w:hAnsi="宋体" w:eastAsia="宋体"/>
                <w:b/>
                <w:color w:val="auto"/>
                <w:szCs w:val="21"/>
                <w:highlight w:val="none"/>
              </w:rPr>
            </w:pPr>
          </w:p>
        </w:tc>
        <w:tc>
          <w:tcPr>
            <w:tcW w:w="1410" w:type="dxa"/>
            <w:tcBorders>
              <w:left w:val="single" w:color="auto" w:sz="4" w:space="0"/>
            </w:tcBorders>
            <w:noWrap w:val="0"/>
            <w:vAlign w:val="center"/>
          </w:tcPr>
          <w:p w14:paraId="49E12195">
            <w:pPr>
              <w:adjustRightInd w:val="0"/>
              <w:snapToGrid w:val="0"/>
              <w:spacing w:line="360" w:lineRule="auto"/>
              <w:jc w:val="left"/>
              <w:rPr>
                <w:rFonts w:ascii="宋体" w:hAnsi="宋体" w:eastAsia="宋体"/>
                <w:b/>
                <w:color w:val="auto"/>
                <w:szCs w:val="21"/>
                <w:highlight w:val="none"/>
              </w:rPr>
            </w:pPr>
          </w:p>
        </w:tc>
        <w:tc>
          <w:tcPr>
            <w:tcW w:w="1972" w:type="dxa"/>
            <w:noWrap w:val="0"/>
            <w:vAlign w:val="center"/>
          </w:tcPr>
          <w:p w14:paraId="546C1295">
            <w:pPr>
              <w:adjustRightInd w:val="0"/>
              <w:snapToGrid w:val="0"/>
              <w:spacing w:line="360" w:lineRule="auto"/>
              <w:jc w:val="center"/>
              <w:rPr>
                <w:rFonts w:ascii="宋体" w:hAnsi="宋体" w:eastAsia="宋体"/>
                <w:b/>
                <w:color w:val="auto"/>
                <w:szCs w:val="21"/>
                <w:highlight w:val="none"/>
              </w:rPr>
            </w:pPr>
          </w:p>
        </w:tc>
        <w:tc>
          <w:tcPr>
            <w:tcW w:w="1835" w:type="dxa"/>
            <w:noWrap w:val="0"/>
            <w:vAlign w:val="top"/>
          </w:tcPr>
          <w:p w14:paraId="2D7547F8">
            <w:pPr>
              <w:adjustRightInd w:val="0"/>
              <w:snapToGrid w:val="0"/>
              <w:spacing w:line="360" w:lineRule="auto"/>
              <w:jc w:val="center"/>
              <w:rPr>
                <w:rFonts w:ascii="宋体" w:hAnsi="宋体" w:eastAsia="宋体"/>
                <w:b/>
                <w:color w:val="auto"/>
                <w:szCs w:val="21"/>
                <w:highlight w:val="none"/>
              </w:rPr>
            </w:pPr>
          </w:p>
        </w:tc>
      </w:tr>
      <w:tr w14:paraId="7F6A82E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66" w:hRule="atLeast"/>
        </w:trPr>
        <w:tc>
          <w:tcPr>
            <w:tcW w:w="667" w:type="dxa"/>
            <w:noWrap w:val="0"/>
            <w:vAlign w:val="center"/>
          </w:tcPr>
          <w:p w14:paraId="5E904F28">
            <w:pPr>
              <w:adjustRightInd w:val="0"/>
              <w:snapToGrid w:val="0"/>
              <w:spacing w:line="360" w:lineRule="auto"/>
              <w:jc w:val="center"/>
              <w:rPr>
                <w:rFonts w:ascii="宋体" w:hAnsi="宋体"/>
                <w:color w:val="auto"/>
                <w:szCs w:val="21"/>
                <w:highlight w:val="none"/>
              </w:rPr>
            </w:pPr>
            <w:r>
              <w:rPr>
                <w:rFonts w:hint="eastAsia" w:ascii="宋体" w:hAnsi="宋体"/>
                <w:color w:val="auto"/>
                <w:szCs w:val="21"/>
                <w:highlight w:val="none"/>
              </w:rPr>
              <w:t>小计</w:t>
            </w:r>
          </w:p>
        </w:tc>
        <w:tc>
          <w:tcPr>
            <w:tcW w:w="1729" w:type="dxa"/>
            <w:noWrap w:val="0"/>
            <w:vAlign w:val="center"/>
          </w:tcPr>
          <w:p w14:paraId="17797028">
            <w:pPr>
              <w:adjustRightInd w:val="0"/>
              <w:snapToGrid w:val="0"/>
              <w:spacing w:line="360" w:lineRule="auto"/>
              <w:jc w:val="center"/>
              <w:rPr>
                <w:rFonts w:ascii="宋体" w:hAnsi="宋体" w:eastAsia="宋体"/>
                <w:b/>
                <w:color w:val="auto"/>
                <w:szCs w:val="21"/>
                <w:highlight w:val="none"/>
              </w:rPr>
            </w:pPr>
            <w:r>
              <w:rPr>
                <w:rFonts w:hint="eastAsia" w:ascii="宋体" w:hAnsi="宋体" w:eastAsia="宋体"/>
                <w:b/>
                <w:color w:val="auto"/>
                <w:szCs w:val="21"/>
                <w:highlight w:val="none"/>
              </w:rPr>
              <w:t>/</w:t>
            </w:r>
          </w:p>
        </w:tc>
        <w:tc>
          <w:tcPr>
            <w:tcW w:w="1127" w:type="dxa"/>
            <w:tcBorders>
              <w:right w:val="single" w:color="auto" w:sz="4" w:space="0"/>
            </w:tcBorders>
            <w:noWrap w:val="0"/>
            <w:vAlign w:val="center"/>
          </w:tcPr>
          <w:p w14:paraId="2DDB4B6A">
            <w:pPr>
              <w:adjustRightInd w:val="0"/>
              <w:snapToGrid w:val="0"/>
              <w:spacing w:line="360" w:lineRule="auto"/>
              <w:jc w:val="left"/>
              <w:rPr>
                <w:rFonts w:ascii="宋体" w:hAnsi="宋体" w:eastAsia="宋体"/>
                <w:b/>
                <w:color w:val="auto"/>
                <w:szCs w:val="21"/>
                <w:highlight w:val="none"/>
              </w:rPr>
            </w:pPr>
          </w:p>
        </w:tc>
        <w:tc>
          <w:tcPr>
            <w:tcW w:w="1410" w:type="dxa"/>
            <w:tcBorders>
              <w:left w:val="single" w:color="auto" w:sz="4" w:space="0"/>
            </w:tcBorders>
            <w:noWrap w:val="0"/>
            <w:vAlign w:val="center"/>
          </w:tcPr>
          <w:p w14:paraId="1EF2EE73">
            <w:pPr>
              <w:adjustRightInd w:val="0"/>
              <w:snapToGrid w:val="0"/>
              <w:spacing w:line="360" w:lineRule="auto"/>
              <w:jc w:val="left"/>
              <w:rPr>
                <w:rFonts w:ascii="宋体" w:hAnsi="宋体" w:eastAsia="宋体"/>
                <w:b/>
                <w:color w:val="auto"/>
                <w:szCs w:val="21"/>
                <w:highlight w:val="none"/>
              </w:rPr>
            </w:pPr>
          </w:p>
        </w:tc>
        <w:tc>
          <w:tcPr>
            <w:tcW w:w="1972" w:type="dxa"/>
            <w:noWrap w:val="0"/>
            <w:vAlign w:val="center"/>
          </w:tcPr>
          <w:p w14:paraId="2585EE35">
            <w:pPr>
              <w:adjustRightInd w:val="0"/>
              <w:snapToGrid w:val="0"/>
              <w:spacing w:line="360" w:lineRule="auto"/>
              <w:jc w:val="center"/>
              <w:rPr>
                <w:rFonts w:ascii="宋体" w:hAnsi="宋体" w:eastAsia="宋体"/>
                <w:b/>
                <w:color w:val="auto"/>
                <w:szCs w:val="21"/>
                <w:highlight w:val="none"/>
              </w:rPr>
            </w:pPr>
            <w:r>
              <w:rPr>
                <w:rFonts w:hint="eastAsia" w:ascii="宋体" w:hAnsi="宋体" w:eastAsia="宋体"/>
                <w:b/>
                <w:color w:val="auto"/>
                <w:szCs w:val="21"/>
                <w:highlight w:val="none"/>
              </w:rPr>
              <w:t>/</w:t>
            </w:r>
          </w:p>
        </w:tc>
        <w:tc>
          <w:tcPr>
            <w:tcW w:w="1835" w:type="dxa"/>
            <w:noWrap w:val="0"/>
            <w:vAlign w:val="top"/>
          </w:tcPr>
          <w:p w14:paraId="00BFB2CC">
            <w:pPr>
              <w:adjustRightInd w:val="0"/>
              <w:snapToGrid w:val="0"/>
              <w:spacing w:line="360" w:lineRule="auto"/>
              <w:jc w:val="center"/>
              <w:rPr>
                <w:rFonts w:ascii="宋体" w:hAnsi="宋体" w:eastAsia="宋体"/>
                <w:b/>
                <w:color w:val="auto"/>
                <w:szCs w:val="21"/>
                <w:highlight w:val="none"/>
              </w:rPr>
            </w:pPr>
            <w:r>
              <w:rPr>
                <w:rFonts w:hint="eastAsia" w:ascii="宋体" w:hAnsi="宋体" w:eastAsia="宋体"/>
                <w:b/>
                <w:color w:val="auto"/>
                <w:szCs w:val="21"/>
                <w:highlight w:val="none"/>
              </w:rPr>
              <w:t>/</w:t>
            </w:r>
          </w:p>
        </w:tc>
      </w:tr>
      <w:tr w14:paraId="7ECD865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66" w:hRule="atLeast"/>
        </w:trPr>
        <w:tc>
          <w:tcPr>
            <w:tcW w:w="8740" w:type="dxa"/>
            <w:gridSpan w:val="6"/>
            <w:noWrap w:val="0"/>
            <w:vAlign w:val="center"/>
          </w:tcPr>
          <w:p w14:paraId="39F9A74E">
            <w:pPr>
              <w:adjustRightInd w:val="0"/>
              <w:snapToGrid w:val="0"/>
              <w:spacing w:line="360" w:lineRule="auto"/>
              <w:jc w:val="left"/>
              <w:rPr>
                <w:rFonts w:ascii="宋体" w:hAnsi="宋体" w:eastAsia="宋体"/>
                <w:b/>
                <w:color w:val="auto"/>
                <w:szCs w:val="21"/>
                <w:highlight w:val="none"/>
              </w:rPr>
            </w:pPr>
            <w:r>
              <w:rPr>
                <w:rFonts w:hint="eastAsia" w:ascii="宋体" w:hAnsi="宋体" w:eastAsia="宋体"/>
                <w:b/>
                <w:color w:val="auto"/>
                <w:szCs w:val="21"/>
                <w:highlight w:val="none"/>
              </w:rPr>
              <w:t>环境标志产品</w:t>
            </w:r>
          </w:p>
        </w:tc>
      </w:tr>
      <w:tr w14:paraId="3A346A0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66" w:hRule="atLeast"/>
        </w:trPr>
        <w:tc>
          <w:tcPr>
            <w:tcW w:w="667" w:type="dxa"/>
            <w:noWrap w:val="0"/>
            <w:vAlign w:val="center"/>
          </w:tcPr>
          <w:p w14:paraId="389E252A">
            <w:pPr>
              <w:adjustRightInd w:val="0"/>
              <w:snapToGrid w:val="0"/>
              <w:spacing w:line="360" w:lineRule="auto"/>
              <w:jc w:val="center"/>
              <w:rPr>
                <w:rFonts w:ascii="宋体" w:hAnsi="宋体"/>
                <w:b/>
                <w:color w:val="auto"/>
                <w:szCs w:val="21"/>
                <w:highlight w:val="none"/>
              </w:rPr>
            </w:pPr>
          </w:p>
        </w:tc>
        <w:tc>
          <w:tcPr>
            <w:tcW w:w="1729" w:type="dxa"/>
            <w:noWrap w:val="0"/>
            <w:vAlign w:val="center"/>
          </w:tcPr>
          <w:p w14:paraId="509668B0">
            <w:pPr>
              <w:adjustRightInd w:val="0"/>
              <w:snapToGrid w:val="0"/>
              <w:spacing w:line="360" w:lineRule="auto"/>
              <w:jc w:val="center"/>
              <w:rPr>
                <w:rFonts w:ascii="宋体" w:hAnsi="宋体" w:eastAsia="宋体"/>
                <w:b/>
                <w:color w:val="auto"/>
                <w:szCs w:val="21"/>
                <w:highlight w:val="none"/>
              </w:rPr>
            </w:pPr>
          </w:p>
        </w:tc>
        <w:tc>
          <w:tcPr>
            <w:tcW w:w="1127" w:type="dxa"/>
            <w:tcBorders>
              <w:right w:val="single" w:color="auto" w:sz="4" w:space="0"/>
            </w:tcBorders>
            <w:noWrap w:val="0"/>
            <w:vAlign w:val="center"/>
          </w:tcPr>
          <w:p w14:paraId="1C9B6AB2">
            <w:pPr>
              <w:adjustRightInd w:val="0"/>
              <w:snapToGrid w:val="0"/>
              <w:spacing w:line="360" w:lineRule="auto"/>
              <w:jc w:val="left"/>
              <w:rPr>
                <w:rFonts w:ascii="宋体" w:hAnsi="宋体" w:eastAsia="宋体"/>
                <w:b/>
                <w:color w:val="auto"/>
                <w:szCs w:val="21"/>
                <w:highlight w:val="none"/>
              </w:rPr>
            </w:pPr>
          </w:p>
        </w:tc>
        <w:tc>
          <w:tcPr>
            <w:tcW w:w="1410" w:type="dxa"/>
            <w:tcBorders>
              <w:left w:val="single" w:color="auto" w:sz="4" w:space="0"/>
            </w:tcBorders>
            <w:noWrap w:val="0"/>
            <w:vAlign w:val="center"/>
          </w:tcPr>
          <w:p w14:paraId="54B0A6D7">
            <w:pPr>
              <w:adjustRightInd w:val="0"/>
              <w:snapToGrid w:val="0"/>
              <w:spacing w:line="360" w:lineRule="auto"/>
              <w:jc w:val="left"/>
              <w:rPr>
                <w:rFonts w:ascii="宋体" w:hAnsi="宋体" w:eastAsia="宋体"/>
                <w:b/>
                <w:color w:val="auto"/>
                <w:szCs w:val="21"/>
                <w:highlight w:val="none"/>
              </w:rPr>
            </w:pPr>
          </w:p>
        </w:tc>
        <w:tc>
          <w:tcPr>
            <w:tcW w:w="1972" w:type="dxa"/>
            <w:noWrap w:val="0"/>
            <w:vAlign w:val="center"/>
          </w:tcPr>
          <w:p w14:paraId="074AA5CF">
            <w:pPr>
              <w:adjustRightInd w:val="0"/>
              <w:snapToGrid w:val="0"/>
              <w:spacing w:line="360" w:lineRule="auto"/>
              <w:jc w:val="center"/>
              <w:rPr>
                <w:rFonts w:ascii="宋体" w:hAnsi="宋体" w:eastAsia="宋体"/>
                <w:b/>
                <w:color w:val="auto"/>
                <w:szCs w:val="21"/>
                <w:highlight w:val="none"/>
              </w:rPr>
            </w:pPr>
          </w:p>
        </w:tc>
        <w:tc>
          <w:tcPr>
            <w:tcW w:w="1835" w:type="dxa"/>
            <w:noWrap w:val="0"/>
            <w:vAlign w:val="top"/>
          </w:tcPr>
          <w:p w14:paraId="4D2BA5F9">
            <w:pPr>
              <w:adjustRightInd w:val="0"/>
              <w:snapToGrid w:val="0"/>
              <w:spacing w:line="360" w:lineRule="auto"/>
              <w:jc w:val="center"/>
              <w:rPr>
                <w:rFonts w:ascii="宋体" w:hAnsi="宋体" w:eastAsia="宋体"/>
                <w:b/>
                <w:color w:val="auto"/>
                <w:szCs w:val="21"/>
                <w:highlight w:val="none"/>
              </w:rPr>
            </w:pPr>
          </w:p>
        </w:tc>
      </w:tr>
      <w:tr w14:paraId="3EE3B1B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66" w:hRule="atLeast"/>
        </w:trPr>
        <w:tc>
          <w:tcPr>
            <w:tcW w:w="667" w:type="dxa"/>
            <w:noWrap w:val="0"/>
            <w:vAlign w:val="center"/>
          </w:tcPr>
          <w:p w14:paraId="6C5CFBE0">
            <w:pPr>
              <w:adjustRightInd w:val="0"/>
              <w:snapToGrid w:val="0"/>
              <w:spacing w:line="360" w:lineRule="auto"/>
              <w:jc w:val="center"/>
              <w:rPr>
                <w:rFonts w:ascii="宋体" w:hAnsi="宋体"/>
                <w:color w:val="auto"/>
                <w:szCs w:val="21"/>
                <w:highlight w:val="none"/>
              </w:rPr>
            </w:pPr>
            <w:r>
              <w:rPr>
                <w:rFonts w:hint="eastAsia" w:ascii="宋体" w:hAnsi="宋体"/>
                <w:color w:val="auto"/>
                <w:szCs w:val="21"/>
                <w:highlight w:val="none"/>
              </w:rPr>
              <w:t>小计</w:t>
            </w:r>
          </w:p>
        </w:tc>
        <w:tc>
          <w:tcPr>
            <w:tcW w:w="1729" w:type="dxa"/>
            <w:noWrap w:val="0"/>
            <w:vAlign w:val="center"/>
          </w:tcPr>
          <w:p w14:paraId="081A4A07">
            <w:pPr>
              <w:adjustRightInd w:val="0"/>
              <w:snapToGrid w:val="0"/>
              <w:spacing w:line="360" w:lineRule="auto"/>
              <w:jc w:val="center"/>
              <w:rPr>
                <w:rFonts w:ascii="宋体" w:hAnsi="宋体" w:eastAsia="宋体"/>
                <w:b/>
                <w:color w:val="auto"/>
                <w:szCs w:val="21"/>
                <w:highlight w:val="none"/>
              </w:rPr>
            </w:pPr>
            <w:r>
              <w:rPr>
                <w:rFonts w:hint="eastAsia" w:ascii="宋体" w:hAnsi="宋体" w:eastAsia="宋体"/>
                <w:b/>
                <w:color w:val="auto"/>
                <w:szCs w:val="21"/>
                <w:highlight w:val="none"/>
              </w:rPr>
              <w:t>/</w:t>
            </w:r>
          </w:p>
        </w:tc>
        <w:tc>
          <w:tcPr>
            <w:tcW w:w="1127" w:type="dxa"/>
            <w:tcBorders>
              <w:right w:val="single" w:color="auto" w:sz="4" w:space="0"/>
            </w:tcBorders>
            <w:noWrap w:val="0"/>
            <w:vAlign w:val="center"/>
          </w:tcPr>
          <w:p w14:paraId="79AB5192">
            <w:pPr>
              <w:adjustRightInd w:val="0"/>
              <w:snapToGrid w:val="0"/>
              <w:spacing w:line="360" w:lineRule="auto"/>
              <w:jc w:val="left"/>
              <w:rPr>
                <w:rFonts w:ascii="宋体" w:hAnsi="宋体" w:eastAsia="宋体"/>
                <w:b/>
                <w:color w:val="auto"/>
                <w:szCs w:val="21"/>
                <w:highlight w:val="none"/>
              </w:rPr>
            </w:pPr>
          </w:p>
        </w:tc>
        <w:tc>
          <w:tcPr>
            <w:tcW w:w="1410" w:type="dxa"/>
            <w:tcBorders>
              <w:left w:val="single" w:color="auto" w:sz="4" w:space="0"/>
            </w:tcBorders>
            <w:noWrap w:val="0"/>
            <w:vAlign w:val="center"/>
          </w:tcPr>
          <w:p w14:paraId="582AA182">
            <w:pPr>
              <w:adjustRightInd w:val="0"/>
              <w:snapToGrid w:val="0"/>
              <w:spacing w:line="360" w:lineRule="auto"/>
              <w:jc w:val="left"/>
              <w:rPr>
                <w:rFonts w:ascii="宋体" w:hAnsi="宋体" w:eastAsia="宋体"/>
                <w:b/>
                <w:color w:val="auto"/>
                <w:szCs w:val="21"/>
                <w:highlight w:val="none"/>
              </w:rPr>
            </w:pPr>
          </w:p>
        </w:tc>
        <w:tc>
          <w:tcPr>
            <w:tcW w:w="1972" w:type="dxa"/>
            <w:noWrap w:val="0"/>
            <w:vAlign w:val="center"/>
          </w:tcPr>
          <w:p w14:paraId="4C30CAF2">
            <w:pPr>
              <w:adjustRightInd w:val="0"/>
              <w:snapToGrid w:val="0"/>
              <w:spacing w:line="360" w:lineRule="auto"/>
              <w:jc w:val="center"/>
              <w:rPr>
                <w:rFonts w:ascii="宋体" w:hAnsi="宋体" w:eastAsia="宋体"/>
                <w:b/>
                <w:color w:val="auto"/>
                <w:szCs w:val="21"/>
                <w:highlight w:val="none"/>
              </w:rPr>
            </w:pPr>
            <w:r>
              <w:rPr>
                <w:rFonts w:hint="eastAsia" w:ascii="宋体" w:hAnsi="宋体" w:eastAsia="宋体"/>
                <w:b/>
                <w:color w:val="auto"/>
                <w:szCs w:val="21"/>
                <w:highlight w:val="none"/>
              </w:rPr>
              <w:t>/</w:t>
            </w:r>
          </w:p>
        </w:tc>
        <w:tc>
          <w:tcPr>
            <w:tcW w:w="1835" w:type="dxa"/>
            <w:noWrap w:val="0"/>
            <w:vAlign w:val="top"/>
          </w:tcPr>
          <w:p w14:paraId="1EEA4EE5">
            <w:pPr>
              <w:adjustRightInd w:val="0"/>
              <w:snapToGrid w:val="0"/>
              <w:spacing w:line="360" w:lineRule="auto"/>
              <w:jc w:val="center"/>
              <w:rPr>
                <w:rFonts w:ascii="宋体" w:hAnsi="宋体" w:eastAsia="宋体"/>
                <w:b/>
                <w:color w:val="auto"/>
                <w:szCs w:val="21"/>
                <w:highlight w:val="none"/>
              </w:rPr>
            </w:pPr>
            <w:r>
              <w:rPr>
                <w:rFonts w:hint="eastAsia" w:ascii="宋体" w:hAnsi="宋体" w:eastAsia="宋体"/>
                <w:b/>
                <w:color w:val="auto"/>
                <w:szCs w:val="21"/>
                <w:highlight w:val="none"/>
              </w:rPr>
              <w:t>/</w:t>
            </w:r>
          </w:p>
        </w:tc>
      </w:tr>
      <w:tr w14:paraId="71D545A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66" w:hRule="atLeast"/>
        </w:trPr>
        <w:tc>
          <w:tcPr>
            <w:tcW w:w="8740" w:type="dxa"/>
            <w:gridSpan w:val="6"/>
            <w:noWrap w:val="0"/>
            <w:vAlign w:val="center"/>
          </w:tcPr>
          <w:p w14:paraId="64B0EBDE">
            <w:pPr>
              <w:adjustRightInd w:val="0"/>
              <w:snapToGrid w:val="0"/>
              <w:spacing w:line="360" w:lineRule="auto"/>
              <w:jc w:val="left"/>
              <w:rPr>
                <w:rFonts w:ascii="宋体" w:hAnsi="宋体" w:eastAsia="宋体"/>
                <w:b/>
                <w:color w:val="auto"/>
                <w:szCs w:val="21"/>
                <w:highlight w:val="none"/>
              </w:rPr>
            </w:pPr>
            <w:r>
              <w:rPr>
                <w:rFonts w:hint="eastAsia" w:ascii="宋体" w:hAnsi="宋体" w:eastAsia="宋体"/>
                <w:b/>
                <w:color w:val="auto"/>
                <w:szCs w:val="21"/>
                <w:highlight w:val="none"/>
              </w:rPr>
              <w:t>两型产品</w:t>
            </w:r>
          </w:p>
        </w:tc>
      </w:tr>
      <w:tr w14:paraId="3251E93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66" w:hRule="atLeast"/>
        </w:trPr>
        <w:tc>
          <w:tcPr>
            <w:tcW w:w="667" w:type="dxa"/>
            <w:noWrap w:val="0"/>
            <w:vAlign w:val="center"/>
          </w:tcPr>
          <w:p w14:paraId="487E4764">
            <w:pPr>
              <w:adjustRightInd w:val="0"/>
              <w:snapToGrid w:val="0"/>
              <w:spacing w:line="360" w:lineRule="auto"/>
              <w:jc w:val="center"/>
              <w:rPr>
                <w:rFonts w:ascii="宋体" w:hAnsi="宋体"/>
                <w:color w:val="auto"/>
                <w:szCs w:val="21"/>
                <w:highlight w:val="none"/>
              </w:rPr>
            </w:pPr>
          </w:p>
        </w:tc>
        <w:tc>
          <w:tcPr>
            <w:tcW w:w="1729" w:type="dxa"/>
            <w:noWrap w:val="0"/>
            <w:vAlign w:val="center"/>
          </w:tcPr>
          <w:p w14:paraId="5759F35D">
            <w:pPr>
              <w:adjustRightInd w:val="0"/>
              <w:snapToGrid w:val="0"/>
              <w:spacing w:line="360" w:lineRule="auto"/>
              <w:jc w:val="center"/>
              <w:rPr>
                <w:rFonts w:ascii="宋体" w:hAnsi="宋体" w:eastAsia="宋体"/>
                <w:color w:val="auto"/>
                <w:szCs w:val="21"/>
                <w:highlight w:val="none"/>
              </w:rPr>
            </w:pPr>
          </w:p>
        </w:tc>
        <w:tc>
          <w:tcPr>
            <w:tcW w:w="1127" w:type="dxa"/>
            <w:tcBorders>
              <w:right w:val="single" w:color="auto" w:sz="4" w:space="0"/>
            </w:tcBorders>
            <w:noWrap w:val="0"/>
            <w:vAlign w:val="center"/>
          </w:tcPr>
          <w:p w14:paraId="64B69656">
            <w:pPr>
              <w:adjustRightInd w:val="0"/>
              <w:snapToGrid w:val="0"/>
              <w:spacing w:line="360" w:lineRule="auto"/>
              <w:jc w:val="center"/>
              <w:rPr>
                <w:rFonts w:ascii="宋体" w:hAnsi="宋体" w:eastAsia="宋体"/>
                <w:color w:val="auto"/>
                <w:szCs w:val="21"/>
                <w:highlight w:val="none"/>
              </w:rPr>
            </w:pPr>
          </w:p>
        </w:tc>
        <w:tc>
          <w:tcPr>
            <w:tcW w:w="1410" w:type="dxa"/>
            <w:tcBorders>
              <w:left w:val="single" w:color="auto" w:sz="4" w:space="0"/>
            </w:tcBorders>
            <w:noWrap w:val="0"/>
            <w:vAlign w:val="center"/>
          </w:tcPr>
          <w:p w14:paraId="0ABD65D2">
            <w:pPr>
              <w:adjustRightInd w:val="0"/>
              <w:snapToGrid w:val="0"/>
              <w:spacing w:line="360" w:lineRule="auto"/>
              <w:jc w:val="center"/>
              <w:rPr>
                <w:rFonts w:ascii="宋体" w:hAnsi="宋体" w:eastAsia="宋体"/>
                <w:color w:val="auto"/>
                <w:szCs w:val="21"/>
                <w:highlight w:val="none"/>
              </w:rPr>
            </w:pPr>
          </w:p>
        </w:tc>
        <w:tc>
          <w:tcPr>
            <w:tcW w:w="1972" w:type="dxa"/>
            <w:noWrap w:val="0"/>
            <w:vAlign w:val="center"/>
          </w:tcPr>
          <w:p w14:paraId="6E458E8D">
            <w:pPr>
              <w:adjustRightInd w:val="0"/>
              <w:snapToGrid w:val="0"/>
              <w:spacing w:line="360" w:lineRule="auto"/>
              <w:jc w:val="center"/>
              <w:rPr>
                <w:rFonts w:ascii="宋体" w:hAnsi="宋体" w:eastAsia="宋体"/>
                <w:color w:val="auto"/>
                <w:szCs w:val="21"/>
                <w:highlight w:val="none"/>
              </w:rPr>
            </w:pPr>
          </w:p>
        </w:tc>
        <w:tc>
          <w:tcPr>
            <w:tcW w:w="1835" w:type="dxa"/>
            <w:noWrap w:val="0"/>
            <w:vAlign w:val="top"/>
          </w:tcPr>
          <w:p w14:paraId="6D8F53F7">
            <w:pPr>
              <w:adjustRightInd w:val="0"/>
              <w:snapToGrid w:val="0"/>
              <w:spacing w:line="360" w:lineRule="auto"/>
              <w:jc w:val="center"/>
              <w:rPr>
                <w:rFonts w:ascii="宋体" w:hAnsi="宋体" w:eastAsia="宋体"/>
                <w:color w:val="auto"/>
                <w:szCs w:val="21"/>
                <w:highlight w:val="none"/>
              </w:rPr>
            </w:pPr>
          </w:p>
        </w:tc>
      </w:tr>
      <w:tr w14:paraId="1067FBA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90" w:hRule="atLeast"/>
        </w:trPr>
        <w:tc>
          <w:tcPr>
            <w:tcW w:w="667" w:type="dxa"/>
            <w:noWrap w:val="0"/>
            <w:vAlign w:val="center"/>
          </w:tcPr>
          <w:p w14:paraId="4C895260">
            <w:pPr>
              <w:adjustRightInd w:val="0"/>
              <w:snapToGrid w:val="0"/>
              <w:spacing w:line="360" w:lineRule="auto"/>
              <w:jc w:val="center"/>
              <w:rPr>
                <w:rFonts w:ascii="宋体" w:hAnsi="宋体"/>
                <w:color w:val="auto"/>
                <w:szCs w:val="21"/>
                <w:highlight w:val="none"/>
              </w:rPr>
            </w:pPr>
            <w:r>
              <w:rPr>
                <w:rFonts w:hint="eastAsia" w:ascii="宋体" w:hAnsi="宋体"/>
                <w:color w:val="auto"/>
                <w:szCs w:val="21"/>
                <w:highlight w:val="none"/>
              </w:rPr>
              <w:t>小计</w:t>
            </w:r>
          </w:p>
        </w:tc>
        <w:tc>
          <w:tcPr>
            <w:tcW w:w="1729" w:type="dxa"/>
            <w:noWrap w:val="0"/>
            <w:vAlign w:val="center"/>
          </w:tcPr>
          <w:p w14:paraId="31160797">
            <w:pPr>
              <w:adjustRightInd w:val="0"/>
              <w:snapToGrid w:val="0"/>
              <w:spacing w:line="360" w:lineRule="auto"/>
              <w:jc w:val="center"/>
              <w:rPr>
                <w:rFonts w:ascii="宋体" w:hAnsi="宋体" w:eastAsia="宋体"/>
                <w:color w:val="auto"/>
                <w:szCs w:val="21"/>
                <w:highlight w:val="none"/>
              </w:rPr>
            </w:pPr>
            <w:r>
              <w:rPr>
                <w:rFonts w:hint="eastAsia" w:ascii="宋体" w:hAnsi="宋体" w:eastAsia="宋体"/>
                <w:color w:val="auto"/>
                <w:szCs w:val="21"/>
                <w:highlight w:val="none"/>
              </w:rPr>
              <w:t>/</w:t>
            </w:r>
          </w:p>
        </w:tc>
        <w:tc>
          <w:tcPr>
            <w:tcW w:w="1127" w:type="dxa"/>
            <w:tcBorders>
              <w:right w:val="single" w:color="auto" w:sz="4" w:space="0"/>
            </w:tcBorders>
            <w:noWrap w:val="0"/>
            <w:vAlign w:val="center"/>
          </w:tcPr>
          <w:p w14:paraId="614357D8">
            <w:pPr>
              <w:adjustRightInd w:val="0"/>
              <w:snapToGrid w:val="0"/>
              <w:spacing w:line="360" w:lineRule="auto"/>
              <w:jc w:val="center"/>
              <w:rPr>
                <w:rFonts w:ascii="宋体" w:hAnsi="宋体" w:eastAsia="宋体"/>
                <w:color w:val="auto"/>
                <w:szCs w:val="21"/>
                <w:highlight w:val="none"/>
              </w:rPr>
            </w:pPr>
          </w:p>
        </w:tc>
        <w:tc>
          <w:tcPr>
            <w:tcW w:w="1410" w:type="dxa"/>
            <w:tcBorders>
              <w:left w:val="single" w:color="auto" w:sz="4" w:space="0"/>
            </w:tcBorders>
            <w:noWrap w:val="0"/>
            <w:vAlign w:val="center"/>
          </w:tcPr>
          <w:p w14:paraId="68B2ED7B">
            <w:pPr>
              <w:adjustRightInd w:val="0"/>
              <w:snapToGrid w:val="0"/>
              <w:spacing w:line="360" w:lineRule="auto"/>
              <w:jc w:val="center"/>
              <w:rPr>
                <w:rFonts w:ascii="宋体" w:hAnsi="宋体" w:eastAsia="宋体"/>
                <w:color w:val="auto"/>
                <w:szCs w:val="21"/>
                <w:highlight w:val="none"/>
              </w:rPr>
            </w:pPr>
          </w:p>
        </w:tc>
        <w:tc>
          <w:tcPr>
            <w:tcW w:w="1972" w:type="dxa"/>
            <w:noWrap w:val="0"/>
            <w:vAlign w:val="center"/>
          </w:tcPr>
          <w:p w14:paraId="0BD5B1D6">
            <w:pPr>
              <w:adjustRightInd w:val="0"/>
              <w:snapToGrid w:val="0"/>
              <w:spacing w:line="360" w:lineRule="auto"/>
              <w:jc w:val="center"/>
              <w:rPr>
                <w:rFonts w:ascii="宋体" w:hAnsi="宋体" w:eastAsia="宋体"/>
                <w:color w:val="auto"/>
                <w:szCs w:val="21"/>
                <w:highlight w:val="none"/>
              </w:rPr>
            </w:pPr>
            <w:r>
              <w:rPr>
                <w:rFonts w:hint="eastAsia" w:ascii="宋体" w:hAnsi="宋体" w:eastAsia="宋体"/>
                <w:color w:val="auto"/>
                <w:szCs w:val="21"/>
                <w:highlight w:val="none"/>
              </w:rPr>
              <w:t>/</w:t>
            </w:r>
          </w:p>
        </w:tc>
        <w:tc>
          <w:tcPr>
            <w:tcW w:w="1835" w:type="dxa"/>
            <w:noWrap w:val="0"/>
            <w:vAlign w:val="top"/>
          </w:tcPr>
          <w:p w14:paraId="5DE259FE">
            <w:pPr>
              <w:adjustRightInd w:val="0"/>
              <w:snapToGrid w:val="0"/>
              <w:spacing w:line="360" w:lineRule="auto"/>
              <w:jc w:val="center"/>
              <w:rPr>
                <w:rFonts w:ascii="宋体" w:hAnsi="宋体" w:eastAsia="宋体"/>
                <w:color w:val="auto"/>
                <w:szCs w:val="21"/>
                <w:highlight w:val="none"/>
              </w:rPr>
            </w:pPr>
            <w:r>
              <w:rPr>
                <w:rFonts w:hint="eastAsia" w:ascii="宋体" w:hAnsi="宋体" w:eastAsia="宋体"/>
                <w:color w:val="auto"/>
                <w:szCs w:val="21"/>
                <w:highlight w:val="none"/>
              </w:rPr>
              <w:t>/</w:t>
            </w:r>
          </w:p>
        </w:tc>
      </w:tr>
    </w:tbl>
    <w:p w14:paraId="426FF2B4">
      <w:pPr>
        <w:adjustRightInd w:val="0"/>
        <w:snapToGrid w:val="0"/>
        <w:spacing w:line="360" w:lineRule="auto"/>
        <w:jc w:val="left"/>
        <w:rPr>
          <w:rFonts w:ascii="宋体" w:hAnsi="宋体" w:eastAsia="宋体"/>
          <w:color w:val="auto"/>
          <w:szCs w:val="21"/>
          <w:highlight w:val="none"/>
        </w:rPr>
      </w:pPr>
      <w:r>
        <w:rPr>
          <w:rFonts w:hint="eastAsia" w:ascii="宋体" w:hAnsi="宋体" w:eastAsia="宋体"/>
          <w:color w:val="auto"/>
          <w:szCs w:val="21"/>
          <w:highlight w:val="none"/>
        </w:rPr>
        <w:t>说明：</w:t>
      </w:r>
      <w:r>
        <w:rPr>
          <w:rFonts w:hint="eastAsia" w:ascii="宋体" w:hAnsi="宋体" w:eastAsia="宋体"/>
          <w:bCs/>
          <w:color w:val="auto"/>
          <w:szCs w:val="21"/>
          <w:highlight w:val="none"/>
        </w:rPr>
        <w:t>1</w:t>
      </w:r>
      <w:r>
        <w:rPr>
          <w:rFonts w:hint="eastAsia" w:ascii="宋体" w:hAnsi="宋体"/>
          <w:bCs/>
          <w:color w:val="auto"/>
          <w:szCs w:val="21"/>
          <w:highlight w:val="none"/>
          <w:lang w:val="en-US" w:eastAsia="zh-CN"/>
        </w:rPr>
        <w:t>.</w:t>
      </w:r>
      <w:r>
        <w:rPr>
          <w:rFonts w:hint="eastAsia" w:ascii="宋体" w:hAnsi="宋体" w:eastAsia="宋体"/>
          <w:color w:val="auto"/>
          <w:szCs w:val="21"/>
          <w:highlight w:val="none"/>
        </w:rPr>
        <w:t>本表用于计算政府采购优先采购产品（节能产品或环境标志产品或两型产品）的政府采购政策加分或者价格扣除。</w:t>
      </w:r>
    </w:p>
    <w:p w14:paraId="698BE467">
      <w:pPr>
        <w:adjustRightInd w:val="0"/>
        <w:snapToGrid w:val="0"/>
        <w:spacing w:line="360" w:lineRule="auto"/>
        <w:ind w:firstLine="630" w:firstLineChars="300"/>
        <w:jc w:val="left"/>
        <w:rPr>
          <w:rFonts w:ascii="宋体" w:hAnsi="宋体" w:eastAsia="宋体"/>
          <w:color w:val="auto"/>
          <w:szCs w:val="21"/>
          <w:highlight w:val="none"/>
        </w:rPr>
      </w:pPr>
      <w:r>
        <w:rPr>
          <w:rFonts w:hint="eastAsia" w:ascii="宋体" w:hAnsi="宋体" w:eastAsia="宋体"/>
          <w:color w:val="auto"/>
          <w:szCs w:val="21"/>
          <w:highlight w:val="none"/>
        </w:rPr>
        <w:t>2</w:t>
      </w:r>
      <w:r>
        <w:rPr>
          <w:rFonts w:hint="eastAsia" w:ascii="宋体" w:hAnsi="宋体"/>
          <w:color w:val="auto"/>
          <w:szCs w:val="21"/>
          <w:highlight w:val="none"/>
          <w:lang w:val="en-US" w:eastAsia="zh-CN"/>
        </w:rPr>
        <w:t>.</w:t>
      </w:r>
      <w:r>
        <w:rPr>
          <w:rFonts w:hint="eastAsia" w:ascii="宋体" w:hAnsi="宋体" w:eastAsia="宋体"/>
          <w:color w:val="auto"/>
          <w:szCs w:val="21"/>
          <w:highlight w:val="none"/>
        </w:rPr>
        <w:t>栏目4“价格”为综合单价，包含货物所有隐含的内容，如运输费、保险费、管理费和利润等。</w:t>
      </w:r>
    </w:p>
    <w:p w14:paraId="6DC46631">
      <w:pPr>
        <w:adjustRightInd w:val="0"/>
        <w:snapToGrid w:val="0"/>
        <w:spacing w:line="360" w:lineRule="auto"/>
        <w:ind w:firstLine="630" w:firstLineChars="300"/>
        <w:jc w:val="left"/>
        <w:rPr>
          <w:rFonts w:ascii="宋体" w:hAnsi="宋体" w:eastAsia="宋体"/>
          <w:color w:val="auto"/>
          <w:szCs w:val="21"/>
          <w:highlight w:val="none"/>
        </w:rPr>
      </w:pPr>
      <w:r>
        <w:rPr>
          <w:rFonts w:hint="eastAsia" w:ascii="宋体" w:hAnsi="宋体" w:eastAsia="宋体"/>
          <w:color w:val="auto"/>
          <w:szCs w:val="21"/>
          <w:highlight w:val="none"/>
        </w:rPr>
        <w:t>3</w:t>
      </w:r>
      <w:r>
        <w:rPr>
          <w:rFonts w:hint="eastAsia" w:ascii="宋体" w:hAnsi="宋体"/>
          <w:color w:val="auto"/>
          <w:szCs w:val="21"/>
          <w:highlight w:val="none"/>
          <w:lang w:val="en-US" w:eastAsia="zh-CN"/>
        </w:rPr>
        <w:t>.</w:t>
      </w:r>
      <w:r>
        <w:rPr>
          <w:rFonts w:hint="eastAsia" w:ascii="宋体" w:hAnsi="宋体" w:eastAsia="宋体"/>
          <w:color w:val="auto"/>
          <w:szCs w:val="21"/>
          <w:highlight w:val="none"/>
        </w:rPr>
        <w:t>栏目6“政策功能编码”是指货物的中国环境标志认证证书编号、中国节能标志认证证书号、湖南两型产品编号（货物同时属于节能产品、环境标志产品、两型产品的，只须填写一种）。</w:t>
      </w:r>
    </w:p>
    <w:p w14:paraId="4E45E31E">
      <w:pPr>
        <w:adjustRightInd w:val="0"/>
        <w:snapToGrid w:val="0"/>
        <w:spacing w:line="360" w:lineRule="auto"/>
        <w:ind w:firstLine="630" w:firstLineChars="300"/>
        <w:rPr>
          <w:rFonts w:ascii="宋体" w:hAnsi="宋体" w:eastAsia="宋体"/>
          <w:bCs/>
          <w:color w:val="auto"/>
          <w:szCs w:val="21"/>
          <w:highlight w:val="none"/>
        </w:rPr>
      </w:pPr>
      <w:r>
        <w:rPr>
          <w:rFonts w:hint="eastAsia" w:ascii="宋体" w:hAnsi="宋体" w:eastAsia="宋体"/>
          <w:bCs/>
          <w:color w:val="auto"/>
          <w:szCs w:val="21"/>
          <w:highlight w:val="none"/>
        </w:rPr>
        <w:t>4</w:t>
      </w:r>
      <w:r>
        <w:rPr>
          <w:rFonts w:hint="eastAsia" w:ascii="宋体" w:hAnsi="宋体"/>
          <w:bCs/>
          <w:color w:val="auto"/>
          <w:szCs w:val="21"/>
          <w:highlight w:val="none"/>
          <w:lang w:val="en-US" w:eastAsia="zh-CN"/>
        </w:rPr>
        <w:t>.</w:t>
      </w:r>
      <w:r>
        <w:rPr>
          <w:rFonts w:hint="eastAsia" w:ascii="宋体" w:hAnsi="宋体" w:eastAsia="宋体"/>
          <w:bCs/>
          <w:color w:val="auto"/>
          <w:szCs w:val="21"/>
          <w:highlight w:val="none"/>
        </w:rPr>
        <w:t>投标人在投标截止时间前修改“开标一览表”中的投标报价的，应按第二章第13.7款规定修改本表相应内容。否则，评审时涉及本表所有优惠不予以考虑。</w:t>
      </w:r>
    </w:p>
    <w:p w14:paraId="2C245C88">
      <w:pPr>
        <w:adjustRightInd w:val="0"/>
        <w:snapToGrid w:val="0"/>
        <w:spacing w:line="360" w:lineRule="auto"/>
        <w:rPr>
          <w:rFonts w:ascii="宋体" w:hAnsi="宋体"/>
          <w:color w:val="auto"/>
          <w:szCs w:val="21"/>
          <w:highlight w:val="none"/>
        </w:rPr>
      </w:pPr>
    </w:p>
    <w:p w14:paraId="6758AAE0">
      <w:pPr>
        <w:adjustRightInd w:val="0"/>
        <w:snapToGrid w:val="0"/>
        <w:spacing w:line="360" w:lineRule="auto"/>
        <w:rPr>
          <w:rFonts w:ascii="宋体" w:hAnsi="宋体"/>
          <w:color w:val="auto"/>
          <w:szCs w:val="21"/>
          <w:highlight w:val="none"/>
        </w:rPr>
      </w:pPr>
      <w:r>
        <w:rPr>
          <w:rFonts w:hint="eastAsia" w:ascii="宋体" w:hAnsi="宋体"/>
          <w:color w:val="auto"/>
          <w:szCs w:val="21"/>
          <w:highlight w:val="none"/>
        </w:rPr>
        <w:t>投标人名称（盖单位章）：</w:t>
      </w:r>
    </w:p>
    <w:p w14:paraId="2588EB38">
      <w:pPr>
        <w:adjustRightInd w:val="0"/>
        <w:snapToGrid w:val="0"/>
        <w:spacing w:line="360" w:lineRule="auto"/>
        <w:rPr>
          <w:rFonts w:ascii="宋体" w:hAnsi="宋体"/>
          <w:color w:val="auto"/>
          <w:szCs w:val="21"/>
          <w:highlight w:val="none"/>
        </w:rPr>
      </w:pPr>
      <w:r>
        <w:rPr>
          <w:rFonts w:hint="eastAsia" w:ascii="宋体" w:hAnsi="宋体" w:eastAsia="宋体" w:cs="微软雅黑"/>
          <w:color w:val="auto"/>
          <w:spacing w:val="-2"/>
          <w:kern w:val="0"/>
          <w:szCs w:val="21"/>
          <w:highlight w:val="none"/>
        </w:rPr>
        <w:t>法</w:t>
      </w:r>
      <w:r>
        <w:rPr>
          <w:rFonts w:hint="eastAsia" w:ascii="宋体" w:hAnsi="宋体" w:eastAsia="宋体" w:cs="微软雅黑"/>
          <w:color w:val="auto"/>
          <w:kern w:val="0"/>
          <w:szCs w:val="21"/>
          <w:highlight w:val="none"/>
        </w:rPr>
        <w:t>定</w:t>
      </w:r>
      <w:r>
        <w:rPr>
          <w:rFonts w:hint="eastAsia" w:ascii="宋体" w:hAnsi="宋体" w:eastAsia="宋体" w:cs="微软雅黑"/>
          <w:color w:val="auto"/>
          <w:spacing w:val="-2"/>
          <w:kern w:val="0"/>
          <w:szCs w:val="21"/>
          <w:highlight w:val="none"/>
        </w:rPr>
        <w:t>代</w:t>
      </w:r>
      <w:r>
        <w:rPr>
          <w:rFonts w:hint="eastAsia" w:ascii="宋体" w:hAnsi="宋体" w:eastAsia="宋体" w:cs="微软雅黑"/>
          <w:color w:val="auto"/>
          <w:kern w:val="0"/>
          <w:szCs w:val="21"/>
          <w:highlight w:val="none"/>
        </w:rPr>
        <w:t>表</w:t>
      </w:r>
      <w:r>
        <w:rPr>
          <w:rFonts w:hint="eastAsia" w:ascii="宋体" w:hAnsi="宋体" w:eastAsia="宋体" w:cs="微软雅黑"/>
          <w:color w:val="auto"/>
          <w:spacing w:val="-2"/>
          <w:kern w:val="0"/>
          <w:szCs w:val="21"/>
          <w:highlight w:val="none"/>
        </w:rPr>
        <w:t>人</w:t>
      </w:r>
      <w:r>
        <w:rPr>
          <w:rFonts w:hint="eastAsia" w:ascii="宋体" w:hAnsi="宋体" w:eastAsia="宋体" w:cs="微软雅黑"/>
          <w:color w:val="auto"/>
          <w:kern w:val="0"/>
          <w:szCs w:val="21"/>
          <w:highlight w:val="none"/>
        </w:rPr>
        <w:t>（</w:t>
      </w:r>
      <w:r>
        <w:rPr>
          <w:rFonts w:hint="eastAsia" w:ascii="宋体" w:hAnsi="宋体" w:eastAsia="宋体" w:cs="微软雅黑"/>
          <w:color w:val="auto"/>
          <w:spacing w:val="-2"/>
          <w:kern w:val="0"/>
          <w:szCs w:val="21"/>
          <w:highlight w:val="none"/>
        </w:rPr>
        <w:t>单</w:t>
      </w:r>
      <w:r>
        <w:rPr>
          <w:rFonts w:hint="eastAsia" w:ascii="宋体" w:hAnsi="宋体" w:eastAsia="宋体" w:cs="微软雅黑"/>
          <w:color w:val="auto"/>
          <w:kern w:val="0"/>
          <w:szCs w:val="21"/>
          <w:highlight w:val="none"/>
        </w:rPr>
        <w:t>位</w:t>
      </w:r>
      <w:r>
        <w:rPr>
          <w:rFonts w:hint="eastAsia" w:ascii="宋体" w:hAnsi="宋体" w:eastAsia="宋体" w:cs="微软雅黑"/>
          <w:color w:val="auto"/>
          <w:spacing w:val="-2"/>
          <w:kern w:val="0"/>
          <w:szCs w:val="21"/>
          <w:highlight w:val="none"/>
        </w:rPr>
        <w:t>负</w:t>
      </w:r>
      <w:r>
        <w:rPr>
          <w:rFonts w:hint="eastAsia" w:ascii="宋体" w:hAnsi="宋体" w:eastAsia="宋体" w:cs="微软雅黑"/>
          <w:color w:val="auto"/>
          <w:kern w:val="0"/>
          <w:szCs w:val="21"/>
          <w:highlight w:val="none"/>
        </w:rPr>
        <w:t>责人</w:t>
      </w:r>
      <w:r>
        <w:rPr>
          <w:rFonts w:hint="eastAsia" w:ascii="宋体" w:hAnsi="宋体" w:eastAsia="宋体" w:cs="微软雅黑"/>
          <w:color w:val="auto"/>
          <w:spacing w:val="-2"/>
          <w:kern w:val="0"/>
          <w:szCs w:val="21"/>
          <w:highlight w:val="none"/>
        </w:rPr>
        <w:t>）</w:t>
      </w:r>
      <w:r>
        <w:rPr>
          <w:rFonts w:hint="eastAsia" w:ascii="宋体" w:hAnsi="宋体"/>
          <w:color w:val="auto"/>
          <w:szCs w:val="21"/>
          <w:highlight w:val="none"/>
        </w:rPr>
        <w:t>或其委托代理人（签字或印章）：</w:t>
      </w:r>
      <w:r>
        <w:rPr>
          <w:rFonts w:hint="eastAsia" w:ascii="宋体" w:hAnsi="宋体"/>
          <w:color w:val="auto"/>
          <w:szCs w:val="21"/>
          <w:highlight w:val="none"/>
          <w:u w:val="single"/>
        </w:rPr>
        <w:t xml:space="preserve">       </w:t>
      </w:r>
    </w:p>
    <w:p w14:paraId="64D4C447">
      <w:pPr>
        <w:rPr>
          <w:rFonts w:ascii="宋体" w:hAnsi="宋体"/>
          <w:b/>
          <w:bCs/>
          <w:color w:val="auto"/>
          <w:sz w:val="10"/>
          <w:szCs w:val="10"/>
          <w:highlight w:val="none"/>
        </w:rPr>
      </w:pPr>
      <w:r>
        <w:rPr>
          <w:rFonts w:hint="eastAsia"/>
          <w:color w:val="auto"/>
          <w:highlight w:val="none"/>
        </w:rPr>
        <w:t>日期：        年    月   日</w:t>
      </w:r>
      <w:r>
        <w:rPr>
          <w:rFonts w:ascii="宋体" w:hAnsi="宋体"/>
          <w:color w:val="auto"/>
          <w:szCs w:val="21"/>
          <w:highlight w:val="none"/>
        </w:rPr>
        <w:br w:type="page"/>
      </w:r>
    </w:p>
    <w:p w14:paraId="7503D2D4">
      <w:pPr>
        <w:pStyle w:val="4"/>
        <w:adjustRightInd w:val="0"/>
        <w:snapToGrid w:val="0"/>
        <w:spacing w:before="0" w:after="0" w:line="360" w:lineRule="auto"/>
        <w:jc w:val="center"/>
        <w:rPr>
          <w:rFonts w:ascii="黑体" w:hAnsi="宋体" w:eastAsia="黑体"/>
          <w:color w:val="auto"/>
          <w:sz w:val="28"/>
          <w:szCs w:val="28"/>
          <w:highlight w:val="none"/>
        </w:rPr>
      </w:pPr>
      <w:bookmarkStart w:id="167" w:name="_Toc27356"/>
      <w:r>
        <w:rPr>
          <w:rFonts w:hint="eastAsia" w:ascii="黑体" w:hAnsi="宋体" w:eastAsia="黑体"/>
          <w:color w:val="auto"/>
          <w:sz w:val="28"/>
          <w:szCs w:val="28"/>
          <w:highlight w:val="none"/>
        </w:rPr>
        <w:t>十一、投标货物符合招标文件规定的证明文件</w:t>
      </w:r>
      <w:bookmarkEnd w:id="167"/>
    </w:p>
    <w:p w14:paraId="445216A1">
      <w:pPr>
        <w:adjustRightInd w:val="0"/>
        <w:snapToGrid w:val="0"/>
        <w:spacing w:line="360" w:lineRule="auto"/>
        <w:rPr>
          <w:rFonts w:ascii="宋体" w:hAnsi="宋体" w:eastAsia="宋体"/>
          <w:color w:val="auto"/>
          <w:szCs w:val="21"/>
          <w:highlight w:val="none"/>
        </w:rPr>
      </w:pPr>
    </w:p>
    <w:p w14:paraId="14CDBECB">
      <w:pPr>
        <w:adjustRightInd w:val="0"/>
        <w:snapToGrid w:val="0"/>
        <w:spacing w:line="360" w:lineRule="auto"/>
        <w:rPr>
          <w:rFonts w:ascii="宋体" w:hAnsi="宋体" w:eastAsia="宋体"/>
          <w:color w:val="auto"/>
          <w:highlight w:val="none"/>
        </w:rPr>
      </w:pPr>
      <w:r>
        <w:rPr>
          <w:rFonts w:hint="eastAsia" w:ascii="宋体" w:hAnsi="宋体" w:eastAsia="宋体"/>
          <w:color w:val="auto"/>
          <w:szCs w:val="21"/>
          <w:highlight w:val="none"/>
        </w:rPr>
        <w:t>注：提供第五章规定的证明材料复印件。</w:t>
      </w:r>
    </w:p>
    <w:p w14:paraId="61A0913C">
      <w:pPr>
        <w:widowControl/>
        <w:jc w:val="left"/>
        <w:rPr>
          <w:rFonts w:ascii="黑体" w:eastAsia="黑体"/>
          <w:color w:val="auto"/>
          <w:sz w:val="10"/>
          <w:szCs w:val="10"/>
          <w:highlight w:val="none"/>
        </w:rPr>
      </w:pPr>
      <w:r>
        <w:rPr>
          <w:rFonts w:ascii="黑体" w:eastAsia="黑体"/>
          <w:b/>
          <w:bCs/>
          <w:color w:val="auto"/>
          <w:sz w:val="28"/>
          <w:szCs w:val="28"/>
          <w:highlight w:val="none"/>
        </w:rPr>
        <w:br w:type="page"/>
      </w:r>
    </w:p>
    <w:p w14:paraId="54770C3D">
      <w:pPr>
        <w:pStyle w:val="4"/>
        <w:adjustRightInd w:val="0"/>
        <w:snapToGrid w:val="0"/>
        <w:spacing w:before="0" w:after="0" w:line="360" w:lineRule="auto"/>
        <w:jc w:val="center"/>
        <w:rPr>
          <w:rFonts w:ascii="黑体" w:hAnsi="宋体" w:eastAsia="黑体"/>
          <w:color w:val="auto"/>
          <w:sz w:val="28"/>
          <w:szCs w:val="28"/>
          <w:highlight w:val="none"/>
        </w:rPr>
      </w:pPr>
      <w:bookmarkStart w:id="168" w:name="_Toc9535"/>
      <w:r>
        <w:rPr>
          <w:rFonts w:hint="eastAsia" w:ascii="黑体" w:hAnsi="宋体" w:eastAsia="黑体"/>
          <w:color w:val="auto"/>
          <w:sz w:val="28"/>
          <w:szCs w:val="28"/>
          <w:highlight w:val="none"/>
        </w:rPr>
        <w:t>十二、投标人认为需提供的其他资料</w:t>
      </w:r>
      <w:bookmarkEnd w:id="168"/>
    </w:p>
    <w:p w14:paraId="6FDB2CF1">
      <w:pPr>
        <w:adjustRightInd w:val="0"/>
        <w:snapToGrid w:val="0"/>
        <w:spacing w:before="156" w:beforeLines="50" w:line="360" w:lineRule="auto"/>
        <w:rPr>
          <w:rFonts w:ascii="宋体" w:hAnsi="宋体" w:eastAsia="宋体"/>
          <w:color w:val="auto"/>
          <w:highlight w:val="none"/>
        </w:rPr>
      </w:pPr>
    </w:p>
    <w:p w14:paraId="74E1A3AB">
      <w:pPr>
        <w:adjustRightInd w:val="0"/>
        <w:snapToGrid w:val="0"/>
        <w:spacing w:before="156" w:beforeLines="50" w:line="360" w:lineRule="auto"/>
        <w:rPr>
          <w:rFonts w:ascii="宋体" w:hAnsi="宋体" w:eastAsia="宋体"/>
          <w:color w:val="auto"/>
          <w:highlight w:val="none"/>
        </w:rPr>
      </w:pPr>
      <w:r>
        <w:rPr>
          <w:rFonts w:hint="eastAsia" w:ascii="宋体" w:hAnsi="宋体" w:eastAsia="宋体"/>
          <w:color w:val="auto"/>
          <w:highlight w:val="none"/>
        </w:rPr>
        <w:t>注：投标人认为需提供的其他资料包括：</w:t>
      </w:r>
    </w:p>
    <w:p w14:paraId="0F5C03D9">
      <w:pPr>
        <w:adjustRightInd w:val="0"/>
        <w:snapToGrid w:val="0"/>
        <w:spacing w:before="156" w:beforeLines="50" w:line="360" w:lineRule="auto"/>
        <w:ind w:firstLine="420" w:firstLineChars="200"/>
        <w:rPr>
          <w:rFonts w:ascii="宋体" w:hAnsi="宋体" w:eastAsia="宋体"/>
          <w:color w:val="auto"/>
          <w:highlight w:val="none"/>
        </w:rPr>
      </w:pPr>
      <w:r>
        <w:rPr>
          <w:rFonts w:hint="eastAsia" w:ascii="宋体" w:hAnsi="宋体"/>
          <w:color w:val="auto"/>
          <w:highlight w:val="none"/>
          <w:lang w:val="en-US" w:eastAsia="zh-CN"/>
        </w:rPr>
        <w:t>1.</w:t>
      </w:r>
      <w:r>
        <w:rPr>
          <w:rFonts w:hint="eastAsia" w:ascii="宋体" w:hAnsi="宋体" w:eastAsia="宋体"/>
          <w:color w:val="auto"/>
          <w:highlight w:val="none"/>
        </w:rPr>
        <w:t>招标文件第四章评标方法及标准要求的其他相关资料；</w:t>
      </w:r>
    </w:p>
    <w:p w14:paraId="21FEC009">
      <w:pPr>
        <w:adjustRightInd w:val="0"/>
        <w:snapToGrid w:val="0"/>
        <w:spacing w:before="156" w:beforeLines="50" w:line="360" w:lineRule="auto"/>
        <w:ind w:firstLine="420" w:firstLineChars="200"/>
        <w:rPr>
          <w:rFonts w:ascii="宋体" w:hAnsi="宋体" w:eastAsia="宋体"/>
          <w:color w:val="auto"/>
          <w:highlight w:val="none"/>
        </w:rPr>
      </w:pPr>
      <w:r>
        <w:rPr>
          <w:rFonts w:hint="eastAsia" w:ascii="宋体" w:hAnsi="宋体"/>
          <w:color w:val="auto"/>
          <w:highlight w:val="none"/>
          <w:lang w:val="en-US" w:eastAsia="zh-CN"/>
        </w:rPr>
        <w:t>2.</w:t>
      </w:r>
      <w:r>
        <w:rPr>
          <w:rFonts w:hint="eastAsia" w:ascii="宋体" w:hAnsi="宋体" w:eastAsia="宋体"/>
          <w:color w:val="auto"/>
          <w:highlight w:val="none"/>
        </w:rPr>
        <w:t>招标文件第五章采购需求要求的其他资料。</w:t>
      </w:r>
    </w:p>
    <w:p w14:paraId="0AA80747">
      <w:pPr>
        <w:adjustRightInd w:val="0"/>
        <w:snapToGrid w:val="0"/>
        <w:spacing w:before="156" w:beforeLines="50" w:line="360" w:lineRule="auto"/>
        <w:rPr>
          <w:rFonts w:ascii="宋体" w:hAnsi="宋体" w:eastAsia="宋体"/>
          <w:color w:val="auto"/>
          <w:highlight w:val="none"/>
        </w:rPr>
      </w:pPr>
    </w:p>
    <w:p w14:paraId="24C6317D">
      <w:pPr>
        <w:rPr>
          <w:color w:val="auto"/>
          <w:highlight w:val="none"/>
        </w:rPr>
      </w:pPr>
    </w:p>
    <w:p w14:paraId="5A093B64">
      <w:pPr>
        <w:widowControl/>
        <w:jc w:val="left"/>
        <w:rPr>
          <w:color w:val="auto"/>
          <w:highlight w:val="none"/>
        </w:rPr>
      </w:pPr>
    </w:p>
    <w:p w14:paraId="7D65D46E">
      <w:pPr>
        <w:rPr>
          <w:color w:val="auto"/>
          <w:highlight w:val="none"/>
        </w:rPr>
      </w:pPr>
      <w:bookmarkStart w:id="169" w:name="_GoBack"/>
      <w:bookmarkEnd w:id="169"/>
    </w:p>
    <w:sectPr>
      <w:headerReference r:id="rId24"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CC"/>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华文中宋">
    <w:altName w:val="宋体"/>
    <w:panose1 w:val="02010600040101010101"/>
    <w:charset w:val="86"/>
    <w:family w:val="auto"/>
    <w:pitch w:val="default"/>
    <w:sig w:usb0="00000000" w:usb1="0000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华文宋体">
    <w:altName w:val="宋体"/>
    <w:panose1 w:val="02010600040101010101"/>
    <w:charset w:val="86"/>
    <w:family w:val="auto"/>
    <w:pitch w:val="default"/>
    <w:sig w:usb0="00000000" w:usb1="00000000" w:usb2="00000000" w:usb3="00000000" w:csb0="0004009F" w:csb1="DFD70000"/>
  </w:font>
  <w:font w:name="新宋体">
    <w:panose1 w:val="02010609030101010101"/>
    <w:charset w:val="86"/>
    <w:family w:val="modern"/>
    <w:pitch w:val="default"/>
    <w:sig w:usb0="00000203" w:usb1="288F0000" w:usb2="00000006" w:usb3="00000000" w:csb0="00040001" w:csb1="00000000"/>
  </w:font>
  <w:font w:name="华文细黑">
    <w:altName w:val="微软雅黑"/>
    <w:panose1 w:val="02010600040101010101"/>
    <w:charset w:val="86"/>
    <w:family w:val="auto"/>
    <w:pitch w:val="default"/>
    <w:sig w:usb0="00000000" w:usb1="00000000" w:usb2="00000000" w:usb3="00000000" w:csb0="0004009F" w:csb1="DFD7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A317CE">
    <w:pPr>
      <w:spacing w:line="187" w:lineRule="auto"/>
      <w:rPr>
        <w:rFonts w:ascii="Times New Roman" w:hAnsi="Times New Roman" w:eastAsia="Times New Roman" w:cs="Times New Roman"/>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03A754">
    <w:pPr>
      <w:spacing w:line="187" w:lineRule="auto"/>
      <w:rPr>
        <w:rFonts w:ascii="Times New Roman" w:hAnsi="Times New Roman" w:eastAsia="Times New Roman" w:cs="Times New Roman"/>
        <w:sz w:val="18"/>
        <w:szCs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1D80AC">
    <w:pPr>
      <w:spacing w:line="187" w:lineRule="auto"/>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5F3DCE">
                          <w:pPr>
                            <w:pStyle w:val="1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095F3DCE">
                    <w:pPr>
                      <w:pStyle w:val="1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B0432A">
    <w:pPr>
      <w:spacing w:line="187" w:lineRule="auto"/>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998A68">
                          <w:pPr>
                            <w:pStyle w:val="1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17998A68">
                    <w:pPr>
                      <w:pStyle w:val="1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E3DC11">
    <w:pPr>
      <w:spacing w:line="187" w:lineRule="auto"/>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AC35E2">
                          <w:pPr>
                            <w:pStyle w:val="16"/>
                          </w:pPr>
                          <w:r>
                            <w:fldChar w:fldCharType="begin"/>
                          </w:r>
                          <w:r>
                            <w:instrText xml:space="preserve"> PAGE  \* MERGEFORMAT </w:instrText>
                          </w:r>
                          <w:r>
                            <w:fldChar w:fldCharType="separate"/>
                          </w:r>
                          <w:r>
                            <w:t>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6EAC35E2">
                    <w:pPr>
                      <w:pStyle w:val="16"/>
                    </w:pPr>
                    <w:r>
                      <w:fldChar w:fldCharType="begin"/>
                    </w:r>
                    <w:r>
                      <w:instrText xml:space="preserve"> PAGE  \* MERGEFORMAT </w:instrText>
                    </w:r>
                    <w:r>
                      <w:fldChar w:fldCharType="separate"/>
                    </w:r>
                    <w:r>
                      <w:t>7</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CC78F7">
    <w:pPr>
      <w:spacing w:line="187" w:lineRule="auto"/>
      <w:ind w:left="4664"/>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B2C347C">
                          <w:pPr>
                            <w:pStyle w:val="16"/>
                          </w:pPr>
                          <w:r>
                            <w:fldChar w:fldCharType="begin"/>
                          </w:r>
                          <w:r>
                            <w:instrText xml:space="preserve"> PAGE  \* MERGEFORMAT </w:instrText>
                          </w:r>
                          <w:r>
                            <w:fldChar w:fldCharType="separate"/>
                          </w:r>
                          <w:r>
                            <w:t>15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1B2C347C">
                    <w:pPr>
                      <w:pStyle w:val="16"/>
                    </w:pPr>
                    <w:r>
                      <w:fldChar w:fldCharType="begin"/>
                    </w:r>
                    <w:r>
                      <w:instrText xml:space="preserve"> PAGE  \* MERGEFORMAT </w:instrText>
                    </w:r>
                    <w:r>
                      <w:fldChar w:fldCharType="separate"/>
                    </w:r>
                    <w:r>
                      <w:t>15</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E19C22">
    <w:pPr>
      <w:spacing w:line="188" w:lineRule="auto"/>
      <w:ind w:left="4664"/>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EB17A5">
                          <w:pPr>
                            <w:pStyle w:val="16"/>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20EB17A5">
                    <w:pPr>
                      <w:pStyle w:val="16"/>
                    </w:pPr>
                    <w:r>
                      <w:fldChar w:fldCharType="begin"/>
                    </w:r>
                    <w:r>
                      <w:instrText xml:space="preserve"> PAGE  \* MERGEFORMAT </w:instrText>
                    </w:r>
                    <w:r>
                      <w:fldChar w:fldCharType="separate"/>
                    </w:r>
                    <w:r>
                      <w:t>18</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7C5E5C">
    <w:pPr>
      <w:widowControl/>
      <w:kinsoku w:val="0"/>
      <w:autoSpaceDE w:val="0"/>
      <w:autoSpaceDN w:val="0"/>
      <w:adjustRightInd w:val="0"/>
      <w:snapToGrid w:val="0"/>
      <w:spacing w:line="176" w:lineRule="auto"/>
      <w:ind w:left="5092"/>
      <w:jc w:val="left"/>
      <w:textAlignment w:val="baseline"/>
      <w:rPr>
        <w:rFonts w:ascii="Times New Roman" w:hAnsi="Times New Roman" w:eastAsia="Times New Roman" w:cs="Times New Roman"/>
        <w:snapToGrid w:val="0"/>
        <w:color w:val="000000"/>
        <w:kern w:val="0"/>
        <w:sz w:val="18"/>
        <w:szCs w:val="18"/>
        <w:lang w:eastAsia="en-US"/>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F1F1FDE">
                          <w:pPr>
                            <w:pStyle w:val="16"/>
                          </w:pPr>
                          <w:r>
                            <w:fldChar w:fldCharType="begin"/>
                          </w:r>
                          <w:r>
                            <w:instrText xml:space="preserve"> PAGE  \* MERGEFORMAT </w:instrText>
                          </w:r>
                          <w:r>
                            <w:fldChar w:fldCharType="separate"/>
                          </w:r>
                          <w:r>
                            <w:t>19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4F1F1FDE">
                    <w:pPr>
                      <w:pStyle w:val="16"/>
                    </w:pPr>
                    <w:r>
                      <w:fldChar w:fldCharType="begin"/>
                    </w:r>
                    <w:r>
                      <w:instrText xml:space="preserve"> PAGE  \* MERGEFORMAT </w:instrText>
                    </w:r>
                    <w:r>
                      <w:fldChar w:fldCharType="separate"/>
                    </w:r>
                    <w:r>
                      <w:t>19</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669029">
    <w:pPr>
      <w:spacing w:line="395" w:lineRule="exact"/>
      <w:ind w:left="3951"/>
      <w:rPr>
        <w:rFonts w:ascii="仿宋" w:hAnsi="仿宋" w:eastAsia="仿宋" w:cs="仿宋"/>
        <w:sz w:val="30"/>
        <w:szCs w:val="30"/>
      </w:rPr>
    </w:pPr>
    <w:r>
      <w:rPr>
        <w:sz w:val="30"/>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17F2AC3">
                          <w:pPr>
                            <w:pStyle w:val="16"/>
                          </w:pPr>
                          <w:r>
                            <w:fldChar w:fldCharType="begin"/>
                          </w:r>
                          <w:r>
                            <w:instrText xml:space="preserve"> PAGE  \* MERGEFORMAT </w:instrText>
                          </w:r>
                          <w:r>
                            <w:fldChar w:fldCharType="separate"/>
                          </w:r>
                          <w:r>
                            <w:t>84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617F2AC3">
                    <w:pPr>
                      <w:pStyle w:val="16"/>
                    </w:pPr>
                    <w:r>
                      <w:fldChar w:fldCharType="begin"/>
                    </w:r>
                    <w:r>
                      <w:instrText xml:space="preserve"> PAGE  \* MERGEFORMAT </w:instrText>
                    </w:r>
                    <w:r>
                      <w:fldChar w:fldCharType="separate"/>
                    </w:r>
                    <w:r>
                      <w:t>84</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45B6DC">
    <w:pPr>
      <w:pStyle w:val="16"/>
      <w:ind w:right="360"/>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0F7AC2">
                          <w:pPr>
                            <w:pStyle w:val="16"/>
                          </w:pPr>
                          <w:r>
                            <w:fldChar w:fldCharType="begin"/>
                          </w:r>
                          <w:r>
                            <w:instrText xml:space="preserve"> PAGE  \* MERGEFORMAT </w:instrText>
                          </w:r>
                          <w:r>
                            <w:fldChar w:fldCharType="separate"/>
                          </w:r>
                          <w:r>
                            <w:t>107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5E0F7AC2">
                    <w:pPr>
                      <w:pStyle w:val="16"/>
                    </w:pPr>
                    <w:r>
                      <w:fldChar w:fldCharType="begin"/>
                    </w:r>
                    <w:r>
                      <w:instrText xml:space="preserve"> PAGE  \* MERGEFORMAT </w:instrText>
                    </w:r>
                    <w:r>
                      <w:fldChar w:fldCharType="separate"/>
                    </w:r>
                    <w:r>
                      <w:t>107</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D459FC">
    <w:pPr>
      <w:pStyle w:val="16"/>
      <w:framePr w:wrap="around" w:vAnchor="text" w:hAnchor="margin" w:xAlign="right" w:y="1"/>
      <w:rPr>
        <w:rStyle w:val="29"/>
      </w:rPr>
    </w:pPr>
    <w:r>
      <w:fldChar w:fldCharType="begin"/>
    </w:r>
    <w:r>
      <w:rPr>
        <w:rStyle w:val="29"/>
      </w:rPr>
      <w:instrText xml:space="preserve">PAGE  </w:instrText>
    </w:r>
    <w:r>
      <w:fldChar w:fldCharType="end"/>
    </w:r>
  </w:p>
  <w:p w14:paraId="66F96CF1">
    <w:pPr>
      <w:pStyle w:val="16"/>
      <w:ind w:right="360"/>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EA632B">
    <w:pPr>
      <w:pStyle w:val="16"/>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8BC98C">
    <w:pPr>
      <w:pStyle w:val="16"/>
      <w:ind w:left="300" w:right="359" w:rightChars="171" w:hanging="180" w:hangingChars="100"/>
      <w:rPr>
        <w:rFonts w:eastAsia="楷体_GB2312"/>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BD822A">
                          <w:pPr>
                            <w:pStyle w:val="16"/>
                          </w:pPr>
                          <w:r>
                            <w:fldChar w:fldCharType="begin"/>
                          </w:r>
                          <w:r>
                            <w:instrText xml:space="preserve"> PAGE  \* MERGEFORMAT </w:instrText>
                          </w:r>
                          <w:r>
                            <w:fldChar w:fldCharType="separate"/>
                          </w:r>
                          <w:r>
                            <w:t>113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3mO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G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Y5jICAABjBAAADgAAAAAAAAABACAAAAAfAQAAZHJzL2Uyb0RvYy54bWxQSwUG&#10;AAAAAAYABgBZAQAAwwUAAAAA&#10;">
              <v:fill on="f" focussize="0,0"/>
              <v:stroke on="f" weight="0.5pt"/>
              <v:imagedata o:title=""/>
              <o:lock v:ext="edit" aspectratio="f"/>
              <v:textbox inset="0mm,0mm,0mm,0mm" style="mso-fit-shape-to-text:t;">
                <w:txbxContent>
                  <w:p w14:paraId="50BD822A">
                    <w:pPr>
                      <w:pStyle w:val="16"/>
                    </w:pPr>
                    <w:r>
                      <w:fldChar w:fldCharType="begin"/>
                    </w:r>
                    <w:r>
                      <w:instrText xml:space="preserve"> PAGE  \* MERGEFORMAT </w:instrText>
                    </w:r>
                    <w:r>
                      <w:fldChar w:fldCharType="separate"/>
                    </w:r>
                    <w:r>
                      <w:t>113</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A489C3">
    <w:pPr>
      <w:pStyle w:val="8"/>
      <w:rPr>
        <w:rFonts w:hint="default"/>
        <w:lang w:val="en-US" w:eastAsia="zh-CN"/>
      </w:rPr>
    </w:pPr>
  </w:p>
  <w:p w14:paraId="57B50A85">
    <w:pPr>
      <w:pStyle w:val="8"/>
      <w:jc w:val="both"/>
      <w:rPr>
        <w:rFonts w:hint="default"/>
        <w:lang w:val="en-US"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1CA6AF">
    <w:pPr>
      <w:pStyle w:val="8"/>
      <w:pBdr>
        <w:bottom w:val="single" w:color="auto" w:sz="4" w:space="1"/>
      </w:pBdr>
      <w:jc w:val="both"/>
      <w:rPr>
        <w:rFonts w:hint="default" w:eastAsia="宋体"/>
        <w:lang w:val="en-US" w:eastAsia="zh-C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282DC3">
    <w:pPr>
      <w:pStyle w:val="8"/>
      <w:pBdr>
        <w:bottom w:val="single" w:color="auto" w:sz="4" w:space="1"/>
      </w:pBdr>
      <w:jc w:val="both"/>
      <w:rPr>
        <w:rFonts w:hint="default" w:eastAsia="宋体"/>
        <w:lang w:val="en-US" w:eastAsia="zh-CN"/>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0FA560">
    <w:pPr>
      <w:pStyle w:val="8"/>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C9B044">
    <w:pPr>
      <w:pStyle w:val="8"/>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737A36">
    <w:pPr>
      <w:pStyle w:val="8"/>
      <w:pBdr>
        <w:bottom w:val="single" w:color="auto" w:sz="4" w:space="1"/>
      </w:pBdr>
      <w:jc w:val="both"/>
      <w:rPr>
        <w:rFonts w:hint="default" w:eastAsia="宋体"/>
        <w:lang w:val="en-US" w:eastAsia="zh-CN"/>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480067">
    <w:pPr>
      <w:pStyle w:val="8"/>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2B6156">
    <w:pPr>
      <w:pStyle w:val="8"/>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E9BC08">
    <w:pPr>
      <w:pStyle w:val="8"/>
      <w:pBdr>
        <w:bottom w:val="single" w:color="auto" w:sz="4" w:space="1"/>
      </w:pBdr>
      <w:jc w:val="both"/>
      <w:rPr>
        <w:rFonts w:hint="default" w:eastAsia="宋体"/>
        <w:lang w:val="en-US"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8E049DE"/>
    <w:multiLevelType w:val="singleLevel"/>
    <w:tmpl w:val="88E049DE"/>
    <w:lvl w:ilvl="0" w:tentative="0">
      <w:start w:val="2"/>
      <w:numFmt w:val="decimal"/>
      <w:suff w:val="nothing"/>
      <w:lvlText w:val="%1、"/>
      <w:lvlJc w:val="left"/>
    </w:lvl>
  </w:abstractNum>
  <w:abstractNum w:abstractNumId="1">
    <w:nsid w:val="9A7E65A8"/>
    <w:multiLevelType w:val="singleLevel"/>
    <w:tmpl w:val="9A7E65A8"/>
    <w:lvl w:ilvl="0" w:tentative="0">
      <w:start w:val="3"/>
      <w:numFmt w:val="decimal"/>
      <w:suff w:val="nothing"/>
      <w:lvlText w:val="%1、"/>
      <w:lvlJc w:val="left"/>
    </w:lvl>
  </w:abstractNum>
  <w:abstractNum w:abstractNumId="2">
    <w:nsid w:val="B0AA8F0D"/>
    <w:multiLevelType w:val="singleLevel"/>
    <w:tmpl w:val="B0AA8F0D"/>
    <w:lvl w:ilvl="0" w:tentative="0">
      <w:start w:val="1"/>
      <w:numFmt w:val="decimal"/>
      <w:suff w:val="nothing"/>
      <w:lvlText w:val="%1、"/>
      <w:lvlJc w:val="left"/>
    </w:lvl>
  </w:abstractNum>
  <w:abstractNum w:abstractNumId="3">
    <w:nsid w:val="C91C8BF6"/>
    <w:multiLevelType w:val="singleLevel"/>
    <w:tmpl w:val="C91C8BF6"/>
    <w:lvl w:ilvl="0" w:tentative="0">
      <w:start w:val="6"/>
      <w:numFmt w:val="decimal"/>
      <w:suff w:val="space"/>
      <w:lvlText w:val="%1."/>
      <w:lvlJc w:val="left"/>
    </w:lvl>
  </w:abstractNum>
  <w:abstractNum w:abstractNumId="4">
    <w:nsid w:val="CDA50BEF"/>
    <w:multiLevelType w:val="singleLevel"/>
    <w:tmpl w:val="CDA50BEF"/>
    <w:lvl w:ilvl="0" w:tentative="0">
      <w:start w:val="1"/>
      <w:numFmt w:val="decimal"/>
      <w:suff w:val="nothing"/>
      <w:lvlText w:val="%1、"/>
      <w:lvlJc w:val="left"/>
    </w:lvl>
  </w:abstractNum>
  <w:abstractNum w:abstractNumId="5">
    <w:nsid w:val="E8E9B5B6"/>
    <w:multiLevelType w:val="singleLevel"/>
    <w:tmpl w:val="E8E9B5B6"/>
    <w:lvl w:ilvl="0" w:tentative="0">
      <w:start w:val="2"/>
      <w:numFmt w:val="decimal"/>
      <w:suff w:val="space"/>
      <w:lvlText w:val="(%1)"/>
      <w:lvlJc w:val="left"/>
    </w:lvl>
  </w:abstractNum>
  <w:abstractNum w:abstractNumId="6">
    <w:nsid w:val="FB16E4B2"/>
    <w:multiLevelType w:val="singleLevel"/>
    <w:tmpl w:val="FB16E4B2"/>
    <w:lvl w:ilvl="0" w:tentative="0">
      <w:start w:val="1"/>
      <w:numFmt w:val="decimal"/>
      <w:lvlText w:val="%1."/>
      <w:lvlJc w:val="left"/>
      <w:pPr>
        <w:tabs>
          <w:tab w:val="left" w:pos="312"/>
        </w:tabs>
      </w:pPr>
    </w:lvl>
  </w:abstractNum>
  <w:abstractNum w:abstractNumId="7">
    <w:nsid w:val="087B1468"/>
    <w:multiLevelType w:val="singleLevel"/>
    <w:tmpl w:val="087B1468"/>
    <w:lvl w:ilvl="0" w:tentative="0">
      <w:start w:val="4"/>
      <w:numFmt w:val="decimal"/>
      <w:suff w:val="space"/>
      <w:lvlText w:val="%1."/>
      <w:lvlJc w:val="left"/>
    </w:lvl>
  </w:abstractNum>
  <w:abstractNum w:abstractNumId="8">
    <w:nsid w:val="1548983E"/>
    <w:multiLevelType w:val="singleLevel"/>
    <w:tmpl w:val="1548983E"/>
    <w:lvl w:ilvl="0" w:tentative="0">
      <w:start w:val="1"/>
      <w:numFmt w:val="decimal"/>
      <w:lvlText w:val="(%1)"/>
      <w:lvlJc w:val="left"/>
      <w:pPr>
        <w:tabs>
          <w:tab w:val="left" w:pos="312"/>
        </w:tabs>
      </w:pPr>
    </w:lvl>
  </w:abstractNum>
  <w:abstractNum w:abstractNumId="9">
    <w:nsid w:val="1C371552"/>
    <w:multiLevelType w:val="singleLevel"/>
    <w:tmpl w:val="1C371552"/>
    <w:lvl w:ilvl="0" w:tentative="0">
      <w:start w:val="1"/>
      <w:numFmt w:val="decimal"/>
      <w:lvlText w:val="(%1)"/>
      <w:lvlJc w:val="left"/>
      <w:pPr>
        <w:tabs>
          <w:tab w:val="left" w:pos="312"/>
        </w:tabs>
      </w:pPr>
    </w:lvl>
  </w:abstractNum>
  <w:abstractNum w:abstractNumId="10">
    <w:nsid w:val="2187DAA3"/>
    <w:multiLevelType w:val="singleLevel"/>
    <w:tmpl w:val="2187DAA3"/>
    <w:lvl w:ilvl="0" w:tentative="0">
      <w:start w:val="1"/>
      <w:numFmt w:val="decimal"/>
      <w:suff w:val="nothing"/>
      <w:lvlText w:val="%1、"/>
      <w:lvlJc w:val="left"/>
    </w:lvl>
  </w:abstractNum>
  <w:abstractNum w:abstractNumId="11">
    <w:nsid w:val="2681818C"/>
    <w:multiLevelType w:val="singleLevel"/>
    <w:tmpl w:val="2681818C"/>
    <w:lvl w:ilvl="0" w:tentative="0">
      <w:start w:val="1"/>
      <w:numFmt w:val="decimal"/>
      <w:suff w:val="nothing"/>
      <w:lvlText w:val="%1、"/>
      <w:lvlJc w:val="left"/>
    </w:lvl>
  </w:abstractNum>
  <w:abstractNum w:abstractNumId="12">
    <w:nsid w:val="3AC164A6"/>
    <w:multiLevelType w:val="singleLevel"/>
    <w:tmpl w:val="3AC164A6"/>
    <w:lvl w:ilvl="0" w:tentative="0">
      <w:start w:val="3"/>
      <w:numFmt w:val="decimal"/>
      <w:suff w:val="nothing"/>
      <w:lvlText w:val="%1、"/>
      <w:lvlJc w:val="left"/>
    </w:lvl>
  </w:abstractNum>
  <w:abstractNum w:abstractNumId="13">
    <w:nsid w:val="4A347251"/>
    <w:multiLevelType w:val="multilevel"/>
    <w:tmpl w:val="4A347251"/>
    <w:lvl w:ilvl="0" w:tentative="0">
      <w:start w:val="1"/>
      <w:numFmt w:val="decimal"/>
      <w:suff w:val="nothing"/>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58E602BF"/>
    <w:multiLevelType w:val="singleLevel"/>
    <w:tmpl w:val="58E602BF"/>
    <w:lvl w:ilvl="0" w:tentative="0">
      <w:start w:val="1"/>
      <w:numFmt w:val="decimal"/>
      <w:suff w:val="nothing"/>
      <w:lvlText w:val="%1、"/>
      <w:lvlJc w:val="left"/>
    </w:lvl>
  </w:abstractNum>
  <w:abstractNum w:abstractNumId="15">
    <w:nsid w:val="6CC53B18"/>
    <w:multiLevelType w:val="singleLevel"/>
    <w:tmpl w:val="6CC53B18"/>
    <w:lvl w:ilvl="0" w:tentative="0">
      <w:start w:val="10"/>
      <w:numFmt w:val="chineseCounting"/>
      <w:suff w:val="space"/>
      <w:lvlText w:val="%1、"/>
      <w:lvlJc w:val="left"/>
      <w:rPr>
        <w:rFonts w:hint="eastAsia"/>
      </w:rPr>
    </w:lvl>
  </w:abstractNum>
  <w:num w:numId="1">
    <w:abstractNumId w:val="12"/>
  </w:num>
  <w:num w:numId="2">
    <w:abstractNumId w:val="1"/>
  </w:num>
  <w:num w:numId="3">
    <w:abstractNumId w:val="8"/>
  </w:num>
  <w:num w:numId="4">
    <w:abstractNumId w:val="9"/>
  </w:num>
  <w:num w:numId="5">
    <w:abstractNumId w:val="5"/>
  </w:num>
  <w:num w:numId="6">
    <w:abstractNumId w:val="7"/>
  </w:num>
  <w:num w:numId="7">
    <w:abstractNumId w:val="3"/>
  </w:num>
  <w:num w:numId="8">
    <w:abstractNumId w:val="14"/>
  </w:num>
  <w:num w:numId="9">
    <w:abstractNumId w:val="2"/>
  </w:num>
  <w:num w:numId="10">
    <w:abstractNumId w:val="4"/>
  </w:num>
  <w:num w:numId="11">
    <w:abstractNumId w:val="10"/>
  </w:num>
  <w:num w:numId="12">
    <w:abstractNumId w:val="13"/>
  </w:num>
  <w:num w:numId="13">
    <w:abstractNumId w:val="0"/>
  </w:num>
  <w:num w:numId="14">
    <w:abstractNumId w:val="11"/>
  </w:num>
  <w:num w:numId="15">
    <w:abstractNumId w:val="6"/>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253B74"/>
    <w:rsid w:val="02233350"/>
    <w:rsid w:val="03CF6EEA"/>
    <w:rsid w:val="054106A8"/>
    <w:rsid w:val="07BA3040"/>
    <w:rsid w:val="0A593065"/>
    <w:rsid w:val="0ACE4A7B"/>
    <w:rsid w:val="0B5D075A"/>
    <w:rsid w:val="0DB6712B"/>
    <w:rsid w:val="116A16D3"/>
    <w:rsid w:val="12015BD0"/>
    <w:rsid w:val="16A9552B"/>
    <w:rsid w:val="18CD1DE7"/>
    <w:rsid w:val="1BCA1CA9"/>
    <w:rsid w:val="1C3B564F"/>
    <w:rsid w:val="1C4949C4"/>
    <w:rsid w:val="22B90CE6"/>
    <w:rsid w:val="244125F8"/>
    <w:rsid w:val="26F50089"/>
    <w:rsid w:val="279F31EB"/>
    <w:rsid w:val="286A3964"/>
    <w:rsid w:val="2B0547D8"/>
    <w:rsid w:val="2BBF391A"/>
    <w:rsid w:val="2C904775"/>
    <w:rsid w:val="2DCA1A27"/>
    <w:rsid w:val="30755938"/>
    <w:rsid w:val="3488299F"/>
    <w:rsid w:val="34B15190"/>
    <w:rsid w:val="406F7B94"/>
    <w:rsid w:val="430732AA"/>
    <w:rsid w:val="4508410A"/>
    <w:rsid w:val="4BD40AC2"/>
    <w:rsid w:val="4CAF6F62"/>
    <w:rsid w:val="5D9E5835"/>
    <w:rsid w:val="5EB76955"/>
    <w:rsid w:val="5EF81ADD"/>
    <w:rsid w:val="5EFD23AE"/>
    <w:rsid w:val="5FFD686D"/>
    <w:rsid w:val="637C1C60"/>
    <w:rsid w:val="6412053C"/>
    <w:rsid w:val="664C0223"/>
    <w:rsid w:val="66541A6A"/>
    <w:rsid w:val="66AB39BA"/>
    <w:rsid w:val="66B35163"/>
    <w:rsid w:val="6C826ED0"/>
    <w:rsid w:val="6D453285"/>
    <w:rsid w:val="6DDC3186"/>
    <w:rsid w:val="6EC770E3"/>
    <w:rsid w:val="6F8F284A"/>
    <w:rsid w:val="70C36EE1"/>
    <w:rsid w:val="71FE6305"/>
    <w:rsid w:val="72966DDB"/>
    <w:rsid w:val="742D519B"/>
    <w:rsid w:val="756E5E2F"/>
    <w:rsid w:val="760858AB"/>
    <w:rsid w:val="77DC7478"/>
    <w:rsid w:val="7D7B196D"/>
    <w:rsid w:val="7DC73E5B"/>
    <w:rsid w:val="7EF20FF0"/>
    <w:rsid w:val="7F6C73C3"/>
    <w:rsid w:val="7FCA14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iPriority="39" w:semiHidden="0" w:name="toc 2"/>
    <w:lsdException w:qFormat="1" w:uiPriority="39" w:semiHidden="0" w:name="toc 3"/>
    <w:lsdException w:qFormat="1" w:unhideWhenUsed="0" w:uiPriority="0" w:semiHidden="0" w:name="toc 4"/>
    <w:lsdException w:unhideWhenUsed="0" w:uiPriority="0" w:semiHidden="0" w:name="toc 5"/>
    <w:lsdException w:qFormat="1" w:unhideWhenUsed="0" w:uiPriority="39"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jc w:val="center"/>
      <w:outlineLvl w:val="0"/>
    </w:pPr>
    <w:rPr>
      <w:b/>
      <w:bCs/>
      <w:sz w:val="24"/>
      <w:szCs w:val="20"/>
    </w:rPr>
  </w:style>
  <w:style w:type="paragraph" w:styleId="3">
    <w:name w:val="heading 2"/>
    <w:basedOn w:val="1"/>
    <w:next w:val="1"/>
    <w:qFormat/>
    <w:uiPriority w:val="0"/>
    <w:pPr>
      <w:keepNext/>
      <w:keepLines/>
      <w:spacing w:line="360" w:lineRule="auto"/>
      <w:outlineLvl w:val="1"/>
    </w:pPr>
    <w:rPr>
      <w:rFonts w:ascii="Arial" w:hAnsi="Arial"/>
      <w:b/>
      <w:bCs/>
      <w:sz w:val="24"/>
      <w:szCs w:val="32"/>
    </w:rPr>
  </w:style>
  <w:style w:type="paragraph" w:styleId="4">
    <w:name w:val="heading 3"/>
    <w:basedOn w:val="1"/>
    <w:next w:val="1"/>
    <w:qFormat/>
    <w:uiPriority w:val="0"/>
    <w:pPr>
      <w:keepNext/>
      <w:keepLines/>
      <w:spacing w:before="260" w:after="260" w:line="416" w:lineRule="auto"/>
      <w:outlineLvl w:val="2"/>
    </w:pPr>
    <w:rPr>
      <w:b/>
      <w:bCs/>
      <w:sz w:val="32"/>
      <w:szCs w:val="32"/>
    </w:rPr>
  </w:style>
  <w:style w:type="paragraph" w:styleId="5">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6">
    <w:name w:val="heading 6"/>
    <w:basedOn w:val="1"/>
    <w:next w:val="1"/>
    <w:qFormat/>
    <w:uiPriority w:val="0"/>
    <w:pPr>
      <w:keepNext/>
      <w:keepLines/>
      <w:adjustRightInd w:val="0"/>
      <w:spacing w:before="240" w:after="64" w:line="320" w:lineRule="atLeast"/>
      <w:jc w:val="left"/>
      <w:textAlignment w:val="baseline"/>
      <w:outlineLvl w:val="5"/>
    </w:pPr>
    <w:rPr>
      <w:rFonts w:ascii="Arial" w:hAnsi="Arial" w:eastAsia="黑体"/>
      <w:b/>
      <w:bCs/>
      <w:kern w:val="0"/>
      <w:sz w:val="24"/>
    </w:rPr>
  </w:style>
  <w:style w:type="character" w:default="1" w:styleId="27">
    <w:name w:val="Default Paragraph Font"/>
    <w:semiHidden/>
    <w:qFormat/>
    <w:uiPriority w:val="0"/>
  </w:style>
  <w:style w:type="table" w:default="1" w:styleId="25">
    <w:name w:val="Normal Table"/>
    <w:semiHidden/>
    <w:qFormat/>
    <w:uiPriority w:val="0"/>
    <w:tblPr>
      <w:tblCellMar>
        <w:top w:w="0" w:type="dxa"/>
        <w:left w:w="108" w:type="dxa"/>
        <w:bottom w:w="0" w:type="dxa"/>
        <w:right w:w="108" w:type="dxa"/>
      </w:tblCellMar>
    </w:tblPr>
  </w:style>
  <w:style w:type="paragraph" w:styleId="7">
    <w:name w:val="Normal Indent"/>
    <w:basedOn w:val="1"/>
    <w:next w:val="8"/>
    <w:qFormat/>
    <w:uiPriority w:val="0"/>
    <w:pPr>
      <w:widowControl/>
      <w:ind w:firstLine="420"/>
      <w:jc w:val="left"/>
    </w:pPr>
    <w:rPr>
      <w:kern w:val="0"/>
      <w:sz w:val="20"/>
      <w:szCs w:val="20"/>
    </w:rPr>
  </w:style>
  <w:style w:type="paragraph" w:styleId="8">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9">
    <w:name w:val="annotation text"/>
    <w:basedOn w:val="1"/>
    <w:semiHidden/>
    <w:qFormat/>
    <w:uiPriority w:val="0"/>
    <w:pPr>
      <w:jc w:val="left"/>
    </w:pPr>
  </w:style>
  <w:style w:type="paragraph" w:styleId="10">
    <w:name w:val="Body Text"/>
    <w:basedOn w:val="1"/>
    <w:qFormat/>
    <w:uiPriority w:val="0"/>
    <w:pPr>
      <w:spacing w:after="120"/>
    </w:pPr>
  </w:style>
  <w:style w:type="paragraph" w:styleId="11">
    <w:name w:val="Body Text Indent"/>
    <w:basedOn w:val="1"/>
    <w:qFormat/>
    <w:uiPriority w:val="0"/>
    <w:pPr>
      <w:spacing w:after="120"/>
      <w:ind w:left="420" w:leftChars="200"/>
    </w:pPr>
  </w:style>
  <w:style w:type="paragraph" w:styleId="12">
    <w:name w:val="toc 3"/>
    <w:basedOn w:val="1"/>
    <w:next w:val="1"/>
    <w:unhideWhenUsed/>
    <w:qFormat/>
    <w:uiPriority w:val="39"/>
    <w:pPr>
      <w:adjustRightInd w:val="0"/>
      <w:snapToGrid w:val="0"/>
      <w:spacing w:line="360" w:lineRule="auto"/>
      <w:ind w:left="400" w:leftChars="400"/>
    </w:pPr>
    <w:rPr>
      <w:rFonts w:eastAsia="宋体"/>
      <w:b/>
    </w:rPr>
  </w:style>
  <w:style w:type="paragraph" w:styleId="13">
    <w:name w:val="Plain Text"/>
    <w:basedOn w:val="1"/>
    <w:next w:val="1"/>
    <w:qFormat/>
    <w:uiPriority w:val="0"/>
    <w:rPr>
      <w:rFonts w:ascii="宋体" w:hAnsi="Courier New" w:cs="Courier New"/>
      <w:szCs w:val="21"/>
    </w:rPr>
  </w:style>
  <w:style w:type="paragraph" w:styleId="14">
    <w:name w:val="Date"/>
    <w:basedOn w:val="1"/>
    <w:next w:val="1"/>
    <w:qFormat/>
    <w:uiPriority w:val="0"/>
    <w:rPr>
      <w:sz w:val="24"/>
      <w:szCs w:val="20"/>
    </w:rPr>
  </w:style>
  <w:style w:type="paragraph" w:styleId="15">
    <w:name w:val="Body Text Indent 2"/>
    <w:basedOn w:val="1"/>
    <w:next w:val="1"/>
    <w:qFormat/>
    <w:uiPriority w:val="0"/>
    <w:pPr>
      <w:spacing w:after="120" w:line="480" w:lineRule="auto"/>
      <w:ind w:left="420" w:leftChars="200"/>
    </w:pPr>
  </w:style>
  <w:style w:type="paragraph" w:styleId="16">
    <w:name w:val="footer"/>
    <w:basedOn w:val="1"/>
    <w:qFormat/>
    <w:uiPriority w:val="0"/>
    <w:pPr>
      <w:tabs>
        <w:tab w:val="center" w:pos="4153"/>
        <w:tab w:val="right" w:pos="8306"/>
      </w:tabs>
      <w:snapToGrid w:val="0"/>
      <w:jc w:val="left"/>
    </w:pPr>
    <w:rPr>
      <w:sz w:val="18"/>
      <w:szCs w:val="18"/>
    </w:rPr>
  </w:style>
  <w:style w:type="paragraph" w:styleId="17">
    <w:name w:val="toc 1"/>
    <w:basedOn w:val="1"/>
    <w:next w:val="1"/>
    <w:qFormat/>
    <w:uiPriority w:val="39"/>
    <w:pPr>
      <w:spacing w:line="360" w:lineRule="auto"/>
    </w:pPr>
    <w:rPr>
      <w:rFonts w:ascii="宋体" w:hAnsi="宋体" w:eastAsia="宋体"/>
      <w:b/>
      <w:sz w:val="24"/>
      <w:szCs w:val="21"/>
    </w:rPr>
  </w:style>
  <w:style w:type="paragraph" w:styleId="18">
    <w:name w:val="toc 4"/>
    <w:basedOn w:val="1"/>
    <w:next w:val="1"/>
    <w:qFormat/>
    <w:uiPriority w:val="0"/>
    <w:pPr>
      <w:ind w:left="1260" w:leftChars="600"/>
    </w:pPr>
  </w:style>
  <w:style w:type="paragraph" w:styleId="19">
    <w:name w:val="toc 6"/>
    <w:basedOn w:val="1"/>
    <w:next w:val="1"/>
    <w:qFormat/>
    <w:uiPriority w:val="39"/>
    <w:pPr>
      <w:ind w:left="2100"/>
    </w:pPr>
    <w:rPr>
      <w:szCs w:val="20"/>
    </w:rPr>
  </w:style>
  <w:style w:type="paragraph" w:styleId="20">
    <w:name w:val="toc 2"/>
    <w:basedOn w:val="1"/>
    <w:next w:val="1"/>
    <w:unhideWhenUsed/>
    <w:qFormat/>
    <w:uiPriority w:val="39"/>
    <w:pPr>
      <w:spacing w:line="360" w:lineRule="auto"/>
      <w:ind w:left="200" w:leftChars="200"/>
    </w:pPr>
    <w:rPr>
      <w:rFonts w:eastAsia="宋体"/>
      <w:b/>
    </w:rPr>
  </w:style>
  <w:style w:type="paragraph" w:styleId="21">
    <w:name w:val="Body Text 2"/>
    <w:basedOn w:val="1"/>
    <w:qFormat/>
    <w:uiPriority w:val="0"/>
    <w:pPr>
      <w:spacing w:after="120" w:line="480" w:lineRule="auto"/>
    </w:pPr>
  </w:style>
  <w:style w:type="paragraph" w:styleId="22">
    <w:name w:val="Normal (Web)"/>
    <w:basedOn w:val="1"/>
    <w:qFormat/>
    <w:uiPriority w:val="0"/>
    <w:pPr>
      <w:widowControl w:val="0"/>
      <w:spacing w:before="100" w:beforeAutospacing="1" w:after="100" w:afterAutospacing="1"/>
      <w:ind w:left="0" w:right="0"/>
      <w:jc w:val="left"/>
    </w:pPr>
    <w:rPr>
      <w:rFonts w:ascii="Calibri" w:hAnsi="Calibri" w:eastAsia="宋体" w:cs="Calibri"/>
      <w:kern w:val="0"/>
      <w:sz w:val="24"/>
      <w:szCs w:val="24"/>
      <w:lang w:val="en-US" w:eastAsia="zh-CN"/>
    </w:rPr>
  </w:style>
  <w:style w:type="paragraph" w:styleId="23">
    <w:name w:val="Body Text First Indent"/>
    <w:basedOn w:val="10"/>
    <w:next w:val="19"/>
    <w:qFormat/>
    <w:uiPriority w:val="0"/>
    <w:pPr>
      <w:autoSpaceDE w:val="0"/>
      <w:autoSpaceDN w:val="0"/>
      <w:adjustRightInd w:val="0"/>
      <w:spacing w:line="360" w:lineRule="auto"/>
      <w:ind w:firstLine="420" w:firstLineChars="200"/>
      <w:textAlignment w:val="baseline"/>
    </w:pPr>
    <w:rPr>
      <w:rFonts w:ascii="宋体"/>
      <w:sz w:val="34"/>
    </w:rPr>
  </w:style>
  <w:style w:type="paragraph" w:styleId="24">
    <w:name w:val="Body Text First Indent 2"/>
    <w:basedOn w:val="11"/>
    <w:qFormat/>
    <w:uiPriority w:val="0"/>
    <w:pPr>
      <w:ind w:firstLine="420" w:firstLineChars="200"/>
    </w:pPr>
  </w:style>
  <w:style w:type="table" w:styleId="26">
    <w:name w:val="Table Grid"/>
    <w:basedOn w:val="25"/>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8">
    <w:name w:val="Strong"/>
    <w:basedOn w:val="27"/>
    <w:qFormat/>
    <w:uiPriority w:val="0"/>
    <w:rPr>
      <w:b/>
      <w:bCs/>
    </w:rPr>
  </w:style>
  <w:style w:type="character" w:styleId="29">
    <w:name w:val="page number"/>
    <w:basedOn w:val="27"/>
    <w:qFormat/>
    <w:uiPriority w:val="0"/>
  </w:style>
  <w:style w:type="paragraph" w:customStyle="1" w:styleId="30">
    <w:name w:val="列出段落1"/>
    <w:basedOn w:val="31"/>
    <w:qFormat/>
    <w:uiPriority w:val="0"/>
    <w:pPr>
      <w:ind w:firstLine="420" w:firstLineChars="200"/>
    </w:pPr>
    <w:rPr>
      <w:szCs w:val="21"/>
    </w:rPr>
  </w:style>
  <w:style w:type="paragraph" w:customStyle="1" w:styleId="31">
    <w:name w:val="正文_10_43"/>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32">
    <w:name w:val="NormalCharacter"/>
    <w:qFormat/>
    <w:uiPriority w:val="0"/>
    <w:rPr>
      <w:rFonts w:ascii="Times New Roman" w:hAnsi="Times New Roman" w:eastAsia="宋体" w:cs="Times New Roman"/>
      <w:kern w:val="2"/>
      <w:sz w:val="21"/>
      <w:szCs w:val="24"/>
      <w:lang w:val="en-US" w:eastAsia="zh-CN" w:bidi="ar-SA"/>
    </w:rPr>
  </w:style>
  <w:style w:type="paragraph" w:customStyle="1" w:styleId="33">
    <w:name w:val="样式2"/>
    <w:basedOn w:val="34"/>
    <w:next w:val="1"/>
    <w:qFormat/>
    <w:uiPriority w:val="0"/>
    <w:pPr>
      <w:tabs>
        <w:tab w:val="left" w:pos="360"/>
        <w:tab w:val="left" w:pos="992"/>
        <w:tab w:val="left" w:pos="1133"/>
        <w:tab w:val="left" w:pos="2268"/>
      </w:tabs>
      <w:adjustRightInd/>
      <w:spacing w:line="372" w:lineRule="auto"/>
      <w:ind w:firstLine="562" w:firstLineChars="200"/>
      <w:jc w:val="both"/>
      <w:textAlignment w:val="auto"/>
    </w:pPr>
    <w:rPr>
      <w:color w:val="FF0000"/>
      <w:sz w:val="24"/>
      <w:szCs w:val="24"/>
    </w:rPr>
  </w:style>
  <w:style w:type="paragraph" w:customStyle="1" w:styleId="34">
    <w:name w:val="样式1"/>
    <w:basedOn w:val="1"/>
    <w:next w:val="1"/>
    <w:qFormat/>
    <w:uiPriority w:val="0"/>
    <w:pPr>
      <w:tabs>
        <w:tab w:val="left" w:pos="360"/>
      </w:tabs>
      <w:adjustRightInd w:val="0"/>
      <w:ind w:left="360" w:hanging="360"/>
      <w:textAlignment w:val="baseline"/>
    </w:pPr>
    <w:rPr>
      <w:rFonts w:ascii="宋体" w:hAnsi="宋体"/>
      <w:kern w:val="0"/>
      <w:szCs w:val="21"/>
    </w:rPr>
  </w:style>
  <w:style w:type="table" w:customStyle="1" w:styleId="35">
    <w:name w:val="Table Normal"/>
    <w:unhideWhenUsed/>
    <w:qFormat/>
    <w:uiPriority w:val="0"/>
    <w:tblPr>
      <w:tblCellMar>
        <w:top w:w="0" w:type="dxa"/>
        <w:left w:w="0" w:type="dxa"/>
        <w:bottom w:w="0" w:type="dxa"/>
        <w:right w:w="0" w:type="dxa"/>
      </w:tblCellMar>
    </w:tblPr>
  </w:style>
  <w:style w:type="paragraph" w:customStyle="1" w:styleId="36">
    <w:name w:val="BodyText2"/>
    <w:basedOn w:val="1"/>
    <w:qFormat/>
    <w:uiPriority w:val="0"/>
    <w:pPr>
      <w:spacing w:after="120" w:line="480" w:lineRule="auto"/>
      <w:textAlignment w:val="baseline"/>
    </w:pPr>
  </w:style>
  <w:style w:type="paragraph" w:styleId="37">
    <w:name w:val="List Paragraph"/>
    <w:basedOn w:val="1"/>
    <w:qFormat/>
    <w:uiPriority w:val="34"/>
    <w:pPr>
      <w:ind w:firstLine="420" w:firstLineChars="200"/>
    </w:pPr>
  </w:style>
  <w:style w:type="character" w:customStyle="1" w:styleId="38">
    <w:name w:val="font11"/>
    <w:basedOn w:val="27"/>
    <w:qFormat/>
    <w:uiPriority w:val="0"/>
    <w:rPr>
      <w:rFonts w:hint="eastAsia" w:ascii="宋体" w:hAnsi="宋体" w:eastAsia="宋体" w:cs="宋体"/>
      <w:color w:val="000000"/>
      <w:sz w:val="24"/>
      <w:szCs w:val="24"/>
      <w:u w:val="none"/>
    </w:rPr>
  </w:style>
  <w:style w:type="paragraph" w:customStyle="1" w:styleId="39">
    <w:name w:val="Table Paragraph"/>
    <w:basedOn w:val="1"/>
    <w:qFormat/>
    <w:uiPriority w:val="1"/>
    <w:rPr>
      <w:rFonts w:ascii="仿宋" w:hAnsi="仿宋" w:eastAsia="仿宋" w:cs="仿宋"/>
      <w:lang w:val="zh-CN" w:bidi="zh-CN"/>
    </w:rPr>
  </w:style>
  <w:style w:type="paragraph" w:customStyle="1" w:styleId="40">
    <w:name w:val="正文_0"/>
    <w:qFormat/>
    <w:uiPriority w:val="0"/>
    <w:pPr>
      <w:widowControl w:val="0"/>
      <w:jc w:val="both"/>
    </w:pPr>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1.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4" Type="http://schemas.openxmlformats.org/officeDocument/2006/relationships/fontTable" Target="fontTable.xml"/><Relationship Id="rId33" Type="http://schemas.openxmlformats.org/officeDocument/2006/relationships/customXml" Target="../customXml/item2.xml"/><Relationship Id="rId32" Type="http://schemas.openxmlformats.org/officeDocument/2006/relationships/numbering" Target="numbering.xml"/><Relationship Id="rId31" Type="http://schemas.openxmlformats.org/officeDocument/2006/relationships/customXml" Target="../customXml/item1.xml"/><Relationship Id="rId30" Type="http://schemas.openxmlformats.org/officeDocument/2006/relationships/oleObject" Target="embeddings/oleObject2.bin"/><Relationship Id="rId3" Type="http://schemas.openxmlformats.org/officeDocument/2006/relationships/footer" Target="footer1.xml"/><Relationship Id="rId29" Type="http://schemas.openxmlformats.org/officeDocument/2006/relationships/image" Target="media/image3.wmf"/><Relationship Id="rId28" Type="http://schemas.openxmlformats.org/officeDocument/2006/relationships/oleObject" Target="embeddings/oleObject1.bin"/><Relationship Id="rId27" Type="http://schemas.openxmlformats.org/officeDocument/2006/relationships/image" Target="media/image2.jpeg"/><Relationship Id="rId26" Type="http://schemas.openxmlformats.org/officeDocument/2006/relationships/image" Target="media/image1.png"/><Relationship Id="rId25" Type="http://schemas.openxmlformats.org/officeDocument/2006/relationships/theme" Target="theme/theme1.xml"/><Relationship Id="rId24" Type="http://schemas.openxmlformats.org/officeDocument/2006/relationships/header" Target="header9.xml"/><Relationship Id="rId23" Type="http://schemas.openxmlformats.org/officeDocument/2006/relationships/footer" Target="footer13.xml"/><Relationship Id="rId22" Type="http://schemas.openxmlformats.org/officeDocument/2006/relationships/header" Target="header8.xml"/><Relationship Id="rId21" Type="http://schemas.openxmlformats.org/officeDocument/2006/relationships/header" Target="header7.xml"/><Relationship Id="rId20" Type="http://schemas.openxmlformats.org/officeDocument/2006/relationships/header" Target="header6.xml"/><Relationship Id="rId2" Type="http://schemas.openxmlformats.org/officeDocument/2006/relationships/settings" Target="settings.xml"/><Relationship Id="rId19" Type="http://schemas.openxmlformats.org/officeDocument/2006/relationships/footer" Target="footer12.xml"/><Relationship Id="rId18" Type="http://schemas.openxmlformats.org/officeDocument/2006/relationships/footer" Target="footer11.xml"/><Relationship Id="rId17" Type="http://schemas.openxmlformats.org/officeDocument/2006/relationships/footer" Target="footer10.xml"/><Relationship Id="rId16" Type="http://schemas.openxmlformats.org/officeDocument/2006/relationships/header" Target="header5.xml"/><Relationship Id="rId15" Type="http://schemas.openxmlformats.org/officeDocument/2006/relationships/header" Target="header4.xml"/><Relationship Id="rId14" Type="http://schemas.openxmlformats.org/officeDocument/2006/relationships/header" Target="header3.xml"/><Relationship Id="rId13" Type="http://schemas.openxmlformats.org/officeDocument/2006/relationships/footer" Target="footer9.xml"/><Relationship Id="rId12" Type="http://schemas.openxmlformats.org/officeDocument/2006/relationships/header" Target="header2.xml"/><Relationship Id="rId11" Type="http://schemas.openxmlformats.org/officeDocument/2006/relationships/footer" Target="footer8.xml"/><Relationship Id="rId10" Type="http://schemas.openxmlformats.org/officeDocument/2006/relationships/footer" Target="footer7.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5c36e669-e6cb-4a8a-b638-bcf85f9216fb</errorID>
      <errorWord>2026年06月</errorWord>
      <group>L1_Knowledge</group>
      <groupName>知识性问题</groupName>
      <ability>L2_Time</ability>
      <abilityName>日期时间</abilityName>
      <candidateList>
        <item>2026年6月</item>
      </candidateList>
      <explain>根据日常书写习惯，月份一般会省略前导零。</explain>
      <paraID>7CEB69A8</paraID>
      <start>1</start>
      <end>9</end>
      <status>unmodified</status>
      <modifiedWord/>
      <trackRevisions>false</trackRevisions>
    </reviewItem>
    <reviewItem>
      <errorID>26b20184-e4d4-4976-85f3-9e52792c728d</errorID>
      <errorWord>(</errorWord>
      <group>L1_Format</group>
      <groupName>格式问题</groupName>
      <ability>L2_HalfPunc_CN</ability>
      <abilityName>全半角检查</abilityName>
      <candidateList>
        <item>（</item>
      </candidateList>
      <explain>文本全半角错误。</explain>
      <paraID>48717F04</paraID>
      <start>37</start>
      <end>38</end>
      <status>unmodified</status>
      <modifiedWord/>
      <trackRevisions>false</trackRevisions>
    </reviewItem>
    <reviewItem>
      <errorID>18dfd791-9873-495f-b4fa-614bf25bfbb4</errorID>
      <errorWord>)</errorWord>
      <group>L1_Format</group>
      <groupName>格式问题</groupName>
      <ability>L2_HalfPunc_CN</ability>
      <abilityName>全半角检查</abilityName>
      <candidateList>
        <item>）</item>
      </candidateList>
      <explain>文本全半角错误。</explain>
      <paraID>48717F04</paraID>
      <start>42</start>
      <end>43</end>
      <status>unmodified</status>
      <modifiedWord/>
      <trackRevisions>false</trackRevisions>
    </reviewItem>
    <reviewItem>
      <errorID>95e4f2a1-4b13-4580-b792-0c3fab0b7212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3112929C</paraID>
      <start>0</start>
      <end>2</end>
      <status>unmodified</status>
      <modifiedWord/>
      <trackRevisions>false</trackRevisions>
    </reviewItem>
    <reviewItem>
      <errorID>5c4d5c67-804d-45fd-818a-e4ed377697fd</errorID>
      <errorWord>[2026]</errorWord>
      <group>L1_Punc</group>
      <groupName>标点问题</groupName>
      <ability>L2_Punc_CN</ability>
      <abilityName>标点符号检查</abilityName>
      <candidateList>
        <item>〔2026〕</item>
      </candidateList>
      <explain/>
      <paraID>3112929C</paraID>
      <start>15</start>
      <end>21</end>
      <status>unmodified</status>
      <modifiedWord/>
      <trackRevisions>false</trackRevisions>
    </reviewItem>
    <reviewItem>
      <errorID>02f47e7e-7c60-4527-8c1a-7f59449a6828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52387280</paraID>
      <start>0</start>
      <end>2</end>
      <status>unmodified</status>
      <modifiedWord/>
      <trackRevisions>false</trackRevisions>
    </reviewItem>
    <reviewItem>
      <errorID>3003c316-7c3b-4ae6-940b-75310a3a5cf6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17EFEA9F</paraID>
      <start>0</start>
      <end>2</end>
      <status>unmodified</status>
      <modifiedWord/>
      <trackRevisions>false</trackRevisions>
    </reviewItem>
    <reviewItem>
      <errorID>e1c043cb-6fbd-4f14-865c-ef9e1c164f9a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3273DF90</paraID>
      <start>0</start>
      <end>2</end>
      <status>unmodified</status>
      <modifiedWord/>
      <trackRevisions>false</trackRevisions>
    </reviewItem>
    <reviewItem>
      <errorID>0ab1f588-6801-4da2-ad03-80903854f5c3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639268F2</paraID>
      <start>0</start>
      <end>2</end>
      <status>unmodified</status>
      <modifiedWord/>
      <trackRevisions>false</trackRevisions>
    </reviewItem>
    <reviewItem>
      <errorID>05a511da-2eb1-48b5-92f0-dad3ca075a3e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53189D4C</paraID>
      <start>0</start>
      <end>2</end>
      <status>unmodified</status>
      <modifiedWord/>
      <trackRevisions>false</trackRevisions>
    </reviewItem>
    <reviewItem>
      <errorID>83a9f02e-b464-400e-95f6-825c146cae08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3D8D8F33</paraID>
      <start>0</start>
      <end>2</end>
      <status>unmodified</status>
      <modifiedWord/>
      <trackRevisions>false</trackRevisions>
    </reviewItem>
    <reviewItem>
      <errorID>5022e14c-8ac3-41bd-8ead-8fb9f211ad07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3E27BFB6</paraID>
      <start>0</start>
      <end>2</end>
      <status>unmodified</status>
      <modifiedWord/>
      <trackRevisions>false</trackRevisions>
    </reviewItem>
    <reviewItem>
      <errorID>f2c1168e-acc2-4b75-867f-cad767df458b</errorID>
      <errorWord>(</errorWord>
      <group>L1_Format</group>
      <groupName>格式问题</groupName>
      <ability>L2_HalfPunc_CN</ability>
      <abilityName>全半角检查</abilityName>
      <candidateList>
        <item>（</item>
      </candidateList>
      <explain>文本全半角错误。</explain>
      <paraID>720D33C4</paraID>
      <start>4</start>
      <end>5</end>
      <status>unmodified</status>
      <modifiedWord/>
      <trackRevisions>false</trackRevisions>
    </reviewItem>
    <reviewItem>
      <errorID>a56a9550-64f8-497c-aedf-c69efeb54bc7</errorID>
      <errorWord>)</errorWord>
      <group>L1_Format</group>
      <groupName>格式问题</groupName>
      <ability>L2_HalfPunc_CN</ability>
      <abilityName>全半角检查</abilityName>
      <candidateList>
        <item>）</item>
      </candidateList>
      <explain>文本全半角错误。</explain>
      <paraID>720D33C4</paraID>
      <start>6</start>
      <end>7</end>
      <status>unmodified</status>
      <modifiedWord/>
      <trackRevisions>false</trackRevisions>
    </reviewItem>
    <reviewItem>
      <errorID>c75f6370-6307-40b8-9392-6c90e123ed11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780F31F8</paraID>
      <start>0</start>
      <end>2</end>
      <status>unmodified</status>
      <modifiedWord/>
      <trackRevisions>false</trackRevisions>
    </reviewItem>
    <reviewItem>
      <errorID>67b35db5-9389-4e8e-b698-6b3a3446110d</errorID>
      <errorWord>《政府采购法》</errorWord>
      <group>L1_Word</group>
      <groupName>字词问题</groupName>
      <ability>L2_Typo</ability>
      <abilityName>字词错误</abilityName>
      <candidateList>
        <item>《中华人民共和国政府采购法》</item>
      </candidateList>
      <explain/>
      <paraID>75E73F5A</paraID>
      <start>52</start>
      <end>59</end>
      <status>unmodified</status>
      <modifiedWord/>
      <trackRevisions>false</trackRevisions>
    </reviewItem>
    <reviewItem>
      <errorID>cb61229f-32d4-4254-accd-1374dbb9e3e7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30259B34</paraID>
      <start>0</start>
      <end>2</end>
      <status>unmodified</status>
      <modifiedWord/>
      <trackRevisions>false</trackRevisions>
    </reviewItem>
    <reviewItem>
      <errorID>8abd9ab5-f989-4fea-9b8b-1d4a2d68091d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73175591</paraID>
      <start>0</start>
      <end>2</end>
      <status>unmodified</status>
      <modifiedWord/>
      <trackRevisions>false</trackRevisions>
    </reviewItem>
    <reviewItem>
      <errorID>b356f197-be08-48bc-8f12-7afcd6af76c3</errorID>
      <errorWord>(</errorWord>
      <group>L1_Format</group>
      <groupName>格式问题</groupName>
      <ability>L2_HalfPunc_CN</ability>
      <abilityName>全半角检查</abilityName>
      <candidateList>
        <item>（</item>
      </candidateList>
      <explain>文本全半角错误。</explain>
      <paraID>73175591</paraID>
      <start>15</start>
      <end>16</end>
      <status>unmodified</status>
      <modifiedWord/>
      <trackRevisions>false</trackRevisions>
    </reviewItem>
    <reviewItem>
      <errorID>687acf71-2b61-47e3-ad57-d9920c2438cf</errorID>
      <errorWord>)</errorWord>
      <group>L1_Format</group>
      <groupName>格式问题</groupName>
      <ability>L2_HalfPunc_CN</ability>
      <abilityName>全半角检查</abilityName>
      <candidateList>
        <item>）</item>
      </candidateList>
      <explain>文本全半角错误。</explain>
      <paraID>73175591</paraID>
      <start>22</start>
      <end>23</end>
      <status>unmodified</status>
      <modifiedWord/>
      <trackRevisions>false</trackRevisions>
    </reviewItem>
    <reviewItem>
      <errorID>c130028c-88c8-42f3-b687-160805682296</errorID>
      <errorWord>，</errorWord>
      <group>L1_Word</group>
      <groupName>字词问题</groupName>
      <ability>L2_Typo</ability>
      <abilityName>字词错误</abilityName>
      <candidateList>
        <item>，可</item>
      </candidateList>
      <explain/>
      <paraID>39308F6F</paraID>
      <start>25</start>
      <end>26</end>
      <status>unmodified</status>
      <modifiedWord/>
      <trackRevisions>false</trackRevisions>
    </reviewItem>
    <reviewItem>
      <errorID>2803ef27-3df2-4ddd-9427-d4ab0125b37f</errorID>
      <errorWord>(</errorWord>
      <group>L1_Format</group>
      <groupName>格式问题</groupName>
      <ability>L2_HalfPunc_CN</ability>
      <abilityName>全半角检查</abilityName>
      <candidateList>
        <item>（</item>
      </candidateList>
      <explain>文本全半角错误。</explain>
      <paraID>5BFBB6CB</paraID>
      <start>33</start>
      <end>34</end>
      <status>unmodified</status>
      <modifiedWord/>
      <trackRevisions>false</trackRevisions>
    </reviewItem>
    <reviewItem>
      <errorID>73214dd7-8de1-41ab-8310-bdad1db15cfe</errorID>
      <errorWord>)</errorWord>
      <group>L1_Format</group>
      <groupName>格式问题</groupName>
      <ability>L2_HalfPunc_CN</ability>
      <abilityName>全半角检查</abilityName>
      <candidateList>
        <item>）</item>
      </candidateList>
      <explain>文本全半角错误。</explain>
      <paraID>5BFBB6CB</paraID>
      <start>38</start>
      <end>39</end>
      <status>unmodified</status>
      <modifiedWord/>
      <trackRevisions>false</trackRevisions>
    </reviewItem>
    <reviewItem>
      <errorID>b3c7fd05-05a0-4d2b-a444-6414ea3ca983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6A80BDA3</paraID>
      <start>0</start>
      <end>2</end>
      <status>unmodified</status>
      <modifiedWord/>
      <trackRevisions>false</trackRevisions>
    </reviewItem>
    <reviewItem>
      <errorID>51dbbf09-8ef8-456d-be82-9b5ba14deef4</errorID>
      <errorWord>-</errorWord>
      <group>L1_Format</group>
      <groupName>格式问题</groupName>
      <ability>L2_HalfPunc_CN</ability>
      <abilityName>全半角检查</abilityName>
      <candidateList>
        <item>－</item>
      </candidateList>
      <explain>文本全半角错误。</explain>
      <paraID>6A80BDA3</paraID>
      <start>66</start>
      <end>67</end>
      <status>unmodified</status>
      <modifiedWord/>
      <trackRevisions>false</trackRevisions>
    </reviewItem>
    <reviewItem>
      <errorID>e6976ac5-ffb2-450e-9b76-163a0d5c2525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32F66D9A</paraID>
      <start>0</start>
      <end>2</end>
      <status>unmodified</status>
      <modifiedWord/>
      <trackRevisions>false</trackRevisions>
    </reviewItem>
    <reviewItem>
      <errorID>4e642a9e-4e48-4535-98cf-ed13598cef75</errorID>
      <errorWord>(</errorWord>
      <group>L1_Format</group>
      <groupName>格式问题</groupName>
      <ability>L2_HalfPunc_CN</ability>
      <abilityName>全半角检查</abilityName>
      <candidateList>
        <item>（</item>
      </candidateList>
      <explain>文本全半角错误。</explain>
      <paraID>32F66D9A</paraID>
      <start>26</start>
      <end>27</end>
      <status>unmodified</status>
      <modifiedWord/>
      <trackRevisions>false</trackRevisions>
    </reviewItem>
    <reviewItem>
      <errorID>75bf206f-db3d-4521-beb4-cb9d132df5b6</errorID>
      <errorWord>)</errorWord>
      <group>L1_Format</group>
      <groupName>格式问题</groupName>
      <ability>L2_HalfPunc_CN</ability>
      <abilityName>全半角检查</abilityName>
      <candidateList>
        <item>）</item>
      </candidateList>
      <explain>文本全半角错误。</explain>
      <paraID>32F66D9A</paraID>
      <start>31</start>
      <end>32</end>
      <status>unmodified</status>
      <modifiedWord/>
      <trackRevisions>false</trackRevisions>
    </reviewItem>
    <reviewItem>
      <errorID>b7fef453-a299-4ebd-b938-2e865613e0fc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15547E97</paraID>
      <start>0</start>
      <end>2</end>
      <status>unmodified</status>
      <modifiedWord/>
      <trackRevisions>false</trackRevisions>
    </reviewItem>
    <reviewItem>
      <errorID>a3252d52-b055-49e4-b8d3-1fd2c7b3e5fd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17B6D7CA</paraID>
      <start>0</start>
      <end>2</end>
      <status>unmodified</status>
      <modifiedWord/>
      <trackRevisions>false</trackRevisions>
    </reviewItem>
    <reviewItem>
      <errorID>84ec57bf-6b87-4bea-8770-13925b319e5a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29133C00</paraID>
      <start>0</start>
      <end>2</end>
      <status>unmodified</status>
      <modifiedWord/>
      <trackRevisions>false</trackRevisions>
    </reviewItem>
    <reviewItem>
      <errorID>7a0d93c6-1af6-4edc-bcb9-89ddacbff83e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2517CB02</paraID>
      <start>0</start>
      <end>2</end>
      <status>unmodified</status>
      <modifiedWord/>
      <trackRevisions>false</trackRevisions>
    </reviewItem>
    <reviewItem>
      <errorID>896f5322-9926-49d7-8224-29b28f80545a</errorID>
      <errorWord>(</errorWord>
      <group>L1_Format</group>
      <groupName>格式问题</groupName>
      <ability>L2_HalfPunc_CN</ability>
      <abilityName>全半角检查</abilityName>
      <candidateList>
        <item>（</item>
      </candidateList>
      <explain>文本全半角错误。</explain>
      <paraID>2517CB02</paraID>
      <start>97</start>
      <end>98</end>
      <status>unmodified</status>
      <modifiedWord/>
      <trackRevisions>false</trackRevisions>
    </reviewItem>
    <reviewItem>
      <errorID>0a232838-d8d1-48f0-a83b-bd045641dc88</errorID>
      <errorWord>)</errorWord>
      <group>L1_Format</group>
      <groupName>格式问题</groupName>
      <ability>L2_HalfPunc_CN</ability>
      <abilityName>全半角检查</abilityName>
      <candidateList>
        <item>）</item>
      </candidateList>
      <explain>文本全半角错误。</explain>
      <paraID>2517CB02</paraID>
      <start>110</start>
      <end>111</end>
      <status>unmodified</status>
      <modifiedWord/>
      <trackRevisions>false</trackRevisions>
    </reviewItem>
    <reviewItem>
      <errorID>fa3d3cf5-d778-4f0a-93b8-8a49dd2507e2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700616D7</paraID>
      <start>0</start>
      <end>2</end>
      <status>unmodified</status>
      <modifiedWord/>
      <trackRevisions>false</trackRevisions>
    </reviewItem>
    <reviewItem>
      <errorID>ab4f64c6-63c5-41ed-b78c-949da3d12c91</errorID>
      <errorWord>：/</errorWord>
      <group>L1_Punc</group>
      <groupName>标点问题</groupName>
      <ability>L2_Punc_CN</ability>
      <abilityName>标点符号检查</abilityName>
      <candidateList>
        <item>：</item>
      </candidateList>
      <explain/>
      <paraID>7E912EFE</paraID>
      <start>7</start>
      <end>9</end>
      <status>unmodified</status>
      <modifiedWord/>
      <trackRevisions>false</trackRevisions>
    </reviewItem>
    <reviewItem>
      <errorID>360c4f60-9f1f-4721-bd3c-ce39e9e947d8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188E2667</paraID>
      <start>0</start>
      <end>2</end>
      <status>unmodified</status>
      <modifiedWord/>
      <trackRevisions>false</trackRevisions>
    </reviewItem>
    <reviewItem>
      <errorID>318e7600-9738-4b3a-8181-1a9a6b2605d9</errorID>
      <errorWord>王丹</errorWord>
      <group>L1_Sensitive</group>
      <groupName>敏感问题</groupName>
      <ability>L2_Violent</ability>
      <abilityName>暴恐词条</abilityName>
      <candidateList/>
      <explain>【暴恐词条】句中包含暴恐类敏感词条，请注意甄别。</explain>
      <paraID>4875A2D2</paraID>
      <start>13</start>
      <end>15</end>
      <status>unmodified</status>
      <modifiedWord/>
      <trackRevisions>false</trackRevisions>
    </reviewItem>
    <reviewItem>
      <errorID>6343112d-18d5-4235-b3ac-8bcddc53cfd9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71F5CE31</paraID>
      <start>0</start>
      <end>2</end>
      <status>unmodified</status>
      <modifiedWord/>
      <trackRevisions>false</trackRevisions>
    </reviewItem>
    <reviewItem>
      <errorID>d7efcba5-2fe3-4b10-a3a1-1db30c9f977f</errorID>
      <errorWord>王丹</errorWord>
      <group>L1_Sensitive</group>
      <groupName>敏感问题</groupName>
      <ability>L2_Violent</ability>
      <abilityName>暴恐词条</abilityName>
      <candidateList/>
      <explain>【暴恐词条】句中包含暴恐类敏感词条，请注意甄别。</explain>
      <paraID>684728ED</paraID>
      <start>10</start>
      <end>12</end>
      <status>unmodified</status>
      <modifiedWord/>
      <trackRevisions>false</trackRevisions>
    </reviewItem>
    <reviewItem>
      <errorID>080ed7b6-538e-41a3-a7c9-6dfb34753f99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5A0EAE25</paraID>
      <start>0</start>
      <end>2</end>
      <status>unmodified</status>
      <modifiedWord/>
      <trackRevisions>false</trackRevisions>
    </reviewItem>
    <reviewItem>
      <errorID>1b830e57-c001-4dd6-a0d9-861343964164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54691AF1</paraID>
      <start>0</start>
      <end>2</end>
      <status>unmodified</status>
      <modifiedWord/>
      <trackRevisions>false</trackRevisions>
    </reviewItem>
    <reviewItem>
      <errorID>eb77f285-b8be-4e9f-90c0-22f65bc856c2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1C648619</paraID>
      <start>0</start>
      <end>2</end>
      <status>unmodified</status>
      <modifiedWord/>
      <trackRevisions>false</trackRevisions>
    </reviewItem>
    <reviewItem>
      <errorID>6cd7d008-fb05-4817-b3b5-049572f2e76f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6F631176</paraID>
      <start>0</start>
      <end>2</end>
      <status>unmodified</status>
      <modifiedWord/>
      <trackRevisions>false</trackRevisions>
    </reviewItem>
    <reviewItem>
      <errorID>6114907e-7186-456a-829e-7f72b70b0a1f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3B60BCF8</paraID>
      <start>0</start>
      <end>2</end>
      <status>unmodified</status>
      <modifiedWord/>
      <trackRevisions>false</trackRevisions>
    </reviewItem>
    <reviewItem>
      <errorID>7ba416f8-5655-48b9-b4dc-57a02bc1ec90</errorID>
      <errorWord>：/</errorWord>
      <group>L1_Punc</group>
      <groupName>标点问题</groupName>
      <ability>L2_Punc_CN</ability>
      <abilityName>标点符号检查</abilityName>
      <candidateList>
        <item>：</item>
      </candidateList>
      <explain/>
      <paraID>494D78B3</paraID>
      <start>7</start>
      <end>9</end>
      <status>unmodified</status>
      <modifiedWord/>
      <trackRevisions>false</trackRevisions>
    </reviewItem>
    <reviewItem>
      <errorID>40bcb1a3-ea3b-4c4c-80da-4a8d65b1d78f</errorID>
      <errorWord>程序评</errorWord>
      <group>L1_Word</group>
      <groupName>字词问题</groupName>
      <ability>L2_Typo</ability>
      <abilityName>字词错误</abilityName>
      <candidateList>
        <item>程序</item>
      </candidateList>
      <explain/>
      <paraID>61320618</paraID>
      <start>49</start>
      <end>52</end>
      <status>unmodified</status>
      <modifiedWord/>
      <trackRevisions>false</trackRevisions>
    </reviewItem>
    <reviewItem>
      <errorID>77f667fd-c31c-4086-a676-42cb4a2c2077</errorID>
      <errorWord>;</errorWord>
      <group>L1_Format</group>
      <groupName>格式问题</groupName>
      <ability>L2_HalfPunc_CN</ability>
      <abilityName>全半角检查</abilityName>
      <candidateList>
        <item>；</item>
      </candidateList>
      <explain>文本全半角错误。</explain>
      <paraID>61320618</paraID>
      <start>100</start>
      <end>101</end>
      <status>unmodified</status>
      <modifiedWord/>
      <trackRevisions>false</trackRevisions>
    </reviewItem>
    <reviewItem>
      <errorID>e40cc25c-fd0d-418e-9386-13f93999f75c</errorID>
      <errorWord>《政府采购法》</errorWord>
      <group>L1_Word</group>
      <groupName>字词问题</groupName>
      <ability>L2_Typo</ability>
      <abilityName>字词错误</abilityName>
      <candidateList>
        <item>《中华人民共和国政府采购法》</item>
      </candidateList>
      <explain/>
      <paraID>5EDCDB22</paraID>
      <start>16</start>
      <end>23</end>
      <status>unmodified</status>
      <modifiedWord/>
      <trackRevisions>false</trackRevisions>
    </reviewItem>
    <reviewItem>
      <errorID>1ec057f9-a939-4ec8-89be-ca8e01a3046e</errorID>
      <errorWord>(</errorWord>
      <group>L1_Format</group>
      <groupName>格式问题</groupName>
      <ability>L2_HalfPunc_CN</ability>
      <abilityName>全半角检查</abilityName>
      <candidateList>
        <item>（</item>
      </candidateList>
      <explain>文本全半角错误。</explain>
      <paraID>6E9A2416</paraID>
      <start>15</start>
      <end>16</end>
      <status>unmodified</status>
      <modifiedWord/>
      <trackRevisions>false</trackRevisions>
    </reviewItem>
    <reviewItem>
      <errorID>e85a6e25-61be-4bdc-8a91-e90fa66407bc</errorID>
      <errorWord>)</errorWord>
      <group>L1_Format</group>
      <groupName>格式问题</groupName>
      <ability>L2_HalfPunc_CN</ability>
      <abilityName>全半角检查</abilityName>
      <candidateList>
        <item>）</item>
      </candidateList>
      <explain>文本全半角错误。</explain>
      <paraID>6E9A2416</paraID>
      <start>18</start>
      <end>19</end>
      <status>unmodified</status>
      <modifiedWord/>
      <trackRevisions>false</trackRevisions>
    </reviewItem>
    <reviewItem>
      <errorID>50650469-a68a-4d18-8c9f-118d6460426b</errorID>
      <errorWord>(</errorWord>
      <group>L1_Format</group>
      <groupName>格式问题</groupName>
      <ability>L2_HalfPunc_CN</ability>
      <abilityName>全半角检查</abilityName>
      <candidateList>
        <item>（</item>
      </candidateList>
      <explain>文本全半角错误。</explain>
      <paraID>7DD86C26</paraID>
      <start>5</start>
      <end>6</end>
      <status>unmodified</status>
      <modifiedWord/>
      <trackRevisions>false</trackRevisions>
    </reviewItem>
    <reviewItem>
      <errorID>ad9675ea-8e72-4234-9120-07f7a16a45d1</errorID>
      <errorWord>)</errorWord>
      <group>L1_Format</group>
      <groupName>格式问题</groupName>
      <ability>L2_HalfPunc_CN</ability>
      <abilityName>全半角检查</abilityName>
      <candidateList>
        <item>）</item>
      </candidateList>
      <explain>文本全半角错误。</explain>
      <paraID>7DD86C26</paraID>
      <start>9</start>
      <end>10</end>
      <status>unmodified</status>
      <modifiedWord/>
      <trackRevisions>false</trackRevisions>
    </reviewItem>
    <reviewItem>
      <errorID>d7f3aae9-8318-489e-88d0-dcf995d0ae26</errorID>
      <errorWord>/，</errorWord>
      <group>L1_Punc</group>
      <groupName>标点问题</groupName>
      <ability>L2_Punc_CN</ability>
      <abilityName>标点符号检查</abilityName>
      <candidateList>
        <item>/</item>
      </candidateList>
      <explain/>
      <paraID>4F457E74</paraID>
      <start>71</start>
      <end>73</end>
      <status>unmodified</status>
      <modifiedWord/>
      <trackRevisions>false</trackRevisions>
    </reviewItem>
    <reviewItem>
      <errorID>ef411e5d-50b2-4a96-b0bb-a3dbdd40865f</errorID>
      <errorWord>其它</errorWord>
      <group>L1_Word</group>
      <groupName>字词问题</groupName>
      <ability>L2_Alias</ability>
      <abilityName>也作/曾用词</abilityName>
      <candidateList>
        <item>其他</item>
      </candidateList>
      <explain>词汇[其它]为不规范表述或旧称，其规范书面表述为[其他]。</explain>
      <paraID>2A2BD391</paraID>
      <start>20</start>
      <end>22</end>
      <status>unmodified</status>
      <modifiedWord/>
      <trackRevisions>false</trackRevisions>
    </reviewItem>
    <reviewItem>
      <errorID>13cbcb4c-12ff-43cc-8dc9-c8781464abfa</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2A2BD391</paraID>
      <start>58</start>
      <end>59</end>
      <status>unmodified</status>
      <modifiedWord/>
      <trackRevisions>false</trackRevisions>
    </reviewItem>
    <reviewItem>
      <errorID>647a893b-d81d-4f11-a36f-bd945d3d3ff7</errorID>
      <errorWord>帐</errorWord>
      <group>L1_Word</group>
      <groupName>字词问题</groupName>
      <ability>L2_Typo</ability>
      <abilityName>字词错误</abilityName>
      <candidateList>
        <item>账</item>
      </candidateList>
      <explain>（賬）zhànɡ〈名〉❶关于货币、货物出入的记载：记～｜查～。❷指账簿：一本～。❸债：欠～｜还～｜放～。</explain>
      <paraID>436D584C</paraID>
      <start>6</start>
      <end>7</end>
      <status>unmodified</status>
      <modifiedWord/>
      <trackRevisions>false</trackRevisions>
    </reviewItem>
    <reviewItem>
      <errorID>9295f9c7-7086-4836-9714-358f1b0f62a4</errorID>
      <errorWord>：</errorWord>
      <group>L1_Format</group>
      <groupName>格式问题</groupName>
      <ability>L2_HalfPunc_CN</ability>
      <abilityName>全半角检查</abilityName>
      <candidateList>
        <item>:</item>
      </candidateList>
      <explain>文本全半角错误。</explain>
      <paraID>436D584C</paraID>
      <start>52</start>
      <end>53</end>
      <status>unmodified</status>
      <modifiedWord/>
      <trackRevisions>false</trackRevisions>
    </reviewItem>
    <reviewItem>
      <errorID>74549ba1-e13b-4572-949e-7ef674eb79af</errorID>
      <errorWord>-</errorWord>
      <group>L1_Format</group>
      <groupName>格式问题</groupName>
      <ability>L2_HalfPunc_CN</ability>
      <abilityName>全半角检查</abilityName>
      <candidateList>
        <item>－</item>
      </candidateList>
      <explain>文本全半角错误。</explain>
      <paraID>436D584C</paraID>
      <start>77</start>
      <end>78</end>
      <status>unmodified</status>
      <modifiedWord/>
      <trackRevisions>false</trackRevisions>
    </reviewItem>
    <reviewItem>
      <errorID>2bfd64b1-3db8-45e8-963e-3c09dcccaccb</errorID>
      <errorWord>须</errorWord>
      <group>L1_Word</group>
      <groupName>字词问题</groupName>
      <ability>L2_Typo</ability>
      <abilityName>字词错误</abilityName>
      <candidateList>
        <item>需</item>
      </candidateList>
      <explain>存在发音相同字词的误用。</explain>
      <paraID> 8D93868</paraID>
      <start>22</start>
      <end>23</end>
      <status>unmodified</status>
      <modifiedWord/>
      <trackRevisions>false</trackRevisions>
    </reviewItem>
    <reviewItem>
      <errorID>388a410e-4971-48bd-be0a-5df668c589d2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5B9DAD7E</paraID>
      <start>0</start>
      <end>2</end>
      <status>unmodified</status>
      <modifiedWord/>
      <trackRevisions>false</trackRevisions>
    </reviewItem>
    <reviewItem>
      <errorID>68eb8991-e6c6-4e8d-a825-748779fcefd3</errorID>
      <errorWord>,</errorWord>
      <group>L1_Format</group>
      <groupName>格式问题</groupName>
      <ability>L2_HalfPunc_CN</ability>
      <abilityName>全半角检查</abilityName>
      <candidateList>
        <item>，</item>
      </candidateList>
      <explain>文本全半角错误。</explain>
      <paraID>5B9DAD7E</paraID>
      <start>21</start>
      <end>22</end>
      <status>unmodified</status>
      <modifiedWord/>
      <trackRevisions>false</trackRevisions>
    </reviewItem>
    <reviewItem>
      <errorID>01586dd2-ecb0-4bd0-a867-7f440fe4aecc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1A0D8D32</paraID>
      <start>0</start>
      <end>2</end>
      <status>unmodified</status>
      <modifiedWord/>
      <trackRevisions>false</trackRevisions>
    </reviewItem>
    <reviewItem>
      <errorID>5b25fae3-fb7b-4cfb-927a-2eefdfa44533</errorID>
      <errorWord>(</errorWord>
      <group>L1_Format</group>
      <groupName>格式问题</groupName>
      <ability>L2_HalfPunc_CN</ability>
      <abilityName>全半角检查</abilityName>
      <candidateList>
        <item>（</item>
      </candidateList>
      <explain>文本全半角错误。</explain>
      <paraID>6B7785F7</paraID>
      <start>40</start>
      <end>41</end>
      <status>unmodified</status>
      <modifiedWord/>
      <trackRevisions>false</trackRevisions>
    </reviewItem>
    <reviewItem>
      <errorID>088716a6-c1b5-48d2-b653-c7a79ae05d14</errorID>
      <errorWord>)</errorWord>
      <group>L1_Format</group>
      <groupName>格式问题</groupName>
      <ability>L2_HalfPunc_CN</ability>
      <abilityName>全半角检查</abilityName>
      <candidateList>
        <item>）</item>
      </candidateList>
      <explain>文本全半角错误。</explain>
      <paraID>6B7785F7</paraID>
      <start>45</start>
      <end>46</end>
      <status>unmodified</status>
      <modifiedWord/>
      <trackRevisions>false</trackRevisions>
    </reviewItem>
    <reviewItem>
      <errorID>f92b1896-7447-4ce4-99ff-e03546ef6723</errorID>
      <errorWord>王丹</errorWord>
      <group>L1_Sensitive</group>
      <groupName>敏感问题</groupName>
      <ability>L2_Violent</ability>
      <abilityName>暴恐词条</abilityName>
      <candidateList/>
      <explain>【暴恐词条】句中包含暴恐类敏感词条，请注意甄别。</explain>
      <paraID>1D9564A1</paraID>
      <start>10</start>
      <end>12</end>
      <status>unmodified</status>
      <modifiedWord/>
      <trackRevisions>false</trackRevisions>
    </reviewItem>
    <reviewItem>
      <errorID>cc646cf1-95fb-436c-b4fb-906cf4f2d230</errorID>
      <errorWord>登陆</errorWord>
      <group>L1_Word</group>
      <groupName>字词问题</groupName>
      <ability>L2_Typo</ability>
      <abilityName>字词错误</abilityName>
      <candidateList>
        <item>登录</item>
      </candidateList>
      <explain>存在发音相同字词的误用。</explain>
      <paraID>5733B41C</paraID>
      <start>35</start>
      <end>37</end>
      <status>unmodified</status>
      <modifiedWord/>
      <trackRevisions>false</trackRevisions>
    </reviewItem>
    <reviewItem>
      <errorID>352d9e2e-0ba2-403d-a075-266d44e438cc</errorID>
      <errorWord>登陆</errorWord>
      <group>L1_Word</group>
      <groupName>字词问题</groupName>
      <ability>L2_Typo</ability>
      <abilityName>字词错误</abilityName>
      <candidateList>
        <item>登录</item>
      </candidateList>
      <explain>存在发音相同字词的误用。</explain>
      <paraID>538BA4F1</paraID>
      <start>90</start>
      <end>92</end>
      <status>unmodified</status>
      <modifiedWord/>
      <trackRevisions>false</trackRevisions>
    </reviewItem>
    <reviewItem>
      <errorID>474d1973-bcf1-4a2b-83cd-9f2fbd3623a1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24610BC0</paraID>
      <start>0</start>
      <end>2</end>
      <status>unmodified</status>
      <modifiedWord/>
      <trackRevisions>false</trackRevisions>
    </reviewItem>
    <reviewItem>
      <errorID>1cca4eea-fade-41c9-a4d1-96518855d682</errorID>
      <errorWord>可登陆</errorWord>
      <group>L1_Word</group>
      <groupName>字词问题</groupName>
      <ability>L2_Typo</ability>
      <abilityName>字词错误</abilityName>
      <candidateList>
        <item>可登录</item>
      </candidateList>
      <explain/>
      <paraID>24610BC0</paraID>
      <start>40</start>
      <end>43</end>
      <status>unmodified</status>
      <modifiedWord/>
      <trackRevisions>false</trackRevisions>
    </reviewItem>
    <reviewItem>
      <errorID>f9c342d2-3f3a-476d-a3a3-a839baa488ba</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11006D7E</paraID>
      <start>0</start>
      <end>4</end>
      <status>unmodified</status>
      <modifiedWord/>
      <trackRevisions>false</trackRevisions>
    </reviewItem>
    <reviewItem>
      <errorID>3ae4b163-3ab6-4190-941a-102fb3f27466</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56C6FA8B</paraID>
      <start>0</start>
      <end>4</end>
      <status>unmodified</status>
      <modifiedWord/>
      <trackRevisions>false</trackRevisions>
    </reviewItem>
    <reviewItem>
      <errorID>78584d3d-576d-4ce6-8cec-53ccb045112e</errorID>
      <errorWord>(</errorWord>
      <group>L1_Format</group>
      <groupName>格式问题</groupName>
      <ability>L2_HalfPunc_CN</ability>
      <abilityName>全半角检查</abilityName>
      <candidateList>
        <item>（</item>
      </candidateList>
      <explain>文本全半角错误。</explain>
      <paraID>144DC703</paraID>
      <start>19</start>
      <end>20</end>
      <status>unmodified</status>
      <modifiedWord/>
      <trackRevisions>false</trackRevisions>
    </reviewItem>
    <reviewItem>
      <errorID>cb98179a-97fd-4830-91d3-45dddc9928d5</errorID>
      <errorWord>)</errorWord>
      <group>L1_Format</group>
      <groupName>格式问题</groupName>
      <ability>L2_HalfPunc_CN</ability>
      <abilityName>全半角检查</abilityName>
      <candidateList>
        <item>）</item>
      </candidateList>
      <explain>文本全半角错误。</explain>
      <paraID>144DC703</paraID>
      <start>23</start>
      <end>24</end>
      <status>unmodified</status>
      <modifiedWord/>
      <trackRevisions>false</trackRevisions>
    </reviewItem>
    <reviewItem>
      <errorID>6765fa2e-92bb-4171-afa6-725577859c77</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49B18F74</paraID>
      <start>0</start>
      <end>4</end>
      <status>unmodified</status>
      <modifiedWord/>
      <trackRevisions>false</trackRevisions>
    </reviewItem>
    <reviewItem>
      <errorID>65f88c6b-2233-484e-85ea-dc8a3d075795</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2C1577F6</paraID>
      <start>0</start>
      <end>4</end>
      <status>unmodified</status>
      <modifiedWord/>
      <trackRevisions>false</trackRevisions>
    </reviewItem>
    <reviewItem>
      <errorID>9ac03d51-b3d9-42c5-b5de-f8d297e0fbd8</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29C9580B</paraID>
      <start>0</start>
      <end>4</end>
      <status>unmodified</status>
      <modifiedWord/>
      <trackRevisions>false</trackRevisions>
    </reviewItem>
    <reviewItem>
      <errorID>a5b87d0c-17c5-4c70-ae96-b8d0d0edc0b3</errorID>
      <errorWord>(</errorWord>
      <group>L1_Format</group>
      <groupName>格式问题</groupName>
      <ability>L2_HalfPunc_CN</ability>
      <abilityName>全半角检查</abilityName>
      <candidateList>
        <item>（</item>
      </candidateList>
      <explain>文本全半角错误。</explain>
      <paraID>733D8AAC</paraID>
      <start>0</start>
      <end>1</end>
      <status>unmodified</status>
      <modifiedWord/>
      <trackRevisions>false</trackRevisions>
    </reviewItem>
    <reviewItem>
      <errorID>7f6f115c-ee0c-47a1-9cf7-52ece9de128a</errorID>
      <errorWord>)</errorWord>
      <group>L1_Format</group>
      <groupName>格式问题</groupName>
      <ability>L2_HalfPunc_CN</ability>
      <abilityName>全半角检查</abilityName>
      <candidateList>
        <item>）</item>
      </candidateList>
      <explain>文本全半角错误。</explain>
      <paraID>733D8AAC</paraID>
      <start>3</start>
      <end>4</end>
      <status>unmodified</status>
      <modifiedWord/>
      <trackRevisions>false</trackRevisions>
    </reviewItem>
    <reviewItem>
      <errorID>bfc12cad-c7c0-4c69-8549-8d208acf0cbf</errorID>
      <errorWord>(</errorWord>
      <group>L1_Format</group>
      <groupName>格式问题</groupName>
      <ability>L2_HalfPunc_CN</ability>
      <abilityName>全半角检查</abilityName>
      <candidateList>
        <item>（</item>
      </candidateList>
      <explain>文本全半角错误。</explain>
      <paraID>46DD4AEB</paraID>
      <start>1</start>
      <end>2</end>
      <status>unmodified</status>
      <modifiedWord/>
      <trackRevisions>false</trackRevisions>
    </reviewItem>
    <reviewItem>
      <errorID>9f99f85a-6ee3-404a-b808-d10927f7ffd5</errorID>
      <errorWord>)</errorWord>
      <group>L1_Format</group>
      <groupName>格式问题</groupName>
      <ability>L2_HalfPunc_CN</ability>
      <abilityName>全半角检查</abilityName>
      <candidateList>
        <item>）</item>
      </candidateList>
      <explain>文本全半角错误。</explain>
      <paraID>46DD4AEB</paraID>
      <start>8</start>
      <end>9</end>
      <status>unmodified</status>
      <modifiedWord/>
      <trackRevisions>false</trackRevisions>
    </reviewItem>
    <reviewItem>
      <errorID>cfb0c87d-d80b-46c0-b404-76a87cbfba9d</errorID>
      <errorWord>(</errorWord>
      <group>L1_Format</group>
      <groupName>格式问题</groupName>
      <ability>L2_HalfPunc_CN</ability>
      <abilityName>全半角检查</abilityName>
      <candidateList>
        <item>（</item>
      </candidateList>
      <explain>文本全半角错误。</explain>
      <paraID>27A509CA</paraID>
      <start>23</start>
      <end>24</end>
      <status>unmodified</status>
      <modifiedWord/>
      <trackRevisions>false</trackRevisions>
    </reviewItem>
    <reviewItem>
      <errorID>8b6267d7-6ed7-4d29-b455-7d01a3a5beb0</errorID>
      <errorWord>)</errorWord>
      <group>L1_Format</group>
      <groupName>格式问题</groupName>
      <ability>L2_HalfPunc_CN</ability>
      <abilityName>全半角检查</abilityName>
      <candidateList>
        <item>）</item>
      </candidateList>
      <explain>文本全半角错误。</explain>
      <paraID>27A509CA</paraID>
      <start>31</start>
      <end>32</end>
      <status>unmodified</status>
      <modifiedWord/>
      <trackRevisions>false</trackRevisions>
    </reviewItem>
    <reviewItem>
      <errorID>273cf508-7b8f-47ca-911e-3d7db09112a4</errorID>
      <errorWord>(</errorWord>
      <group>L1_Format</group>
      <groupName>格式问题</groupName>
      <ability>L2_HalfPunc_CN</ability>
      <abilityName>全半角检查</abilityName>
      <candidateList>
        <item>（</item>
      </candidateList>
      <explain>文本全半角错误。</explain>
      <paraID>27A509CA</paraID>
      <start>72</start>
      <end>73</end>
      <status>unmodified</status>
      <modifiedWord/>
      <trackRevisions>false</trackRevisions>
    </reviewItem>
    <reviewItem>
      <errorID>e3aea028-3e77-44ae-a760-a391925ac6e8</errorID>
      <errorWord>)</errorWord>
      <group>L1_Format</group>
      <groupName>格式问题</groupName>
      <ability>L2_HalfPunc_CN</ability>
      <abilityName>全半角检查</abilityName>
      <candidateList>
        <item>）</item>
      </candidateList>
      <explain>文本全半角错误。</explain>
      <paraID>27A509CA</paraID>
      <start>82</start>
      <end>83</end>
      <status>unmodified</status>
      <modifiedWord/>
      <trackRevisions>false</trackRevisions>
    </reviewItem>
    <reviewItem>
      <errorID>7357e0be-7624-4313-8310-25517d4f5d74</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1AF39C37</paraID>
      <start>0</start>
      <end>3</end>
      <status>unmodified</status>
      <modifiedWord/>
      <trackRevisions>false</trackRevisions>
    </reviewItem>
    <reviewItem>
      <errorID>52ac04fe-c21e-4f5b-9e9f-bcee66547992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59A5F96D</paraID>
      <start>0</start>
      <end>2</end>
      <status>unmodified</status>
      <modifiedWord/>
      <trackRevisions>false</trackRevisions>
    </reviewItem>
    <reviewItem>
      <errorID>be327a48-5ee7-4fa0-9220-aaa67ab54f1f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623D1975</paraID>
      <start>0</start>
      <end>2</end>
      <status>unmodified</status>
      <modifiedWord/>
      <trackRevisions>false</trackRevisions>
    </reviewItem>
    <reviewItem>
      <errorID>0bc5c6cc-9d82-4775-a365-bb0377848f06</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137AD230</paraID>
      <start>0</start>
      <end>3</end>
      <status>unmodified</status>
      <modifiedWord/>
      <trackRevisions>false</trackRevisions>
    </reviewItem>
    <reviewItem>
      <errorID>343d2b2d-1f51-497d-a74b-f7669f7b12ab</errorID>
      <errorWord>(</errorWord>
      <group>L1_Format</group>
      <groupName>格式问题</groupName>
      <ability>L2_HalfPunc_CN</ability>
      <abilityName>全半角检查</abilityName>
      <candidateList>
        <item>（</item>
      </candidateList>
      <explain>文本全半角错误。</explain>
      <paraID>137AD230</paraID>
      <start>28</start>
      <end>29</end>
      <status>unmodified</status>
      <modifiedWord/>
      <trackRevisions>false</trackRevisions>
    </reviewItem>
    <reviewItem>
      <errorID>729862e0-e9b2-4168-8b2f-36d647b733d2</errorID>
      <errorWord>)</errorWord>
      <group>L1_Format</group>
      <groupName>格式问题</groupName>
      <ability>L2_HalfPunc_CN</ability>
      <abilityName>全半角检查</abilityName>
      <candidateList>
        <item>）</item>
      </candidateList>
      <explain>文本全半角错误。</explain>
      <paraID>137AD230</paraID>
      <start>49</start>
      <end>50</end>
      <status>unmodified</status>
      <modifiedWord/>
      <trackRevisions>false</trackRevisions>
    </reviewItem>
    <reviewItem>
      <errorID>49e4d404-55eb-4ae3-9847-3e84cec9c990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274103E</paraID>
      <start>0</start>
      <end>2</end>
      <status>unmodified</status>
      <modifiedWord/>
      <trackRevisions>false</trackRevisions>
    </reviewItem>
    <reviewItem>
      <errorID>4b663759-bff5-46e4-970d-06a45654ee7e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67C6199B</paraID>
      <start>0</start>
      <end>2</end>
      <status>unmodified</status>
      <modifiedWord/>
      <trackRevisions>false</trackRevisions>
    </reviewItem>
    <reviewItem>
      <errorID>26ddfe3b-d5aa-4957-a3c7-9952948c5885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FEF2402</paraID>
      <start>0</start>
      <end>2</end>
      <status>unmodified</status>
      <modifiedWord/>
      <trackRevisions>false</trackRevisions>
    </reviewItem>
    <reviewItem>
      <errorID>57032773-e9ac-430e-8720-2b8c43f4ca5a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3EDC814B</paraID>
      <start>0</start>
      <end>2</end>
      <status>unmodified</status>
      <modifiedWord/>
      <trackRevisions>false</trackRevisions>
    </reviewItem>
    <reviewItem>
      <errorID>a3ea812a-899e-41d7-8925-cd50ab4b0787</errorID>
      <errorWord>(</errorWord>
      <group>L1_Format</group>
      <groupName>格式问题</groupName>
      <ability>L2_HalfPunc_CN</ability>
      <abilityName>全半角检查</abilityName>
      <candidateList>
        <item>（</item>
      </candidateList>
      <explain>文本全半角错误。</explain>
      <paraID>3EDC814B</paraID>
      <start>32</start>
      <end>33</end>
      <status>unmodified</status>
      <modifiedWord/>
      <trackRevisions>false</trackRevisions>
    </reviewItem>
    <reviewItem>
      <errorID>1a6184d5-18e2-40e0-95ff-aa0fac9656fd</errorID>
      <errorWord>)</errorWord>
      <group>L1_Format</group>
      <groupName>格式问题</groupName>
      <ability>L2_HalfPunc_CN</ability>
      <abilityName>全半角检查</abilityName>
      <candidateList>
        <item>）</item>
      </candidateList>
      <explain>文本全半角错误。</explain>
      <paraID>3EDC814B</paraID>
      <start>44</start>
      <end>45</end>
      <status>unmodified</status>
      <modifiedWord/>
      <trackRevisions>false</trackRevisions>
    </reviewItem>
    <reviewItem>
      <errorID>bf20c3f8-e480-44db-b54c-93d724ab7840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31B7ECAE</paraID>
      <start>0</start>
      <end>2</end>
      <status>unmodified</status>
      <modifiedWord/>
      <trackRevisions>false</trackRevisions>
    </reviewItem>
    <reviewItem>
      <errorID>9355abac-13b8-4111-ac8f-2aaa961ab2b5</errorID>
      <errorWord>其它情形的</errorWord>
      <group>L1_Word</group>
      <groupName>字词问题</groupName>
      <ability>L2_Alias</ability>
      <abilityName>也作/曾用词</abilityName>
      <candidateList>
        <item>其他情形的</item>
      </candidateList>
      <explain>词汇[其它情形的]为不规范表述或旧称，其规范书面表述为[其他情形的]。</explain>
      <paraID>31B7ECAE</paraID>
      <start>23</start>
      <end>28</end>
      <status>unmodified</status>
      <modifiedWord/>
      <trackRevisions>false</trackRevisions>
    </reviewItem>
    <reviewItem>
      <errorID>8c5caec1-50ad-462f-a2e8-7106819afbba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1F535A68</paraID>
      <start>0</start>
      <end>2</end>
      <status>unmodified</status>
      <modifiedWord/>
      <trackRevisions>false</trackRevisions>
    </reviewItem>
    <reviewItem>
      <errorID>9f562eed-e6d2-40f6-b150-1d538770aacc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15928854</paraID>
      <start>0</start>
      <end>2</end>
      <status>unmodified</status>
      <modifiedWord/>
      <trackRevisions>false</trackRevisions>
    </reviewItem>
    <reviewItem>
      <errorID>9a98ec35-d6d1-4942-9f3d-cfb998c3692c</errorID>
      <errorWord>(</errorWord>
      <group>L1_Format</group>
      <groupName>格式问题</groupName>
      <ability>L2_HalfPunc_CN</ability>
      <abilityName>全半角检查</abilityName>
      <candidateList>
        <item>（</item>
      </candidateList>
      <explain>文本全半角错误。</explain>
      <paraID>15928854</paraID>
      <start>21</start>
      <end>22</end>
      <status>unmodified</status>
      <modifiedWord/>
      <trackRevisions>false</trackRevisions>
    </reviewItem>
    <reviewItem>
      <errorID>821ffbf8-11df-4b48-8dcf-f6337cc5ad4c</errorID>
      <errorWord>)</errorWord>
      <group>L1_Format</group>
      <groupName>格式问题</groupName>
      <ability>L2_HalfPunc_CN</ability>
      <abilityName>全半角检查</abilityName>
      <candidateList>
        <item>）</item>
      </candidateList>
      <explain>文本全半角错误。</explain>
      <paraID>15928854</paraID>
      <start>23</start>
      <end>24</end>
      <status>unmodified</status>
      <modifiedWord/>
      <trackRevisions>false</trackRevisions>
    </reviewItem>
    <reviewItem>
      <errorID>99d9bfa7-5686-46b1-b201-9ea3062acf39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1F3388E0</paraID>
      <start>0</start>
      <end>2</end>
      <status>unmodified</status>
      <modifiedWord/>
      <trackRevisions>false</trackRevisions>
    </reviewItem>
    <reviewItem>
      <errorID>5bff9eb1-e904-48ea-b31d-91185327b26f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61C03B7D</paraID>
      <start>0</start>
      <end>2</end>
      <status>unmodified</status>
      <modifiedWord/>
      <trackRevisions>false</trackRevisions>
    </reviewItem>
    <reviewItem>
      <errorID>da896a31-f691-49cc-93cd-37b45a5b967e</errorID>
      <errorWord>(</errorWord>
      <group>L1_Format</group>
      <groupName>格式问题</groupName>
      <ability>L2_HalfPunc_CN</ability>
      <abilityName>全半角检查</abilityName>
      <candidateList>
        <item>（</item>
      </candidateList>
      <explain>文本全半角错误。</explain>
      <paraID> 621D666</paraID>
      <start>4</start>
      <end>5</end>
      <status>unmodified</status>
      <modifiedWord/>
      <trackRevisions>false</trackRevisions>
    </reviewItem>
    <reviewItem>
      <errorID>ae67b277-9e3c-4cb5-997e-0a970f5d6206</errorID>
      <errorWord>)</errorWord>
      <group>L1_Format</group>
      <groupName>格式问题</groupName>
      <ability>L2_HalfPunc_CN</ability>
      <abilityName>全半角检查</abilityName>
      <candidateList>
        <item>）</item>
      </candidateList>
      <explain>文本全半角错误。</explain>
      <paraID> 621D666</paraID>
      <start>7</start>
      <end>8</end>
      <status>unmodified</status>
      <modifiedWord/>
      <trackRevisions>false</trackRevisions>
    </reviewItem>
    <reviewItem>
      <errorID>abd5ad6c-27df-411b-b362-7bf31ddc50e4</errorID>
      <errorWord>签定</errorWord>
      <group>L1_Word</group>
      <groupName>字词问题</groupName>
      <ability>L2_Typo</ability>
      <abilityName>字词错误</abilityName>
      <candidateList>
        <item>签订</item>
      </candidateList>
      <explain>存在发音相同字词的误用。</explain>
      <paraID>2708F36C</paraID>
      <start>56</start>
      <end>58</end>
      <status>unmodified</status>
      <modifiedWord/>
      <trackRevisions>false</trackRevisions>
    </reviewItem>
    <reviewItem>
      <errorID>df5b656a-7676-4b69-8425-3292fab04577</errorID>
      <errorWord>《            政府采购合同》（以下简称主合同）</errorWord>
      <group>L1_Knowledge</group>
      <groupName>知识性问题</groupName>
      <ability>L2_Knowledge</ability>
      <abilityName>其他知识</abilityName>
      <candidateList>
        <item>《            政府采购合同》（以下简称“主合同”）</item>
      </candidateList>
      <explain>疑似政策文件、法律法规名称等书写不规范，请注意检查。</explain>
      <paraID>2708F36C</paraID>
      <start>73</start>
      <end>102</end>
      <status>unmodified</status>
      <modifiedWord/>
      <trackRevisions>false</trackRevisions>
    </reviewItem>
    <reviewItem>
      <errorID>610a3540-cd2b-447b-bfb7-e1c67164c069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6152F1EE</paraID>
      <start>0</start>
      <end>2</end>
      <status>unmodified</status>
      <modifiedWord/>
      <trackRevisions>false</trackRevisions>
    </reviewItem>
    <reviewItem>
      <errorID>a8ba6208-1293-4e82-a03a-71872d693373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60FBD31</paraID>
      <start>0</start>
      <end>2</end>
      <status>unmodified</status>
      <modifiedWord/>
      <trackRevisions>false</trackRevisions>
    </reviewItem>
    <reviewItem>
      <errorID>63cb8db2-79e2-4cce-9f7f-4a98e4c3c690</errorID>
      <errorWord>:</errorWord>
      <group>L1_Format</group>
      <groupName>格式问题</groupName>
      <ability>L2_HalfPunc_CN</ability>
      <abilityName>全半角检查</abilityName>
      <candidateList>
        <item>：</item>
      </candidateList>
      <explain>文本全半角错误。</explain>
      <paraID> 60FBD31</paraID>
      <start>20</start>
      <end>21</end>
      <status>unmodified</status>
      <modifiedWord/>
      <trackRevisions>false</trackRevisions>
    </reviewItem>
    <reviewItem>
      <errorID>10187e3f-5799-46a9-9634-6b368e07a61d</errorID>
      <errorWord>（</errorWord>
      <group>L1_Format</group>
      <groupName>格式问题</groupName>
      <ability>L2_HalfPunc_CN</ability>
      <abilityName>全半角检查</abilityName>
      <candidateList>
        <item>(</item>
      </candidateList>
      <explain>文本全半角错误。</explain>
      <paraID>1904043D</paraID>
      <start>0</start>
      <end>1</end>
      <status>unmodified</status>
      <modifiedWord/>
      <trackRevisions>false</trackRevisions>
    </reviewItem>
    <reviewItem>
      <errorID>cb5f3d10-0efc-431f-82ef-1df3a4b91beb</errorID>
      <errorWord>）</errorWord>
      <group>L1_Format</group>
      <groupName>格式问题</groupName>
      <ability>L2_HalfPunc_CN</ability>
      <abilityName>全半角检查</abilityName>
      <candidateList>
        <item>)</item>
      </candidateList>
      <explain>文本全半角错误。</explain>
      <paraID>1904043D</paraID>
      <start>2</start>
      <end>3</end>
      <status>unmodified</status>
      <modifiedWord/>
      <trackRevisions>false</trackRevisions>
    </reviewItem>
    <reviewItem>
      <errorID>d13c99ba-6300-4853-ad77-31b3b8cf139c</errorID>
      <errorWord>。</errorWord>
      <group>L1_Format</group>
      <groupName>格式问题</groupName>
      <ability>L2_HalfPunc_CN</ability>
      <abilityName>全半角检查</abilityName>
      <candidateList>
        <item>.</item>
      </candidateList>
      <explain>文本全半角错误。</explain>
      <paraID>1904043D</paraID>
      <start>53</start>
      <end>54</end>
      <status>unmodified</status>
      <modifiedWord/>
      <trackRevisions>false</trackRevisions>
    </reviewItem>
    <reviewItem>
      <errorID>3b4583db-3324-4fd0-98a2-58d705a19785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72952A75</paraID>
      <start>0</start>
      <end>2</end>
      <status>unmodified</status>
      <modifiedWord/>
      <trackRevisions>false</trackRevisions>
    </reviewItem>
    <reviewItem>
      <errorID>23f8be83-5726-4a31-aee8-26145421a526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6EABF541</paraID>
      <start>0</start>
      <end>2</end>
      <status>unmodified</status>
      <modifiedWord/>
      <trackRevisions>false</trackRevisions>
    </reviewItem>
    <reviewItem>
      <errorID>857d0b70-9e9b-46f7-a777-62e6fae78f44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583A9FC7</paraID>
      <start>0</start>
      <end>2</end>
      <status>unmodified</status>
      <modifiedWord/>
      <trackRevisions>false</trackRevisions>
    </reviewItem>
    <reviewItem>
      <errorID>7ad75085-2447-4c25-9264-cf8ddca64866</errorID>
      <errorWord>格</errorWord>
      <group>L1_Word</group>
      <groupName>字词问题</groupName>
      <ability>L2_Typo</ability>
      <abilityName>字词错误</abilityName>
      <candidateList>
        <item>格之</item>
      </candidateList>
      <explain/>
      <paraID>583A9FC7</paraID>
      <start>80</start>
      <end>81</end>
      <status>unmodified</status>
      <modifiedWord/>
      <trackRevisions>false</trackRevisions>
    </reviewItem>
    <reviewItem>
      <errorID>4f922073-419b-477b-abe9-4ebf68faa984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3F8A16F0</paraID>
      <start>0</start>
      <end>2</end>
      <status>unmodified</status>
      <modifiedWord/>
      <trackRevisions>false</trackRevisions>
    </reviewItem>
    <reviewItem>
      <errorID>0ed3ce56-c9e5-4a5a-bf80-c631a759a7f5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2D82F9A9</paraID>
      <start>0</start>
      <end>2</end>
      <status>unmodified</status>
      <modifiedWord/>
      <trackRevisions>false</trackRevisions>
    </reviewItem>
    <reviewItem>
      <errorID>6b941d03-e15b-4bd5-9012-74c69a913c53</errorID>
      <errorWord>其它情形的</errorWord>
      <group>L1_Word</group>
      <groupName>字词问题</groupName>
      <ability>L2_Alias</ability>
      <abilityName>也作/曾用词</abilityName>
      <candidateList>
        <item>其他情形的</item>
      </candidateList>
      <explain>词汇[其它情形的]为不规范表述或旧称，其规范书面表述为[其他情形的]。</explain>
      <paraID>2D82F9A9</paraID>
      <start>24</start>
      <end>29</end>
      <status>unmodified</status>
      <modifiedWord/>
      <trackRevisions>false</trackRevisions>
    </reviewItem>
    <reviewItem>
      <errorID>acd154a3-9085-497c-bd50-d07c7ab8037a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38CD6B56</paraID>
      <start>0</start>
      <end>2</end>
      <status>unmodified</status>
      <modifiedWord/>
      <trackRevisions>false</trackRevisions>
    </reviewItem>
    <reviewItem>
      <errorID>435d1df5-bde3-424e-b3e5-045c53442807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13861E64</paraID>
      <start>0</start>
      <end>2</end>
      <status>unmodified</status>
      <modifiedWord/>
      <trackRevisions>false</trackRevisions>
    </reviewItem>
    <reviewItem>
      <errorID>ac5bb659-ad24-49c6-ac5b-49bd21fcddc1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32079BD1</paraID>
      <start>0</start>
      <end>2</end>
      <status>unmodified</status>
      <modifiedWord/>
      <trackRevisions>false</trackRevisions>
    </reviewItem>
    <reviewItem>
      <errorID>0a850c44-c20b-44bf-9711-254c5a53468b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8AE4B38</paraID>
      <start>0</start>
      <end>2</end>
      <status>unmodified</status>
      <modifiedWord/>
      <trackRevisions>false</trackRevisions>
    </reviewItem>
    <reviewItem>
      <errorID>fdf43bcc-68d9-406e-8aa1-22bf5a7957bf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C29EAE9</paraID>
      <start>0</start>
      <end>2</end>
      <status>unmodified</status>
      <modifiedWord/>
      <trackRevisions>false</trackRevisions>
    </reviewItem>
    <reviewItem>
      <errorID>68000c17-e814-41df-b2fb-51308abd695d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214766DE</paraID>
      <start>0</start>
      <end>2</end>
      <status>unmodified</status>
      <modifiedWord/>
      <trackRevisions>false</trackRevisions>
    </reviewItem>
    <reviewItem>
      <errorID>106841e4-eaa8-43c4-a111-0df918a9f151</errorID>
      <errorWord>法律、法规</errorWord>
      <group>L1_Word</group>
      <groupName>字词问题</groupName>
      <ability>L2_Typo</ability>
      <abilityName>字词错误</abilityName>
      <candidateList>
        <item>法律法规</item>
      </candidateList>
      <explain/>
      <paraID>17542924</paraID>
      <start>4</start>
      <end>9</end>
      <status>unmodified</status>
      <modifiedWord/>
      <trackRevisions>false</trackRevisions>
    </reviewItem>
    <reviewItem>
      <errorID>75d09419-5d32-42a9-8b32-1b5f7b3dbdb9</errorID>
      <errorWord>其它语言</errorWord>
      <group>L1_Word</group>
      <groupName>字词问题</groupName>
      <ability>L2_Alias</ability>
      <abilityName>也作/曾用词</abilityName>
      <candidateList>
        <item>其他语言</item>
      </candidateList>
      <explain>词汇[其它语言]为不规范表述或旧称，其规范书面表述为[其他语言]。</explain>
      <paraID>1EFAB06C</paraID>
      <start>61</start>
      <end>65</end>
      <status>unmodified</status>
      <modifiedWord/>
      <trackRevisions>false</trackRevisions>
    </reviewItem>
    <reviewItem>
      <errorID>420ff277-1603-4a4f-8bee-768f43897941</errorID>
      <errorWord>《政府采购法》</errorWord>
      <group>L1_Word</group>
      <groupName>字词问题</groupName>
      <ability>L2_Typo</ability>
      <abilityName>字词错误</abilityName>
      <candidateList>
        <item>《中华人民共和国政府采购法》</item>
      </candidateList>
      <explain/>
      <paraID>674E84BA</paraID>
      <start>6</start>
      <end>13</end>
      <status>unmodified</status>
      <modifiedWord/>
      <trackRevisions>false</trackRevisions>
    </reviewItem>
    <reviewItem>
      <errorID>7dc49a8c-9227-4e4e-afde-751a9224a27c</errorID>
      <errorWord>(</errorWord>
      <group>L1_Format</group>
      <groupName>格式问题</groupName>
      <ability>L2_HalfPunc_CN</ability>
      <abilityName>全半角检查</abilityName>
      <candidateList>
        <item>（</item>
      </candidateList>
      <explain>文本全半角错误。</explain>
      <paraID> 8BE316C</paraID>
      <start>32</start>
      <end>33</end>
      <status>unmodified</status>
      <modifiedWord/>
      <trackRevisions>false</trackRevisions>
    </reviewItem>
    <reviewItem>
      <errorID>006e7332-cc79-49da-b614-63926fb6a1e7</errorID>
      <errorWord>)</errorWord>
      <group>L1_Format</group>
      <groupName>格式问题</groupName>
      <ability>L2_HalfPunc_CN</ability>
      <abilityName>全半角检查</abilityName>
      <candidateList>
        <item>）</item>
      </candidateList>
      <explain>文本全半角错误。</explain>
      <paraID> 8BE316C</paraID>
      <start>37</start>
      <end>38</end>
      <status>unmodified</status>
      <modifiedWord/>
      <trackRevisions>false</trackRevisions>
    </reviewItem>
    <reviewItem>
      <errorID>45dab9e9-af92-4d94-9c5f-14ebd37ef003</errorID>
      <errorWord>&lt;</errorWord>
      <group>L1_Format</group>
      <groupName>格式问题</groupName>
      <ability>L2_HalfPunc_CN</ability>
      <abilityName>全半角检查</abilityName>
      <candidateList>
        <item>〈</item>
      </candidateList>
      <explain>文本全半角错误。</explain>
      <paraID>426CCED0</paraID>
      <start>50</start>
      <end>51</end>
      <status>unmodified</status>
      <modifiedWord/>
      <trackRevisions>false</trackRevisions>
    </reviewItem>
    <reviewItem>
      <errorID>bf43a8b5-79b4-48f1-b89d-910b7e074234</errorID>
      <errorWord>&lt;</errorWord>
      <group>L1_Format</group>
      <groupName>格式问题</groupName>
      <ability>L2_HalfPunc_CN</ability>
      <abilityName>全半角检查</abilityName>
      <candidateList>
        <item>〈</item>
      </candidateList>
      <explain>文本全半角错误。</explain>
      <paraID>674B22FB</paraID>
      <start>50</start>
      <end>51</end>
      <status>unmodified</status>
      <modifiedWord/>
      <trackRevisions>false</trackRevisions>
    </reviewItem>
    <reviewItem>
      <errorID>beb79392-48bb-4afa-9b2d-9df2544cb30f</errorID>
      <errorWord>&lt;</errorWord>
      <group>L1_Format</group>
      <groupName>格式问题</groupName>
      <ability>L2_HalfPunc_CN</ability>
      <abilityName>全半角检查</abilityName>
      <candidateList>
        <item>〈</item>
      </candidateList>
      <explain>文本全半角错误。</explain>
      <paraID>3E2A5684</paraID>
      <start>35</start>
      <end>36</end>
      <status>unmodified</status>
      <modifiedWord/>
      <trackRevisions>false</trackRevisions>
    </reviewItem>
    <reviewItem>
      <errorID>29e1f858-a323-4ef5-902a-4b37958bf276</errorID>
      <errorWord>，</errorWord>
      <group>L1_Word</group>
      <groupName>字词问题</groupName>
      <ability>L2_Typo</ability>
      <abilityName>字词错误</abilityName>
      <candidateList>
        <item>，并</item>
      </candidateList>
      <explain/>
      <paraID>720CAB24</paraID>
      <start>61</start>
      <end>62</end>
      <status>unmodified</status>
      <modifiedWord/>
      <trackRevisions>false</trackRevisions>
    </reviewItem>
    <reviewItem>
      <errorID>422bb0a6-cb3d-47b9-bff0-4934ab131a63</errorID>
      <errorWord>(</errorWord>
      <group>L1_Format</group>
      <groupName>格式问题</groupName>
      <ability>L2_HalfPunc_CN</ability>
      <abilityName>全半角检查</abilityName>
      <candidateList>
        <item>（</item>
      </candidateList>
      <explain>文本全半角错误。</explain>
      <paraID>4DFB0C4E</paraID>
      <start>18</start>
      <end>19</end>
      <status>unmodified</status>
      <modifiedWord/>
      <trackRevisions>false</trackRevisions>
    </reviewItem>
    <reviewItem>
      <errorID>5325a5cb-49b6-45e9-9fdb-1945b617004e</errorID>
      <errorWord>)</errorWord>
      <group>L1_Format</group>
      <groupName>格式问题</groupName>
      <ability>L2_HalfPunc_CN</ability>
      <abilityName>全半角检查</abilityName>
      <candidateList>
        <item>）</item>
      </candidateList>
      <explain>文本全半角错误。</explain>
      <paraID>4DFB0C4E</paraID>
      <start>21</start>
      <end>22</end>
      <status>unmodified</status>
      <modifiedWord/>
      <trackRevisions>false</trackRevisions>
    </reviewItem>
    <reviewItem>
      <errorID>d8a6e88d-e23d-4eb6-8307-dd296c2b2c8e</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 ECEE4DA</paraID>
      <start>15</start>
      <end>17</end>
      <status>unmodified</status>
      <modifiedWord/>
      <trackRevisions>false</trackRevisions>
    </reviewItem>
    <reviewItem>
      <errorID>e049ead6-278a-41b8-8536-3b6d02dcf739</errorID>
      <errorWord>(</errorWord>
      <group>L1_Format</group>
      <groupName>格式问题</groupName>
      <ability>L2_HalfPunc_CN</ability>
      <abilityName>全半角检查</abilityName>
      <candidateList>
        <item>（</item>
      </candidateList>
      <explain>文本全半角错误。</explain>
      <paraID>5CEE5321</paraID>
      <start>25</start>
      <end>26</end>
      <status>unmodified</status>
      <modifiedWord/>
      <trackRevisions>false</trackRevisions>
    </reviewItem>
    <reviewItem>
      <errorID>0eb3d927-f90a-4dd1-9080-dd20c3e4e127</errorID>
      <errorWord>)</errorWord>
      <group>L1_Format</group>
      <groupName>格式问题</groupName>
      <ability>L2_HalfPunc_CN</ability>
      <abilityName>全半角检查</abilityName>
      <candidateList>
        <item>）</item>
      </candidateList>
      <explain>文本全半角错误。</explain>
      <paraID>5CEE5321</paraID>
      <start>28</start>
      <end>29</end>
      <status>unmodified</status>
      <modifiedWord/>
      <trackRevisions>false</trackRevisions>
    </reviewItem>
    <reviewItem>
      <errorID>0fa24f47-0bb9-48c3-b82b-1af3b7c9ad68</errorID>
      <errorWord>位</errorWord>
      <group>L1_Word</group>
      <groupName>字词问题</groupName>
      <ability>L2_Typo</ability>
      <abilityName>字词错误</abilityName>
      <candidateList>
        <item>位公</item>
      </candidateList>
      <explain/>
      <paraID>749D64CF</paraID>
      <start>28</start>
      <end>29</end>
      <status>unmodified</status>
      <modifiedWord/>
      <trackRevisions>false</trackRevisions>
    </reviewItem>
    <reviewItem>
      <errorID>7806ca33-53ff-4787-ac7c-24442ac650f3</errorID>
      <errorWord>拟</errorWord>
      <group>L1_Word</group>
      <groupName>字词问题</groupName>
      <ability>L2_Typo</ability>
      <abilityName>字词错误</abilityName>
      <candidateList>
        <item>拟提</item>
      </candidateList>
      <explain/>
      <paraID> B2D8DB8</paraID>
      <start>12</start>
      <end>13</end>
      <status>unmodified</status>
      <modifiedWord/>
      <trackRevisions>false</trackRevisions>
    </reviewItem>
    <reviewItem>
      <errorID>4d441443-8d6a-4d95-8068-96ad3cc8e47f</errorID>
      <errorWord>,</errorWord>
      <group>L1_Format</group>
      <groupName>格式问题</groupName>
      <ability>L2_HalfPunc_CN</ability>
      <abilityName>全半角检查</abilityName>
      <candidateList>
        <item>，</item>
      </candidateList>
      <explain>文本全半角错误。</explain>
      <paraID> B2D8DB8</paraID>
      <start>38</start>
      <end>39</end>
      <status>unmodified</status>
      <modifiedWord/>
      <trackRevisions>false</trackRevisions>
    </reviewItem>
    <reviewItem>
      <errorID>c2fa2d65-a455-436f-bcbe-d37e7b3d1e60</errorID>
      <errorWord>要求的其它文件</errorWord>
      <group>L1_Word</group>
      <groupName>字词问题</groupName>
      <ability>L2_Alias</ability>
      <abilityName>也作/曾用词</abilityName>
      <candidateList>
        <item>要求的其他文件</item>
      </candidateList>
      <explain>词汇[要求的其它文件]为不规范表述或旧称，其规范书面表述为[要求的其他文件]。</explain>
      <paraID>4966E8C4</paraID>
      <start>16</start>
      <end>23</end>
      <status>unmodified</status>
      <modifiedWord/>
      <trackRevisions>false</trackRevisions>
    </reviewItem>
    <reviewItem>
      <errorID>124a23ba-008e-44ff-8348-41d563732edf</errorID>
      <errorWord>(</errorWord>
      <group>L1_Format</group>
      <groupName>格式问题</groupName>
      <ability>L2_HalfPunc_CN</ability>
      <abilityName>全半角检查</abilityName>
      <candidateList>
        <item>（</item>
      </candidateList>
      <explain>文本全半角错误。</explain>
      <paraID>73224D0A</paraID>
      <start>76</start>
      <end>77</end>
      <status>unmodified</status>
      <modifiedWord/>
      <trackRevisions>false</trackRevisions>
    </reviewItem>
    <reviewItem>
      <errorID>1f5b67e3-1e54-482c-804b-a1d331c5cd9e</errorID>
      <errorWord>)</errorWord>
      <group>L1_Format</group>
      <groupName>格式问题</groupName>
      <ability>L2_HalfPunc_CN</ability>
      <abilityName>全半角检查</abilityName>
      <candidateList>
        <item>）</item>
      </candidateList>
      <explain>文本全半角错误。</explain>
      <paraID>73224D0A</paraID>
      <start>106</start>
      <end>107</end>
      <status>unmodified</status>
      <modifiedWord/>
      <trackRevisions>false</trackRevisions>
    </reviewItem>
    <reviewItem>
      <errorID>36ba2b39-2907-4433-8441-634295f585d9</errorID>
      <errorWord>位</errorWord>
      <group>L1_Word</group>
      <groupName>字词问题</groupName>
      <ability>L2_Typo</ability>
      <abilityName>字词错误</abilityName>
      <candidateList>
        <item>位公</item>
      </candidateList>
      <explain/>
      <paraID>713E2AFF</paraID>
      <start>32</start>
      <end>33</end>
      <status>unmodified</status>
      <modifiedWord/>
      <trackRevisions>false</trackRevisions>
    </reviewItem>
    <reviewItem>
      <errorID>65d76bd6-b29c-4eb8-bd35-231233bc2bc1</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1B6D3A3A</paraID>
      <start>22</start>
      <end>25</end>
      <status>unmodified</status>
      <modifiedWord/>
      <trackRevisions>false</trackRevisions>
    </reviewItem>
    <reviewItem>
      <errorID>1fa488a2-6236-4a57-88d1-feb535619d37</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1B6D3A3A</paraID>
      <start>33</start>
      <end>36</end>
      <status>unmodified</status>
      <modifiedWord/>
      <trackRevisions>false</trackRevisions>
    </reviewItem>
    <reviewItem>
      <errorID>abb26845-f6bd-4ef3-a6f7-b4e0d80ba84f</errorID>
      <errorWord>间</errorWord>
      <group>L1_Word</group>
      <groupName>字词问题</groupName>
      <ability>L2_Typo</ability>
      <abilityName>字词错误</abilityName>
      <candidateList>
        <item>间之</item>
      </candidateList>
      <explain/>
      <paraID>56305D3C</paraID>
      <start>13</start>
      <end>14</end>
      <status>unmodified</status>
      <modifiedWord/>
      <trackRevisions>false</trackRevisions>
    </reviewItem>
    <reviewItem>
      <errorID>8a4f615e-4113-4d14-ac10-9c97f11d40d6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1759441</paraID>
      <start>0</start>
      <end>3</end>
      <status>unmodified</status>
      <modifiedWord/>
      <trackRevisions>false</trackRevisions>
    </reviewItem>
    <reviewItem>
      <errorID>da7e3184-b93b-4149-ad00-da82bca9e49f</errorID>
      <errorWord>其它</errorWord>
      <group>L1_Word</group>
      <groupName>字词问题</groupName>
      <ability>L2_Alias</ability>
      <abilityName>也作/曾用词</abilityName>
      <candidateList>
        <item>其他</item>
      </candidateList>
      <explain>词汇[其它]为不规范表述或旧称，其规范书面表述为[其他]。</explain>
      <paraID> 1759441</paraID>
      <start>3</start>
      <end>5</end>
      <status>unmodified</status>
      <modifiedWord/>
      <trackRevisions>false</trackRevisions>
    </reviewItem>
    <reviewItem>
      <errorID>ee9c9d72-0207-46b8-b86c-8e17739e9486</errorID>
      <errorWord>法律、法规</errorWord>
      <group>L1_Word</group>
      <groupName>字词问题</groupName>
      <ability>L2_Typo</ability>
      <abilityName>字词错误</abilityName>
      <candidateList>
        <item>法律法规</item>
      </candidateList>
      <explain/>
      <paraID> 1759441</paraID>
      <start>7</start>
      <end>12</end>
      <status>unmodified</status>
      <modifiedWord/>
      <trackRevisions>false</trackRevisions>
    </reviewItem>
    <reviewItem>
      <errorID>4ce72a3f-5cea-413c-bc60-ce43feb12c0b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7B65DD7A</paraID>
      <start>0</start>
      <end>3</end>
      <status>unmodified</status>
      <modifiedWord/>
      <trackRevisions>false</trackRevisions>
    </reviewItem>
    <reviewItem>
      <errorID>861cd25d-c906-422d-b84b-88f425d7cb13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649D0499</paraID>
      <start>0</start>
      <end>3</end>
      <status>unmodified</status>
      <modifiedWord/>
      <trackRevisions>false</trackRevisions>
    </reviewItem>
    <reviewItem>
      <errorID>e6126e4d-59c2-40c6-b646-62cd21c25034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8FA306</paraID>
      <start>0</start>
      <end>3</end>
      <status>unmodified</status>
      <modifiedWord/>
      <trackRevisions>false</trackRevisions>
    </reviewItem>
    <reviewItem>
      <errorID>383569c9-faf0-45eb-95e0-c6a9c8133afd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40AC2B24</paraID>
      <start>0</start>
      <end>3</end>
      <status>unmodified</status>
      <modifiedWord/>
      <trackRevisions>false</trackRevisions>
    </reviewItem>
    <reviewItem>
      <errorID>fda9e90c-789f-4143-bff0-fdaf8b04e4c3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7B2CB287</paraID>
      <start>0</start>
      <end>3</end>
      <status>unmodified</status>
      <modifiedWord/>
      <trackRevisions>false</trackRevisions>
    </reviewItem>
    <reviewItem>
      <errorID>cb9f01df-4c76-42f6-bd17-111dd4b97716</errorID>
      <errorWord>政府采购法实施条例</errorWord>
      <group>L1_Knowledge</group>
      <groupName>知识性问题</groupName>
      <ability>L2_Knowledge</ability>
      <abilityName>其他知识</abilityName>
      <candidateList>
        <item>中华人民共和国政府采购法实施条例</item>
      </candidateList>
      <explain>当前法律法规名称使用简称，请注意是否应当使用全称。</explain>
      <paraID>620C687F</paraID>
      <start>47</start>
      <end>56</end>
      <status>unmodified</status>
      <modifiedWord/>
      <trackRevisions>false</trackRevisions>
    </reviewItem>
    <reviewItem>
      <errorID>b6be7dfa-f8ad-4576-9b25-acd1d2027189</errorID>
      <errorWord>政府采购法实施条例</errorWord>
      <group>L1_Knowledge</group>
      <groupName>知识性问题</groupName>
      <ability>L2_Knowledge</ability>
      <abilityName>其他知识</abilityName>
      <candidateList>
        <item>中华人民共和国政府采购法实施条例</item>
      </candidateList>
      <explain>当前法律法规名称使用简称，请注意是否应当使用全称。</explain>
      <paraID>5E78137F</paraID>
      <start>38</start>
      <end>47</end>
      <status>unmodified</status>
      <modifiedWord/>
      <trackRevisions>false</trackRevisions>
    </reviewItem>
    <reviewItem>
      <errorID>c5a72f29-9c31-4a4b-8f79-634c879bd938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2C2AAD4A</paraID>
      <start>0</start>
      <end>3</end>
      <status>unmodified</status>
      <modifiedWord/>
      <trackRevisions>false</trackRevisions>
    </reviewItem>
    <reviewItem>
      <errorID>3c87cb2d-9b0d-4fe7-8a4a-512576b2b95e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4589C5B5</paraID>
      <start>0</start>
      <end>3</end>
      <status>unmodified</status>
      <modifiedWord/>
      <trackRevisions>false</trackRevisions>
    </reviewItem>
    <reviewItem>
      <errorID>35a6fa9e-2543-4198-af06-38b037cb7d2a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5D528754</paraID>
      <start>0</start>
      <end>3</end>
      <status>unmodified</status>
      <modifiedWord/>
      <trackRevisions>false</trackRevisions>
    </reviewItem>
    <reviewItem>
      <errorID>00bf4068-9933-4997-b990-ae8d1cd0771c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682ABDE2</paraID>
      <start>0</start>
      <end>3</end>
      <status>unmodified</status>
      <modifiedWord/>
      <trackRevisions>false</trackRevisions>
    </reviewItem>
    <reviewItem>
      <errorID>c09b696c-8f0b-428e-96f8-0461dedbe81f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48D4EB38</paraID>
      <start>0</start>
      <end>3</end>
      <status>unmodified</status>
      <modifiedWord/>
      <trackRevisions>false</trackRevisions>
    </reviewItem>
    <reviewItem>
      <errorID>714b4bb9-7cf1-4bba-bce4-bc7d8380b885</errorID>
      <errorWord>,</errorWord>
      <group>L1_Format</group>
      <groupName>格式问题</groupName>
      <ability>L2_HalfPunc_CN</ability>
      <abilityName>全半角检查</abilityName>
      <candidateList>
        <item>，</item>
      </candidateList>
      <explain>文本全半角错误。</explain>
      <paraID>7EC06B80</paraID>
      <start>13</start>
      <end>14</end>
      <status>unmodified</status>
      <modifiedWord/>
      <trackRevisions>false</trackRevisions>
    </reviewItem>
    <reviewItem>
      <errorID>c45fae91-a0f2-4157-929f-023801c89339</errorID>
      <errorWord>,</errorWord>
      <group>L1_Format</group>
      <groupName>格式问题</groupName>
      <ability>L2_HalfPunc_CN</ability>
      <abilityName>全半角检查</abilityName>
      <candidateList>
        <item>，</item>
      </candidateList>
      <explain>文本全半角错误。</explain>
      <paraID>7EC06B80</paraID>
      <start>24</start>
      <end>25</end>
      <status>unmodified</status>
      <modifiedWord/>
      <trackRevisions>false</trackRevisions>
    </reviewItem>
    <reviewItem>
      <errorID>ac5b528b-5366-47f9-96bd-85a72b06a474</errorID>
      <errorWord>,</errorWord>
      <group>L1_Format</group>
      <groupName>格式问题</groupName>
      <ability>L2_HalfPunc_CN</ability>
      <abilityName>全半角检查</abilityName>
      <candidateList>
        <item>，</item>
      </candidateList>
      <explain>文本全半角错误。</explain>
      <paraID>7EC06B80</paraID>
      <start>39</start>
      <end>40</end>
      <status>unmodified</status>
      <modifiedWord/>
      <trackRevisions>false</trackRevisions>
    </reviewItem>
    <reviewItem>
      <errorID>76438cd9-5684-4d96-8ef1-28f7089db881</errorID>
      <errorWord>法律、法规</errorWord>
      <group>L1_Word</group>
      <groupName>字词问题</groupName>
      <ability>L2_Typo</ability>
      <abilityName>字词错误</abilityName>
      <candidateList>
        <item>法律法规</item>
      </candidateList>
      <explain/>
      <paraID>40F33D53</paraID>
      <start>45</start>
      <end>50</end>
      <status>unmodified</status>
      <modifiedWord/>
      <trackRevisions>false</trackRevisions>
    </reviewItem>
    <reviewItem>
      <errorID>1f1d0746-a6ea-4740-95c5-d9b88e064626</errorID>
      <errorWord>(</errorWord>
      <group>L1_Format</group>
      <groupName>格式问题</groupName>
      <ability>L2_HalfPunc_CN</ability>
      <abilityName>全半角检查</abilityName>
      <candidateList>
        <item>（</item>
      </candidateList>
      <explain>文本全半角错误。</explain>
      <paraID>7407A81A</paraID>
      <start>97</start>
      <end>98</end>
      <status>unmodified</status>
      <modifiedWord/>
      <trackRevisions>false</trackRevisions>
    </reviewItem>
    <reviewItem>
      <errorID>7294f58d-e751-413a-b96f-d2906123495d</errorID>
      <errorWord>)</errorWord>
      <group>L1_Format</group>
      <groupName>格式问题</groupName>
      <ability>L2_HalfPunc_CN</ability>
      <abilityName>全半角检查</abilityName>
      <candidateList>
        <item>）</item>
      </candidateList>
      <explain>文本全半角错误。</explain>
      <paraID>7407A81A</paraID>
      <start>110</start>
      <end>111</end>
      <status>unmodified</status>
      <modifiedWord/>
      <trackRevisions>false</trackRevisions>
    </reviewItem>
    <reviewItem>
      <errorID>fcc74c37-9a51-4ef4-a5eb-ca7d5228cfcb</errorID>
      <errorWord>中并</errorWord>
      <group>L1_Word</group>
      <groupName>字词问题</groupName>
      <ability>L2_Typo</ability>
      <abilityName>字词错误</abilityName>
      <candidateList>
        <item>中</item>
      </candidateList>
      <explain>〈动〉❶正对上；恰好合上：～选｜猜～了｜三枪都打～了目标。❷受到；遭受：～毒｜～暑｜胳膊上～了一枪。</explain>
      <paraID>25F90335</paraID>
      <start>59</start>
      <end>61</end>
      <status>unmodified</status>
      <modifiedWord/>
      <trackRevisions>false</trackRevisions>
    </reviewItem>
    <reviewItem>
      <errorID>96073a6c-0364-442f-bdc2-7a9620d5f1c9</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3EB2D6D3</paraID>
      <start>29</start>
      <end>32</end>
      <status>unmodified</status>
      <modifiedWord/>
      <trackRevisions>false</trackRevisions>
    </reviewItem>
    <reviewItem>
      <errorID>0f8897f5-d1fe-4d15-b3df-8af0703f5fb9</errorID>
      <errorWord>(</errorWord>
      <group>L1_Format</group>
      <groupName>格式问题</groupName>
      <ability>L2_HalfPunc_CN</ability>
      <abilityName>全半角检查</abilityName>
      <candidateList>
        <item>（</item>
      </candidateList>
      <explain>文本全半角错误。</explain>
      <paraID>1F1A452C</paraID>
      <start>42</start>
      <end>43</end>
      <status>unmodified</status>
      <modifiedWord/>
      <trackRevisions>false</trackRevisions>
    </reviewItem>
    <reviewItem>
      <errorID>482b7187-f249-4b9f-ad40-09efc7adb1f1</errorID>
      <errorWord>[2020]46号</errorWord>
      <group>L1_Knowledge</group>
      <groupName>知识性问题</groupName>
      <ability>L2_Knowledge</ability>
      <abilityName>其他知识</abilityName>
      <candidateList>
        <item>〔2020〕46号</item>
      </candidateList>
      <explain>发文字号格式错误。</explain>
      <paraID>1F1A452C</paraID>
      <start>45</start>
      <end>54</end>
      <status>unmodified</status>
      <modifiedWord/>
      <trackRevisions>false</trackRevisions>
    </reviewItem>
    <reviewItem>
      <errorID>75eb9e97-9c83-49bc-a337-ec955773fda1</errorID>
      <errorWord>)</errorWord>
      <group>L1_Format</group>
      <groupName>格式问题</groupName>
      <ability>L2_HalfPunc_CN</ability>
      <abilityName>全半角检查</abilityName>
      <candidateList>
        <item>）</item>
      </candidateList>
      <explain>文本全半角错误。</explain>
      <paraID>1F1A452C</paraID>
      <start>54</start>
      <end>55</end>
      <status>unmodified</status>
      <modifiedWord/>
      <trackRevisions>false</trackRevisions>
    </reviewItem>
    <reviewItem>
      <errorID>0ff155c7-48a2-4906-8c37-6d48cf1fc66e</errorID>
      <errorWord>[2022]17号</errorWord>
      <group>L1_Knowledge</group>
      <groupName>知识性问题</groupName>
      <ability>L2_Knowledge</ability>
      <abilityName>其他知识</abilityName>
      <candidateList>
        <item>〔2022〕17号</item>
      </candidateList>
      <explain>发文字号格式错误。</explain>
      <paraID>1F1A452C</paraID>
      <start>155</start>
      <end>164</end>
      <status>unmodified</status>
      <modifiedWord/>
      <trackRevisions>false</trackRevisions>
    </reviewItem>
    <reviewItem>
      <errorID>a856295e-e6f9-4bea-b2af-d03acdfc5b7c</errorID>
      <errorWord>(</errorWord>
      <group>L1_Format</group>
      <groupName>格式问题</groupName>
      <ability>L2_HalfPunc_CN</ability>
      <abilityName>全半角检查</abilityName>
      <candidateList>
        <item>（</item>
      </candidateList>
      <explain>文本全半角错误。</explain>
      <paraID>73C8592E</paraID>
      <start>32</start>
      <end>33</end>
      <status>unmodified</status>
      <modifiedWord/>
      <trackRevisions>false</trackRevisions>
    </reviewItem>
    <reviewItem>
      <errorID>28b4a935-dcfa-42ce-a204-26f9e0422899</errorID>
      <errorWord>)</errorWord>
      <group>L1_Format</group>
      <groupName>格式问题</groupName>
      <ability>L2_HalfPunc_CN</ability>
      <abilityName>全半角检查</abilityName>
      <candidateList>
        <item>）</item>
      </candidateList>
      <explain>文本全半角错误。</explain>
      <paraID>73C8592E</paraID>
      <start>44</start>
      <end>45</end>
      <status>unmodified</status>
      <modifiedWord/>
      <trackRevisions>false</trackRevisions>
    </reviewItem>
    <reviewItem>
      <errorID>9057903e-bc76-4a9b-b37a-dedaeecb17e1</errorID>
      <errorWord>(</errorWord>
      <group>L1_Format</group>
      <groupName>格式问题</groupName>
      <ability>L2_HalfPunc_CN</ability>
      <abilityName>全半角检查</abilityName>
      <candidateList>
        <item>（</item>
      </candidateList>
      <explain>文本全半角错误。</explain>
      <paraID>4299BE51</paraID>
      <start>33</start>
      <end>34</end>
      <status>unmodified</status>
      <modifiedWord/>
      <trackRevisions>false</trackRevisions>
    </reviewItem>
    <reviewItem>
      <errorID>2718c2d0-10d6-49f6-a56d-565f051996b0</errorID>
      <errorWord>)</errorWord>
      <group>L1_Format</group>
      <groupName>格式问题</groupName>
      <ability>L2_HalfPunc_CN</ability>
      <abilityName>全半角检查</abilityName>
      <candidateList>
        <item>）</item>
      </candidateList>
      <explain>文本全半角错误。</explain>
      <paraID>4299BE51</paraID>
      <start>46</start>
      <end>47</end>
      <status>unmodified</status>
      <modifiedWord/>
      <trackRevisions>false</trackRevisions>
    </reviewItem>
    <reviewItem>
      <errorID>a5447446-a237-4e81-aa97-17621ad2ec83</errorID>
      <errorWord>(</errorWord>
      <group>L1_Format</group>
      <groupName>格式问题</groupName>
      <ability>L2_HalfPunc_CN</ability>
      <abilityName>全半角检查</abilityName>
      <candidateList>
        <item>（</item>
      </candidateList>
      <explain>文本全半角错误。</explain>
      <paraID> 75C024F</paraID>
      <start>30</start>
      <end>31</end>
      <status>unmodified</status>
      <modifiedWord/>
      <trackRevisions>false</trackRevisions>
    </reviewItem>
    <reviewItem>
      <errorID>120afa9f-5d6b-49a7-8c48-de250f50d98b</errorID>
      <errorWord>)</errorWord>
      <group>L1_Format</group>
      <groupName>格式问题</groupName>
      <ability>L2_HalfPunc_CN</ability>
      <abilityName>全半角检查</abilityName>
      <candidateList>
        <item>）</item>
      </candidateList>
      <explain>文本全半角错误。</explain>
      <paraID> 75C024F</paraID>
      <start>33</start>
      <end>34</end>
      <status>unmodified</status>
      <modifiedWord/>
      <trackRevisions>false</trackRevisions>
    </reviewItem>
    <reviewItem>
      <errorID>97614601-ef1f-4d60-b5cf-bc872ad56fb3</errorID>
      <errorWord>(</errorWord>
      <group>L1_Format</group>
      <groupName>格式问题</groupName>
      <ability>L2_HalfPunc_CN</ability>
      <abilityName>全半角检查</abilityName>
      <candidateList>
        <item>（</item>
      </candidateList>
      <explain>文本全半角错误。</explain>
      <paraID> 75C024F</paraID>
      <start>39</start>
      <end>40</end>
      <status>unmodified</status>
      <modifiedWord/>
      <trackRevisions>false</trackRevisions>
    </reviewItem>
    <reviewItem>
      <errorID>b43bfb4f-5b5b-4bd6-b4b8-c87f5b0d6fc2</errorID>
      <errorWord>)</errorWord>
      <group>L1_Format</group>
      <groupName>格式问题</groupName>
      <ability>L2_HalfPunc_CN</ability>
      <abilityName>全半角检查</abilityName>
      <candidateList>
        <item>）</item>
      </candidateList>
      <explain>文本全半角错误。</explain>
      <paraID> 75C024F</paraID>
      <start>43</start>
      <end>44</end>
      <status>unmodified</status>
      <modifiedWord/>
      <trackRevisions>false</trackRevisions>
    </reviewItem>
    <reviewItem>
      <errorID>e347d4e8-7a3b-4192-9c37-8902eafb0599</errorID>
      <errorWord>登陆</errorWord>
      <group>L1_Word</group>
      <groupName>字词问题</groupName>
      <ability>L2_Typo</ability>
      <abilityName>字词错误</abilityName>
      <candidateList>
        <item>登录</item>
      </candidateList>
      <explain>存在发音相同字词的误用。</explain>
      <paraID>3EE349F0</paraID>
      <start>18</start>
      <end>20</end>
      <status>unmodified</status>
      <modifiedWord/>
      <trackRevisions>false</trackRevisions>
    </reviewItem>
    <reviewItem>
      <errorID>f4d30dc8-79af-48b4-a121-ed2546b30a0b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2C6B9CD1</paraID>
      <start>0</start>
      <end>2</end>
      <status>unmodified</status>
      <modifiedWord/>
      <trackRevisions>false</trackRevisions>
    </reviewItem>
    <reviewItem>
      <errorID>044df0a0-0084-48e9-a60f-ecfd728065e4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555BF784</paraID>
      <start>0</start>
      <end>2</end>
      <status>unmodified</status>
      <modifiedWord/>
      <trackRevisions>false</trackRevisions>
    </reviewItem>
    <reviewItem>
      <errorID>06f3cf7b-3ece-4dc4-8c99-82de32577f07</errorID>
      <errorWord>法律、法规</errorWord>
      <group>L1_Word</group>
      <groupName>字词问题</groupName>
      <ability>L2_Typo</ability>
      <abilityName>字词错误</abilityName>
      <candidateList>
        <item>法律法规</item>
      </candidateList>
      <explain/>
      <paraID> 8730E1F</paraID>
      <start>3</start>
      <end>8</end>
      <status>unmodified</status>
      <modifiedWord/>
      <trackRevisions>false</trackRevisions>
    </reviewItem>
    <reviewItem>
      <errorID>fb8d7c9b-996d-40e2-ae2d-228ba219571d</errorID>
      <errorWord>）</errorWord>
      <group>L1_Word</group>
      <groupName>字词问题</groupName>
      <ability>L2_Typo</ability>
      <abilityName>字词错误</abilityName>
      <candidateList>
        <item>）以</item>
      </candidateList>
      <explain/>
      <paraID>722B8F6F</paraID>
      <start>2</start>
      <end>3</end>
      <status>unmodified</status>
      <modifiedWord/>
      <trackRevisions>false</trackRevisions>
    </reviewItem>
    <reviewItem>
      <errorID>7eb58378-89b9-41f7-8304-6ac33a44e4d0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7B512A7F</paraID>
      <start>0</start>
      <end>2</end>
      <status>unmodified</status>
      <modifiedWord/>
      <trackRevisions>false</trackRevisions>
    </reviewItem>
    <reviewItem>
      <errorID>d5548954-81ac-4efb-8403-b272415c859a</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2DF57C7B</paraID>
      <start>16</start>
      <end>17</end>
      <status>unmodified</status>
      <modifiedWord/>
      <trackRevisions>false</trackRevisions>
    </reviewItem>
    <reviewItem>
      <errorID>ed621974-0446-4914-a589-9b5939266a50</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380EF9C6</paraID>
      <start>13</start>
      <end>14</end>
      <status>unmodified</status>
      <modifiedWord/>
      <trackRevisions>false</trackRevisions>
    </reviewItem>
    <reviewItem>
      <errorID>be01d6ed-b20e-40a9-95ad-10737b3ecd1c</errorID>
      <errorWord>(</errorWord>
      <group>L1_Format</group>
      <groupName>格式问题</groupName>
      <ability>L2_HalfPunc_CN</ability>
      <abilityName>全半角检查</abilityName>
      <candidateList>
        <item>（</item>
      </candidateList>
      <explain>文本全半角错误。</explain>
      <paraID>7C4103D5</paraID>
      <start>108</start>
      <end>109</end>
      <status>unmodified</status>
      <modifiedWord/>
      <trackRevisions>false</trackRevisions>
    </reviewItem>
    <reviewItem>
      <errorID>8978d5c0-1e25-4d68-a9fc-bddb80d86dd0</errorID>
      <errorWord>)</errorWord>
      <group>L1_Format</group>
      <groupName>格式问题</groupName>
      <ability>L2_HalfPunc_CN</ability>
      <abilityName>全半角检查</abilityName>
      <candidateList>
        <item>）</item>
      </candidateList>
      <explain>文本全半角错误。</explain>
      <paraID>7C4103D5</paraID>
      <start>121</start>
      <end>122</end>
      <status>unmodified</status>
      <modifiedWord/>
      <trackRevisions>false</trackRevisions>
    </reviewItem>
    <reviewItem>
      <errorID>6a086a50-fb66-42f4-ad06-d2fa8fcbcd00</errorID>
      <errorWord>2%-3%</errorWord>
      <group>L1_Knowledge</group>
      <groupName>知识性问题</groupName>
      <ability>L2_Knowledge</ability>
      <abilityName>其他知识</abilityName>
      <candidateList>
        <item>2%—3%</item>
      </candidateList>
      <explain>1. “2%-3%”中的单位“%”仅出现在后一个数字上，容易引起歧义；根据《现代汉语标点符号数字用法规范手册》，数字表示范围两边需要使用统一的格式。2. 根据标点国标 4.13 中的规则，数字、时间或地域连接符应使用（视觉上更长的）“—”或“～”。</explain>
      <paraID>34C0EC7B</paraID>
      <start>120</start>
      <end>125</end>
      <status>unmodified</status>
      <modifiedWord/>
      <trackRevisions>false</trackRevisions>
    </reviewItem>
    <reviewItem>
      <errorID>9ffdc401-ad98-4d10-b3e0-9408566b4ce8</errorID>
      <errorWord>(</errorWord>
      <group>L1_Format</group>
      <groupName>格式问题</groupName>
      <ability>L2_HalfPunc_CN</ability>
      <abilityName>全半角检查</abilityName>
      <candidateList>
        <item>（</item>
      </candidateList>
      <explain>文本全半角错误。</explain>
      <paraID>34C0EC7B</paraID>
      <start>127</start>
      <end>128</end>
      <status>unmodified</status>
      <modifiedWord/>
      <trackRevisions>false</trackRevisions>
    </reviewItem>
    <reviewItem>
      <errorID>61573efe-0d01-42dd-82e7-df227c3b339d</errorID>
      <errorWord>)</errorWord>
      <group>L1_Format</group>
      <groupName>格式问题</groupName>
      <ability>L2_HalfPunc_CN</ability>
      <abilityName>全半角检查</abilityName>
      <candidateList>
        <item>）</item>
      </candidateList>
      <explain>文本全半角错误。</explain>
      <paraID>34C0EC7B</paraID>
      <start>139</start>
      <end>140</end>
      <status>unmodified</status>
      <modifiedWord/>
      <trackRevisions>false</trackRevisions>
    </reviewItem>
    <reviewItem>
      <errorID>48515656-91b4-45b9-9247-554e3daf14e3</errorID>
      <errorWord>(</errorWord>
      <group>L1_Format</group>
      <groupName>格式问题</groupName>
      <ability>L2_HalfPunc_CN</ability>
      <abilityName>全半角检查</abilityName>
      <candidateList>
        <item>（</item>
      </candidateList>
      <explain>文本全半角错误。</explain>
      <paraID>39469DE3</paraID>
      <start>0</start>
      <end>1</end>
      <status>unmodified</status>
      <modifiedWord/>
      <trackRevisions>false</trackRevisions>
    </reviewItem>
    <reviewItem>
      <errorID>f221adfb-a5a3-48ae-bf55-a0c023ca6b26</errorID>
      <errorWord>)</errorWord>
      <group>L1_Format</group>
      <groupName>格式问题</groupName>
      <ability>L2_HalfPunc_CN</ability>
      <abilityName>全半角检查</abilityName>
      <candidateList>
        <item>）</item>
      </candidateList>
      <explain>文本全半角错误。</explain>
      <paraID>39469DE3</paraID>
      <start>69</start>
      <end>70</end>
      <status>unmodified</status>
      <modifiedWord/>
      <trackRevisions>false</trackRevisions>
    </reviewItem>
    <reviewItem>
      <errorID>40771753-9d01-4948-83b9-e481778d1447</errorID>
      <errorWord>(</errorWord>
      <group>L1_Format</group>
      <groupName>格式问题</groupName>
      <ability>L2_HalfPunc_CN</ability>
      <abilityName>全半角检查</abilityName>
      <candidateList>
        <item>（</item>
      </candidateList>
      <explain>文本全半角错误。</explain>
      <paraID>25EC6B6F</paraID>
      <start>0</start>
      <end>1</end>
      <status>unmodified</status>
      <modifiedWord/>
      <trackRevisions>false</trackRevisions>
    </reviewItem>
    <reviewItem>
      <errorID>be3ea9be-5ee3-45db-b511-44f1c6acc5e8</errorID>
      <errorWord>)</errorWord>
      <group>L1_Format</group>
      <groupName>格式问题</groupName>
      <ability>L2_HalfPunc_CN</ability>
      <abilityName>全半角检查</abilityName>
      <candidateList>
        <item>）</item>
      </candidateList>
      <explain>文本全半角错误。</explain>
      <paraID>25EC6B6F</paraID>
      <start>41</start>
      <end>42</end>
      <status>unmodified</status>
      <modifiedWord/>
      <trackRevisions>false</trackRevisions>
    </reviewItem>
    <reviewItem>
      <errorID>7a3c105e-03bc-471e-adf1-64a462ea78a1</errorID>
      <errorWord>:</errorWord>
      <group>L1_Format</group>
      <groupName>格式问题</groupName>
      <ability>L2_HalfPunc_CN</ability>
      <abilityName>全半角检查</abilityName>
      <candidateList>
        <item>：</item>
      </candidateList>
      <explain>文本全半角错误。</explain>
      <paraID> FFBA181</paraID>
      <start>10</start>
      <end>11</end>
      <status>unmodified</status>
      <modifiedWord/>
      <trackRevisions>false</trackRevisions>
    </reviewItem>
    <reviewItem>
      <errorID>1bb19b7b-b097-402e-8408-1578c35f6fc1</errorID>
      <errorWord>4%-8%</errorWord>
      <group>L1_Knowledge</group>
      <groupName>知识性问题</groupName>
      <ability>L2_Knowledge</ability>
      <abilityName>其他知识</abilityName>
      <candidateList>
        <item>4%—8%</item>
      </candidateList>
      <explain>1. “4%-8%”中的单位“%”仅出现在后一个数字上，容易引起歧义；根据《现代汉语标点符号数字用法规范手册》，数字表示范围两边需要使用统一的格式。2. 根据标点国标 4.13 中的规则，数字、时间或地域连接符应使用（视觉上更长的）“—”或“～”。</explain>
      <paraID> FFBA181</paraID>
      <start>40</start>
      <end>45</end>
      <status>unmodified</status>
      <modifiedWord/>
      <trackRevisions>false</trackRevisions>
    </reviewItem>
    <reviewItem>
      <errorID>9efe2b15-14ae-47aa-9aff-f58df2f555bb</errorID>
      <errorWord>:</errorWord>
      <group>L1_Format</group>
      <groupName>格式问题</groupName>
      <ability>L2_HalfPunc_CN</ability>
      <abilityName>全半角检查</abilityName>
      <candidateList>
        <item>：</item>
      </candidateList>
      <explain>文本全半角错误。</explain>
      <paraID>31B0B87A</paraID>
      <start>7</start>
      <end>8</end>
      <status>unmodified</status>
      <modifiedWord/>
      <trackRevisions>false</trackRevisions>
    </reviewItem>
    <reviewItem>
      <errorID>b5e19d47-03d8-4021-b713-47dcb416b9e9</errorID>
      <errorWord>4%-8%</errorWord>
      <group>L1_Knowledge</group>
      <groupName>知识性问题</groupName>
      <ability>L2_Knowledge</ability>
      <abilityName>其他知识</abilityName>
      <candidateList>
        <item>4%—8%</item>
      </candidateList>
      <explain>1. “4%-8%”中的单位“%”仅出现在后一个数字上，容易引起歧义；根据《现代汉语标点符号数字用法规范手册》，数字表示范围两边需要使用统一的格式。2. 根据标点国标 4.13 中的规则，数字、时间或地域连接符应使用（视觉上更长的）“—”或“～”。</explain>
      <paraID>31B0B87A</paraID>
      <start>36</start>
      <end>41</end>
      <status>unmodified</status>
      <modifiedWord/>
      <trackRevisions>false</trackRevisions>
    </reviewItem>
    <reviewItem>
      <errorID>48f56999-afee-43b9-9eff-9c8a582998f9</errorID>
      <errorWord>(</errorWord>
      <group>L1_Format</group>
      <groupName>格式问题</groupName>
      <ability>L2_HalfPunc_CN</ability>
      <abilityName>全半角检查</abilityName>
      <candidateList>
        <item>（</item>
      </candidateList>
      <explain>文本全半角错误。</explain>
      <paraID>37F0EA3E</paraID>
      <start>3</start>
      <end>4</end>
      <status>unmodified</status>
      <modifiedWord/>
      <trackRevisions>false</trackRevisions>
    </reviewItem>
    <reviewItem>
      <errorID>33790a00-ba7c-460d-936c-db2f2ed34270</errorID>
      <errorWord>)</errorWord>
      <group>L1_Format</group>
      <groupName>格式问题</groupName>
      <ability>L2_HalfPunc_CN</ability>
      <abilityName>全半角检查</abilityName>
      <candidateList>
        <item>）</item>
      </candidateList>
      <explain>文本全半角错误。</explain>
      <paraID>37F0EA3E</paraID>
      <start>5</start>
      <end>6</end>
      <status>unmodified</status>
      <modifiedWord/>
      <trackRevisions>false</trackRevisions>
    </reviewItem>
    <reviewItem>
      <errorID>e7e24d5f-103f-4c8c-932a-379ad146a118</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37F0EA3E</paraID>
      <start>20</start>
      <end>23</end>
      <status>unmodified</status>
      <modifiedWord/>
      <trackRevisions>false</trackRevisions>
    </reviewItem>
    <reviewItem>
      <errorID>95d483d3-078a-4fd7-a574-7803ff9258d2</errorID>
      <errorWord>(</errorWord>
      <group>L1_Format</group>
      <groupName>格式问题</groupName>
      <ability>L2_HalfPunc_CN</ability>
      <abilityName>全半角检查</abilityName>
      <candidateList>
        <item>（</item>
      </candidateList>
      <explain>文本全半角错误。</explain>
      <paraID>37F0EA3E</paraID>
      <start>52</start>
      <end>53</end>
      <status>unmodified</status>
      <modifiedWord/>
      <trackRevisions>false</trackRevisions>
    </reviewItem>
    <reviewItem>
      <errorID>3faab9f9-be98-44d7-8916-50d92ff022c9</errorID>
      <errorWord>)</errorWord>
      <group>L1_Format</group>
      <groupName>格式问题</groupName>
      <ability>L2_HalfPunc_CN</ability>
      <abilityName>全半角检查</abilityName>
      <candidateList>
        <item>）</item>
      </candidateList>
      <explain>文本全半角错误。</explain>
      <paraID>37F0EA3E</paraID>
      <start>78</start>
      <end>79</end>
      <status>unmodified</status>
      <modifiedWord/>
      <trackRevisions>false</trackRevisions>
    </reviewItem>
    <reviewItem>
      <errorID>2bcb91f4-709b-4bb7-801b-ab81e24ddd50</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54830B5C</paraID>
      <start>26</start>
      <end>29</end>
      <status>unmodified</status>
      <modifiedWord/>
      <trackRevisions>false</trackRevisions>
    </reviewItem>
    <reviewItem>
      <errorID>13b52b8b-e032-4399-9b19-3e9a671d0e23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605F2F73</paraID>
      <start>0</start>
      <end>2</end>
      <status>unmodified</status>
      <modifiedWord/>
      <trackRevisions>false</trackRevisions>
    </reviewItem>
    <reviewItem>
      <errorID>444a30cc-74c4-42a4-9c37-2e99e04b688d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73A900A</paraID>
      <start>0</start>
      <end>2</end>
      <status>unmodified</status>
      <modifiedWord/>
      <trackRevisions>false</trackRevisions>
    </reviewItem>
    <reviewItem>
      <errorID>2ece7147-3ab7-4153-a895-ad625b7ccc11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1A0D0E1</paraID>
      <start>0</start>
      <end>2</end>
      <status>unmodified</status>
      <modifiedWord/>
      <trackRevisions>false</trackRevisions>
    </reviewItem>
    <reviewItem>
      <errorID>d708346d-7602-4ed4-b691-29462394d268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2259FA6C</paraID>
      <start>0</start>
      <end>2</end>
      <status>unmodified</status>
      <modifiedWord/>
      <trackRevisions>false</trackRevisions>
    </reviewItem>
    <reviewItem>
      <errorID>de24c727-bb3d-4469-aaa9-95a63c68c8ef</errorID>
      <errorWord>位</errorWord>
      <group>L1_Word</group>
      <groupName>字词问题</groupName>
      <ability>L2_Typo</ability>
      <abilityName>字词错误</abilityName>
      <candidateList>
        <item>位公</item>
      </candidateList>
      <explain/>
      <paraID>7E77ECD7</paraID>
      <start>53</start>
      <end>54</end>
      <status>unmodified</status>
      <modifiedWord/>
      <trackRevisions>false</trackRevisions>
    </reviewItem>
    <reviewItem>
      <errorID>6d0bb4f4-8df4-4de6-981a-a7506601a474</errorID>
      <errorWord>&lt;</errorWord>
      <group>L1_Format</group>
      <groupName>格式问题</groupName>
      <ability>L2_HalfPunc_CN</ability>
      <abilityName>全半角检查</abilityName>
      <candidateList>
        <item>〈</item>
      </candidateList>
      <explain>文本全半角错误。</explain>
      <paraID>75861FB2</paraID>
      <start>49</start>
      <end>50</end>
      <status>unmodified</status>
      <modifiedWord/>
      <trackRevisions>false</trackRevisions>
    </reviewItem>
    <reviewItem>
      <errorID>80793bb0-23a7-499a-bcfb-789b247a2bab</errorID>
      <errorWord>&lt;</errorWord>
      <group>L1_Format</group>
      <groupName>格式问题</groupName>
      <ability>L2_HalfPunc_CN</ability>
      <abilityName>全半角检查</abilityName>
      <candidateList>
        <item>〈</item>
      </candidateList>
      <explain>文本全半角错误。</explain>
      <paraID> A5D7243</paraID>
      <start>40</start>
      <end>41</end>
      <status>unmodified</status>
      <modifiedWord/>
      <trackRevisions>false</trackRevisions>
    </reviewItem>
    <reviewItem>
      <errorID>d9311c4d-5559-4349-bde6-b81f79507b1f</errorID>
      <errorWord>&lt;</errorWord>
      <group>L1_Format</group>
      <groupName>格式问题</groupName>
      <ability>L2_HalfPunc_CN</ability>
      <abilityName>全半角检查</abilityName>
      <candidateList>
        <item>〈</item>
      </candidateList>
      <explain>文本全半角错误。</explain>
      <paraID>6DDCB0FC</paraID>
      <start>40</start>
      <end>41</end>
      <status>unmodified</status>
      <modifiedWord/>
      <trackRevisions>false</trackRevisions>
    </reviewItem>
    <reviewItem>
      <errorID>31158c84-b90f-4a01-bf76-38fb979a67c7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27610983</paraID>
      <start>0</start>
      <end>2</end>
      <status>unmodified</status>
      <modifiedWord/>
      <trackRevisions>false</trackRevisions>
    </reviewItem>
    <reviewItem>
      <errorID>caad6a57-9ef0-44a6-b2e8-38aff997b968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4C65A66E</paraID>
      <start>0</start>
      <end>2</end>
      <status>unmodified</status>
      <modifiedWord/>
      <trackRevisions>false</trackRevisions>
    </reviewItem>
    <reviewItem>
      <errorID>d8147428-4a30-4fdd-9856-762ad829385a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45B850D1</paraID>
      <start>0</start>
      <end>2</end>
      <status>unmodified</status>
      <modifiedWord/>
      <trackRevisions>false</trackRevisions>
    </reviewItem>
    <reviewItem>
      <errorID>9273608c-c7ea-434f-a9b1-1568ea95223e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29C9A096</paraID>
      <start>0</start>
      <end>2</end>
      <status>unmodified</status>
      <modifiedWord/>
      <trackRevisions>false</trackRevisions>
    </reviewItem>
    <reviewItem>
      <errorID>2d48b42e-61ac-4a2f-ab7c-d29c7746fd24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55906134</paraID>
      <start>0</start>
      <end>2</end>
      <status>unmodified</status>
      <modifiedWord/>
      <trackRevisions>false</trackRevisions>
    </reviewItem>
    <reviewItem>
      <errorID>6b512ce2-e6c4-4562-a1e9-a30bbf579a3a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445D627B</paraID>
      <start>0</start>
      <end>3</end>
      <status>unmodified</status>
      <modifiedWord/>
      <trackRevisions>false</trackRevisions>
    </reviewItem>
    <reviewItem>
      <errorID>178b2a12-61c0-419d-ba25-1295de21aee4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71AD3135</paraID>
      <start>0</start>
      <end>3</end>
      <status>unmodified</status>
      <modifiedWord/>
      <trackRevisions>false</trackRevisions>
    </reviewItem>
    <reviewItem>
      <errorID>16730ca1-4dbb-413f-9bc5-b5bba1a85caa</errorID>
      <errorWord>不</errorWord>
      <group>L1_Word</group>
      <groupName>字词问题</groupName>
      <ability>L2_Typo</ability>
      <abilityName>字词错误</abilityName>
      <candidateList>
        <item>不符</item>
      </candidateList>
      <explain/>
      <paraID>2B719520</paraID>
      <start>15</start>
      <end>16</end>
      <status>unmodified</status>
      <modifiedWord/>
      <trackRevisions>false</trackRevisions>
    </reviewItem>
    <reviewItem>
      <errorID>24ab6b01-5cab-437a-b8d5-716cb06053da</errorID>
      <errorWord>法律、法规</errorWord>
      <group>L1_Word</group>
      <groupName>字词问题</groupName>
      <ability>L2_Typo</ability>
      <abilityName>字词错误</abilityName>
      <candidateList>
        <item>法律法规</item>
      </candidateList>
      <explain/>
      <paraID> DBB818C</paraID>
      <start>3</start>
      <end>8</end>
      <status>unmodified</status>
      <modifiedWord/>
      <trackRevisions>false</trackRevisions>
    </reviewItem>
    <reviewItem>
      <errorID>ba85a746-a9c7-4401-9f5b-04fe327d81a7</errorID>
      <errorWord>法律、法规</errorWord>
      <group>L1_Word</group>
      <groupName>字词问题</groupName>
      <ability>L2_Typo</ability>
      <abilityName>字词错误</abilityName>
      <candidateList>
        <item>法律法规</item>
      </candidateList>
      <explain/>
      <paraID>3411882B</paraID>
      <start>30</start>
      <end>35</end>
      <status>unmodified</status>
      <modifiedWord/>
      <trackRevisions>false</trackRevisions>
    </reviewItem>
    <reviewItem>
      <errorID>3607640a-9a24-46b6-bba3-38750f1ba5b2</errorID>
      <errorWord>(</errorWord>
      <group>L1_Format</group>
      <groupName>格式问题</groupName>
      <ability>L2_HalfPunc_CN</ability>
      <abilityName>全半角检查</abilityName>
      <candidateList>
        <item>（</item>
      </candidateList>
      <explain>文本全半角错误。</explain>
      <paraID>45D513EF</paraID>
      <start>73</start>
      <end>74</end>
      <status>unmodified</status>
      <modifiedWord/>
      <trackRevisions>false</trackRevisions>
    </reviewItem>
    <reviewItem>
      <errorID>82bf8b19-716c-4de0-8993-8a14d86d0af5</errorID>
      <errorWord>)</errorWord>
      <group>L1_Format</group>
      <groupName>格式问题</groupName>
      <ability>L2_HalfPunc_CN</ability>
      <abilityName>全半角检查</abilityName>
      <candidateList>
        <item>）</item>
      </candidateList>
      <explain>文本全半角错误。</explain>
      <paraID>45D513EF</paraID>
      <start>76</start>
      <end>77</end>
      <status>unmodified</status>
      <modifiedWord/>
      <trackRevisions>false</trackRevisions>
    </reviewItem>
    <reviewItem>
      <errorID>d651ea29-e44a-48d2-a204-1085c1e71f19</errorID>
      <errorWord>(</errorWord>
      <group>L1_Format</group>
      <groupName>格式问题</groupName>
      <ability>L2_HalfPunc_CN</ability>
      <abilityName>全半角检查</abilityName>
      <candidateList>
        <item>（</item>
      </candidateList>
      <explain>文本全半角错误。</explain>
      <paraID>56C5CCE1</paraID>
      <start>25</start>
      <end>26</end>
      <status>unmodified</status>
      <modifiedWord/>
      <trackRevisions>false</trackRevisions>
    </reviewItem>
    <reviewItem>
      <errorID>81bb5bf9-ff3b-4f47-a70f-9dc17c5e2e6f</errorID>
      <errorWord>)</errorWord>
      <group>L1_Format</group>
      <groupName>格式问题</groupName>
      <ability>L2_HalfPunc_CN</ability>
      <abilityName>全半角检查</abilityName>
      <candidateList>
        <item>）</item>
      </candidateList>
      <explain>文本全半角错误。</explain>
      <paraID>56C5CCE1</paraID>
      <start>35</start>
      <end>36</end>
      <status>unmodified</status>
      <modifiedWord/>
      <trackRevisions>false</trackRevisions>
    </reviewItem>
    <reviewItem>
      <errorID>38604097-a506-4df1-b7e5-343192f586bd</errorID>
      <errorWord>;</errorWord>
      <group>L1_Format</group>
      <groupName>格式问题</groupName>
      <ability>L2_HalfPunc_CN</ability>
      <abilityName>全半角检查</abilityName>
      <candidateList>
        <item>；</item>
      </candidateList>
      <explain>文本全半角错误。</explain>
      <paraID>293AD2E7</paraID>
      <start>100</start>
      <end>101</end>
      <status>unmodified</status>
      <modifiedWord/>
      <trackRevisions>false</trackRevisions>
    </reviewItem>
    <reviewItem>
      <errorID>ebe51048-4320-41b3-8472-91ce7782e220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6DDD83E7</paraID>
      <start>0</start>
      <end>2</end>
      <status>unmodified</status>
      <modifiedWord/>
      <trackRevisions>false</trackRevisions>
    </reviewItem>
    <reviewItem>
      <errorID>edd8beef-1f33-4ebe-b912-d201d8899d26</errorID>
      <errorWord>,</errorWord>
      <group>L1_Format</group>
      <groupName>格式问题</groupName>
      <ability>L2_HalfPunc_CN</ability>
      <abilityName>全半角检查</abilityName>
      <candidateList>
        <item>，</item>
      </candidateList>
      <explain>文本全半角错误。</explain>
      <paraID>6DDD83E7</paraID>
      <start>59</start>
      <end>60</end>
      <status>unmodified</status>
      <modifiedWord/>
      <trackRevisions>false</trackRevisions>
    </reviewItem>
    <reviewItem>
      <errorID>5aa7059e-8246-4ee7-8670-fabfc1ba5722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7CC5E794</paraID>
      <start>0</start>
      <end>2</end>
      <status>unmodified</status>
      <modifiedWord/>
      <trackRevisions>false</trackRevisions>
    </reviewItem>
    <reviewItem>
      <errorID>16e8ceac-a029-4b83-9d26-34e290db17eb</errorID>
      <errorWord>计</errorWord>
      <group>L1_Word</group>
      <groupName>字词问题</groupName>
      <ability>L2_Typo</ability>
      <abilityName>字词错误</abilityName>
      <candidateList>
        <item>记</item>
      </candidateList>
      <explain>存在发音相同字词的误用。</explain>
      <paraID>5C8EA340</paraID>
      <start>238</start>
      <end>239</end>
      <status>unmodified</status>
      <modifiedWord/>
      <trackRevisions>false</trackRevisions>
    </reviewItem>
    <reviewItem>
      <errorID>bb7e56a9-c9fd-43cb-803e-b4a518625961</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312A4D22</paraID>
      <start>0</start>
      <end>2</end>
      <status>unmodified</status>
      <modifiedWord/>
      <trackRevisions>false</trackRevisions>
    </reviewItem>
    <reviewItem>
      <errorID>fa16e9da-4126-4447-8fff-bafb8eab5ff8</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E36EB54</paraID>
      <start>0</start>
      <end>2</end>
      <status>unmodified</status>
      <modifiedWord/>
      <trackRevisions>false</trackRevisions>
    </reviewItem>
    <reviewItem>
      <errorID>82e2b93a-d8bd-4e17-b75f-835b7503629b</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20BA6C61</paraID>
      <start>0</start>
      <end>2</end>
      <status>unmodified</status>
      <modifiedWord/>
      <trackRevisions>false</trackRevisions>
    </reviewItem>
    <reviewItem>
      <errorID>1778bf71-2383-4b4e-8353-872768bdf441</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5C036C04</paraID>
      <start>0</start>
      <end>2</end>
      <status>unmodified</status>
      <modifiedWord/>
      <trackRevisions>false</trackRevisions>
    </reviewItem>
    <reviewItem>
      <errorID>4babf408-1e23-4b45-b23a-12aa572cd193</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7C3AA56B</paraID>
      <start>0</start>
      <end>2</end>
      <status>unmodified</status>
      <modifiedWord/>
      <trackRevisions>false</trackRevisions>
    </reviewItem>
    <reviewItem>
      <errorID>a143280a-c1ee-4c2e-b612-763662c33eea</errorID>
      <errorWord>KW</errorWord>
      <group>L1_Word</group>
      <groupName>字词问题</groupName>
      <ability>L2_Typo</ability>
      <abilityName>字词错误</abilityName>
      <candidateList>
        <item>kW</item>
      </candidateList>
      <explain/>
      <paraID>79EB1738</paraID>
      <start>15</start>
      <end>17</end>
      <status>unmodified</status>
      <modifiedWord/>
      <trackRevisions>false</trackRevisions>
    </reviewItem>
    <reviewItem>
      <errorID>b484c61d-6e75-4680-8ce1-e221ecfa8869</errorID>
      <errorWord>吋</errorWord>
      <group>L1_Word</group>
      <groupName>字词问题</groupName>
      <ability>L2_Variant</ability>
      <abilityName>异形词</abilityName>
      <candidateList>
        <item>英寸</item>
      </candidateList>
      <explain>词汇[吋]的规范词形写作[英寸]。</explain>
      <paraID>6D0EA6C0</paraID>
      <start>8</start>
      <end>9</end>
      <status>unmodified</status>
      <modifiedWord/>
      <trackRevisions>false</trackRevisions>
    </reviewItem>
    <reviewItem>
      <errorID>6a5fed78-3263-42ff-9f95-a76bb9808661</errorID>
      <errorWord>吋</errorWord>
      <group>L1_Word</group>
      <groupName>字词问题</groupName>
      <ability>L2_Variant</ability>
      <abilityName>异形词</abilityName>
      <candidateList>
        <item>英寸</item>
      </candidateList>
      <explain>词汇[吋]的规范词形写作[英寸]。</explain>
      <paraID> 43E993C</paraID>
      <start>10</start>
      <end>11</end>
      <status>unmodified</status>
      <modifiedWord/>
      <trackRevisions>false</trackRevisions>
    </reviewItem>
    <reviewItem>
      <errorID>aab3b244-b59e-418e-baa1-c42b0c52a47a</errorID>
      <errorWord>透视图象</errorWord>
      <group>L1_Word</group>
      <groupName>字词问题</groupName>
      <ability>L2_Variant</ability>
      <abilityName>异形词</abilityName>
      <candidateList>
        <item>透视图像</item>
      </candidateList>
      <explain>词汇[透视图象]的规范词形写作[透视图像]。</explain>
      <paraID>21ED6091</paraID>
      <start>8</start>
      <end>12</end>
      <status>modified</status>
      <modifiedWord>透视图像</modifiedWord>
      <trackRevisions>false</trackRevisions>
    </reviewItem>
    <reviewItem>
      <errorID>8f84f62e-a255-48dc-8da9-87d2fe6cab80</errorID>
      <errorWord>透视图象</errorWord>
      <group>L1_Word</group>
      <groupName>字词问题</groupName>
      <ability>L2_Variant</ability>
      <abilityName>异形词</abilityName>
      <candidateList>
        <item>透视图像</item>
      </candidateList>
      <explain>词汇[透视图象]的规范词形写作[透视图像]。</explain>
      <paraID>21ED6091</paraID>
      <start>33</start>
      <end>37</end>
      <status>modified</status>
      <modifiedWord>透视图像</modifiedWord>
      <trackRevisions>false</trackRevisions>
    </reviewItem>
    <reviewItem>
      <errorID>a157651d-bc64-4032-9b81-db70a7fee3db</errorID>
      <errorWord>每博量</errorWord>
      <group>L1_Knowledge</group>
      <groupName>知识性问题</groupName>
      <ability>L2_Knowledge</ability>
      <abilityName>其他知识</abilityName>
      <candidateList>
        <item>每搏量</item>
      </candidateList>
      <explain/>
      <paraID>4C213ED7</paraID>
      <start>28</start>
      <end>31</end>
      <status>modified</status>
      <modifiedWord>每搏量</modifiedWord>
      <trackRevisions>false</trackRevisions>
    </reviewItem>
    <reviewItem>
      <errorID>a5832742-e06d-48e1-96e0-554c0ddf160d</errorID>
      <errorWord>，</errorWord>
      <group>L1_Word</group>
      <groupName>字词问题</groupName>
      <ability>L2_Typo</ability>
      <abilityName>字词错误</abilityName>
      <candidateList>
        <item>，具</item>
      </candidateList>
      <explain/>
      <paraID>1D3C538B</paraID>
      <start>8</start>
      <end>10</end>
      <status>modified</status>
      <modifiedWord>，具</modifiedWord>
      <trackRevisions>false</trackRevisions>
    </reviewItem>
    <reviewItem>
      <errorID>89a0d82b-a5e7-4efd-b68b-cae85b756226</errorID>
      <errorWord>:</errorWord>
      <group>L1_Format</group>
      <groupName>格式问题</groupName>
      <ability>L2_HalfPunc_CN</ability>
      <abilityName>全半角检查</abilityName>
      <candidateList>
        <item>：</item>
      </candidateList>
      <explain>文本全半角错误。</explain>
      <paraID>4F280949</paraID>
      <start>6</start>
      <end>7</end>
      <status>unmodified</status>
      <modifiedWord/>
      <trackRevisions>false</trackRevisions>
    </reviewItem>
    <reviewItem>
      <errorID>adce1575-1d15-4c8a-a927-6cf4d7942650</errorID>
      <errorWord>:</errorWord>
      <group>L1_Format</group>
      <groupName>格式问题</groupName>
      <ability>L2_HalfPunc_CN</ability>
      <abilityName>全半角检查</abilityName>
      <candidateList>
        <item>：</item>
      </candidateList>
      <explain>文本全半角错误。</explain>
      <paraID>71870B9D</paraID>
      <start>8</start>
      <end>9</end>
      <status>unmodified</status>
      <modifiedWord/>
      <trackRevisions>false</trackRevisions>
    </reviewItem>
    <reviewItem>
      <errorID>f9526b1c-8909-4658-a8a2-c454ad605c52</errorID>
      <errorWord>:</errorWord>
      <group>L1_Format</group>
      <groupName>格式问题</groupName>
      <ability>L2_HalfPunc_CN</ability>
      <abilityName>全半角检查</abilityName>
      <candidateList>
        <item>：</item>
      </candidateList>
      <explain>文本全半角错误。</explain>
      <paraID>21CA355A</paraID>
      <start>6</start>
      <end>7</end>
      <status>unmodified</status>
      <modifiedWord/>
      <trackRevisions>false</trackRevisions>
    </reviewItem>
    <reviewItem>
      <errorID>797bc768-5817-4cbc-bd43-a3c81cd9c86e</errorID>
      <errorWord>;</errorWord>
      <group>L1_Format</group>
      <groupName>格式问题</groupName>
      <ability>L2_HalfPunc_CN</ability>
      <abilityName>全半角检查</abilityName>
      <candidateList>
        <item>；</item>
      </candidateList>
      <explain>文本全半角错误。</explain>
      <paraID>21CA355A</paraID>
      <start>66</start>
      <end>67</end>
      <status>unmodified</status>
      <modifiedWord/>
      <trackRevisions>false</trackRevisions>
    </reviewItem>
    <reviewItem>
      <errorID>92cf15a0-01cc-4915-a454-3051ebfbfbd1</errorID>
      <errorWord>:</errorWord>
      <group>L1_Format</group>
      <groupName>格式问题</groupName>
      <ability>L2_HalfPunc_CN</ability>
      <abilityName>全半角检查</abilityName>
      <candidateList>
        <item>：</item>
      </candidateList>
      <explain>文本全半角错误。</explain>
      <paraID>5D017018</paraID>
      <start>6</start>
      <end>7</end>
      <status>unmodified</status>
      <modifiedWord/>
      <trackRevisions>false</trackRevisions>
    </reviewItem>
    <reviewItem>
      <errorID>f0be45cb-7e78-4904-9f4e-393a1a695ab6</errorID>
      <errorWord>,。</errorWord>
      <group>L1_Punc</group>
      <groupName>标点问题</groupName>
      <ability>L2_Punc_CN</ability>
      <abilityName>标点符号检查</abilityName>
      <candidateList>
        <item>,</item>
      </candidateList>
      <explain/>
      <paraID>5D017018</paraID>
      <start>18</start>
      <end>20</end>
      <status>unmodified</status>
      <modifiedWord/>
      <trackRevisions>false</trackRevisions>
    </reviewItem>
    <reviewItem>
      <errorID>9c5d8cd0-570b-46b2-80e5-6a529daf2fdf</errorID>
      <errorWord>博</errorWord>
      <group>L1_Word</group>
      <groupName>字词问题</groupName>
      <ability>L2_Typo</ability>
      <abilityName>字词错误</abilityName>
      <candidateList>
        <item>搏</item>
      </candidateList>
      <explain/>
      <paraID>5D017018</paraID>
      <start>21</start>
      <end>22</end>
      <status>modified</status>
      <modifiedWord>搏</modifiedWord>
      <trackRevisions>false</trackRevisions>
    </reviewItem>
    <reviewItem>
      <errorID>2cdbe986-5bc6-4908-b547-50dad952e343</errorID>
      <errorWord>:</errorWord>
      <group>L1_Format</group>
      <groupName>格式问题</groupName>
      <ability>L2_HalfPunc_CN</ability>
      <abilityName>全半角检查</abilityName>
      <candidateList>
        <item>：</item>
      </candidateList>
      <explain>文本全半角错误。</explain>
      <paraID>53376B08</paraID>
      <start>6</start>
      <end>7</end>
      <status>unmodified</status>
      <modifiedWord/>
      <trackRevisions>false</trackRevisions>
    </reviewItem>
    <reviewItem>
      <errorID>90de7fca-8b13-4235-b3ab-0d985db4cfb3</errorID>
      <errorWord>:</errorWord>
      <group>L1_Format</group>
      <groupName>格式问题</groupName>
      <ability>L2_HalfPunc_CN</ability>
      <abilityName>全半角检查</abilityName>
      <candidateList>
        <item>：</item>
      </candidateList>
      <explain>文本全半角错误。</explain>
      <paraID>7CDD7175</paraID>
      <start>11</start>
      <end>12</end>
      <status>unmodified</status>
      <modifiedWord/>
      <trackRevisions>false</trackRevisions>
    </reviewItem>
    <reviewItem>
      <errorID>436ff359-89f1-4cb7-81c4-984793a7a6de</errorID>
      <errorWord>;</errorWord>
      <group>L1_Format</group>
      <groupName>格式问题</groupName>
      <ability>L2_HalfPunc_CN</ability>
      <abilityName>全半角检查</abilityName>
      <candidateList>
        <item>；</item>
      </candidateList>
      <explain>文本全半角错误。</explain>
      <paraID>7CDD7175</paraID>
      <start>20</start>
      <end>21</end>
      <status>unmodified</status>
      <modifiedWord/>
      <trackRevisions>false</trackRevisions>
    </reviewItem>
    <reviewItem>
      <errorID>a0dfd847-e850-495e-a24e-8b55261f1be3</errorID>
      <errorWord>)</errorWord>
      <group>L1_Format</group>
      <groupName>格式问题</groupName>
      <ability>L2_HalfPunc_CN</ability>
      <abilityName>全半角检查</abilityName>
      <candidateList>
        <item>）</item>
      </candidateList>
      <explain>文本全半角错误。</explain>
      <paraID>7CDD7175</paraID>
      <start>23</start>
      <end>24</end>
      <status>unmodified</status>
      <modifiedWord/>
      <trackRevisions>false</trackRevisions>
    </reviewItem>
    <reviewItem>
      <errorID>538d0189-e095-482e-a3e7-b7bccee3d4c3</errorID>
      <errorWord>;</errorWord>
      <group>L1_Format</group>
      <groupName>格式问题</groupName>
      <ability>L2_HalfPunc_CN</ability>
      <abilityName>全半角检查</abilityName>
      <candidateList>
        <item>；</item>
      </candidateList>
      <explain>文本全半角错误。</explain>
      <paraID>7CDD7175</paraID>
      <start>28</start>
      <end>29</end>
      <status>unmodified</status>
      <modifiedWord/>
      <trackRevisions>false</trackRevisions>
    </reviewItem>
    <reviewItem>
      <errorID>d87732d7-7c2e-48c6-a6cc-d4e3c48b94a7</errorID>
      <errorWord>)</errorWord>
      <group>L1_Format</group>
      <groupName>格式问题</groupName>
      <ability>L2_HalfPunc_CN</ability>
      <abilityName>全半角检查</abilityName>
      <candidateList>
        <item>）</item>
      </candidateList>
      <explain>文本全半角错误。</explain>
      <paraID>7CDD7175</paraID>
      <start>31</start>
      <end>32</end>
      <status>unmodified</status>
      <modifiedWord/>
      <trackRevisions>false</trackRevisions>
    </reviewItem>
    <reviewItem>
      <errorID>8aa2d71a-2d82-4b4c-96cc-d398d042a3ab</errorID>
      <errorWord>;</errorWord>
      <group>L1_Format</group>
      <groupName>格式问题</groupName>
      <ability>L2_HalfPunc_CN</ability>
      <abilityName>全半角检查</abilityName>
      <candidateList>
        <item>；</item>
      </candidateList>
      <explain>文本全半角错误。</explain>
      <paraID>7CDD7175</paraID>
      <start>36</start>
      <end>37</end>
      <status>unmodified</status>
      <modifiedWord/>
      <trackRevisions>false</trackRevisions>
    </reviewItem>
    <reviewItem>
      <errorID>ca3406ae-87e8-482b-98f4-824c48d3ca50</errorID>
      <errorWord>;</errorWord>
      <group>L1_Format</group>
      <groupName>格式问题</groupName>
      <ability>L2_HalfPunc_CN</ability>
      <abilityName>全半角检查</abilityName>
      <candidateList>
        <item>；</item>
      </candidateList>
      <explain>文本全半角错误。</explain>
      <paraID>7CDD7175</paraID>
      <start>45</start>
      <end>46</end>
      <status>unmodified</status>
      <modifiedWord/>
      <trackRevisions>false</trackRevisions>
    </reviewItem>
    <reviewItem>
      <errorID>3e051017-a2ba-4933-a2db-58d965e4fb38</errorID>
      <errorWord>:</errorWord>
      <group>L1_Format</group>
      <groupName>格式问题</groupName>
      <ability>L2_HalfPunc_CN</ability>
      <abilityName>全半角检查</abilityName>
      <candidateList>
        <item>：</item>
      </candidateList>
      <explain>文本全半角错误。</explain>
      <paraID>3FCE5BF0</paraID>
      <start>16</start>
      <end>17</end>
      <status>unmodified</status>
      <modifiedWord/>
      <trackRevisions>false</trackRevisions>
    </reviewItem>
    <reviewItem>
      <errorID>ba4698d4-33c9-4cf5-92c5-f7e73b5d90f9</errorID>
      <errorWord>:</errorWord>
      <group>L1_Format</group>
      <groupName>格式问题</groupName>
      <ability>L2_HalfPunc_CN</ability>
      <abilityName>全半角检查</abilityName>
      <candidateList>
        <item>：</item>
      </candidateList>
      <explain>文本全半角错误。</explain>
      <paraID>7747F1B1</paraID>
      <start>7</start>
      <end>8</end>
      <status>unmodified</status>
      <modifiedWord/>
      <trackRevisions>false</trackRevisions>
    </reviewItem>
    <reviewItem>
      <errorID>de804c13-172a-4f7e-aeb6-7641bc120090</errorID>
      <errorWord>:</errorWord>
      <group>L1_Format</group>
      <groupName>格式问题</groupName>
      <ability>L2_HalfPunc_CN</ability>
      <abilityName>全半角检查</abilityName>
      <candidateList>
        <item>：</item>
      </candidateList>
      <explain>文本全半角错误。</explain>
      <paraID>30B5741B</paraID>
      <start>7</start>
      <end>8</end>
      <status>unmodified</status>
      <modifiedWord/>
      <trackRevisions>false</trackRevisions>
    </reviewItem>
    <reviewItem>
      <errorID>d0914565-9c00-4c55-a410-3d83404701f1</errorID>
      <errorWord>具</errorWord>
      <group>L1_Word</group>
      <groupName>字词问题</groupName>
      <ability>L2_Typo</ability>
      <abilityName>字词错误</abilityName>
      <candidateList>
        <item>具有</item>
      </candidateList>
      <explain>〈动〉有（多用于抽象事物）：～信心｜～伟大的意义。</explain>
      <paraID>1D0857AE</paraID>
      <start>0</start>
      <end>2</end>
      <status>modified</status>
      <modifiedWord>具有</modifiedWord>
      <trackRevisions>false</trackRevisions>
    </reviewItem>
    <reviewItem>
      <errorID>404b89f8-3dc0-439c-87f7-65b36b7667b4</errorID>
      <errorWord>需</errorWord>
      <group>L1_Word</group>
      <groupName>字词问题</groupName>
      <ability>L2_Typo</ability>
      <abilityName>字词错误</abilityName>
      <candidateList>
        <item>须</item>
      </candidateList>
      <explain>存在发音相同字词的误用。</explain>
      <paraID>600D0292</paraID>
      <start>0</start>
      <end>1</end>
      <status>modified</status>
      <modifiedWord>须</modifiedWord>
      <trackRevisions>false</trackRevisions>
    </reviewItem>
    <reviewItem>
      <errorID>fa1dfb2d-2936-4869-a2dc-36733317e70c</errorID>
      <errorWord>，</errorWord>
      <group>L1_Word</group>
      <groupName>字词问题</groupName>
      <ability>L2_Typo</ability>
      <abilityName>字词错误</abilityName>
      <candidateList>
        <item>，具</item>
      </candidateList>
      <explain/>
      <paraID>13713953</paraID>
      <start>37</start>
      <end>38</end>
      <status>unmodified</status>
      <modifiedWord/>
      <trackRevisions>false</trackRevisions>
    </reviewItem>
    <reviewItem>
      <errorID>30ca4bca-85e1-4dfc-9b4d-792fa4a59bb7</errorID>
      <errorWord>,</errorWord>
      <group>L1_Format</group>
      <groupName>格式问题</groupName>
      <ability>L2_HalfPunc_CN</ability>
      <abilityName>全半角检查</abilityName>
      <candidateList>
        <item>，</item>
      </candidateList>
      <explain>文本全半角错误。</explain>
      <paraID>74213933</paraID>
      <start>21</start>
      <end>22</end>
      <status>unmodified</status>
      <modifiedWord/>
      <trackRevisions>false</trackRevisions>
    </reviewItem>
    <reviewItem>
      <errorID>5b16d96e-4aec-496d-82cb-c2a265375f87</errorID>
      <errorWord>噪音</errorWord>
      <group>L1_Word</group>
      <groupName>字词问题</groupName>
      <ability>L2_Alias</ability>
      <abilityName>也作/曾用词</abilityName>
      <candidateList>
        <item>噪声</item>
      </candidateList>
      <explain>词汇[噪音]为不规范表述或旧称，其规范书面表述为[噪声]。</explain>
      <paraID>65E3672D</paraID>
      <start>14</start>
      <end>16</end>
      <status>modified</status>
      <modifiedWord>噪声</modifiedWord>
      <trackRevisions>false</trackRevisions>
    </reviewItem>
    <reviewItem>
      <errorID>928adfec-a16d-4ae6-9beb-a56eb5990832</errorID>
      <errorWord>等离子等</errorWord>
      <group>L1_Knowledge</group>
      <groupName>知识性问题</groupName>
      <ability>L2_Term</ability>
      <abilityName>专业术语</abilityName>
      <candidateList>
        <item>等离子焰</item>
      </candidateList>
      <explain/>
      <paraID>3CE8229E</paraID>
      <start>9</start>
      <end>13</end>
      <status>unmodified</status>
      <modifiedWord/>
      <trackRevisions>false</trackRevisions>
    </reviewItem>
    <reviewItem>
      <errorID>e917f72c-e7fd-4acd-9b3f-174f8b60e0b5</errorID>
      <errorWord>)</errorWord>
      <group>L1_Format</group>
      <groupName>格式问题</groupName>
      <ability>L2_HalfPunc_CN</ability>
      <abilityName>全半角检查</abilityName>
      <candidateList>
        <item>）</item>
      </candidateList>
      <explain>文本全半角错误。</explain>
      <paraID>347F24A0</paraID>
      <start>16</start>
      <end>17</end>
      <status>unmodified</status>
      <modifiedWord/>
      <trackRevisions>false</trackRevisions>
    </reviewItem>
    <reviewItem>
      <errorID>8fc04e5c-5ab9-40bb-92c6-2b6a2bca4dd1</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721FAC12</paraID>
      <start>15</start>
      <end>16</end>
      <status>unmodified</status>
      <modifiedWord/>
      <trackRevisions>false</trackRevisions>
    </reviewItem>
    <reviewItem>
      <errorID>16475d9e-6f8f-40b3-b080-14fa6cc8e9b5</errorID>
      <errorWord>前段</errorWord>
      <group>L1_Word</group>
      <groupName>字词问题</groupName>
      <ability>L2_Typo</ability>
      <abilityName>字词错误</abilityName>
      <candidateList>
        <item>前端</item>
      </candidateList>
      <explain/>
      <paraID>2D8E21EC</paraID>
      <start>2</start>
      <end>4</end>
      <status>unmodified</status>
      <modifiedWord/>
      <trackRevisions>false</trackRevisions>
    </reviewItem>
    <reviewItem>
      <errorID>df928b44-b619-47bd-80d4-49037c0bac76</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5CB3581A</paraID>
      <start>10</start>
      <end>11</end>
      <status>unmodified</status>
      <modifiedWord/>
      <trackRevisions>false</trackRevisions>
    </reviewItem>
    <reviewItem>
      <errorID>79865443-4b19-4e0e-bdfa-a1394d6940f3</errorID>
      <errorWord>到其它</errorWord>
      <group>L1_Word</group>
      <groupName>字词问题</groupName>
      <ability>L2_Alias</ability>
      <abilityName>也作/曾用词</abilityName>
      <candidateList>
        <item>到其他</item>
      </candidateList>
      <explain>词汇[到其它]为不规范表述或旧称，其规范书面表述为[到其他]。</explain>
      <paraID>1FC4703A</paraID>
      <start>22</start>
      <end>25</end>
      <status>unmodified</status>
      <modifiedWord/>
      <trackRevisions>false</trackRevisions>
    </reviewItem>
    <reviewItem>
      <errorID>8ef00040-8dcc-4e15-ab84-f04f691fa0f4</errorID>
      <errorWord>晰</errorWord>
      <group>L1_Word</group>
      <groupName>字词问题</groupName>
      <ability>L2_Typo</ability>
      <abilityName>字词错误</abilityName>
      <candidateList>
        <item>晰地</item>
      </candidateList>
      <explain/>
      <paraID>2FDFCE1D</paraID>
      <start>20</start>
      <end>21</end>
      <status>unmodified</status>
      <modifiedWord/>
      <trackRevisions>false</trackRevisions>
    </reviewItem>
    <reviewItem>
      <errorID>0c9c0142-606a-4c02-9d3e-45b775c17701</errorID>
      <errorWord>:</errorWord>
      <group>L1_Format</group>
      <groupName>格式问题</groupName>
      <ability>L2_HalfPunc_CN</ability>
      <abilityName>全半角检查</abilityName>
      <candidateList>
        <item>：</item>
      </candidateList>
      <explain>文本全半角错误。</explain>
      <paraID>611C65E3</paraID>
      <start>7</start>
      <end>8</end>
      <status>unmodified</status>
      <modifiedWord/>
      <trackRevisions>false</trackRevisions>
    </reviewItem>
    <reviewItem>
      <errorID>5ed5c76c-cd4a-4e06-bf59-8be9d82eda4e</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39A7741F</paraID>
      <start>21</start>
      <end>22</end>
      <status>unmodified</status>
      <modifiedWord/>
      <trackRevisions>false</trackRevisions>
    </reviewItem>
    <reviewItem>
      <errorID>45c569da-d6d9-4b0c-af6e-4637618b0e02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75A8E2A3</paraID>
      <start>0</start>
      <end>2</end>
      <status>unmodified</status>
      <modifiedWord/>
      <trackRevisions>false</trackRevisions>
    </reviewItem>
    <reviewItem>
      <errorID>743bc050-0d1a-4c01-9ec3-c70770950de9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500C0F96</paraID>
      <start>0</start>
      <end>2</end>
      <status>unmodified</status>
      <modifiedWord/>
      <trackRevisions>false</trackRevisions>
    </reviewItem>
    <reviewItem>
      <errorID>c6f379a3-7e22-46c9-afae-3d7cf2835b41</errorID>
      <errorWord>好</errorWord>
      <group>L1_Word</group>
      <groupName>字词问题</groupName>
      <ability>L2_Typo</ability>
      <abilityName>字词错误</abilityName>
      <candidateList>
        <item>好地</item>
      </candidateList>
      <explain/>
      <paraID>500C0F96</paraID>
      <start>13</start>
      <end>14</end>
      <status>unmodified</status>
      <modifiedWord/>
      <trackRevisions>false</trackRevisions>
    </reviewItem>
    <reviewItem>
      <errorID>be2fdac4-1a54-4ed5-8d75-bb11d8e368d6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5CCBD81A</paraID>
      <start>0</start>
      <end>2</end>
      <status>unmodified</status>
      <modifiedWord/>
      <trackRevisions>false</trackRevisions>
    </reviewItem>
    <reviewItem>
      <errorID>4a24fa1e-31df-4be6-a51e-4ec3757a4932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BE45D7C</paraID>
      <start>0</start>
      <end>2</end>
      <status>unmodified</status>
      <modifiedWord/>
      <trackRevisions>false</trackRevisions>
    </reviewItem>
    <reviewItem>
      <errorID>230dc2cf-60d8-4db7-b458-efd8e7ffa537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5304C96A</paraID>
      <start>0</start>
      <end>2</end>
      <status>unmodified</status>
      <modifiedWord/>
      <trackRevisions>false</trackRevisions>
    </reviewItem>
    <reviewItem>
      <errorID>75f24998-a014-4cc7-97fe-7e5434479f60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76DB11E3</paraID>
      <start>0</start>
      <end>2</end>
      <status>unmodified</status>
      <modifiedWord/>
      <trackRevisions>false</trackRevisions>
    </reviewItem>
    <reviewItem>
      <errorID>8b99db95-48eb-4351-96e3-b1cf6ac2e24d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63B7D081</paraID>
      <start>0</start>
      <end>2</end>
      <status>unmodified</status>
      <modifiedWord/>
      <trackRevisions>false</trackRevisions>
    </reviewItem>
    <reviewItem>
      <errorID>00dccbb0-329b-4abe-9e00-e130184ea58c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2802B15A</paraID>
      <start>0</start>
      <end>2</end>
      <status>unmodified</status>
      <modifiedWord/>
      <trackRevisions>false</trackRevisions>
    </reviewItem>
    <reviewItem>
      <errorID>7011283b-9e5c-4392-984f-c1945cdb3894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8DAB5C5</paraID>
      <start>0</start>
      <end>3</end>
      <status>unmodified</status>
      <modifiedWord/>
      <trackRevisions>false</trackRevisions>
    </reviewItem>
    <reviewItem>
      <errorID>183933fc-c1aa-4498-8e86-a9e278af50a9</errorID>
      <errorWord>放置本</errorWord>
      <group>L1_Word</group>
      <groupName>字词问题</groupName>
      <ability>L2_Typo</ability>
      <abilityName>字词错误</abilityName>
      <candidateList>
        <item>放置</item>
      </candidateList>
      <explain/>
      <paraID>3A59D78E</paraID>
      <start>3</start>
      <end>6</end>
      <status>unmodified</status>
      <modifiedWord/>
      <trackRevisions>false</trackRevisions>
    </reviewItem>
    <reviewItem>
      <errorID>7e6bfdc2-d255-48e6-8977-11eafdcec35f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133C00A8</paraID>
      <start>0</start>
      <end>2</end>
      <status>unmodified</status>
      <modifiedWord/>
      <trackRevisions>false</trackRevisions>
    </reviewItem>
    <reviewItem>
      <errorID>ba4bb9b1-a1df-48fa-811a-8dc046f8d592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214B4CEF</paraID>
      <start>0</start>
      <end>2</end>
      <status>unmodified</status>
      <modifiedWord/>
      <trackRevisions>false</trackRevisions>
    </reviewItem>
    <reviewItem>
      <errorID>68fef2bb-9ef1-4c28-803f-fb115a4c6071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609B3716</paraID>
      <start>0</start>
      <end>2</end>
      <status>unmodified</status>
      <modifiedWord/>
      <trackRevisions>false</trackRevisions>
    </reviewItem>
    <reviewItem>
      <errorID>bc483625-8443-4b6c-89e1-8f6c04f59bbe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58090727</paraID>
      <start>0</start>
      <end>2</end>
      <status>unmodified</status>
      <modifiedWord/>
      <trackRevisions>false</trackRevisions>
    </reviewItem>
    <reviewItem>
      <errorID>fccaee81-e304-4530-ae8a-72b2176740a6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67B8CACF</paraID>
      <start>0</start>
      <end>2</end>
      <status>unmodified</status>
      <modifiedWord/>
      <trackRevisions>false</trackRevisions>
    </reviewItem>
    <reviewItem>
      <errorID>d1105416-adae-461a-9443-b9989649b732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77F3F258</paraID>
      <start>0</start>
      <end>2</end>
      <status>unmodified</status>
      <modifiedWord/>
      <trackRevisions>false</trackRevisions>
    </reviewItem>
    <reviewItem>
      <errorID>d01c0875-8970-4bb7-8529-57d168a3db9d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69996001</paraID>
      <start>0</start>
      <end>2</end>
      <status>unmodified</status>
      <modifiedWord/>
      <trackRevisions>false</trackRevisions>
    </reviewItem>
    <reviewItem>
      <errorID>d2dc6e7b-d83f-4eba-8b94-0eb30e36f622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55F06D70</paraID>
      <start>0</start>
      <end>2</end>
      <status>unmodified</status>
      <modifiedWord/>
      <trackRevisions>false</trackRevisions>
    </reviewItem>
    <reviewItem>
      <errorID>55055824-bd58-4110-be79-bca608955954</errorID>
      <errorWord>需要</errorWord>
      <group>L1_Word</group>
      <groupName>字词问题</groupName>
      <ability>L2_Typo</ability>
      <abilityName>字词错误</abilityName>
      <candidateList>
        <item>需</item>
      </candidateList>
      <explain>❶〈动〉需要：～求｜按～分配｜完成任务还～五天时间。❷需用的东西：军～。</explain>
      <paraID>1C95B23A</paraID>
      <start>36</start>
      <end>38</end>
      <status>unmodified</status>
      <modifiedWord/>
      <trackRevisions>false</trackRevisions>
    </reviewItem>
    <reviewItem>
      <errorID>d5cd9af2-929e-4d38-ad58-d6d3cd084980</errorID>
      <errorWord>需具备</errorWord>
      <group>L1_Word</group>
      <groupName>字词问题</groupName>
      <ability>L2_Typo</ability>
      <abilityName>字词错误</abilityName>
      <candidateList>
        <item>须具备</item>
      </candidateList>
      <explain/>
      <paraID>1C95B23A</paraID>
      <start>70</start>
      <end>73</end>
      <status>unmodified</status>
      <modifiedWord/>
      <trackRevisions>false</trackRevisions>
    </reviewItem>
    <reviewItem>
      <errorID>bc9d898c-43fd-4a12-b1a6-552a8366aa2b</errorID>
      <errorWord>保持一直</errorWord>
      <group>L1_Word</group>
      <groupName>字词问题</groupName>
      <ability>L2_Typo</ability>
      <abilityName>字词错误</abilityName>
      <candidateList>
        <item>保持一致</item>
      </candidateList>
      <explain/>
      <paraID> 5E728CE</paraID>
      <start>42</start>
      <end>46</end>
      <status>unmodified</status>
      <modifiedWord/>
      <trackRevisions>false</trackRevisions>
    </reviewItem>
    <reviewItem>
      <errorID>3aba0c9f-b9bb-43ea-ab52-8ee5e44e7a03</errorID>
      <errorWord>,</errorWord>
      <group>L1_Format</group>
      <groupName>格式问题</groupName>
      <ability>L2_HalfPunc_CN</ability>
      <abilityName>全半角检查</abilityName>
      <candidateList>
        <item>，</item>
      </candidateList>
      <explain>文本全半角错误。</explain>
      <paraID>508671FB</paraID>
      <start>23</start>
      <end>24</end>
      <status>unmodified</status>
      <modifiedWord/>
      <trackRevisions>false</trackRevisions>
    </reviewItem>
    <reviewItem>
      <errorID>f3d64e4b-7092-4853-b81d-7ae0b99a82c8</errorID>
      <errorWord>(</errorWord>
      <group>L1_Format</group>
      <groupName>格式问题</groupName>
      <ability>L2_HalfPunc_CN</ability>
      <abilityName>全半角检查</abilityName>
      <candidateList>
        <item>（</item>
      </candidateList>
      <explain>文本全半角错误。</explain>
      <paraID>195DEFAD</paraID>
      <start>12</start>
      <end>13</end>
      <status>unmodified</status>
      <modifiedWord/>
      <trackRevisions>false</trackRevisions>
    </reviewItem>
    <reviewItem>
      <errorID>ff6cf7d2-a637-438d-8ca9-19c75ff77a5b</errorID>
      <errorWord>)</errorWord>
      <group>L1_Format</group>
      <groupName>格式问题</groupName>
      <ability>L2_HalfPunc_CN</ability>
      <abilityName>全半角检查</abilityName>
      <candidateList>
        <item>）</item>
      </candidateList>
      <explain>文本全半角错误。</explain>
      <paraID>195DEFAD</paraID>
      <start>16</start>
      <end>17</end>
      <status>unmodified</status>
      <modifiedWord/>
      <trackRevisions>false</trackRevisions>
    </reviewItem>
    <reviewItem>
      <errorID>6891be27-fa51-4961-bd7f-a770767aaf69</errorID>
      <errorWord>)</errorWord>
      <group>L1_Format</group>
      <groupName>格式问题</groupName>
      <ability>L2_HalfPunc_CN</ability>
      <abilityName>全半角检查</abilityName>
      <candidateList>
        <item>）</item>
      </candidateList>
      <explain>文本全半角错误。</explain>
      <paraID>79E2D0A0</paraID>
      <start>15</start>
      <end>16</end>
      <status>unmodified</status>
      <modifiedWord/>
      <trackRevisions>false</trackRevisions>
    </reviewItem>
    <reviewItem>
      <errorID>34aef26f-2a01-4664-986b-e890244bea28</errorID>
      <errorWord>集总</errorWord>
      <group>L1_Word</group>
      <groupName>字词问题</groupName>
      <ability>L2_Typo</ability>
      <abilityName>字词错误</abilityName>
      <candidateList>
        <item>集中</item>
      </candidateList>
      <explain/>
      <paraID>70329655</paraID>
      <start>5</start>
      <end>7</end>
      <status>unmodified</status>
      <modifiedWord/>
      <trackRevisions>false</trackRevisions>
    </reviewItem>
    <reviewItem>
      <errorID>aaec3800-a3c3-4d1a-8685-b389217376bc</errorID>
      <errorWord>(</errorWord>
      <group>L1_Format</group>
      <groupName>格式问题</groupName>
      <ability>L2_HalfPunc_CN</ability>
      <abilityName>全半角检查</abilityName>
      <candidateList>
        <item>（</item>
      </candidateList>
      <explain>文本全半角错误。</explain>
      <paraID> 8BB3A34</paraID>
      <start>12</start>
      <end>13</end>
      <status>unmodified</status>
      <modifiedWord/>
      <trackRevisions>false</trackRevisions>
    </reviewItem>
    <reviewItem>
      <errorID>fd2b47aa-04aa-44ba-89c5-46915170e42f</errorID>
      <errorWord>)</errorWord>
      <group>L1_Format</group>
      <groupName>格式问题</groupName>
      <ability>L2_HalfPunc_CN</ability>
      <abilityName>全半角检查</abilityName>
      <candidateList>
        <item>）</item>
      </candidateList>
      <explain>文本全半角错误。</explain>
      <paraID> 8BB3A34</paraID>
      <start>16</start>
      <end>17</end>
      <status>unmodified</status>
      <modifiedWord/>
      <trackRevisions>false</trackRevisions>
    </reviewItem>
    <reviewItem>
      <errorID>a9f354bf-f7ac-45e5-8114-f02fa6484cb3</errorID>
      <errorWord>(</errorWord>
      <group>L1_Format</group>
      <groupName>格式问题</groupName>
      <ability>L2_HalfPunc_CN</ability>
      <abilityName>全半角检查</abilityName>
      <candidateList>
        <item>（</item>
      </candidateList>
      <explain>文本全半角错误。</explain>
      <paraID>6867BC50</paraID>
      <start>12</start>
      <end>13</end>
      <status>unmodified</status>
      <modifiedWord/>
      <trackRevisions>false</trackRevisions>
    </reviewItem>
    <reviewItem>
      <errorID>065a9916-5d5b-42e6-95a4-083546019307</errorID>
      <errorWord>)</errorWord>
      <group>L1_Format</group>
      <groupName>格式问题</groupName>
      <ability>L2_HalfPunc_CN</ability>
      <abilityName>全半角检查</abilityName>
      <candidateList>
        <item>）</item>
      </candidateList>
      <explain>文本全半角错误。</explain>
      <paraID>6867BC50</paraID>
      <start>19</start>
      <end>20</end>
      <status>unmodified</status>
      <modifiedWord/>
      <trackRevisions>false</trackRevisions>
    </reviewItem>
    <reviewItem>
      <errorID>70714b5e-196c-4bdf-9329-1511bd1bc770</errorID>
      <errorWord>实</errorWord>
      <group>L1_Word</group>
      <groupName>字词问题</groupName>
      <ability>L2_Typo</ability>
      <abilityName>字词错误</abilityName>
      <candidateList>
        <item>实性</item>
      </candidateList>
      <explain/>
      <paraID>24D93785</paraID>
      <start>93</start>
      <end>94</end>
      <status>unmodified</status>
      <modifiedWord/>
      <trackRevisions>false</trackRevisions>
    </reviewItem>
    <reviewItem>
      <errorID>a5c56598-58a6-44fd-bd3b-9200485d0c17</errorID>
      <errorWord>;</errorWord>
      <group>L1_Format</group>
      <groupName>格式问题</groupName>
      <ability>L2_HalfPunc_CN</ability>
      <abilityName>全半角检查</abilityName>
      <candidateList>
        <item>；</item>
      </candidateList>
      <explain>文本全半角错误。</explain>
      <paraID>24D93785</paraID>
      <start>262</start>
      <end>263</end>
      <status>unmodified</status>
      <modifiedWord/>
      <trackRevisions>false</trackRevisions>
    </reviewItem>
    <reviewItem>
      <errorID>7560033b-8c9f-40ef-91f5-c4264898a5cd</errorID>
      <errorWord>)</errorWord>
      <group>L1_Format</group>
      <groupName>格式问题</groupName>
      <ability>L2_HalfPunc_CN</ability>
      <abilityName>全半角检查</abilityName>
      <candidateList>
        <item>）</item>
      </candidateList>
      <explain>文本全半角错误。</explain>
      <paraID>1EB4007F</paraID>
      <start>41</start>
      <end>42</end>
      <status>unmodified</status>
      <modifiedWord/>
      <trackRevisions>false</trackRevisions>
    </reviewItem>
    <reviewItem>
      <errorID>0929cfb5-6b5a-49af-b61b-2414029ca9e3</errorID>
      <errorWord>;</errorWord>
      <group>L1_Format</group>
      <groupName>格式问题</groupName>
      <ability>L2_HalfPunc_CN</ability>
      <abilityName>全半角检查</abilityName>
      <candidateList>
        <item>；</item>
      </candidateList>
      <explain>文本全半角错误。</explain>
      <paraID>21DA85B3</paraID>
      <start>73</start>
      <end>74</end>
      <status>unmodified</status>
      <modifiedWord/>
      <trackRevisions>false</trackRevisions>
    </reviewItem>
    <reviewItem>
      <errorID>2752e20f-7e8a-40f3-8585-86ac784eb049</errorID>
      <errorWord>(</errorWord>
      <group>L1_Format</group>
      <groupName>格式问题</groupName>
      <ability>L2_HalfPunc_CN</ability>
      <abilityName>全半角检查</abilityName>
      <candidateList>
        <item>（</item>
      </candidateList>
      <explain>文本全半角错误。</explain>
      <paraID>131570C1</paraID>
      <start>92</start>
      <end>93</end>
      <status>unmodified</status>
      <modifiedWord/>
      <trackRevisions>false</trackRevisions>
    </reviewItem>
    <reviewItem>
      <errorID>010c2cb2-1cac-491b-8344-4639c281296b</errorID>
      <errorWord>)</errorWord>
      <group>L1_Format</group>
      <groupName>格式问题</groupName>
      <ability>L2_HalfPunc_CN</ability>
      <abilityName>全半角检查</abilityName>
      <candidateList>
        <item>）</item>
      </candidateList>
      <explain>文本全半角错误。</explain>
      <paraID>131570C1</paraID>
      <start>100</start>
      <end>101</end>
      <status>unmodified</status>
      <modifiedWord/>
      <trackRevisions>false</trackRevisions>
    </reviewItem>
    <reviewItem>
      <errorID>7bde8a28-2d24-4c20-a188-5caabea18dc4</errorID>
      <errorWord>设备设备</errorWord>
      <group>L1_Word</group>
      <groupName>字词问题</groupName>
      <ability>L2_Typo</ability>
      <abilityName>字词错误</abilityName>
      <candidateList>
        <item>设备</item>
      </candidateList>
      <explain>❶〈动〉设置以备应用：新建的工人俱乐部～得很不错。❷〈名〉进行某项工作或供应某种需要所必需的成套建筑或器物：厂房～｜机器～｜自来水～。</explain>
      <paraID> 47D81C8</paraID>
      <start>3</start>
      <end>7</end>
      <status>unmodified</status>
      <modifiedWord/>
      <trackRevisions>false</trackRevisions>
    </reviewItem>
    <reviewItem>
      <errorID>019ec57f-8aab-45c4-aff4-6dd88c09f16e</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7C5288C4</paraID>
      <start>70</start>
      <end>71</end>
      <status>unmodified</status>
      <modifiedWord/>
      <trackRevisions>false</trackRevisions>
    </reviewItem>
    <reviewItem>
      <errorID>3c017e26-1775-4191-b474-0636427023fe</errorID>
      <errorWord>)</errorWord>
      <group>L1_Format</group>
      <groupName>格式问题</groupName>
      <ability>L2_HalfPunc_CN</ability>
      <abilityName>全半角检查</abilityName>
      <candidateList>
        <item>）</item>
      </candidateList>
      <explain>文本全半角错误。</explain>
      <paraID>5CA9EB54</paraID>
      <start>15</start>
      <end>16</end>
      <status>unmodified</status>
      <modifiedWord/>
      <trackRevisions>false</trackRevisions>
    </reviewItem>
    <reviewItem>
      <errorID>904c0c21-4c78-46d8-b08b-be4b3a2dcb62</errorID>
      <errorWord>需具备</errorWord>
      <group>L1_Word</group>
      <groupName>字词问题</groupName>
      <ability>L2_Typo</ability>
      <abilityName>字词错误</abilityName>
      <candidateList>
        <item>须具备</item>
      </candidateList>
      <explain/>
      <paraID>15ECB904</paraID>
      <start>101</start>
      <end>104</end>
      <status>unmodified</status>
      <modifiedWord/>
      <trackRevisions>false</trackRevisions>
    </reviewItem>
    <reviewItem>
      <errorID>64e9e614-a9c5-4dc2-ac3f-85b5348d506d</errorID>
      <errorWord>；，</errorWord>
      <group>L1_Punc</group>
      <groupName>标点问题</groupName>
      <ability>L2_Punc_CN</ability>
      <abilityName>标点符号检查</abilityName>
      <candidateList>
        <item>；</item>
      </candidateList>
      <explain/>
      <paraID>15ECB904</paraID>
      <start>302</start>
      <end>304</end>
      <status>unmodified</status>
      <modifiedWord/>
      <trackRevisions>false</trackRevisions>
    </reviewItem>
    <reviewItem>
      <errorID>3109ff35-dccf-48ef-a183-13c30ccccdce</errorID>
      <errorWord>需具备</errorWord>
      <group>L1_Word</group>
      <groupName>字词问题</groupName>
      <ability>L2_Typo</ability>
      <abilityName>字词错误</abilityName>
      <candidateList>
        <item>须具备</item>
      </candidateList>
      <explain/>
      <paraID>12D63B7D</paraID>
      <start>5</start>
      <end>8</end>
      <status>unmodified</status>
      <modifiedWord/>
      <trackRevisions>false</trackRevisions>
    </reviewItem>
    <reviewItem>
      <errorID>d3abcfc3-1640-4554-a57d-3c3355c5e8c5</errorID>
      <errorWord>需具备</errorWord>
      <group>L1_Word</group>
      <groupName>字词问题</groupName>
      <ability>L2_Typo</ability>
      <abilityName>字词错误</abilityName>
      <candidateList>
        <item>须具备</item>
      </candidateList>
      <explain/>
      <paraID>21118444</paraID>
      <start>121</start>
      <end>124</end>
      <status>unmodified</status>
      <modifiedWord/>
      <trackRevisions>false</trackRevisions>
    </reviewItem>
    <reviewItem>
      <errorID>5cf65f04-f286-4a7a-abc0-0a9440633871</errorID>
      <errorWord>调教</errorWord>
      <group>L1_Word</group>
      <groupName>字词问题</groupName>
      <ability>L2_Typo</ability>
      <abilityName>字词错误</abilityName>
      <candidateList>
        <item>调校</item>
      </candidateList>
      <explain>存在发音相同字词的误用。</explain>
      <paraID>21118444</paraID>
      <start>131</start>
      <end>133</end>
      <status>unmodified</status>
      <modifiedWord/>
      <trackRevisions>false</trackRevisions>
    </reviewItem>
    <reviewItem>
      <errorID>dee54da8-1b43-4c1e-b9a0-aadd5a262d11</errorID>
      <errorWord>)</errorWord>
      <group>L1_Format</group>
      <groupName>格式问题</groupName>
      <ability>L2_HalfPunc_CN</ability>
      <abilityName>全半角检查</abilityName>
      <candidateList>
        <item>）</item>
      </candidateList>
      <explain>文本全半角错误。</explain>
      <paraID>3C6A4B1E</paraID>
      <start>50</start>
      <end>51</end>
      <status>unmodified</status>
      <modifiedWord/>
      <trackRevisions>false</trackRevisions>
    </reviewItem>
    <reviewItem>
      <errorID>9c3e9cda-a7ee-4815-b90d-3b1181b99ac0</errorID>
      <errorWord>)</errorWord>
      <group>L1_Format</group>
      <groupName>格式问题</groupName>
      <ability>L2_HalfPunc_CN</ability>
      <abilityName>全半角检查</abilityName>
      <candidateList>
        <item>）</item>
      </candidateList>
      <explain>文本全半角错误。</explain>
      <paraID>605C2D35</paraID>
      <start>31</start>
      <end>32</end>
      <status>unmodified</status>
      <modifiedWord/>
      <trackRevisions>false</trackRevisions>
    </reviewItem>
    <reviewItem>
      <errorID>50e8af2b-a2ab-421f-9ac0-55f5bfe553c2</errorID>
      <errorWord>(</errorWord>
      <group>L1_Format</group>
      <groupName>格式问题</groupName>
      <ability>L2_HalfPunc_CN</ability>
      <abilityName>全半角检查</abilityName>
      <candidateList>
        <item>（</item>
      </candidateList>
      <explain>文本全半角错误。</explain>
      <paraID>70ED6267</paraID>
      <start>4</start>
      <end>5</end>
      <status>unmodified</status>
      <modifiedWord/>
      <trackRevisions>false</trackRevisions>
    </reviewItem>
    <reviewItem>
      <errorID>7ddbc835-193f-4961-b038-b22cc503bbf6</errorID>
      <errorWord>)</errorWord>
      <group>L1_Format</group>
      <groupName>格式问题</groupName>
      <ability>L2_HalfPunc_CN</ability>
      <abilityName>全半角检查</abilityName>
      <candidateList>
        <item>）</item>
      </candidateList>
      <explain>文本全半角错误。</explain>
      <paraID>70ED6267</paraID>
      <start>9</start>
      <end>10</end>
      <status>unmodified</status>
      <modifiedWord/>
      <trackRevisions>false</trackRevisions>
    </reviewItem>
    <reviewItem>
      <errorID>4f79bcaf-44b0-4d7b-89dd-47e4ecdd0cfa</errorID>
      <errorWord>,</errorWord>
      <group>L1_Format</group>
      <groupName>格式问题</groupName>
      <ability>L2_HalfPunc_CN</ability>
      <abilityName>全半角检查</abilityName>
      <candidateList>
        <item>，</item>
      </candidateList>
      <explain>文本全半角错误。</explain>
      <paraID>4FFC4D0D</paraID>
      <start>17</start>
      <end>18</end>
      <status>unmodified</status>
      <modifiedWord/>
      <trackRevisions>false</trackRevisions>
    </reviewItem>
    <reviewItem>
      <errorID>eb04dffb-047d-478e-aa08-ca9837b3a1f3</errorID>
      <errorWord>,</errorWord>
      <group>L1_Format</group>
      <groupName>格式问题</groupName>
      <ability>L2_HalfPunc_CN</ability>
      <abilityName>全半角检查</abilityName>
      <candidateList>
        <item>，</item>
      </candidateList>
      <explain>文本全半角错误。</explain>
      <paraID>4FFC4D0D</paraID>
      <start>24</start>
      <end>25</end>
      <status>unmodified</status>
      <modifiedWord/>
      <trackRevisions>false</trackRevisions>
    </reviewItem>
    <reviewItem>
      <errorID>30febe52-9f70-4ab2-a875-c402c9a0f282</errorID>
      <errorWord>;</errorWord>
      <group>L1_Format</group>
      <groupName>格式问题</groupName>
      <ability>L2_HalfPunc_CN</ability>
      <abilityName>全半角检查</abilityName>
      <candidateList>
        <item>；</item>
      </candidateList>
      <explain>文本全半角错误。</explain>
      <paraID>4FFC4D0D</paraID>
      <start>165</start>
      <end>166</end>
      <status>unmodified</status>
      <modifiedWord/>
      <trackRevisions>false</trackRevisions>
    </reviewItem>
    <reviewItem>
      <errorID>88bbd9e8-b1a0-460a-bfb0-7e100ca6feeb</errorID>
      <errorWord>;</errorWord>
      <group>L1_Format</group>
      <groupName>格式问题</groupName>
      <ability>L2_HalfPunc_CN</ability>
      <abilityName>全半角检查</abilityName>
      <candidateList>
        <item>；</item>
      </candidateList>
      <explain>文本全半角错误。</explain>
      <paraID>4FFC4D0D</paraID>
      <start>185</start>
      <end>186</end>
      <status>unmodified</status>
      <modifiedWord/>
      <trackRevisions>false</trackRevisions>
    </reviewItem>
    <reviewItem>
      <errorID>6873ddbd-b83b-47d8-a3ca-3b40820d5236</errorID>
      <errorWord>;</errorWord>
      <group>L1_Format</group>
      <groupName>格式问题</groupName>
      <ability>L2_HalfPunc_CN</ability>
      <abilityName>全半角检查</abilityName>
      <candidateList>
        <item>；</item>
      </candidateList>
      <explain>文本全半角错误。</explain>
      <paraID>4FFC4D0D</paraID>
      <start>212</start>
      <end>213</end>
      <status>unmodified</status>
      <modifiedWord/>
      <trackRevisions>false</trackRevisions>
    </reviewItem>
    <reviewItem>
      <errorID>2f376ad0-ca37-4616-87a4-892d4a9d17b3</errorID>
      <errorWord>;</errorWord>
      <group>L1_Format</group>
      <groupName>格式问题</groupName>
      <ability>L2_HalfPunc_CN</ability>
      <abilityName>全半角检查</abilityName>
      <candidateList>
        <item>；</item>
      </candidateList>
      <explain>文本全半角错误。</explain>
      <paraID>4FFC4D0D</paraID>
      <start>300</start>
      <end>301</end>
      <status>unmodified</status>
      <modifiedWord/>
      <trackRevisions>false</trackRevisions>
    </reviewItem>
    <reviewItem>
      <errorID>1cbf9bb5-ca93-4b6c-9985-01281f569d5c</errorID>
      <errorWord>(</errorWord>
      <group>L1_Format</group>
      <groupName>格式问题</groupName>
      <ability>L2_HalfPunc_CN</ability>
      <abilityName>全半角检查</abilityName>
      <candidateList>
        <item>（</item>
      </candidateList>
      <explain>文本全半角错误。</explain>
      <paraID> 22942F5</paraID>
      <start>77</start>
      <end>78</end>
      <status>unmodified</status>
      <modifiedWord/>
      <trackRevisions>false</trackRevisions>
    </reviewItem>
    <reviewItem>
      <errorID>6daa1992-4aeb-4ee2-b8b7-fde7f4617ef3</errorID>
      <errorWord>)</errorWord>
      <group>L1_Format</group>
      <groupName>格式问题</groupName>
      <ability>L2_HalfPunc_CN</ability>
      <abilityName>全半角检查</abilityName>
      <candidateList>
        <item>）</item>
      </candidateList>
      <explain>文本全半角错误。</explain>
      <paraID> 22942F5</paraID>
      <start>81</start>
      <end>82</end>
      <status>unmodified</status>
      <modifiedWord/>
      <trackRevisions>false</trackRevisions>
    </reviewItem>
    <reviewItem>
      <errorID>02e6ad59-99b1-4987-8f5a-699bc93fb930</errorID>
      <errorWord>;</errorWord>
      <group>L1_Format</group>
      <groupName>格式问题</groupName>
      <ability>L2_HalfPunc_CN</ability>
      <abilityName>全半角检查</abilityName>
      <candidateList>
        <item>；</item>
      </candidateList>
      <explain>文本全半角错误。</explain>
      <paraID>45CC359A</paraID>
      <start>78</start>
      <end>79</end>
      <status>unmodified</status>
      <modifiedWord/>
      <trackRevisions>false</trackRevisions>
    </reviewItem>
    <reviewItem>
      <errorID>e5ae057b-bf4a-42be-92b9-fc2b9e59a50a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513008A6</paraID>
      <start>0</start>
      <end>3</end>
      <status>unmodified</status>
      <modifiedWord/>
      <trackRevisions>false</trackRevisions>
    </reviewItem>
    <reviewItem>
      <errorID>6e6a0dec-8399-4e38-9fe3-7dd888a5e76b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3FFA702A</paraID>
      <start>0</start>
      <end>2</end>
      <status>unmodified</status>
      <modifiedWord/>
      <trackRevisions>false</trackRevisions>
    </reviewItem>
    <reviewItem>
      <errorID>ae014f73-786c-4453-8652-3c8070849465</errorID>
      <errorWord>(</errorWord>
      <group>L1_Format</group>
      <groupName>格式问题</groupName>
      <ability>L2_HalfPunc_CN</ability>
      <abilityName>全半角检查</abilityName>
      <candidateList>
        <item>（</item>
      </candidateList>
      <explain>文本全半角错误。</explain>
      <paraID>3FFA702A</paraID>
      <start>11</start>
      <end>12</end>
      <status>unmodified</status>
      <modifiedWord/>
      <trackRevisions>false</trackRevisions>
    </reviewItem>
    <reviewItem>
      <errorID>afa82027-2c5c-4d4e-8812-ba27228fa4dd</errorID>
      <errorWord>)</errorWord>
      <group>L1_Format</group>
      <groupName>格式问题</groupName>
      <ability>L2_HalfPunc_CN</ability>
      <abilityName>全半角检查</abilityName>
      <candidateList>
        <item>）</item>
      </candidateList>
      <explain>文本全半角错误。</explain>
      <paraID>3FFA702A</paraID>
      <start>15</start>
      <end>16</end>
      <status>unmodified</status>
      <modifiedWord/>
      <trackRevisions>false</trackRevisions>
    </reviewItem>
    <reviewItem>
      <errorID>1a71945f-7a24-4dcd-95ab-2ebc1d86920e</errorID>
      <errorWord>(</errorWord>
      <group>L1_Format</group>
      <groupName>格式问题</groupName>
      <ability>L2_HalfPunc_CN</ability>
      <abilityName>全半角检查</abilityName>
      <candidateList>
        <item>（</item>
      </candidateList>
      <explain>文本全半角错误。</explain>
      <paraID>3FFA702A</paraID>
      <start>23</start>
      <end>24</end>
      <status>unmodified</status>
      <modifiedWord/>
      <trackRevisions>false</trackRevisions>
    </reviewItem>
    <reviewItem>
      <errorID>4b9ee7e5-d8b0-4311-8d21-17a4d7a66e6f</errorID>
      <errorWord>)</errorWord>
      <group>L1_Format</group>
      <groupName>格式问题</groupName>
      <ability>L2_HalfPunc_CN</ability>
      <abilityName>全半角检查</abilityName>
      <candidateList>
        <item>）</item>
      </candidateList>
      <explain>文本全半角错误。</explain>
      <paraID>3FFA702A</paraID>
      <start>26</start>
      <end>27</end>
      <status>unmodified</status>
      <modifiedWord/>
      <trackRevisions>false</trackRevisions>
    </reviewItem>
    <reviewItem>
      <errorID>3863a95d-5f8f-4e4d-a0b4-0f53bee2d9c4</errorID>
      <errorWord>(</errorWord>
      <group>L1_Format</group>
      <groupName>格式问题</groupName>
      <ability>L2_HalfPunc_CN</ability>
      <abilityName>全半角检查</abilityName>
      <candidateList>
        <item>（</item>
      </candidateList>
      <explain>文本全半角错误。</explain>
      <paraID>3FFA702A</paraID>
      <start>34</start>
      <end>35</end>
      <status>unmodified</status>
      <modifiedWord/>
      <trackRevisions>false</trackRevisions>
    </reviewItem>
    <reviewItem>
      <errorID>3b92c681-f4bb-492e-b324-dd7c80979fb7</errorID>
      <errorWord>)</errorWord>
      <group>L1_Format</group>
      <groupName>格式问题</groupName>
      <ability>L2_HalfPunc_CN</ability>
      <abilityName>全半角检查</abilityName>
      <candidateList>
        <item>）</item>
      </candidateList>
      <explain>文本全半角错误。</explain>
      <paraID>3FFA702A</paraID>
      <start>39</start>
      <end>40</end>
      <status>unmodified</status>
      <modifiedWord/>
      <trackRevisions>false</trackRevisions>
    </reviewItem>
    <reviewItem>
      <errorID>a20a6e37-cb51-4daa-8883-2d9b9960f98f</errorID>
      <errorWord>(</errorWord>
      <group>L1_Format</group>
      <groupName>格式问题</groupName>
      <ability>L2_HalfPunc_CN</ability>
      <abilityName>全半角检查</abilityName>
      <candidateList>
        <item>（</item>
      </candidateList>
      <explain>文本全半角错误。</explain>
      <paraID>3FFA702A</paraID>
      <start>45</start>
      <end>46</end>
      <status>unmodified</status>
      <modifiedWord/>
      <trackRevisions>false</trackRevisions>
    </reviewItem>
    <reviewItem>
      <errorID>1516b239-b961-4692-852e-1dab9f55b33c</errorID>
      <errorWord>)</errorWord>
      <group>L1_Format</group>
      <groupName>格式问题</groupName>
      <ability>L2_HalfPunc_CN</ability>
      <abilityName>全半角检查</abilityName>
      <candidateList>
        <item>）</item>
      </candidateList>
      <explain>文本全半角错误。</explain>
      <paraID>3FFA702A</paraID>
      <start>48</start>
      <end>49</end>
      <status>unmodified</status>
      <modifiedWord/>
      <trackRevisions>false</trackRevisions>
    </reviewItem>
    <reviewItem>
      <errorID>79920e98-f670-4229-b09b-eefbec40c776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962F8E5</paraID>
      <start>0</start>
      <end>2</end>
      <status>unmodified</status>
      <modifiedWord/>
      <trackRevisions>false</trackRevisions>
    </reviewItem>
    <reviewItem>
      <errorID>dd480853-2edb-4326-8e49-f12496d95702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2595D239</paraID>
      <start>0</start>
      <end>3</end>
      <status>unmodified</status>
      <modifiedWord/>
      <trackRevisions>false</trackRevisions>
    </reviewItem>
    <reviewItem>
      <errorID>018586aa-e7a4-4c6b-a12f-738440449b6a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C4E9B72</paraID>
      <start>0</start>
      <end>2</end>
      <status>unmodified</status>
      <modifiedWord/>
      <trackRevisions>false</trackRevisions>
    </reviewItem>
    <reviewItem>
      <errorID>587541a3-2c61-4292-8d7d-d7262d891801</errorID>
      <errorWord>:</errorWord>
      <group>L1_Format</group>
      <groupName>格式问题</groupName>
      <ability>L2_HalfPunc_CN</ability>
      <abilityName>全半角检查</abilityName>
      <candidateList>
        <item>：</item>
      </candidateList>
      <explain>文本全半角错误。</explain>
      <paraID> C4E9B72</paraID>
      <start>9</start>
      <end>10</end>
      <status>unmodified</status>
      <modifiedWord/>
      <trackRevisions>false</trackRevisions>
    </reviewItem>
    <reviewItem>
      <errorID>4b402393-be6d-431d-baa8-2b0728aa2ea9</errorID>
      <errorWord>(</errorWord>
      <group>L1_Format</group>
      <groupName>格式问题</groupName>
      <ability>L2_HalfPunc_CN</ability>
      <abilityName>全半角检查</abilityName>
      <candidateList>
        <item>（</item>
      </candidateList>
      <explain>文本全半角错误。</explain>
      <paraID>1ECA1699</paraID>
      <start>3</start>
      <end>4</end>
      <status>unmodified</status>
      <modifiedWord/>
      <trackRevisions>false</trackRevisions>
    </reviewItem>
    <reviewItem>
      <errorID>8383d772-0a46-4661-8f94-049347409467</errorID>
      <errorWord>)</errorWord>
      <group>L1_Format</group>
      <groupName>格式问题</groupName>
      <ability>L2_HalfPunc_CN</ability>
      <abilityName>全半角检查</abilityName>
      <candidateList>
        <item>）</item>
      </candidateList>
      <explain>文本全半角错误。</explain>
      <paraID>1ECA1699</paraID>
      <start>6</start>
      <end>7</end>
      <status>unmodified</status>
      <modifiedWord/>
      <trackRevisions>false</trackRevisions>
    </reviewItem>
    <reviewItem>
      <errorID>7a892596-4a58-417c-9f5e-db5bffb1f738</errorID>
      <errorWord>~</errorWord>
      <group>L1_Format</group>
      <groupName>格式问题</groupName>
      <ability>L2_HalfPunc_CN</ability>
      <abilityName>全半角检查</abilityName>
      <candidateList>
        <item>～</item>
      </candidateList>
      <explain>文本全半角错误。</explain>
      <paraID>1ECA1699</paraID>
      <start>12</start>
      <end>13</end>
      <status>unmodified</status>
      <modifiedWord/>
      <trackRevisions>false</trackRevisions>
    </reviewItem>
    <reviewItem>
      <errorID>4fe59eb0-cc11-456c-a208-17f670bd12fa</errorID>
      <errorWord>(</errorWord>
      <group>L1_Format</group>
      <groupName>格式问题</groupName>
      <ability>L2_HalfPunc_CN</ability>
      <abilityName>全半角检查</abilityName>
      <candidateList>
        <item>（</item>
      </candidateList>
      <explain>文本全半角错误。</explain>
      <paraID>105A7FA1</paraID>
      <start>4</start>
      <end>5</end>
      <status>unmodified</status>
      <modifiedWord/>
      <trackRevisions>false</trackRevisions>
    </reviewItem>
    <reviewItem>
      <errorID>eca5358c-5084-4f15-82a9-7eafb343b1e7</errorID>
      <errorWord>)</errorWord>
      <group>L1_Format</group>
      <groupName>格式问题</groupName>
      <ability>L2_HalfPunc_CN</ability>
      <abilityName>全半角检查</abilityName>
      <candidateList>
        <item>）</item>
      </candidateList>
      <explain>文本全半角错误。</explain>
      <paraID>105A7FA1</paraID>
      <start>7</start>
      <end>8</end>
      <status>unmodified</status>
      <modifiedWord/>
      <trackRevisions>false</trackRevisions>
    </reviewItem>
    <reviewItem>
      <errorID>9979681f-d75f-4a7a-bd9c-132c2a2322d2</errorID>
      <errorWord>~</errorWord>
      <group>L1_Format</group>
      <groupName>格式问题</groupName>
      <ability>L2_HalfPunc_CN</ability>
      <abilityName>全半角检查</abilityName>
      <candidateList>
        <item>～</item>
      </candidateList>
      <explain>文本全半角错误。</explain>
      <paraID>105A7FA1</paraID>
      <start>12</start>
      <end>13</end>
      <status>unmodified</status>
      <modifiedWord/>
      <trackRevisions>false</trackRevisions>
    </reviewItem>
    <reviewItem>
      <errorID>2d78784d-7289-4e78-8cea-c8295d15065b</errorID>
      <errorWord>(</errorWord>
      <group>L1_Format</group>
      <groupName>格式问题</groupName>
      <ability>L2_HalfPunc_CN</ability>
      <abilityName>全半角检查</abilityName>
      <candidateList>
        <item>（</item>
      </candidateList>
      <explain>文本全半角错误。</explain>
      <paraID>1DE8083D</paraID>
      <start>4</start>
      <end>5</end>
      <status>unmodified</status>
      <modifiedWord/>
      <trackRevisions>false</trackRevisions>
    </reviewItem>
    <reviewItem>
      <errorID>b6ec0242-7419-4851-aea9-d2dd8280b373</errorID>
      <errorWord>)</errorWord>
      <group>L1_Format</group>
      <groupName>格式问题</groupName>
      <ability>L2_HalfPunc_CN</ability>
      <abilityName>全半角检查</abilityName>
      <candidateList>
        <item>）</item>
      </candidateList>
      <explain>文本全半角错误。</explain>
      <paraID>1DE8083D</paraID>
      <start>7</start>
      <end>8</end>
      <status>unmodified</status>
      <modifiedWord/>
      <trackRevisions>false</trackRevisions>
    </reviewItem>
    <reviewItem>
      <errorID>f6699c24-19a9-410b-8c1f-bce88a2c1d35</errorID>
      <errorWord>~</errorWord>
      <group>L1_Format</group>
      <groupName>格式问题</groupName>
      <ability>L2_HalfPunc_CN</ability>
      <abilityName>全半角检查</abilityName>
      <candidateList>
        <item>～</item>
      </candidateList>
      <explain>文本全半角错误。</explain>
      <paraID>1DE8083D</paraID>
      <start>12</start>
      <end>13</end>
      <status>unmodified</status>
      <modifiedWord/>
      <trackRevisions>false</trackRevisions>
    </reviewItem>
    <reviewItem>
      <errorID>7fbcec9f-1cb2-493c-bca5-9c5d4e1b7147</errorID>
      <errorWord>(</errorWord>
      <group>L1_Format</group>
      <groupName>格式问题</groupName>
      <ability>L2_HalfPunc_CN</ability>
      <abilityName>全半角检查</abilityName>
      <candidateList>
        <item>（</item>
      </candidateList>
      <explain>文本全半角错误。</explain>
      <paraID>6AC97DFA</paraID>
      <start>4</start>
      <end>5</end>
      <status>unmodified</status>
      <modifiedWord/>
      <trackRevisions>false</trackRevisions>
    </reviewItem>
    <reviewItem>
      <errorID>664c42d0-02a4-40c3-8ab3-3d7af3fa7199</errorID>
      <errorWord>)</errorWord>
      <group>L1_Format</group>
      <groupName>格式问题</groupName>
      <ability>L2_HalfPunc_CN</ability>
      <abilityName>全半角检查</abilityName>
      <candidateList>
        <item>）</item>
      </candidateList>
      <explain>文本全半角错误。</explain>
      <paraID>6AC97DFA</paraID>
      <start>7</start>
      <end>8</end>
      <status>unmodified</status>
      <modifiedWord/>
      <trackRevisions>false</trackRevisions>
    </reviewItem>
    <reviewItem>
      <errorID>9738ca25-d419-456e-8740-9240b0d1e1ad</errorID>
      <errorWord>~</errorWord>
      <group>L1_Format</group>
      <groupName>格式问题</groupName>
      <ability>L2_HalfPunc_CN</ability>
      <abilityName>全半角检查</abilityName>
      <candidateList>
        <item>～</item>
      </candidateList>
      <explain>文本全半角错误。</explain>
      <paraID>6AC97DFA</paraID>
      <start>12</start>
      <end>13</end>
      <status>unmodified</status>
      <modifiedWord/>
      <trackRevisions>false</trackRevisions>
    </reviewItem>
    <reviewItem>
      <errorID>c6caeffa-3c1c-446f-bab0-3f6ba80c47c1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69F97720</paraID>
      <start>0</start>
      <end>2</end>
      <status>unmodified</status>
      <modifiedWord/>
      <trackRevisions>false</trackRevisions>
    </reviewItem>
    <reviewItem>
      <errorID>ff082e4f-c255-4845-81e4-f056af3a6b0c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27014306</paraID>
      <start>0</start>
      <end>2</end>
      <status>unmodified</status>
      <modifiedWord/>
      <trackRevisions>false</trackRevisions>
    </reviewItem>
    <reviewItem>
      <errorID>f6c7b862-91b4-4887-b424-32b50ee256c9</errorID>
      <errorWord>)</errorWord>
      <group>L1_Format</group>
      <groupName>格式问题</groupName>
      <ability>L2_HalfPunc_CN</ability>
      <abilityName>全半角检查</abilityName>
      <candidateList>
        <item>）</item>
      </candidateList>
      <explain>文本全半角错误。</explain>
      <paraID>3687E498</paraID>
      <start>2</start>
      <end>3</end>
      <status>unmodified</status>
      <modifiedWord/>
      <trackRevisions>false</trackRevisions>
    </reviewItem>
    <reviewItem>
      <errorID>9f76dc95-72b2-4bdf-b42e-86a58bb98ead</errorID>
      <errorWord>.</errorWord>
      <group>L1_Format</group>
      <groupName>格式问题</groupName>
      <ability>L2_HalfPunc_CN</ability>
      <abilityName>全半角检查</abilityName>
      <candidateList>
        <item>。</item>
      </candidateList>
      <explain>文本全半角错误。</explain>
      <paraID>3687E498</paraID>
      <start>33</start>
      <end>34</end>
      <status>unmodified</status>
      <modifiedWord/>
      <trackRevisions>false</trackRevisions>
    </reviewItem>
    <reviewItem>
      <errorID>224de168-42c7-4590-932b-19cebb817144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215998C6</paraID>
      <start>0</start>
      <end>2</end>
      <status>unmodified</status>
      <modifiedWord/>
      <trackRevisions>false</trackRevisions>
    </reviewItem>
    <reviewItem>
      <errorID>b507b804-b174-4850-a571-9669c3b6d418</errorID>
      <errorWord>:</errorWord>
      <group>L1_Format</group>
      <groupName>格式问题</groupName>
      <ability>L2_HalfPunc_CN</ability>
      <abilityName>全半角检查</abilityName>
      <candidateList>
        <item>：</item>
      </candidateList>
      <explain>文本全半角错误。</explain>
      <paraID>215998C6</paraID>
      <start>10</start>
      <end>11</end>
      <status>unmodified</status>
      <modifiedWord/>
      <trackRevisions>false</trackRevisions>
    </reviewItem>
    <reviewItem>
      <errorID>2342c96a-f914-4c9f-94f8-926a56b98a28</errorID>
      <errorWord>:</errorWord>
      <group>L1_Format</group>
      <groupName>格式问题</groupName>
      <ability>L2_HalfPunc_CN</ability>
      <abilityName>全半角检查</abilityName>
      <candidateList>
        <item>：</item>
      </candidateList>
      <explain>文本全半角错误。</explain>
      <paraID>527224E3</paraID>
      <start>4</start>
      <end>5</end>
      <status>unmodified</status>
      <modifiedWord/>
      <trackRevisions>false</trackRevisions>
    </reviewItem>
    <reviewItem>
      <errorID>e68f3ad3-5be9-46ee-aff7-e13958a08728</errorID>
      <errorWord>:</errorWord>
      <group>L1_Format</group>
      <groupName>格式问题</groupName>
      <ability>L2_HalfPunc_CN</ability>
      <abilityName>全半角检查</abilityName>
      <candidateList>
        <item>：</item>
      </candidateList>
      <explain>文本全半角错误。</explain>
      <paraID>57347C49</paraID>
      <start>6</start>
      <end>7</end>
      <status>unmodified</status>
      <modifiedWord/>
      <trackRevisions>false</trackRevisions>
    </reviewItem>
    <reviewItem>
      <errorID>25fced84-858e-491c-b204-00046776df18</errorID>
      <errorWord>:</errorWord>
      <group>L1_Format</group>
      <groupName>格式问题</groupName>
      <ability>L2_HalfPunc_CN</ability>
      <abilityName>全半角检查</abilityName>
      <candidateList>
        <item>：</item>
      </candidateList>
      <explain>文本全半角错误。</explain>
      <paraID>4FC4633B</paraID>
      <start>4</start>
      <end>5</end>
      <status>unmodified</status>
      <modifiedWord/>
      <trackRevisions>false</trackRevisions>
    </reviewItem>
    <reviewItem>
      <errorID>5694a0b8-bc6a-4d5a-b6d8-f0b01288a780</errorID>
      <errorWord>:</errorWord>
      <group>L1_Format</group>
      <groupName>格式问题</groupName>
      <ability>L2_HalfPunc_CN</ability>
      <abilityName>全半角检查</abilityName>
      <candidateList>
        <item>：</item>
      </candidateList>
      <explain>文本全半角错误。</explain>
      <paraID>1285E06A</paraID>
      <start>6</start>
      <end>7</end>
      <status>unmodified</status>
      <modifiedWord/>
      <trackRevisions>false</trackRevisions>
    </reviewItem>
    <reviewItem>
      <errorID>fa13b66e-1003-4e0b-92e0-5de8c8680df5</errorID>
      <errorWord>:</errorWord>
      <group>L1_Format</group>
      <groupName>格式问题</groupName>
      <ability>L2_HalfPunc_CN</ability>
      <abilityName>全半角检查</abilityName>
      <candidateList>
        <item>：</item>
      </candidateList>
      <explain>文本全半角错误。</explain>
      <paraID>51B90253</paraID>
      <start>6</start>
      <end>7</end>
      <status>unmodified</status>
      <modifiedWord/>
      <trackRevisions>false</trackRevisions>
    </reviewItem>
    <reviewItem>
      <errorID>e7d9c585-dec3-4bd4-ae9a-a19cef87c879</errorID>
      <errorWord>:</errorWord>
      <group>L1_Format</group>
      <groupName>格式问题</groupName>
      <ability>L2_HalfPunc_CN</ability>
      <abilityName>全半角检查</abilityName>
      <candidateList>
        <item>：</item>
      </candidateList>
      <explain>文本全半角错误。</explain>
      <paraID>7F25C303</paraID>
      <start>6</start>
      <end>7</end>
      <status>unmodified</status>
      <modifiedWord/>
      <trackRevisions>false</trackRevisions>
    </reviewItem>
    <reviewItem>
      <errorID>3b9bd4c5-980e-4903-a05f-517f5dc86bb7</errorID>
      <errorWord>)</errorWord>
      <group>L1_Format</group>
      <groupName>格式问题</groupName>
      <ability>L2_HalfPunc_CN</ability>
      <abilityName>全半角检查</abilityName>
      <candidateList>
        <item>）</item>
      </candidateList>
      <explain>文本全半角错误。</explain>
      <paraID>534D8281</paraID>
      <start>2</start>
      <end>3</end>
      <status>unmodified</status>
      <modifiedWord/>
      <trackRevisions>false</trackRevisions>
    </reviewItem>
    <reviewItem>
      <errorID>d4184b50-be12-4c44-87eb-f2fff3c5b33a</errorID>
      <errorWord>.</errorWord>
      <group>L1_Format</group>
      <groupName>格式问题</groupName>
      <ability>L2_HalfPunc_CN</ability>
      <abilityName>全半角检查</abilityName>
      <candidateList>
        <item>。</item>
      </candidateList>
      <explain>文本全半角错误。</explain>
      <paraID>534D8281</paraID>
      <start>48</start>
      <end>49</end>
      <status>unmodified</status>
      <modifiedWord/>
      <trackRevisions>false</trackRevisions>
    </reviewItem>
    <reviewItem>
      <errorID>dab3c949-9e07-43f7-9a37-eaac8d6f489f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75251A2A</paraID>
      <start>0</start>
      <end>2</end>
      <status>unmodified</status>
      <modifiedWord/>
      <trackRevisions>false</trackRevisions>
    </reviewItem>
    <reviewItem>
      <errorID>b3d122e5-be08-4238-8bd2-8cb14e109452</errorID>
      <errorWord>:</errorWord>
      <group>L1_Format</group>
      <groupName>格式问题</groupName>
      <ability>L2_HalfPunc_CN</ability>
      <abilityName>全半角检查</abilityName>
      <candidateList>
        <item>：</item>
      </candidateList>
      <explain>文本全半角错误。</explain>
      <paraID>75251A2A</paraID>
      <start>5</start>
      <end>6</end>
      <status>unmodified</status>
      <modifiedWord/>
      <trackRevisions>false</trackRevisions>
    </reviewItem>
    <reviewItem>
      <errorID>685d596d-c03c-4b35-8b1c-d02e25cc3520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6D1E6A78</paraID>
      <start>0</start>
      <end>2</end>
      <status>unmodified</status>
      <modifiedWord/>
      <trackRevisions>false</trackRevisions>
    </reviewItem>
    <reviewItem>
      <errorID>334d19a2-2311-4d16-a314-11c1fd4f79eb</errorID>
      <errorWord>:</errorWord>
      <group>L1_Format</group>
      <groupName>格式问题</groupName>
      <ability>L2_HalfPunc_CN</ability>
      <abilityName>全半角检查</abilityName>
      <candidateList>
        <item>：</item>
      </candidateList>
      <explain>文本全半角错误。</explain>
      <paraID>6D1E6A78</paraID>
      <start>5</start>
      <end>6</end>
      <status>unmodified</status>
      <modifiedWord/>
      <trackRevisions>false</trackRevisions>
    </reviewItem>
    <reviewItem>
      <errorID>be4552f1-b047-4636-b87c-205ec8d1c303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2E5DA18B</paraID>
      <start>0</start>
      <end>3</end>
      <status>unmodified</status>
      <modifiedWord/>
      <trackRevisions>false</trackRevisions>
    </reviewItem>
    <reviewItem>
      <errorID>78cdb4f3-11a0-4f09-9de0-5fa065a136c2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443ED665</paraID>
      <start>0</start>
      <end>4</end>
      <status>unmodified</status>
      <modifiedWord/>
      <trackRevisions>false</trackRevisions>
    </reviewItem>
    <reviewItem>
      <errorID>464730a1-39aa-46b5-b4b3-1fbf7372d71b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7EEDADAD</paraID>
      <start>0</start>
      <end>4</end>
      <status>unmodified</status>
      <modifiedWord/>
      <trackRevisions>false</trackRevisions>
    </reviewItem>
    <reviewItem>
      <errorID>1bf8a004-e8ff-4eb5-890c-7f39f242fb2d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1F28E9E3</paraID>
      <start>0</start>
      <end>4</end>
      <status>unmodified</status>
      <modifiedWord/>
      <trackRevisions>false</trackRevisions>
    </reviewItem>
    <reviewItem>
      <errorID>a12c3d85-653e-41ad-bb24-4faf6de49a07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211141DF</paraID>
      <start>0</start>
      <end>4</end>
      <status>unmodified</status>
      <modifiedWord/>
      <trackRevisions>false</trackRevisions>
    </reviewItem>
    <reviewItem>
      <errorID>9dfbd93c-f621-425d-ba9a-c05529c0b8bf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6E827F77</paraID>
      <start>0</start>
      <end>4</end>
      <status>unmodified</status>
      <modifiedWord/>
      <trackRevisions>false</trackRevisions>
    </reviewItem>
    <reviewItem>
      <errorID>8cc12bd7-e596-41bd-bdc5-8bd17a099a70</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64C403F3</paraID>
      <start>0</start>
      <end>4</end>
      <status>unmodified</status>
      <modifiedWord/>
      <trackRevisions>false</trackRevisions>
    </reviewItem>
    <reviewItem>
      <errorID>ff327958-a5f4-4d24-8471-cd07bfde554e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67A06B05</paraID>
      <start>0</start>
      <end>2</end>
      <status>unmodified</status>
      <modifiedWord/>
      <trackRevisions>false</trackRevisions>
    </reviewItem>
    <reviewItem>
      <errorID>db936f6c-215d-4191-944d-d72d05d9f3fd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2542CB93</paraID>
      <start>0</start>
      <end>2</end>
      <status>unmodified</status>
      <modifiedWord/>
      <trackRevisions>false</trackRevisions>
    </reviewItem>
    <reviewItem>
      <errorID>15f221e8-cea1-45f3-8fca-2cf00fb5f1dc</errorID>
      <errorWord>,</errorWord>
      <group>L1_Format</group>
      <groupName>格式问题</groupName>
      <ability>L2_HalfPunc_CN</ability>
      <abilityName>全半角检查</abilityName>
      <candidateList>
        <item>，</item>
      </candidateList>
      <explain>文本全半角错误。</explain>
      <paraID>7CBD78EE</paraID>
      <start>32</start>
      <end>33</end>
      <status>unmodified</status>
      <modifiedWord/>
      <trackRevisions>false</trackRevisions>
    </reviewItem>
    <reviewItem>
      <errorID>620c8c01-15cd-4dd2-b7eb-4c7c1ed7c729</errorID>
      <errorWord>【2020】9号</errorWord>
      <group>L1_Knowledge</group>
      <groupName>知识性问题</groupName>
      <ability>L2_Knowledge</ability>
      <abilityName>其他知识</abilityName>
      <candidateList>
        <item>〔2020〕9号</item>
      </candidateList>
      <explain>发文字号格式错误。</explain>
      <paraID>3CF53D12</paraID>
      <start>55</start>
      <end>63</end>
      <status>unmodified</status>
      <modifiedWord/>
      <trackRevisions>false</trackRevisions>
    </reviewItem>
    <reviewItem>
      <errorID>40580207-2c80-4689-94c9-18789e10e0c4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6B151690</paraID>
      <start>0</start>
      <end>2</end>
      <status>unmodified</status>
      <modifiedWord/>
      <trackRevisions>false</trackRevisions>
    </reviewItem>
    <reviewItem>
      <errorID>17c1e929-391c-45a2-b084-07e5eb608eb8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76AAE000</paraID>
      <start>0</start>
      <end>2</end>
      <status>unmodified</status>
      <modifiedWord/>
      <trackRevisions>false</trackRevisions>
    </reviewItem>
    <reviewItem>
      <errorID>f273b309-cb68-42b4-bbae-6b5a20009531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5012703C</paraID>
      <start>0</start>
      <end>2</end>
      <status>unmodified</status>
      <modifiedWord/>
      <trackRevisions>false</trackRevisions>
    </reviewItem>
    <reviewItem>
      <errorID>74cf945f-c82f-4e29-82bf-eef73eccc439</errorID>
      <errorWord>,</errorWord>
      <group>L1_Format</group>
      <groupName>格式问题</groupName>
      <ability>L2_HalfPunc_CN</ability>
      <abilityName>全半角检查</abilityName>
      <candidateList>
        <item>，</item>
      </candidateList>
      <explain>文本全半角错误。</explain>
      <paraID> 3653E65</paraID>
      <start>17</start>
      <end>18</end>
      <status>unmodified</status>
      <modifiedWord/>
      <trackRevisions>false</trackRevisions>
    </reviewItem>
    <reviewItem>
      <errorID>ab4831c9-c8df-42d0-a64a-1911d1a259d2</errorID>
      <errorWord>、以及</errorWord>
      <group>L1_Punc</group>
      <groupName>标点问题</groupName>
      <ability>L2_Punc_CN</ability>
      <abilityName>标点符号检查</abilityName>
      <candidateList>
        <item>，以及</item>
      </candidateList>
      <explain>连接词前后不宜使用顿号，建议使用逗号。</explain>
      <paraID>59CD9BCB</paraID>
      <start>26</start>
      <end>29</end>
      <status>unmodified</status>
      <modifiedWord/>
      <trackRevisions>false</trackRevisions>
    </reviewItem>
    <reviewItem>
      <errorID>2e63c345-0661-49c4-92c3-9666263ac3a5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54E99002</paraID>
      <start>0</start>
      <end>2</end>
      <status>unmodified</status>
      <modifiedWord/>
      <trackRevisions>false</trackRevisions>
    </reviewItem>
    <reviewItem>
      <errorID>dd024ca2-048f-4c10-a37d-b8f8a5bedf8f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6DAC4D83</paraID>
      <start>0</start>
      <end>2</end>
      <status>unmodified</status>
      <modifiedWord/>
      <trackRevisions>false</trackRevisions>
    </reviewItem>
    <reviewItem>
      <errorID>a4b4d76b-bb39-4b40-aa5e-2a72a41bd5c2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22790A43</paraID>
      <start>0</start>
      <end>2</end>
      <status>unmodified</status>
      <modifiedWord/>
      <trackRevisions>false</trackRevisions>
    </reviewItem>
    <reviewItem>
      <errorID>c399a834-4677-4177-a901-9bf1fc49710f</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77929865</paraID>
      <start>27</start>
      <end>30</end>
      <status>unmodified</status>
      <modifiedWord/>
      <trackRevisions>false</trackRevisions>
    </reviewItem>
    <reviewItem>
      <errorID>2efbf5ba-787b-4363-806b-e72a00a57766</errorID>
      <errorWord>法律、法规</errorWord>
      <group>L1_Word</group>
      <groupName>字词问题</groupName>
      <ability>L2_Typo</ability>
      <abilityName>字词错误</abilityName>
      <candidateList>
        <item>法律法规</item>
      </candidateList>
      <explain/>
      <paraID>77929865</paraID>
      <start>48</start>
      <end>53</end>
      <status>unmodified</status>
      <modifiedWord/>
      <trackRevisions>false</trackRevisions>
    </reviewItem>
    <reviewItem>
      <errorID>729ed9a6-cdde-4d24-acc5-a2af9e9d74e2</errorID>
      <errorWord>下</errorWord>
      <group>L1_Word</group>
      <groupName>字词问题</groupName>
      <ability>L2_Typo</ability>
      <abilityName>字词错误</abilityName>
      <candidateList>
        <item>下简</item>
      </candidateList>
      <explain/>
      <paraID>2D4D5828</paraID>
      <start>8</start>
      <end>9</end>
      <status>unmodified</status>
      <modifiedWord/>
      <trackRevisions>false</trackRevisions>
    </reviewItem>
    <reviewItem>
      <errorID>5f5866a9-8504-4e29-96c6-5dc09742f903</errorID>
      <errorWord>下</errorWord>
      <group>L1_Word</group>
      <groupName>字词问题</groupName>
      <ability>L2_Typo</ability>
      <abilityName>字词错误</abilityName>
      <candidateList>
        <item>下简</item>
      </candidateList>
      <explain/>
      <paraID>62ECB4BC</paraID>
      <start>8</start>
      <end>9</end>
      <status>unmodified</status>
      <modifiedWord/>
      <trackRevisions>false</trackRevisions>
    </reviewItem>
    <reviewItem>
      <errorID>482a0ea5-9972-4b42-9dcb-5b06af983c50</errorID>
      <errorWord>其</errorWord>
      <group>L1_Word</group>
      <groupName>字词问题</groupName>
      <ability>L2_Typo</ability>
      <abilityName>字词错误</abilityName>
      <candidateList>
        <item>其他</item>
      </candidateList>
      <explain>〈代〉指示代词。别的：今天的文娱晚会，除了京剧、曲艺以外，还有～精彩节目。</explain>
      <paraID>5B8B1A58</paraID>
      <start>57</start>
      <end>58</end>
      <status>unmodified</status>
      <modifiedWord/>
      <trackRevisions>false</trackRevisions>
    </reviewItem>
    <reviewItem>
      <errorID>0548c776-fd80-4bcd-bbdc-5aed01f9ed12</errorID>
      <errorWord>其它</errorWord>
      <group>L1_Word</group>
      <groupName>字词问题</groupName>
      <ability>L2_Alias</ability>
      <abilityName>也作/曾用词</abilityName>
      <candidateList>
        <item>其他</item>
      </candidateList>
      <explain>词汇[其它]为不规范表述或旧称，其规范书面表述为[其他]。</explain>
      <paraID>62DA3497</paraID>
      <start>28</start>
      <end>30</end>
      <status>unmodified</status>
      <modifiedWord/>
      <trackRevisions>false</trackRevisions>
    </reviewItem>
    <reviewItem>
      <errorID>157c9907-2842-46e9-96a1-ff29644f735a</errorID>
      <errorWord>其它</errorWord>
      <group>L1_Word</group>
      <groupName>字词问题</groupName>
      <ability>L2_Alias</ability>
      <abilityName>也作/曾用词</abilityName>
      <candidateList>
        <item>其他</item>
      </candidateList>
      <explain>词汇[其它]为不规范表述或旧称，其规范书面表述为[其他]。</explain>
      <paraID>4408235E</paraID>
      <start>54</start>
      <end>56</end>
      <status>unmodified</status>
      <modifiedWord/>
      <trackRevisions>false</trackRevisions>
    </reviewItem>
    <reviewItem>
      <errorID>6bba8619-bc8f-4e8e-bacc-3e96b5fc6bac</errorID>
      <errorWord>服务的</errorWord>
      <group>L1_Word</group>
      <groupName>字词问题</groupName>
      <ability>L2_Typo</ability>
      <abilityName>字词错误</abilityName>
      <candidateList>
        <item>服务</item>
      </candidateList>
      <explain>〈动〉为集体（或别人的）利益或为某种事业而工作：～行业｜为人民～｜科学为生产～｜他在邮局～了三十年。</explain>
      <paraID>53484CDB</paraID>
      <start>8</start>
      <end>11</end>
      <status>unmodified</status>
      <modifiedWord/>
      <trackRevisions>false</trackRevisions>
    </reviewItem>
    <reviewItem>
      <errorID>ed1b0284-a343-42b2-8d4e-9744aa6ae099</errorID>
      <errorWord>按《中华人民共和国</errorWord>
      <group>L1_Political</group>
      <groupName>政治性问题</groupName>
      <ability>L2_Unpolitical</ability>
      <abilityName>政治敏感错误</abilityName>
      <candidateList>
        <item>按照《中华人民共和国</item>
      </candidateList>
      <explain/>
      <paraID>1DEF8872</paraID>
      <start>34</start>
      <end>43</end>
      <status>unmodified</status>
      <modifiedWord/>
      <trackRevisions>false</trackRevisions>
    </reviewItem>
    <reviewItem>
      <errorID>359d1538-b5ca-4fec-b728-234ea7755b7b</errorID>
      <errorWord>其它部分</errorWord>
      <group>L1_Word</group>
      <groupName>字词问题</groupName>
      <ability>L2_Alias</ability>
      <abilityName>也作/曾用词</abilityName>
      <candidateList>
        <item>其他部分</item>
      </candidateList>
      <explain>词汇[其它部分]为不规范表述或旧称，其规范书面表述为[其他部分]。</explain>
      <paraID>52C1DB6A</paraID>
      <start>18</start>
      <end>22</end>
      <status>unmodified</status>
      <modifiedWord/>
      <trackRevisions>false</trackRevisions>
    </reviewItem>
    <reviewItem>
      <errorID>4aa4da45-8ae4-4800-a8da-f0ab06de7caf</errorID>
      <errorWord>的其它部分</errorWord>
      <group>L1_Word</group>
      <groupName>字词问题</groupName>
      <ability>L2_Alias</ability>
      <abilityName>也作/曾用词</abilityName>
      <candidateList>
        <item>的其他部分</item>
      </candidateList>
      <explain>词汇[的其它部分]为不规范表述或旧称，其规范书面表述为[的其他部分]。</explain>
      <paraID>52C1DB6A</paraID>
      <start>53</start>
      <end>58</end>
      <status>unmodified</status>
      <modifiedWord/>
      <trackRevisions>false</trackRevisions>
    </reviewItem>
    <reviewItem>
      <errorID>2ec0cb21-2cb6-4f95-ad9f-47b51e501ef7</errorID>
      <errorWord>送到</errorWord>
      <group>L1_Word</group>
      <groupName>字词问题</groupName>
      <ability>L2_Typo</ability>
      <abilityName>字词错误</abilityName>
      <candidateList>
        <item>送达</item>
      </candidateList>
      <explain>存在发音相近字词的误用。</explain>
      <paraID>185D2D0E</paraID>
      <start>7</start>
      <end>9</end>
      <status>unmodified</status>
      <modifiedWord/>
      <trackRevisions>false</trackRevisions>
    </reviewItem>
    <reviewItem>
      <errorID>b8b3b577-1088-412b-a793-aae225a18161</errorID>
      <errorWord>(</errorWord>
      <group>L1_Format</group>
      <groupName>格式问题</groupName>
      <ability>L2_HalfPunc_CN</ability>
      <abilityName>全半角检查</abilityName>
      <candidateList>
        <item>（</item>
      </candidateList>
      <explain>文本全半角错误。</explain>
      <paraID>70981F75</paraID>
      <start>7</start>
      <end>8</end>
      <status>unmodified</status>
      <modifiedWord/>
      <trackRevisions>false</trackRevisions>
    </reviewItem>
    <reviewItem>
      <errorID>9b239115-4c07-4d54-bb3a-836ea8273949</errorID>
      <errorWord>)</errorWord>
      <group>L1_Format</group>
      <groupName>格式问题</groupName>
      <ability>L2_HalfPunc_CN</ability>
      <abilityName>全半角检查</abilityName>
      <candidateList>
        <item>）</item>
      </candidateList>
      <explain>文本全半角错误。</explain>
      <paraID>70981F75</paraID>
      <start>13</start>
      <end>14</end>
      <status>unmodified</status>
      <modifiedWord/>
      <trackRevisions>false</trackRevisions>
    </reviewItem>
    <reviewItem>
      <errorID>df332296-8966-47e4-9a43-29c6a90e6c10</errorID>
      <errorWord>:</errorWord>
      <group>L1_Format</group>
      <groupName>格式问题</groupName>
      <ability>L2_HalfPunc_CN</ability>
      <abilityName>全半角检查</abilityName>
      <candidateList>
        <item>：</item>
      </candidateList>
      <explain>文本全半角错误。</explain>
      <paraID>1657B2A0</paraID>
      <start>6</start>
      <end>7</end>
      <status>unmodified</status>
      <modifiedWord/>
      <trackRevisions>false</trackRevisions>
    </reviewItem>
    <reviewItem>
      <errorID>3e0167db-3322-4f26-b7bf-178bc71ee31a</errorID>
      <errorWord>:</errorWord>
      <group>L1_Format</group>
      <groupName>格式问题</groupName>
      <ability>L2_HalfPunc_CN</ability>
      <abilityName>全半角检查</abilityName>
      <candidateList>
        <item>：</item>
      </candidateList>
      <explain>文本全半角错误。</explain>
      <paraID>21611D1F</paraID>
      <start>8</start>
      <end>9</end>
      <status>unmodified</status>
      <modifiedWord/>
      <trackRevisions>false</trackRevisions>
    </reviewItem>
    <reviewItem>
      <errorID>6fa9f943-9265-49a4-8e16-e187731569a1</errorID>
      <errorWord>:</errorWord>
      <group>L1_Format</group>
      <groupName>格式问题</groupName>
      <ability>L2_HalfPunc_CN</ability>
      <abilityName>全半角检查</abilityName>
      <candidateList>
        <item>：</item>
      </candidateList>
      <explain>文本全半角错误。</explain>
      <paraID>6B8836AE</paraID>
      <start>6</start>
      <end>7</end>
      <status>unmodified</status>
      <modifiedWord/>
      <trackRevisions>false</trackRevisions>
    </reviewItem>
    <reviewItem>
      <errorID>06b31d36-f9cd-4e13-8ef4-8d9ad5f62ec1</errorID>
      <errorWord>其它</errorWord>
      <group>L1_Word</group>
      <groupName>字词问题</groupName>
      <ability>L2_Alias</ability>
      <abilityName>也作/曾用词</abilityName>
      <candidateList>
        <item>其他</item>
      </candidateList>
      <explain>词汇[其它]为不规范表述或旧称，其规范书面表述为[其他]。</explain>
      <paraID>7E7384AA</paraID>
      <start>20</start>
      <end>22</end>
      <status>unmodified</status>
      <modifiedWord/>
      <trackRevisions>false</trackRevisions>
    </reviewItem>
    <reviewItem>
      <errorID>b8691891-c7c9-494a-b78f-1afc377b7a22</errorID>
      <errorWord>帐</errorWord>
      <group>L1_Word</group>
      <groupName>字词问题</groupName>
      <ability>L2_Typo</ability>
      <abilityName>字词错误</abilityName>
      <candidateList>
        <item>账</item>
      </candidateList>
      <explain>（賬）zhànɡ〈名〉❶关于货币、货物出入的记载：记～｜查～。❷指账簿：一本～。❸债：欠～｜还～｜放～。</explain>
      <paraID>61DD3D81</paraID>
      <start>6</start>
      <end>7</end>
      <status>unmodified</status>
      <modifiedWord/>
      <trackRevisions>false</trackRevisions>
    </reviewItem>
    <reviewItem>
      <errorID>3b3e986d-8780-46ad-8f13-5dad558c7083</errorID>
      <errorWord>：</errorWord>
      <group>L1_Format</group>
      <groupName>格式问题</groupName>
      <ability>L2_HalfPunc_CN</ability>
      <abilityName>全半角检查</abilityName>
      <candidateList>
        <item>:</item>
      </candidateList>
      <explain>文本全半角错误。</explain>
      <paraID>61DD3D81</paraID>
      <start>51</start>
      <end>52</end>
      <status>unmodified</status>
      <modifiedWord/>
      <trackRevisions>false</trackRevisions>
    </reviewItem>
    <reviewItem>
      <errorID>d924f9a7-1052-42c8-8725-2b2e63bacce9</errorID>
      <errorWord>-</errorWord>
      <group>L1_Format</group>
      <groupName>格式问题</groupName>
      <ability>L2_HalfPunc_CN</ability>
      <abilityName>全半角检查</abilityName>
      <candidateList>
        <item>－</item>
      </candidateList>
      <explain>文本全半角错误。</explain>
      <paraID>61DD3D81</paraID>
      <start>76</start>
      <end>77</end>
      <status>unmodified</status>
      <modifiedWord/>
      <trackRevisions>false</trackRevisions>
    </reviewItem>
    <reviewItem>
      <errorID>1faccb4a-6a1d-4772-acdf-98b56901dd9d</errorID>
      <errorWord>须</errorWord>
      <group>L1_Word</group>
      <groupName>字词问题</groupName>
      <ability>L2_Typo</ability>
      <abilityName>字词错误</abilityName>
      <candidateList>
        <item>需</item>
      </candidateList>
      <explain>存在发音相同字词的误用。</explain>
      <paraID>236D56F8</paraID>
      <start>22</start>
      <end>23</end>
      <status>unmodified</status>
      <modifiedWord/>
      <trackRevisions>false</trackRevisions>
    </reviewItem>
    <reviewItem>
      <errorID>bb61855b-f08b-40dc-9167-015f9678d2bf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5D0BBA60</paraID>
      <start>0</start>
      <end>2</end>
      <status>unmodified</status>
      <modifiedWord/>
      <trackRevisions>false</trackRevisions>
    </reviewItem>
    <reviewItem>
      <errorID>ae223309-f841-47ba-b76d-ee726d6ec7c4</errorID>
      <errorWord>,</errorWord>
      <group>L1_Format</group>
      <groupName>格式问题</groupName>
      <ability>L2_HalfPunc_CN</ability>
      <abilityName>全半角检查</abilityName>
      <candidateList>
        <item>，</item>
      </candidateList>
      <explain>文本全半角错误。</explain>
      <paraID>5D0BBA60</paraID>
      <start>21</start>
      <end>22</end>
      <status>unmodified</status>
      <modifiedWord/>
      <trackRevisions>false</trackRevisions>
    </reviewItem>
    <reviewItem>
      <errorID>fbb834c3-6164-4a5e-8d4c-2a12ffcf7e79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24CB5674</paraID>
      <start>0</start>
      <end>2</end>
      <status>unmodified</status>
      <modifiedWord/>
      <trackRevisions>false</trackRevisions>
    </reviewItem>
    <reviewItem>
      <errorID>5c358f2d-d55e-4a6b-a123-b41824ef3169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3C5419E8</paraID>
      <start>0</start>
      <end>2</end>
      <status>unmodified</status>
      <modifiedWord/>
      <trackRevisions>false</trackRevisions>
    </reviewItem>
    <reviewItem>
      <errorID>89ad6cc2-169b-44fc-983b-dcf929ab010e</errorID>
      <errorWord>(</errorWord>
      <group>L1_Format</group>
      <groupName>格式问题</groupName>
      <ability>L2_HalfPunc_CN</ability>
      <abilityName>全半角检查</abilityName>
      <candidateList>
        <item>（</item>
      </candidateList>
      <explain>文本全半角错误。</explain>
      <paraID> C0374A5</paraID>
      <start>7</start>
      <end>8</end>
      <status>unmodified</status>
      <modifiedWord/>
      <trackRevisions>false</trackRevisions>
    </reviewItem>
    <reviewItem>
      <errorID>975bf018-583f-4288-b356-29bce054897c</errorID>
      <errorWord>)</errorWord>
      <group>L1_Format</group>
      <groupName>格式问题</groupName>
      <ability>L2_HalfPunc_CN</ability>
      <abilityName>全半角检查</abilityName>
      <candidateList>
        <item>）</item>
      </candidateList>
      <explain>文本全半角错误。</explain>
      <paraID> C0374A5</paraID>
      <start>13</start>
      <end>14</end>
      <status>unmodified</status>
      <modifiedWord/>
      <trackRevisions>false</trackRevisions>
    </reviewItem>
    <reviewItem>
      <errorID>086b0df3-97ed-444e-99d1-ab4647f82b86</errorID>
      <errorWord>(</errorWord>
      <group>L1_Format</group>
      <groupName>格式问题</groupName>
      <ability>L2_HalfPunc_CN</ability>
      <abilityName>全半角检查</abilityName>
      <candidateList>
        <item>（</item>
      </candidateList>
      <explain>文本全半角错误。</explain>
      <paraID> 8E6F372</paraID>
      <start>63</start>
      <end>64</end>
      <status>unmodified</status>
      <modifiedWord/>
      <trackRevisions>false</trackRevisions>
    </reviewItem>
    <reviewItem>
      <errorID>e0ac7950-5873-4dec-9917-35afb82e1278</errorID>
      <errorWord>)</errorWord>
      <group>L1_Format</group>
      <groupName>格式问题</groupName>
      <ability>L2_HalfPunc_CN</ability>
      <abilityName>全半角检查</abilityName>
      <candidateList>
        <item>）</item>
      </candidateList>
      <explain>文本全半角错误。</explain>
      <paraID>34F391CF</paraID>
      <start>1</start>
      <end>2</end>
      <status>unmodified</status>
      <modifiedWord/>
      <trackRevisions>false</trackRevisions>
    </reviewItem>
    <reviewItem>
      <errorID>d014922a-6d1d-4977-8ca8-9d2f1a8655cf</errorID>
      <errorWord>(</errorWord>
      <group>L1_Format</group>
      <groupName>格式问题</groupName>
      <ability>L2_HalfPunc_CN</ability>
      <abilityName>全半角检查</abilityName>
      <candidateList>
        <item>（</item>
      </candidateList>
      <explain>文本全半角错误。</explain>
      <paraID>34F391CF</paraID>
      <start>10</start>
      <end>11</end>
      <status>unmodified</status>
      <modifiedWord/>
      <trackRevisions>false</trackRevisions>
    </reviewItem>
    <reviewItem>
      <errorID>543e4099-577c-4675-a1c4-80dac31edfaf</errorID>
      <errorWord>)</errorWord>
      <group>L1_Format</group>
      <groupName>格式问题</groupName>
      <ability>L2_HalfPunc_CN</ability>
      <abilityName>全半角检查</abilityName>
      <candidateList>
        <item>）</item>
      </candidateList>
      <explain>文本全半角错误。</explain>
      <paraID>34F391CF</paraID>
      <start>17</start>
      <end>18</end>
      <status>unmodified</status>
      <modifiedWord/>
      <trackRevisions>false</trackRevisions>
    </reviewItem>
    <reviewItem>
      <errorID>3da7a479-80de-4103-b5e4-0feec8fd448c</errorID>
      <errorWord>(</errorWord>
      <group>L1_Format</group>
      <groupName>格式问题</groupName>
      <ability>L2_HalfPunc_CN</ability>
      <abilityName>全半角检查</abilityName>
      <candidateList>
        <item>（</item>
      </candidateList>
      <explain>文本全半角错误。</explain>
      <paraID>75E235BF</paraID>
      <start>9</start>
      <end>10</end>
      <status>unmodified</status>
      <modifiedWord/>
      <trackRevisions>false</trackRevisions>
    </reviewItem>
    <reviewItem>
      <errorID>377c47d9-ede8-45d5-b257-87ba1ed6b334</errorID>
      <errorWord>)</errorWord>
      <group>L1_Format</group>
      <groupName>格式问题</groupName>
      <ability>L2_HalfPunc_CN</ability>
      <abilityName>全半角检查</abilityName>
      <candidateList>
        <item>）</item>
      </candidateList>
      <explain>文本全半角错误。</explain>
      <paraID>75E235BF</paraID>
      <start>15</start>
      <end>16</end>
      <status>unmodified</status>
      <modifiedWord/>
      <trackRevisions>false</trackRevisions>
    </reviewItem>
    <reviewItem>
      <errorID>ae33b27a-4d71-47e4-8b18-24a895c563b5</errorID>
      <errorWord>(</errorWord>
      <group>L1_Format</group>
      <groupName>格式问题</groupName>
      <ability>L2_HalfPunc_CN</ability>
      <abilityName>全半角检查</abilityName>
      <candidateList>
        <item>（</item>
      </candidateList>
      <explain>文本全半角错误。</explain>
      <paraID>196B718F</paraID>
      <start>3</start>
      <end>4</end>
      <status>unmodified</status>
      <modifiedWord/>
      <trackRevisions>false</trackRevisions>
    </reviewItem>
    <reviewItem>
      <errorID>f05e116d-8782-4e9a-999b-4f42a932deb1</errorID>
      <errorWord>)</errorWord>
      <group>L1_Format</group>
      <groupName>格式问题</groupName>
      <ability>L2_HalfPunc_CN</ability>
      <abilityName>全半角检查</abilityName>
      <candidateList>
        <item>）</item>
      </candidateList>
      <explain>文本全半角错误。</explain>
      <paraID>196B718F</paraID>
      <start>6</start>
      <end>7</end>
      <status>unmodified</status>
      <modifiedWord/>
      <trackRevisions>false</trackRevisions>
    </reviewItem>
    <reviewItem>
      <errorID>4a479eda-58d9-49b7-bae1-a518b2f111f4</errorID>
      <errorWord>(</errorWord>
      <group>L1_Format</group>
      <groupName>格式问题</groupName>
      <ability>L2_HalfPunc_CN</ability>
      <abilityName>全半角检查</abilityName>
      <candidateList>
        <item>（</item>
      </candidateList>
      <explain>文本全半角错误。</explain>
      <paraID> 9FF460C</paraID>
      <start>3</start>
      <end>4</end>
      <status>unmodified</status>
      <modifiedWord/>
      <trackRevisions>false</trackRevisions>
    </reviewItem>
    <reviewItem>
      <errorID>5d664845-57be-4da7-a058-8020e71a4f65</errorID>
      <errorWord>)</errorWord>
      <group>L1_Format</group>
      <groupName>格式问题</groupName>
      <ability>L2_HalfPunc_CN</ability>
      <abilityName>全半角检查</abilityName>
      <candidateList>
        <item>）</item>
      </candidateList>
      <explain>文本全半角错误。</explain>
      <paraID> 9FF460C</paraID>
      <start>6</start>
      <end>7</end>
      <status>unmodified</status>
      <modifiedWord/>
      <trackRevisions>false</trackRevisions>
    </reviewItem>
    <reviewItem>
      <errorID>8b3f6c7d-884e-4858-af3a-1863ec4b794a</errorID>
      <errorWord>(</errorWord>
      <group>L1_Format</group>
      <groupName>格式问题</groupName>
      <ability>L2_HalfPunc_CN</ability>
      <abilityName>全半角检查</abilityName>
      <candidateList>
        <item>（</item>
      </candidateList>
      <explain>文本全半角错误。</explain>
      <paraID>1C1E5E56</paraID>
      <start>13</start>
      <end>14</end>
      <status>unmodified</status>
      <modifiedWord/>
      <trackRevisions>false</trackRevisions>
    </reviewItem>
    <reviewItem>
      <errorID>3c779701-109e-4fc7-ae4e-088190773e9f</errorID>
      <errorWord>)</errorWord>
      <group>L1_Format</group>
      <groupName>格式问题</groupName>
      <ability>L2_HalfPunc_CN</ability>
      <abilityName>全半角检查</abilityName>
      <candidateList>
        <item>）</item>
      </candidateList>
      <explain>文本全半角错误。</explain>
      <paraID>1C1E5E56</paraID>
      <start>19</start>
      <end>20</end>
      <status>unmodified</status>
      <modifiedWord/>
      <trackRevisions>false</trackRevisions>
    </reviewItem>
    <reviewItem>
      <errorID>20cd73de-3fc2-4ffa-a298-ed9ea0b2a103</errorID>
      <errorWord>(</errorWord>
      <group>L1_Format</group>
      <groupName>格式问题</groupName>
      <ability>L2_HalfPunc_CN</ability>
      <abilityName>全半角检查</abilityName>
      <candidateList>
        <item>（</item>
      </candidateList>
      <explain>文本全半角错误。</explain>
      <paraID>341FD2A1</paraID>
      <start>5</start>
      <end>6</end>
      <status>unmodified</status>
      <modifiedWord/>
      <trackRevisions>false</trackRevisions>
    </reviewItem>
    <reviewItem>
      <errorID>31d29355-62fa-49ec-8406-247b78fc6060</errorID>
      <errorWord>)</errorWord>
      <group>L1_Format</group>
      <groupName>格式问题</groupName>
      <ability>L2_HalfPunc_CN</ability>
      <abilityName>全半角检查</abilityName>
      <candidateList>
        <item>）</item>
      </candidateList>
      <explain>文本全半角错误。</explain>
      <paraID>341FD2A1</paraID>
      <start>10</start>
      <end>11</end>
      <status>unmodified</status>
      <modifiedWord/>
      <trackRevisions>false</trackRevisions>
    </reviewItem>
    <reviewItem>
      <errorID>5b2898f5-1ce2-4185-b298-1a9521797297</errorID>
      <errorWord>下列的</errorWord>
      <group>L1_Word</group>
      <groupName>字词问题</groupName>
      <ability>L2_Typo</ability>
      <abilityName>字词错误</abilityName>
      <candidateList>
        <item>下列</item>
      </candidateList>
      <explain/>
      <paraID> F25573A</paraID>
      <start>20</start>
      <end>23</end>
      <status>unmodified</status>
      <modifiedWord/>
      <trackRevisions>false</trackRevisions>
    </reviewItem>
    <reviewItem>
      <errorID>4d08f6c2-56c2-446f-bd54-106503039ab9</errorID>
      <errorWord>(</errorWord>
      <group>L1_Format</group>
      <groupName>格式问题</groupName>
      <ability>L2_HalfPunc_CN</ability>
      <abilityName>全半角检查</abilityName>
      <candidateList>
        <item>（</item>
      </candidateList>
      <explain>文本全半角错误。</explain>
      <paraID>48C13D7C</paraID>
      <start>13</start>
      <end>14</end>
      <status>unmodified</status>
      <modifiedWord/>
      <trackRevisions>false</trackRevisions>
    </reviewItem>
    <reviewItem>
      <errorID>5418e521-9f4d-486b-bc45-c08260fa9768</errorID>
      <errorWord>)</errorWord>
      <group>L1_Format</group>
      <groupName>格式问题</groupName>
      <ability>L2_HalfPunc_CN</ability>
      <abilityName>全半角检查</abilityName>
      <candidateList>
        <item>）</item>
      </candidateList>
      <explain>文本全半角错误。</explain>
      <paraID>48C13D7C</paraID>
      <start>16</start>
      <end>17</end>
      <status>unmodified</status>
      <modifiedWord/>
      <trackRevisions>false</trackRevisions>
    </reviewItem>
    <reviewItem>
      <errorID>edb16844-24bf-49e8-af18-4c6a3a0778fb</errorID>
      <errorWord>(</errorWord>
      <group>L1_Format</group>
      <groupName>格式问题</groupName>
      <ability>L2_HalfPunc_CN</ability>
      <abilityName>全半角检查</abilityName>
      <candidateList>
        <item>（</item>
      </candidateList>
      <explain>文本全半角错误。</explain>
      <paraID>5F18B80D</paraID>
      <start>24</start>
      <end>25</end>
      <status>unmodified</status>
      <modifiedWord/>
      <trackRevisions>false</trackRevisions>
    </reviewItem>
    <reviewItem>
      <errorID>e88882e4-f85b-46ac-bf13-cb44e82dd7e6</errorID>
      <errorWord>)</errorWord>
      <group>L1_Format</group>
      <groupName>格式问题</groupName>
      <ability>L2_HalfPunc_CN</ability>
      <abilityName>全半角检查</abilityName>
      <candidateList>
        <item>）</item>
      </candidateList>
      <explain>文本全半角错误。</explain>
      <paraID>5F18B80D</paraID>
      <start>27</start>
      <end>28</end>
      <status>unmodified</status>
      <modifiedWord/>
      <trackRevisions>false</trackRevisions>
    </reviewItem>
    <reviewItem>
      <errorID>ee7863a3-63b5-46a0-a052-856df0fe1b0c</errorID>
      <errorWord>(</errorWord>
      <group>L1_Format</group>
      <groupName>格式问题</groupName>
      <ability>L2_HalfPunc_CN</ability>
      <abilityName>全半角检查</abilityName>
      <candidateList>
        <item>（</item>
      </candidateList>
      <explain>文本全半角错误。</explain>
      <paraID>27EFC42A</paraID>
      <start>13</start>
      <end>14</end>
      <status>unmodified</status>
      <modifiedWord/>
      <trackRevisions>false</trackRevisions>
    </reviewItem>
    <reviewItem>
      <errorID>dc330a39-83b2-4f20-8c90-a9ce082c3058</errorID>
      <errorWord>)</errorWord>
      <group>L1_Format</group>
      <groupName>格式问题</groupName>
      <ability>L2_HalfPunc_CN</ability>
      <abilityName>全半角检查</abilityName>
      <candidateList>
        <item>）</item>
      </candidateList>
      <explain>文本全半角错误。</explain>
      <paraID>27EFC42A</paraID>
      <start>16</start>
      <end>17</end>
      <status>unmodified</status>
      <modifiedWord/>
      <trackRevisions>false</trackRevisions>
    </reviewItem>
    <reviewItem>
      <errorID>e610fc93-c5ba-4bc7-8544-aaa93e615454</errorID>
      <errorWord>(</errorWord>
      <group>L1_Format</group>
      <groupName>格式问题</groupName>
      <ability>L2_HalfPunc_CN</ability>
      <abilityName>全半角检查</abilityName>
      <candidateList>
        <item>（</item>
      </candidateList>
      <explain>文本全半角错误。</explain>
      <paraID>1AF1BC9D</paraID>
      <start>7</start>
      <end>8</end>
      <status>unmodified</status>
      <modifiedWord/>
      <trackRevisions>false</trackRevisions>
    </reviewItem>
    <reviewItem>
      <errorID>6679f02b-5753-499c-afe9-3dbf7f3aea13</errorID>
      <errorWord>)</errorWord>
      <group>L1_Format</group>
      <groupName>格式问题</groupName>
      <ability>L2_HalfPunc_CN</ability>
      <abilityName>全半角检查</abilityName>
      <candidateList>
        <item>）</item>
      </candidateList>
      <explain>文本全半角错误。</explain>
      <paraID>1AF1BC9D</paraID>
      <start>10</start>
      <end>11</end>
      <status>unmodified</status>
      <modifiedWord/>
      <trackRevisions>false</trackRevisions>
    </reviewItem>
    <reviewItem>
      <errorID>d9f0af34-c8e5-465b-85a9-2911d03e25b1</errorID>
      <errorWord>(</errorWord>
      <group>L1_Format</group>
      <groupName>格式问题</groupName>
      <ability>L2_HalfPunc_CN</ability>
      <abilityName>全半角检查</abilityName>
      <candidateList>
        <item>（</item>
      </candidateList>
      <explain>文本全半角错误。</explain>
      <paraID>2248B059</paraID>
      <start>13</start>
      <end>14</end>
      <status>unmodified</status>
      <modifiedWord/>
      <trackRevisions>false</trackRevisions>
    </reviewItem>
    <reviewItem>
      <errorID>5fadf54e-00af-42d3-a211-059bcb8b18e1</errorID>
      <errorWord>)</errorWord>
      <group>L1_Format</group>
      <groupName>格式问题</groupName>
      <ability>L2_HalfPunc_CN</ability>
      <abilityName>全半角检查</abilityName>
      <candidateList>
        <item>）</item>
      </candidateList>
      <explain>文本全半角错误。</explain>
      <paraID>2248B059</paraID>
      <start>24</start>
      <end>25</end>
      <status>unmodified</status>
      <modifiedWord/>
      <trackRevisions>false</trackRevisions>
    </reviewItem>
    <reviewItem>
      <errorID>bc6e31c1-5ee9-49c9-a02c-b1d0467dbec0</errorID>
      <errorWord>(</errorWord>
      <group>L1_Format</group>
      <groupName>格式问题</groupName>
      <ability>L2_HalfPunc_CN</ability>
      <abilityName>全半角检查</abilityName>
      <candidateList>
        <item>（</item>
      </candidateList>
      <explain>文本全半角错误。</explain>
      <paraID>7A8C14EB</paraID>
      <start>38</start>
      <end>39</end>
      <status>unmodified</status>
      <modifiedWord/>
      <trackRevisions>false</trackRevisions>
    </reviewItem>
    <reviewItem>
      <errorID>dd88e139-12c4-4159-bb51-fe19fd3f24cb</errorID>
      <errorWord>)</errorWord>
      <group>L1_Format</group>
      <groupName>格式问题</groupName>
      <ability>L2_HalfPunc_CN</ability>
      <abilityName>全半角检查</abilityName>
      <candidateList>
        <item>）</item>
      </candidateList>
      <explain>文本全半角错误。</explain>
      <paraID>7A8C14EB</paraID>
      <start>44</start>
      <end>45</end>
      <status>unmodified</status>
      <modifiedWord/>
      <trackRevisions>false</trackRevisions>
    </reviewItem>
    <reviewItem>
      <errorID>b39dba6b-377c-49df-8b99-6f9c17f1a1f0</errorID>
      <errorWord>法律、法规</errorWord>
      <group>L1_Word</group>
      <groupName>字词问题</groupName>
      <ability>L2_Typo</ability>
      <abilityName>字词错误</abilityName>
      <candidateList>
        <item>法律法规</item>
      </candidateList>
      <explain/>
      <paraID>3303680E</paraID>
      <start>113</start>
      <end>118</end>
      <status>unmodified</status>
      <modifiedWord/>
      <trackRevisions>false</trackRevisions>
    </reviewItem>
    <reviewItem>
      <errorID>36393263-2c61-4da9-aaf2-ebdf872f59a1</errorID>
      <errorWord>(</errorWord>
      <group>L1_Format</group>
      <groupName>格式问题</groupName>
      <ability>L2_HalfPunc_CN</ability>
      <abilityName>全半角检查</abilityName>
      <candidateList>
        <item>（</item>
      </candidateList>
      <explain>文本全半角错误。</explain>
      <paraID>392CD885</paraID>
      <start>43</start>
      <end>44</end>
      <status>unmodified</status>
      <modifiedWord/>
      <trackRevisions>false</trackRevisions>
    </reviewItem>
    <reviewItem>
      <errorID>060b3e17-90c7-4b02-9a1c-549a5cb3e10d</errorID>
      <errorWord>)</errorWord>
      <group>L1_Format</group>
      <groupName>格式问题</groupName>
      <ability>L2_HalfPunc_CN</ability>
      <abilityName>全半角检查</abilityName>
      <candidateList>
        <item>）</item>
      </candidateList>
      <explain>文本全半角错误。</explain>
      <paraID>392CD885</paraID>
      <start>52</start>
      <end>53</end>
      <status>unmodified</status>
      <modifiedWord/>
      <trackRevisions>false</trackRevisions>
    </reviewItem>
    <reviewItem>
      <errorID>c856814f-0cc6-4238-bd5c-abf7554f5461</errorID>
      <errorWord>(</errorWord>
      <group>L1_Format</group>
      <groupName>格式问题</groupName>
      <ability>L2_HalfPunc_CN</ability>
      <abilityName>全半角检查</abilityName>
      <candidateList>
        <item>（</item>
      </candidateList>
      <explain>文本全半角错误。</explain>
      <paraID>17D193CA</paraID>
      <start>12</start>
      <end>13</end>
      <status>unmodified</status>
      <modifiedWord/>
      <trackRevisions>false</trackRevisions>
    </reviewItem>
    <reviewItem>
      <errorID>7adb5b38-ecc8-4489-bb2d-f32a1f724e80</errorID>
      <errorWord>)</errorWord>
      <group>L1_Format</group>
      <groupName>格式问题</groupName>
      <ability>L2_HalfPunc_CN</ability>
      <abilityName>全半角检查</abilityName>
      <candidateList>
        <item>）</item>
      </candidateList>
      <explain>文本全半角错误。</explain>
      <paraID>17D193CA</paraID>
      <start>18</start>
      <end>19</end>
      <status>unmodified</status>
      <modifiedWord/>
      <trackRevisions>false</trackRevisions>
    </reviewItem>
    <reviewItem>
      <errorID>0f5efc51-53ac-4373-af0e-9755de5aef77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339D2485</paraID>
      <start>0</start>
      <end>2</end>
      <status>unmodified</status>
      <modifiedWord/>
      <trackRevisions>false</trackRevisions>
    </reviewItem>
    <reviewItem>
      <errorID>b638f2b7-6974-4a7d-8f05-4a16aa3655a3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18112EA0</paraID>
      <start>0</start>
      <end>2</end>
      <status>unmodified</status>
      <modifiedWord/>
      <trackRevisions>false</trackRevisions>
    </reviewItem>
    <reviewItem>
      <errorID>2ec3dfd5-ec35-4f3d-9f46-56afd39f751b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51D8ACA1</paraID>
      <start>0</start>
      <end>2</end>
      <status>unmodified</status>
      <modifiedWord/>
      <trackRevisions>false</trackRevisions>
    </reviewItem>
    <reviewItem>
      <errorID>73a6bf8b-2410-4807-b8e4-28cc1c81d6dc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32B5D41E</paraID>
      <start>0</start>
      <end>2</end>
      <status>unmodified</status>
      <modifiedWord/>
      <trackRevisions>false</trackRevisions>
    </reviewItem>
    <reviewItem>
      <errorID>bebcdb3d-7577-46f9-8e3c-10a0245207c2</errorID>
      <errorWord>《政府采购法》</errorWord>
      <group>L1_Word</group>
      <groupName>字词问题</groupName>
      <ability>L2_Typo</ability>
      <abilityName>字词错误</abilityName>
      <candidateList>
        <item>《中华人民共和国政府采购法》</item>
      </candidateList>
      <explain/>
      <paraID>32B5D41E</paraID>
      <start>5</start>
      <end>12</end>
      <status>unmodified</status>
      <modifiedWord/>
      <trackRevisions>false</trackRevisions>
    </reviewItem>
    <reviewItem>
      <errorID>16bdfc5e-66d7-4aa0-8e9d-8935ed341246</errorID>
      <errorWord>(</errorWord>
      <group>L1_Format</group>
      <groupName>格式问题</groupName>
      <ability>L2_HalfPunc_CN</ability>
      <abilityName>全半角检查</abilityName>
      <candidateList>
        <item>（</item>
      </candidateList>
      <explain>文本全半角错误。</explain>
      <paraID>403EE045</paraID>
      <start>5</start>
      <end>6</end>
      <status>unmodified</status>
      <modifiedWord/>
      <trackRevisions>false</trackRevisions>
    </reviewItem>
    <reviewItem>
      <errorID>1091f20b-0459-4ae3-9c03-664b08beb47a</errorID>
      <errorWord>)</errorWord>
      <group>L1_Format</group>
      <groupName>格式问题</groupName>
      <ability>L2_HalfPunc_CN</ability>
      <abilityName>全半角检查</abilityName>
      <candidateList>
        <item>）</item>
      </candidateList>
      <explain>文本全半角错误。</explain>
      <paraID>403EE045</paraID>
      <start>11</start>
      <end>12</end>
      <status>unmodified</status>
      <modifiedWord/>
      <trackRevisions>false</trackRevisions>
    </reviewItem>
    <reviewItem>
      <errorID>610cb98d-7bfe-493b-bb25-7ae45e313b8a</errorID>
      <errorWord>(</errorWord>
      <group>L1_Format</group>
      <groupName>格式问题</groupName>
      <ability>L2_HalfPunc_CN</ability>
      <abilityName>全半角检查</abilityName>
      <candidateList>
        <item>（</item>
      </candidateList>
      <explain>文本全半角错误。</explain>
      <paraID>4D773B97</paraID>
      <start>6</start>
      <end>7</end>
      <status>unmodified</status>
      <modifiedWord/>
      <trackRevisions>false</trackRevisions>
    </reviewItem>
    <reviewItem>
      <errorID>0dcef47b-0560-4c39-a405-e694a2f4a4a5</errorID>
      <errorWord>)</errorWord>
      <group>L1_Format</group>
      <groupName>格式问题</groupName>
      <ability>L2_HalfPunc_CN</ability>
      <abilityName>全半角检查</abilityName>
      <candidateList>
        <item>）</item>
      </candidateList>
      <explain>文本全半角错误。</explain>
      <paraID>4D773B97</paraID>
      <start>12</start>
      <end>13</end>
      <status>unmodified</status>
      <modifiedWord/>
      <trackRevisions>false</trackRevisions>
    </reviewItem>
    <reviewItem>
      <errorID>5a34ecce-a26e-43c6-b3ce-efad9ad4aaa2</errorID>
      <errorWord>(</errorWord>
      <group>L1_Format</group>
      <groupName>格式问题</groupName>
      <ability>L2_HalfPunc_CN</ability>
      <abilityName>全半角检查</abilityName>
      <candidateList>
        <item>（</item>
      </candidateList>
      <explain>文本全半角错误。</explain>
      <paraID>4D773B97</paraID>
      <start>30</start>
      <end>31</end>
      <status>unmodified</status>
      <modifiedWord/>
      <trackRevisions>false</trackRevisions>
    </reviewItem>
    <reviewItem>
      <errorID>0c0bddf0-a026-42b0-ba7a-de7e0475065e</errorID>
      <errorWord>)</errorWord>
      <group>L1_Format</group>
      <groupName>格式问题</groupName>
      <ability>L2_HalfPunc_CN</ability>
      <abilityName>全半角检查</abilityName>
      <candidateList>
        <item>）</item>
      </candidateList>
      <explain>文本全半角错误。</explain>
      <paraID>4D773B97</paraID>
      <start>36</start>
      <end>37</end>
      <status>unmodified</status>
      <modifiedWord/>
      <trackRevisions>false</trackRevisions>
    </reviewItem>
    <reviewItem>
      <errorID>f82fc829-d266-4d6f-ab43-6fb78e623e83</errorID>
      <errorWord>(</errorWord>
      <group>L1_Format</group>
      <groupName>格式问题</groupName>
      <ability>L2_HalfPunc_CN</ability>
      <abilityName>全半角检查</abilityName>
      <candidateList>
        <item>（</item>
      </candidateList>
      <explain>文本全半角错误。</explain>
      <paraID>5C6F24CA</paraID>
      <start>24</start>
      <end>25</end>
      <status>unmodified</status>
      <modifiedWord/>
      <trackRevisions>false</trackRevisions>
    </reviewItem>
    <reviewItem>
      <errorID>a2f13890-ea9a-4f07-b1cd-130a6d156e76</errorID>
      <errorWord>)</errorWord>
      <group>L1_Format</group>
      <groupName>格式问题</groupName>
      <ability>L2_HalfPunc_CN</ability>
      <abilityName>全半角检查</abilityName>
      <candidateList>
        <item>）</item>
      </candidateList>
      <explain>文本全半角错误。</explain>
      <paraID>5C6F24CA</paraID>
      <start>27</start>
      <end>28</end>
      <status>unmodified</status>
      <modifiedWord/>
      <trackRevisions>false</trackRevisions>
    </reviewItem>
    <reviewItem>
      <errorID>6be19a84-bb2a-4a8b-9fa1-05b4e1d9c461</errorID>
      <errorWord>(</errorWord>
      <group>L1_Format</group>
      <groupName>格式问题</groupName>
      <ability>L2_HalfPunc_CN</ability>
      <abilityName>全半角检查</abilityName>
      <candidateList>
        <item>（</item>
      </candidateList>
      <explain>文本全半角错误。</explain>
      <paraID>17463B49</paraID>
      <start>16</start>
      <end>17</end>
      <status>unmodified</status>
      <modifiedWord/>
      <trackRevisions>false</trackRevisions>
    </reviewItem>
    <reviewItem>
      <errorID>b27db694-3e60-4b28-a5ef-e2348867e275</errorID>
      <errorWord>)</errorWord>
      <group>L1_Format</group>
      <groupName>格式问题</groupName>
      <ability>L2_HalfPunc_CN</ability>
      <abilityName>全半角检查</abilityName>
      <candidateList>
        <item>）</item>
      </candidateList>
      <explain>文本全半角错误。</explain>
      <paraID>17463B49</paraID>
      <start>19</start>
      <end>20</end>
      <status>unmodified</status>
      <modifiedWord/>
      <trackRevisions>false</trackRevisions>
    </reviewItem>
    <reviewItem>
      <errorID>d63c3d88-a82a-4640-adab-6da8efb733c9</errorID>
      <errorWord>,</errorWord>
      <group>L1_Format</group>
      <groupName>格式问题</groupName>
      <ability>L2_HalfPunc_CN</ability>
      <abilityName>全半角检查</abilityName>
      <candidateList>
        <item>，</item>
      </candidateList>
      <explain>文本全半角错误。</explain>
      <paraID>16C9B291</paraID>
      <start>46</start>
      <end>47</end>
      <status>unmodified</status>
      <modifiedWord/>
      <trackRevisions>false</trackRevisions>
    </reviewItem>
    <reviewItem>
      <errorID>47636953-ec33-4eaf-8caf-33d0d777a560</errorID>
      <errorWord>,</errorWord>
      <group>L1_Format</group>
      <groupName>格式问题</groupName>
      <ability>L2_HalfPunc_CN</ability>
      <abilityName>全半角检查</abilityName>
      <candidateList>
        <item>，</item>
      </candidateList>
      <explain>文本全半角错误。</explain>
      <paraID>16C9B291</paraID>
      <start>64</start>
      <end>65</end>
      <status>unmodified</status>
      <modifiedWord/>
      <trackRevisions>false</trackRevisions>
    </reviewItem>
    <reviewItem>
      <errorID>5dd0762f-c440-4f5c-b63d-cd492416590f</errorID>
      <errorWord>,</errorWord>
      <group>L1_Format</group>
      <groupName>格式问题</groupName>
      <ability>L2_HalfPunc_CN</ability>
      <abilityName>全半角检查</abilityName>
      <candidateList>
        <item>，</item>
      </candidateList>
      <explain>文本全半角错误。</explain>
      <paraID>16C9B291</paraID>
      <start>76</start>
      <end>77</end>
      <status>unmodified</status>
      <modifiedWord/>
      <trackRevisions>false</trackRevisions>
    </reviewItem>
    <reviewItem>
      <errorID>0e118d9e-2fc5-4e0a-a4d6-e94972f16cb2</errorID>
      <errorWord>(</errorWord>
      <group>L1_Format</group>
      <groupName>格式问题</groupName>
      <ability>L2_HalfPunc_CN</ability>
      <abilityName>全半角检查</abilityName>
      <candidateList>
        <item>（</item>
      </candidateList>
      <explain>文本全半角错误。</explain>
      <paraID>7742D2F6</paraID>
      <start>21</start>
      <end>22</end>
      <status>unmodified</status>
      <modifiedWord/>
      <trackRevisions>false</trackRevisions>
    </reviewItem>
    <reviewItem>
      <errorID>7616d8cb-a20e-4b0d-89aa-ec3eae5236c6</errorID>
      <errorWord>),</errorWord>
      <group>L1_Format</group>
      <groupName>格式问题</groupName>
      <ability>L2_HalfPunc_CN</ability>
      <abilityName>全半角检查</abilityName>
      <candidateList>
        <item>），</item>
      </candidateList>
      <explain>文本全半角错误。</explain>
      <paraID>7742D2F6</paraID>
      <start>34</start>
      <end>36</end>
      <status>unmodified</status>
      <modifiedWord/>
      <trackRevisions>false</trackRevisions>
    </reviewItem>
    <reviewItem>
      <errorID>64017f4b-c43b-4673-bef3-152296b0c427</errorID>
      <errorWord>:</errorWord>
      <group>L1_Format</group>
      <groupName>格式问题</groupName>
      <ability>L2_HalfPunc_CN</ability>
      <abilityName>全半角检查</abilityName>
      <candidateList>
        <item>：</item>
      </candidateList>
      <explain>文本全半角错误。</explain>
      <paraID>7742D2F6</paraID>
      <start>44</start>
      <end>45</end>
      <status>unmodified</status>
      <modifiedWord/>
      <trackRevisions>false</trackRevisions>
    </reviewItem>
    <reviewItem>
      <errorID>10ac08d5-292a-4945-a09d-3b355823013a</errorID>
      <errorWord>,</errorWord>
      <group>L1_Format</group>
      <groupName>格式问题</groupName>
      <ability>L2_HalfPunc_CN</ability>
      <abilityName>全半角检查</abilityName>
      <candidateList>
        <item>，</item>
      </candidateList>
      <explain>文本全半角错误。</explain>
      <paraID>17968584</paraID>
      <start>19</start>
      <end>20</end>
      <status>unmodified</status>
      <modifiedWord/>
      <trackRevisions>false</trackRevisions>
    </reviewItem>
    <reviewItem>
      <errorID>f69245d4-6c0c-4f10-ba86-e98afa9bb3d6</errorID>
      <errorWord>(</errorWord>
      <group>L1_Format</group>
      <groupName>格式问题</groupName>
      <ability>L2_HalfPunc_CN</ability>
      <abilityName>全半角检查</abilityName>
      <candidateList>
        <item>（</item>
      </candidateList>
      <explain>文本全半角错误。</explain>
      <paraID>17968584</paraID>
      <start>40</start>
      <end>41</end>
      <status>unmodified</status>
      <modifiedWord/>
      <trackRevisions>false</trackRevisions>
    </reviewItem>
    <reviewItem>
      <errorID>4fa141b1-6f01-49d6-ab89-421210e1e879</errorID>
      <errorWord>),</errorWord>
      <group>L1_Format</group>
      <groupName>格式问题</groupName>
      <ability>L2_HalfPunc_CN</ability>
      <abilityName>全半角检查</abilityName>
      <candidateList>
        <item>），</item>
      </candidateList>
      <explain>文本全半角错误。</explain>
      <paraID>17968584</paraID>
      <start>55</start>
      <end>57</end>
      <status>unmodified</status>
      <modifiedWord/>
      <trackRevisions>false</trackRevisions>
    </reviewItem>
    <reviewItem>
      <errorID>8331f31d-78f3-4ff7-8204-698e6bd77c7b</errorID>
      <errorWord>,</errorWord>
      <group>L1_Format</group>
      <groupName>格式问题</groupName>
      <ability>L2_HalfPunc_CN</ability>
      <abilityName>全半角检查</abilityName>
      <candidateList>
        <item>，</item>
      </candidateList>
      <explain>文本全半角错误。</explain>
      <paraID>17968584</paraID>
      <start>62</start>
      <end>63</end>
      <status>unmodified</status>
      <modifiedWord/>
      <trackRevisions>false</trackRevisions>
    </reviewItem>
    <reviewItem>
      <errorID>15316f6d-c112-4ec1-b8c4-384e655b32bb</errorID>
      <errorWord>证</errorWord>
      <group>L1_Word</group>
      <groupName>字词问题</groupName>
      <ability>L2_Typo</ability>
      <abilityName>字词错误</abilityName>
      <candidateList>
        <item>证金</item>
      </candidateList>
      <explain/>
      <paraID>17968584</paraID>
      <start>73</start>
      <end>74</end>
      <status>unmodified</status>
      <modifiedWord/>
      <trackRevisions>false</trackRevisions>
    </reviewItem>
    <reviewItem>
      <errorID>816a14e8-4195-4dfc-925a-e8d1f7d68296</errorID>
      <errorWord>(</errorWord>
      <group>L1_Format</group>
      <groupName>格式问题</groupName>
      <ability>L2_HalfPunc_CN</ability>
      <abilityName>全半角检查</abilityName>
      <candidateList>
        <item>（</item>
      </candidateList>
      <explain>文本全半角错误。</explain>
      <paraID>17968584</paraID>
      <start>78</start>
      <end>79</end>
      <status>unmodified</status>
      <modifiedWord/>
      <trackRevisions>false</trackRevisions>
    </reviewItem>
    <reviewItem>
      <errorID>d8f93929-2178-4bb0-aea4-03493fecb1b9</errorID>
      <errorWord>)</errorWord>
      <group>L1_Format</group>
      <groupName>格式问题</groupName>
      <ability>L2_HalfPunc_CN</ability>
      <abilityName>全半角检查</abilityName>
      <candidateList>
        <item>）</item>
      </candidateList>
      <explain>文本全半角错误。</explain>
      <paraID>17968584</paraID>
      <start>95</start>
      <end>96</end>
      <status>unmodified</status>
      <modifiedWord/>
      <trackRevisions>false</trackRevisions>
    </reviewItem>
    <reviewItem>
      <errorID>5294ddd1-52d2-46cb-ae9b-d8f007c6cf2b</errorID>
      <errorWord>(</errorWord>
      <group>L1_Format</group>
      <groupName>格式问题</groupName>
      <ability>L2_HalfPunc_CN</ability>
      <abilityName>全半角检查</abilityName>
      <candidateList>
        <item>（</item>
      </candidateList>
      <explain>文本全半角错误。</explain>
      <paraID>5874CF10</paraID>
      <start>2</start>
      <end>3</end>
      <status>unmodified</status>
      <modifiedWord/>
      <trackRevisions>false</trackRevisions>
    </reviewItem>
    <reviewItem>
      <errorID>7e51b85f-b5a4-41ce-8819-7ccf7874ba69</errorID>
      <errorWord>)</errorWord>
      <group>L1_Format</group>
      <groupName>格式问题</groupName>
      <ability>L2_HalfPunc_CN</ability>
      <abilityName>全半角检查</abilityName>
      <candidateList>
        <item>）</item>
      </candidateList>
      <explain>文本全半角错误。</explain>
      <paraID>5874CF10</paraID>
      <start>5</start>
      <end>6</end>
      <status>unmodified</status>
      <modifiedWord/>
      <trackRevisions>false</trackRevisions>
    </reviewItem>
    <reviewItem>
      <errorID>7314bfcd-ced3-41a4-a48b-07512020a793</errorID>
      <errorWord>(</errorWord>
      <group>L1_Format</group>
      <groupName>格式问题</groupName>
      <ability>L2_HalfPunc_CN</ability>
      <abilityName>全半角检查</abilityName>
      <candidateList>
        <item>（</item>
      </candidateList>
      <explain>文本全半角错误。</explain>
      <paraID>5874CF10</paraID>
      <start>8</start>
      <end>9</end>
      <status>unmodified</status>
      <modifiedWord/>
      <trackRevisions>false</trackRevisions>
    </reviewItem>
    <reviewItem>
      <errorID>5ab7f760-6488-46f7-8cb1-031b0aad1cfd</errorID>
      <errorWord>)</errorWord>
      <group>L1_Format</group>
      <groupName>格式问题</groupName>
      <ability>L2_HalfPunc_CN</ability>
      <abilityName>全半角检查</abilityName>
      <candidateList>
        <item>）</item>
      </candidateList>
      <explain>文本全半角错误。</explain>
      <paraID>5874CF10</paraID>
      <start>11</start>
      <end>12</end>
      <status>unmodified</status>
      <modifiedWord/>
      <trackRevisions>false</trackRevisions>
    </reviewItem>
    <reviewItem>
      <errorID>c8e28023-4124-43ed-a1ed-490e4740406e</errorID>
      <errorWord>(</errorWord>
      <group>L1_Format</group>
      <groupName>格式问题</groupName>
      <ability>L2_HalfPunc_CN</ability>
      <abilityName>全半角检查</abilityName>
      <candidateList>
        <item>（</item>
      </candidateList>
      <explain>文本全半角错误。</explain>
      <paraID>33D2E937</paraID>
      <start>43</start>
      <end>44</end>
      <status>unmodified</status>
      <modifiedWord/>
      <trackRevisions>false</trackRevisions>
    </reviewItem>
    <reviewItem>
      <errorID>539ab528-fa8a-4657-b0df-c4751b275954</errorID>
      <errorWord>)</errorWord>
      <group>L1_Format</group>
      <groupName>格式问题</groupName>
      <ability>L2_HalfPunc_CN</ability>
      <abilityName>全半角检查</abilityName>
      <candidateList>
        <item>）</item>
      </candidateList>
      <explain>文本全半角错误。</explain>
      <paraID>33D2E937</paraID>
      <start>47</start>
      <end>48</end>
      <status>unmodified</status>
      <modifiedWord/>
      <trackRevisions>false</trackRevisions>
    </reviewItem>
    <reviewItem>
      <errorID>01cb9726-ec4f-4e50-9055-34912bb14323</errorID>
      <errorWord>(</errorWord>
      <group>L1_Format</group>
      <groupName>格式问题</groupName>
      <ability>L2_HalfPunc_CN</ability>
      <abilityName>全半角检查</abilityName>
      <candidateList>
        <item>（</item>
      </candidateList>
      <explain>文本全半角错误。</explain>
      <paraID>33D2E937</paraID>
      <start>50</start>
      <end>51</end>
      <status>unmodified</status>
      <modifiedWord/>
      <trackRevisions>false</trackRevisions>
    </reviewItem>
    <reviewItem>
      <errorID>cce12864-5b55-4b8e-b9a8-68fe5875148a</errorID>
      <errorWord>)</errorWord>
      <group>L1_Format</group>
      <groupName>格式问题</groupName>
      <ability>L2_HalfPunc_CN</ability>
      <abilityName>全半角检查</abilityName>
      <candidateList>
        <item>）</item>
      </candidateList>
      <explain>文本全半角错误。</explain>
      <paraID>33D2E937</paraID>
      <start>53</start>
      <end>54</end>
      <status>unmodified</status>
      <modifiedWord/>
      <trackRevisions>false</trackRevisions>
    </reviewItem>
    <reviewItem>
      <errorID>c53f93e2-551c-428b-844c-40eda92bc30a</errorID>
      <errorWord>:</errorWord>
      <group>L1_Format</group>
      <groupName>格式问题</groupName>
      <ability>L2_HalfPunc_CN</ability>
      <abilityName>全半角检查</abilityName>
      <candidateList>
        <item>：</item>
      </candidateList>
      <explain>文本全半角错误。</explain>
      <paraID>33D2E937</paraID>
      <start>63</start>
      <end>64</end>
      <status>unmodified</status>
      <modifiedWord/>
      <trackRevisions>false</trackRevisions>
    </reviewItem>
    <reviewItem>
      <errorID>33f6f82b-bd9a-4041-b273-72af40751309</errorID>
      <errorWord>(</errorWord>
      <group>L1_Format</group>
      <groupName>格式问题</groupName>
      <ability>L2_HalfPunc_CN</ability>
      <abilityName>全半角检查</abilityName>
      <candidateList>
        <item>（</item>
      </candidateList>
      <explain>文本全半角错误。</explain>
      <paraID> E6E77B6</paraID>
      <start>7</start>
      <end>8</end>
      <status>unmodified</status>
      <modifiedWord/>
      <trackRevisions>false</trackRevisions>
    </reviewItem>
    <reviewItem>
      <errorID>072fc090-018a-42d1-a8ce-dd4fac95e35e</errorID>
      <errorWord>)</errorWord>
      <group>L1_Format</group>
      <groupName>格式问题</groupName>
      <ability>L2_HalfPunc_CN</ability>
      <abilityName>全半角检查</abilityName>
      <candidateList>
        <item>）</item>
      </candidateList>
      <explain>文本全半角错误。</explain>
      <paraID> E6E77B6</paraID>
      <start>10</start>
      <end>11</end>
      <status>unmodified</status>
      <modifiedWord/>
      <trackRevisions>false</trackRevisions>
    </reviewItem>
    <reviewItem>
      <errorID>6660d79a-b968-4383-9e3c-258cd918ad99</errorID>
      <errorWord>:</errorWord>
      <group>L1_Format</group>
      <groupName>格式问题</groupName>
      <ability>L2_HalfPunc_CN</ability>
      <abilityName>全半角检查</abilityName>
      <candidateList>
        <item>：</item>
      </candidateList>
      <explain>文本全半角错误。</explain>
      <paraID> E6E77B6</paraID>
      <start>20</start>
      <end>21</end>
      <status>unmodified</status>
      <modifiedWord/>
      <trackRevisions>false</trackRevisions>
    </reviewItem>
    <reviewItem>
      <errorID>2b2c8518-9c81-41c5-a44a-f48d8e54bd9a</errorID>
      <errorWord>:</errorWord>
      <group>L1_Format</group>
      <groupName>格式问题</groupName>
      <ability>L2_HalfPunc_CN</ability>
      <abilityName>全半角检查</abilityName>
      <candidateList>
        <item>：</item>
      </candidateList>
      <explain>文本全半角错误。</explain>
      <paraID>2D864DCB</paraID>
      <start>6</start>
      <end>7</end>
      <status>unmodified</status>
      <modifiedWord/>
      <trackRevisions>false</trackRevisions>
    </reviewItem>
    <reviewItem>
      <errorID>c4da9a08-83c8-4e2f-ae62-b65cf2170d83</errorID>
      <errorWord>:</errorWord>
      <group>L1_Format</group>
      <groupName>格式问题</groupName>
      <ability>L2_HalfPunc_CN</ability>
      <abilityName>全半角检查</abilityName>
      <candidateList>
        <item>：</item>
      </candidateList>
      <explain>文本全半角错误。</explain>
      <paraID> 44DC135</paraID>
      <start>8</start>
      <end>9</end>
      <status>unmodified</status>
      <modifiedWord/>
      <trackRevisions>false</trackRevisions>
    </reviewItem>
    <reviewItem>
      <errorID>f6cb1460-df5f-46ea-b348-cd40b5e4b5b8</errorID>
      <errorWord>:</errorWord>
      <group>L1_Format</group>
      <groupName>格式问题</groupName>
      <ability>L2_HalfPunc_CN</ability>
      <abilityName>全半角检查</abilityName>
      <candidateList>
        <item>：</item>
      </candidateList>
      <explain>文本全半角错误。</explain>
      <paraID>76CA07D4</paraID>
      <start>6</start>
      <end>7</end>
      <status>unmodified</status>
      <modifiedWord/>
      <trackRevisions>false</trackRevisions>
    </reviewItem>
    <reviewItem>
      <errorID>5d2a5eaf-18ac-422a-ac73-d9e810f0bf52</errorID>
      <errorWord>(</errorWord>
      <group>L1_Format</group>
      <groupName>格式问题</groupName>
      <ability>L2_HalfPunc_CN</ability>
      <abilityName>全半角检查</abilityName>
      <candidateList>
        <item>（</item>
      </candidateList>
      <explain>文本全半角错误。</explain>
      <paraID> 14C1F60</paraID>
      <start>7</start>
      <end>8</end>
      <status>unmodified</status>
      <modifiedWord/>
      <trackRevisions>false</trackRevisions>
    </reviewItem>
    <reviewItem>
      <errorID>7b056fe8-32da-4f99-953e-b62869b93ade</errorID>
      <errorWord>)</errorWord>
      <group>L1_Format</group>
      <groupName>格式问题</groupName>
      <ability>L2_HalfPunc_CN</ability>
      <abilityName>全半角检查</abilityName>
      <candidateList>
        <item>）</item>
      </candidateList>
      <explain>文本全半角错误。</explain>
      <paraID> 14C1F60</paraID>
      <start>13</start>
      <end>14</end>
      <status>unmodified</status>
      <modifiedWord/>
      <trackRevisions>false</trackRevisions>
    </reviewItem>
    <reviewItem>
      <errorID>805782aa-1993-4833-965c-95bbcc201f4e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C9E8E72</paraID>
      <start>0</start>
      <end>2</end>
      <status>unmodified</status>
      <modifiedWord/>
      <trackRevisions>false</trackRevisions>
    </reviewItem>
    <reviewItem>
      <errorID>a3c75d77-857c-432b-a18c-f19e8ed83628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38103F27</paraID>
      <start>0</start>
      <end>2</end>
      <status>unmodified</status>
      <modifiedWord/>
      <trackRevisions>false</trackRevisions>
    </reviewItem>
    <reviewItem>
      <errorID>8d982952-4d93-46d3-ad4e-4e82c9f1f299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77BFCED</paraID>
      <start>0</start>
      <end>2</end>
      <status>unmodified</status>
      <modifiedWord/>
      <trackRevisions>false</trackRevisions>
    </reviewItem>
    <reviewItem>
      <errorID>7ab9f48a-b417-4125-aaad-a7d45e2a8217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214E2A24</paraID>
      <start>0</start>
      <end>2</end>
      <status>unmodified</status>
      <modifiedWord/>
      <trackRevisions>false</trackRevisions>
    </reviewItem>
    <reviewItem>
      <errorID>13c22946-11e2-4d96-923f-84afa3d3e6cb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51C23A70</paraID>
      <start>0</start>
      <end>2</end>
      <status>unmodified</status>
      <modifiedWord/>
      <trackRevisions>false</trackRevisions>
    </reviewItem>
    <reviewItem>
      <errorID>088a69dc-1a7f-464a-bb1a-51e8c3b8fa09</errorID>
      <errorWord>赠与</errorWord>
      <group>L1_Word</group>
      <groupName>字词问题</groupName>
      <ability>L2_Alias</ability>
      <abilityName>也作/曾用词</abilityName>
      <candidateList>
        <item>赠予</item>
      </candidateList>
      <explain>词汇[赠与]为不规范表述或旧称，其规范书面表述为[赠予]。</explain>
      <paraID>2EEFE713</paraID>
      <start>12</start>
      <end>14</end>
      <status>unmodified</status>
      <modifiedWord/>
      <trackRevisions>false</trackRevisions>
    </reviewItem>
    <reviewItem>
      <errorID>e2a1e852-744f-40a1-90dc-1b1835e737c4</errorID>
      <errorWord>:</errorWord>
      <group>L1_Format</group>
      <groupName>格式问题</groupName>
      <ability>L2_HalfPunc_CN</ability>
      <abilityName>全半角检查</abilityName>
      <candidateList>
        <item>：</item>
      </candidateList>
      <explain>文本全半角错误。</explain>
      <paraID>25336AFF</paraID>
      <start>8</start>
      <end>9</end>
      <status>unmodified</status>
      <modifiedWord/>
      <trackRevisions>false</trackRevisions>
    </reviewItem>
    <reviewItem>
      <errorID>7bec20ec-76f3-45f8-896a-db020895e3e9</errorID>
      <errorWord>:</errorWord>
      <group>L1_Format</group>
      <groupName>格式问题</groupName>
      <ability>L2_HalfPunc_CN</ability>
      <abilityName>全半角检查</abilityName>
      <candidateList>
        <item>：</item>
      </candidateList>
      <explain>文本全半角错误。</explain>
      <paraID>5EF403F2</paraID>
      <start>8</start>
      <end>9</end>
      <status>unmodified</status>
      <modifiedWord/>
      <trackRevisions>false</trackRevisions>
    </reviewItem>
    <reviewItem>
      <errorID>7d5e6955-241f-4809-a67a-8bcf4cd8d008</errorID>
      <errorWord>予以考虑</errorWord>
      <group>L1_Word</group>
      <groupName>字词问题</groupName>
      <ability>L2_Typo</ability>
      <abilityName>字词错误</abilityName>
      <candidateList>
        <item>予考虑</item>
      </candidateList>
      <explain/>
      <paraID>2440B932</paraID>
      <start>43</start>
      <end>47</end>
      <status>unmodified</status>
      <modifiedWord/>
      <trackRevisions>false</trackRevisions>
    </reviewItem>
    <reviewItem>
      <errorID>0b3ff056-f147-4f01-8f7b-09b2487e4d82</errorID>
      <errorWord>(</errorWord>
      <group>L1_Format</group>
      <groupName>格式问题</groupName>
      <ability>L2_HalfPunc_CN</ability>
      <abilityName>全半角检查</abilityName>
      <candidateList>
        <item>（</item>
      </candidateList>
      <explain>文本全半角错误。</explain>
      <paraID>6C4C4575</paraID>
      <start>0</start>
      <end>1</end>
      <status>unmodified</status>
      <modifiedWord/>
      <trackRevisions>false</trackRevisions>
    </reviewItem>
    <reviewItem>
      <errorID>4ed78fee-dcfd-4b40-8062-7cd285b8134b</errorID>
      <errorWord>)</errorWord>
      <group>L1_Format</group>
      <groupName>格式问题</groupName>
      <ability>L2_HalfPunc_CN</ability>
      <abilityName>全半角检查</abilityName>
      <candidateList>
        <item>）</item>
      </candidateList>
      <explain>文本全半角错误。</explain>
      <paraID>6C4C4575</paraID>
      <start>13</start>
      <end>14</end>
      <status>unmodified</status>
      <modifiedWord/>
      <trackRevisions>false</trackRevisions>
    </reviewItem>
    <reviewItem>
      <errorID>1b013cd6-9453-4407-ba07-81bff32e511d</errorID>
      <errorWord>(</errorWord>
      <group>L1_Format</group>
      <groupName>格式问题</groupName>
      <ability>L2_HalfPunc_CN</ability>
      <abilityName>全半角检查</abilityName>
      <candidateList>
        <item>（</item>
      </candidateList>
      <explain>文本全半角错误。</explain>
      <paraID> E2AAE15</paraID>
      <start>32</start>
      <end>33</end>
      <status>unmodified</status>
      <modifiedWord/>
      <trackRevisions>false</trackRevisions>
    </reviewItem>
    <reviewItem>
      <errorID>988fd5fa-4de1-45a1-a0bc-4372cc002bdc</errorID>
      <errorWord>)</errorWord>
      <group>L1_Format</group>
      <groupName>格式问题</groupName>
      <ability>L2_HalfPunc_CN</ability>
      <abilityName>全半角检查</abilityName>
      <candidateList>
        <item>）</item>
      </candidateList>
      <explain>文本全半角错误。</explain>
      <paraID> E2AAE15</paraID>
      <start>44</start>
      <end>45</end>
      <status>unmodified</status>
      <modifiedWord/>
      <trackRevisions>false</trackRevisions>
    </reviewItem>
    <reviewItem>
      <errorID>718bcbf1-d5b8-42fe-8e9b-fd173de80bd9</errorID>
      <errorWord>(</errorWord>
      <group>L1_Format</group>
      <groupName>格式问题</groupName>
      <ability>L2_HalfPunc_CN</ability>
      <abilityName>全半角检查</abilityName>
      <candidateList>
        <item>（</item>
      </candidateList>
      <explain>文本全半角错误。</explain>
      <paraID>634B12C5</paraID>
      <start>0</start>
      <end>1</end>
      <status>unmodified</status>
      <modifiedWord/>
      <trackRevisions>false</trackRevisions>
    </reviewItem>
    <reviewItem>
      <errorID>063370fd-5401-4af0-b7f4-6a64e5941ef4</errorID>
      <errorWord>)</errorWord>
      <group>L1_Format</group>
      <groupName>格式问题</groupName>
      <ability>L2_HalfPunc_CN</ability>
      <abilityName>全半角检查</abilityName>
      <candidateList>
        <item>）</item>
      </candidateList>
      <explain>文本全半角错误。</explain>
      <paraID>634B12C5</paraID>
      <start>21</start>
      <end>22</end>
      <status>unmodified</status>
      <modifiedWord/>
      <trackRevisions>false</trackRevisions>
    </reviewItem>
    <reviewItem>
      <errorID>8e7700df-d567-494b-bd9a-3ed30c2a0701</errorID>
      <errorWord>须</errorWord>
      <group>L1_Word</group>
      <groupName>字词问题</groupName>
      <ability>L2_Typo</ability>
      <abilityName>字词错误</abilityName>
      <candidateList>
        <item>需</item>
      </candidateList>
      <explain>存在发音相同字词的误用。</explain>
      <paraID>6DC46631</paraID>
      <start>77</start>
      <end>78</end>
      <status>unmodified</status>
      <modifiedWord/>
      <trackRevisions>false</trackRevisions>
    </reviewItem>
    <reviewItem>
      <errorID>7b25d60a-fe0a-403b-abc3-1488d2842ad0</errorID>
      <errorWord>予以考虑</errorWord>
      <group>L1_Word</group>
      <groupName>字词问题</groupName>
      <ability>L2_Typo</ability>
      <abilityName>字词错误</abilityName>
      <candidateList>
        <item>予考虑</item>
      </candidateList>
      <explain/>
      <paraID>4E45E31E</paraID>
      <start>67</start>
      <end>71</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0666b09-1f05-4bd7-9914-d77fbc31f6f3}">
  <ds:schemaRefs/>
</ds:datastoreItem>
</file>

<file path=docProps/app.xml><?xml version="1.0" encoding="utf-8"?>
<Properties xmlns="http://schemas.openxmlformats.org/officeDocument/2006/extended-properties" xmlns:vt="http://schemas.openxmlformats.org/officeDocument/2006/docPropsVTypes">
  <Template>Normal.dotm</Template>
  <Pages>130</Pages>
  <Words>29301</Words>
  <Characters>31275</Characters>
  <Lines>0</Lines>
  <Paragraphs>0</Paragraphs>
  <TotalTime>14</TotalTime>
  <ScaleCrop>false</ScaleCrop>
  <LinksUpToDate>false</LinksUpToDate>
  <CharactersWithSpaces>32814</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2025-09-26T06:20:00Z</dcterms:created>
  <dc:creator>Administrator</dc:creator>
  <cp:lastModifiedBy>Administrator</cp:lastModifiedBy>
  <cp:lastPrinted>2025-12-11T06:22:00Z</cp:lastPrinted>
  <dcterms:modified xsi:type="dcterms:W3CDTF">2026-07-02T06:12:41Z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KSOTemplateDocerSaveRecord">
    <vt:lpwstr>eyJoZGlkIjoiNmU2MWViNDgxNWU2MjQ4Y2EzZmU5M2I1OTVjYTRjODkiLCJ1c2VySWQiOiIxNDMxODU5MTIyIn0=</vt:lpwstr>
  </property>
  <property fmtid="{D5CDD505-2E9C-101B-9397-08002B2CF9AE}" pid="4" name="ICV">
    <vt:lpwstr>3C0CEA5EEAFC48C29AC5309D411D6D5C_13</vt:lpwstr>
  </property>
</Properties>
</file>