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036DE3">
      <w:pPr>
        <w:pStyle w:val="24"/>
        <w:adjustRightInd w:val="0"/>
        <w:snapToGrid w:val="0"/>
        <w:spacing w:line="240" w:lineRule="atLeast"/>
        <w:jc w:val="left"/>
        <w:rPr>
          <w:rFonts w:hAnsi="宋体"/>
          <w:color w:val="auto"/>
          <w:sz w:val="21"/>
          <w:highlight w:val="none"/>
        </w:rPr>
      </w:pPr>
    </w:p>
    <w:p w14:paraId="7C94637C">
      <w:pPr>
        <w:pStyle w:val="24"/>
        <w:adjustRightInd w:val="0"/>
        <w:snapToGrid w:val="0"/>
        <w:spacing w:line="240" w:lineRule="atLeast"/>
        <w:rPr>
          <w:rFonts w:hAnsi="宋体"/>
          <w:color w:val="auto"/>
          <w:sz w:val="44"/>
          <w:highlight w:val="none"/>
        </w:rPr>
      </w:pPr>
    </w:p>
    <w:p w14:paraId="0681F61B">
      <w:pPr>
        <w:pStyle w:val="24"/>
        <w:adjustRightInd w:val="0"/>
        <w:snapToGrid w:val="0"/>
        <w:spacing w:line="240" w:lineRule="atLeast"/>
        <w:rPr>
          <w:rFonts w:hAnsi="宋体"/>
          <w:color w:val="auto"/>
          <w:sz w:val="21"/>
          <w:highlight w:val="none"/>
        </w:rPr>
      </w:pPr>
    </w:p>
    <w:p w14:paraId="2C366B13">
      <w:pPr>
        <w:pStyle w:val="24"/>
        <w:adjustRightInd w:val="0"/>
        <w:snapToGrid w:val="0"/>
        <w:spacing w:line="240" w:lineRule="atLeast"/>
        <w:rPr>
          <w:rFonts w:hAnsi="宋体"/>
          <w:color w:val="auto"/>
          <w:sz w:val="21"/>
          <w:highlight w:val="none"/>
        </w:rPr>
      </w:pPr>
    </w:p>
    <w:p w14:paraId="61655EF6">
      <w:pPr>
        <w:pStyle w:val="24"/>
        <w:adjustRightInd w:val="0"/>
        <w:snapToGrid w:val="0"/>
        <w:spacing w:line="240" w:lineRule="atLeast"/>
        <w:rPr>
          <w:rFonts w:hAnsi="宋体"/>
          <w:color w:val="auto"/>
          <w:sz w:val="21"/>
          <w:highlight w:val="none"/>
        </w:rPr>
      </w:pPr>
    </w:p>
    <w:p w14:paraId="6091F410">
      <w:pPr>
        <w:pStyle w:val="24"/>
        <w:adjustRightInd w:val="0"/>
        <w:snapToGrid w:val="0"/>
        <w:spacing w:line="240" w:lineRule="atLeast"/>
        <w:rPr>
          <w:rFonts w:hAnsi="宋体"/>
          <w:color w:val="auto"/>
          <w:sz w:val="28"/>
          <w:szCs w:val="28"/>
          <w:highlight w:val="none"/>
        </w:rPr>
      </w:pPr>
    </w:p>
    <w:p w14:paraId="01318634">
      <w:pPr>
        <w:pStyle w:val="24"/>
        <w:adjustRightInd w:val="0"/>
        <w:snapToGrid w:val="0"/>
        <w:spacing w:line="240" w:lineRule="atLeast"/>
        <w:jc w:val="center"/>
        <w:rPr>
          <w:rFonts w:hAnsi="宋体"/>
          <w:b/>
          <w:bCs/>
          <w:color w:val="auto"/>
          <w:sz w:val="84"/>
          <w:szCs w:val="84"/>
          <w:highlight w:val="none"/>
        </w:rPr>
      </w:pPr>
      <w:r>
        <w:rPr>
          <w:rFonts w:hint="eastAsia" w:hAnsi="宋体"/>
          <w:b/>
          <w:bCs/>
          <w:color w:val="auto"/>
          <w:sz w:val="84"/>
          <w:szCs w:val="84"/>
          <w:highlight w:val="none"/>
        </w:rPr>
        <w:t>政府采购招标文件</w:t>
      </w:r>
    </w:p>
    <w:p w14:paraId="5898818B">
      <w:pPr>
        <w:pStyle w:val="24"/>
        <w:adjustRightInd w:val="0"/>
        <w:snapToGrid w:val="0"/>
        <w:spacing w:line="240" w:lineRule="atLeast"/>
        <w:rPr>
          <w:rFonts w:hAnsi="宋体"/>
          <w:b/>
          <w:bCs/>
          <w:color w:val="auto"/>
          <w:sz w:val="44"/>
          <w:szCs w:val="44"/>
          <w:highlight w:val="none"/>
        </w:rPr>
      </w:pPr>
    </w:p>
    <w:p w14:paraId="6A1C6941">
      <w:pPr>
        <w:pStyle w:val="24"/>
        <w:adjustRightInd w:val="0"/>
        <w:snapToGrid w:val="0"/>
        <w:spacing w:line="240" w:lineRule="atLeast"/>
        <w:jc w:val="center"/>
        <w:rPr>
          <w:rFonts w:hAnsi="宋体"/>
          <w:b/>
          <w:bCs/>
          <w:color w:val="auto"/>
          <w:sz w:val="28"/>
          <w:szCs w:val="28"/>
          <w:highlight w:val="none"/>
        </w:rPr>
      </w:pPr>
    </w:p>
    <w:p w14:paraId="54D0005D">
      <w:pPr>
        <w:pStyle w:val="24"/>
        <w:adjustRightInd w:val="0"/>
        <w:snapToGrid w:val="0"/>
        <w:spacing w:line="240" w:lineRule="atLeast"/>
        <w:jc w:val="center"/>
        <w:rPr>
          <w:rFonts w:hAnsi="宋体"/>
          <w:b/>
          <w:bCs/>
          <w:color w:val="auto"/>
          <w:sz w:val="44"/>
          <w:szCs w:val="44"/>
          <w:highlight w:val="none"/>
        </w:rPr>
      </w:pPr>
    </w:p>
    <w:p w14:paraId="32CD7A28">
      <w:pPr>
        <w:pStyle w:val="24"/>
        <w:adjustRightInd w:val="0"/>
        <w:snapToGrid w:val="0"/>
        <w:spacing w:line="240" w:lineRule="atLeast"/>
        <w:jc w:val="center"/>
        <w:rPr>
          <w:rFonts w:hAnsi="宋体"/>
          <w:bCs/>
          <w:color w:val="auto"/>
          <w:highlight w:val="none"/>
        </w:rPr>
      </w:pPr>
    </w:p>
    <w:p w14:paraId="50BB7975">
      <w:pPr>
        <w:pStyle w:val="24"/>
        <w:adjustRightInd w:val="0"/>
        <w:snapToGrid w:val="0"/>
        <w:spacing w:line="240" w:lineRule="atLeast"/>
        <w:jc w:val="center"/>
        <w:rPr>
          <w:rFonts w:hAnsi="宋体"/>
          <w:bCs/>
          <w:color w:val="auto"/>
          <w:highlight w:val="none"/>
        </w:rPr>
      </w:pPr>
    </w:p>
    <w:p w14:paraId="71975F58">
      <w:pPr>
        <w:pStyle w:val="24"/>
        <w:adjustRightInd w:val="0"/>
        <w:snapToGrid w:val="0"/>
        <w:spacing w:line="240" w:lineRule="atLeast"/>
        <w:jc w:val="center"/>
        <w:rPr>
          <w:rFonts w:hAnsi="宋体"/>
          <w:bCs/>
          <w:color w:val="auto"/>
          <w:highlight w:val="none"/>
        </w:rPr>
      </w:pPr>
    </w:p>
    <w:p w14:paraId="6CCF111A">
      <w:pPr>
        <w:pStyle w:val="24"/>
        <w:adjustRightInd w:val="0"/>
        <w:snapToGrid w:val="0"/>
        <w:spacing w:line="240" w:lineRule="atLeast"/>
        <w:jc w:val="center"/>
        <w:rPr>
          <w:rFonts w:hAnsi="宋体"/>
          <w:bCs/>
          <w:color w:val="auto"/>
          <w:highlight w:val="none"/>
        </w:rPr>
      </w:pPr>
    </w:p>
    <w:p w14:paraId="1E7D2170">
      <w:pPr>
        <w:pStyle w:val="24"/>
        <w:adjustRightInd w:val="0"/>
        <w:snapToGrid w:val="0"/>
        <w:spacing w:line="240" w:lineRule="atLeast"/>
        <w:jc w:val="center"/>
        <w:rPr>
          <w:rFonts w:hAnsi="宋体"/>
          <w:bCs/>
          <w:color w:val="auto"/>
          <w:highlight w:val="none"/>
        </w:rPr>
      </w:pPr>
    </w:p>
    <w:p w14:paraId="1C7A3180">
      <w:pPr>
        <w:adjustRightInd w:val="0"/>
        <w:snapToGrid w:val="0"/>
        <w:spacing w:line="360" w:lineRule="auto"/>
        <w:ind w:left="3375" w:leftChars="536" w:hanging="2249" w:hangingChars="700"/>
        <w:rPr>
          <w:rFonts w:ascii="宋体" w:hAnsi="宋体"/>
          <w:b/>
          <w:color w:val="auto"/>
          <w:sz w:val="32"/>
          <w:szCs w:val="32"/>
          <w:highlight w:val="none"/>
        </w:rPr>
      </w:pPr>
      <w:r>
        <w:rPr>
          <w:rFonts w:hint="eastAsia" w:ascii="宋体" w:hAnsi="宋体"/>
          <w:b/>
          <w:color w:val="auto"/>
          <w:sz w:val="32"/>
          <w:szCs w:val="32"/>
          <w:highlight w:val="none"/>
        </w:rPr>
        <w:t>采购项目名称：</w:t>
      </w:r>
      <w:r>
        <w:rPr>
          <w:rFonts w:hint="eastAsia" w:ascii="宋体" w:hAnsi="宋体"/>
          <w:b/>
          <w:color w:val="auto"/>
          <w:sz w:val="32"/>
          <w:szCs w:val="32"/>
          <w:highlight w:val="none"/>
          <w:u w:val="single"/>
          <w:lang w:val="en-US" w:eastAsia="zh-CN"/>
        </w:rPr>
        <w:t>2026</w:t>
      </w:r>
      <w:r>
        <w:rPr>
          <w:rFonts w:hint="eastAsia" w:ascii="宋体" w:hAnsi="宋体"/>
          <w:b/>
          <w:color w:val="auto"/>
          <w:sz w:val="32"/>
          <w:szCs w:val="32"/>
          <w:highlight w:val="none"/>
          <w:u w:val="single"/>
        </w:rPr>
        <w:t>年</w:t>
      </w:r>
      <w:r>
        <w:rPr>
          <w:rFonts w:hint="eastAsia" w:ascii="宋体" w:hAnsi="宋体"/>
          <w:b/>
          <w:color w:val="auto"/>
          <w:sz w:val="32"/>
          <w:szCs w:val="32"/>
          <w:highlight w:val="none"/>
          <w:u w:val="single"/>
        </w:rPr>
        <w:t>新化县高素质农民培育项目</w:t>
      </w:r>
    </w:p>
    <w:p w14:paraId="7F9E7D7C">
      <w:pPr>
        <w:adjustRightInd w:val="0"/>
        <w:snapToGrid w:val="0"/>
        <w:spacing w:line="360" w:lineRule="auto"/>
        <w:ind w:firstLine="1124" w:firstLineChars="350"/>
        <w:rPr>
          <w:rFonts w:hint="default" w:ascii="宋体" w:hAnsi="宋体"/>
          <w:b/>
          <w:color w:val="auto"/>
          <w:sz w:val="32"/>
          <w:szCs w:val="32"/>
          <w:highlight w:val="none"/>
          <w:u w:val="single"/>
          <w:lang w:val="en-US"/>
        </w:rPr>
      </w:pPr>
      <w:r>
        <w:rPr>
          <w:rFonts w:hint="eastAsia" w:ascii="宋体" w:hAnsi="宋体"/>
          <w:b/>
          <w:color w:val="auto"/>
          <w:sz w:val="32"/>
          <w:szCs w:val="32"/>
          <w:highlight w:val="none"/>
        </w:rPr>
        <w:t>政府采购计划编号：</w:t>
      </w:r>
      <w:r>
        <w:rPr>
          <w:rFonts w:hint="eastAsia" w:ascii="宋体" w:hAnsi="宋体"/>
          <w:b/>
          <w:color w:val="auto"/>
          <w:sz w:val="32"/>
          <w:szCs w:val="32"/>
          <w:highlight w:val="none"/>
          <w:u w:val="single"/>
          <w:lang w:eastAsia="zh-CN"/>
        </w:rPr>
        <w:t>（</w:t>
      </w:r>
      <w:r>
        <w:rPr>
          <w:rFonts w:hint="eastAsia" w:ascii="宋体" w:hAnsi="宋体"/>
          <w:b/>
          <w:color w:val="auto"/>
          <w:sz w:val="32"/>
          <w:szCs w:val="32"/>
          <w:highlight w:val="none"/>
          <w:u w:val="single"/>
        </w:rPr>
        <w:t>2026</w:t>
      </w:r>
      <w:r>
        <w:rPr>
          <w:rFonts w:hint="eastAsia" w:ascii="宋体" w:hAnsi="宋体"/>
          <w:b/>
          <w:color w:val="auto"/>
          <w:sz w:val="32"/>
          <w:szCs w:val="32"/>
          <w:highlight w:val="none"/>
          <w:u w:val="single"/>
          <w:lang w:eastAsia="zh-CN"/>
        </w:rPr>
        <w:t>）</w:t>
      </w:r>
      <w:r>
        <w:rPr>
          <w:rFonts w:hint="eastAsia" w:ascii="宋体" w:hAnsi="宋体"/>
          <w:b/>
          <w:color w:val="auto"/>
          <w:sz w:val="32"/>
          <w:szCs w:val="32"/>
          <w:highlight w:val="none"/>
          <w:u w:val="single"/>
          <w:lang w:val="en-US" w:eastAsia="zh-CN"/>
        </w:rPr>
        <w:t xml:space="preserve">431322000008-1 </w:t>
      </w:r>
      <w:r>
        <w:rPr>
          <w:rFonts w:hint="eastAsia" w:ascii="宋体" w:hAnsi="宋体"/>
          <w:b/>
          <w:color w:val="auto"/>
          <w:sz w:val="32"/>
          <w:szCs w:val="32"/>
          <w:highlight w:val="none"/>
          <w:lang w:val="en-US" w:eastAsia="zh-CN"/>
        </w:rPr>
        <w:t>.</w:t>
      </w:r>
    </w:p>
    <w:p w14:paraId="578B6354">
      <w:pPr>
        <w:adjustRightInd w:val="0"/>
        <w:snapToGrid w:val="0"/>
        <w:spacing w:line="360" w:lineRule="auto"/>
        <w:ind w:firstLine="1124" w:firstLineChars="350"/>
        <w:rPr>
          <w:rFonts w:ascii="宋体" w:hAnsi="宋体"/>
          <w:b/>
          <w:color w:val="auto"/>
          <w:sz w:val="32"/>
          <w:szCs w:val="32"/>
          <w:highlight w:val="none"/>
        </w:rPr>
      </w:pPr>
      <w:r>
        <w:rPr>
          <w:rFonts w:hint="eastAsia" w:ascii="宋体" w:hAnsi="宋体"/>
          <w:b/>
          <w:color w:val="auto"/>
          <w:sz w:val="32"/>
          <w:szCs w:val="32"/>
          <w:highlight w:val="none"/>
        </w:rPr>
        <w:t>委托代理编号：</w:t>
      </w:r>
      <w:r>
        <w:rPr>
          <w:rFonts w:hint="eastAsia" w:ascii="宋体" w:hAnsi="宋体"/>
          <w:b/>
          <w:color w:val="auto"/>
          <w:sz w:val="32"/>
          <w:szCs w:val="32"/>
          <w:highlight w:val="none"/>
          <w:u w:val="single"/>
        </w:rPr>
        <w:t xml:space="preserve">HNTXXH2026-066 </w:t>
      </w:r>
    </w:p>
    <w:p w14:paraId="0EDAD8D4">
      <w:pPr>
        <w:adjustRightInd w:val="0"/>
        <w:snapToGrid w:val="0"/>
        <w:spacing w:line="360" w:lineRule="auto"/>
        <w:ind w:left="3350" w:leftChars="532" w:hanging="2233" w:hangingChars="695"/>
        <w:rPr>
          <w:rFonts w:ascii="宋体" w:hAnsi="宋体"/>
          <w:b/>
          <w:color w:val="auto"/>
          <w:sz w:val="32"/>
          <w:szCs w:val="32"/>
          <w:highlight w:val="none"/>
        </w:rPr>
      </w:pPr>
      <w:r>
        <w:rPr>
          <w:rFonts w:hint="eastAsia" w:ascii="宋体" w:hAnsi="宋体"/>
          <w:b/>
          <w:color w:val="auto"/>
          <w:sz w:val="32"/>
          <w:szCs w:val="32"/>
          <w:highlight w:val="none"/>
        </w:rPr>
        <w:t>采   购   人：</w:t>
      </w:r>
      <w:r>
        <w:rPr>
          <w:rFonts w:hint="eastAsia" w:ascii="宋体" w:hAnsi="宋体"/>
          <w:b/>
          <w:color w:val="auto"/>
          <w:sz w:val="32"/>
          <w:szCs w:val="32"/>
          <w:highlight w:val="none"/>
          <w:u w:val="single"/>
        </w:rPr>
        <w:t>新化县农业农村局</w:t>
      </w:r>
    </w:p>
    <w:p w14:paraId="5D154B4E">
      <w:pPr>
        <w:adjustRightInd w:val="0"/>
        <w:snapToGrid w:val="0"/>
        <w:spacing w:line="360" w:lineRule="auto"/>
        <w:ind w:firstLine="1124" w:firstLineChars="350"/>
        <w:rPr>
          <w:rFonts w:ascii="宋体" w:hAnsi="宋体"/>
          <w:b/>
          <w:color w:val="auto"/>
          <w:sz w:val="32"/>
          <w:szCs w:val="21"/>
          <w:highlight w:val="none"/>
        </w:rPr>
      </w:pPr>
      <w:r>
        <w:rPr>
          <w:rFonts w:hint="eastAsia" w:ascii="宋体" w:hAnsi="宋体"/>
          <w:b/>
          <w:color w:val="auto"/>
          <w:sz w:val="32"/>
          <w:szCs w:val="21"/>
          <w:highlight w:val="none"/>
        </w:rPr>
        <w:t>采购代理机构：</w:t>
      </w:r>
      <w:r>
        <w:rPr>
          <w:rFonts w:hint="eastAsia" w:ascii="宋体" w:hAnsi="宋体"/>
          <w:b/>
          <w:color w:val="auto"/>
          <w:sz w:val="32"/>
          <w:szCs w:val="21"/>
          <w:highlight w:val="none"/>
          <w:u w:val="single"/>
        </w:rPr>
        <w:t>湖南天湘项目管理有限公司</w:t>
      </w:r>
    </w:p>
    <w:p w14:paraId="7F01983C">
      <w:pPr>
        <w:pStyle w:val="24"/>
        <w:adjustRightInd w:val="0"/>
        <w:snapToGrid w:val="0"/>
        <w:spacing w:line="360" w:lineRule="auto"/>
        <w:jc w:val="center"/>
        <w:rPr>
          <w:rFonts w:hAnsi="宋体"/>
          <w:bCs/>
          <w:color w:val="auto"/>
          <w:sz w:val="32"/>
          <w:szCs w:val="32"/>
          <w:highlight w:val="none"/>
        </w:rPr>
      </w:pPr>
    </w:p>
    <w:p w14:paraId="1B671CEC">
      <w:pPr>
        <w:pStyle w:val="24"/>
        <w:adjustRightInd w:val="0"/>
        <w:snapToGrid w:val="0"/>
        <w:spacing w:line="240" w:lineRule="atLeast"/>
        <w:jc w:val="center"/>
        <w:rPr>
          <w:rFonts w:hAnsi="宋体"/>
          <w:bCs/>
          <w:color w:val="auto"/>
          <w:sz w:val="21"/>
          <w:highlight w:val="none"/>
        </w:rPr>
      </w:pPr>
    </w:p>
    <w:p w14:paraId="7E8D816F">
      <w:pPr>
        <w:pStyle w:val="24"/>
        <w:adjustRightInd w:val="0"/>
        <w:snapToGrid w:val="0"/>
        <w:spacing w:line="240" w:lineRule="atLeast"/>
        <w:jc w:val="center"/>
        <w:rPr>
          <w:rFonts w:hAnsi="宋体"/>
          <w:bCs/>
          <w:color w:val="auto"/>
          <w:sz w:val="21"/>
          <w:highlight w:val="none"/>
        </w:rPr>
      </w:pPr>
    </w:p>
    <w:p w14:paraId="393BFE53">
      <w:pPr>
        <w:pStyle w:val="24"/>
        <w:adjustRightInd w:val="0"/>
        <w:snapToGrid w:val="0"/>
        <w:spacing w:line="240" w:lineRule="atLeast"/>
        <w:jc w:val="center"/>
        <w:rPr>
          <w:rFonts w:hAnsi="宋体"/>
          <w:bCs/>
          <w:color w:val="auto"/>
          <w:sz w:val="21"/>
          <w:highlight w:val="none"/>
        </w:rPr>
      </w:pPr>
    </w:p>
    <w:p w14:paraId="59307814">
      <w:pPr>
        <w:pStyle w:val="24"/>
        <w:adjustRightInd w:val="0"/>
        <w:snapToGrid w:val="0"/>
        <w:spacing w:line="240" w:lineRule="atLeast"/>
        <w:jc w:val="center"/>
        <w:rPr>
          <w:rFonts w:hAnsi="宋体"/>
          <w:bCs/>
          <w:color w:val="auto"/>
          <w:sz w:val="21"/>
          <w:highlight w:val="none"/>
        </w:rPr>
      </w:pPr>
    </w:p>
    <w:p w14:paraId="239E7CDD">
      <w:pPr>
        <w:pStyle w:val="24"/>
        <w:adjustRightInd w:val="0"/>
        <w:snapToGrid w:val="0"/>
        <w:spacing w:line="240" w:lineRule="atLeast"/>
        <w:jc w:val="center"/>
        <w:rPr>
          <w:rFonts w:hAnsi="宋体"/>
          <w:bCs/>
          <w:color w:val="auto"/>
          <w:sz w:val="21"/>
          <w:highlight w:val="none"/>
        </w:rPr>
      </w:pPr>
    </w:p>
    <w:p w14:paraId="5454EEDB">
      <w:pPr>
        <w:pStyle w:val="24"/>
        <w:adjustRightInd w:val="0"/>
        <w:snapToGrid w:val="0"/>
        <w:spacing w:line="240" w:lineRule="atLeast"/>
        <w:jc w:val="center"/>
        <w:rPr>
          <w:rFonts w:hAnsi="宋体"/>
          <w:bCs/>
          <w:color w:val="auto"/>
          <w:sz w:val="21"/>
          <w:highlight w:val="none"/>
        </w:rPr>
      </w:pPr>
    </w:p>
    <w:p w14:paraId="5A481585">
      <w:pPr>
        <w:pStyle w:val="24"/>
        <w:adjustRightInd w:val="0"/>
        <w:snapToGrid w:val="0"/>
        <w:spacing w:line="240" w:lineRule="atLeast"/>
        <w:jc w:val="center"/>
        <w:rPr>
          <w:rFonts w:hAnsi="宋体"/>
          <w:b/>
          <w:bCs/>
          <w:color w:val="auto"/>
          <w:sz w:val="32"/>
          <w:szCs w:val="32"/>
          <w:highlight w:val="none"/>
        </w:rPr>
      </w:pPr>
      <w:r>
        <w:rPr>
          <w:rFonts w:hint="eastAsia" w:hAnsi="宋体"/>
          <w:b/>
          <w:color w:val="auto"/>
          <w:sz w:val="32"/>
          <w:highlight w:val="none"/>
        </w:rPr>
        <w:t xml:space="preserve"> 2026年8月</w:t>
      </w:r>
    </w:p>
    <w:p w14:paraId="568B2FCB">
      <w:pPr>
        <w:pStyle w:val="24"/>
        <w:adjustRightInd w:val="0"/>
        <w:snapToGrid w:val="0"/>
        <w:spacing w:line="240" w:lineRule="atLeast"/>
        <w:rPr>
          <w:rFonts w:hAnsi="宋体"/>
          <w:b/>
          <w:bCs/>
          <w:color w:val="auto"/>
          <w:sz w:val="32"/>
          <w:szCs w:val="32"/>
          <w:highlight w:val="none"/>
        </w:rPr>
        <w:sectPr>
          <w:headerReference r:id="rId3" w:type="default"/>
          <w:footerReference r:id="rId4" w:type="default"/>
          <w:pgSz w:w="11906" w:h="16838"/>
          <w:pgMar w:top="1440" w:right="1588" w:bottom="1440" w:left="1588" w:header="851" w:footer="992" w:gutter="0"/>
          <w:cols w:space="720" w:num="1"/>
          <w:docGrid w:type="lines" w:linePitch="312" w:charSpace="0"/>
        </w:sectPr>
      </w:pPr>
    </w:p>
    <w:p w14:paraId="0574A7E4">
      <w:pPr>
        <w:pStyle w:val="24"/>
        <w:adjustRightInd w:val="0"/>
        <w:snapToGrid w:val="0"/>
        <w:spacing w:line="360" w:lineRule="auto"/>
        <w:jc w:val="center"/>
        <w:rPr>
          <w:rFonts w:hAnsi="宋体"/>
          <w:b/>
          <w:color w:val="auto"/>
          <w:spacing w:val="160"/>
          <w:sz w:val="36"/>
          <w:szCs w:val="36"/>
          <w:highlight w:val="none"/>
        </w:rPr>
      </w:pPr>
      <w:r>
        <w:rPr>
          <w:rFonts w:hint="eastAsia" w:hAnsi="宋体"/>
          <w:b/>
          <w:color w:val="auto"/>
          <w:spacing w:val="160"/>
          <w:sz w:val="36"/>
          <w:szCs w:val="36"/>
          <w:highlight w:val="none"/>
        </w:rPr>
        <w:t>目录</w:t>
      </w:r>
    </w:p>
    <w:p w14:paraId="4A830575">
      <w:pPr>
        <w:pStyle w:val="32"/>
        <w:tabs>
          <w:tab w:val="right" w:leader="dot" w:pos="8844"/>
        </w:tabs>
        <w:rPr>
          <w:color w:val="auto"/>
          <w:highlight w:val="none"/>
        </w:rPr>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color w:val="auto"/>
          <w:highlight w:val="none"/>
        </w:rPr>
        <w:instrText xml:space="preserve"> HYPERLINK \l "_Toc22702" </w:instrText>
      </w:r>
      <w:r>
        <w:rPr>
          <w:color w:val="auto"/>
          <w:highlight w:val="none"/>
        </w:rPr>
        <w:fldChar w:fldCharType="separate"/>
      </w:r>
      <w:r>
        <w:rPr>
          <w:rFonts w:hint="eastAsia"/>
          <w:color w:val="auto"/>
          <w:szCs w:val="30"/>
          <w:highlight w:val="none"/>
        </w:rPr>
        <w:t xml:space="preserve">第一章 </w:t>
      </w:r>
      <w:r>
        <w:rPr>
          <w:rFonts w:hint="eastAsia"/>
          <w:color w:val="auto"/>
          <w:szCs w:val="30"/>
          <w:highlight w:val="none"/>
        </w:rPr>
        <w:t>2026年新化县</w:t>
      </w:r>
      <w:r>
        <w:rPr>
          <w:rFonts w:hint="eastAsia"/>
          <w:color w:val="auto"/>
          <w:szCs w:val="30"/>
          <w:highlight w:val="none"/>
        </w:rPr>
        <w:t>高素质农民培育项目公开招标公告</w:t>
      </w:r>
      <w:r>
        <w:rPr>
          <w:color w:val="auto"/>
          <w:highlight w:val="none"/>
        </w:rPr>
        <w:tab/>
      </w:r>
      <w:r>
        <w:rPr>
          <w:color w:val="auto"/>
          <w:highlight w:val="none"/>
        </w:rPr>
        <w:fldChar w:fldCharType="begin"/>
      </w:r>
      <w:r>
        <w:rPr>
          <w:color w:val="auto"/>
          <w:highlight w:val="none"/>
        </w:rPr>
        <w:instrText xml:space="preserve"> PAGEREF _Toc22702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1C30A86C">
      <w:pPr>
        <w:pStyle w:val="32"/>
        <w:tabs>
          <w:tab w:val="right" w:leader="dot" w:pos="8844"/>
        </w:tabs>
        <w:rPr>
          <w:color w:val="auto"/>
          <w:highlight w:val="none"/>
        </w:rPr>
      </w:pPr>
      <w:r>
        <w:rPr>
          <w:color w:val="auto"/>
          <w:highlight w:val="none"/>
        </w:rPr>
        <w:fldChar w:fldCharType="begin"/>
      </w:r>
      <w:r>
        <w:rPr>
          <w:color w:val="auto"/>
          <w:highlight w:val="none"/>
        </w:rPr>
        <w:instrText xml:space="preserve"> HYPERLINK \l "_Toc26252" </w:instrText>
      </w:r>
      <w:r>
        <w:rPr>
          <w:color w:val="auto"/>
          <w:highlight w:val="none"/>
        </w:rPr>
        <w:fldChar w:fldCharType="separate"/>
      </w:r>
      <w:r>
        <w:rPr>
          <w:rFonts w:hint="eastAsia"/>
          <w:color w:val="auto"/>
          <w:szCs w:val="32"/>
          <w:highlight w:val="none"/>
        </w:rPr>
        <w:t>第二章 投标须知</w:t>
      </w:r>
      <w:r>
        <w:rPr>
          <w:color w:val="auto"/>
          <w:highlight w:val="none"/>
        </w:rPr>
        <w:tab/>
      </w:r>
      <w:r>
        <w:rPr>
          <w:color w:val="auto"/>
          <w:highlight w:val="none"/>
        </w:rPr>
        <w:fldChar w:fldCharType="begin"/>
      </w:r>
      <w:r>
        <w:rPr>
          <w:color w:val="auto"/>
          <w:highlight w:val="none"/>
        </w:rPr>
        <w:instrText xml:space="preserve"> PAGEREF _Toc26252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3A2771F2">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"_Toc5600" </w:instrText>
      </w:r>
      <w:r>
        <w:rPr>
          <w:color w:val="auto"/>
          <w:highlight w:val="none"/>
        </w:rPr>
        <w:fldChar w:fldCharType="separate"/>
      </w:r>
      <w:r>
        <w:rPr>
          <w:rFonts w:hint="eastAsia" w:ascii="宋体" w:hAnsi="宋体"/>
          <w:color w:val="auto"/>
          <w:szCs w:val="28"/>
          <w:highlight w:val="none"/>
        </w:rPr>
        <w:t>第一节  投标须知前附表</w:t>
      </w:r>
      <w:r>
        <w:rPr>
          <w:color w:val="auto"/>
          <w:highlight w:val="none"/>
        </w:rPr>
        <w:tab/>
      </w:r>
      <w:r>
        <w:rPr>
          <w:color w:val="auto"/>
          <w:highlight w:val="none"/>
        </w:rPr>
        <w:fldChar w:fldCharType="begin"/>
      </w:r>
      <w:r>
        <w:rPr>
          <w:color w:val="auto"/>
          <w:highlight w:val="none"/>
        </w:rPr>
        <w:instrText xml:space="preserve"> PAGEREF _Toc5600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74134586">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"_Toc30285" </w:instrText>
      </w:r>
      <w:r>
        <w:rPr>
          <w:color w:val="auto"/>
          <w:highlight w:val="none"/>
        </w:rPr>
        <w:fldChar w:fldCharType="separate"/>
      </w:r>
      <w:r>
        <w:rPr>
          <w:rFonts w:hint="eastAsia" w:ascii="宋体" w:hAnsi="宋体"/>
          <w:color w:val="auto"/>
          <w:szCs w:val="28"/>
          <w:highlight w:val="none"/>
        </w:rPr>
        <w:t>第二节</w:t>
      </w:r>
      <w:r>
        <w:rPr>
          <w:rFonts w:hint="eastAsia" w:ascii="宋体" w:hAnsi="宋体"/>
          <w:color w:val="auto"/>
          <w:szCs w:val="21"/>
          <w:highlight w:val="none"/>
        </w:rPr>
        <w:t xml:space="preserve">  </w:t>
      </w:r>
      <w:r>
        <w:rPr>
          <w:rFonts w:hint="eastAsia" w:ascii="宋体" w:hAnsi="宋体"/>
          <w:color w:val="auto"/>
          <w:szCs w:val="28"/>
          <w:highlight w:val="none"/>
        </w:rPr>
        <w:t>投标须知正文</w:t>
      </w:r>
      <w:r>
        <w:rPr>
          <w:color w:val="auto"/>
          <w:highlight w:val="none"/>
        </w:rPr>
        <w:tab/>
      </w:r>
      <w:r>
        <w:rPr>
          <w:color w:val="auto"/>
          <w:highlight w:val="none"/>
        </w:rPr>
        <w:fldChar w:fldCharType="begin"/>
      </w:r>
      <w:r>
        <w:rPr>
          <w:color w:val="auto"/>
          <w:highlight w:val="none"/>
        </w:rPr>
        <w:instrText xml:space="preserve"> PAGEREF _Toc30285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5196A852">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"_Toc24119" </w:instrText>
      </w:r>
      <w:r>
        <w:rPr>
          <w:color w:val="auto"/>
          <w:highlight w:val="none"/>
        </w:rPr>
        <w:fldChar w:fldCharType="separate"/>
      </w:r>
      <w:r>
        <w:rPr>
          <w:rFonts w:hint="eastAsia" w:ascii="宋体" w:hAnsi="宋体"/>
          <w:color w:val="auto"/>
          <w:szCs w:val="28"/>
          <w:highlight w:val="none"/>
        </w:rPr>
        <w:t>一、总则</w:t>
      </w:r>
      <w:r>
        <w:rPr>
          <w:color w:val="auto"/>
          <w:highlight w:val="none"/>
        </w:rPr>
        <w:tab/>
      </w:r>
      <w:r>
        <w:rPr>
          <w:color w:val="auto"/>
          <w:highlight w:val="none"/>
        </w:rPr>
        <w:fldChar w:fldCharType="begin"/>
      </w:r>
      <w:r>
        <w:rPr>
          <w:color w:val="auto"/>
          <w:highlight w:val="none"/>
        </w:rPr>
        <w:instrText xml:space="preserve"> PAGEREF _Toc24119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3CF99872">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"_Toc19862" </w:instrText>
      </w:r>
      <w:r>
        <w:rPr>
          <w:color w:val="auto"/>
          <w:highlight w:val="none"/>
        </w:rPr>
        <w:fldChar w:fldCharType="separate"/>
      </w:r>
      <w:r>
        <w:rPr>
          <w:rFonts w:hint="eastAsia" w:ascii="宋体" w:hAnsi="宋体"/>
          <w:color w:val="auto"/>
          <w:szCs w:val="28"/>
          <w:highlight w:val="none"/>
        </w:rPr>
        <w:t>二、招标文件</w:t>
      </w:r>
      <w:r>
        <w:rPr>
          <w:color w:val="auto"/>
          <w:highlight w:val="none"/>
        </w:rPr>
        <w:tab/>
      </w:r>
      <w:r>
        <w:rPr>
          <w:color w:val="auto"/>
          <w:highlight w:val="none"/>
        </w:rPr>
        <w:fldChar w:fldCharType="begin"/>
      </w:r>
      <w:r>
        <w:rPr>
          <w:color w:val="auto"/>
          <w:highlight w:val="none"/>
        </w:rPr>
        <w:instrText xml:space="preserve"> PAGEREF _Toc19862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0D85A265">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"_Toc531" </w:instrText>
      </w:r>
      <w:r>
        <w:rPr>
          <w:color w:val="auto"/>
          <w:highlight w:val="none"/>
        </w:rPr>
        <w:fldChar w:fldCharType="separate"/>
      </w:r>
      <w:r>
        <w:rPr>
          <w:rFonts w:hint="eastAsia" w:ascii="宋体" w:hAnsi="宋体"/>
          <w:color w:val="auto"/>
          <w:szCs w:val="28"/>
          <w:highlight w:val="none"/>
        </w:rPr>
        <w:t>三、投标文件</w:t>
      </w:r>
      <w:r>
        <w:rPr>
          <w:color w:val="auto"/>
          <w:highlight w:val="none"/>
        </w:rPr>
        <w:tab/>
      </w:r>
      <w:r>
        <w:rPr>
          <w:color w:val="auto"/>
          <w:highlight w:val="none"/>
        </w:rPr>
        <w:fldChar w:fldCharType="begin"/>
      </w:r>
      <w:r>
        <w:rPr>
          <w:color w:val="auto"/>
          <w:highlight w:val="none"/>
        </w:rPr>
        <w:instrText xml:space="preserve"> PAGEREF _Toc531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0CA97592">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"_Toc13570" </w:instrText>
      </w:r>
      <w:r>
        <w:rPr>
          <w:color w:val="auto"/>
          <w:highlight w:val="none"/>
        </w:rPr>
        <w:fldChar w:fldCharType="separate"/>
      </w:r>
      <w:r>
        <w:rPr>
          <w:rFonts w:hint="eastAsia" w:ascii="宋体" w:hAnsi="宋体"/>
          <w:color w:val="auto"/>
          <w:szCs w:val="28"/>
          <w:highlight w:val="none"/>
        </w:rPr>
        <w:t>四、投标</w:t>
      </w:r>
      <w:r>
        <w:rPr>
          <w:color w:val="auto"/>
          <w:highlight w:val="none"/>
        </w:rPr>
        <w:tab/>
      </w:r>
      <w:r>
        <w:rPr>
          <w:color w:val="auto"/>
          <w:highlight w:val="none"/>
        </w:rPr>
        <w:fldChar w:fldCharType="begin"/>
      </w:r>
      <w:r>
        <w:rPr>
          <w:color w:val="auto"/>
          <w:highlight w:val="none"/>
        </w:rPr>
        <w:instrText xml:space="preserve"> PAGEREF _Toc13570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326B42F9">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"_Toc25200" </w:instrText>
      </w:r>
      <w:r>
        <w:rPr>
          <w:color w:val="auto"/>
          <w:highlight w:val="none"/>
        </w:rPr>
        <w:fldChar w:fldCharType="separate"/>
      </w:r>
      <w:r>
        <w:rPr>
          <w:rFonts w:hint="eastAsia" w:ascii="宋体" w:hAnsi="宋体"/>
          <w:color w:val="auto"/>
          <w:szCs w:val="28"/>
          <w:highlight w:val="none"/>
        </w:rPr>
        <w:t>五、开标，资格审查和评标</w:t>
      </w:r>
      <w:r>
        <w:rPr>
          <w:color w:val="auto"/>
          <w:highlight w:val="none"/>
        </w:rPr>
        <w:tab/>
      </w:r>
      <w:r>
        <w:rPr>
          <w:color w:val="auto"/>
          <w:highlight w:val="none"/>
        </w:rPr>
        <w:fldChar w:fldCharType="begin"/>
      </w:r>
      <w:r>
        <w:rPr>
          <w:color w:val="auto"/>
          <w:highlight w:val="none"/>
        </w:rPr>
        <w:instrText xml:space="preserve"> PAGEREF _Toc25200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1E7F800A">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"_Toc8487" </w:instrText>
      </w:r>
      <w:r>
        <w:rPr>
          <w:color w:val="auto"/>
          <w:highlight w:val="none"/>
        </w:rPr>
        <w:fldChar w:fldCharType="separate"/>
      </w:r>
      <w:r>
        <w:rPr>
          <w:rFonts w:hint="eastAsia" w:ascii="宋体" w:hAnsi="宋体"/>
          <w:color w:val="auto"/>
          <w:szCs w:val="28"/>
          <w:highlight w:val="none"/>
        </w:rPr>
        <w:t>六、中标信息公布</w:t>
      </w:r>
      <w:r>
        <w:rPr>
          <w:color w:val="auto"/>
          <w:highlight w:val="none"/>
        </w:rPr>
        <w:tab/>
      </w:r>
      <w:r>
        <w:rPr>
          <w:color w:val="auto"/>
          <w:highlight w:val="none"/>
        </w:rPr>
        <w:fldChar w:fldCharType="begin"/>
      </w:r>
      <w:r>
        <w:rPr>
          <w:color w:val="auto"/>
          <w:highlight w:val="none"/>
        </w:rPr>
        <w:instrText xml:space="preserve"> PAGEREF _Toc8487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72A290ED">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"_Toc752" </w:instrText>
      </w:r>
      <w:r>
        <w:rPr>
          <w:color w:val="auto"/>
          <w:highlight w:val="none"/>
        </w:rPr>
        <w:fldChar w:fldCharType="separate"/>
      </w:r>
      <w:r>
        <w:rPr>
          <w:rFonts w:hint="eastAsia" w:ascii="宋体" w:hAnsi="宋体"/>
          <w:color w:val="auto"/>
          <w:szCs w:val="28"/>
          <w:highlight w:val="none"/>
        </w:rPr>
        <w:t>七、合同签订</w:t>
      </w:r>
      <w:r>
        <w:rPr>
          <w:color w:val="auto"/>
          <w:highlight w:val="none"/>
        </w:rPr>
        <w:tab/>
      </w:r>
      <w:r>
        <w:rPr>
          <w:color w:val="auto"/>
          <w:highlight w:val="none"/>
        </w:rPr>
        <w:fldChar w:fldCharType="begin"/>
      </w:r>
      <w:r>
        <w:rPr>
          <w:color w:val="auto"/>
          <w:highlight w:val="none"/>
        </w:rPr>
        <w:instrText xml:space="preserve"> PAGEREF _Toc752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16967F2F">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"_Toc27382" </w:instrText>
      </w:r>
      <w:r>
        <w:rPr>
          <w:color w:val="auto"/>
          <w:highlight w:val="none"/>
        </w:rPr>
        <w:fldChar w:fldCharType="separate"/>
      </w:r>
      <w:r>
        <w:rPr>
          <w:rFonts w:hint="eastAsia" w:ascii="宋体" w:hAnsi="宋体"/>
          <w:color w:val="auto"/>
          <w:szCs w:val="28"/>
          <w:highlight w:val="none"/>
        </w:rPr>
        <w:t>八、政府采购政策</w:t>
      </w:r>
      <w:r>
        <w:rPr>
          <w:color w:val="auto"/>
          <w:highlight w:val="none"/>
        </w:rPr>
        <w:tab/>
      </w:r>
      <w:r>
        <w:rPr>
          <w:color w:val="auto"/>
          <w:highlight w:val="none"/>
        </w:rPr>
        <w:fldChar w:fldCharType="begin"/>
      </w:r>
      <w:r>
        <w:rPr>
          <w:color w:val="auto"/>
          <w:highlight w:val="none"/>
        </w:rPr>
        <w:instrText xml:space="preserve"> PAGEREF _Toc27382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42E57DB3">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"_Toc5429" </w:instrText>
      </w:r>
      <w:r>
        <w:rPr>
          <w:color w:val="auto"/>
          <w:highlight w:val="none"/>
        </w:rPr>
        <w:fldChar w:fldCharType="separate"/>
      </w:r>
      <w:r>
        <w:rPr>
          <w:rFonts w:hint="eastAsia" w:ascii="宋体" w:hAnsi="宋体"/>
          <w:color w:val="auto"/>
          <w:szCs w:val="28"/>
          <w:highlight w:val="none"/>
        </w:rPr>
        <w:t>九、其他规定</w:t>
      </w:r>
      <w:r>
        <w:rPr>
          <w:color w:val="auto"/>
          <w:highlight w:val="none"/>
        </w:rPr>
        <w:tab/>
      </w:r>
      <w:r>
        <w:rPr>
          <w:color w:val="auto"/>
          <w:highlight w:val="none"/>
        </w:rPr>
        <w:fldChar w:fldCharType="begin"/>
      </w:r>
      <w:r>
        <w:rPr>
          <w:color w:val="auto"/>
          <w:highlight w:val="none"/>
        </w:rPr>
        <w:instrText xml:space="preserve"> PAGEREF _Toc5429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44D77F91">
      <w:pPr>
        <w:pStyle w:val="32"/>
        <w:tabs>
          <w:tab w:val="right" w:leader="dot" w:pos="8844"/>
        </w:tabs>
        <w:rPr>
          <w:color w:val="auto"/>
          <w:highlight w:val="none"/>
        </w:rPr>
      </w:pPr>
      <w:r>
        <w:rPr>
          <w:color w:val="auto"/>
          <w:highlight w:val="none"/>
        </w:rPr>
        <w:fldChar w:fldCharType="begin"/>
      </w:r>
      <w:r>
        <w:rPr>
          <w:color w:val="auto"/>
          <w:highlight w:val="none"/>
        </w:rPr>
        <w:instrText xml:space="preserve"> HYPERLINK \l "_Toc4149" </w:instrText>
      </w:r>
      <w:r>
        <w:rPr>
          <w:color w:val="auto"/>
          <w:highlight w:val="none"/>
        </w:rPr>
        <w:fldChar w:fldCharType="separate"/>
      </w:r>
      <w:r>
        <w:rPr>
          <w:rFonts w:hint="eastAsia"/>
          <w:color w:val="auto"/>
          <w:szCs w:val="32"/>
          <w:highlight w:val="none"/>
        </w:rPr>
        <w:t>第三章 资格审查</w:t>
      </w:r>
      <w:r>
        <w:rPr>
          <w:color w:val="auto"/>
          <w:highlight w:val="none"/>
        </w:rPr>
        <w:tab/>
      </w:r>
      <w:r>
        <w:rPr>
          <w:color w:val="auto"/>
          <w:highlight w:val="none"/>
        </w:rPr>
        <w:fldChar w:fldCharType="begin"/>
      </w:r>
      <w:r>
        <w:rPr>
          <w:color w:val="auto"/>
          <w:highlight w:val="none"/>
        </w:rPr>
        <w:instrText xml:space="preserve"> PAGEREF _Toc4149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42837D89">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"_Toc4073" </w:instrText>
      </w:r>
      <w:r>
        <w:rPr>
          <w:color w:val="auto"/>
          <w:highlight w:val="none"/>
        </w:rPr>
        <w:fldChar w:fldCharType="separate"/>
      </w:r>
      <w:r>
        <w:rPr>
          <w:rFonts w:hint="eastAsia" w:ascii="宋体" w:hAnsi="宋体"/>
          <w:color w:val="auto"/>
          <w:highlight w:val="none"/>
        </w:rPr>
        <w:t>1．资格审查主体</w:t>
      </w:r>
      <w:r>
        <w:rPr>
          <w:color w:val="auto"/>
          <w:highlight w:val="none"/>
        </w:rPr>
        <w:tab/>
      </w:r>
      <w:r>
        <w:rPr>
          <w:color w:val="auto"/>
          <w:highlight w:val="none"/>
        </w:rPr>
        <w:fldChar w:fldCharType="begin"/>
      </w:r>
      <w:r>
        <w:rPr>
          <w:color w:val="auto"/>
          <w:highlight w:val="none"/>
        </w:rPr>
        <w:instrText xml:space="preserve"> PAGEREF _Toc4073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166031F6">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"_Toc25827" </w:instrText>
      </w:r>
      <w:r>
        <w:rPr>
          <w:color w:val="auto"/>
          <w:highlight w:val="none"/>
        </w:rPr>
        <w:fldChar w:fldCharType="separate"/>
      </w:r>
      <w:r>
        <w:rPr>
          <w:rFonts w:hint="eastAsia" w:ascii="宋体" w:hAnsi="宋体"/>
          <w:color w:val="auto"/>
          <w:highlight w:val="none"/>
        </w:rPr>
        <w:t>2．资格审查</w:t>
      </w:r>
      <w:r>
        <w:rPr>
          <w:color w:val="auto"/>
          <w:highlight w:val="none"/>
        </w:rPr>
        <w:tab/>
      </w:r>
      <w:r>
        <w:rPr>
          <w:color w:val="auto"/>
          <w:highlight w:val="none"/>
        </w:rPr>
        <w:fldChar w:fldCharType="begin"/>
      </w:r>
      <w:r>
        <w:rPr>
          <w:color w:val="auto"/>
          <w:highlight w:val="none"/>
        </w:rPr>
        <w:instrText xml:space="preserve"> PAGEREF _Toc25827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7DC60345">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"_Toc14118" </w:instrText>
      </w:r>
      <w:r>
        <w:rPr>
          <w:color w:val="auto"/>
          <w:highlight w:val="none"/>
        </w:rPr>
        <w:fldChar w:fldCharType="separate"/>
      </w:r>
      <w:r>
        <w:rPr>
          <w:rFonts w:hint="eastAsia" w:ascii="宋体" w:hAnsi="宋体"/>
          <w:color w:val="auto"/>
          <w:highlight w:val="none"/>
        </w:rPr>
        <w:t>3．资格审查结果</w:t>
      </w:r>
      <w:r>
        <w:rPr>
          <w:color w:val="auto"/>
          <w:highlight w:val="none"/>
        </w:rPr>
        <w:tab/>
      </w:r>
      <w:r>
        <w:rPr>
          <w:color w:val="auto"/>
          <w:highlight w:val="none"/>
        </w:rPr>
        <w:fldChar w:fldCharType="begin"/>
      </w:r>
      <w:r>
        <w:rPr>
          <w:color w:val="auto"/>
          <w:highlight w:val="none"/>
        </w:rPr>
        <w:instrText xml:space="preserve"> PAGEREF _Toc14118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18EFB114">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"_Toc9335" </w:instrText>
      </w:r>
      <w:r>
        <w:rPr>
          <w:color w:val="auto"/>
          <w:highlight w:val="none"/>
        </w:rPr>
        <w:fldChar w:fldCharType="separate"/>
      </w:r>
      <w:r>
        <w:rPr>
          <w:rFonts w:ascii="宋体" w:hAnsi="宋体"/>
          <w:color w:val="auto"/>
          <w:szCs w:val="28"/>
          <w:highlight w:val="none"/>
        </w:rPr>
        <w:t>资格审查表</w:t>
      </w:r>
      <w:r>
        <w:rPr>
          <w:color w:val="auto"/>
          <w:highlight w:val="none"/>
        </w:rPr>
        <w:tab/>
      </w:r>
      <w:r>
        <w:rPr>
          <w:color w:val="auto"/>
          <w:highlight w:val="none"/>
        </w:rPr>
        <w:fldChar w:fldCharType="begin"/>
      </w:r>
      <w:r>
        <w:rPr>
          <w:color w:val="auto"/>
          <w:highlight w:val="none"/>
        </w:rPr>
        <w:instrText xml:space="preserve"> PAGEREF _Toc9335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02ED6952">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"_Toc26920" </w:instrText>
      </w:r>
      <w:r>
        <w:rPr>
          <w:color w:val="auto"/>
          <w:highlight w:val="none"/>
        </w:rPr>
        <w:fldChar w:fldCharType="separate"/>
      </w:r>
      <w:r>
        <w:rPr>
          <w:rFonts w:hint="eastAsia" w:ascii="宋体" w:hAnsi="宋体"/>
          <w:color w:val="auto"/>
          <w:szCs w:val="28"/>
          <w:highlight w:val="none"/>
        </w:rPr>
        <w:t>资格审查结果一览表</w:t>
      </w:r>
      <w:r>
        <w:rPr>
          <w:color w:val="auto"/>
          <w:highlight w:val="none"/>
        </w:rPr>
        <w:tab/>
      </w:r>
      <w:r>
        <w:rPr>
          <w:color w:val="auto"/>
          <w:highlight w:val="none"/>
        </w:rPr>
        <w:fldChar w:fldCharType="begin"/>
      </w:r>
      <w:r>
        <w:rPr>
          <w:color w:val="auto"/>
          <w:highlight w:val="none"/>
        </w:rPr>
        <w:instrText xml:space="preserve"> PAGEREF _Toc26920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3E6B7A5A">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"_Toc2650" </w:instrText>
      </w:r>
      <w:r>
        <w:rPr>
          <w:color w:val="auto"/>
          <w:highlight w:val="none"/>
        </w:rPr>
        <w:fldChar w:fldCharType="separate"/>
      </w:r>
      <w:r>
        <w:rPr>
          <w:rFonts w:hint="eastAsia" w:ascii="宋体" w:hAnsi="宋体"/>
          <w:color w:val="auto"/>
          <w:szCs w:val="28"/>
          <w:highlight w:val="none"/>
        </w:rPr>
        <w:t>资格审查合格投标人名单</w:t>
      </w:r>
      <w:r>
        <w:rPr>
          <w:color w:val="auto"/>
          <w:highlight w:val="none"/>
        </w:rPr>
        <w:tab/>
      </w:r>
      <w:r>
        <w:rPr>
          <w:color w:val="auto"/>
          <w:highlight w:val="none"/>
        </w:rPr>
        <w:fldChar w:fldCharType="begin"/>
      </w:r>
      <w:r>
        <w:rPr>
          <w:color w:val="auto"/>
          <w:highlight w:val="none"/>
        </w:rPr>
        <w:instrText xml:space="preserve"> PAGEREF _Toc2650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5EB1F04E">
      <w:pPr>
        <w:pStyle w:val="32"/>
        <w:tabs>
          <w:tab w:val="right" w:leader="dot" w:pos="8844"/>
        </w:tabs>
        <w:rPr>
          <w:color w:val="auto"/>
          <w:highlight w:val="none"/>
        </w:rPr>
      </w:pPr>
      <w:r>
        <w:rPr>
          <w:color w:val="auto"/>
          <w:highlight w:val="none"/>
        </w:rPr>
        <w:fldChar w:fldCharType="begin"/>
      </w:r>
      <w:r>
        <w:rPr>
          <w:color w:val="auto"/>
          <w:highlight w:val="none"/>
        </w:rPr>
        <w:instrText xml:space="preserve"> HYPERLINK \l "_Toc22883" </w:instrText>
      </w:r>
      <w:r>
        <w:rPr>
          <w:color w:val="auto"/>
          <w:highlight w:val="none"/>
        </w:rPr>
        <w:fldChar w:fldCharType="separate"/>
      </w:r>
      <w:r>
        <w:rPr>
          <w:rFonts w:hint="eastAsia"/>
          <w:color w:val="auto"/>
          <w:szCs w:val="32"/>
          <w:highlight w:val="none"/>
        </w:rPr>
        <w:t>第四章  评标方法及标准</w:t>
      </w:r>
      <w:r>
        <w:rPr>
          <w:color w:val="auto"/>
          <w:highlight w:val="none"/>
        </w:rPr>
        <w:tab/>
      </w:r>
      <w:r>
        <w:rPr>
          <w:color w:val="auto"/>
          <w:highlight w:val="none"/>
        </w:rPr>
        <w:fldChar w:fldCharType="begin"/>
      </w:r>
      <w:r>
        <w:rPr>
          <w:color w:val="auto"/>
          <w:highlight w:val="none"/>
        </w:rPr>
        <w:instrText xml:space="preserve"> PAGEREF _Toc22883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7BAB799A">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"_Toc4889" </w:instrText>
      </w:r>
      <w:r>
        <w:rPr>
          <w:color w:val="auto"/>
          <w:highlight w:val="none"/>
        </w:rPr>
        <w:fldChar w:fldCharType="separate"/>
      </w:r>
      <w:r>
        <w:rPr>
          <w:rFonts w:hint="eastAsia" w:ascii="宋体" w:hAnsi="宋体"/>
          <w:color w:val="auto"/>
          <w:szCs w:val="28"/>
          <w:highlight w:val="none"/>
        </w:rPr>
        <w:t>第一节  评标方法及标准前附表</w:t>
      </w:r>
      <w:r>
        <w:rPr>
          <w:color w:val="auto"/>
          <w:highlight w:val="none"/>
        </w:rPr>
        <w:tab/>
      </w:r>
      <w:r>
        <w:rPr>
          <w:color w:val="auto"/>
          <w:highlight w:val="none"/>
        </w:rPr>
        <w:fldChar w:fldCharType="begin"/>
      </w:r>
      <w:r>
        <w:rPr>
          <w:color w:val="auto"/>
          <w:highlight w:val="none"/>
        </w:rPr>
        <w:instrText xml:space="preserve"> PAGEREF _Toc4889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5CB5EB33">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"_Toc30069" </w:instrText>
      </w:r>
      <w:r>
        <w:rPr>
          <w:color w:val="auto"/>
          <w:highlight w:val="none"/>
        </w:rPr>
        <w:fldChar w:fldCharType="separate"/>
      </w:r>
      <w:r>
        <w:rPr>
          <w:rFonts w:hint="eastAsia" w:ascii="宋体" w:hAnsi="宋体"/>
          <w:color w:val="auto"/>
          <w:szCs w:val="28"/>
          <w:highlight w:val="none"/>
        </w:rPr>
        <w:t>第二节  评标方法及标准</w:t>
      </w:r>
      <w:r>
        <w:rPr>
          <w:color w:val="auto"/>
          <w:highlight w:val="none"/>
        </w:rPr>
        <w:tab/>
      </w:r>
      <w:r>
        <w:rPr>
          <w:color w:val="auto"/>
          <w:highlight w:val="none"/>
        </w:rPr>
        <w:fldChar w:fldCharType="begin"/>
      </w:r>
      <w:r>
        <w:rPr>
          <w:color w:val="auto"/>
          <w:highlight w:val="none"/>
        </w:rPr>
        <w:instrText xml:space="preserve"> PAGEREF _Toc30069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2B3A6E25">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"_Toc21523" </w:instrText>
      </w:r>
      <w:r>
        <w:rPr>
          <w:color w:val="auto"/>
          <w:highlight w:val="none"/>
        </w:rPr>
        <w:fldChar w:fldCharType="separate"/>
      </w:r>
      <w:r>
        <w:rPr>
          <w:rFonts w:hint="eastAsia" w:ascii="宋体" w:hAnsi="宋体"/>
          <w:color w:val="auto"/>
          <w:highlight w:val="none"/>
        </w:rPr>
        <w:t>1．评标方法</w:t>
      </w:r>
      <w:r>
        <w:rPr>
          <w:color w:val="auto"/>
          <w:highlight w:val="none"/>
        </w:rPr>
        <w:tab/>
      </w:r>
      <w:r>
        <w:rPr>
          <w:color w:val="auto"/>
          <w:highlight w:val="none"/>
        </w:rPr>
        <w:fldChar w:fldCharType="begin"/>
      </w:r>
      <w:r>
        <w:rPr>
          <w:color w:val="auto"/>
          <w:highlight w:val="none"/>
        </w:rPr>
        <w:instrText xml:space="preserve"> PAGEREF _Toc21523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427D2459">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"_Toc19092" </w:instrText>
      </w:r>
      <w:r>
        <w:rPr>
          <w:color w:val="auto"/>
          <w:highlight w:val="none"/>
        </w:rPr>
        <w:fldChar w:fldCharType="separate"/>
      </w:r>
      <w:r>
        <w:rPr>
          <w:rFonts w:hint="eastAsia" w:ascii="宋体" w:hAnsi="宋体"/>
          <w:color w:val="auto"/>
          <w:highlight w:val="none"/>
        </w:rPr>
        <w:t>2．评标程序</w:t>
      </w:r>
      <w:r>
        <w:rPr>
          <w:color w:val="auto"/>
          <w:highlight w:val="none"/>
        </w:rPr>
        <w:tab/>
      </w:r>
      <w:r>
        <w:rPr>
          <w:color w:val="auto"/>
          <w:highlight w:val="none"/>
        </w:rPr>
        <w:fldChar w:fldCharType="begin"/>
      </w:r>
      <w:r>
        <w:rPr>
          <w:color w:val="auto"/>
          <w:highlight w:val="none"/>
        </w:rPr>
        <w:instrText xml:space="preserve"> PAGEREF _Toc19092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70EE9B3E">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"_Toc1460" </w:instrText>
      </w:r>
      <w:r>
        <w:rPr>
          <w:color w:val="auto"/>
          <w:highlight w:val="none"/>
        </w:rPr>
        <w:fldChar w:fldCharType="separate"/>
      </w:r>
      <w:r>
        <w:rPr>
          <w:rFonts w:hint="eastAsia" w:ascii="宋体" w:hAnsi="宋体"/>
          <w:color w:val="auto"/>
          <w:highlight w:val="none"/>
        </w:rPr>
        <w:t>3．投标文件符合性审查</w:t>
      </w:r>
      <w:r>
        <w:rPr>
          <w:color w:val="auto"/>
          <w:highlight w:val="none"/>
        </w:rPr>
        <w:tab/>
      </w:r>
      <w:r>
        <w:rPr>
          <w:color w:val="auto"/>
          <w:highlight w:val="none"/>
        </w:rPr>
        <w:fldChar w:fldCharType="begin"/>
      </w:r>
      <w:r>
        <w:rPr>
          <w:color w:val="auto"/>
          <w:highlight w:val="none"/>
        </w:rPr>
        <w:instrText xml:space="preserve"> PAGEREF _Toc1460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12F16FA6">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"_Toc14171" </w:instrText>
      </w:r>
      <w:r>
        <w:rPr>
          <w:color w:val="auto"/>
          <w:highlight w:val="none"/>
        </w:rPr>
        <w:fldChar w:fldCharType="separate"/>
      </w:r>
      <w:r>
        <w:rPr>
          <w:rFonts w:hint="eastAsia" w:ascii="宋体" w:hAnsi="宋体"/>
          <w:color w:val="auto"/>
          <w:highlight w:val="none"/>
        </w:rPr>
        <w:t>4．投标文件的澄清</w:t>
      </w:r>
      <w:r>
        <w:rPr>
          <w:color w:val="auto"/>
          <w:highlight w:val="none"/>
        </w:rPr>
        <w:tab/>
      </w:r>
      <w:r>
        <w:rPr>
          <w:color w:val="auto"/>
          <w:highlight w:val="none"/>
        </w:rPr>
        <w:fldChar w:fldCharType="begin"/>
      </w:r>
      <w:r>
        <w:rPr>
          <w:color w:val="auto"/>
          <w:highlight w:val="none"/>
        </w:rPr>
        <w:instrText xml:space="preserve"> PAGEREF _Toc14171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0BB56DCB">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"_Toc31874" </w:instrText>
      </w:r>
      <w:r>
        <w:rPr>
          <w:color w:val="auto"/>
          <w:highlight w:val="none"/>
        </w:rPr>
        <w:fldChar w:fldCharType="separate"/>
      </w:r>
      <w:r>
        <w:rPr>
          <w:rFonts w:hint="eastAsia" w:ascii="宋体" w:hAnsi="宋体"/>
          <w:color w:val="auto"/>
          <w:highlight w:val="none"/>
        </w:rPr>
        <w:t>5．投标文件的比较与评价</w:t>
      </w:r>
      <w:r>
        <w:rPr>
          <w:color w:val="auto"/>
          <w:highlight w:val="none"/>
        </w:rPr>
        <w:tab/>
      </w:r>
      <w:r>
        <w:rPr>
          <w:color w:val="auto"/>
          <w:highlight w:val="none"/>
        </w:rPr>
        <w:fldChar w:fldCharType="begin"/>
      </w:r>
      <w:r>
        <w:rPr>
          <w:color w:val="auto"/>
          <w:highlight w:val="none"/>
        </w:rPr>
        <w:instrText xml:space="preserve"> PAGEREF _Toc31874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19EA2332">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"_Toc21805" </w:instrText>
      </w:r>
      <w:r>
        <w:rPr>
          <w:color w:val="auto"/>
          <w:highlight w:val="none"/>
        </w:rPr>
        <w:fldChar w:fldCharType="separate"/>
      </w:r>
      <w:r>
        <w:rPr>
          <w:rFonts w:hint="eastAsia" w:ascii="宋体" w:hAnsi="宋体"/>
          <w:color w:val="auto"/>
          <w:highlight w:val="none"/>
        </w:rPr>
        <w:t>6．推荐中标候选人</w:t>
      </w:r>
      <w:r>
        <w:rPr>
          <w:color w:val="auto"/>
          <w:highlight w:val="none"/>
        </w:rPr>
        <w:tab/>
      </w:r>
      <w:r>
        <w:rPr>
          <w:color w:val="auto"/>
          <w:highlight w:val="none"/>
        </w:rPr>
        <w:fldChar w:fldCharType="begin"/>
      </w:r>
      <w:r>
        <w:rPr>
          <w:color w:val="auto"/>
          <w:highlight w:val="none"/>
        </w:rPr>
        <w:instrText xml:space="preserve"> PAGEREF _Toc21805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787A46EE">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"_Toc28541" </w:instrText>
      </w:r>
      <w:r>
        <w:rPr>
          <w:color w:val="auto"/>
          <w:highlight w:val="none"/>
        </w:rPr>
        <w:fldChar w:fldCharType="separate"/>
      </w:r>
      <w:r>
        <w:rPr>
          <w:rFonts w:hint="eastAsia" w:ascii="宋体" w:hAnsi="宋体"/>
          <w:color w:val="auto"/>
          <w:highlight w:val="none"/>
        </w:rPr>
        <w:t>7．编写评标报告</w:t>
      </w:r>
      <w:r>
        <w:rPr>
          <w:color w:val="auto"/>
          <w:highlight w:val="none"/>
        </w:rPr>
        <w:tab/>
      </w:r>
      <w:r>
        <w:rPr>
          <w:color w:val="auto"/>
          <w:highlight w:val="none"/>
        </w:rPr>
        <w:fldChar w:fldCharType="begin"/>
      </w:r>
      <w:r>
        <w:rPr>
          <w:color w:val="auto"/>
          <w:highlight w:val="none"/>
        </w:rPr>
        <w:instrText xml:space="preserve"> PAGEREF _Toc28541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5D8A4CB9">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"_Toc7558" </w:instrText>
      </w:r>
      <w:r>
        <w:rPr>
          <w:color w:val="auto"/>
          <w:highlight w:val="none"/>
        </w:rPr>
        <w:fldChar w:fldCharType="separate"/>
      </w:r>
      <w:r>
        <w:rPr>
          <w:rFonts w:hint="eastAsia" w:ascii="宋体" w:hAnsi="宋体"/>
          <w:color w:val="auto"/>
          <w:highlight w:val="none"/>
        </w:rPr>
        <w:t>8．评标报告复核</w:t>
      </w:r>
      <w:r>
        <w:rPr>
          <w:color w:val="auto"/>
          <w:highlight w:val="none"/>
        </w:rPr>
        <w:tab/>
      </w:r>
      <w:r>
        <w:rPr>
          <w:color w:val="auto"/>
          <w:highlight w:val="none"/>
        </w:rPr>
        <w:fldChar w:fldCharType="begin"/>
      </w:r>
      <w:r>
        <w:rPr>
          <w:color w:val="auto"/>
          <w:highlight w:val="none"/>
        </w:rPr>
        <w:instrText xml:space="preserve"> PAGEREF _Toc7558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7C915D61">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"_Toc7850" </w:instrText>
      </w:r>
      <w:r>
        <w:rPr>
          <w:color w:val="auto"/>
          <w:highlight w:val="none"/>
        </w:rPr>
        <w:fldChar w:fldCharType="separate"/>
      </w:r>
      <w:r>
        <w:rPr>
          <w:rFonts w:hint="eastAsia" w:ascii="宋体" w:hAnsi="宋体"/>
          <w:color w:val="auto"/>
          <w:highlight w:val="none"/>
        </w:rPr>
        <w:t>9．停止评标</w:t>
      </w:r>
      <w:r>
        <w:rPr>
          <w:color w:val="auto"/>
          <w:highlight w:val="none"/>
        </w:rPr>
        <w:tab/>
      </w:r>
      <w:r>
        <w:rPr>
          <w:color w:val="auto"/>
          <w:highlight w:val="none"/>
        </w:rPr>
        <w:fldChar w:fldCharType="begin"/>
      </w:r>
      <w:r>
        <w:rPr>
          <w:color w:val="auto"/>
          <w:highlight w:val="none"/>
        </w:rPr>
        <w:instrText xml:space="preserve"> PAGEREF _Toc7850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74B461E9">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"_Toc13040" </w:instrText>
      </w:r>
      <w:r>
        <w:rPr>
          <w:color w:val="auto"/>
          <w:highlight w:val="none"/>
        </w:rPr>
        <w:fldChar w:fldCharType="separate"/>
      </w:r>
      <w:r>
        <w:rPr>
          <w:rFonts w:hint="eastAsia" w:ascii="宋体" w:hAnsi="宋体"/>
          <w:color w:val="auto"/>
          <w:highlight w:val="none"/>
        </w:rPr>
        <w:t>10.废标</w:t>
      </w:r>
      <w:r>
        <w:rPr>
          <w:color w:val="auto"/>
          <w:highlight w:val="none"/>
        </w:rPr>
        <w:tab/>
      </w:r>
      <w:r>
        <w:rPr>
          <w:color w:val="auto"/>
          <w:highlight w:val="none"/>
        </w:rPr>
        <w:fldChar w:fldCharType="begin"/>
      </w:r>
      <w:r>
        <w:rPr>
          <w:color w:val="auto"/>
          <w:highlight w:val="none"/>
        </w:rPr>
        <w:instrText xml:space="preserve"> PAGEREF _Toc13040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3212F780">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"_Toc17085" </w:instrText>
      </w:r>
      <w:r>
        <w:rPr>
          <w:color w:val="auto"/>
          <w:highlight w:val="none"/>
        </w:rPr>
        <w:fldChar w:fldCharType="separate"/>
      </w:r>
      <w:r>
        <w:rPr>
          <w:rFonts w:hint="eastAsia" w:ascii="宋体" w:hAnsi="宋体" w:cs="宋体"/>
          <w:color w:val="auto"/>
          <w:highlight w:val="none"/>
        </w:rPr>
        <w:t>11．重新组建评标委员会进行评标</w:t>
      </w:r>
      <w:r>
        <w:rPr>
          <w:color w:val="auto"/>
          <w:highlight w:val="none"/>
        </w:rPr>
        <w:tab/>
      </w:r>
      <w:r>
        <w:rPr>
          <w:color w:val="auto"/>
          <w:highlight w:val="none"/>
        </w:rPr>
        <w:fldChar w:fldCharType="begin"/>
      </w:r>
      <w:r>
        <w:rPr>
          <w:color w:val="auto"/>
          <w:highlight w:val="none"/>
        </w:rPr>
        <w:instrText xml:space="preserve"> PAGEREF _Toc17085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1DB137B6">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"_Toc14134" </w:instrText>
      </w:r>
      <w:r>
        <w:rPr>
          <w:color w:val="auto"/>
          <w:highlight w:val="none"/>
        </w:rPr>
        <w:fldChar w:fldCharType="separate"/>
      </w:r>
      <w:r>
        <w:rPr>
          <w:rFonts w:hint="eastAsia" w:ascii="宋体" w:hAnsi="宋体"/>
          <w:color w:val="auto"/>
          <w:szCs w:val="28"/>
          <w:highlight w:val="none"/>
        </w:rPr>
        <w:t>第三节 投标文件的符合性审查</w:t>
      </w:r>
      <w:r>
        <w:rPr>
          <w:color w:val="auto"/>
          <w:highlight w:val="none"/>
        </w:rPr>
        <w:tab/>
      </w:r>
      <w:r>
        <w:rPr>
          <w:color w:val="auto"/>
          <w:highlight w:val="none"/>
        </w:rPr>
        <w:fldChar w:fldCharType="begin"/>
      </w:r>
      <w:r>
        <w:rPr>
          <w:color w:val="auto"/>
          <w:highlight w:val="none"/>
        </w:rPr>
        <w:instrText xml:space="preserve"> PAGEREF _Toc14134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3D41CD33">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"_Toc22963" </w:instrText>
      </w:r>
      <w:r>
        <w:rPr>
          <w:color w:val="auto"/>
          <w:highlight w:val="none"/>
        </w:rPr>
        <w:fldChar w:fldCharType="separate"/>
      </w:r>
      <w:r>
        <w:rPr>
          <w:rFonts w:hint="eastAsia" w:ascii="宋体" w:hAnsi="宋体"/>
          <w:color w:val="auto"/>
          <w:szCs w:val="21"/>
          <w:highlight w:val="none"/>
        </w:rPr>
        <w:t>附表1 符合性审查表</w:t>
      </w:r>
      <w:r>
        <w:rPr>
          <w:color w:val="auto"/>
          <w:highlight w:val="none"/>
        </w:rPr>
        <w:tab/>
      </w:r>
      <w:r>
        <w:rPr>
          <w:color w:val="auto"/>
          <w:highlight w:val="none"/>
        </w:rPr>
        <w:fldChar w:fldCharType="begin"/>
      </w:r>
      <w:r>
        <w:rPr>
          <w:color w:val="auto"/>
          <w:highlight w:val="none"/>
        </w:rPr>
        <w:instrText xml:space="preserve"> PAGEREF _Toc22963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34A5DF0E">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"_Toc6785" </w:instrText>
      </w:r>
      <w:r>
        <w:rPr>
          <w:color w:val="auto"/>
          <w:highlight w:val="none"/>
        </w:rPr>
        <w:fldChar w:fldCharType="separate"/>
      </w:r>
      <w:r>
        <w:rPr>
          <w:rFonts w:hint="eastAsia" w:ascii="宋体" w:hAnsi="宋体"/>
          <w:color w:val="auto"/>
          <w:szCs w:val="28"/>
          <w:highlight w:val="none"/>
        </w:rPr>
        <w:t>符合性审查表</w:t>
      </w:r>
      <w:r>
        <w:rPr>
          <w:color w:val="auto"/>
          <w:highlight w:val="none"/>
        </w:rPr>
        <w:tab/>
      </w:r>
      <w:r>
        <w:rPr>
          <w:color w:val="auto"/>
          <w:highlight w:val="none"/>
        </w:rPr>
        <w:fldChar w:fldCharType="begin"/>
      </w:r>
      <w:r>
        <w:rPr>
          <w:color w:val="auto"/>
          <w:highlight w:val="none"/>
        </w:rPr>
        <w:instrText xml:space="preserve"> PAGEREF _Toc6785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38748692">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"_Toc28477" </w:instrText>
      </w:r>
      <w:r>
        <w:rPr>
          <w:color w:val="auto"/>
          <w:highlight w:val="none"/>
        </w:rPr>
        <w:fldChar w:fldCharType="separate"/>
      </w:r>
      <w:r>
        <w:rPr>
          <w:rFonts w:hint="eastAsia" w:ascii="宋体" w:hAnsi="宋体"/>
          <w:color w:val="auto"/>
          <w:szCs w:val="28"/>
          <w:highlight w:val="none"/>
        </w:rPr>
        <w:t>符合性审查结果一览表</w:t>
      </w:r>
      <w:r>
        <w:rPr>
          <w:color w:val="auto"/>
          <w:highlight w:val="none"/>
        </w:rPr>
        <w:tab/>
      </w:r>
      <w:r>
        <w:rPr>
          <w:color w:val="auto"/>
          <w:highlight w:val="none"/>
        </w:rPr>
        <w:fldChar w:fldCharType="begin"/>
      </w:r>
      <w:r>
        <w:rPr>
          <w:color w:val="auto"/>
          <w:highlight w:val="none"/>
        </w:rPr>
        <w:instrText xml:space="preserve"> PAGEREF _Toc28477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064E35E0">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"_Toc15302" </w:instrText>
      </w:r>
      <w:r>
        <w:rPr>
          <w:color w:val="auto"/>
          <w:highlight w:val="none"/>
        </w:rPr>
        <w:fldChar w:fldCharType="separate"/>
      </w:r>
      <w:r>
        <w:rPr>
          <w:rFonts w:hint="eastAsia" w:ascii="宋体" w:hAnsi="宋体"/>
          <w:color w:val="auto"/>
          <w:szCs w:val="28"/>
          <w:highlight w:val="none"/>
        </w:rPr>
        <w:t>符合性审查合格投标人名单</w:t>
      </w:r>
      <w:r>
        <w:rPr>
          <w:color w:val="auto"/>
          <w:highlight w:val="none"/>
        </w:rPr>
        <w:tab/>
      </w:r>
      <w:r>
        <w:rPr>
          <w:color w:val="auto"/>
          <w:highlight w:val="none"/>
        </w:rPr>
        <w:fldChar w:fldCharType="begin"/>
      </w:r>
      <w:r>
        <w:rPr>
          <w:color w:val="auto"/>
          <w:highlight w:val="none"/>
        </w:rPr>
        <w:instrText xml:space="preserve"> PAGEREF _Toc15302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3E1AE3FA">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"_Toc1379" </w:instrText>
      </w:r>
      <w:r>
        <w:rPr>
          <w:color w:val="auto"/>
          <w:highlight w:val="none"/>
        </w:rPr>
        <w:fldChar w:fldCharType="separate"/>
      </w:r>
      <w:r>
        <w:rPr>
          <w:rFonts w:hint="eastAsia" w:ascii="宋体" w:hAnsi="宋体"/>
          <w:color w:val="auto"/>
          <w:szCs w:val="28"/>
          <w:highlight w:val="none"/>
        </w:rPr>
        <w:t>第四节 投标文件的比较与评价（综合评分法）</w:t>
      </w:r>
      <w:r>
        <w:rPr>
          <w:color w:val="auto"/>
          <w:highlight w:val="none"/>
        </w:rPr>
        <w:tab/>
      </w:r>
      <w:r>
        <w:rPr>
          <w:color w:val="auto"/>
          <w:highlight w:val="none"/>
        </w:rPr>
        <w:fldChar w:fldCharType="begin"/>
      </w:r>
      <w:r>
        <w:rPr>
          <w:color w:val="auto"/>
          <w:highlight w:val="none"/>
        </w:rPr>
        <w:instrText xml:space="preserve"> PAGEREF _Toc1379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4B214B66">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"_Toc11410" </w:instrText>
      </w:r>
      <w:r>
        <w:rPr>
          <w:color w:val="auto"/>
          <w:highlight w:val="none"/>
        </w:rPr>
        <w:fldChar w:fldCharType="separate"/>
      </w:r>
      <w:r>
        <w:rPr>
          <w:rFonts w:hint="eastAsia" w:ascii="宋体" w:hAnsi="宋体"/>
          <w:color w:val="auto"/>
          <w:szCs w:val="21"/>
          <w:highlight w:val="none"/>
        </w:rPr>
        <w:t>附页1 评标方法及标准表</w:t>
      </w:r>
      <w:r>
        <w:rPr>
          <w:color w:val="auto"/>
          <w:highlight w:val="none"/>
        </w:rPr>
        <w:tab/>
      </w:r>
      <w:r>
        <w:rPr>
          <w:color w:val="auto"/>
          <w:highlight w:val="none"/>
        </w:rPr>
        <w:fldChar w:fldCharType="begin"/>
      </w:r>
      <w:r>
        <w:rPr>
          <w:color w:val="auto"/>
          <w:highlight w:val="none"/>
        </w:rPr>
        <w:instrText xml:space="preserve"> PAGEREF _Toc11410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3A66C8B0">
      <w:pPr>
        <w:pStyle w:val="32"/>
        <w:tabs>
          <w:tab w:val="right" w:leader="dot" w:pos="8844"/>
        </w:tabs>
        <w:rPr>
          <w:color w:val="auto"/>
          <w:highlight w:val="none"/>
        </w:rPr>
      </w:pPr>
      <w:r>
        <w:rPr>
          <w:color w:val="auto"/>
          <w:highlight w:val="none"/>
        </w:rPr>
        <w:fldChar w:fldCharType="begin"/>
      </w:r>
      <w:r>
        <w:rPr>
          <w:color w:val="auto"/>
          <w:highlight w:val="none"/>
        </w:rPr>
        <w:instrText xml:space="preserve"> HYPERLINK \l "_Toc13795" </w:instrText>
      </w:r>
      <w:r>
        <w:rPr>
          <w:color w:val="auto"/>
          <w:highlight w:val="none"/>
        </w:rPr>
        <w:fldChar w:fldCharType="separate"/>
      </w:r>
      <w:r>
        <w:rPr>
          <w:rFonts w:hint="eastAsia" w:cs="Courier New"/>
          <w:color w:val="auto"/>
          <w:szCs w:val="32"/>
          <w:highlight w:val="none"/>
        </w:rPr>
        <w:t>第五章  采购需求</w:t>
      </w:r>
      <w:r>
        <w:rPr>
          <w:color w:val="auto"/>
          <w:highlight w:val="none"/>
        </w:rPr>
        <w:tab/>
      </w:r>
      <w:r>
        <w:rPr>
          <w:color w:val="auto"/>
          <w:highlight w:val="none"/>
        </w:rPr>
        <w:fldChar w:fldCharType="begin"/>
      </w:r>
      <w:r>
        <w:rPr>
          <w:color w:val="auto"/>
          <w:highlight w:val="none"/>
        </w:rPr>
        <w:instrText xml:space="preserve"> PAGEREF _Toc13795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73C1F78E">
      <w:pPr>
        <w:pStyle w:val="32"/>
        <w:tabs>
          <w:tab w:val="right" w:leader="dot" w:pos="8844"/>
        </w:tabs>
        <w:rPr>
          <w:color w:val="auto"/>
          <w:highlight w:val="none"/>
        </w:rPr>
      </w:pPr>
      <w:r>
        <w:rPr>
          <w:color w:val="auto"/>
          <w:highlight w:val="none"/>
        </w:rPr>
        <w:fldChar w:fldCharType="begin"/>
      </w:r>
      <w:r>
        <w:rPr>
          <w:color w:val="auto"/>
          <w:highlight w:val="none"/>
        </w:rPr>
        <w:instrText xml:space="preserve"> HYPERLINK \l "_Toc15495" </w:instrText>
      </w:r>
      <w:r>
        <w:rPr>
          <w:color w:val="auto"/>
          <w:highlight w:val="none"/>
        </w:rPr>
        <w:fldChar w:fldCharType="separate"/>
      </w:r>
      <w:r>
        <w:rPr>
          <w:rFonts w:hint="eastAsia"/>
          <w:color w:val="auto"/>
          <w:szCs w:val="32"/>
          <w:highlight w:val="none"/>
        </w:rPr>
        <w:t>第六章 政府采购合同</w:t>
      </w:r>
      <w:r>
        <w:rPr>
          <w:color w:val="auto"/>
          <w:highlight w:val="none"/>
        </w:rPr>
        <w:tab/>
      </w:r>
      <w:r>
        <w:rPr>
          <w:color w:val="auto"/>
          <w:highlight w:val="none"/>
        </w:rPr>
        <w:fldChar w:fldCharType="begin"/>
      </w:r>
      <w:r>
        <w:rPr>
          <w:color w:val="auto"/>
          <w:highlight w:val="none"/>
        </w:rPr>
        <w:instrText xml:space="preserve"> PAGEREF _Toc15495 \h </w:instrText>
      </w:r>
      <w:r>
        <w:rPr>
          <w:color w:val="auto"/>
          <w:highlight w:val="none"/>
        </w:rPr>
        <w:fldChar w:fldCharType="separate"/>
      </w:r>
      <w:r>
        <w:rPr>
          <w:color w:val="auto"/>
          <w:highlight w:val="none"/>
        </w:rPr>
        <w:t>63</w:t>
      </w:r>
      <w:r>
        <w:rPr>
          <w:color w:val="auto"/>
          <w:highlight w:val="none"/>
        </w:rPr>
        <w:fldChar w:fldCharType="end"/>
      </w:r>
      <w:r>
        <w:rPr>
          <w:color w:val="auto"/>
          <w:highlight w:val="none"/>
        </w:rPr>
        <w:fldChar w:fldCharType="end"/>
      </w:r>
    </w:p>
    <w:p w14:paraId="39128761">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"_Toc9033" </w:instrText>
      </w:r>
      <w:r>
        <w:rPr>
          <w:color w:val="auto"/>
          <w:highlight w:val="none"/>
        </w:rPr>
        <w:fldChar w:fldCharType="separate"/>
      </w:r>
      <w:r>
        <w:rPr>
          <w:rFonts w:hint="eastAsia" w:ascii="宋体" w:hAnsi="宋体"/>
          <w:color w:val="auto"/>
          <w:szCs w:val="28"/>
          <w:highlight w:val="none"/>
        </w:rPr>
        <w:t>第一节 政府采购合同协议书</w:t>
      </w:r>
      <w:r>
        <w:rPr>
          <w:color w:val="auto"/>
          <w:highlight w:val="none"/>
        </w:rPr>
        <w:tab/>
      </w:r>
      <w:r>
        <w:rPr>
          <w:color w:val="auto"/>
          <w:highlight w:val="none"/>
        </w:rPr>
        <w:fldChar w:fldCharType="begin"/>
      </w:r>
      <w:r>
        <w:rPr>
          <w:color w:val="auto"/>
          <w:highlight w:val="none"/>
        </w:rPr>
        <w:instrText xml:space="preserve"> PAGEREF _Toc9033 \h </w:instrText>
      </w:r>
      <w:r>
        <w:rPr>
          <w:color w:val="auto"/>
          <w:highlight w:val="none"/>
        </w:rPr>
        <w:fldChar w:fldCharType="separate"/>
      </w:r>
      <w:r>
        <w:rPr>
          <w:color w:val="auto"/>
          <w:highlight w:val="none"/>
        </w:rPr>
        <w:t>63</w:t>
      </w:r>
      <w:r>
        <w:rPr>
          <w:color w:val="auto"/>
          <w:highlight w:val="none"/>
        </w:rPr>
        <w:fldChar w:fldCharType="end"/>
      </w:r>
      <w:r>
        <w:rPr>
          <w:color w:val="auto"/>
          <w:highlight w:val="none"/>
        </w:rPr>
        <w:fldChar w:fldCharType="end"/>
      </w:r>
    </w:p>
    <w:p w14:paraId="42476163">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"_Toc6055" </w:instrText>
      </w:r>
      <w:r>
        <w:rPr>
          <w:color w:val="auto"/>
          <w:highlight w:val="none"/>
        </w:rPr>
        <w:fldChar w:fldCharType="separate"/>
      </w:r>
      <w:r>
        <w:rPr>
          <w:rFonts w:hint="eastAsia" w:ascii="宋体" w:hAnsi="宋体"/>
          <w:color w:val="auto"/>
          <w:szCs w:val="28"/>
          <w:highlight w:val="none"/>
        </w:rPr>
        <w:t>第二节  政府采购合同专用条款</w:t>
      </w:r>
      <w:r>
        <w:rPr>
          <w:color w:val="auto"/>
          <w:highlight w:val="none"/>
        </w:rPr>
        <w:tab/>
      </w:r>
      <w:r>
        <w:rPr>
          <w:color w:val="auto"/>
          <w:highlight w:val="none"/>
        </w:rPr>
        <w:fldChar w:fldCharType="begin"/>
      </w:r>
      <w:r>
        <w:rPr>
          <w:color w:val="auto"/>
          <w:highlight w:val="none"/>
        </w:rPr>
        <w:instrText xml:space="preserve"> PAGEREF _Toc6055 \h </w:instrText>
      </w:r>
      <w:r>
        <w:rPr>
          <w:color w:val="auto"/>
          <w:highlight w:val="none"/>
        </w:rPr>
        <w:fldChar w:fldCharType="separate"/>
      </w:r>
      <w:r>
        <w:rPr>
          <w:color w:val="auto"/>
          <w:highlight w:val="none"/>
        </w:rPr>
        <w:t>66</w:t>
      </w:r>
      <w:r>
        <w:rPr>
          <w:color w:val="auto"/>
          <w:highlight w:val="none"/>
        </w:rPr>
        <w:fldChar w:fldCharType="end"/>
      </w:r>
      <w:r>
        <w:rPr>
          <w:color w:val="auto"/>
          <w:highlight w:val="none"/>
        </w:rPr>
        <w:fldChar w:fldCharType="end"/>
      </w:r>
    </w:p>
    <w:p w14:paraId="7B38DC22">
      <w:pPr>
        <w:pStyle w:val="32"/>
        <w:tabs>
          <w:tab w:val="right" w:leader="dot" w:pos="8844"/>
        </w:tabs>
        <w:rPr>
          <w:color w:val="auto"/>
          <w:highlight w:val="none"/>
        </w:rPr>
      </w:pPr>
      <w:r>
        <w:rPr>
          <w:color w:val="auto"/>
          <w:highlight w:val="none"/>
        </w:rPr>
        <w:fldChar w:fldCharType="begin"/>
      </w:r>
      <w:r>
        <w:rPr>
          <w:color w:val="auto"/>
          <w:highlight w:val="none"/>
        </w:rPr>
        <w:instrText xml:space="preserve"> HYPERLINK \l "_Toc13965" </w:instrText>
      </w:r>
      <w:r>
        <w:rPr>
          <w:color w:val="auto"/>
          <w:highlight w:val="none"/>
        </w:rPr>
        <w:fldChar w:fldCharType="separate"/>
      </w:r>
      <w:r>
        <w:rPr>
          <w:rFonts w:hint="eastAsia"/>
          <w:color w:val="auto"/>
          <w:szCs w:val="32"/>
          <w:highlight w:val="none"/>
        </w:rPr>
        <w:t>第七章 投标文件的组成</w:t>
      </w:r>
      <w:r>
        <w:rPr>
          <w:color w:val="auto"/>
          <w:highlight w:val="none"/>
        </w:rPr>
        <w:tab/>
      </w:r>
      <w:r>
        <w:rPr>
          <w:color w:val="auto"/>
          <w:highlight w:val="none"/>
        </w:rPr>
        <w:fldChar w:fldCharType="begin"/>
      </w:r>
      <w:r>
        <w:rPr>
          <w:color w:val="auto"/>
          <w:highlight w:val="none"/>
        </w:rPr>
        <w:instrText xml:space="preserve"> PAGEREF _Toc13965 \h </w:instrText>
      </w:r>
      <w:r>
        <w:rPr>
          <w:color w:val="auto"/>
          <w:highlight w:val="none"/>
        </w:rPr>
        <w:fldChar w:fldCharType="separate"/>
      </w:r>
      <w:r>
        <w:rPr>
          <w:color w:val="auto"/>
          <w:highlight w:val="none"/>
        </w:rPr>
        <w:t>67</w:t>
      </w:r>
      <w:r>
        <w:rPr>
          <w:color w:val="auto"/>
          <w:highlight w:val="none"/>
        </w:rPr>
        <w:fldChar w:fldCharType="end"/>
      </w:r>
      <w:r>
        <w:rPr>
          <w:color w:val="auto"/>
          <w:highlight w:val="none"/>
        </w:rPr>
        <w:fldChar w:fldCharType="end"/>
      </w:r>
    </w:p>
    <w:p w14:paraId="25F5F1AD">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"_Toc17414" </w:instrText>
      </w:r>
      <w:r>
        <w:rPr>
          <w:color w:val="auto"/>
          <w:highlight w:val="none"/>
        </w:rPr>
        <w:fldChar w:fldCharType="separate"/>
      </w:r>
      <w:r>
        <w:rPr>
          <w:rFonts w:hint="eastAsia" w:ascii="宋体" w:hAnsi="宋体"/>
          <w:color w:val="auto"/>
          <w:szCs w:val="44"/>
          <w:highlight w:val="none"/>
        </w:rPr>
        <w:t>第一部分 资格证明文件</w:t>
      </w:r>
      <w:r>
        <w:rPr>
          <w:color w:val="auto"/>
          <w:highlight w:val="none"/>
        </w:rPr>
        <w:tab/>
      </w:r>
      <w:r>
        <w:rPr>
          <w:color w:val="auto"/>
          <w:highlight w:val="none"/>
        </w:rPr>
        <w:fldChar w:fldCharType="begin"/>
      </w:r>
      <w:r>
        <w:rPr>
          <w:color w:val="auto"/>
          <w:highlight w:val="none"/>
        </w:rPr>
        <w:instrText xml:space="preserve"> PAGEREF _Toc17414 \h </w:instrText>
      </w:r>
      <w:r>
        <w:rPr>
          <w:color w:val="auto"/>
          <w:highlight w:val="none"/>
        </w:rPr>
        <w:fldChar w:fldCharType="separate"/>
      </w:r>
      <w:r>
        <w:rPr>
          <w:color w:val="auto"/>
          <w:highlight w:val="none"/>
        </w:rPr>
        <w:t>68</w:t>
      </w:r>
      <w:r>
        <w:rPr>
          <w:color w:val="auto"/>
          <w:highlight w:val="none"/>
        </w:rPr>
        <w:fldChar w:fldCharType="end"/>
      </w:r>
      <w:r>
        <w:rPr>
          <w:color w:val="auto"/>
          <w:highlight w:val="none"/>
        </w:rPr>
        <w:fldChar w:fldCharType="end"/>
      </w:r>
    </w:p>
    <w:p w14:paraId="7B9FC418">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"_Toc652" </w:instrText>
      </w:r>
      <w:r>
        <w:rPr>
          <w:color w:val="auto"/>
          <w:highlight w:val="none"/>
        </w:rPr>
        <w:fldChar w:fldCharType="separate"/>
      </w:r>
      <w:r>
        <w:rPr>
          <w:rFonts w:hint="eastAsia" w:ascii="宋体" w:hAnsi="宋体"/>
          <w:color w:val="auto"/>
          <w:szCs w:val="28"/>
          <w:highlight w:val="none"/>
        </w:rPr>
        <w:t>一、开标一览表</w:t>
      </w:r>
      <w:r>
        <w:rPr>
          <w:color w:val="auto"/>
          <w:highlight w:val="none"/>
        </w:rPr>
        <w:tab/>
      </w:r>
      <w:r>
        <w:rPr>
          <w:color w:val="auto"/>
          <w:highlight w:val="none"/>
        </w:rPr>
        <w:fldChar w:fldCharType="begin"/>
      </w:r>
      <w:r>
        <w:rPr>
          <w:color w:val="auto"/>
          <w:highlight w:val="none"/>
        </w:rPr>
        <w:instrText xml:space="preserve"> PAGEREF _Toc652 \h </w:instrText>
      </w:r>
      <w:r>
        <w:rPr>
          <w:color w:val="auto"/>
          <w:highlight w:val="none"/>
        </w:rPr>
        <w:fldChar w:fldCharType="separate"/>
      </w:r>
      <w:r>
        <w:rPr>
          <w:color w:val="auto"/>
          <w:highlight w:val="none"/>
        </w:rPr>
        <w:t>69</w:t>
      </w:r>
      <w:r>
        <w:rPr>
          <w:color w:val="auto"/>
          <w:highlight w:val="none"/>
        </w:rPr>
        <w:fldChar w:fldCharType="end"/>
      </w:r>
      <w:r>
        <w:rPr>
          <w:color w:val="auto"/>
          <w:highlight w:val="none"/>
        </w:rPr>
        <w:fldChar w:fldCharType="end"/>
      </w:r>
    </w:p>
    <w:p w14:paraId="1237B045">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"_Toc25050" </w:instrText>
      </w:r>
      <w:r>
        <w:rPr>
          <w:color w:val="auto"/>
          <w:highlight w:val="none"/>
        </w:rPr>
        <w:fldChar w:fldCharType="separate"/>
      </w:r>
      <w:r>
        <w:rPr>
          <w:rFonts w:hint="eastAsia" w:ascii="宋体" w:hAnsi="宋体"/>
          <w:color w:val="auto"/>
          <w:szCs w:val="28"/>
          <w:highlight w:val="none"/>
        </w:rPr>
        <w:t>二、投标保证金</w:t>
      </w:r>
      <w:r>
        <w:rPr>
          <w:color w:val="auto"/>
          <w:highlight w:val="none"/>
        </w:rPr>
        <w:tab/>
      </w:r>
      <w:r>
        <w:rPr>
          <w:color w:val="auto"/>
          <w:highlight w:val="none"/>
        </w:rPr>
        <w:fldChar w:fldCharType="begin"/>
      </w:r>
      <w:r>
        <w:rPr>
          <w:color w:val="auto"/>
          <w:highlight w:val="none"/>
        </w:rPr>
        <w:instrText xml:space="preserve"> PAGEREF _Toc25050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2539DD59">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"_Toc17474" </w:instrText>
      </w:r>
      <w:r>
        <w:rPr>
          <w:color w:val="auto"/>
          <w:highlight w:val="none"/>
        </w:rPr>
        <w:fldChar w:fldCharType="separate"/>
      </w:r>
      <w:r>
        <w:rPr>
          <w:rFonts w:hint="eastAsia" w:ascii="宋体" w:hAnsi="宋体"/>
          <w:color w:val="auto"/>
          <w:szCs w:val="28"/>
          <w:highlight w:val="none"/>
        </w:rPr>
        <w:t>三、授权委托书</w:t>
      </w:r>
      <w:r>
        <w:rPr>
          <w:color w:val="auto"/>
          <w:highlight w:val="none"/>
        </w:rPr>
        <w:tab/>
      </w:r>
      <w:r>
        <w:rPr>
          <w:color w:val="auto"/>
          <w:highlight w:val="none"/>
        </w:rPr>
        <w:fldChar w:fldCharType="begin"/>
      </w:r>
      <w:r>
        <w:rPr>
          <w:color w:val="auto"/>
          <w:highlight w:val="none"/>
        </w:rPr>
        <w:instrText xml:space="preserve"> PAGEREF _Toc17474 \h </w:instrText>
      </w:r>
      <w:r>
        <w:rPr>
          <w:color w:val="auto"/>
          <w:highlight w:val="none"/>
        </w:rPr>
        <w:fldChar w:fldCharType="separate"/>
      </w:r>
      <w:r>
        <w:rPr>
          <w:color w:val="auto"/>
          <w:highlight w:val="none"/>
        </w:rPr>
        <w:t>71</w:t>
      </w:r>
      <w:r>
        <w:rPr>
          <w:color w:val="auto"/>
          <w:highlight w:val="none"/>
        </w:rPr>
        <w:fldChar w:fldCharType="end"/>
      </w:r>
      <w:r>
        <w:rPr>
          <w:color w:val="auto"/>
          <w:highlight w:val="none"/>
        </w:rPr>
        <w:fldChar w:fldCharType="end"/>
      </w:r>
    </w:p>
    <w:p w14:paraId="7AF88D46">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"_Toc26950" </w:instrText>
      </w:r>
      <w:r>
        <w:rPr>
          <w:color w:val="auto"/>
          <w:highlight w:val="none"/>
        </w:rPr>
        <w:fldChar w:fldCharType="separate"/>
      </w:r>
      <w:r>
        <w:rPr>
          <w:rFonts w:hint="eastAsia" w:ascii="宋体" w:hAnsi="宋体"/>
          <w:color w:val="auto"/>
          <w:szCs w:val="28"/>
          <w:highlight w:val="none"/>
        </w:rPr>
        <w:t>四、投标人提供的资格证明文件</w:t>
      </w:r>
      <w:r>
        <w:rPr>
          <w:color w:val="auto"/>
          <w:highlight w:val="none"/>
        </w:rPr>
        <w:tab/>
      </w:r>
      <w:r>
        <w:rPr>
          <w:color w:val="auto"/>
          <w:highlight w:val="none"/>
        </w:rPr>
        <w:fldChar w:fldCharType="begin"/>
      </w:r>
      <w:r>
        <w:rPr>
          <w:color w:val="auto"/>
          <w:highlight w:val="none"/>
        </w:rPr>
        <w:instrText xml:space="preserve"> PAGEREF _Toc26950 \h </w:instrText>
      </w:r>
      <w:r>
        <w:rPr>
          <w:color w:val="auto"/>
          <w:highlight w:val="none"/>
        </w:rPr>
        <w:fldChar w:fldCharType="separate"/>
      </w:r>
      <w:r>
        <w:rPr>
          <w:color w:val="auto"/>
          <w:highlight w:val="none"/>
        </w:rPr>
        <w:t>72</w:t>
      </w:r>
      <w:r>
        <w:rPr>
          <w:color w:val="auto"/>
          <w:highlight w:val="none"/>
        </w:rPr>
        <w:fldChar w:fldCharType="end"/>
      </w:r>
      <w:r>
        <w:rPr>
          <w:color w:val="auto"/>
          <w:highlight w:val="none"/>
        </w:rPr>
        <w:fldChar w:fldCharType="end"/>
      </w:r>
    </w:p>
    <w:p w14:paraId="03B930CB">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"_Toc28151" </w:instrText>
      </w:r>
      <w:r>
        <w:rPr>
          <w:color w:val="auto"/>
          <w:highlight w:val="none"/>
        </w:rPr>
        <w:fldChar w:fldCharType="separate"/>
      </w:r>
      <w:r>
        <w:rPr>
          <w:rFonts w:hint="eastAsia" w:ascii="黑体" w:hAnsi="仿宋" w:eastAsia="黑体" w:cs="宋体"/>
          <w:color w:val="auto"/>
          <w:szCs w:val="28"/>
          <w:highlight w:val="none"/>
        </w:rPr>
        <w:t>法人或者其他组织的营业执照等主体资格证明文件，自然人的身份证明</w:t>
      </w:r>
      <w:r>
        <w:rPr>
          <w:color w:val="auto"/>
          <w:highlight w:val="none"/>
        </w:rPr>
        <w:tab/>
      </w:r>
      <w:r>
        <w:rPr>
          <w:color w:val="auto"/>
          <w:highlight w:val="none"/>
        </w:rPr>
        <w:fldChar w:fldCharType="begin"/>
      </w:r>
      <w:r>
        <w:rPr>
          <w:color w:val="auto"/>
          <w:highlight w:val="none"/>
        </w:rPr>
        <w:instrText xml:space="preserve"> PAGEREF _Toc28151 \h </w:instrText>
      </w:r>
      <w:r>
        <w:rPr>
          <w:color w:val="auto"/>
          <w:highlight w:val="none"/>
        </w:rPr>
        <w:fldChar w:fldCharType="separate"/>
      </w:r>
      <w:r>
        <w:rPr>
          <w:color w:val="auto"/>
          <w:highlight w:val="none"/>
        </w:rPr>
        <w:t>73</w:t>
      </w:r>
      <w:r>
        <w:rPr>
          <w:color w:val="auto"/>
          <w:highlight w:val="none"/>
        </w:rPr>
        <w:fldChar w:fldCharType="end"/>
      </w:r>
      <w:r>
        <w:rPr>
          <w:color w:val="auto"/>
          <w:highlight w:val="none"/>
        </w:rPr>
        <w:fldChar w:fldCharType="end"/>
      </w:r>
    </w:p>
    <w:p w14:paraId="5ACD3C8E">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"_Toc15193" </w:instrText>
      </w:r>
      <w:r>
        <w:rPr>
          <w:color w:val="auto"/>
          <w:highlight w:val="none"/>
        </w:rPr>
        <w:fldChar w:fldCharType="separate"/>
      </w:r>
      <w:r>
        <w:rPr>
          <w:rFonts w:hint="eastAsia" w:ascii="黑体" w:hAnsi="仿宋" w:eastAsia="黑体" w:cs="宋体"/>
          <w:color w:val="auto"/>
          <w:szCs w:val="28"/>
          <w:highlight w:val="none"/>
        </w:rPr>
        <w:t>湖南省政府采购供应商资格承诺函(格式)</w:t>
      </w:r>
      <w:r>
        <w:rPr>
          <w:color w:val="auto"/>
          <w:highlight w:val="none"/>
        </w:rPr>
        <w:tab/>
      </w:r>
      <w:r>
        <w:rPr>
          <w:color w:val="auto"/>
          <w:highlight w:val="none"/>
        </w:rPr>
        <w:fldChar w:fldCharType="begin"/>
      </w:r>
      <w:r>
        <w:rPr>
          <w:color w:val="auto"/>
          <w:highlight w:val="none"/>
        </w:rPr>
        <w:instrText xml:space="preserve"> PAGEREF _Toc15193 \h </w:instrText>
      </w:r>
      <w:r>
        <w:rPr>
          <w:color w:val="auto"/>
          <w:highlight w:val="none"/>
        </w:rPr>
        <w:fldChar w:fldCharType="separate"/>
      </w:r>
      <w:r>
        <w:rPr>
          <w:color w:val="auto"/>
          <w:highlight w:val="none"/>
        </w:rPr>
        <w:t>74</w:t>
      </w:r>
      <w:r>
        <w:rPr>
          <w:color w:val="auto"/>
          <w:highlight w:val="none"/>
        </w:rPr>
        <w:fldChar w:fldCharType="end"/>
      </w:r>
      <w:r>
        <w:rPr>
          <w:color w:val="auto"/>
          <w:highlight w:val="none"/>
        </w:rPr>
        <w:fldChar w:fldCharType="end"/>
      </w:r>
    </w:p>
    <w:p w14:paraId="3E327F79">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"_Toc23745" </w:instrText>
      </w:r>
      <w:r>
        <w:rPr>
          <w:color w:val="auto"/>
          <w:highlight w:val="none"/>
        </w:rPr>
        <w:fldChar w:fldCharType="separate"/>
      </w:r>
      <w:r>
        <w:rPr>
          <w:rFonts w:hint="eastAsia" w:ascii="黑体" w:hAnsi="仿宋" w:eastAsia="黑体" w:cs="宋体"/>
          <w:color w:val="auto"/>
          <w:szCs w:val="28"/>
          <w:highlight w:val="none"/>
        </w:rPr>
        <w:t>符合特定资格条件证明材料复印件或者情况说明</w:t>
      </w:r>
      <w:r>
        <w:rPr>
          <w:color w:val="auto"/>
          <w:highlight w:val="none"/>
        </w:rPr>
        <w:tab/>
      </w:r>
      <w:r>
        <w:rPr>
          <w:color w:val="auto"/>
          <w:highlight w:val="none"/>
        </w:rPr>
        <w:fldChar w:fldCharType="begin"/>
      </w:r>
      <w:r>
        <w:rPr>
          <w:color w:val="auto"/>
          <w:highlight w:val="none"/>
        </w:rPr>
        <w:instrText xml:space="preserve"> PAGEREF _Toc23745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6B96A588">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"_Toc18448" </w:instrText>
      </w:r>
      <w:r>
        <w:rPr>
          <w:color w:val="auto"/>
          <w:highlight w:val="none"/>
        </w:rPr>
        <w:fldChar w:fldCharType="separate"/>
      </w:r>
      <w:r>
        <w:rPr>
          <w:rFonts w:hint="eastAsia" w:ascii="黑体" w:hAnsi="仿宋" w:eastAsia="黑体" w:cs="宋体"/>
          <w:color w:val="auto"/>
          <w:szCs w:val="28"/>
          <w:highlight w:val="none"/>
        </w:rPr>
        <w:t>联合体协议书（格式）</w:t>
      </w:r>
      <w:r>
        <w:rPr>
          <w:color w:val="auto"/>
          <w:highlight w:val="none"/>
        </w:rPr>
        <w:tab/>
      </w:r>
      <w:r>
        <w:rPr>
          <w:color w:val="auto"/>
          <w:highlight w:val="none"/>
        </w:rPr>
        <w:fldChar w:fldCharType="begin"/>
      </w:r>
      <w:r>
        <w:rPr>
          <w:color w:val="auto"/>
          <w:highlight w:val="none"/>
        </w:rPr>
        <w:instrText xml:space="preserve"> PAGEREF _Toc18448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3960D7F7">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"_Toc4861" </w:instrText>
      </w:r>
      <w:r>
        <w:rPr>
          <w:color w:val="auto"/>
          <w:highlight w:val="none"/>
        </w:rPr>
        <w:fldChar w:fldCharType="separate"/>
      </w:r>
      <w:r>
        <w:rPr>
          <w:rFonts w:hint="eastAsia" w:ascii="宋体" w:hAnsi="宋体"/>
          <w:color w:val="auto"/>
          <w:szCs w:val="44"/>
          <w:highlight w:val="none"/>
        </w:rPr>
        <w:t>第二部分 商务技术文件</w:t>
      </w:r>
      <w:r>
        <w:rPr>
          <w:color w:val="auto"/>
          <w:highlight w:val="none"/>
        </w:rPr>
        <w:tab/>
      </w:r>
      <w:r>
        <w:rPr>
          <w:color w:val="auto"/>
          <w:highlight w:val="none"/>
        </w:rPr>
        <w:fldChar w:fldCharType="begin"/>
      </w:r>
      <w:r>
        <w:rPr>
          <w:color w:val="auto"/>
          <w:highlight w:val="none"/>
        </w:rPr>
        <w:instrText xml:space="preserve"> PAGEREF _Toc4861 \h </w:instrText>
      </w:r>
      <w:r>
        <w:rPr>
          <w:color w:val="auto"/>
          <w:highlight w:val="none"/>
        </w:rPr>
        <w:fldChar w:fldCharType="separate"/>
      </w:r>
      <w:r>
        <w:rPr>
          <w:color w:val="auto"/>
          <w:highlight w:val="none"/>
        </w:rPr>
        <w:t>78</w:t>
      </w:r>
      <w:r>
        <w:rPr>
          <w:color w:val="auto"/>
          <w:highlight w:val="none"/>
        </w:rPr>
        <w:fldChar w:fldCharType="end"/>
      </w:r>
      <w:r>
        <w:rPr>
          <w:color w:val="auto"/>
          <w:highlight w:val="none"/>
        </w:rPr>
        <w:fldChar w:fldCharType="end"/>
      </w:r>
    </w:p>
    <w:p w14:paraId="5BB9DF0C">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"_Toc22878" </w:instrText>
      </w:r>
      <w:r>
        <w:rPr>
          <w:color w:val="auto"/>
          <w:highlight w:val="none"/>
        </w:rPr>
        <w:fldChar w:fldCharType="separate"/>
      </w:r>
      <w:r>
        <w:rPr>
          <w:rFonts w:hint="eastAsia" w:ascii="宋体" w:hAnsi="宋体"/>
          <w:color w:val="auto"/>
          <w:szCs w:val="28"/>
          <w:highlight w:val="none"/>
        </w:rPr>
        <w:t>五</w:t>
      </w:r>
      <w:r>
        <w:rPr>
          <w:rFonts w:ascii="宋体" w:hAnsi="宋体"/>
          <w:color w:val="auto"/>
          <w:szCs w:val="28"/>
          <w:highlight w:val="none"/>
        </w:rPr>
        <w:t>、</w:t>
      </w:r>
      <w:r>
        <w:rPr>
          <w:rFonts w:hint="eastAsia" w:ascii="宋体" w:hAnsi="宋体"/>
          <w:color w:val="auto"/>
          <w:szCs w:val="28"/>
          <w:highlight w:val="none"/>
        </w:rPr>
        <w:t>投标函</w:t>
      </w:r>
      <w:r>
        <w:rPr>
          <w:color w:val="auto"/>
          <w:highlight w:val="none"/>
        </w:rPr>
        <w:tab/>
      </w:r>
      <w:r>
        <w:rPr>
          <w:color w:val="auto"/>
          <w:highlight w:val="none"/>
        </w:rPr>
        <w:fldChar w:fldCharType="begin"/>
      </w:r>
      <w:r>
        <w:rPr>
          <w:color w:val="auto"/>
          <w:highlight w:val="none"/>
        </w:rPr>
        <w:instrText xml:space="preserve"> PAGEREF _Toc22878 \h </w:instrText>
      </w:r>
      <w:r>
        <w:rPr>
          <w:color w:val="auto"/>
          <w:highlight w:val="none"/>
        </w:rPr>
        <w:fldChar w:fldCharType="separate"/>
      </w:r>
      <w:r>
        <w:rPr>
          <w:color w:val="auto"/>
          <w:highlight w:val="none"/>
        </w:rPr>
        <w:t>79</w:t>
      </w:r>
      <w:r>
        <w:rPr>
          <w:color w:val="auto"/>
          <w:highlight w:val="none"/>
        </w:rPr>
        <w:fldChar w:fldCharType="end"/>
      </w:r>
      <w:r>
        <w:rPr>
          <w:color w:val="auto"/>
          <w:highlight w:val="none"/>
        </w:rPr>
        <w:fldChar w:fldCharType="end"/>
      </w:r>
    </w:p>
    <w:p w14:paraId="0EA10717">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"_Toc26544" </w:instrText>
      </w:r>
      <w:r>
        <w:rPr>
          <w:color w:val="auto"/>
          <w:highlight w:val="none"/>
        </w:rPr>
        <w:fldChar w:fldCharType="separate"/>
      </w:r>
      <w:r>
        <w:rPr>
          <w:rFonts w:hint="eastAsia" w:ascii="宋体" w:hAnsi="宋体"/>
          <w:bCs/>
          <w:color w:val="auto"/>
          <w:szCs w:val="28"/>
          <w:highlight w:val="none"/>
        </w:rPr>
        <w:t>六、分项报价</w:t>
      </w:r>
      <w:r>
        <w:rPr>
          <w:color w:val="auto"/>
          <w:highlight w:val="none"/>
        </w:rPr>
        <w:tab/>
      </w:r>
      <w:r>
        <w:rPr>
          <w:color w:val="auto"/>
          <w:highlight w:val="none"/>
        </w:rPr>
        <w:fldChar w:fldCharType="begin"/>
      </w:r>
      <w:r>
        <w:rPr>
          <w:color w:val="auto"/>
          <w:highlight w:val="none"/>
        </w:rPr>
        <w:instrText xml:space="preserve"> PAGEREF _Toc26544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26D7D5C9">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"_Toc21386" </w:instrText>
      </w:r>
      <w:r>
        <w:rPr>
          <w:color w:val="auto"/>
          <w:highlight w:val="none"/>
        </w:rPr>
        <w:fldChar w:fldCharType="separate"/>
      </w:r>
      <w:r>
        <w:rPr>
          <w:rFonts w:hint="eastAsia" w:ascii="宋体" w:hAnsi="宋体" w:cs="微软雅黑"/>
          <w:color w:val="auto"/>
          <w:spacing w:val="-2"/>
          <w:kern w:val="0"/>
          <w:szCs w:val="28"/>
          <w:highlight w:val="none"/>
        </w:rPr>
        <w:t>分</w:t>
      </w:r>
      <w:r>
        <w:rPr>
          <w:rFonts w:hint="eastAsia" w:ascii="宋体" w:hAnsi="宋体" w:cs="微软雅黑"/>
          <w:color w:val="auto"/>
          <w:kern w:val="0"/>
          <w:szCs w:val="28"/>
          <w:highlight w:val="none"/>
        </w:rPr>
        <w:t>项</w:t>
      </w:r>
      <w:r>
        <w:rPr>
          <w:rFonts w:hint="eastAsia" w:ascii="宋体" w:hAnsi="宋体" w:cs="微软雅黑"/>
          <w:color w:val="auto"/>
          <w:spacing w:val="-2"/>
          <w:kern w:val="0"/>
          <w:szCs w:val="28"/>
          <w:highlight w:val="none"/>
        </w:rPr>
        <w:t>报</w:t>
      </w:r>
      <w:r>
        <w:rPr>
          <w:rFonts w:hint="eastAsia" w:ascii="宋体" w:hAnsi="宋体" w:cs="微软雅黑"/>
          <w:color w:val="auto"/>
          <w:kern w:val="0"/>
          <w:szCs w:val="28"/>
          <w:highlight w:val="none"/>
        </w:rPr>
        <w:t>价说明</w:t>
      </w:r>
      <w:r>
        <w:rPr>
          <w:color w:val="auto"/>
          <w:highlight w:val="none"/>
        </w:rPr>
        <w:tab/>
      </w:r>
      <w:r>
        <w:rPr>
          <w:color w:val="auto"/>
          <w:highlight w:val="none"/>
        </w:rPr>
        <w:fldChar w:fldCharType="begin"/>
      </w:r>
      <w:r>
        <w:rPr>
          <w:color w:val="auto"/>
          <w:highlight w:val="none"/>
        </w:rPr>
        <w:instrText xml:space="preserve"> PAGEREF _Toc21386 \h </w:instrText>
      </w:r>
      <w:r>
        <w:rPr>
          <w:color w:val="auto"/>
          <w:highlight w:val="none"/>
        </w:rPr>
        <w:fldChar w:fldCharType="separate"/>
      </w:r>
      <w:r>
        <w:rPr>
          <w:b/>
          <w:color w:val="auto"/>
          <w:highlight w:val="none"/>
        </w:rPr>
        <w:t>错误！未定义书签。</w:t>
      </w:r>
      <w:r>
        <w:rPr>
          <w:color w:val="auto"/>
          <w:highlight w:val="none"/>
        </w:rPr>
        <w:fldChar w:fldCharType="end"/>
      </w:r>
      <w:r>
        <w:rPr>
          <w:color w:val="auto"/>
          <w:highlight w:val="none"/>
        </w:rPr>
        <w:fldChar w:fldCharType="end"/>
      </w:r>
    </w:p>
    <w:p w14:paraId="6DA9B3BE">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"_Toc23034" </w:instrText>
      </w:r>
      <w:r>
        <w:rPr>
          <w:color w:val="auto"/>
          <w:highlight w:val="none"/>
        </w:rPr>
        <w:fldChar w:fldCharType="separate"/>
      </w:r>
      <w:r>
        <w:rPr>
          <w:rFonts w:hint="eastAsia" w:ascii="宋体" w:hAnsi="宋体" w:cs="微软雅黑"/>
          <w:color w:val="auto"/>
          <w:spacing w:val="-2"/>
          <w:kern w:val="0"/>
          <w:position w:val="-3"/>
          <w:szCs w:val="28"/>
          <w:highlight w:val="none"/>
        </w:rPr>
        <w:t>分</w:t>
      </w:r>
      <w:r>
        <w:rPr>
          <w:rFonts w:hint="eastAsia" w:ascii="宋体" w:hAnsi="宋体" w:cs="微软雅黑"/>
          <w:color w:val="auto"/>
          <w:kern w:val="0"/>
          <w:position w:val="-3"/>
          <w:szCs w:val="28"/>
          <w:highlight w:val="none"/>
        </w:rPr>
        <w:t>项</w:t>
      </w:r>
      <w:r>
        <w:rPr>
          <w:rFonts w:hint="eastAsia" w:ascii="宋体" w:hAnsi="宋体" w:cs="微软雅黑"/>
          <w:color w:val="auto"/>
          <w:spacing w:val="-2"/>
          <w:kern w:val="0"/>
          <w:position w:val="-3"/>
          <w:szCs w:val="28"/>
          <w:highlight w:val="none"/>
        </w:rPr>
        <w:t>报</w:t>
      </w:r>
      <w:r>
        <w:rPr>
          <w:rFonts w:hint="eastAsia" w:ascii="宋体" w:hAnsi="宋体" w:cs="微软雅黑"/>
          <w:color w:val="auto"/>
          <w:kern w:val="0"/>
          <w:position w:val="-3"/>
          <w:szCs w:val="28"/>
          <w:highlight w:val="none"/>
        </w:rPr>
        <w:t>价明细表</w:t>
      </w:r>
      <w:r>
        <w:rPr>
          <w:color w:val="auto"/>
          <w:highlight w:val="none"/>
        </w:rPr>
        <w:tab/>
      </w:r>
      <w:r>
        <w:rPr>
          <w:color w:val="auto"/>
          <w:highlight w:val="none"/>
        </w:rPr>
        <w:fldChar w:fldCharType="begin"/>
      </w:r>
      <w:r>
        <w:rPr>
          <w:color w:val="auto"/>
          <w:highlight w:val="none"/>
        </w:rPr>
        <w:instrText xml:space="preserve"> PAGEREF _Toc23034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620B6301">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"_Toc32097" </w:instrText>
      </w:r>
      <w:r>
        <w:rPr>
          <w:color w:val="auto"/>
          <w:highlight w:val="none"/>
        </w:rPr>
        <w:fldChar w:fldCharType="separate"/>
      </w:r>
      <w:r>
        <w:rPr>
          <w:rFonts w:hint="eastAsia" w:ascii="宋体" w:hAnsi="宋体"/>
          <w:color w:val="auto"/>
          <w:szCs w:val="28"/>
          <w:highlight w:val="none"/>
        </w:rPr>
        <w:t>七、采购需求响应</w:t>
      </w:r>
      <w:r>
        <w:rPr>
          <w:color w:val="auto"/>
          <w:highlight w:val="none"/>
        </w:rPr>
        <w:tab/>
      </w:r>
      <w:r>
        <w:rPr>
          <w:color w:val="auto"/>
          <w:highlight w:val="none"/>
        </w:rPr>
        <w:fldChar w:fldCharType="begin"/>
      </w:r>
      <w:r>
        <w:rPr>
          <w:color w:val="auto"/>
          <w:highlight w:val="none"/>
        </w:rPr>
        <w:instrText xml:space="preserve"> PAGEREF _Toc32097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5F73FD0D">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"_Toc28918" </w:instrText>
      </w:r>
      <w:r>
        <w:rPr>
          <w:color w:val="auto"/>
          <w:highlight w:val="none"/>
        </w:rPr>
        <w:fldChar w:fldCharType="separate"/>
      </w:r>
      <w:r>
        <w:rPr>
          <w:rFonts w:hint="eastAsia" w:ascii="宋体" w:hAnsi="宋体" w:cs="Calibri"/>
          <w:color w:val="auto"/>
          <w:szCs w:val="30"/>
          <w:highlight w:val="none"/>
        </w:rPr>
        <w:t>拟投入的主要人员简历表</w:t>
      </w:r>
      <w:r>
        <w:rPr>
          <w:color w:val="auto"/>
          <w:highlight w:val="none"/>
        </w:rPr>
        <w:tab/>
      </w:r>
      <w:r>
        <w:rPr>
          <w:color w:val="auto"/>
          <w:highlight w:val="none"/>
        </w:rPr>
        <w:fldChar w:fldCharType="begin"/>
      </w:r>
      <w:r>
        <w:rPr>
          <w:color w:val="auto"/>
          <w:highlight w:val="none"/>
        </w:rPr>
        <w:instrText xml:space="preserve"> PAGEREF _Toc28918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7782D025">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"_Toc14091" </w:instrText>
      </w:r>
      <w:r>
        <w:rPr>
          <w:color w:val="auto"/>
          <w:highlight w:val="none"/>
        </w:rPr>
        <w:fldChar w:fldCharType="separate"/>
      </w:r>
      <w:r>
        <w:rPr>
          <w:rFonts w:hint="eastAsia" w:ascii="宋体" w:hAnsi="宋体"/>
          <w:color w:val="auto"/>
          <w:szCs w:val="28"/>
          <w:highlight w:val="none"/>
        </w:rPr>
        <w:t>八、合同条款偏离表</w:t>
      </w:r>
      <w:r>
        <w:rPr>
          <w:color w:val="auto"/>
          <w:highlight w:val="none"/>
        </w:rPr>
        <w:tab/>
      </w:r>
      <w:r>
        <w:rPr>
          <w:color w:val="auto"/>
          <w:highlight w:val="none"/>
        </w:rPr>
        <w:fldChar w:fldCharType="begin"/>
      </w:r>
      <w:r>
        <w:rPr>
          <w:color w:val="auto"/>
          <w:highlight w:val="none"/>
        </w:rPr>
        <w:instrText xml:space="preserve"> PAGEREF _Toc14091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2DB841E6">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"_Toc5052" </w:instrText>
      </w:r>
      <w:r>
        <w:rPr>
          <w:color w:val="auto"/>
          <w:highlight w:val="none"/>
        </w:rPr>
        <w:fldChar w:fldCharType="separate"/>
      </w:r>
      <w:r>
        <w:rPr>
          <w:rFonts w:hint="eastAsia" w:ascii="宋体" w:hAnsi="宋体"/>
          <w:color w:val="auto"/>
          <w:szCs w:val="28"/>
          <w:highlight w:val="none"/>
        </w:rPr>
        <w:t>九、采购需求偏离表</w:t>
      </w:r>
      <w:r>
        <w:rPr>
          <w:color w:val="auto"/>
          <w:highlight w:val="none"/>
        </w:rPr>
        <w:tab/>
      </w:r>
      <w:r>
        <w:rPr>
          <w:color w:val="auto"/>
          <w:highlight w:val="none"/>
        </w:rPr>
        <w:fldChar w:fldCharType="begin"/>
      </w:r>
      <w:r>
        <w:rPr>
          <w:color w:val="auto"/>
          <w:highlight w:val="none"/>
        </w:rPr>
        <w:instrText xml:space="preserve"> PAGEREF _Toc5052 \h </w:instrText>
      </w:r>
      <w:r>
        <w:rPr>
          <w:color w:val="auto"/>
          <w:highlight w:val="none"/>
        </w:rPr>
        <w:fldChar w:fldCharType="separate"/>
      </w:r>
      <w:r>
        <w:rPr>
          <w:color w:val="auto"/>
          <w:highlight w:val="none"/>
        </w:rPr>
        <w:t>84</w:t>
      </w:r>
      <w:r>
        <w:rPr>
          <w:color w:val="auto"/>
          <w:highlight w:val="none"/>
        </w:rPr>
        <w:fldChar w:fldCharType="end"/>
      </w:r>
      <w:r>
        <w:rPr>
          <w:color w:val="auto"/>
          <w:highlight w:val="none"/>
        </w:rPr>
        <w:fldChar w:fldCharType="end"/>
      </w:r>
    </w:p>
    <w:p w14:paraId="2826C573">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"_Toc31884" </w:instrText>
      </w:r>
      <w:r>
        <w:rPr>
          <w:color w:val="auto"/>
          <w:highlight w:val="none"/>
        </w:rPr>
        <w:fldChar w:fldCharType="separate"/>
      </w:r>
      <w:r>
        <w:rPr>
          <w:rFonts w:hint="eastAsia" w:ascii="宋体" w:hAnsi="宋体"/>
          <w:color w:val="auto"/>
          <w:szCs w:val="21"/>
          <w:highlight w:val="none"/>
        </w:rPr>
        <w:t>十</w:t>
      </w:r>
      <w:r>
        <w:rPr>
          <w:rFonts w:hint="eastAsia" w:ascii="宋体" w:hAnsi="宋体"/>
          <w:color w:val="auto"/>
          <w:szCs w:val="28"/>
          <w:highlight w:val="none"/>
        </w:rPr>
        <w:t>、享受政府采购政策优惠的证明资料</w:t>
      </w:r>
      <w:r>
        <w:rPr>
          <w:color w:val="auto"/>
          <w:highlight w:val="none"/>
        </w:rPr>
        <w:tab/>
      </w:r>
      <w:r>
        <w:rPr>
          <w:color w:val="auto"/>
          <w:highlight w:val="none"/>
        </w:rPr>
        <w:fldChar w:fldCharType="begin"/>
      </w:r>
      <w:r>
        <w:rPr>
          <w:color w:val="auto"/>
          <w:highlight w:val="none"/>
        </w:rPr>
        <w:instrText xml:space="preserve"> PAGEREF _Toc31884 \h </w:instrText>
      </w:r>
      <w:r>
        <w:rPr>
          <w:color w:val="auto"/>
          <w:highlight w:val="none"/>
        </w:rPr>
        <w:fldChar w:fldCharType="separate"/>
      </w:r>
      <w:r>
        <w:rPr>
          <w:color w:val="auto"/>
          <w:highlight w:val="none"/>
        </w:rPr>
        <w:t>85</w:t>
      </w:r>
      <w:r>
        <w:rPr>
          <w:color w:val="auto"/>
          <w:highlight w:val="none"/>
        </w:rPr>
        <w:fldChar w:fldCharType="end"/>
      </w:r>
      <w:r>
        <w:rPr>
          <w:color w:val="auto"/>
          <w:highlight w:val="none"/>
        </w:rPr>
        <w:fldChar w:fldCharType="end"/>
      </w:r>
    </w:p>
    <w:p w14:paraId="5E4B06A2">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"_Toc25190" </w:instrText>
      </w:r>
      <w:r>
        <w:rPr>
          <w:color w:val="auto"/>
          <w:highlight w:val="none"/>
        </w:rPr>
        <w:fldChar w:fldCharType="separate"/>
      </w:r>
      <w:r>
        <w:rPr>
          <w:rFonts w:hint="eastAsia" w:ascii="黑体" w:hAnsi="仿宋" w:eastAsia="黑体" w:cs="宋体"/>
          <w:color w:val="auto"/>
          <w:szCs w:val="28"/>
          <w:highlight w:val="none"/>
        </w:rPr>
        <w:t>湖南省政府采购供应商资格承诺函(格式)</w:t>
      </w:r>
      <w:r>
        <w:rPr>
          <w:color w:val="auto"/>
          <w:highlight w:val="none"/>
        </w:rPr>
        <w:tab/>
      </w:r>
      <w:r>
        <w:rPr>
          <w:color w:val="auto"/>
          <w:highlight w:val="none"/>
        </w:rPr>
        <w:fldChar w:fldCharType="begin"/>
      </w:r>
      <w:r>
        <w:rPr>
          <w:color w:val="auto"/>
          <w:highlight w:val="none"/>
        </w:rPr>
        <w:instrText xml:space="preserve"> PAGEREF _Toc25190 \h </w:instrText>
      </w:r>
      <w:r>
        <w:rPr>
          <w:color w:val="auto"/>
          <w:highlight w:val="none"/>
        </w:rPr>
        <w:fldChar w:fldCharType="separate"/>
      </w:r>
      <w:r>
        <w:rPr>
          <w:color w:val="auto"/>
          <w:highlight w:val="none"/>
        </w:rPr>
        <w:t>85</w:t>
      </w:r>
      <w:r>
        <w:rPr>
          <w:color w:val="auto"/>
          <w:highlight w:val="none"/>
        </w:rPr>
        <w:fldChar w:fldCharType="end"/>
      </w:r>
      <w:r>
        <w:rPr>
          <w:color w:val="auto"/>
          <w:highlight w:val="none"/>
        </w:rPr>
        <w:fldChar w:fldCharType="end"/>
      </w:r>
    </w:p>
    <w:p w14:paraId="1964BB15">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"_Toc14638" </w:instrText>
      </w:r>
      <w:r>
        <w:rPr>
          <w:color w:val="auto"/>
          <w:highlight w:val="none"/>
        </w:rPr>
        <w:fldChar w:fldCharType="separate"/>
      </w:r>
      <w:r>
        <w:rPr>
          <w:rFonts w:hint="eastAsia" w:ascii="宋体" w:hAnsi="宋体"/>
          <w:color w:val="auto"/>
          <w:szCs w:val="28"/>
          <w:highlight w:val="none"/>
        </w:rPr>
        <w:t>十一、投标货物符合招标文件规定的证明文件</w:t>
      </w:r>
      <w:r>
        <w:rPr>
          <w:color w:val="auto"/>
          <w:highlight w:val="none"/>
        </w:rPr>
        <w:tab/>
      </w:r>
      <w:r>
        <w:rPr>
          <w:color w:val="auto"/>
          <w:highlight w:val="none"/>
        </w:rPr>
        <w:fldChar w:fldCharType="begin"/>
      </w:r>
      <w:r>
        <w:rPr>
          <w:color w:val="auto"/>
          <w:highlight w:val="none"/>
        </w:rPr>
        <w:instrText xml:space="preserve"> PAGEREF _Toc14638 \h </w:instrText>
      </w:r>
      <w:r>
        <w:rPr>
          <w:color w:val="auto"/>
          <w:highlight w:val="none"/>
        </w:rPr>
        <w:fldChar w:fldCharType="separate"/>
      </w:r>
      <w:r>
        <w:rPr>
          <w:color w:val="auto"/>
          <w:highlight w:val="none"/>
        </w:rPr>
        <w:t>86</w:t>
      </w:r>
      <w:r>
        <w:rPr>
          <w:color w:val="auto"/>
          <w:highlight w:val="none"/>
        </w:rPr>
        <w:fldChar w:fldCharType="end"/>
      </w:r>
      <w:r>
        <w:rPr>
          <w:color w:val="auto"/>
          <w:highlight w:val="none"/>
        </w:rPr>
        <w:fldChar w:fldCharType="end"/>
      </w:r>
    </w:p>
    <w:p w14:paraId="6684CCBC">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"_Toc8258" </w:instrText>
      </w:r>
      <w:r>
        <w:rPr>
          <w:color w:val="auto"/>
          <w:highlight w:val="none"/>
        </w:rPr>
        <w:fldChar w:fldCharType="separate"/>
      </w:r>
      <w:r>
        <w:rPr>
          <w:rFonts w:hint="eastAsia" w:ascii="宋体" w:hAnsi="宋体"/>
          <w:color w:val="auto"/>
          <w:szCs w:val="28"/>
          <w:highlight w:val="none"/>
        </w:rPr>
        <w:t>十二、投标人认为需提供的其他资料</w:t>
      </w:r>
      <w:r>
        <w:rPr>
          <w:color w:val="auto"/>
          <w:highlight w:val="none"/>
        </w:rPr>
        <w:tab/>
      </w:r>
      <w:r>
        <w:rPr>
          <w:color w:val="auto"/>
          <w:highlight w:val="none"/>
        </w:rPr>
        <w:fldChar w:fldCharType="begin"/>
      </w:r>
      <w:r>
        <w:rPr>
          <w:color w:val="auto"/>
          <w:highlight w:val="none"/>
        </w:rPr>
        <w:instrText xml:space="preserve"> PAGEREF _Toc8258 \h </w:instrText>
      </w:r>
      <w:r>
        <w:rPr>
          <w:color w:val="auto"/>
          <w:highlight w:val="none"/>
        </w:rPr>
        <w:fldChar w:fldCharType="separate"/>
      </w:r>
      <w:r>
        <w:rPr>
          <w:color w:val="auto"/>
          <w:highlight w:val="none"/>
        </w:rPr>
        <w:t>87</w:t>
      </w:r>
      <w:r>
        <w:rPr>
          <w:color w:val="auto"/>
          <w:highlight w:val="none"/>
        </w:rPr>
        <w:fldChar w:fldCharType="end"/>
      </w:r>
      <w:r>
        <w:rPr>
          <w:color w:val="auto"/>
          <w:highlight w:val="none"/>
        </w:rPr>
        <w:fldChar w:fldCharType="end"/>
      </w:r>
    </w:p>
    <w:p w14:paraId="39AC76BD">
      <w:pPr>
        <w:pStyle w:val="24"/>
        <w:adjustRightInd w:val="0"/>
        <w:snapToGrid w:val="0"/>
        <w:spacing w:line="360" w:lineRule="auto"/>
        <w:outlineLvl w:val="0"/>
        <w:rPr>
          <w:rFonts w:hAnsi="宋体"/>
          <w:color w:val="auto"/>
          <w:highlight w:val="none"/>
        </w:rPr>
      </w:pPr>
      <w:r>
        <w:rPr>
          <w:rFonts w:hAnsi="宋体"/>
          <w:color w:val="auto"/>
          <w:highlight w:val="none"/>
        </w:rPr>
        <w:fldChar w:fldCharType="end"/>
      </w:r>
    </w:p>
    <w:p w14:paraId="412CA2A8">
      <w:pPr>
        <w:adjustRightInd w:val="0"/>
        <w:snapToGrid w:val="0"/>
        <w:spacing w:line="240" w:lineRule="atLeast"/>
        <w:ind w:firstLine="840" w:firstLineChars="400"/>
        <w:rPr>
          <w:rFonts w:ascii="宋体" w:hAnsi="宋体"/>
          <w:color w:val="auto"/>
          <w:szCs w:val="21"/>
          <w:highlight w:val="none"/>
        </w:rPr>
      </w:pPr>
    </w:p>
    <w:p w14:paraId="698669BD">
      <w:pPr>
        <w:pStyle w:val="2"/>
        <w:rPr>
          <w:rFonts w:ascii="宋体" w:hAnsi="宋体"/>
          <w:color w:val="auto"/>
          <w:highlight w:val="none"/>
        </w:rPr>
        <w:sectPr>
          <w:headerReference r:id="rId7" w:type="first"/>
          <w:headerReference r:id="rId5" w:type="default"/>
          <w:footerReference r:id="rId8" w:type="default"/>
          <w:headerReference r:id="rId6" w:type="even"/>
          <w:pgSz w:w="11906" w:h="16838"/>
          <w:pgMar w:top="1474" w:right="1474" w:bottom="1474" w:left="1588" w:header="851" w:footer="992" w:gutter="0"/>
          <w:pgNumType w:start="1"/>
          <w:cols w:space="720" w:num="1"/>
          <w:docGrid w:type="lines" w:linePitch="312" w:charSpace="0"/>
        </w:sectPr>
      </w:pPr>
      <w:bookmarkStart w:id="0" w:name="_Toc20988241"/>
      <w:bookmarkStart w:id="1" w:name="_Toc35421027"/>
      <w:bookmarkStart w:id="2" w:name="_Toc34720698"/>
      <w:bookmarkStart w:id="3" w:name="_Toc53472201"/>
      <w:bookmarkStart w:id="4" w:name="_Toc20816073"/>
      <w:bookmarkStart w:id="5" w:name="_Toc21000471"/>
      <w:bookmarkStart w:id="6" w:name="_Toc21001314"/>
      <w:bookmarkStart w:id="7" w:name="_Toc20642243"/>
    </w:p>
    <w:p w14:paraId="39638584">
      <w:pPr>
        <w:pStyle w:val="2"/>
        <w:rPr>
          <w:rFonts w:ascii="宋体" w:hAnsi="宋体"/>
          <w:color w:val="auto"/>
          <w:highlight w:val="none"/>
        </w:rPr>
      </w:pPr>
      <w:bookmarkStart w:id="8" w:name="_Toc4779"/>
      <w:bookmarkStart w:id="9" w:name="_Toc9276"/>
      <w:bookmarkStart w:id="10" w:name="_Toc166778324"/>
      <w:bookmarkStart w:id="11" w:name="_Toc14564"/>
      <w:bookmarkStart w:id="12" w:name="_Toc22702"/>
      <w:bookmarkStart w:id="13" w:name="_Toc189905350"/>
      <w:bookmarkStart w:id="14" w:name="_Toc22186"/>
      <w:bookmarkStart w:id="15" w:name="_Toc193053694"/>
      <w:bookmarkStart w:id="16" w:name="_Toc6115"/>
      <w:bookmarkStart w:id="17" w:name="_Toc171282393"/>
      <w:bookmarkStart w:id="18" w:name="_Toc26637"/>
      <w:r>
        <w:rPr>
          <w:rFonts w:hint="eastAsia" w:ascii="宋体" w:hAnsi="宋体"/>
          <w:color w:val="auto"/>
          <w:sz w:val="30"/>
          <w:szCs w:val="30"/>
          <w:highlight w:val="none"/>
        </w:rPr>
        <w:t>第一章 2026年新化县高素质农民培育项目公开招标公告</w:t>
      </w:r>
      <w:bookmarkEnd w:id="8"/>
      <w:bookmarkEnd w:id="9"/>
      <w:bookmarkEnd w:id="10"/>
      <w:bookmarkEnd w:id="11"/>
      <w:bookmarkEnd w:id="12"/>
      <w:bookmarkEnd w:id="13"/>
      <w:bookmarkEnd w:id="14"/>
      <w:bookmarkEnd w:id="15"/>
      <w:bookmarkEnd w:id="16"/>
      <w:bookmarkEnd w:id="17"/>
      <w:bookmarkEnd w:id="18"/>
    </w:p>
    <w:p w14:paraId="46C35649">
      <w:pPr>
        <w:adjustRightInd w:val="0"/>
        <w:snapToGrid w:val="0"/>
        <w:spacing w:line="360" w:lineRule="auto"/>
        <w:ind w:firstLine="420" w:firstLineChars="200"/>
        <w:jc w:val="center"/>
        <w:rPr>
          <w:rFonts w:ascii="宋体" w:hAnsi="宋体"/>
          <w:color w:val="auto"/>
          <w:szCs w:val="21"/>
          <w:highlight w:val="none"/>
          <w:u w:val="single"/>
        </w:rPr>
      </w:pPr>
      <w:r>
        <w:rPr>
          <w:rFonts w:hint="eastAsia" w:ascii="宋体" w:hAnsi="宋体"/>
          <w:color w:val="auto"/>
          <w:szCs w:val="21"/>
          <w:highlight w:val="none"/>
        </w:rPr>
        <w:t xml:space="preserve"> </w:t>
      </w:r>
    </w:p>
    <w:p w14:paraId="56E9CA8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single"/>
        </w:rPr>
        <w:t xml:space="preserve">新化县农业农村局 </w:t>
      </w:r>
      <w:r>
        <w:rPr>
          <w:rFonts w:hint="eastAsia" w:ascii="宋体" w:hAnsi="宋体"/>
          <w:color w:val="auto"/>
          <w:szCs w:val="21"/>
          <w:highlight w:val="none"/>
        </w:rPr>
        <w:t>的</w:t>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2026年</w:t>
      </w:r>
      <w:r>
        <w:rPr>
          <w:rFonts w:hint="eastAsia" w:ascii="宋体" w:hAnsi="宋体"/>
          <w:color w:val="auto"/>
          <w:szCs w:val="21"/>
          <w:highlight w:val="none"/>
          <w:u w:val="single"/>
        </w:rPr>
        <w:t xml:space="preserve">新化县高素质农民培育项目 </w:t>
      </w:r>
      <w:r>
        <w:rPr>
          <w:rFonts w:hint="eastAsia" w:ascii="宋体" w:hAnsi="宋体"/>
          <w:color w:val="auto"/>
          <w:szCs w:val="21"/>
          <w:highlight w:val="none"/>
        </w:rPr>
        <w:t>进行公开招标采购，现邀请合格投标人参加投标。</w:t>
      </w:r>
    </w:p>
    <w:p w14:paraId="34154D01">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一、采购项目基本信息</w:t>
      </w:r>
    </w:p>
    <w:p w14:paraId="12D7B7D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1、采购项目名称：</w:t>
      </w:r>
      <w:r>
        <w:rPr>
          <w:rFonts w:hint="eastAsia" w:ascii="宋体" w:hAnsi="宋体"/>
          <w:color w:val="auto"/>
          <w:szCs w:val="21"/>
          <w:highlight w:val="none"/>
        </w:rPr>
        <w:t>2026年</w:t>
      </w:r>
      <w:r>
        <w:rPr>
          <w:rFonts w:hint="eastAsia" w:ascii="宋体" w:hAnsi="宋体"/>
          <w:color w:val="auto"/>
          <w:szCs w:val="21"/>
          <w:highlight w:val="none"/>
        </w:rPr>
        <w:t>新化县高素质农民培育项目</w:t>
      </w:r>
    </w:p>
    <w:p w14:paraId="424061B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2、政府采购计划编号：（2026）431322000008-1  </w:t>
      </w:r>
    </w:p>
    <w:p w14:paraId="577D75C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3、委托代理编号：HNTXXH2026-066 </w:t>
      </w:r>
    </w:p>
    <w:p w14:paraId="0F1465B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4、采购项目预算：</w:t>
      </w:r>
      <w:r>
        <w:rPr>
          <w:rFonts w:hint="eastAsia" w:ascii="宋体" w:hAnsi="宋体"/>
          <w:color w:val="auto"/>
          <w:szCs w:val="21"/>
          <w:highlight w:val="none"/>
          <w:u w:val="single"/>
        </w:rPr>
        <w:t>1460000.00元</w:t>
      </w:r>
    </w:p>
    <w:p w14:paraId="4B8FB328">
      <w:pPr>
        <w:adjustRightInd w:val="0"/>
        <w:snapToGrid w:val="0"/>
        <w:spacing w:line="360" w:lineRule="auto"/>
        <w:ind w:firstLine="630" w:firstLineChars="300"/>
        <w:rPr>
          <w:rFonts w:ascii="宋体" w:hAnsi="宋体" w:cs="宋体"/>
          <w:bCs/>
          <w:color w:val="auto"/>
          <w:szCs w:val="21"/>
          <w:highlight w:val="none"/>
          <w:u w:val="single"/>
        </w:rPr>
      </w:pP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支持</w:t>
      </w:r>
      <w:r>
        <w:rPr>
          <w:rFonts w:hint="eastAsia" w:ascii="宋体" w:hAnsi="宋体" w:cs="宋体"/>
          <w:bCs/>
          <w:color w:val="auto"/>
          <w:szCs w:val="21"/>
          <w:highlight w:val="none"/>
        </w:rPr>
        <w:t>预付款，预付比例：</w:t>
      </w:r>
      <w:r>
        <w:rPr>
          <w:rFonts w:hint="eastAsia" w:ascii="宋体" w:hAnsi="宋体" w:cs="宋体"/>
          <w:bCs/>
          <w:color w:val="auto"/>
          <w:szCs w:val="21"/>
          <w:highlight w:val="none"/>
          <w:u w:val="single"/>
        </w:rPr>
        <w:t xml:space="preserve">     /      </w:t>
      </w:r>
    </w:p>
    <w:p w14:paraId="7A2CC528">
      <w:pPr>
        <w:adjustRightInd w:val="0"/>
        <w:snapToGrid w:val="0"/>
        <w:spacing w:line="360" w:lineRule="auto"/>
        <w:ind w:firstLine="420" w:firstLineChars="200"/>
        <w:rPr>
          <w:rFonts w:ascii="宋体" w:hAnsi="宋体" w:cs="宋体"/>
          <w:color w:val="auto"/>
          <w:szCs w:val="21"/>
          <w:highlight w:val="none"/>
          <w:u w:val="single"/>
        </w:rPr>
      </w:pPr>
      <w:r>
        <w:rPr>
          <w:rFonts w:hint="eastAsia" w:ascii="宋体" w:hAnsi="宋体" w:cs="宋体"/>
          <w:bCs/>
          <w:color w:val="auto"/>
          <w:szCs w:val="21"/>
          <w:highlight w:val="none"/>
        </w:rPr>
        <w:t>5、本项目</w:t>
      </w:r>
      <w:r>
        <w:rPr>
          <w:rFonts w:hint="eastAsia" w:ascii="宋体" w:hAnsi="宋体" w:cs="宋体"/>
          <w:color w:val="auto"/>
          <w:szCs w:val="21"/>
          <w:highlight w:val="none"/>
        </w:rPr>
        <w:t>对应的中小企业划分标准所属行业：</w:t>
      </w:r>
      <w:r>
        <w:rPr>
          <w:rFonts w:hint="eastAsia" w:ascii="宋体" w:hAnsi="宋体" w:cs="宋体"/>
          <w:color w:val="auto"/>
          <w:szCs w:val="21"/>
          <w:highlight w:val="none"/>
          <w:u w:val="single"/>
        </w:rPr>
        <w:t xml:space="preserve"> 其他未列明行业 </w:t>
      </w:r>
    </w:p>
    <w:p w14:paraId="6DE31E0C">
      <w:pPr>
        <w:adjustRightInd w:val="0"/>
        <w:snapToGrid w:val="0"/>
        <w:spacing w:line="360" w:lineRule="auto"/>
        <w:ind w:firstLine="420" w:firstLineChars="200"/>
        <w:rPr>
          <w:rFonts w:ascii="宋体" w:hAnsi="宋体" w:cs="宋体"/>
          <w:bCs/>
          <w:color w:val="auto"/>
          <w:szCs w:val="21"/>
          <w:highlight w:val="none"/>
          <w:u w:val="single"/>
        </w:rPr>
      </w:pPr>
      <w:r>
        <w:rPr>
          <w:rFonts w:hint="eastAsia" w:ascii="宋体" w:hAnsi="宋体" w:cs="宋体"/>
          <w:bCs/>
          <w:color w:val="auto"/>
          <w:szCs w:val="21"/>
          <w:highlight w:val="none"/>
        </w:rPr>
        <w:t>6、评标方法：</w:t>
      </w:r>
      <w:r>
        <w:rPr>
          <w:rFonts w:hint="eastAsia" w:ascii="宋体" w:hAnsi="宋体" w:cs="宋体"/>
          <w:iCs/>
          <w:color w:val="auto"/>
          <w:szCs w:val="21"/>
          <w:highlight w:val="none"/>
        </w:rPr>
        <w:sym w:font="Wingdings" w:char="00FE"/>
      </w:r>
      <w:r>
        <w:rPr>
          <w:rFonts w:hint="eastAsia" w:ascii="宋体" w:hAnsi="宋体" w:cs="宋体"/>
          <w:iCs/>
          <w:color w:val="auto"/>
          <w:szCs w:val="21"/>
          <w:highlight w:val="none"/>
        </w:rPr>
        <w:t xml:space="preserve">综合评分法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最低价法</w:t>
      </w:r>
    </w:p>
    <w:p w14:paraId="634AB50C">
      <w:pPr>
        <w:adjustRightInd w:val="0"/>
        <w:snapToGrid w:val="0"/>
        <w:spacing w:line="360" w:lineRule="auto"/>
        <w:ind w:firstLine="420" w:firstLineChars="200"/>
        <w:rPr>
          <w:rFonts w:ascii="宋体" w:hAnsi="宋体" w:cs="宋体"/>
          <w:bCs/>
          <w:color w:val="auto"/>
          <w:szCs w:val="21"/>
          <w:highlight w:val="none"/>
          <w:u w:val="single"/>
        </w:rPr>
      </w:pPr>
      <w:r>
        <w:rPr>
          <w:rFonts w:hint="eastAsia" w:ascii="宋体" w:hAnsi="宋体" w:cs="宋体"/>
          <w:bCs/>
          <w:color w:val="auto"/>
          <w:szCs w:val="21"/>
          <w:highlight w:val="none"/>
        </w:rPr>
        <w:t>7、合同定价方式：</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固定总价  </w:t>
      </w:r>
      <w:r>
        <w:rPr>
          <w:rFonts w:hint="eastAsia" w:ascii="宋体" w:hAnsi="宋体" w:cs="宋体"/>
          <w:iCs/>
          <w:color w:val="auto"/>
          <w:szCs w:val="21"/>
          <w:highlight w:val="none"/>
        </w:rPr>
        <w:sym w:font="Wingdings" w:char="00FE"/>
      </w:r>
      <w:r>
        <w:rPr>
          <w:rFonts w:hint="eastAsia" w:ascii="宋体" w:hAnsi="宋体" w:cs="宋体"/>
          <w:iCs/>
          <w:color w:val="auto"/>
          <w:szCs w:val="21"/>
          <w:highlight w:val="none"/>
        </w:rPr>
        <w:t xml:space="preserve">固定单价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成本补偿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绩效激励</w:t>
      </w:r>
    </w:p>
    <w:p w14:paraId="650C14D2">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8、合同履行期限：</w:t>
      </w:r>
      <w:r>
        <w:rPr>
          <w:rFonts w:hint="eastAsia" w:ascii="宋体" w:hAnsi="宋体" w:cs="宋体"/>
          <w:color w:val="auto"/>
          <w:highlight w:val="none"/>
        </w:rPr>
        <w:t>自合同签订之日起</w:t>
      </w:r>
      <w:r>
        <w:rPr>
          <w:rFonts w:hint="eastAsia" w:ascii="宋体" w:hAnsi="宋体" w:cs="宋体"/>
          <w:color w:val="auto"/>
          <w:highlight w:val="none"/>
          <w:lang w:val="en-US" w:eastAsia="zh-CN"/>
        </w:rPr>
        <w:t>6</w:t>
      </w:r>
      <w:r>
        <w:rPr>
          <w:rFonts w:hint="eastAsia" w:ascii="宋体" w:hAnsi="宋体" w:cs="宋体"/>
          <w:color w:val="auto"/>
          <w:highlight w:val="none"/>
        </w:rPr>
        <w:t>0日内完成本项目工作内容；</w:t>
      </w:r>
    </w:p>
    <w:p w14:paraId="699E3337">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9、</w:t>
      </w:r>
      <w:r>
        <w:rPr>
          <w:rFonts w:hint="eastAsia" w:ascii="宋体" w:hAnsi="宋体" w:cs="宋体"/>
          <w:color w:val="auto"/>
          <w:szCs w:val="21"/>
          <w:highlight w:val="none"/>
        </w:rPr>
        <w:t>本项目分阶段要求投标人提供以下保证：</w:t>
      </w:r>
    </w:p>
    <w:p w14:paraId="423F50F4">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iCs/>
          <w:color w:val="auto"/>
          <w:szCs w:val="21"/>
          <w:highlight w:val="none"/>
        </w:rPr>
        <w:sym w:font="Wingdings" w:char="00A8"/>
      </w:r>
      <w:r>
        <w:rPr>
          <w:rFonts w:hint="eastAsia" w:ascii="宋体" w:hAnsi="宋体" w:cs="宋体"/>
          <w:color w:val="auto"/>
          <w:szCs w:val="21"/>
          <w:highlight w:val="none"/>
        </w:rPr>
        <w:t>投标保证金：</w:t>
      </w:r>
      <w:r>
        <w:rPr>
          <w:rFonts w:hint="eastAsia" w:ascii="宋体" w:hAnsi="宋体" w:cs="宋体"/>
          <w:iCs/>
          <w:color w:val="auto"/>
          <w:szCs w:val="21"/>
          <w:highlight w:val="none"/>
        </w:rPr>
        <w:t>采购项目预算的</w:t>
      </w:r>
      <w:r>
        <w:rPr>
          <w:rFonts w:hint="eastAsia" w:ascii="宋体" w:hAnsi="宋体" w:cs="宋体"/>
          <w:iCs/>
          <w:color w:val="auto"/>
          <w:szCs w:val="21"/>
          <w:highlight w:val="none"/>
          <w:u w:val="single"/>
        </w:rPr>
        <w:t xml:space="preserve">  /  </w:t>
      </w:r>
      <w:r>
        <w:rPr>
          <w:rFonts w:hint="eastAsia" w:ascii="宋体" w:hAnsi="宋体" w:cs="宋体"/>
          <w:iCs/>
          <w:color w:val="auto"/>
          <w:szCs w:val="21"/>
          <w:highlight w:val="none"/>
        </w:rPr>
        <w:t>%</w:t>
      </w:r>
      <w:r>
        <w:rPr>
          <w:rFonts w:hint="eastAsia" w:ascii="宋体" w:hAnsi="宋体" w:cs="宋体"/>
          <w:color w:val="auto"/>
          <w:szCs w:val="21"/>
          <w:highlight w:val="none"/>
        </w:rPr>
        <w:t>；</w:t>
      </w:r>
    </w:p>
    <w:p w14:paraId="1B36ACE7">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iCs/>
          <w:color w:val="auto"/>
          <w:szCs w:val="21"/>
          <w:highlight w:val="none"/>
        </w:rPr>
        <w:sym w:font="Wingdings" w:char="00A8"/>
      </w:r>
      <w:r>
        <w:rPr>
          <w:rFonts w:hint="eastAsia" w:ascii="宋体" w:hAnsi="宋体" w:cs="宋体"/>
          <w:color w:val="auto"/>
          <w:szCs w:val="21"/>
          <w:highlight w:val="none"/>
        </w:rPr>
        <w:t>履约保证金：</w:t>
      </w:r>
      <w:r>
        <w:rPr>
          <w:rFonts w:hint="eastAsia" w:ascii="宋体" w:hAnsi="宋体" w:cs="宋体"/>
          <w:iCs/>
          <w:color w:val="auto"/>
          <w:szCs w:val="21"/>
          <w:highlight w:val="none"/>
        </w:rPr>
        <w:t>中标金额的</w:t>
      </w:r>
      <w:r>
        <w:rPr>
          <w:rFonts w:hint="eastAsia" w:ascii="宋体" w:hAnsi="宋体" w:cs="宋体"/>
          <w:iCs/>
          <w:color w:val="auto"/>
          <w:szCs w:val="21"/>
          <w:highlight w:val="none"/>
          <w:u w:val="single"/>
        </w:rPr>
        <w:t xml:space="preserve">     </w:t>
      </w:r>
      <w:r>
        <w:rPr>
          <w:rFonts w:hint="eastAsia" w:ascii="宋体" w:hAnsi="宋体" w:cs="宋体"/>
          <w:iCs/>
          <w:color w:val="auto"/>
          <w:szCs w:val="21"/>
          <w:highlight w:val="none"/>
        </w:rPr>
        <w:t>%</w:t>
      </w:r>
      <w:r>
        <w:rPr>
          <w:rFonts w:hint="eastAsia" w:ascii="宋体" w:hAnsi="宋体" w:cs="宋体"/>
          <w:color w:val="auto"/>
          <w:szCs w:val="21"/>
          <w:highlight w:val="none"/>
        </w:rPr>
        <w:t>；</w:t>
      </w:r>
    </w:p>
    <w:p w14:paraId="266677E4">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预付款保证金：预付款的</w:t>
      </w:r>
      <w:r>
        <w:rPr>
          <w:rFonts w:hint="eastAsia" w:ascii="宋体" w:hAnsi="宋体" w:cs="宋体"/>
          <w:iCs/>
          <w:color w:val="auto"/>
          <w:szCs w:val="21"/>
          <w:highlight w:val="none"/>
          <w:u w:val="single"/>
        </w:rPr>
        <w:t xml:space="preserve">  /  </w:t>
      </w:r>
      <w:r>
        <w:rPr>
          <w:rFonts w:hint="eastAsia" w:ascii="宋体" w:hAnsi="宋体" w:cs="宋体"/>
          <w:iCs/>
          <w:color w:val="auto"/>
          <w:szCs w:val="21"/>
          <w:highlight w:val="none"/>
        </w:rPr>
        <w:t>%；</w:t>
      </w:r>
    </w:p>
    <w:p w14:paraId="649A4414">
      <w:pPr>
        <w:adjustRightInd w:val="0"/>
        <w:snapToGrid w:val="0"/>
        <w:spacing w:line="360" w:lineRule="auto"/>
        <w:ind w:firstLine="420" w:firstLineChars="200"/>
        <w:rPr>
          <w:rFonts w:ascii="宋体" w:hAnsi="宋体" w:cs="宋体"/>
          <w:iCs/>
          <w:color w:val="auto"/>
          <w:szCs w:val="21"/>
          <w:highlight w:val="none"/>
        </w:rPr>
      </w:pP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质量保证金：合同金额的</w:t>
      </w:r>
      <w:r>
        <w:rPr>
          <w:rFonts w:hint="eastAsia" w:ascii="宋体" w:hAnsi="宋体" w:cs="宋体"/>
          <w:iCs/>
          <w:color w:val="auto"/>
          <w:szCs w:val="21"/>
          <w:highlight w:val="none"/>
          <w:u w:val="single"/>
        </w:rPr>
        <w:t xml:space="preserve">  /  </w:t>
      </w:r>
      <w:r>
        <w:rPr>
          <w:rFonts w:hint="eastAsia" w:ascii="宋体" w:hAnsi="宋体" w:cs="宋体"/>
          <w:iCs/>
          <w:color w:val="auto"/>
          <w:szCs w:val="21"/>
          <w:highlight w:val="none"/>
        </w:rPr>
        <w:t>%。</w:t>
      </w:r>
      <w:bookmarkStart w:id="2090" w:name="_GoBack"/>
      <w:bookmarkEnd w:id="2090"/>
    </w:p>
    <w:p w14:paraId="4C7F776E">
      <w:pPr>
        <w:adjustRightInd w:val="0"/>
        <w:snapToGrid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二、采购人的采购需求</w:t>
      </w:r>
    </w:p>
    <w:tbl>
      <w:tblPr>
        <w:tblStyle w:val="47"/>
        <w:tblW w:w="9027"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480"/>
        <w:gridCol w:w="752"/>
        <w:gridCol w:w="1376"/>
        <w:gridCol w:w="1612"/>
        <w:gridCol w:w="2012"/>
        <w:gridCol w:w="1459"/>
        <w:gridCol w:w="1336"/>
      </w:tblGrid>
      <w:tr w14:paraId="07943F9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480" w:type="dxa"/>
            <w:tcBorders>
              <w:right w:val="single" w:color="auto" w:sz="4" w:space="0"/>
            </w:tcBorders>
            <w:vAlign w:val="center"/>
          </w:tcPr>
          <w:p w14:paraId="14DD1F03">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包号</w:t>
            </w:r>
          </w:p>
        </w:tc>
        <w:tc>
          <w:tcPr>
            <w:tcW w:w="752" w:type="dxa"/>
            <w:tcBorders>
              <w:left w:val="single" w:color="auto" w:sz="4" w:space="0"/>
            </w:tcBorders>
            <w:vAlign w:val="center"/>
          </w:tcPr>
          <w:p w14:paraId="2710CFF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包名称</w:t>
            </w:r>
          </w:p>
        </w:tc>
        <w:tc>
          <w:tcPr>
            <w:tcW w:w="1376" w:type="dxa"/>
            <w:vAlign w:val="center"/>
          </w:tcPr>
          <w:p w14:paraId="3FE513F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最高限价（元）</w:t>
            </w:r>
          </w:p>
        </w:tc>
        <w:tc>
          <w:tcPr>
            <w:tcW w:w="1612" w:type="dxa"/>
            <w:vAlign w:val="center"/>
          </w:tcPr>
          <w:p w14:paraId="73C0DED9">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标的名称</w:t>
            </w:r>
          </w:p>
        </w:tc>
        <w:tc>
          <w:tcPr>
            <w:tcW w:w="2012" w:type="dxa"/>
            <w:vAlign w:val="center"/>
          </w:tcPr>
          <w:p w14:paraId="13187C6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采购要求</w:t>
            </w:r>
          </w:p>
        </w:tc>
        <w:tc>
          <w:tcPr>
            <w:tcW w:w="1459" w:type="dxa"/>
            <w:vAlign w:val="center"/>
          </w:tcPr>
          <w:p w14:paraId="7472BD0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服务期限</w:t>
            </w:r>
          </w:p>
        </w:tc>
        <w:tc>
          <w:tcPr>
            <w:tcW w:w="1336" w:type="dxa"/>
            <w:vAlign w:val="center"/>
          </w:tcPr>
          <w:p w14:paraId="59A8153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标的预算（元）</w:t>
            </w:r>
          </w:p>
        </w:tc>
      </w:tr>
      <w:tr w14:paraId="42C6691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90" w:hRule="atLeast"/>
          <w:jc w:val="center"/>
        </w:trPr>
        <w:tc>
          <w:tcPr>
            <w:tcW w:w="480" w:type="dxa"/>
            <w:tcBorders>
              <w:top w:val="single" w:color="auto" w:sz="4" w:space="0"/>
              <w:bottom w:val="single" w:color="auto" w:sz="4" w:space="0"/>
              <w:right w:val="single" w:color="auto" w:sz="4" w:space="0"/>
            </w:tcBorders>
            <w:vAlign w:val="center"/>
          </w:tcPr>
          <w:p w14:paraId="59F2B8F6">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01</w:t>
            </w:r>
          </w:p>
        </w:tc>
        <w:tc>
          <w:tcPr>
            <w:tcW w:w="752" w:type="dxa"/>
            <w:tcBorders>
              <w:top w:val="single" w:color="auto" w:sz="4" w:space="0"/>
              <w:left w:val="single" w:color="auto" w:sz="4" w:space="0"/>
              <w:bottom w:val="single" w:color="auto" w:sz="4" w:space="0"/>
            </w:tcBorders>
            <w:vAlign w:val="center"/>
          </w:tcPr>
          <w:p w14:paraId="4FBF2873">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包1</w:t>
            </w:r>
          </w:p>
        </w:tc>
        <w:tc>
          <w:tcPr>
            <w:tcW w:w="1376" w:type="dxa"/>
            <w:tcBorders>
              <w:top w:val="single" w:color="auto" w:sz="4" w:space="0"/>
              <w:bottom w:val="single" w:color="auto" w:sz="4" w:space="0"/>
            </w:tcBorders>
            <w:vAlign w:val="center"/>
          </w:tcPr>
          <w:p w14:paraId="53194D50">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280000.00</w:t>
            </w:r>
          </w:p>
        </w:tc>
        <w:tc>
          <w:tcPr>
            <w:tcW w:w="1612" w:type="dxa"/>
            <w:vMerge w:val="restart"/>
            <w:vAlign w:val="center"/>
          </w:tcPr>
          <w:p w14:paraId="4C469426">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2026年新化县高素质农民培育项目</w:t>
            </w:r>
          </w:p>
        </w:tc>
        <w:tc>
          <w:tcPr>
            <w:tcW w:w="2012" w:type="dxa"/>
            <w:vMerge w:val="restart"/>
            <w:vAlign w:val="center"/>
          </w:tcPr>
          <w:p w14:paraId="0C41A942">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具体详见第五章采购需求</w:t>
            </w:r>
          </w:p>
        </w:tc>
        <w:tc>
          <w:tcPr>
            <w:tcW w:w="1459" w:type="dxa"/>
            <w:vMerge w:val="restart"/>
            <w:tcBorders>
              <w:top w:val="single" w:color="auto" w:sz="4" w:space="0"/>
            </w:tcBorders>
            <w:vAlign w:val="center"/>
          </w:tcPr>
          <w:p w14:paraId="146453B6">
            <w:pPr>
              <w:adjustRightInd w:val="0"/>
              <w:snapToGrid w:val="0"/>
              <w:jc w:val="center"/>
              <w:rPr>
                <w:rFonts w:ascii="宋体" w:hAnsi="宋体" w:cs="宋体"/>
                <w:color w:val="auto"/>
                <w:kern w:val="0"/>
                <w:szCs w:val="21"/>
                <w:highlight w:val="none"/>
              </w:rPr>
            </w:pPr>
            <w:r>
              <w:rPr>
                <w:rFonts w:hint="eastAsia" w:ascii="宋体" w:hAnsi="宋体" w:cs="宋体"/>
                <w:color w:val="auto"/>
                <w:highlight w:val="none"/>
              </w:rPr>
              <w:t>自合同签订之日起</w:t>
            </w:r>
            <w:r>
              <w:rPr>
                <w:rFonts w:hint="eastAsia" w:ascii="宋体" w:hAnsi="宋体" w:cs="宋体"/>
                <w:color w:val="auto"/>
                <w:highlight w:val="none"/>
                <w:lang w:val="en-US" w:eastAsia="zh-CN"/>
              </w:rPr>
              <w:t>6</w:t>
            </w:r>
            <w:r>
              <w:rPr>
                <w:rFonts w:hint="eastAsia" w:ascii="宋体" w:hAnsi="宋体" w:cs="宋体"/>
                <w:color w:val="auto"/>
                <w:highlight w:val="none"/>
              </w:rPr>
              <w:t>0日内完成本项目工作内容</w:t>
            </w:r>
          </w:p>
        </w:tc>
        <w:tc>
          <w:tcPr>
            <w:tcW w:w="1336" w:type="dxa"/>
            <w:tcBorders>
              <w:top w:val="single" w:color="auto" w:sz="4" w:space="0"/>
              <w:bottom w:val="single" w:color="auto" w:sz="4" w:space="0"/>
            </w:tcBorders>
            <w:vAlign w:val="center"/>
          </w:tcPr>
          <w:p w14:paraId="782BE5FF">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280000.00</w:t>
            </w:r>
          </w:p>
        </w:tc>
      </w:tr>
      <w:tr w14:paraId="72CCC81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480" w:type="dxa"/>
            <w:tcBorders>
              <w:top w:val="single" w:color="auto" w:sz="4" w:space="0"/>
              <w:bottom w:val="single" w:color="auto" w:sz="4" w:space="0"/>
              <w:right w:val="single" w:color="auto" w:sz="4" w:space="0"/>
            </w:tcBorders>
            <w:vAlign w:val="center"/>
          </w:tcPr>
          <w:p w14:paraId="5A33C92E">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02</w:t>
            </w:r>
          </w:p>
        </w:tc>
        <w:tc>
          <w:tcPr>
            <w:tcW w:w="752" w:type="dxa"/>
            <w:tcBorders>
              <w:top w:val="single" w:color="auto" w:sz="4" w:space="0"/>
              <w:left w:val="single" w:color="auto" w:sz="4" w:space="0"/>
              <w:bottom w:val="single" w:color="auto" w:sz="4" w:space="0"/>
            </w:tcBorders>
            <w:vAlign w:val="center"/>
          </w:tcPr>
          <w:p w14:paraId="0341D24A">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包2</w:t>
            </w:r>
          </w:p>
        </w:tc>
        <w:tc>
          <w:tcPr>
            <w:tcW w:w="1376" w:type="dxa"/>
            <w:tcBorders>
              <w:top w:val="single" w:color="auto" w:sz="4" w:space="0"/>
              <w:bottom w:val="single" w:color="auto" w:sz="4" w:space="0"/>
            </w:tcBorders>
            <w:vAlign w:val="center"/>
          </w:tcPr>
          <w:p w14:paraId="088D75DE">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280000.00</w:t>
            </w:r>
          </w:p>
        </w:tc>
        <w:tc>
          <w:tcPr>
            <w:tcW w:w="1612" w:type="dxa"/>
            <w:vMerge w:val="continue"/>
            <w:vAlign w:val="center"/>
          </w:tcPr>
          <w:p w14:paraId="393852F9">
            <w:pPr>
              <w:adjustRightInd w:val="0"/>
              <w:snapToGrid w:val="0"/>
              <w:jc w:val="center"/>
              <w:rPr>
                <w:rFonts w:hint="eastAsia" w:ascii="宋体" w:hAnsi="宋体" w:cs="宋体"/>
                <w:color w:val="auto"/>
                <w:kern w:val="0"/>
                <w:szCs w:val="21"/>
                <w:highlight w:val="none"/>
              </w:rPr>
            </w:pPr>
          </w:p>
        </w:tc>
        <w:tc>
          <w:tcPr>
            <w:tcW w:w="2012" w:type="dxa"/>
            <w:vMerge w:val="continue"/>
            <w:vAlign w:val="center"/>
          </w:tcPr>
          <w:p w14:paraId="2F17A972">
            <w:pPr>
              <w:adjustRightInd w:val="0"/>
              <w:snapToGrid w:val="0"/>
              <w:jc w:val="center"/>
              <w:rPr>
                <w:rFonts w:hint="eastAsia" w:ascii="宋体" w:hAnsi="宋体" w:cs="宋体"/>
                <w:color w:val="auto"/>
                <w:kern w:val="0"/>
                <w:szCs w:val="21"/>
                <w:highlight w:val="none"/>
              </w:rPr>
            </w:pPr>
          </w:p>
        </w:tc>
        <w:tc>
          <w:tcPr>
            <w:tcW w:w="1459" w:type="dxa"/>
            <w:vMerge w:val="continue"/>
            <w:vAlign w:val="center"/>
          </w:tcPr>
          <w:p w14:paraId="654773FB">
            <w:pPr>
              <w:adjustRightInd w:val="0"/>
              <w:snapToGrid w:val="0"/>
              <w:jc w:val="center"/>
              <w:rPr>
                <w:rFonts w:hint="eastAsia" w:ascii="宋体" w:hAnsi="宋体" w:cs="宋体"/>
                <w:color w:val="auto"/>
                <w:kern w:val="0"/>
                <w:szCs w:val="21"/>
                <w:highlight w:val="none"/>
              </w:rPr>
            </w:pPr>
          </w:p>
        </w:tc>
        <w:tc>
          <w:tcPr>
            <w:tcW w:w="1336" w:type="dxa"/>
            <w:tcBorders>
              <w:top w:val="single" w:color="auto" w:sz="4" w:space="0"/>
              <w:bottom w:val="single" w:color="auto" w:sz="4" w:space="0"/>
            </w:tcBorders>
            <w:vAlign w:val="center"/>
          </w:tcPr>
          <w:p w14:paraId="76B4021A">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280000.00</w:t>
            </w:r>
          </w:p>
        </w:tc>
      </w:tr>
      <w:tr w14:paraId="3086440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04" w:hRule="atLeast"/>
          <w:jc w:val="center"/>
        </w:trPr>
        <w:tc>
          <w:tcPr>
            <w:tcW w:w="480" w:type="dxa"/>
            <w:tcBorders>
              <w:top w:val="single" w:color="auto" w:sz="4" w:space="0"/>
              <w:bottom w:val="single" w:color="auto" w:sz="4" w:space="0"/>
              <w:right w:val="single" w:color="auto" w:sz="4" w:space="0"/>
            </w:tcBorders>
            <w:vAlign w:val="center"/>
          </w:tcPr>
          <w:p w14:paraId="0769D5F9">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03</w:t>
            </w:r>
          </w:p>
        </w:tc>
        <w:tc>
          <w:tcPr>
            <w:tcW w:w="752" w:type="dxa"/>
            <w:tcBorders>
              <w:top w:val="single" w:color="auto" w:sz="4" w:space="0"/>
              <w:left w:val="single" w:color="auto" w:sz="4" w:space="0"/>
              <w:bottom w:val="single" w:color="auto" w:sz="4" w:space="0"/>
            </w:tcBorders>
            <w:vAlign w:val="center"/>
          </w:tcPr>
          <w:p w14:paraId="2D441878">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包3</w:t>
            </w:r>
          </w:p>
        </w:tc>
        <w:tc>
          <w:tcPr>
            <w:tcW w:w="1376" w:type="dxa"/>
            <w:tcBorders>
              <w:top w:val="single" w:color="auto" w:sz="4" w:space="0"/>
              <w:bottom w:val="single" w:color="auto" w:sz="4" w:space="0"/>
            </w:tcBorders>
            <w:vAlign w:val="center"/>
          </w:tcPr>
          <w:p w14:paraId="175CC66C">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600000.00</w:t>
            </w:r>
          </w:p>
        </w:tc>
        <w:tc>
          <w:tcPr>
            <w:tcW w:w="1612" w:type="dxa"/>
            <w:vMerge w:val="continue"/>
            <w:vAlign w:val="center"/>
          </w:tcPr>
          <w:p w14:paraId="3D699586">
            <w:pPr>
              <w:adjustRightInd w:val="0"/>
              <w:snapToGrid w:val="0"/>
              <w:jc w:val="center"/>
              <w:rPr>
                <w:rFonts w:hint="eastAsia" w:ascii="宋体" w:hAnsi="宋体" w:cs="宋体"/>
                <w:color w:val="auto"/>
                <w:kern w:val="0"/>
                <w:szCs w:val="21"/>
                <w:highlight w:val="none"/>
              </w:rPr>
            </w:pPr>
          </w:p>
        </w:tc>
        <w:tc>
          <w:tcPr>
            <w:tcW w:w="2012" w:type="dxa"/>
            <w:vMerge w:val="continue"/>
            <w:vAlign w:val="center"/>
          </w:tcPr>
          <w:p w14:paraId="6A87FDC2">
            <w:pPr>
              <w:adjustRightInd w:val="0"/>
              <w:snapToGrid w:val="0"/>
              <w:jc w:val="center"/>
              <w:rPr>
                <w:rFonts w:hint="eastAsia" w:ascii="宋体" w:hAnsi="宋体" w:cs="宋体"/>
                <w:color w:val="auto"/>
                <w:kern w:val="0"/>
                <w:szCs w:val="21"/>
                <w:highlight w:val="none"/>
              </w:rPr>
            </w:pPr>
          </w:p>
        </w:tc>
        <w:tc>
          <w:tcPr>
            <w:tcW w:w="1459" w:type="dxa"/>
            <w:vMerge w:val="continue"/>
            <w:vAlign w:val="center"/>
          </w:tcPr>
          <w:p w14:paraId="5AE1B724">
            <w:pPr>
              <w:adjustRightInd w:val="0"/>
              <w:snapToGrid w:val="0"/>
              <w:jc w:val="center"/>
              <w:rPr>
                <w:rFonts w:hint="eastAsia" w:ascii="宋体" w:hAnsi="宋体" w:cs="宋体"/>
                <w:color w:val="auto"/>
                <w:kern w:val="0"/>
                <w:szCs w:val="21"/>
                <w:highlight w:val="none"/>
              </w:rPr>
            </w:pPr>
          </w:p>
        </w:tc>
        <w:tc>
          <w:tcPr>
            <w:tcW w:w="1336" w:type="dxa"/>
            <w:tcBorders>
              <w:top w:val="single" w:color="auto" w:sz="4" w:space="0"/>
              <w:bottom w:val="single" w:color="auto" w:sz="4" w:space="0"/>
            </w:tcBorders>
            <w:vAlign w:val="center"/>
          </w:tcPr>
          <w:p w14:paraId="1FABFC7A">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600000.00</w:t>
            </w:r>
          </w:p>
        </w:tc>
      </w:tr>
      <w:tr w14:paraId="1C24081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480" w:type="dxa"/>
            <w:tcBorders>
              <w:top w:val="single" w:color="auto" w:sz="4" w:space="0"/>
              <w:right w:val="single" w:color="auto" w:sz="4" w:space="0"/>
            </w:tcBorders>
            <w:vAlign w:val="center"/>
          </w:tcPr>
          <w:p w14:paraId="2EB7FD80">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04</w:t>
            </w:r>
          </w:p>
        </w:tc>
        <w:tc>
          <w:tcPr>
            <w:tcW w:w="752" w:type="dxa"/>
            <w:tcBorders>
              <w:top w:val="single" w:color="auto" w:sz="4" w:space="0"/>
              <w:left w:val="single" w:color="auto" w:sz="4" w:space="0"/>
            </w:tcBorders>
            <w:vAlign w:val="center"/>
          </w:tcPr>
          <w:p w14:paraId="038A9647">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包4</w:t>
            </w:r>
          </w:p>
        </w:tc>
        <w:tc>
          <w:tcPr>
            <w:tcW w:w="1376" w:type="dxa"/>
            <w:tcBorders>
              <w:top w:val="single" w:color="auto" w:sz="4" w:space="0"/>
            </w:tcBorders>
            <w:vAlign w:val="center"/>
          </w:tcPr>
          <w:p w14:paraId="2916D122">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300000.00</w:t>
            </w:r>
          </w:p>
        </w:tc>
        <w:tc>
          <w:tcPr>
            <w:tcW w:w="1612" w:type="dxa"/>
            <w:vMerge w:val="continue"/>
            <w:vAlign w:val="center"/>
          </w:tcPr>
          <w:p w14:paraId="05CC8BE9">
            <w:pPr>
              <w:adjustRightInd w:val="0"/>
              <w:snapToGrid w:val="0"/>
              <w:jc w:val="center"/>
              <w:rPr>
                <w:rFonts w:hint="eastAsia" w:ascii="宋体" w:hAnsi="宋体" w:cs="宋体"/>
                <w:color w:val="auto"/>
                <w:kern w:val="0"/>
                <w:szCs w:val="21"/>
                <w:highlight w:val="none"/>
              </w:rPr>
            </w:pPr>
          </w:p>
        </w:tc>
        <w:tc>
          <w:tcPr>
            <w:tcW w:w="2012" w:type="dxa"/>
            <w:vMerge w:val="continue"/>
            <w:vAlign w:val="center"/>
          </w:tcPr>
          <w:p w14:paraId="41300E60">
            <w:pPr>
              <w:adjustRightInd w:val="0"/>
              <w:snapToGrid w:val="0"/>
              <w:jc w:val="center"/>
              <w:rPr>
                <w:rFonts w:hint="eastAsia" w:ascii="宋体" w:hAnsi="宋体" w:cs="宋体"/>
                <w:color w:val="auto"/>
                <w:kern w:val="0"/>
                <w:szCs w:val="21"/>
                <w:highlight w:val="none"/>
              </w:rPr>
            </w:pPr>
          </w:p>
        </w:tc>
        <w:tc>
          <w:tcPr>
            <w:tcW w:w="1459" w:type="dxa"/>
            <w:vMerge w:val="continue"/>
            <w:vAlign w:val="center"/>
          </w:tcPr>
          <w:p w14:paraId="458AFA8D">
            <w:pPr>
              <w:adjustRightInd w:val="0"/>
              <w:snapToGrid w:val="0"/>
              <w:jc w:val="center"/>
              <w:rPr>
                <w:rFonts w:hint="eastAsia" w:ascii="宋体" w:hAnsi="宋体" w:cs="宋体"/>
                <w:color w:val="auto"/>
                <w:kern w:val="0"/>
                <w:szCs w:val="21"/>
                <w:highlight w:val="none"/>
              </w:rPr>
            </w:pPr>
          </w:p>
        </w:tc>
        <w:tc>
          <w:tcPr>
            <w:tcW w:w="1336" w:type="dxa"/>
            <w:tcBorders>
              <w:top w:val="single" w:color="auto" w:sz="4" w:space="0"/>
            </w:tcBorders>
            <w:vAlign w:val="center"/>
          </w:tcPr>
          <w:p w14:paraId="0FC075FC">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300000.00</w:t>
            </w:r>
          </w:p>
        </w:tc>
      </w:tr>
    </w:tbl>
    <w:p w14:paraId="1215AB48">
      <w:pPr>
        <w:spacing w:line="400" w:lineRule="exact"/>
        <w:rPr>
          <w:rFonts w:hint="eastAsia" w:ascii="宋体" w:hAnsi="宋体"/>
          <w:color w:val="auto"/>
          <w:szCs w:val="21"/>
          <w:highlight w:val="none"/>
        </w:rPr>
      </w:pPr>
      <w:r>
        <w:rPr>
          <w:rFonts w:hint="eastAsia" w:ascii="宋体" w:hAnsi="宋体"/>
          <w:color w:val="auto"/>
          <w:szCs w:val="21"/>
          <w:highlight w:val="none"/>
        </w:rPr>
        <w:t>说明：</w:t>
      </w:r>
      <w:r>
        <w:rPr>
          <w:rFonts w:hint="eastAsia" w:ascii="宋体" w:hAnsi="宋体"/>
          <w:color w:val="auto"/>
          <w:szCs w:val="21"/>
          <w:highlight w:val="none"/>
          <w:lang w:val="en-US" w:eastAsia="zh-CN"/>
        </w:rPr>
        <w:t>1</w:t>
      </w:r>
      <w:r>
        <w:rPr>
          <w:rFonts w:hint="eastAsia" w:ascii="宋体" w:hAnsi="宋体"/>
          <w:color w:val="auto"/>
          <w:szCs w:val="21"/>
          <w:highlight w:val="none"/>
        </w:rPr>
        <w:t>.</w:t>
      </w:r>
      <w:r>
        <w:rPr>
          <w:rFonts w:hint="eastAsia" w:ascii="宋体" w:hAnsi="宋体" w:eastAsia="宋体" w:cs="宋体"/>
          <w:b/>
          <w:bCs/>
          <w:color w:val="auto"/>
          <w:kern w:val="2"/>
          <w:sz w:val="21"/>
          <w:szCs w:val="21"/>
          <w:highlight w:val="none"/>
          <w:lang w:val="en-US" w:eastAsia="zh-CN" w:bidi="ar-SA"/>
        </w:rPr>
        <w:t>所有包内班级培育对象均要求</w:t>
      </w:r>
      <w:r>
        <w:rPr>
          <w:rFonts w:hint="eastAsia" w:ascii="宋体" w:hAnsi="宋体" w:cs="宋体"/>
          <w:b/>
          <w:bCs/>
          <w:color w:val="auto"/>
          <w:kern w:val="2"/>
          <w:sz w:val="21"/>
          <w:szCs w:val="21"/>
          <w:highlight w:val="none"/>
          <w:lang w:val="en-US" w:eastAsia="zh-CN" w:bidi="ar-SA"/>
        </w:rPr>
        <w:t>为</w:t>
      </w:r>
      <w:r>
        <w:rPr>
          <w:rFonts w:hint="eastAsia" w:ascii="宋体" w:hAnsi="宋体" w:eastAsia="宋体" w:cs="宋体"/>
          <w:b/>
          <w:bCs/>
          <w:color w:val="auto"/>
          <w:kern w:val="2"/>
          <w:sz w:val="21"/>
          <w:szCs w:val="21"/>
          <w:highlight w:val="none"/>
          <w:lang w:val="en-US" w:eastAsia="zh-CN" w:bidi="ar-SA"/>
        </w:rPr>
        <w:t>非公职人员</w:t>
      </w:r>
      <w:r>
        <w:rPr>
          <w:rFonts w:hint="eastAsia" w:ascii="宋体" w:hAnsi="宋体" w:cs="宋体"/>
          <w:b/>
          <w:bCs/>
          <w:color w:val="auto"/>
          <w:kern w:val="2"/>
          <w:sz w:val="21"/>
          <w:szCs w:val="21"/>
          <w:highlight w:val="none"/>
          <w:lang w:val="en-US" w:eastAsia="zh-CN" w:bidi="ar-SA"/>
        </w:rPr>
        <w:t>。</w:t>
      </w:r>
    </w:p>
    <w:p w14:paraId="058E9C51">
      <w:pPr>
        <w:numPr>
          <w:ilvl w:val="0"/>
          <w:numId w:val="0"/>
        </w:numPr>
        <w:adjustRightInd w:val="0"/>
        <w:snapToGrid w:val="0"/>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本项目分</w:t>
      </w:r>
      <w:r>
        <w:rPr>
          <w:rFonts w:hint="eastAsia" w:ascii="宋体" w:hAnsi="宋体"/>
          <w:color w:val="auto"/>
          <w:szCs w:val="21"/>
          <w:highlight w:val="none"/>
          <w:lang w:val="en-US" w:eastAsia="zh-CN"/>
        </w:rPr>
        <w:t>4</w:t>
      </w:r>
      <w:r>
        <w:rPr>
          <w:rFonts w:hint="eastAsia" w:ascii="宋体" w:hAnsi="宋体"/>
          <w:color w:val="auto"/>
          <w:szCs w:val="21"/>
          <w:highlight w:val="none"/>
        </w:rPr>
        <w:t>个包</w:t>
      </w:r>
      <w:r>
        <w:rPr>
          <w:rFonts w:hint="eastAsia" w:ascii="宋体" w:hAnsi="宋体"/>
          <w:color w:val="auto"/>
          <w:szCs w:val="21"/>
          <w:highlight w:val="none"/>
          <w:lang w:eastAsia="zh-CN"/>
        </w:rPr>
        <w:t>，</w:t>
      </w:r>
      <w:r>
        <w:rPr>
          <w:rFonts w:hint="eastAsia" w:ascii="宋体" w:hAnsi="宋体"/>
          <w:color w:val="auto"/>
          <w:szCs w:val="21"/>
          <w:highlight w:val="none"/>
        </w:rPr>
        <w:t>供应商可以同时对多个包进行投标，但只允许中一个包。本项目按包1、包2、包3、包4的顺序进行评审，如某供应商在包1评审时推荐为第一中标候选人，在包2、包3、包4的符合性审查中作否决处理，不得进入综合打分阶段，以此类推。</w:t>
      </w:r>
    </w:p>
    <w:p w14:paraId="5CDA8489">
      <w:pPr>
        <w:numPr>
          <w:ilvl w:val="0"/>
          <w:numId w:val="0"/>
        </w:num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三、</w:t>
      </w:r>
      <w:r>
        <w:rPr>
          <w:rFonts w:hint="eastAsia" w:ascii="宋体" w:hAnsi="宋体"/>
          <w:b/>
          <w:color w:val="auto"/>
          <w:szCs w:val="21"/>
          <w:highlight w:val="none"/>
        </w:rPr>
        <w:t>采购项目需要落实的政府采购政策：</w:t>
      </w:r>
    </w:p>
    <w:p w14:paraId="63FB126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1、优先采购：/</w:t>
      </w:r>
    </w:p>
    <w:p w14:paraId="0FE77FB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2、支持中小企业：中小企业享受预留采购份额或价格折扣。</w:t>
      </w:r>
    </w:p>
    <w:p w14:paraId="28EE938B">
      <w:pPr>
        <w:adjustRightInd w:val="0"/>
        <w:snapToGrid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四、投标人的资格要求</w:t>
      </w:r>
      <w:r>
        <w:rPr>
          <w:rFonts w:hint="eastAsia" w:ascii="宋体" w:hAnsi="宋体"/>
          <w:color w:val="auto"/>
          <w:szCs w:val="21"/>
          <w:highlight w:val="none"/>
        </w:rPr>
        <w:t>：</w:t>
      </w:r>
    </w:p>
    <w:p w14:paraId="41692B0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1、投标人基本资格条件：投标人必须是在中华人民共和国境内注册登记的法人、非法人组织或者自然人，且应当符合《政府采购法》第二十二条第一款的规定：</w:t>
      </w:r>
    </w:p>
    <w:p w14:paraId="61B8FE0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2、落实政府采购政策需满足的资格要求：</w:t>
      </w:r>
    </w:p>
    <w:p w14:paraId="56891CEB">
      <w:pPr>
        <w:adjustRightInd w:val="0"/>
        <w:snapToGrid w:val="0"/>
        <w:spacing w:line="360" w:lineRule="auto"/>
        <w:ind w:firstLine="420" w:firstLineChars="200"/>
        <w:rPr>
          <w:rFonts w:ascii="宋体" w:hAnsi="宋体"/>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专门面向</w:t>
      </w:r>
      <w:r>
        <w:rPr>
          <w:rFonts w:hint="eastAsia" w:ascii="宋体" w:hAnsi="宋体"/>
          <w:bCs/>
          <w:color w:val="auto"/>
          <w:szCs w:val="21"/>
          <w:highlight w:val="none"/>
        </w:rPr>
        <w:t>：</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中小企业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小微企业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监狱企业  </w:t>
      </w:r>
      <w:r>
        <w:rPr>
          <w:rFonts w:hint="eastAsia" w:ascii="宋体" w:hAnsi="宋体"/>
          <w:iCs/>
          <w:color w:val="auto"/>
          <w:szCs w:val="21"/>
          <w:highlight w:val="none"/>
        </w:rPr>
        <w:sym w:font="Wingdings" w:char="00A8"/>
      </w:r>
      <w:r>
        <w:rPr>
          <w:rFonts w:hint="eastAsia" w:ascii="宋体" w:hAnsi="宋体"/>
          <w:iCs/>
          <w:color w:val="auto"/>
          <w:szCs w:val="21"/>
          <w:highlight w:val="none"/>
        </w:rPr>
        <w:t>福利性单位。</w:t>
      </w:r>
    </w:p>
    <w:p w14:paraId="3651F276">
      <w:pPr>
        <w:adjustRightInd w:val="0"/>
        <w:snapToGrid w:val="0"/>
        <w:spacing w:line="360" w:lineRule="auto"/>
        <w:ind w:firstLine="420" w:firstLineChars="200"/>
        <w:rPr>
          <w:rFonts w:ascii="宋体" w:hAnsi="宋体"/>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强制</w:t>
      </w:r>
      <w:r>
        <w:rPr>
          <w:rFonts w:hint="eastAsia" w:ascii="宋体" w:hAnsi="宋体"/>
          <w:bCs/>
          <w:color w:val="auto"/>
          <w:szCs w:val="21"/>
          <w:highlight w:val="none"/>
        </w:rPr>
        <w:t>分包：大型企业应将采购份额的</w:t>
      </w:r>
      <w:r>
        <w:rPr>
          <w:rFonts w:hint="eastAsia" w:ascii="宋体" w:hAnsi="宋体"/>
          <w:bCs/>
          <w:color w:val="auto"/>
          <w:szCs w:val="21"/>
          <w:highlight w:val="none"/>
          <w:u w:val="single"/>
        </w:rPr>
        <w:t xml:space="preserve">    /     </w:t>
      </w:r>
      <w:r>
        <w:rPr>
          <w:rFonts w:hint="eastAsia" w:ascii="宋体" w:hAnsi="宋体"/>
          <w:bCs/>
          <w:color w:val="auto"/>
          <w:szCs w:val="21"/>
          <w:highlight w:val="none"/>
        </w:rPr>
        <w:t>%分包给中小企业。</w:t>
      </w:r>
    </w:p>
    <w:p w14:paraId="2E15F8B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3、投标人特定资格条件：无；</w:t>
      </w:r>
    </w:p>
    <w:p w14:paraId="136DB8A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4、单位负责人为同一人或者存在直接控股、管理关系的不同投标人，不得参加本项目同一合同项下的政府采购活动。</w:t>
      </w:r>
    </w:p>
    <w:p w14:paraId="02591BF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5、为本采购项目提供整体设计、规范编制或者项目管理、监理、检测等服务的，不得再参加此项目的其他采购活动。</w:t>
      </w:r>
    </w:p>
    <w:p w14:paraId="600B73E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6、未</w:t>
      </w:r>
      <w:r>
        <w:rPr>
          <w:rFonts w:ascii="宋体" w:hAnsi="宋体"/>
          <w:color w:val="auto"/>
          <w:szCs w:val="21"/>
          <w:highlight w:val="none"/>
        </w:rPr>
        <w:t>被</w:t>
      </w:r>
      <w:r>
        <w:rPr>
          <w:rFonts w:hint="eastAsia" w:ascii="宋体" w:hAnsi="宋体"/>
          <w:color w:val="auto"/>
          <w:szCs w:val="21"/>
          <w:highlight w:val="none"/>
        </w:rPr>
        <w:t>列入失信被执行人、重大税收违法案件当事人名单，未</w:t>
      </w:r>
      <w:r>
        <w:rPr>
          <w:rFonts w:ascii="宋体" w:hAnsi="宋体"/>
          <w:color w:val="auto"/>
          <w:szCs w:val="21"/>
          <w:highlight w:val="none"/>
        </w:rPr>
        <w:t>被</w:t>
      </w:r>
      <w:r>
        <w:rPr>
          <w:rFonts w:hint="eastAsia" w:ascii="宋体" w:hAnsi="宋体"/>
          <w:color w:val="auto"/>
          <w:szCs w:val="21"/>
          <w:highlight w:val="none"/>
        </w:rPr>
        <w:t>列入政府采购严重违法失信行为记录名单。</w:t>
      </w:r>
    </w:p>
    <w:p w14:paraId="1F52753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7、联合体投标:本次招标不接受联合体投标。</w:t>
      </w:r>
    </w:p>
    <w:p w14:paraId="705397F6">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五、获取招标文件的时间、期限、地点及方式</w:t>
      </w:r>
    </w:p>
    <w:p w14:paraId="6B79439D">
      <w:pPr>
        <w:tabs>
          <w:tab w:val="left" w:pos="3500"/>
        </w:tabs>
        <w:autoSpaceDE w:val="0"/>
        <w:autoSpaceDN w:val="0"/>
        <w:adjustRightInd w:val="0"/>
        <w:snapToGrid w:val="0"/>
        <w:spacing w:line="360" w:lineRule="auto"/>
        <w:ind w:firstLine="420" w:firstLineChars="200"/>
        <w:jc w:val="left"/>
        <w:rPr>
          <w:rStyle w:val="99"/>
          <w:rFonts w:ascii="宋体" w:hAnsi="宋体"/>
          <w:color w:val="auto"/>
          <w:szCs w:val="21"/>
          <w:highlight w:val="none"/>
        </w:rPr>
      </w:pPr>
      <w:r>
        <w:rPr>
          <w:rStyle w:val="99"/>
          <w:rFonts w:hint="eastAsia" w:ascii="宋体" w:hAnsi="宋体"/>
          <w:color w:val="auto"/>
          <w:szCs w:val="21"/>
          <w:highlight w:val="none"/>
        </w:rPr>
        <w:t>有意参加投标者，请于</w:t>
      </w:r>
      <w:r>
        <w:rPr>
          <w:rStyle w:val="99"/>
          <w:rFonts w:ascii="宋体" w:hAnsi="宋体"/>
          <w:color w:val="auto"/>
          <w:szCs w:val="21"/>
          <w:highlight w:val="none"/>
        </w:rPr>
        <w:t>即日起至投标文件递交的截止时间止</w:t>
      </w:r>
      <w:r>
        <w:rPr>
          <w:rStyle w:val="99"/>
          <w:rFonts w:hint="eastAsia" w:ascii="宋体" w:hAnsi="宋体"/>
          <w:color w:val="auto"/>
          <w:szCs w:val="21"/>
          <w:highlight w:val="none"/>
        </w:rPr>
        <w:t>，在娄底市公共资源交易网（http://ldggzy.hnloudi.gov.cn/）用湖南CA证书登录后获取电子版招标文件。</w:t>
      </w:r>
    </w:p>
    <w:p w14:paraId="6EA63BF1">
      <w:pPr>
        <w:tabs>
          <w:tab w:val="left" w:pos="3500"/>
        </w:tabs>
        <w:autoSpaceDE w:val="0"/>
        <w:autoSpaceDN w:val="0"/>
        <w:adjustRightInd w:val="0"/>
        <w:snapToGrid w:val="0"/>
        <w:spacing w:line="360" w:lineRule="auto"/>
        <w:ind w:firstLine="420" w:firstLineChars="200"/>
        <w:jc w:val="left"/>
        <w:rPr>
          <w:rStyle w:val="99"/>
          <w:rFonts w:ascii="宋体" w:hAnsi="宋体"/>
          <w:color w:val="auto"/>
          <w:szCs w:val="21"/>
          <w:highlight w:val="none"/>
        </w:rPr>
      </w:pPr>
      <w:r>
        <w:rPr>
          <w:rStyle w:val="99"/>
          <w:rFonts w:ascii="宋体" w:hAnsi="宋体"/>
          <w:color w:val="auto"/>
          <w:szCs w:val="21"/>
          <w:highlight w:val="none"/>
        </w:rPr>
        <w:object>
          <v:shape id="_x0000_i1025" o:spt="201" alt="" type="#_x0000_t201" style="height:15.6pt;width:20.4pt;" o:ole="t" filled="f" o:preferrelative="t" stroked="f" coordsize="21600,21600">
            <v:path/>
            <v:fill on="f" focussize="0,0"/>
            <v:stroke on="f"/>
            <v:imagedata r:id="rId15" o:title=""/>
            <o:lock v:ext="edit" aspectratio="t"/>
            <w10:wrap type="none"/>
            <w10:anchorlock/>
          </v:shape>
          <w:control r:id="rId14" w:name="CheckBox1" w:shapeid="_x0000_i1025"/>
        </w:object>
      </w:r>
      <w:r>
        <w:rPr>
          <w:rStyle w:val="99"/>
          <w:rFonts w:hint="eastAsia" w:ascii="宋体" w:hAnsi="宋体"/>
          <w:color w:val="auto"/>
          <w:szCs w:val="21"/>
          <w:highlight w:val="none"/>
        </w:rPr>
        <w:t>本项目实行电子交易，有意参加投标者，在娄底市公共资源交易网（http://ldggzy.hnloudi.gov.cn/）用湖南CA证书登录后获取电子版招标文件。</w:t>
      </w:r>
    </w:p>
    <w:p w14:paraId="5D76077F">
      <w:pPr>
        <w:tabs>
          <w:tab w:val="left" w:pos="3500"/>
        </w:tabs>
        <w:autoSpaceDE w:val="0"/>
        <w:autoSpaceDN w:val="0"/>
        <w:adjustRightInd w:val="0"/>
        <w:snapToGrid w:val="0"/>
        <w:spacing w:line="360" w:lineRule="auto"/>
        <w:ind w:firstLine="420" w:firstLineChars="200"/>
        <w:jc w:val="left"/>
        <w:rPr>
          <w:rStyle w:val="99"/>
          <w:rFonts w:ascii="宋体" w:hAnsi="宋体"/>
          <w:color w:val="auto"/>
          <w:szCs w:val="21"/>
          <w:highlight w:val="none"/>
        </w:rPr>
      </w:pPr>
      <w:r>
        <w:rPr>
          <w:rStyle w:val="99"/>
          <w:rFonts w:ascii="宋体" w:hAnsi="宋体"/>
          <w:color w:val="auto"/>
          <w:szCs w:val="21"/>
          <w:highlight w:val="none"/>
        </w:rPr>
        <w:object>
          <v:shape id="_x0000_i1026" o:spt="201" alt="" type="#_x0000_t201" style="height:15.6pt;width:20.4pt;" o:ole="t" filled="f" o:preferrelative="t" stroked="f" coordsize="21600,21600">
            <v:path/>
            <v:fill on="f" focussize="0,0"/>
            <v:stroke on="f"/>
            <v:imagedata r:id="rId17" o:title=""/>
            <o:lock v:ext="edit" aspectratio="t"/>
            <w10:wrap type="none"/>
            <w10:anchorlock/>
          </v:shape>
          <w:control r:id="rId16" w:name="CheckBox2" w:shapeid="_x0000_i1026"/>
        </w:object>
      </w:r>
      <w:r>
        <w:rPr>
          <w:rStyle w:val="99"/>
          <w:rFonts w:hint="eastAsia" w:ascii="宋体" w:hAnsi="宋体"/>
          <w:color w:val="auto"/>
          <w:szCs w:val="21"/>
          <w:highlight w:val="none"/>
        </w:rPr>
        <w:t>本项目进行资格预审，招标文件将向所有通过资格预审的供应商提供。</w:t>
      </w:r>
    </w:p>
    <w:p w14:paraId="5A668548">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六、投标截止时间、开标时间及地点</w:t>
      </w:r>
    </w:p>
    <w:p w14:paraId="5AB132AC">
      <w:pPr>
        <w:adjustRightInd w:val="0"/>
        <w:snapToGrid w:val="0"/>
        <w:spacing w:line="360" w:lineRule="auto"/>
        <w:ind w:firstLine="420" w:firstLineChars="200"/>
        <w:rPr>
          <w:rStyle w:val="99"/>
          <w:rFonts w:ascii="宋体" w:hAnsi="宋体"/>
          <w:color w:val="auto"/>
          <w:szCs w:val="21"/>
          <w:highlight w:val="none"/>
        </w:rPr>
      </w:pPr>
      <w:r>
        <w:rPr>
          <w:rStyle w:val="99"/>
          <w:rFonts w:hint="eastAsia" w:ascii="宋体" w:hAnsi="宋体"/>
          <w:color w:val="auto"/>
          <w:szCs w:val="21"/>
          <w:highlight w:val="none"/>
        </w:rPr>
        <w:t>1、</w:t>
      </w:r>
      <w:r>
        <w:rPr>
          <w:rStyle w:val="99"/>
          <w:rFonts w:ascii="宋体" w:hAnsi="宋体"/>
          <w:color w:val="auto"/>
          <w:szCs w:val="21"/>
          <w:highlight w:val="none"/>
        </w:rPr>
        <w:t>提交投标文件的截止时间</w:t>
      </w:r>
      <w:r>
        <w:rPr>
          <w:rStyle w:val="99"/>
          <w:rFonts w:hint="eastAsia" w:ascii="宋体" w:hAnsi="宋体"/>
          <w:color w:val="auto"/>
          <w:szCs w:val="21"/>
          <w:highlight w:val="none"/>
        </w:rPr>
        <w:t>及开标时间</w:t>
      </w:r>
      <w:r>
        <w:rPr>
          <w:rStyle w:val="99"/>
          <w:rFonts w:ascii="宋体" w:hAnsi="宋体"/>
          <w:color w:val="auto"/>
          <w:szCs w:val="21"/>
          <w:highlight w:val="none"/>
        </w:rPr>
        <w:t>：202</w:t>
      </w:r>
      <w:r>
        <w:rPr>
          <w:rStyle w:val="99"/>
          <w:rFonts w:hint="eastAsia" w:ascii="宋体" w:hAnsi="宋体"/>
          <w:color w:val="auto"/>
          <w:szCs w:val="21"/>
          <w:highlight w:val="none"/>
        </w:rPr>
        <w:t>6</w:t>
      </w:r>
      <w:r>
        <w:rPr>
          <w:rStyle w:val="99"/>
          <w:rFonts w:ascii="宋体" w:hAnsi="宋体"/>
          <w:color w:val="auto"/>
          <w:szCs w:val="21"/>
          <w:highlight w:val="none"/>
        </w:rPr>
        <w:t>年</w:t>
      </w:r>
      <w:r>
        <w:rPr>
          <w:rStyle w:val="99"/>
          <w:rFonts w:hint="eastAsia" w:ascii="宋体" w:hAnsi="宋体"/>
          <w:color w:val="auto"/>
          <w:szCs w:val="21"/>
          <w:highlight w:val="none"/>
          <w:u w:val="single"/>
          <w:lang w:val="en-US" w:eastAsia="zh-CN"/>
        </w:rPr>
        <w:t>9</w:t>
      </w:r>
      <w:r>
        <w:rPr>
          <w:rStyle w:val="99"/>
          <w:rFonts w:hint="eastAsia" w:ascii="宋体" w:hAnsi="宋体"/>
          <w:color w:val="auto"/>
          <w:szCs w:val="21"/>
          <w:highlight w:val="none"/>
        </w:rPr>
        <w:t>月</w:t>
      </w:r>
      <w:r>
        <w:rPr>
          <w:rStyle w:val="99"/>
          <w:rFonts w:hint="eastAsia" w:ascii="宋体" w:hAnsi="宋体"/>
          <w:color w:val="auto"/>
          <w:szCs w:val="21"/>
          <w:highlight w:val="none"/>
          <w:u w:val="single"/>
        </w:rPr>
        <w:t xml:space="preserve">  </w:t>
      </w:r>
      <w:r>
        <w:rPr>
          <w:rStyle w:val="99"/>
          <w:rFonts w:hint="eastAsia" w:ascii="宋体" w:hAnsi="宋体"/>
          <w:color w:val="auto"/>
          <w:szCs w:val="21"/>
          <w:highlight w:val="none"/>
          <w:u w:val="single"/>
          <w:lang w:val="en-US" w:eastAsia="zh-CN"/>
        </w:rPr>
        <w:t>18</w:t>
      </w:r>
      <w:r>
        <w:rPr>
          <w:rStyle w:val="99"/>
          <w:rFonts w:hint="eastAsia" w:ascii="宋体" w:hAnsi="宋体"/>
          <w:color w:val="auto"/>
          <w:szCs w:val="21"/>
          <w:highlight w:val="none"/>
          <w:u w:val="single"/>
        </w:rPr>
        <w:t xml:space="preserve">  </w:t>
      </w:r>
      <w:r>
        <w:rPr>
          <w:rStyle w:val="99"/>
          <w:rFonts w:hint="eastAsia" w:ascii="宋体" w:hAnsi="宋体"/>
          <w:color w:val="auto"/>
          <w:szCs w:val="21"/>
          <w:highlight w:val="none"/>
        </w:rPr>
        <w:t>日09:00（北京时间）</w:t>
      </w:r>
    </w:p>
    <w:p w14:paraId="5EDAB869">
      <w:pPr>
        <w:adjustRightInd w:val="0"/>
        <w:snapToGrid w:val="0"/>
        <w:spacing w:line="360" w:lineRule="auto"/>
        <w:ind w:firstLine="420" w:firstLineChars="200"/>
        <w:rPr>
          <w:rFonts w:ascii="宋体" w:hAnsi="宋体"/>
          <w:color w:val="auto"/>
          <w:szCs w:val="21"/>
          <w:highlight w:val="none"/>
        </w:rPr>
      </w:pPr>
      <w:r>
        <w:rPr>
          <w:rStyle w:val="99"/>
          <w:rFonts w:hint="eastAsia" w:ascii="宋体" w:hAnsi="宋体"/>
          <w:color w:val="auto"/>
          <w:szCs w:val="21"/>
          <w:highlight w:val="none"/>
        </w:rPr>
        <w:t>2、提交投标文件地点：</w:t>
      </w:r>
      <w:r>
        <w:rPr>
          <w:rStyle w:val="99"/>
          <w:rFonts w:ascii="宋体" w:hAnsi="宋体"/>
          <w:color w:val="auto"/>
          <w:szCs w:val="21"/>
          <w:highlight w:val="none"/>
        </w:rPr>
        <w:t>娄底市公共资源交易中心（http://ldggzy.hnloudi.gov.cn/）。</w:t>
      </w:r>
    </w:p>
    <w:p w14:paraId="74238F5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w:t>
      </w:r>
      <w:r>
        <w:rPr>
          <w:rStyle w:val="50"/>
          <w:rFonts w:ascii="宋体" w:hAnsi="宋体" w:cs="宋体"/>
          <w:b w:val="0"/>
          <w:bCs w:val="0"/>
          <w:color w:val="auto"/>
          <w:szCs w:val="21"/>
          <w:highlight w:val="none"/>
        </w:rPr>
        <w:t>解密截止时间：202</w:t>
      </w:r>
      <w:r>
        <w:rPr>
          <w:rStyle w:val="50"/>
          <w:rFonts w:hint="eastAsia" w:ascii="宋体" w:hAnsi="宋体" w:cs="宋体"/>
          <w:b w:val="0"/>
          <w:bCs w:val="0"/>
          <w:color w:val="auto"/>
          <w:szCs w:val="21"/>
          <w:highlight w:val="none"/>
        </w:rPr>
        <w:t>6</w:t>
      </w:r>
      <w:r>
        <w:rPr>
          <w:rStyle w:val="50"/>
          <w:rFonts w:ascii="宋体" w:hAnsi="宋体" w:cs="宋体"/>
          <w:b w:val="0"/>
          <w:bCs w:val="0"/>
          <w:color w:val="auto"/>
          <w:szCs w:val="21"/>
          <w:highlight w:val="none"/>
        </w:rPr>
        <w:t>年</w:t>
      </w:r>
      <w:r>
        <w:rPr>
          <w:rStyle w:val="50"/>
          <w:rFonts w:hint="eastAsia" w:ascii="宋体" w:hAnsi="宋体" w:cs="宋体"/>
          <w:b w:val="0"/>
          <w:bCs w:val="0"/>
          <w:color w:val="auto"/>
          <w:szCs w:val="21"/>
          <w:highlight w:val="none"/>
          <w:u w:val="single"/>
        </w:rPr>
        <w:t xml:space="preserve">  </w:t>
      </w:r>
      <w:r>
        <w:rPr>
          <w:rStyle w:val="50"/>
          <w:rFonts w:hint="eastAsia" w:ascii="宋体" w:hAnsi="宋体" w:cs="宋体"/>
          <w:b w:val="0"/>
          <w:bCs w:val="0"/>
          <w:color w:val="auto"/>
          <w:szCs w:val="21"/>
          <w:highlight w:val="none"/>
          <w:u w:val="single"/>
          <w:lang w:val="en-US" w:eastAsia="zh-CN"/>
        </w:rPr>
        <w:t>9</w:t>
      </w:r>
      <w:r>
        <w:rPr>
          <w:rStyle w:val="50"/>
          <w:rFonts w:hint="eastAsia" w:ascii="宋体" w:hAnsi="宋体" w:cs="宋体"/>
          <w:b w:val="0"/>
          <w:bCs w:val="0"/>
          <w:color w:val="auto"/>
          <w:szCs w:val="21"/>
          <w:highlight w:val="none"/>
          <w:u w:val="single"/>
        </w:rPr>
        <w:t xml:space="preserve">  </w:t>
      </w:r>
      <w:r>
        <w:rPr>
          <w:rStyle w:val="50"/>
          <w:rFonts w:ascii="宋体" w:hAnsi="宋体" w:cs="宋体"/>
          <w:b w:val="0"/>
          <w:bCs w:val="0"/>
          <w:color w:val="auto"/>
          <w:szCs w:val="21"/>
          <w:highlight w:val="none"/>
        </w:rPr>
        <w:t>月</w:t>
      </w:r>
      <w:r>
        <w:rPr>
          <w:rStyle w:val="50"/>
          <w:rFonts w:hint="eastAsia" w:ascii="宋体" w:hAnsi="宋体" w:cs="宋体"/>
          <w:b w:val="0"/>
          <w:bCs w:val="0"/>
          <w:color w:val="auto"/>
          <w:szCs w:val="21"/>
          <w:highlight w:val="none"/>
          <w:u w:val="single"/>
        </w:rPr>
        <w:t xml:space="preserve"> </w:t>
      </w:r>
      <w:r>
        <w:rPr>
          <w:rStyle w:val="50"/>
          <w:rFonts w:hint="eastAsia" w:ascii="宋体" w:hAnsi="宋体" w:cs="宋体"/>
          <w:b w:val="0"/>
          <w:bCs w:val="0"/>
          <w:color w:val="auto"/>
          <w:szCs w:val="21"/>
          <w:highlight w:val="none"/>
          <w:u w:val="single"/>
          <w:lang w:val="en-US" w:eastAsia="zh-CN"/>
        </w:rPr>
        <w:t>18</w:t>
      </w:r>
      <w:r>
        <w:rPr>
          <w:rStyle w:val="50"/>
          <w:rFonts w:hint="eastAsia" w:ascii="宋体" w:hAnsi="宋体" w:cs="宋体"/>
          <w:b w:val="0"/>
          <w:bCs w:val="0"/>
          <w:color w:val="auto"/>
          <w:szCs w:val="21"/>
          <w:highlight w:val="none"/>
          <w:u w:val="single"/>
        </w:rPr>
        <w:t xml:space="preserve">  </w:t>
      </w:r>
      <w:r>
        <w:rPr>
          <w:rStyle w:val="50"/>
          <w:rFonts w:ascii="宋体" w:hAnsi="宋体" w:cs="宋体"/>
          <w:b w:val="0"/>
          <w:bCs w:val="0"/>
          <w:color w:val="auto"/>
          <w:szCs w:val="21"/>
          <w:highlight w:val="none"/>
        </w:rPr>
        <w:t>日</w:t>
      </w:r>
      <w:r>
        <w:rPr>
          <w:rStyle w:val="50"/>
          <w:rFonts w:hint="eastAsia" w:ascii="宋体" w:hAnsi="宋体" w:cs="宋体"/>
          <w:b w:val="0"/>
          <w:bCs w:val="0"/>
          <w:color w:val="auto"/>
          <w:szCs w:val="21"/>
          <w:highlight w:val="none"/>
          <w:u w:val="single"/>
        </w:rPr>
        <w:t xml:space="preserve"> 09 </w:t>
      </w:r>
      <w:r>
        <w:rPr>
          <w:rStyle w:val="50"/>
          <w:rFonts w:ascii="宋体" w:hAnsi="宋体" w:cs="宋体"/>
          <w:b w:val="0"/>
          <w:bCs w:val="0"/>
          <w:color w:val="auto"/>
          <w:szCs w:val="21"/>
          <w:highlight w:val="none"/>
        </w:rPr>
        <w:t>时</w:t>
      </w:r>
      <w:r>
        <w:rPr>
          <w:rStyle w:val="50"/>
          <w:rFonts w:hint="eastAsia" w:ascii="宋体" w:hAnsi="宋体" w:cs="宋体"/>
          <w:b w:val="0"/>
          <w:bCs w:val="0"/>
          <w:color w:val="auto"/>
          <w:szCs w:val="21"/>
          <w:highlight w:val="none"/>
          <w:u w:val="single"/>
        </w:rPr>
        <w:t xml:space="preserve"> 30</w:t>
      </w:r>
      <w:r>
        <w:rPr>
          <w:rStyle w:val="50"/>
          <w:rFonts w:ascii="宋体" w:hAnsi="宋体" w:cs="宋体"/>
          <w:b w:val="0"/>
          <w:bCs w:val="0"/>
          <w:color w:val="auto"/>
          <w:szCs w:val="21"/>
          <w:highlight w:val="none"/>
          <w:u w:val="single"/>
        </w:rPr>
        <w:t xml:space="preserve"> </w:t>
      </w:r>
      <w:r>
        <w:rPr>
          <w:rStyle w:val="50"/>
          <w:rFonts w:ascii="宋体" w:hAnsi="宋体" w:cs="宋体"/>
          <w:b w:val="0"/>
          <w:bCs w:val="0"/>
          <w:color w:val="auto"/>
          <w:szCs w:val="21"/>
          <w:highlight w:val="none"/>
        </w:rPr>
        <w:t>分（投标截止时间后30分</w:t>
      </w:r>
      <w:r>
        <w:rPr>
          <w:rStyle w:val="99"/>
          <w:rFonts w:ascii="宋体" w:hAnsi="宋体"/>
          <w:color w:val="auto"/>
          <w:szCs w:val="21"/>
          <w:highlight w:val="none"/>
        </w:rPr>
        <w:t>钟）</w:t>
      </w:r>
      <w:r>
        <w:rPr>
          <w:rStyle w:val="99"/>
          <w:rFonts w:hint="eastAsia" w:ascii="宋体" w:hAnsi="宋体"/>
          <w:color w:val="auto"/>
          <w:szCs w:val="21"/>
          <w:highlight w:val="none"/>
        </w:rPr>
        <w:t>,</w:t>
      </w:r>
      <w:r>
        <w:rPr>
          <w:rStyle w:val="99"/>
          <w:rFonts w:ascii="宋体" w:hAnsi="宋体"/>
          <w:color w:val="auto"/>
          <w:szCs w:val="21"/>
          <w:highlight w:val="none"/>
        </w:rPr>
        <w:t>请投标人确保投标文件如期解密。</w:t>
      </w:r>
    </w:p>
    <w:p w14:paraId="20B40C1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w:t>
      </w:r>
      <w:r>
        <w:rPr>
          <w:rStyle w:val="99"/>
          <w:rFonts w:hint="eastAsia" w:ascii="宋体" w:hAnsi="宋体"/>
          <w:color w:val="auto"/>
          <w:szCs w:val="21"/>
          <w:highlight w:val="none"/>
        </w:rPr>
        <w:t>开标地点：</w:t>
      </w:r>
      <w:r>
        <w:rPr>
          <w:rStyle w:val="190"/>
          <w:rFonts w:hAnsi="宋体"/>
          <w:color w:val="auto"/>
          <w:kern w:val="0"/>
          <w:highlight w:val="none"/>
        </w:rPr>
        <w:t>娄底市公共资源交易中心四楼（详见当天电子显示屏的安排）</w:t>
      </w:r>
      <w:r>
        <w:rPr>
          <w:rStyle w:val="99"/>
          <w:rFonts w:ascii="宋体" w:hAnsi="宋体"/>
          <w:color w:val="auto"/>
          <w:szCs w:val="21"/>
          <w:highlight w:val="none"/>
        </w:rPr>
        <w:t>。</w:t>
      </w:r>
    </w:p>
    <w:p w14:paraId="131D9242">
      <w:pPr>
        <w:adjustRightInd w:val="0"/>
        <w:snapToGrid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七、公告期限</w:t>
      </w:r>
      <w:r>
        <w:rPr>
          <w:rFonts w:hint="eastAsia" w:ascii="宋体" w:hAnsi="宋体"/>
          <w:color w:val="auto"/>
          <w:szCs w:val="21"/>
          <w:highlight w:val="none"/>
        </w:rPr>
        <w:t>：</w:t>
      </w:r>
    </w:p>
    <w:p w14:paraId="04CB4D0A">
      <w:p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1、本招标公告在中国湖南政府采购网（www.ccgp-hunan.gov.cn）和娄底市公共资源交易网（http://ldggzy.hnloudi.gov.cn/）发布。公告期限从本招标公告发布之日起5个工作日。</w:t>
      </w:r>
    </w:p>
    <w:p w14:paraId="71E8ABE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2、在其他媒体发布的招标公告，公告内容以本招标公告指定媒体发布的公告为准；公告期限自本招标公告指定媒体最先发布公告之日起算。</w:t>
      </w:r>
    </w:p>
    <w:p w14:paraId="7F01714C">
      <w:pPr>
        <w:adjustRightInd w:val="0"/>
        <w:snapToGrid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八、询问及质疑</w:t>
      </w:r>
      <w:r>
        <w:rPr>
          <w:rFonts w:hint="eastAsia" w:ascii="宋体" w:hAnsi="宋体"/>
          <w:color w:val="auto"/>
          <w:szCs w:val="21"/>
          <w:highlight w:val="none"/>
        </w:rPr>
        <w:t>：</w:t>
      </w:r>
    </w:p>
    <w:p w14:paraId="335C9F5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1、投标人对政府采购活动事项如有疑问的，可以向采购人、采购代理机构提出询问。采购人、采购代理机构将在3个工作日内作出答复。</w:t>
      </w:r>
    </w:p>
    <w:p w14:paraId="72D8035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2、投标人对电子交易平台办理CA证书、操作等如有疑问，请咨询电子交易平台服务机构。</w:t>
      </w:r>
    </w:p>
    <w:p w14:paraId="03052F2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潜在投标人认为招标文件或招标公告使自己的合法权益受到损害的，可以在收到招标文件之日或招标公告期限届满之日起7个工作日内，按《湖南省财政厅关于印发＜政府采购质疑答复和投诉处理操作规程＞的通知》(湘财购〔2024〕67号)规定，以纸质书面形式向采购人、采购代理机构提出质疑。</w:t>
      </w:r>
    </w:p>
    <w:p w14:paraId="3A410E51">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九、投标说明</w:t>
      </w:r>
    </w:p>
    <w:p w14:paraId="361B844F">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ascii="宋体" w:hAnsi="宋体"/>
          <w:color w:val="auto"/>
          <w:szCs w:val="21"/>
          <w:highlight w:val="none"/>
        </w:rPr>
      </w:pPr>
      <w:r>
        <w:rPr>
          <w:rFonts w:hint="eastAsia" w:ascii="宋体" w:hAnsi="宋体"/>
          <w:color w:val="auto"/>
          <w:szCs w:val="21"/>
          <w:highlight w:val="none"/>
        </w:rPr>
        <w:t>1、本公告选项：</w:t>
      </w:r>
      <w:r>
        <w:rPr>
          <w:rFonts w:hint="eastAsia" w:ascii="宋体" w:hAnsi="宋体" w:cs="宋体"/>
          <w:iCs/>
          <w:color w:val="auto"/>
          <w:szCs w:val="21"/>
          <w:highlight w:val="none"/>
        </w:rPr>
        <w:sym w:font="Wingdings" w:char="00FE"/>
      </w:r>
      <w:r>
        <w:rPr>
          <w:rFonts w:hint="eastAsia" w:ascii="宋体" w:hAnsi="宋体"/>
          <w:color w:val="auto"/>
          <w:szCs w:val="21"/>
          <w:highlight w:val="none"/>
        </w:rPr>
        <w:t>表示选择，</w:t>
      </w:r>
      <w:r>
        <w:rPr>
          <w:rFonts w:hint="eastAsia" w:ascii="宋体" w:hAnsi="宋体"/>
          <w:color w:val="auto"/>
          <w:szCs w:val="21"/>
          <w:highlight w:val="none"/>
        </w:rPr>
        <w:sym w:font="Wingdings" w:char="00A8"/>
      </w:r>
      <w:r>
        <w:rPr>
          <w:rFonts w:hint="eastAsia" w:ascii="宋体" w:hAnsi="宋体"/>
          <w:color w:val="auto"/>
          <w:szCs w:val="21"/>
          <w:highlight w:val="none"/>
        </w:rPr>
        <w:t>表示未选择。</w:t>
      </w:r>
    </w:p>
    <w:p w14:paraId="30676261">
      <w:p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2、投标人参与政府采购活动，无需向采购人、代理机构、交易平台缴纳任何费用。</w:t>
      </w:r>
    </w:p>
    <w:p w14:paraId="6FCF1358">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十、其他补充事宜</w:t>
      </w:r>
    </w:p>
    <w:p w14:paraId="33A1E2D2">
      <w:pPr>
        <w:adjustRightInd w:val="0"/>
        <w:snapToGrid w:val="0"/>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1、本</w:t>
      </w:r>
      <w:r>
        <w:rPr>
          <w:rStyle w:val="99"/>
          <w:rFonts w:ascii="宋体" w:hAnsi="宋体"/>
          <w:color w:val="auto"/>
          <w:szCs w:val="21"/>
          <w:highlight w:val="none"/>
        </w:rPr>
        <w:t>项目采用电子化招标</w:t>
      </w:r>
      <w:r>
        <w:rPr>
          <w:rStyle w:val="99"/>
          <w:rFonts w:hint="eastAsia" w:ascii="宋体" w:hAnsi="宋体"/>
          <w:color w:val="auto"/>
          <w:szCs w:val="21"/>
          <w:highlight w:val="none"/>
        </w:rPr>
        <w:t>，</w:t>
      </w:r>
      <w:r>
        <w:rPr>
          <w:rFonts w:hint="eastAsia" w:ascii="宋体" w:hAnsi="宋体"/>
          <w:color w:val="auto"/>
          <w:highlight w:val="none"/>
          <w:shd w:val="clear" w:color="auto" w:fill="FFFFFF"/>
        </w:rPr>
        <w:t>请各潜在投标人在投标函中提供真实有效的联系人及联系电话，以便联系。</w:t>
      </w:r>
      <w:r>
        <w:rPr>
          <w:rFonts w:hint="eastAsia" w:ascii="宋体" w:hAnsi="宋体"/>
          <w:color w:val="auto"/>
          <w:szCs w:val="21"/>
          <w:highlight w:val="none"/>
        </w:rPr>
        <w:t>评标委员会按投标人提交的电子投标文件进行评审，资料的真实性、合法性由投标人负责，如有虚假，已中标的将取消中标资格，并依法追究相应责任。</w:t>
      </w:r>
    </w:p>
    <w:p w14:paraId="08F91868">
      <w:pPr>
        <w:adjustRightInd w:val="0"/>
        <w:snapToGrid w:val="0"/>
        <w:spacing w:line="360" w:lineRule="auto"/>
        <w:ind w:firstLine="420" w:firstLineChars="200"/>
        <w:rPr>
          <w:rFonts w:ascii="宋体" w:hAnsi="宋体"/>
          <w:color w:val="auto"/>
          <w:highlight w:val="none"/>
          <w:shd w:val="clear" w:color="auto" w:fill="FFFFFF"/>
        </w:rPr>
      </w:pPr>
      <w:r>
        <w:rPr>
          <w:rFonts w:hint="eastAsia" w:ascii="宋体" w:hAnsi="宋体"/>
          <w:color w:val="auto"/>
          <w:highlight w:val="none"/>
          <w:shd w:val="clear" w:color="auto" w:fill="FFFFFF"/>
        </w:rPr>
        <w:t>2、澄清说明：专家在评标室对需要进行澄清说明的单位进行提问，投标单位收到短信后在规定时间内在交易平台进行澄清说明（快捷导航-澄清说明-选择进行澄清说明的项目），查看问题并上传附件（澄清说明附件以PDF格式上传至交易系统）；</w:t>
      </w:r>
    </w:p>
    <w:p w14:paraId="3000DA1D">
      <w:pPr>
        <w:adjustRightInd w:val="0"/>
        <w:snapToGrid w:val="0"/>
        <w:spacing w:line="360" w:lineRule="auto"/>
        <w:ind w:firstLine="422" w:firstLineChars="200"/>
        <w:rPr>
          <w:rFonts w:ascii="宋体" w:hAnsi="宋体"/>
          <w:b/>
          <w:color w:val="auto"/>
          <w:szCs w:val="21"/>
          <w:highlight w:val="none"/>
        </w:rPr>
      </w:pPr>
      <w:r>
        <w:rPr>
          <w:rFonts w:hint="eastAsia" w:ascii="宋体" w:hAnsi="宋体"/>
          <w:b/>
          <w:bCs/>
          <w:color w:val="auto"/>
          <w:szCs w:val="21"/>
          <w:highlight w:val="none"/>
        </w:rPr>
        <w:t>十一</w:t>
      </w:r>
      <w:r>
        <w:rPr>
          <w:rFonts w:hint="eastAsia" w:ascii="宋体" w:hAnsi="宋体"/>
          <w:color w:val="auto"/>
          <w:szCs w:val="21"/>
          <w:highlight w:val="none"/>
        </w:rPr>
        <w:t>、</w:t>
      </w:r>
      <w:r>
        <w:rPr>
          <w:rFonts w:hint="eastAsia" w:ascii="宋体" w:hAnsi="宋体"/>
          <w:b/>
          <w:color w:val="auto"/>
          <w:szCs w:val="21"/>
          <w:highlight w:val="none"/>
        </w:rPr>
        <w:t>采购项目联系人姓名和电话</w:t>
      </w:r>
    </w:p>
    <w:p w14:paraId="66453A7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1、联系人姓名：曾女士 </w:t>
      </w:r>
    </w:p>
    <w:p w14:paraId="738F469F">
      <w:pPr>
        <w:adjustRightInd w:val="0"/>
        <w:snapToGrid w:val="0"/>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2、电话：15973866819</w:t>
      </w:r>
    </w:p>
    <w:p w14:paraId="5D88DB35">
      <w:pPr>
        <w:adjustRightInd w:val="0"/>
        <w:snapToGrid w:val="0"/>
        <w:spacing w:line="360" w:lineRule="auto"/>
        <w:ind w:firstLine="413" w:firstLineChars="196"/>
        <w:rPr>
          <w:rFonts w:ascii="宋体" w:hAnsi="宋体"/>
          <w:b/>
          <w:bCs/>
          <w:color w:val="auto"/>
          <w:szCs w:val="21"/>
          <w:highlight w:val="none"/>
        </w:rPr>
      </w:pPr>
      <w:r>
        <w:rPr>
          <w:rFonts w:hint="eastAsia" w:ascii="宋体" w:hAnsi="宋体"/>
          <w:b/>
          <w:bCs/>
          <w:color w:val="auto"/>
          <w:szCs w:val="21"/>
          <w:highlight w:val="none"/>
        </w:rPr>
        <w:t>十二、采购人、采购代理机构的名称、地址和联系方法</w:t>
      </w:r>
    </w:p>
    <w:p w14:paraId="0C3147D4">
      <w:pPr>
        <w:adjustRightInd w:val="0"/>
        <w:snapToGrid w:val="0"/>
        <w:spacing w:line="360" w:lineRule="auto"/>
        <w:ind w:firstLine="413" w:firstLineChars="196"/>
        <w:rPr>
          <w:rFonts w:ascii="宋体" w:hAnsi="宋体"/>
          <w:b/>
          <w:bCs/>
          <w:color w:val="auto"/>
          <w:szCs w:val="21"/>
          <w:highlight w:val="none"/>
        </w:rPr>
      </w:pPr>
      <w:r>
        <w:rPr>
          <w:rFonts w:hint="eastAsia" w:ascii="宋体" w:hAnsi="宋体"/>
          <w:b/>
          <w:bCs/>
          <w:color w:val="auto"/>
          <w:szCs w:val="21"/>
          <w:highlight w:val="none"/>
        </w:rPr>
        <w:t>1</w:t>
      </w:r>
      <w:r>
        <w:rPr>
          <w:rFonts w:hint="eastAsia" w:ascii="宋体" w:hAnsi="宋体"/>
          <w:color w:val="auto"/>
          <w:szCs w:val="21"/>
          <w:highlight w:val="none"/>
        </w:rPr>
        <w:t>、</w:t>
      </w:r>
      <w:r>
        <w:rPr>
          <w:rFonts w:hint="eastAsia" w:ascii="宋体" w:hAnsi="宋体"/>
          <w:b/>
          <w:bCs/>
          <w:color w:val="auto"/>
          <w:szCs w:val="21"/>
          <w:highlight w:val="none"/>
        </w:rPr>
        <w:t>采购人信息</w:t>
      </w:r>
    </w:p>
    <w:p w14:paraId="47B7F80D">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（1）名称：新化县农业农村局</w:t>
      </w:r>
    </w:p>
    <w:p w14:paraId="05DEEFF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（2）地址：</w:t>
      </w:r>
      <w:r>
        <w:rPr>
          <w:rFonts w:hint="eastAsia" w:ascii="宋体" w:hAnsi="宋体" w:cs="宋体"/>
          <w:color w:val="auto"/>
          <w:szCs w:val="21"/>
          <w:highlight w:val="none"/>
        </w:rPr>
        <w:t>新化县梅苑北路</w:t>
      </w:r>
    </w:p>
    <w:p w14:paraId="496D6578">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 xml:space="preserve">（3）联系人：曾女士 </w:t>
      </w:r>
    </w:p>
    <w:p w14:paraId="73E1223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（4）邮编：417600</w:t>
      </w:r>
    </w:p>
    <w:p w14:paraId="72B5187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（5）电话：</w:t>
      </w:r>
      <w:r>
        <w:rPr>
          <w:rFonts w:hint="eastAsia" w:ascii="宋体" w:hAnsi="宋体" w:cs="宋体"/>
          <w:color w:val="auto"/>
          <w:szCs w:val="21"/>
          <w:highlight w:val="none"/>
        </w:rPr>
        <w:t>15973866819</w:t>
      </w:r>
    </w:p>
    <w:p w14:paraId="506F050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（6）电子邮箱：/</w:t>
      </w:r>
    </w:p>
    <w:p w14:paraId="392FBADE">
      <w:pPr>
        <w:adjustRightInd w:val="0"/>
        <w:snapToGrid w:val="0"/>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2</w:t>
      </w:r>
      <w:r>
        <w:rPr>
          <w:rFonts w:hint="eastAsia" w:ascii="宋体" w:hAnsi="宋体"/>
          <w:color w:val="auto"/>
          <w:szCs w:val="21"/>
          <w:highlight w:val="none"/>
        </w:rPr>
        <w:t>、</w:t>
      </w:r>
      <w:r>
        <w:rPr>
          <w:rFonts w:hint="eastAsia" w:ascii="宋体" w:hAnsi="宋体"/>
          <w:b/>
          <w:bCs/>
          <w:color w:val="auto"/>
          <w:szCs w:val="21"/>
          <w:highlight w:val="none"/>
        </w:rPr>
        <w:t>采购代理机构信息</w:t>
      </w:r>
    </w:p>
    <w:p w14:paraId="625DA1FD">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（1）名称：湖南天湘项目管理有限公司</w:t>
      </w:r>
    </w:p>
    <w:p w14:paraId="455BEA30">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（2）地址：</w:t>
      </w:r>
      <w:r>
        <w:rPr>
          <w:rStyle w:val="99"/>
          <w:rFonts w:hint="eastAsia" w:ascii="宋体" w:hAnsi="宋体"/>
          <w:color w:val="auto"/>
          <w:szCs w:val="21"/>
          <w:highlight w:val="none"/>
        </w:rPr>
        <w:t>新化县清水塘路（金水园）第一幢3楼</w:t>
      </w:r>
    </w:p>
    <w:p w14:paraId="3CDE79F2">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（3）联系人：</w:t>
      </w:r>
      <w:r>
        <w:rPr>
          <w:rFonts w:hint="eastAsia" w:ascii="宋体" w:hAnsi="宋体" w:cs="宋体"/>
          <w:color w:val="auto"/>
          <w:kern w:val="1"/>
          <w:highlight w:val="none"/>
        </w:rPr>
        <w:t>曾先生    吴女士</w:t>
      </w:r>
    </w:p>
    <w:p w14:paraId="6F40053A">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（4）邮编：417600</w:t>
      </w:r>
    </w:p>
    <w:p w14:paraId="519E921F">
      <w:pPr>
        <w:adjustRightInd w:val="0"/>
        <w:snapToGrid w:val="0"/>
        <w:spacing w:line="360" w:lineRule="auto"/>
        <w:ind w:firstLine="411" w:firstLineChars="196"/>
        <w:rPr>
          <w:rFonts w:ascii="宋体" w:hAnsi="宋体" w:cs="宋体"/>
          <w:color w:val="auto"/>
          <w:kern w:val="1"/>
          <w:highlight w:val="none"/>
        </w:rPr>
      </w:pPr>
      <w:r>
        <w:rPr>
          <w:rFonts w:hint="eastAsia" w:ascii="宋体" w:hAnsi="宋体"/>
          <w:color w:val="auto"/>
          <w:szCs w:val="21"/>
          <w:highlight w:val="none"/>
        </w:rPr>
        <w:t>（5）电话：</w:t>
      </w:r>
      <w:r>
        <w:rPr>
          <w:rStyle w:val="99"/>
          <w:rFonts w:hint="eastAsia" w:ascii="宋体" w:hAnsi="宋体"/>
          <w:color w:val="auto"/>
          <w:szCs w:val="21"/>
          <w:highlight w:val="none"/>
        </w:rPr>
        <w:t>0738-</w:t>
      </w:r>
      <w:r>
        <w:rPr>
          <w:rStyle w:val="99"/>
          <w:rFonts w:hint="eastAsia" w:ascii="宋体" w:hAnsi="宋体"/>
          <w:color w:val="auto"/>
          <w:szCs w:val="21"/>
          <w:highlight w:val="none"/>
          <w:lang w:val="en-US" w:eastAsia="zh-CN"/>
        </w:rPr>
        <w:t>3393997</w:t>
      </w:r>
    </w:p>
    <w:p w14:paraId="604E9342">
      <w:pPr>
        <w:adjustRightInd w:val="0"/>
        <w:snapToGrid w:val="0"/>
        <w:spacing w:line="360" w:lineRule="auto"/>
        <w:ind w:firstLine="411" w:firstLineChars="196"/>
        <w:rPr>
          <w:rFonts w:ascii="宋体" w:hAnsi="宋体" w:cs="宋体"/>
          <w:color w:val="auto"/>
          <w:kern w:val="1"/>
          <w:highlight w:val="none"/>
        </w:rPr>
      </w:pPr>
      <w:r>
        <w:rPr>
          <w:rFonts w:hint="eastAsia" w:ascii="宋体" w:hAnsi="宋体" w:cs="宋体"/>
          <w:color w:val="auto"/>
          <w:kern w:val="1"/>
          <w:highlight w:val="none"/>
        </w:rPr>
        <w:t>（6）电子邮箱：</w:t>
      </w:r>
      <w:r>
        <w:rPr>
          <w:rStyle w:val="99"/>
          <w:rFonts w:hint="eastAsia" w:ascii="宋体" w:hAnsi="宋体"/>
          <w:color w:val="auto"/>
          <w:szCs w:val="21"/>
          <w:highlight w:val="none"/>
        </w:rPr>
        <w:t>289141416@qq.com</w:t>
      </w:r>
    </w:p>
    <w:p w14:paraId="7531BBF8">
      <w:pPr>
        <w:adjustRightInd w:val="0"/>
        <w:snapToGrid w:val="0"/>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3、电子交易平台服务机构信息</w:t>
      </w:r>
    </w:p>
    <w:p w14:paraId="40F36DD5">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（1）名 称：娄底市公共资源交易中心</w:t>
      </w:r>
    </w:p>
    <w:p w14:paraId="5F0A17E7">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（2）联系人：金润软件 </w:t>
      </w:r>
    </w:p>
    <w:p w14:paraId="089D1C0E">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（3）电 话：4008199995</w:t>
      </w:r>
    </w:p>
    <w:p w14:paraId="7925AD52">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（4）电子邮箱：</w:t>
      </w:r>
      <w:r>
        <w:rPr>
          <w:color w:val="auto"/>
          <w:highlight w:val="none"/>
        </w:rPr>
        <w:fldChar w:fldCharType="begin"/>
      </w:r>
      <w:r>
        <w:rPr>
          <w:color w:val="auto"/>
          <w:highlight w:val="none"/>
        </w:rPr>
        <w:instrText xml:space="preserve"> HYPERLINK "mailto:2159511823@qq.com" </w:instrText>
      </w:r>
      <w:r>
        <w:rPr>
          <w:color w:val="auto"/>
          <w:highlight w:val="none"/>
        </w:rPr>
        <w:fldChar w:fldCharType="separate"/>
      </w:r>
      <w:r>
        <w:rPr>
          <w:rFonts w:hint="eastAsia" w:ascii="宋体" w:hAnsi="宋体"/>
          <w:color w:val="auto"/>
          <w:szCs w:val="21"/>
          <w:highlight w:val="none"/>
        </w:rPr>
        <w:t>2159511823@qq.com</w:t>
      </w:r>
      <w:r>
        <w:rPr>
          <w:rFonts w:hint="eastAsia" w:ascii="宋体" w:hAnsi="宋体"/>
          <w:color w:val="auto"/>
          <w:szCs w:val="21"/>
          <w:highlight w:val="none"/>
        </w:rPr>
        <w:fldChar w:fldCharType="end"/>
      </w:r>
    </w:p>
    <w:p w14:paraId="48BC1D24">
      <w:pPr>
        <w:widowControl/>
        <w:jc w:val="center"/>
        <w:outlineLvl w:val="0"/>
        <w:rPr>
          <w:rFonts w:ascii="宋体" w:hAnsi="宋体"/>
          <w:b/>
          <w:color w:val="auto"/>
          <w:spacing w:val="100"/>
          <w:sz w:val="32"/>
          <w:szCs w:val="32"/>
          <w:highlight w:val="none"/>
        </w:rPr>
      </w:pPr>
      <w:r>
        <w:rPr>
          <w:rFonts w:ascii="宋体" w:hAnsi="宋体"/>
          <w:color w:val="auto"/>
          <w:szCs w:val="21"/>
          <w:highlight w:val="none"/>
        </w:rPr>
        <w:br w:type="page"/>
      </w:r>
      <w:bookmarkStart w:id="19" w:name="_Toc79093661"/>
      <w:bookmarkStart w:id="20" w:name="_Toc109656567"/>
      <w:bookmarkStart w:id="21" w:name="_Toc137408707"/>
      <w:bookmarkStart w:id="22" w:name="_Toc99299715"/>
      <w:bookmarkStart w:id="23" w:name="_Toc111543547"/>
      <w:bookmarkStart w:id="24" w:name="_Toc171282394"/>
      <w:bookmarkStart w:id="25" w:name="_Toc685"/>
      <w:bookmarkStart w:id="26" w:name="_Toc25456"/>
      <w:bookmarkStart w:id="27" w:name="_Toc103979568"/>
      <w:bookmarkStart w:id="28" w:name="_Toc16013"/>
      <w:bookmarkStart w:id="29" w:name="_Toc2850"/>
      <w:bookmarkStart w:id="30" w:name="_Toc23472"/>
      <w:bookmarkStart w:id="31" w:name="_Toc31056"/>
      <w:bookmarkStart w:id="32" w:name="_Toc113350926"/>
      <w:bookmarkStart w:id="33" w:name="_Toc189905351"/>
      <w:bookmarkStart w:id="34" w:name="_Toc118209417"/>
      <w:bookmarkStart w:id="35" w:name="_Toc26252"/>
      <w:bookmarkStart w:id="36" w:name="_Toc8870"/>
      <w:bookmarkStart w:id="37" w:name="_Toc193053695"/>
      <w:bookmarkStart w:id="38" w:name="_Toc140957860"/>
      <w:bookmarkStart w:id="39" w:name="_Toc108483385"/>
      <w:bookmarkStart w:id="40" w:name="_Toc166778325"/>
      <w:bookmarkStart w:id="41" w:name="_Toc4882"/>
      <w:bookmarkStart w:id="42" w:name="_Toc26870"/>
      <w:bookmarkStart w:id="43" w:name="_Toc21911"/>
      <w:bookmarkStart w:id="44" w:name="_Toc29449"/>
      <w:bookmarkStart w:id="45" w:name="_Toc17813"/>
      <w:bookmarkStart w:id="46" w:name="_Toc29909"/>
      <w:bookmarkStart w:id="47" w:name="_Toc11960"/>
      <w:bookmarkStart w:id="48" w:name="_Toc29025"/>
      <w:bookmarkStart w:id="49" w:name="_Toc3621"/>
      <w:r>
        <w:rPr>
          <w:rFonts w:hint="eastAsia" w:ascii="宋体" w:hAnsi="宋体"/>
          <w:b/>
          <w:color w:val="auto"/>
          <w:sz w:val="32"/>
          <w:szCs w:val="32"/>
          <w:highlight w:val="none"/>
        </w:rPr>
        <w:t>第二章 投标须知</w:t>
      </w:r>
      <w:bookmarkEnd w:id="0"/>
      <w:bookmarkEnd w:id="1"/>
      <w:bookmarkEnd w:id="2"/>
      <w:bookmarkEnd w:id="3"/>
      <w:bookmarkEnd w:id="4"/>
      <w:bookmarkEnd w:id="5"/>
      <w:bookmarkEnd w:id="6"/>
      <w:bookmarkEnd w:id="7"/>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6D56B5C8">
      <w:pPr>
        <w:pStyle w:val="3"/>
        <w:adjustRightInd w:val="0"/>
        <w:snapToGrid w:val="0"/>
        <w:spacing w:line="240" w:lineRule="auto"/>
        <w:jc w:val="center"/>
        <w:rPr>
          <w:rFonts w:ascii="宋体" w:hAnsi="宋体"/>
          <w:color w:val="auto"/>
          <w:spacing w:val="100"/>
          <w:sz w:val="28"/>
          <w:szCs w:val="28"/>
          <w:highlight w:val="none"/>
        </w:rPr>
      </w:pPr>
      <w:bookmarkStart w:id="50" w:name="_Toc113350927"/>
      <w:bookmarkStart w:id="51" w:name="_Toc8100"/>
      <w:bookmarkStart w:id="52" w:name="_Toc9153"/>
      <w:bookmarkStart w:id="53" w:name="_Toc6425"/>
      <w:bookmarkStart w:id="54" w:name="_Toc27367"/>
      <w:bookmarkStart w:id="55" w:name="_Toc79093662"/>
      <w:bookmarkStart w:id="56" w:name="_Toc4239"/>
      <w:bookmarkStart w:id="57" w:name="_Toc1110"/>
      <w:bookmarkStart w:id="58" w:name="_Toc108483386"/>
      <w:bookmarkStart w:id="59" w:name="_Toc1645"/>
      <w:bookmarkStart w:id="60" w:name="_Toc6677"/>
      <w:bookmarkStart w:id="61" w:name="_Toc111543548"/>
      <w:bookmarkStart w:id="62" w:name="_Toc23611"/>
      <w:bookmarkStart w:id="63" w:name="_Toc5525"/>
      <w:bookmarkStart w:id="64" w:name="_Toc3862"/>
      <w:bookmarkStart w:id="65" w:name="_Toc21582"/>
      <w:bookmarkStart w:id="66" w:name="_Toc166778326"/>
      <w:bookmarkStart w:id="67" w:name="_Toc20572"/>
      <w:bookmarkStart w:id="68" w:name="_Toc8869"/>
      <w:bookmarkStart w:id="69" w:name="_Toc5600"/>
      <w:bookmarkStart w:id="70" w:name="_Toc99299716"/>
      <w:bookmarkStart w:id="71" w:name="_Toc118209418"/>
      <w:bookmarkStart w:id="72" w:name="_Toc9190"/>
      <w:bookmarkStart w:id="73" w:name="_Toc32361"/>
      <w:bookmarkStart w:id="74" w:name="_Toc137408708"/>
      <w:bookmarkStart w:id="75" w:name="_Toc171282395"/>
      <w:bookmarkStart w:id="76" w:name="_Toc11420"/>
      <w:bookmarkStart w:id="77" w:name="_Toc140957861"/>
      <w:bookmarkStart w:id="78" w:name="_Toc189905352"/>
      <w:bookmarkStart w:id="79" w:name="_Toc193053696"/>
      <w:bookmarkStart w:id="80" w:name="_Toc103979569"/>
      <w:bookmarkStart w:id="81" w:name="_Toc109656568"/>
      <w:r>
        <w:rPr>
          <w:rFonts w:hint="eastAsia" w:ascii="宋体" w:hAnsi="宋体"/>
          <w:color w:val="auto"/>
          <w:sz w:val="28"/>
          <w:szCs w:val="28"/>
          <w:highlight w:val="none"/>
        </w:rPr>
        <w:t>第一节  投标须知前附表</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2CB08DCD">
      <w:pPr>
        <w:adjustRightInd w:val="0"/>
        <w:snapToGrid w:val="0"/>
        <w:jc w:val="right"/>
        <w:rPr>
          <w:rFonts w:ascii="宋体" w:hAnsi="宋体"/>
          <w:color w:val="auto"/>
          <w:szCs w:val="21"/>
          <w:highlight w:val="none"/>
        </w:rPr>
      </w:pPr>
      <w:r>
        <w:rPr>
          <w:rFonts w:hint="eastAsia" w:ascii="宋体" w:hAnsi="宋体"/>
          <w:color w:val="auto"/>
          <w:szCs w:val="21"/>
          <w:highlight w:val="none"/>
        </w:rPr>
        <w:t>注：本项目启用的条款在“编列内容规定”栏内以“</w:t>
      </w:r>
      <w:r>
        <w:rPr>
          <w:rFonts w:hint="eastAsia" w:ascii="宋体" w:hAnsi="宋体"/>
          <w:iCs/>
          <w:color w:val="auto"/>
          <w:szCs w:val="21"/>
          <w:highlight w:val="none"/>
        </w:rPr>
        <w:sym w:font="Wingdings" w:char="00FE"/>
      </w:r>
      <w:r>
        <w:rPr>
          <w:rFonts w:hint="eastAsia" w:ascii="宋体" w:hAnsi="宋体"/>
          <w:color w:val="auto"/>
          <w:szCs w:val="21"/>
          <w:highlight w:val="none"/>
        </w:rPr>
        <w:t>”标注。</w:t>
      </w:r>
    </w:p>
    <w:tbl>
      <w:tblPr>
        <w:tblStyle w:val="47"/>
        <w:tblW w:w="867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18"/>
        <w:gridCol w:w="2439"/>
        <w:gridCol w:w="4820"/>
      </w:tblGrid>
      <w:tr w14:paraId="1067B9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blHeader/>
          <w:jc w:val="center"/>
        </w:trPr>
        <w:tc>
          <w:tcPr>
            <w:tcW w:w="1418" w:type="dxa"/>
            <w:vAlign w:val="center"/>
          </w:tcPr>
          <w:p w14:paraId="62511017">
            <w:pPr>
              <w:adjustRightInd w:val="0"/>
              <w:snapToGrid w:val="0"/>
              <w:spacing w:line="36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439" w:type="dxa"/>
            <w:vAlign w:val="center"/>
          </w:tcPr>
          <w:p w14:paraId="171FDB17">
            <w:pPr>
              <w:adjustRightInd w:val="0"/>
              <w:snapToGrid w:val="0"/>
              <w:spacing w:line="360" w:lineRule="exact"/>
              <w:jc w:val="center"/>
              <w:rPr>
                <w:rFonts w:ascii="宋体" w:hAnsi="宋体"/>
                <w:b/>
                <w:color w:val="auto"/>
                <w:szCs w:val="21"/>
                <w:highlight w:val="none"/>
              </w:rPr>
            </w:pPr>
            <w:r>
              <w:rPr>
                <w:rFonts w:hint="eastAsia" w:ascii="宋体" w:hAnsi="宋体"/>
                <w:b/>
                <w:color w:val="auto"/>
                <w:szCs w:val="21"/>
                <w:highlight w:val="none"/>
              </w:rPr>
              <w:t>条款名称</w:t>
            </w:r>
          </w:p>
        </w:tc>
        <w:tc>
          <w:tcPr>
            <w:tcW w:w="4820" w:type="dxa"/>
            <w:vAlign w:val="center"/>
          </w:tcPr>
          <w:p w14:paraId="71684875">
            <w:pPr>
              <w:adjustRightInd w:val="0"/>
              <w:snapToGrid w:val="0"/>
              <w:spacing w:line="360" w:lineRule="exact"/>
              <w:jc w:val="center"/>
              <w:rPr>
                <w:rFonts w:ascii="宋体" w:hAnsi="宋体"/>
                <w:b/>
                <w:color w:val="auto"/>
                <w:szCs w:val="21"/>
                <w:highlight w:val="none"/>
              </w:rPr>
            </w:pPr>
            <w:r>
              <w:rPr>
                <w:rFonts w:hint="eastAsia" w:ascii="宋体" w:hAnsi="宋体"/>
                <w:b/>
                <w:color w:val="auto"/>
                <w:szCs w:val="21"/>
                <w:highlight w:val="none"/>
              </w:rPr>
              <w:t>编列内容规定</w:t>
            </w:r>
          </w:p>
        </w:tc>
      </w:tr>
      <w:tr w14:paraId="6A3E68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8677" w:type="dxa"/>
            <w:gridSpan w:val="3"/>
            <w:vAlign w:val="center"/>
          </w:tcPr>
          <w:p w14:paraId="7E019D11">
            <w:pPr>
              <w:adjustRightInd w:val="0"/>
              <w:snapToGrid w:val="0"/>
              <w:spacing w:line="360" w:lineRule="exact"/>
              <w:rPr>
                <w:rFonts w:ascii="宋体" w:hAnsi="宋体"/>
                <w:color w:val="auto"/>
                <w:szCs w:val="21"/>
                <w:highlight w:val="none"/>
              </w:rPr>
            </w:pPr>
            <w:r>
              <w:rPr>
                <w:rFonts w:hint="eastAsia" w:ascii="宋体" w:hAnsi="宋体"/>
                <w:b/>
                <w:color w:val="auto"/>
                <w:szCs w:val="21"/>
                <w:highlight w:val="none"/>
              </w:rPr>
              <w:t>一、说明</w:t>
            </w:r>
          </w:p>
        </w:tc>
      </w:tr>
      <w:tr w14:paraId="659130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418" w:type="dxa"/>
            <w:vAlign w:val="center"/>
          </w:tcPr>
          <w:p w14:paraId="5DD8516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第1.1款</w:t>
            </w:r>
          </w:p>
        </w:tc>
        <w:tc>
          <w:tcPr>
            <w:tcW w:w="2439" w:type="dxa"/>
            <w:vAlign w:val="center"/>
          </w:tcPr>
          <w:p w14:paraId="6F3D189F">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采购项目</w:t>
            </w:r>
          </w:p>
        </w:tc>
        <w:tc>
          <w:tcPr>
            <w:tcW w:w="4820" w:type="dxa"/>
            <w:vAlign w:val="center"/>
          </w:tcPr>
          <w:p w14:paraId="084719A6">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2026年新化县高素质农民培育项目</w:t>
            </w:r>
          </w:p>
        </w:tc>
      </w:tr>
      <w:tr w14:paraId="49E773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418" w:type="dxa"/>
            <w:vAlign w:val="center"/>
          </w:tcPr>
          <w:p w14:paraId="058D174A">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第1.2款</w:t>
            </w:r>
          </w:p>
        </w:tc>
        <w:tc>
          <w:tcPr>
            <w:tcW w:w="2439" w:type="dxa"/>
            <w:vAlign w:val="center"/>
          </w:tcPr>
          <w:p w14:paraId="476C8A1F">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是否预留采购份额</w:t>
            </w:r>
          </w:p>
        </w:tc>
        <w:tc>
          <w:tcPr>
            <w:tcW w:w="4820" w:type="dxa"/>
            <w:vAlign w:val="center"/>
          </w:tcPr>
          <w:p w14:paraId="1CE6B289">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否</w:t>
            </w:r>
          </w:p>
        </w:tc>
      </w:tr>
      <w:tr w14:paraId="42FF00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0371475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第2.1款</w:t>
            </w:r>
          </w:p>
        </w:tc>
        <w:tc>
          <w:tcPr>
            <w:tcW w:w="2439" w:type="dxa"/>
            <w:vAlign w:val="center"/>
          </w:tcPr>
          <w:p w14:paraId="7CB8B341">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采购项目联系人姓名和电话</w:t>
            </w:r>
          </w:p>
        </w:tc>
        <w:tc>
          <w:tcPr>
            <w:tcW w:w="4820" w:type="dxa"/>
            <w:vAlign w:val="center"/>
          </w:tcPr>
          <w:p w14:paraId="60725C51">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联系人：曾女士</w:t>
            </w:r>
          </w:p>
          <w:p w14:paraId="30D384D1">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电话：</w:t>
            </w:r>
            <w:r>
              <w:rPr>
                <w:rFonts w:hint="eastAsia" w:ascii="宋体" w:hAnsi="宋体" w:cs="宋体"/>
                <w:color w:val="auto"/>
                <w:szCs w:val="21"/>
                <w:highlight w:val="none"/>
              </w:rPr>
              <w:t>15973866819</w:t>
            </w:r>
          </w:p>
        </w:tc>
      </w:tr>
      <w:tr w14:paraId="3F53E2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418" w:type="dxa"/>
            <w:vAlign w:val="center"/>
          </w:tcPr>
          <w:p w14:paraId="3F75817A">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第2.2款</w:t>
            </w:r>
          </w:p>
        </w:tc>
        <w:tc>
          <w:tcPr>
            <w:tcW w:w="2439" w:type="dxa"/>
            <w:vAlign w:val="center"/>
          </w:tcPr>
          <w:p w14:paraId="104587C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采购人</w:t>
            </w:r>
          </w:p>
        </w:tc>
        <w:tc>
          <w:tcPr>
            <w:tcW w:w="4820" w:type="dxa"/>
            <w:vAlign w:val="center"/>
          </w:tcPr>
          <w:p w14:paraId="72C38C02">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新化县农业农村局</w:t>
            </w:r>
          </w:p>
        </w:tc>
      </w:tr>
      <w:tr w14:paraId="5273F2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418" w:type="dxa"/>
            <w:vAlign w:val="center"/>
          </w:tcPr>
          <w:p w14:paraId="0F35A18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第2.3款</w:t>
            </w:r>
          </w:p>
        </w:tc>
        <w:tc>
          <w:tcPr>
            <w:tcW w:w="2439" w:type="dxa"/>
            <w:vAlign w:val="center"/>
          </w:tcPr>
          <w:p w14:paraId="674D9408">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采购代理机构</w:t>
            </w:r>
          </w:p>
        </w:tc>
        <w:tc>
          <w:tcPr>
            <w:tcW w:w="4820" w:type="dxa"/>
            <w:vAlign w:val="center"/>
          </w:tcPr>
          <w:p w14:paraId="6CFA9E20">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湖南天湘项目管理有限公司</w:t>
            </w:r>
          </w:p>
        </w:tc>
      </w:tr>
      <w:tr w14:paraId="720B9E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63D4A6A1">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第3.1款</w:t>
            </w:r>
          </w:p>
        </w:tc>
        <w:tc>
          <w:tcPr>
            <w:tcW w:w="2439" w:type="dxa"/>
            <w:vAlign w:val="center"/>
          </w:tcPr>
          <w:p w14:paraId="59F76477">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投标人资格条件</w:t>
            </w:r>
          </w:p>
        </w:tc>
        <w:tc>
          <w:tcPr>
            <w:tcW w:w="4820" w:type="dxa"/>
            <w:vAlign w:val="center"/>
          </w:tcPr>
          <w:p w14:paraId="7FCE3DAB">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1、投标人基本资格条件：投标人必须是在中华人民共和国境内注册登记的法人、非法人组织或者自然人，且应当符合《政府采购法》第二十二条第一款的规定：</w:t>
            </w:r>
          </w:p>
          <w:p w14:paraId="1AA450A6">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2、落实政府采购政策需满足的资格要求：</w:t>
            </w:r>
          </w:p>
          <w:p w14:paraId="7C0A6CA6">
            <w:pPr>
              <w:adjustRightInd w:val="0"/>
              <w:snapToGrid w:val="0"/>
              <w:spacing w:line="360" w:lineRule="exact"/>
              <w:rPr>
                <w:rFonts w:ascii="宋体" w:hAnsi="宋体" w:cs="宋体"/>
                <w:color w:val="auto"/>
                <w:szCs w:val="21"/>
                <w:highlight w:val="none"/>
              </w:rPr>
            </w:pP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专门面向</w:t>
            </w:r>
            <w:r>
              <w:rPr>
                <w:rFonts w:hint="eastAsia" w:ascii="宋体" w:hAnsi="宋体" w:cs="宋体"/>
                <w:bCs/>
                <w:color w:val="auto"/>
                <w:szCs w:val="21"/>
                <w:highlight w:val="none"/>
              </w:rPr>
              <w:t>：</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中小企业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小微企业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监狱企业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福利性单位。</w:t>
            </w:r>
          </w:p>
          <w:p w14:paraId="0888DEB1">
            <w:pPr>
              <w:adjustRightInd w:val="0"/>
              <w:snapToGrid w:val="0"/>
              <w:spacing w:line="360" w:lineRule="exact"/>
              <w:rPr>
                <w:rFonts w:ascii="宋体" w:hAnsi="宋体" w:cs="宋体"/>
                <w:color w:val="auto"/>
                <w:szCs w:val="21"/>
                <w:highlight w:val="none"/>
              </w:rPr>
            </w:pP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强制</w:t>
            </w:r>
            <w:r>
              <w:rPr>
                <w:rFonts w:hint="eastAsia" w:ascii="宋体" w:hAnsi="宋体" w:cs="宋体"/>
                <w:bCs/>
                <w:color w:val="auto"/>
                <w:szCs w:val="21"/>
                <w:highlight w:val="none"/>
              </w:rPr>
              <w:t>分包：大型企业应将采购份额的</w:t>
            </w:r>
            <w:r>
              <w:rPr>
                <w:rFonts w:hint="eastAsia" w:ascii="宋体" w:hAnsi="宋体" w:cs="宋体"/>
                <w:bCs/>
                <w:color w:val="auto"/>
                <w:szCs w:val="21"/>
                <w:highlight w:val="none"/>
                <w:u w:val="single"/>
              </w:rPr>
              <w:t xml:space="preserve"> / </w:t>
            </w:r>
            <w:r>
              <w:rPr>
                <w:rFonts w:hint="eastAsia" w:ascii="宋体" w:hAnsi="宋体" w:cs="宋体"/>
                <w:bCs/>
                <w:color w:val="auto"/>
                <w:szCs w:val="21"/>
                <w:highlight w:val="none"/>
              </w:rPr>
              <w:t>%分包给中小企业。</w:t>
            </w:r>
          </w:p>
          <w:p w14:paraId="226F8A7F">
            <w:pPr>
              <w:adjustRightInd w:val="0"/>
              <w:snapToGrid w:val="0"/>
              <w:spacing w:line="360" w:lineRule="exact"/>
              <w:rPr>
                <w:rFonts w:ascii="宋体" w:hAnsi="宋体"/>
                <w:color w:val="auto"/>
                <w:szCs w:val="21"/>
                <w:highlight w:val="none"/>
              </w:rPr>
            </w:pPr>
            <w:r>
              <w:rPr>
                <w:rFonts w:hint="eastAsia" w:ascii="宋体" w:hAnsi="宋体" w:cs="宋体"/>
                <w:color w:val="auto"/>
                <w:szCs w:val="21"/>
                <w:highlight w:val="none"/>
              </w:rPr>
              <w:t>3、投标人特定资格条件：无</w:t>
            </w:r>
            <w:r>
              <w:rPr>
                <w:rFonts w:hint="eastAsia" w:ascii="宋体" w:hAnsi="宋体"/>
                <w:color w:val="auto"/>
                <w:szCs w:val="21"/>
                <w:highlight w:val="none"/>
              </w:rPr>
              <w:t>；</w:t>
            </w:r>
          </w:p>
          <w:p w14:paraId="031C772D">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4、单位负责人为同一人或者存在直接控股、管理关系的不同投标人，不得参加本项目同一合同项下的政府采购活动。</w:t>
            </w:r>
          </w:p>
          <w:p w14:paraId="4E47AE4A">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5、为本采购项目提供整体设计、规范编制或者项目管理、监理、检测等服务的，不得再参加此项目的其他采购活动。</w:t>
            </w:r>
          </w:p>
          <w:p w14:paraId="04B8053D">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6、未被列入失信被执行人、重大税收违法案件当事人名单，未被列入政府采购严重违法失信行为记录名单。</w:t>
            </w:r>
          </w:p>
        </w:tc>
      </w:tr>
      <w:tr w14:paraId="0E56A8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418" w:type="dxa"/>
            <w:vAlign w:val="center"/>
          </w:tcPr>
          <w:p w14:paraId="3444494A">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第3.2款</w:t>
            </w:r>
          </w:p>
        </w:tc>
        <w:tc>
          <w:tcPr>
            <w:tcW w:w="2439" w:type="dxa"/>
            <w:vAlign w:val="center"/>
          </w:tcPr>
          <w:p w14:paraId="20836888">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接受联合体形式投标</w:t>
            </w:r>
          </w:p>
        </w:tc>
        <w:tc>
          <w:tcPr>
            <w:tcW w:w="4820" w:type="dxa"/>
            <w:vAlign w:val="center"/>
          </w:tcPr>
          <w:p w14:paraId="33902616">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sym w:font="Wingdings" w:char="00FE"/>
            </w:r>
            <w:r>
              <w:rPr>
                <w:rFonts w:hint="eastAsia" w:ascii="宋体" w:hAnsi="宋体" w:cs="宋体"/>
                <w:color w:val="auto"/>
                <w:szCs w:val="21"/>
                <w:highlight w:val="none"/>
              </w:rPr>
              <w:t xml:space="preserve"> 不接受</w:t>
            </w:r>
          </w:p>
          <w:p w14:paraId="0530537D">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 接受联合体投标的，联合体应当具备下列条件</w:t>
            </w:r>
          </w:p>
        </w:tc>
      </w:tr>
      <w:tr w14:paraId="6ADE4B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418" w:type="dxa"/>
            <w:vAlign w:val="center"/>
          </w:tcPr>
          <w:p w14:paraId="70DBBD33">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第5.1</w:t>
            </w:r>
            <w:r>
              <w:rPr>
                <w:rFonts w:hint="eastAsia" w:ascii="宋体" w:hAnsi="宋体" w:cs="宋体"/>
                <w:color w:val="auto"/>
                <w:kern w:val="0"/>
                <w:szCs w:val="21"/>
                <w:highlight w:val="none"/>
                <w:lang w:val="zh-CN"/>
              </w:rPr>
              <w:t>款</w:t>
            </w:r>
          </w:p>
        </w:tc>
        <w:tc>
          <w:tcPr>
            <w:tcW w:w="2439" w:type="dxa"/>
            <w:vAlign w:val="center"/>
          </w:tcPr>
          <w:p w14:paraId="59C51A0B">
            <w:pPr>
              <w:adjustRightInd w:val="0"/>
              <w:snapToGrid w:val="0"/>
              <w:spacing w:line="360" w:lineRule="exact"/>
              <w:jc w:val="center"/>
              <w:rPr>
                <w:rFonts w:hAnsi="宋体"/>
                <w:color w:val="auto"/>
                <w:szCs w:val="21"/>
                <w:highlight w:val="none"/>
              </w:rPr>
            </w:pPr>
            <w:r>
              <w:rPr>
                <w:rFonts w:hint="eastAsia" w:ascii="宋体" w:hAnsi="宋体"/>
                <w:color w:val="auto"/>
                <w:szCs w:val="21"/>
                <w:highlight w:val="none"/>
              </w:rPr>
              <w:t>招标文件提供期限</w:t>
            </w:r>
          </w:p>
        </w:tc>
        <w:tc>
          <w:tcPr>
            <w:tcW w:w="4820" w:type="dxa"/>
            <w:vAlign w:val="center"/>
          </w:tcPr>
          <w:p w14:paraId="30D53F3F">
            <w:pPr>
              <w:snapToGrid w:val="0"/>
              <w:spacing w:line="360" w:lineRule="exact"/>
              <w:rPr>
                <w:rStyle w:val="99"/>
                <w:rFonts w:ascii="宋体" w:hAnsi="宋体"/>
                <w:color w:val="auto"/>
                <w:szCs w:val="21"/>
                <w:highlight w:val="none"/>
              </w:rPr>
            </w:pPr>
            <w:r>
              <w:rPr>
                <w:rStyle w:val="99"/>
                <w:rFonts w:hint="eastAsia" w:ascii="宋体" w:hAnsi="宋体"/>
                <w:color w:val="auto"/>
                <w:szCs w:val="21"/>
                <w:highlight w:val="none"/>
              </w:rPr>
              <w:t>详见招标公告</w:t>
            </w:r>
          </w:p>
        </w:tc>
      </w:tr>
      <w:tr w14:paraId="3AED38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506BFBAC">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第5.2</w:t>
            </w:r>
            <w:r>
              <w:rPr>
                <w:rFonts w:hint="eastAsia" w:ascii="宋体" w:hAnsi="宋体" w:cs="宋体"/>
                <w:color w:val="auto"/>
                <w:kern w:val="0"/>
                <w:szCs w:val="21"/>
                <w:highlight w:val="none"/>
                <w:lang w:val="zh-CN"/>
              </w:rPr>
              <w:t>款</w:t>
            </w:r>
          </w:p>
        </w:tc>
        <w:tc>
          <w:tcPr>
            <w:tcW w:w="2439" w:type="dxa"/>
            <w:vAlign w:val="center"/>
          </w:tcPr>
          <w:p w14:paraId="6036999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组织现场考察或者召开答疑会</w:t>
            </w:r>
          </w:p>
        </w:tc>
        <w:tc>
          <w:tcPr>
            <w:tcW w:w="4820" w:type="dxa"/>
            <w:vAlign w:val="center"/>
          </w:tcPr>
          <w:p w14:paraId="64D3C08C">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不组织/不召开</w:t>
            </w:r>
          </w:p>
        </w:tc>
      </w:tr>
      <w:tr w14:paraId="458124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677" w:type="dxa"/>
            <w:gridSpan w:val="3"/>
            <w:vAlign w:val="center"/>
          </w:tcPr>
          <w:p w14:paraId="6D457B1B">
            <w:pPr>
              <w:adjustRightInd w:val="0"/>
              <w:snapToGrid w:val="0"/>
              <w:spacing w:line="360" w:lineRule="exact"/>
              <w:rPr>
                <w:rFonts w:ascii="宋体" w:hAnsi="宋体"/>
                <w:b/>
                <w:color w:val="auto"/>
                <w:szCs w:val="21"/>
                <w:highlight w:val="none"/>
              </w:rPr>
            </w:pPr>
            <w:r>
              <w:rPr>
                <w:rFonts w:hint="eastAsia" w:ascii="宋体" w:hAnsi="宋体"/>
                <w:b/>
                <w:color w:val="auto"/>
                <w:szCs w:val="21"/>
                <w:highlight w:val="none"/>
              </w:rPr>
              <w:t>二、招标文件</w:t>
            </w:r>
          </w:p>
        </w:tc>
      </w:tr>
      <w:tr w14:paraId="533AA4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7EE455E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第7.4</w:t>
            </w:r>
            <w:r>
              <w:rPr>
                <w:rFonts w:hint="eastAsia" w:ascii="宋体" w:hAnsi="宋体" w:cs="宋体"/>
                <w:color w:val="auto"/>
                <w:kern w:val="0"/>
                <w:szCs w:val="21"/>
                <w:highlight w:val="none"/>
                <w:lang w:val="zh-CN"/>
              </w:rPr>
              <w:t>款</w:t>
            </w:r>
          </w:p>
        </w:tc>
        <w:tc>
          <w:tcPr>
            <w:tcW w:w="2439" w:type="dxa"/>
            <w:vAlign w:val="center"/>
          </w:tcPr>
          <w:p w14:paraId="1A80484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非实质性偏离的范围和幅度</w:t>
            </w:r>
          </w:p>
        </w:tc>
        <w:tc>
          <w:tcPr>
            <w:tcW w:w="4820" w:type="dxa"/>
            <w:vAlign w:val="center"/>
          </w:tcPr>
          <w:p w14:paraId="3ACCF3DC">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一般技术和商务条款偏离≥6项目将导致投标无效，凡标有最低一级序号的条款即为一项，内容不重复计算。</w:t>
            </w:r>
          </w:p>
        </w:tc>
      </w:tr>
      <w:tr w14:paraId="22EA42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418" w:type="dxa"/>
            <w:vAlign w:val="center"/>
          </w:tcPr>
          <w:p w14:paraId="42A36457">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第9.1款</w:t>
            </w:r>
          </w:p>
        </w:tc>
        <w:tc>
          <w:tcPr>
            <w:tcW w:w="2439" w:type="dxa"/>
            <w:vAlign w:val="center"/>
          </w:tcPr>
          <w:p w14:paraId="2262C1D4">
            <w:pPr>
              <w:adjustRightInd w:val="0"/>
              <w:snapToGrid w:val="0"/>
              <w:spacing w:line="360" w:lineRule="exact"/>
              <w:jc w:val="center"/>
              <w:rPr>
                <w:rFonts w:ascii="宋体" w:hAnsi="宋体"/>
                <w:color w:val="auto"/>
                <w:szCs w:val="21"/>
                <w:highlight w:val="none"/>
              </w:rPr>
            </w:pPr>
            <w:r>
              <w:rPr>
                <w:rFonts w:hint="eastAsia" w:ascii="宋体" w:hAnsi="宋体" w:cs="宋体"/>
                <w:color w:val="auto"/>
                <w:szCs w:val="21"/>
                <w:highlight w:val="none"/>
              </w:rPr>
              <w:t>招标公告指定媒体</w:t>
            </w:r>
          </w:p>
        </w:tc>
        <w:tc>
          <w:tcPr>
            <w:tcW w:w="4820" w:type="dxa"/>
            <w:vAlign w:val="center"/>
          </w:tcPr>
          <w:p w14:paraId="5BBD284C">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中国湖南政府采购网（www.ccgp-hunan.gov.cn）和娄底市公共资源交易网（http://ldggzy.hnloudi.gov.cn/）</w:t>
            </w:r>
          </w:p>
        </w:tc>
      </w:tr>
      <w:tr w14:paraId="3F2868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8677" w:type="dxa"/>
            <w:gridSpan w:val="3"/>
            <w:vAlign w:val="center"/>
          </w:tcPr>
          <w:p w14:paraId="591189B3">
            <w:pPr>
              <w:adjustRightInd w:val="0"/>
              <w:snapToGrid w:val="0"/>
              <w:spacing w:line="360" w:lineRule="exact"/>
              <w:rPr>
                <w:rFonts w:ascii="宋体" w:hAnsi="宋体"/>
                <w:color w:val="auto"/>
                <w:szCs w:val="21"/>
                <w:highlight w:val="none"/>
              </w:rPr>
            </w:pPr>
            <w:r>
              <w:rPr>
                <w:rFonts w:hint="eastAsia" w:ascii="宋体" w:hAnsi="宋体"/>
                <w:b/>
                <w:color w:val="auto"/>
                <w:szCs w:val="21"/>
                <w:highlight w:val="none"/>
              </w:rPr>
              <w:t>三、投标文件</w:t>
            </w:r>
          </w:p>
        </w:tc>
      </w:tr>
      <w:tr w14:paraId="1B3223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418" w:type="dxa"/>
            <w:vAlign w:val="center"/>
          </w:tcPr>
          <w:p w14:paraId="69BE5EEB">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第13.2</w:t>
            </w:r>
            <w:r>
              <w:rPr>
                <w:rFonts w:hint="eastAsia" w:ascii="宋体" w:hAnsi="宋体" w:cs="宋体"/>
                <w:color w:val="auto"/>
                <w:kern w:val="0"/>
                <w:szCs w:val="21"/>
                <w:highlight w:val="none"/>
                <w:lang w:val="zh-CN"/>
              </w:rPr>
              <w:t>款</w:t>
            </w:r>
          </w:p>
        </w:tc>
        <w:tc>
          <w:tcPr>
            <w:tcW w:w="2439" w:type="dxa"/>
            <w:vAlign w:val="center"/>
          </w:tcPr>
          <w:p w14:paraId="1B11A33F">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采购预算、最高限价</w:t>
            </w:r>
          </w:p>
        </w:tc>
        <w:tc>
          <w:tcPr>
            <w:tcW w:w="4820" w:type="dxa"/>
            <w:vAlign w:val="center"/>
          </w:tcPr>
          <w:p w14:paraId="6F831E78">
            <w:pPr>
              <w:pStyle w:val="135"/>
              <w:spacing w:after="0" w:line="360" w:lineRule="exact"/>
              <w:ind w:left="0" w:leftChars="0" w:firstLine="0" w:firstLineChars="0"/>
              <w:rPr>
                <w:b w:val="0"/>
                <w:color w:val="auto"/>
                <w:highlight w:val="none"/>
              </w:rPr>
            </w:pPr>
            <w:r>
              <w:rPr>
                <w:rFonts w:hint="eastAsia" w:ascii="宋体" w:hAnsi="宋体"/>
                <w:b w:val="0"/>
                <w:color w:val="auto"/>
                <w:szCs w:val="21"/>
                <w:highlight w:val="none"/>
              </w:rPr>
              <w:t>详见招标公告。</w:t>
            </w:r>
          </w:p>
        </w:tc>
      </w:tr>
      <w:tr w14:paraId="492F55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6" w:hRule="atLeast"/>
          <w:jc w:val="center"/>
        </w:trPr>
        <w:tc>
          <w:tcPr>
            <w:tcW w:w="1418" w:type="dxa"/>
            <w:vAlign w:val="center"/>
          </w:tcPr>
          <w:p w14:paraId="55E7EA2E">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第13.8</w:t>
            </w:r>
            <w:r>
              <w:rPr>
                <w:rFonts w:hint="eastAsia" w:ascii="宋体" w:hAnsi="宋体" w:cs="宋体"/>
                <w:color w:val="auto"/>
                <w:kern w:val="0"/>
                <w:szCs w:val="21"/>
                <w:highlight w:val="none"/>
                <w:lang w:val="zh-CN"/>
              </w:rPr>
              <w:t>款</w:t>
            </w:r>
          </w:p>
        </w:tc>
        <w:tc>
          <w:tcPr>
            <w:tcW w:w="2439" w:type="dxa"/>
            <w:vAlign w:val="center"/>
          </w:tcPr>
          <w:p w14:paraId="07D0834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投标报价的其他要求</w:t>
            </w:r>
          </w:p>
        </w:tc>
        <w:tc>
          <w:tcPr>
            <w:tcW w:w="4820" w:type="dxa"/>
            <w:vAlign w:val="center"/>
          </w:tcPr>
          <w:p w14:paraId="0A41F79E">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w:t>
            </w:r>
          </w:p>
        </w:tc>
      </w:tr>
      <w:tr w14:paraId="0265F7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7" w:hRule="atLeast"/>
          <w:jc w:val="center"/>
        </w:trPr>
        <w:tc>
          <w:tcPr>
            <w:tcW w:w="1418" w:type="dxa"/>
            <w:vAlign w:val="center"/>
          </w:tcPr>
          <w:p w14:paraId="308A4D31">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第14.1款</w:t>
            </w:r>
          </w:p>
        </w:tc>
        <w:tc>
          <w:tcPr>
            <w:tcW w:w="2439" w:type="dxa"/>
            <w:vAlign w:val="center"/>
          </w:tcPr>
          <w:p w14:paraId="62E4B172">
            <w:pPr>
              <w:adjustRightInd w:val="0"/>
              <w:snapToGrid w:val="0"/>
              <w:spacing w:line="360" w:lineRule="exact"/>
              <w:jc w:val="center"/>
              <w:rPr>
                <w:rFonts w:ascii="宋体" w:hAnsi="宋体"/>
                <w:bCs/>
                <w:color w:val="auto"/>
                <w:szCs w:val="21"/>
                <w:highlight w:val="none"/>
              </w:rPr>
            </w:pPr>
            <w:r>
              <w:rPr>
                <w:rFonts w:hint="eastAsia" w:ascii="宋体" w:hAnsi="宋体"/>
                <w:color w:val="auto"/>
                <w:szCs w:val="21"/>
                <w:highlight w:val="none"/>
              </w:rPr>
              <w:t>投标人应提供资格审查资料</w:t>
            </w:r>
          </w:p>
        </w:tc>
        <w:tc>
          <w:tcPr>
            <w:tcW w:w="4820" w:type="dxa"/>
            <w:vAlign w:val="center"/>
          </w:tcPr>
          <w:p w14:paraId="601AEFA0">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包含但不限于（格式详见第七章）：</w:t>
            </w:r>
          </w:p>
          <w:p w14:paraId="1585AE0E">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1、法人提交企业法人营业执照副本(或者法人登记证书)扫描件；</w:t>
            </w:r>
          </w:p>
          <w:p w14:paraId="3B73989D">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2、湖南省政府采购供应商资格承诺函；</w:t>
            </w:r>
          </w:p>
        </w:tc>
      </w:tr>
      <w:tr w14:paraId="5C59CD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418" w:type="dxa"/>
            <w:vAlign w:val="center"/>
          </w:tcPr>
          <w:p w14:paraId="7C448D9C">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第16.1</w:t>
            </w:r>
            <w:r>
              <w:rPr>
                <w:rFonts w:hint="eastAsia" w:ascii="宋体" w:hAnsi="宋体" w:cs="宋体"/>
                <w:color w:val="auto"/>
                <w:kern w:val="0"/>
                <w:szCs w:val="21"/>
                <w:highlight w:val="none"/>
                <w:lang w:val="zh-CN"/>
              </w:rPr>
              <w:t>款</w:t>
            </w:r>
          </w:p>
        </w:tc>
        <w:tc>
          <w:tcPr>
            <w:tcW w:w="2439" w:type="dxa"/>
            <w:vAlign w:val="center"/>
          </w:tcPr>
          <w:p w14:paraId="4C357B53">
            <w:pPr>
              <w:adjustRightInd w:val="0"/>
              <w:snapToGrid w:val="0"/>
              <w:spacing w:line="360" w:lineRule="exact"/>
              <w:jc w:val="center"/>
              <w:rPr>
                <w:rFonts w:ascii="宋体" w:hAnsi="宋体"/>
                <w:bCs/>
                <w:color w:val="auto"/>
                <w:szCs w:val="21"/>
                <w:highlight w:val="none"/>
              </w:rPr>
            </w:pPr>
            <w:r>
              <w:rPr>
                <w:rFonts w:hint="eastAsia" w:ascii="宋体" w:hAnsi="宋体"/>
                <w:bCs/>
                <w:color w:val="auto"/>
                <w:szCs w:val="21"/>
                <w:highlight w:val="none"/>
              </w:rPr>
              <w:t>投标有效期</w:t>
            </w:r>
          </w:p>
        </w:tc>
        <w:tc>
          <w:tcPr>
            <w:tcW w:w="4820" w:type="dxa"/>
            <w:vAlign w:val="center"/>
          </w:tcPr>
          <w:p w14:paraId="4FFBDC20">
            <w:pPr>
              <w:adjustRightInd w:val="0"/>
              <w:snapToGrid w:val="0"/>
              <w:spacing w:line="360" w:lineRule="exact"/>
              <w:rPr>
                <w:rFonts w:ascii="宋体" w:hAnsi="宋体"/>
                <w:bCs/>
                <w:color w:val="auto"/>
                <w:szCs w:val="21"/>
                <w:highlight w:val="none"/>
              </w:rPr>
            </w:pPr>
            <w:r>
              <w:rPr>
                <w:rFonts w:hint="eastAsia" w:ascii="宋体" w:hAnsi="宋体"/>
                <w:bCs/>
                <w:color w:val="auto"/>
                <w:szCs w:val="21"/>
                <w:highlight w:val="none"/>
              </w:rPr>
              <w:t>90天（日历日）</w:t>
            </w:r>
          </w:p>
        </w:tc>
      </w:tr>
      <w:tr w14:paraId="7D6052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3F6AEF8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第17.1</w:t>
            </w:r>
            <w:r>
              <w:rPr>
                <w:rFonts w:hint="eastAsia" w:ascii="宋体" w:hAnsi="宋体" w:cs="宋体"/>
                <w:color w:val="auto"/>
                <w:kern w:val="0"/>
                <w:szCs w:val="21"/>
                <w:highlight w:val="none"/>
                <w:lang w:val="zh-CN"/>
              </w:rPr>
              <w:t>款</w:t>
            </w:r>
          </w:p>
        </w:tc>
        <w:tc>
          <w:tcPr>
            <w:tcW w:w="2439" w:type="dxa"/>
            <w:vAlign w:val="center"/>
          </w:tcPr>
          <w:p w14:paraId="2DF5FFF8">
            <w:pPr>
              <w:adjustRightInd w:val="0"/>
              <w:snapToGrid w:val="0"/>
              <w:spacing w:line="360" w:lineRule="exact"/>
              <w:ind w:firstLine="533" w:firstLineChars="254"/>
              <w:rPr>
                <w:rFonts w:ascii="宋体" w:hAnsi="宋体"/>
                <w:color w:val="auto"/>
                <w:szCs w:val="21"/>
                <w:highlight w:val="none"/>
              </w:rPr>
            </w:pPr>
            <w:r>
              <w:rPr>
                <w:rFonts w:hint="eastAsia" w:ascii="宋体" w:hAnsi="宋体"/>
                <w:color w:val="auto"/>
                <w:szCs w:val="21"/>
                <w:highlight w:val="none"/>
              </w:rPr>
              <w:t>投标保证金</w:t>
            </w:r>
          </w:p>
        </w:tc>
        <w:tc>
          <w:tcPr>
            <w:tcW w:w="4820" w:type="dxa"/>
            <w:vAlign w:val="center"/>
          </w:tcPr>
          <w:p w14:paraId="7B94B0C6">
            <w:pPr>
              <w:adjustRightInd w:val="0"/>
              <w:snapToGrid w:val="0"/>
              <w:spacing w:line="360" w:lineRule="exact"/>
              <w:rPr>
                <w:rFonts w:ascii="宋体" w:hAnsi="宋体"/>
                <w:color w:val="auto"/>
                <w:szCs w:val="21"/>
                <w:highlight w:val="none"/>
              </w:rPr>
            </w:pPr>
            <w:r>
              <w:rPr>
                <w:rFonts w:hint="eastAsia" w:ascii="宋体" w:hAnsi="宋体" w:cs="宋体"/>
                <w:iCs/>
                <w:color w:val="auto"/>
                <w:szCs w:val="21"/>
                <w:highlight w:val="none"/>
              </w:rPr>
              <w:sym w:font="Wingdings" w:char="00FE"/>
            </w:r>
            <w:r>
              <w:rPr>
                <w:rFonts w:hint="eastAsia" w:ascii="宋体" w:hAnsi="宋体"/>
                <w:color w:val="auto"/>
                <w:szCs w:val="21"/>
                <w:highlight w:val="none"/>
              </w:rPr>
              <w:t>不要求提供</w:t>
            </w:r>
          </w:p>
          <w:p w14:paraId="03F17C1D">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□要求提供</w:t>
            </w:r>
          </w:p>
        </w:tc>
      </w:tr>
      <w:tr w14:paraId="3DF421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1418" w:type="dxa"/>
            <w:vAlign w:val="center"/>
          </w:tcPr>
          <w:p w14:paraId="611116A1">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第18.1</w:t>
            </w:r>
            <w:r>
              <w:rPr>
                <w:rFonts w:hint="eastAsia" w:ascii="宋体" w:hAnsi="宋体" w:cs="宋体"/>
                <w:color w:val="auto"/>
                <w:kern w:val="0"/>
                <w:szCs w:val="21"/>
                <w:highlight w:val="none"/>
                <w:lang w:val="zh-CN"/>
              </w:rPr>
              <w:t>款</w:t>
            </w:r>
          </w:p>
        </w:tc>
        <w:tc>
          <w:tcPr>
            <w:tcW w:w="2439" w:type="dxa"/>
            <w:vAlign w:val="center"/>
          </w:tcPr>
          <w:p w14:paraId="3EFC3D99">
            <w:pPr>
              <w:adjustRightInd w:val="0"/>
              <w:snapToGrid w:val="0"/>
              <w:spacing w:line="360" w:lineRule="exact"/>
              <w:jc w:val="center"/>
              <w:rPr>
                <w:rFonts w:ascii="宋体" w:hAnsi="宋体"/>
                <w:color w:val="auto"/>
                <w:szCs w:val="21"/>
                <w:highlight w:val="none"/>
              </w:rPr>
            </w:pPr>
            <w:r>
              <w:rPr>
                <w:rFonts w:hint="eastAsia" w:ascii="宋体" w:hAnsi="宋体"/>
                <w:bCs/>
                <w:color w:val="auto"/>
                <w:szCs w:val="21"/>
                <w:highlight w:val="none"/>
              </w:rPr>
              <w:t>分包</w:t>
            </w:r>
          </w:p>
        </w:tc>
        <w:tc>
          <w:tcPr>
            <w:tcW w:w="4820" w:type="dxa"/>
            <w:vAlign w:val="center"/>
          </w:tcPr>
          <w:p w14:paraId="6806A5C9">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不允许</w:t>
            </w:r>
          </w:p>
        </w:tc>
      </w:tr>
      <w:tr w14:paraId="64AE9F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1418" w:type="dxa"/>
            <w:vAlign w:val="center"/>
          </w:tcPr>
          <w:p w14:paraId="74F19F0F">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第19.1款</w:t>
            </w:r>
          </w:p>
        </w:tc>
        <w:tc>
          <w:tcPr>
            <w:tcW w:w="2439" w:type="dxa"/>
            <w:vAlign w:val="center"/>
          </w:tcPr>
          <w:p w14:paraId="1A37933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投标文件份数</w:t>
            </w:r>
          </w:p>
        </w:tc>
        <w:tc>
          <w:tcPr>
            <w:tcW w:w="4820" w:type="dxa"/>
            <w:vAlign w:val="center"/>
          </w:tcPr>
          <w:p w14:paraId="464202B6">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投标人应准备所投项目的电子投标文件一份</w:t>
            </w:r>
          </w:p>
        </w:tc>
      </w:tr>
      <w:tr w14:paraId="67B2EC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677" w:type="dxa"/>
            <w:gridSpan w:val="3"/>
            <w:vAlign w:val="center"/>
          </w:tcPr>
          <w:p w14:paraId="556FC8B4">
            <w:pPr>
              <w:adjustRightInd w:val="0"/>
              <w:snapToGrid w:val="0"/>
              <w:spacing w:line="360" w:lineRule="exact"/>
              <w:rPr>
                <w:rFonts w:ascii="宋体" w:hAnsi="宋体"/>
                <w:b/>
                <w:bCs/>
                <w:color w:val="auto"/>
                <w:szCs w:val="21"/>
                <w:highlight w:val="none"/>
              </w:rPr>
            </w:pPr>
            <w:r>
              <w:rPr>
                <w:rFonts w:hint="eastAsia" w:ascii="宋体" w:hAnsi="宋体"/>
                <w:b/>
                <w:color w:val="auto"/>
                <w:szCs w:val="21"/>
                <w:highlight w:val="none"/>
              </w:rPr>
              <w:t>四、投标</w:t>
            </w:r>
          </w:p>
        </w:tc>
      </w:tr>
      <w:tr w14:paraId="4D6B4C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76F54E8F">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第20.1</w:t>
            </w:r>
            <w:r>
              <w:rPr>
                <w:rFonts w:hint="eastAsia" w:ascii="宋体" w:hAnsi="宋体" w:cs="宋体"/>
                <w:color w:val="auto"/>
                <w:kern w:val="0"/>
                <w:szCs w:val="21"/>
                <w:highlight w:val="none"/>
                <w:lang w:val="zh-CN"/>
              </w:rPr>
              <w:t>款</w:t>
            </w:r>
          </w:p>
        </w:tc>
        <w:tc>
          <w:tcPr>
            <w:tcW w:w="2439" w:type="dxa"/>
            <w:vAlign w:val="center"/>
          </w:tcPr>
          <w:p w14:paraId="6FD95A4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投标文件的加密</w:t>
            </w:r>
          </w:p>
        </w:tc>
        <w:tc>
          <w:tcPr>
            <w:tcW w:w="4820" w:type="dxa"/>
            <w:vAlign w:val="center"/>
          </w:tcPr>
          <w:p w14:paraId="4A43B143">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按娄底市公共资源交易电子服务平台发布的“电子投标文件制作工具（</w:t>
            </w:r>
            <w:r>
              <w:rPr>
                <w:rStyle w:val="99"/>
                <w:rFonts w:ascii="宋体" w:hAnsi="宋体"/>
                <w:color w:val="auto"/>
                <w:szCs w:val="21"/>
                <w:highlight w:val="none"/>
              </w:rPr>
              <w:t>金润投标人工具箱）</w:t>
            </w:r>
            <w:r>
              <w:rPr>
                <w:rFonts w:hint="eastAsia" w:ascii="宋体" w:hAnsi="宋体"/>
                <w:color w:val="auto"/>
                <w:szCs w:val="21"/>
                <w:highlight w:val="none"/>
              </w:rPr>
              <w:t>”的程序进行固化、加密</w:t>
            </w:r>
          </w:p>
        </w:tc>
      </w:tr>
      <w:tr w14:paraId="673F54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3E0E7DC8">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第21.1</w:t>
            </w:r>
            <w:r>
              <w:rPr>
                <w:rFonts w:hint="eastAsia" w:ascii="宋体" w:hAnsi="宋体" w:cs="宋体"/>
                <w:color w:val="auto"/>
                <w:kern w:val="0"/>
                <w:szCs w:val="21"/>
                <w:highlight w:val="none"/>
                <w:lang w:val="zh-CN"/>
              </w:rPr>
              <w:t>款</w:t>
            </w:r>
          </w:p>
        </w:tc>
        <w:tc>
          <w:tcPr>
            <w:tcW w:w="2439" w:type="dxa"/>
            <w:vAlign w:val="center"/>
          </w:tcPr>
          <w:p w14:paraId="443E677F">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投标截止时间及投标地点</w:t>
            </w:r>
          </w:p>
        </w:tc>
        <w:tc>
          <w:tcPr>
            <w:tcW w:w="4820" w:type="dxa"/>
            <w:vAlign w:val="center"/>
          </w:tcPr>
          <w:p w14:paraId="3D95F9C9">
            <w:pPr>
              <w:adjustRightInd w:val="0"/>
              <w:snapToGrid w:val="0"/>
              <w:spacing w:line="360" w:lineRule="exact"/>
              <w:rPr>
                <w:rFonts w:ascii="宋体" w:hAnsi="宋体"/>
                <w:color w:val="auto"/>
                <w:szCs w:val="21"/>
                <w:highlight w:val="none"/>
              </w:rPr>
            </w:pPr>
            <w:r>
              <w:rPr>
                <w:rStyle w:val="99"/>
                <w:rFonts w:ascii="宋体" w:hAnsi="宋体"/>
                <w:color w:val="auto"/>
                <w:szCs w:val="21"/>
                <w:highlight w:val="none"/>
              </w:rPr>
              <w:t>详见</w:t>
            </w:r>
            <w:r>
              <w:rPr>
                <w:rStyle w:val="99"/>
                <w:rFonts w:hint="eastAsia" w:ascii="宋体" w:hAnsi="宋体"/>
                <w:color w:val="auto"/>
                <w:szCs w:val="21"/>
                <w:highlight w:val="none"/>
              </w:rPr>
              <w:t>招标</w:t>
            </w:r>
            <w:r>
              <w:rPr>
                <w:rStyle w:val="99"/>
                <w:rFonts w:ascii="宋体" w:hAnsi="宋体"/>
                <w:color w:val="auto"/>
                <w:szCs w:val="21"/>
                <w:highlight w:val="none"/>
              </w:rPr>
              <w:t>公告</w:t>
            </w:r>
          </w:p>
        </w:tc>
      </w:tr>
      <w:tr w14:paraId="287404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677" w:type="dxa"/>
            <w:gridSpan w:val="3"/>
            <w:vAlign w:val="center"/>
          </w:tcPr>
          <w:p w14:paraId="52455855">
            <w:pPr>
              <w:adjustRightInd w:val="0"/>
              <w:snapToGrid w:val="0"/>
              <w:spacing w:line="360" w:lineRule="exact"/>
              <w:rPr>
                <w:rFonts w:ascii="宋体" w:hAnsi="宋体"/>
                <w:color w:val="auto"/>
                <w:szCs w:val="21"/>
                <w:highlight w:val="none"/>
              </w:rPr>
            </w:pPr>
            <w:r>
              <w:rPr>
                <w:rFonts w:hint="eastAsia" w:ascii="宋体" w:hAnsi="宋体"/>
                <w:b/>
                <w:bCs/>
                <w:color w:val="auto"/>
                <w:szCs w:val="21"/>
                <w:highlight w:val="none"/>
              </w:rPr>
              <w:t>五、开标、资格审查和评标</w:t>
            </w:r>
          </w:p>
        </w:tc>
      </w:tr>
      <w:tr w14:paraId="455970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1418" w:type="dxa"/>
            <w:vAlign w:val="center"/>
          </w:tcPr>
          <w:p w14:paraId="3084B4B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第24.1款</w:t>
            </w:r>
          </w:p>
        </w:tc>
        <w:tc>
          <w:tcPr>
            <w:tcW w:w="2439" w:type="dxa"/>
            <w:vAlign w:val="center"/>
          </w:tcPr>
          <w:p w14:paraId="3C19B7A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开标地点</w:t>
            </w:r>
          </w:p>
        </w:tc>
        <w:tc>
          <w:tcPr>
            <w:tcW w:w="4820" w:type="dxa"/>
            <w:vAlign w:val="center"/>
          </w:tcPr>
          <w:p w14:paraId="35E5F619">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详见招标公告</w:t>
            </w:r>
          </w:p>
        </w:tc>
      </w:tr>
      <w:tr w14:paraId="17E9E9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1418" w:type="dxa"/>
            <w:vAlign w:val="center"/>
          </w:tcPr>
          <w:p w14:paraId="7AB51C92">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第24.2</w:t>
            </w:r>
            <w:r>
              <w:rPr>
                <w:rFonts w:hint="eastAsia" w:ascii="宋体" w:hAnsi="宋体" w:cs="宋体"/>
                <w:color w:val="auto"/>
                <w:kern w:val="0"/>
                <w:szCs w:val="21"/>
                <w:highlight w:val="none"/>
                <w:lang w:val="zh-CN"/>
              </w:rPr>
              <w:t>款</w:t>
            </w:r>
          </w:p>
        </w:tc>
        <w:tc>
          <w:tcPr>
            <w:tcW w:w="2439" w:type="dxa"/>
            <w:vAlign w:val="center"/>
          </w:tcPr>
          <w:p w14:paraId="0FDD7AA9">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需要宣布的其他内容</w:t>
            </w:r>
          </w:p>
        </w:tc>
        <w:tc>
          <w:tcPr>
            <w:tcW w:w="4820" w:type="dxa"/>
            <w:vAlign w:val="center"/>
          </w:tcPr>
          <w:p w14:paraId="7DED6F6D">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投标报价、服务期等</w:t>
            </w:r>
          </w:p>
        </w:tc>
      </w:tr>
      <w:tr w14:paraId="2F76DE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677" w:type="dxa"/>
            <w:gridSpan w:val="3"/>
            <w:vAlign w:val="center"/>
          </w:tcPr>
          <w:p w14:paraId="112EBA65">
            <w:pPr>
              <w:adjustRightInd w:val="0"/>
              <w:snapToGrid w:val="0"/>
              <w:spacing w:line="360" w:lineRule="exact"/>
              <w:rPr>
                <w:rFonts w:ascii="宋体" w:hAnsi="宋体"/>
                <w:b/>
                <w:color w:val="auto"/>
                <w:szCs w:val="21"/>
                <w:highlight w:val="none"/>
              </w:rPr>
            </w:pPr>
            <w:r>
              <w:rPr>
                <w:rFonts w:hint="eastAsia" w:ascii="宋体" w:hAnsi="宋体"/>
                <w:b/>
                <w:color w:val="auto"/>
                <w:szCs w:val="21"/>
                <w:highlight w:val="none"/>
              </w:rPr>
              <w:t>六、中标信息公布</w:t>
            </w:r>
          </w:p>
        </w:tc>
      </w:tr>
      <w:tr w14:paraId="73B1EB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051FF49B">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第28.2</w:t>
            </w:r>
            <w:r>
              <w:rPr>
                <w:rFonts w:hint="eastAsia" w:ascii="宋体" w:hAnsi="宋体" w:cs="宋体"/>
                <w:color w:val="auto"/>
                <w:kern w:val="0"/>
                <w:szCs w:val="21"/>
                <w:highlight w:val="none"/>
                <w:lang w:val="zh-CN"/>
              </w:rPr>
              <w:t>款</w:t>
            </w:r>
          </w:p>
        </w:tc>
        <w:tc>
          <w:tcPr>
            <w:tcW w:w="2439" w:type="dxa"/>
            <w:vAlign w:val="center"/>
          </w:tcPr>
          <w:p w14:paraId="187094E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中标候选人并列时确定中标人的方式</w:t>
            </w:r>
          </w:p>
        </w:tc>
        <w:tc>
          <w:tcPr>
            <w:tcW w:w="4820" w:type="dxa"/>
            <w:vAlign w:val="center"/>
          </w:tcPr>
          <w:p w14:paraId="091FD7DD">
            <w:pPr>
              <w:adjustRightInd w:val="0"/>
              <w:snapToGrid w:val="0"/>
              <w:spacing w:line="360" w:lineRule="exact"/>
              <w:rPr>
                <w:rFonts w:ascii="宋体" w:hAnsi="宋体"/>
                <w:bCs/>
                <w:color w:val="auto"/>
                <w:szCs w:val="21"/>
                <w:highlight w:val="none"/>
              </w:rPr>
            </w:pPr>
            <w:r>
              <w:rPr>
                <w:rFonts w:hint="eastAsia" w:ascii="宋体" w:hAnsi="宋体"/>
                <w:bCs/>
                <w:color w:val="auto"/>
                <w:szCs w:val="21"/>
                <w:highlight w:val="none"/>
              </w:rPr>
              <w:t>完全满足招标文件实质性需求且综合得分最高的单位为中标单位，得分相同的，按投标报价由低到高顺序排列；得分且投标报价相同的并列，按技术指标优劣顺序排列最高的投标人为排名第一的中标候选人。</w:t>
            </w:r>
          </w:p>
        </w:tc>
      </w:tr>
      <w:tr w14:paraId="77888C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57E8879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第29.3</w:t>
            </w:r>
            <w:r>
              <w:rPr>
                <w:rFonts w:hint="eastAsia" w:ascii="宋体" w:hAnsi="宋体" w:cs="宋体"/>
                <w:color w:val="auto"/>
                <w:kern w:val="0"/>
                <w:szCs w:val="21"/>
                <w:highlight w:val="none"/>
                <w:lang w:val="zh-CN"/>
              </w:rPr>
              <w:t>款</w:t>
            </w:r>
          </w:p>
        </w:tc>
        <w:tc>
          <w:tcPr>
            <w:tcW w:w="2439" w:type="dxa"/>
            <w:vAlign w:val="center"/>
          </w:tcPr>
          <w:p w14:paraId="7BAD6211">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接收质疑函的联系部门、联系电话和通讯地址</w:t>
            </w:r>
          </w:p>
        </w:tc>
        <w:tc>
          <w:tcPr>
            <w:tcW w:w="4820" w:type="dxa"/>
            <w:vAlign w:val="center"/>
          </w:tcPr>
          <w:p w14:paraId="1D646ECB">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湖南天湘项目管理有限公司</w:t>
            </w:r>
          </w:p>
          <w:p w14:paraId="64F772E1">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联系人：</w:t>
            </w:r>
            <w:r>
              <w:rPr>
                <w:rFonts w:hint="eastAsia" w:ascii="宋体" w:hAnsi="宋体" w:cs="宋体"/>
                <w:color w:val="auto"/>
                <w:kern w:val="1"/>
                <w:szCs w:val="21"/>
                <w:highlight w:val="none"/>
              </w:rPr>
              <w:t>曾先生   吴女士</w:t>
            </w:r>
          </w:p>
          <w:p w14:paraId="56DA7456">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联系电话：</w:t>
            </w:r>
            <w:r>
              <w:rPr>
                <w:rStyle w:val="99"/>
                <w:rFonts w:hint="eastAsia" w:ascii="宋体" w:hAnsi="宋体"/>
                <w:color w:val="auto"/>
                <w:szCs w:val="21"/>
                <w:highlight w:val="none"/>
              </w:rPr>
              <w:t>0738-</w:t>
            </w:r>
            <w:r>
              <w:rPr>
                <w:rStyle w:val="99"/>
                <w:rFonts w:hint="eastAsia" w:ascii="宋体" w:hAnsi="宋体"/>
                <w:color w:val="auto"/>
                <w:szCs w:val="21"/>
                <w:highlight w:val="none"/>
                <w:lang w:val="en-US" w:eastAsia="zh-CN"/>
              </w:rPr>
              <w:t>3393997</w:t>
            </w:r>
          </w:p>
          <w:p w14:paraId="29C2833B">
            <w:pPr>
              <w:adjustRightInd w:val="0"/>
              <w:snapToGrid w:val="0"/>
              <w:spacing w:line="360" w:lineRule="exact"/>
              <w:rPr>
                <w:color w:val="auto"/>
                <w:highlight w:val="none"/>
              </w:rPr>
            </w:pPr>
            <w:r>
              <w:rPr>
                <w:rFonts w:hint="eastAsia" w:ascii="宋体" w:hAnsi="宋体"/>
                <w:color w:val="auto"/>
                <w:szCs w:val="21"/>
                <w:highlight w:val="none"/>
              </w:rPr>
              <w:t>通讯地址：</w:t>
            </w:r>
            <w:r>
              <w:rPr>
                <w:rStyle w:val="99"/>
                <w:rFonts w:hint="eastAsia" w:ascii="宋体" w:hAnsi="宋体"/>
                <w:color w:val="auto"/>
                <w:szCs w:val="21"/>
                <w:highlight w:val="none"/>
              </w:rPr>
              <w:t>新化县清水塘路（金水园）第一幢3楼</w:t>
            </w:r>
          </w:p>
        </w:tc>
      </w:tr>
      <w:tr w14:paraId="6E05EC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677" w:type="dxa"/>
            <w:gridSpan w:val="3"/>
            <w:vAlign w:val="center"/>
          </w:tcPr>
          <w:p w14:paraId="7336FD37">
            <w:pPr>
              <w:adjustRightInd w:val="0"/>
              <w:snapToGrid w:val="0"/>
              <w:spacing w:line="360" w:lineRule="exact"/>
              <w:rPr>
                <w:rFonts w:ascii="宋体" w:hAnsi="宋体"/>
                <w:color w:val="auto"/>
                <w:szCs w:val="21"/>
                <w:highlight w:val="none"/>
              </w:rPr>
            </w:pPr>
            <w:r>
              <w:rPr>
                <w:rFonts w:hint="eastAsia" w:ascii="宋体" w:hAnsi="宋体"/>
                <w:b/>
                <w:color w:val="auto"/>
                <w:szCs w:val="21"/>
                <w:highlight w:val="none"/>
              </w:rPr>
              <w:t>七、合同签订</w:t>
            </w:r>
          </w:p>
        </w:tc>
      </w:tr>
      <w:tr w14:paraId="34BE9C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571F1C02">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第31.1</w:t>
            </w:r>
            <w:r>
              <w:rPr>
                <w:rFonts w:hint="eastAsia" w:ascii="宋体" w:hAnsi="宋体" w:cs="宋体"/>
                <w:color w:val="auto"/>
                <w:kern w:val="0"/>
                <w:szCs w:val="21"/>
                <w:highlight w:val="none"/>
                <w:lang w:val="zh-CN"/>
              </w:rPr>
              <w:t>款</w:t>
            </w:r>
          </w:p>
        </w:tc>
        <w:tc>
          <w:tcPr>
            <w:tcW w:w="2439" w:type="dxa"/>
            <w:vAlign w:val="center"/>
          </w:tcPr>
          <w:p w14:paraId="12ED8363">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履约担保</w:t>
            </w:r>
          </w:p>
        </w:tc>
        <w:tc>
          <w:tcPr>
            <w:tcW w:w="4820" w:type="dxa"/>
            <w:vAlign w:val="center"/>
          </w:tcPr>
          <w:p w14:paraId="11EF187C">
            <w:pPr>
              <w:adjustRightInd w:val="0"/>
              <w:spacing w:line="360" w:lineRule="exact"/>
              <w:rPr>
                <w:rFonts w:ascii="宋体" w:hAnsi="宋体"/>
                <w:color w:val="auto"/>
                <w:szCs w:val="21"/>
                <w:highlight w:val="none"/>
              </w:rPr>
            </w:pPr>
            <w:r>
              <w:rPr>
                <w:rFonts w:hint="eastAsia" w:ascii="宋体" w:hAnsi="宋体"/>
                <w:color w:val="auto"/>
                <w:szCs w:val="21"/>
                <w:highlight w:val="none"/>
              </w:rPr>
              <w:t>□不要求提供</w:t>
            </w:r>
          </w:p>
          <w:p w14:paraId="52302DF4">
            <w:pPr>
              <w:pStyle w:val="103"/>
              <w:spacing w:line="360" w:lineRule="exact"/>
              <w:ind w:firstLine="0" w:firstLineChars="0"/>
              <w:rPr>
                <w:rFonts w:ascii="宋体" w:hAnsi="宋体"/>
                <w:color w:val="auto"/>
                <w:sz w:val="21"/>
                <w:szCs w:val="21"/>
                <w:highlight w:val="none"/>
              </w:rPr>
            </w:pPr>
            <w:r>
              <w:rPr>
                <w:rFonts w:hint="eastAsia" w:ascii="宋体" w:hAnsi="宋体" w:cs="宋体"/>
                <w:iCs/>
                <w:color w:val="auto"/>
                <w:szCs w:val="21"/>
                <w:highlight w:val="none"/>
              </w:rPr>
              <w:sym w:font="Wingdings" w:char="00A8"/>
            </w:r>
            <w:r>
              <w:rPr>
                <w:rFonts w:hint="eastAsia" w:ascii="宋体" w:hAnsi="宋体"/>
                <w:color w:val="auto"/>
                <w:sz w:val="21"/>
                <w:szCs w:val="21"/>
                <w:highlight w:val="none"/>
              </w:rPr>
              <w:t>要求提供，履约担保的金额为：</w:t>
            </w:r>
            <w:r>
              <w:rPr>
                <w:rFonts w:hint="eastAsia" w:ascii="宋体" w:hAnsi="宋体"/>
                <w:color w:val="auto"/>
                <w:sz w:val="21"/>
                <w:szCs w:val="21"/>
                <w:highlight w:val="none"/>
                <w:u w:val="single"/>
              </w:rPr>
              <w:t xml:space="preserve">      </w:t>
            </w:r>
          </w:p>
        </w:tc>
      </w:tr>
      <w:tr w14:paraId="0619F6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677" w:type="dxa"/>
            <w:gridSpan w:val="3"/>
            <w:vAlign w:val="center"/>
          </w:tcPr>
          <w:p w14:paraId="35F2A7DF">
            <w:pPr>
              <w:pStyle w:val="103"/>
              <w:spacing w:line="360" w:lineRule="exact"/>
              <w:ind w:firstLine="0" w:firstLineChars="0"/>
              <w:rPr>
                <w:rFonts w:ascii="宋体" w:hAnsi="宋体"/>
                <w:color w:val="auto"/>
                <w:szCs w:val="21"/>
                <w:highlight w:val="none"/>
              </w:rPr>
            </w:pPr>
            <w:r>
              <w:rPr>
                <w:rFonts w:hint="eastAsia" w:ascii="宋体" w:hAnsi="宋体"/>
                <w:b/>
                <w:color w:val="auto"/>
                <w:kern w:val="2"/>
                <w:sz w:val="21"/>
                <w:szCs w:val="21"/>
                <w:highlight w:val="none"/>
              </w:rPr>
              <w:t>八、政府采购政策</w:t>
            </w:r>
          </w:p>
        </w:tc>
      </w:tr>
      <w:tr w14:paraId="453BB3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1418" w:type="dxa"/>
            <w:vAlign w:val="center"/>
          </w:tcPr>
          <w:p w14:paraId="1CA7F282">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第33.8款</w:t>
            </w:r>
          </w:p>
        </w:tc>
        <w:tc>
          <w:tcPr>
            <w:tcW w:w="2439" w:type="dxa"/>
            <w:vAlign w:val="center"/>
          </w:tcPr>
          <w:p w14:paraId="4047B7A4">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采购进口产品</w:t>
            </w:r>
          </w:p>
        </w:tc>
        <w:tc>
          <w:tcPr>
            <w:tcW w:w="4820" w:type="dxa"/>
            <w:vAlign w:val="center"/>
          </w:tcPr>
          <w:p w14:paraId="3E99234E">
            <w:pPr>
              <w:pStyle w:val="103"/>
              <w:spacing w:line="360" w:lineRule="exact"/>
              <w:ind w:firstLine="0" w:firstLineChars="0"/>
              <w:rPr>
                <w:rFonts w:ascii="宋体" w:hAnsi="宋体"/>
                <w:color w:val="auto"/>
                <w:szCs w:val="21"/>
                <w:highlight w:val="none"/>
              </w:rPr>
            </w:pPr>
            <w:r>
              <w:rPr>
                <w:rFonts w:hint="eastAsia" w:ascii="宋体" w:hAnsi="宋体"/>
                <w:color w:val="auto"/>
                <w:szCs w:val="21"/>
                <w:highlight w:val="none"/>
              </w:rPr>
              <w:t>/</w:t>
            </w:r>
          </w:p>
        </w:tc>
      </w:tr>
      <w:tr w14:paraId="35740E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677" w:type="dxa"/>
            <w:gridSpan w:val="3"/>
            <w:vAlign w:val="center"/>
          </w:tcPr>
          <w:p w14:paraId="75A7D58F">
            <w:pPr>
              <w:adjustRightInd w:val="0"/>
              <w:snapToGrid w:val="0"/>
              <w:spacing w:line="360" w:lineRule="exact"/>
              <w:rPr>
                <w:rFonts w:ascii="宋体" w:hAnsi="宋体"/>
                <w:b/>
                <w:color w:val="auto"/>
                <w:szCs w:val="21"/>
                <w:highlight w:val="none"/>
              </w:rPr>
            </w:pPr>
            <w:r>
              <w:rPr>
                <w:rFonts w:hint="eastAsia" w:ascii="宋体" w:hAnsi="宋体"/>
                <w:b/>
                <w:color w:val="auto"/>
                <w:szCs w:val="21"/>
                <w:highlight w:val="none"/>
              </w:rPr>
              <w:t>九、其他规定</w:t>
            </w:r>
          </w:p>
        </w:tc>
      </w:tr>
      <w:tr w14:paraId="096C9E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353A3E74">
            <w:pPr>
              <w:adjustRightInd w:val="0"/>
              <w:snapToGrid w:val="0"/>
              <w:jc w:val="center"/>
              <w:rPr>
                <w:rFonts w:ascii="宋体" w:hAnsi="宋体"/>
                <w:color w:val="auto"/>
                <w:szCs w:val="21"/>
                <w:highlight w:val="none"/>
              </w:rPr>
            </w:pPr>
            <w:r>
              <w:rPr>
                <w:rFonts w:hint="eastAsia" w:ascii="宋体" w:hAnsi="宋体"/>
                <w:color w:val="auto"/>
                <w:szCs w:val="21"/>
                <w:highlight w:val="none"/>
              </w:rPr>
              <w:t>第35.1</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项</w:t>
            </w:r>
          </w:p>
        </w:tc>
        <w:tc>
          <w:tcPr>
            <w:tcW w:w="2439" w:type="dxa"/>
            <w:vAlign w:val="center"/>
          </w:tcPr>
          <w:p w14:paraId="36D04BC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合同预付款的支付比例和支付条件</w:t>
            </w:r>
          </w:p>
        </w:tc>
        <w:tc>
          <w:tcPr>
            <w:tcW w:w="4820" w:type="dxa"/>
            <w:vAlign w:val="center"/>
          </w:tcPr>
          <w:p w14:paraId="5B47F3CD">
            <w:pPr>
              <w:spacing w:line="360" w:lineRule="exact"/>
              <w:rPr>
                <w:rFonts w:hint="eastAsia" w:ascii="宋体" w:hAnsi="宋体" w:eastAsia="宋体"/>
                <w:color w:val="auto"/>
                <w:szCs w:val="21"/>
                <w:highlight w:val="none"/>
                <w:lang w:eastAsia="zh-CN"/>
              </w:rPr>
            </w:pPr>
            <w:r>
              <w:rPr>
                <w:rFonts w:hint="eastAsia" w:ascii="宋体" w:hAnsi="宋体"/>
                <w:color w:val="auto"/>
                <w:szCs w:val="21"/>
                <w:highlight w:val="none"/>
              </w:rPr>
              <w:t>/</w:t>
            </w:r>
          </w:p>
        </w:tc>
      </w:tr>
      <w:tr w14:paraId="5750EA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3AB24713">
            <w:pPr>
              <w:adjustRightInd w:val="0"/>
              <w:snapToGrid w:val="0"/>
              <w:jc w:val="center"/>
              <w:rPr>
                <w:rFonts w:ascii="宋体" w:hAnsi="宋体"/>
                <w:color w:val="auto"/>
                <w:szCs w:val="21"/>
                <w:highlight w:val="none"/>
              </w:rPr>
            </w:pPr>
            <w:r>
              <w:rPr>
                <w:rFonts w:hint="eastAsia" w:ascii="宋体" w:hAnsi="宋体"/>
                <w:color w:val="auto"/>
                <w:szCs w:val="21"/>
                <w:highlight w:val="none"/>
              </w:rPr>
              <w:t>第35.1</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项</w:t>
            </w:r>
          </w:p>
        </w:tc>
        <w:tc>
          <w:tcPr>
            <w:tcW w:w="2439" w:type="dxa"/>
            <w:vAlign w:val="center"/>
          </w:tcPr>
          <w:p w14:paraId="42A4767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质量保证金</w:t>
            </w:r>
          </w:p>
        </w:tc>
        <w:tc>
          <w:tcPr>
            <w:tcW w:w="4820" w:type="dxa"/>
            <w:vAlign w:val="center"/>
          </w:tcPr>
          <w:p w14:paraId="3B412B69">
            <w:pPr>
              <w:spacing w:line="360" w:lineRule="exact"/>
              <w:rPr>
                <w:rFonts w:ascii="宋体" w:hAnsi="宋体"/>
                <w:color w:val="auto"/>
                <w:szCs w:val="21"/>
                <w:highlight w:val="none"/>
              </w:rPr>
            </w:pPr>
            <w:r>
              <w:rPr>
                <w:rFonts w:hint="eastAsia" w:ascii="宋体" w:hAnsi="宋体"/>
                <w:color w:val="auto"/>
                <w:szCs w:val="21"/>
                <w:highlight w:val="none"/>
              </w:rPr>
              <w:t>/</w:t>
            </w:r>
          </w:p>
        </w:tc>
      </w:tr>
      <w:tr w14:paraId="18E1B2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1418" w:type="dxa"/>
            <w:vMerge w:val="restart"/>
            <w:vAlign w:val="center"/>
          </w:tcPr>
          <w:p w14:paraId="5937B6BA">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第35.2</w:t>
            </w:r>
            <w:r>
              <w:rPr>
                <w:rFonts w:hint="eastAsia" w:ascii="宋体" w:hAnsi="宋体" w:cs="宋体"/>
                <w:color w:val="auto"/>
                <w:kern w:val="0"/>
                <w:szCs w:val="21"/>
                <w:highlight w:val="none"/>
                <w:lang w:val="zh-CN"/>
              </w:rPr>
              <w:t>款</w:t>
            </w:r>
          </w:p>
        </w:tc>
        <w:tc>
          <w:tcPr>
            <w:tcW w:w="2439" w:type="dxa"/>
            <w:vMerge w:val="restart"/>
            <w:vAlign w:val="center"/>
          </w:tcPr>
          <w:p w14:paraId="0079C3E3">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其他规定</w:t>
            </w:r>
          </w:p>
        </w:tc>
        <w:tc>
          <w:tcPr>
            <w:tcW w:w="4820" w:type="dxa"/>
            <w:tcBorders>
              <w:bottom w:val="single" w:color="auto" w:sz="4" w:space="0"/>
            </w:tcBorders>
            <w:vAlign w:val="center"/>
          </w:tcPr>
          <w:p w14:paraId="4DABE346">
            <w:pPr>
              <w:spacing w:line="360" w:lineRule="exact"/>
              <w:rPr>
                <w:rFonts w:ascii="宋体" w:hAnsi="宋体"/>
                <w:color w:val="auto"/>
                <w:szCs w:val="21"/>
                <w:highlight w:val="none"/>
              </w:rPr>
            </w:pPr>
            <w:r>
              <w:rPr>
                <w:rFonts w:ascii="宋体" w:hAnsi="宋体"/>
                <w:color w:val="auto"/>
                <w:szCs w:val="21"/>
                <w:highlight w:val="none"/>
              </w:rPr>
              <w:t>招标代理服务费由采购人按合同约定支付</w:t>
            </w:r>
          </w:p>
        </w:tc>
      </w:tr>
      <w:tr w14:paraId="4E3CF1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1418" w:type="dxa"/>
            <w:vMerge w:val="continue"/>
            <w:vAlign w:val="center"/>
          </w:tcPr>
          <w:p w14:paraId="3A622370">
            <w:pPr>
              <w:adjustRightInd w:val="0"/>
              <w:snapToGrid w:val="0"/>
              <w:spacing w:line="360" w:lineRule="exact"/>
              <w:jc w:val="center"/>
              <w:rPr>
                <w:rFonts w:ascii="宋体" w:hAnsi="宋体"/>
                <w:color w:val="auto"/>
                <w:szCs w:val="21"/>
                <w:highlight w:val="none"/>
              </w:rPr>
            </w:pPr>
          </w:p>
        </w:tc>
        <w:tc>
          <w:tcPr>
            <w:tcW w:w="2439" w:type="dxa"/>
            <w:vMerge w:val="continue"/>
            <w:vAlign w:val="center"/>
          </w:tcPr>
          <w:p w14:paraId="112FE2F5">
            <w:pPr>
              <w:adjustRightInd w:val="0"/>
              <w:snapToGrid w:val="0"/>
              <w:spacing w:line="360" w:lineRule="exact"/>
              <w:jc w:val="center"/>
              <w:rPr>
                <w:rFonts w:ascii="宋体" w:hAnsi="宋体"/>
                <w:color w:val="auto"/>
                <w:szCs w:val="21"/>
                <w:highlight w:val="none"/>
              </w:rPr>
            </w:pPr>
          </w:p>
        </w:tc>
        <w:tc>
          <w:tcPr>
            <w:tcW w:w="4820" w:type="dxa"/>
            <w:tcBorders>
              <w:top w:val="single" w:color="auto" w:sz="4" w:space="0"/>
            </w:tcBorders>
            <w:vAlign w:val="center"/>
          </w:tcPr>
          <w:p w14:paraId="34F5D7EB">
            <w:pPr>
              <w:spacing w:line="360" w:lineRule="exact"/>
              <w:rPr>
                <w:rFonts w:ascii="宋体" w:hAnsi="宋体"/>
                <w:color w:val="auto"/>
                <w:szCs w:val="21"/>
                <w:highlight w:val="none"/>
              </w:rPr>
            </w:pPr>
            <w:r>
              <w:rPr>
                <w:rFonts w:ascii="宋体" w:hAnsi="宋体"/>
                <w:color w:val="auto"/>
                <w:szCs w:val="21"/>
                <w:highlight w:val="none"/>
              </w:rPr>
              <w:t>对列入失信被执行人、重大税收违法案件当事人名单、政府采购严重违法失信行为记录名单及其他不符合《中华人民共和国政府采购法》第二十二条规定条件的</w:t>
            </w:r>
            <w:r>
              <w:rPr>
                <w:rFonts w:hint="eastAsia" w:ascii="宋体" w:hAnsi="宋体"/>
                <w:color w:val="auto"/>
                <w:szCs w:val="21"/>
                <w:highlight w:val="none"/>
              </w:rPr>
              <w:t>投标人</w:t>
            </w:r>
            <w:r>
              <w:rPr>
                <w:rFonts w:ascii="宋体" w:hAnsi="宋体"/>
                <w:color w:val="auto"/>
                <w:szCs w:val="21"/>
                <w:highlight w:val="none"/>
              </w:rPr>
              <w:t>，应当拒绝其参与政府采购活动。</w:t>
            </w:r>
          </w:p>
          <w:p w14:paraId="69FF7A43">
            <w:pPr>
              <w:spacing w:line="360" w:lineRule="exact"/>
              <w:rPr>
                <w:rFonts w:ascii="宋体" w:hAnsi="宋体"/>
                <w:color w:val="auto"/>
                <w:szCs w:val="21"/>
                <w:highlight w:val="none"/>
              </w:rPr>
            </w:pPr>
            <w:r>
              <w:rPr>
                <w:rFonts w:ascii="宋体" w:hAnsi="宋体"/>
                <w:color w:val="auto"/>
                <w:szCs w:val="21"/>
                <w:highlight w:val="none"/>
              </w:rPr>
              <w:t>两个以上的自然人、法人或者其他组织组成一个联合体，以一个</w:t>
            </w:r>
            <w:r>
              <w:rPr>
                <w:rFonts w:hint="eastAsia" w:ascii="宋体" w:hAnsi="宋体"/>
                <w:color w:val="auto"/>
                <w:szCs w:val="21"/>
                <w:highlight w:val="none"/>
              </w:rPr>
              <w:t>投标人</w:t>
            </w:r>
            <w:r>
              <w:rPr>
                <w:rFonts w:ascii="宋体" w:hAnsi="宋体"/>
                <w:color w:val="auto"/>
                <w:szCs w:val="21"/>
                <w:highlight w:val="none"/>
              </w:rPr>
              <w:t>的身份共同参加政府采购活动的，应当对所有联合体成员进行信用记录查询，联合体成员存在不良信用记录的，视同联合体存在不良信用记录。</w:t>
            </w:r>
          </w:p>
          <w:p w14:paraId="409E6326">
            <w:pPr>
              <w:spacing w:line="360" w:lineRule="exact"/>
              <w:rPr>
                <w:rFonts w:ascii="宋体" w:hAnsi="宋体"/>
                <w:color w:val="auto"/>
                <w:szCs w:val="21"/>
                <w:highlight w:val="none"/>
              </w:rPr>
            </w:pPr>
            <w:r>
              <w:rPr>
                <w:rFonts w:ascii="宋体" w:hAnsi="宋体"/>
                <w:color w:val="auto"/>
                <w:szCs w:val="21"/>
                <w:highlight w:val="none"/>
              </w:rPr>
              <w:t>1、信用信息查询的查询渠道：信用中国网站（www.creditchina.gov.cn）、中国政府采购网（www.ccgp.gov.cn）。</w:t>
            </w:r>
          </w:p>
          <w:p w14:paraId="0FB86642">
            <w:pPr>
              <w:spacing w:line="360" w:lineRule="exact"/>
              <w:rPr>
                <w:rFonts w:ascii="宋体" w:hAnsi="宋体"/>
                <w:color w:val="auto"/>
                <w:szCs w:val="21"/>
                <w:highlight w:val="none"/>
              </w:rPr>
            </w:pPr>
            <w:r>
              <w:rPr>
                <w:rFonts w:ascii="宋体" w:hAnsi="宋体"/>
                <w:color w:val="auto"/>
                <w:szCs w:val="21"/>
                <w:highlight w:val="none"/>
              </w:rPr>
              <w:t>2、信用信息查询的截止时点：至本项目投标截止时间止。</w:t>
            </w:r>
          </w:p>
          <w:p w14:paraId="4B55E825">
            <w:pPr>
              <w:spacing w:line="360" w:lineRule="exact"/>
              <w:rPr>
                <w:rFonts w:ascii="宋体" w:hAnsi="宋体"/>
                <w:color w:val="auto"/>
                <w:szCs w:val="21"/>
                <w:highlight w:val="none"/>
              </w:rPr>
            </w:pPr>
            <w:r>
              <w:rPr>
                <w:rFonts w:ascii="宋体" w:hAnsi="宋体"/>
                <w:color w:val="auto"/>
                <w:szCs w:val="21"/>
                <w:highlight w:val="none"/>
              </w:rPr>
              <w:t>3、信用信息查询记录的具体方式：由采购人或采购代理机构在规定的查询渠道进行查询。</w:t>
            </w:r>
          </w:p>
          <w:p w14:paraId="50E6703B">
            <w:pPr>
              <w:spacing w:line="360" w:lineRule="exact"/>
              <w:rPr>
                <w:rFonts w:ascii="宋体" w:hAnsi="宋体"/>
                <w:color w:val="auto"/>
                <w:szCs w:val="21"/>
                <w:highlight w:val="none"/>
              </w:rPr>
            </w:pPr>
            <w:r>
              <w:rPr>
                <w:rFonts w:ascii="宋体" w:hAnsi="宋体"/>
                <w:color w:val="auto"/>
                <w:szCs w:val="21"/>
                <w:highlight w:val="none"/>
              </w:rPr>
              <w:t>4、信用信息查询记录证据留存的具体方式：查询记录的网上打印件</w:t>
            </w:r>
            <w:r>
              <w:rPr>
                <w:rFonts w:hint="eastAsia" w:ascii="宋体" w:hAnsi="宋体"/>
                <w:color w:val="auto"/>
                <w:szCs w:val="21"/>
                <w:highlight w:val="none"/>
              </w:rPr>
              <w:t>。</w:t>
            </w:r>
          </w:p>
          <w:p w14:paraId="5D67C04C">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5、信用信息的使用规则：留存备查。</w:t>
            </w:r>
          </w:p>
        </w:tc>
      </w:tr>
    </w:tbl>
    <w:p w14:paraId="3B99F8EF">
      <w:pPr>
        <w:adjustRightInd w:val="0"/>
        <w:snapToGrid w:val="0"/>
        <w:spacing w:line="360" w:lineRule="auto"/>
        <w:jc w:val="center"/>
        <w:outlineLvl w:val="1"/>
        <w:rPr>
          <w:rFonts w:ascii="宋体" w:hAnsi="宋体"/>
          <w:b/>
          <w:color w:val="auto"/>
          <w:sz w:val="28"/>
          <w:szCs w:val="28"/>
          <w:highlight w:val="none"/>
        </w:rPr>
      </w:pPr>
      <w:r>
        <w:rPr>
          <w:rFonts w:ascii="宋体" w:hAnsi="宋体"/>
          <w:b/>
          <w:color w:val="auto"/>
          <w:szCs w:val="21"/>
          <w:highlight w:val="none"/>
        </w:rPr>
        <w:br w:type="page"/>
      </w:r>
      <w:bookmarkStart w:id="82" w:name="_Toc171282396"/>
      <w:bookmarkStart w:id="83" w:name="_Toc12303"/>
      <w:bookmarkStart w:id="84" w:name="_Toc111543549"/>
      <w:bookmarkStart w:id="85" w:name="_Toc99299717"/>
      <w:bookmarkStart w:id="86" w:name="_Toc109656569"/>
      <w:bookmarkStart w:id="87" w:name="_Toc8645"/>
      <w:bookmarkStart w:id="88" w:name="_Toc17295"/>
      <w:bookmarkStart w:id="89" w:name="_Toc193053697"/>
      <w:bookmarkStart w:id="90" w:name="_Toc189905353"/>
      <w:bookmarkStart w:id="91" w:name="_Toc166778327"/>
      <w:bookmarkStart w:id="92" w:name="_Toc3177"/>
      <w:bookmarkStart w:id="93" w:name="_Toc16817"/>
      <w:bookmarkStart w:id="94" w:name="_Toc79093663"/>
      <w:bookmarkStart w:id="95" w:name="_Toc16047"/>
      <w:bookmarkStart w:id="96" w:name="_Toc103979570"/>
      <w:bookmarkStart w:id="97" w:name="_Toc3570"/>
      <w:bookmarkStart w:id="98" w:name="_Toc25043"/>
      <w:bookmarkStart w:id="99" w:name="_Toc26844"/>
      <w:bookmarkStart w:id="100" w:name="_Toc118209419"/>
      <w:bookmarkStart w:id="101" w:name="_Toc15315"/>
      <w:bookmarkStart w:id="102" w:name="_Toc108483387"/>
      <w:bookmarkStart w:id="103" w:name="_Toc30285"/>
      <w:bookmarkStart w:id="104" w:name="_Toc4087"/>
      <w:bookmarkStart w:id="105" w:name="_Toc20645"/>
      <w:bookmarkStart w:id="106" w:name="_Toc113350928"/>
      <w:bookmarkStart w:id="107" w:name="_Toc32086"/>
      <w:bookmarkStart w:id="108" w:name="_Toc17307"/>
      <w:bookmarkStart w:id="109" w:name="_Toc19141"/>
      <w:bookmarkStart w:id="110" w:name="_Toc137408709"/>
      <w:bookmarkStart w:id="111" w:name="_Toc140957862"/>
      <w:bookmarkStart w:id="112" w:name="_Toc5750"/>
      <w:r>
        <w:rPr>
          <w:rFonts w:hint="eastAsia" w:ascii="宋体" w:hAnsi="宋体"/>
          <w:b/>
          <w:color w:val="auto"/>
          <w:sz w:val="28"/>
          <w:szCs w:val="28"/>
          <w:highlight w:val="none"/>
        </w:rPr>
        <w:t>第二节</w:t>
      </w:r>
      <w:r>
        <w:rPr>
          <w:rFonts w:hint="eastAsia" w:ascii="宋体" w:hAnsi="宋体"/>
          <w:b/>
          <w:color w:val="auto"/>
          <w:szCs w:val="21"/>
          <w:highlight w:val="none"/>
        </w:rPr>
        <w:t xml:space="preserve">  </w:t>
      </w:r>
      <w:r>
        <w:rPr>
          <w:rFonts w:hint="eastAsia" w:ascii="宋体" w:hAnsi="宋体"/>
          <w:b/>
          <w:color w:val="auto"/>
          <w:sz w:val="28"/>
          <w:szCs w:val="28"/>
          <w:highlight w:val="none"/>
        </w:rPr>
        <w:t>投标须知正文</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2008BE8D">
      <w:pPr>
        <w:pStyle w:val="4"/>
        <w:adjustRightInd w:val="0"/>
        <w:snapToGrid w:val="0"/>
        <w:spacing w:beforeLines="50" w:after="0" w:line="360" w:lineRule="auto"/>
        <w:jc w:val="center"/>
        <w:rPr>
          <w:rFonts w:ascii="宋体" w:hAnsi="宋体"/>
          <w:b w:val="0"/>
          <w:color w:val="auto"/>
          <w:sz w:val="28"/>
          <w:szCs w:val="28"/>
          <w:highlight w:val="none"/>
        </w:rPr>
      </w:pPr>
      <w:bookmarkStart w:id="113" w:name="_Toc103979571"/>
      <w:bookmarkStart w:id="114" w:name="_Toc8971"/>
      <w:bookmarkStart w:id="115" w:name="_Toc113350929"/>
      <w:bookmarkStart w:id="116" w:name="_Toc111543550"/>
      <w:bookmarkStart w:id="117" w:name="_Toc12651"/>
      <w:bookmarkStart w:id="118" w:name="_Toc18324"/>
      <w:bookmarkStart w:id="119" w:name="_Toc17365"/>
      <w:bookmarkStart w:id="120" w:name="_Toc29807"/>
      <w:bookmarkStart w:id="121" w:name="_Toc109656570"/>
      <w:bookmarkStart w:id="122" w:name="_Toc189905354"/>
      <w:bookmarkStart w:id="123" w:name="_Toc79093664"/>
      <w:bookmarkStart w:id="124" w:name="_Toc140957863"/>
      <w:bookmarkStart w:id="125" w:name="_Toc118209420"/>
      <w:bookmarkStart w:id="126" w:name="_Toc108483388"/>
      <w:bookmarkStart w:id="127" w:name="_Toc24581"/>
      <w:bookmarkStart w:id="128" w:name="_Toc27345"/>
      <w:bookmarkStart w:id="129" w:name="_Toc137408710"/>
      <w:bookmarkStart w:id="130" w:name="_Toc11276"/>
      <w:bookmarkStart w:id="131" w:name="_Toc24119"/>
      <w:bookmarkStart w:id="132" w:name="_Toc27189"/>
      <w:bookmarkStart w:id="133" w:name="_Toc171282397"/>
      <w:bookmarkStart w:id="134" w:name="_Toc31006"/>
      <w:bookmarkStart w:id="135" w:name="_Toc17859"/>
      <w:bookmarkStart w:id="136" w:name="_Toc22387"/>
      <w:bookmarkStart w:id="137" w:name="_Toc23149"/>
      <w:bookmarkStart w:id="138" w:name="_Toc193053698"/>
      <w:bookmarkStart w:id="139" w:name="_Toc16109"/>
      <w:bookmarkStart w:id="140" w:name="_Toc99299718"/>
      <w:bookmarkStart w:id="141" w:name="_Toc18147"/>
      <w:bookmarkStart w:id="142" w:name="_Toc166778328"/>
      <w:bookmarkStart w:id="143" w:name="_Toc15857"/>
      <w:bookmarkStart w:id="144" w:name="_Toc21339"/>
      <w:r>
        <w:rPr>
          <w:rFonts w:hint="eastAsia" w:ascii="宋体" w:hAnsi="宋体"/>
          <w:color w:val="auto"/>
          <w:sz w:val="28"/>
          <w:szCs w:val="28"/>
          <w:highlight w:val="none"/>
        </w:rPr>
        <w:t>一、总则</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0797EBFE">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 适用范围</w:t>
      </w:r>
    </w:p>
    <w:p w14:paraId="5764938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1.1本招标文件仅适用于本章第一节</w:t>
      </w:r>
      <w:r>
        <w:rPr>
          <w:rFonts w:hint="eastAsia" w:ascii="宋体" w:hAnsi="宋体"/>
          <w:b/>
          <w:bCs/>
          <w:color w:val="auto"/>
          <w:szCs w:val="21"/>
          <w:highlight w:val="none"/>
        </w:rPr>
        <w:t>【投标须知前附表】</w:t>
      </w:r>
      <w:r>
        <w:rPr>
          <w:rFonts w:hint="eastAsia" w:ascii="宋体" w:hAnsi="宋体"/>
          <w:color w:val="auto"/>
          <w:szCs w:val="21"/>
          <w:highlight w:val="none"/>
        </w:rPr>
        <w:t>中所叙述的采购项目。</w:t>
      </w:r>
    </w:p>
    <w:p w14:paraId="1EC9D347">
      <w:pPr>
        <w:adjustRightInd w:val="0"/>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1.2</w:t>
      </w:r>
      <w:r>
        <w:rPr>
          <w:rFonts w:hint="eastAsia" w:ascii="宋体" w:hAnsi="宋体"/>
          <w:b/>
          <w:color w:val="auto"/>
          <w:szCs w:val="21"/>
          <w:highlight w:val="none"/>
        </w:rPr>
        <w:t>【投标须知前附表】</w:t>
      </w:r>
      <w:r>
        <w:rPr>
          <w:rFonts w:hint="eastAsia" w:ascii="宋体" w:hAnsi="宋体"/>
          <w:color w:val="auto"/>
          <w:szCs w:val="21"/>
          <w:highlight w:val="none"/>
        </w:rPr>
        <w:t>规定采购项目或者采购包属于“预留采购份额”的，投标人应当符合本章第33.7款规定，否则，其</w:t>
      </w:r>
      <w:r>
        <w:rPr>
          <w:rFonts w:hint="eastAsia" w:ascii="宋体" w:hAnsi="宋体"/>
          <w:b/>
          <w:color w:val="auto"/>
          <w:szCs w:val="21"/>
          <w:highlight w:val="none"/>
        </w:rPr>
        <w:t>投标无效</w:t>
      </w:r>
      <w:r>
        <w:rPr>
          <w:rFonts w:hint="eastAsia" w:ascii="宋体" w:hAnsi="宋体"/>
          <w:color w:val="auto"/>
          <w:szCs w:val="21"/>
          <w:highlight w:val="none"/>
        </w:rPr>
        <w:t>。</w:t>
      </w:r>
    </w:p>
    <w:p w14:paraId="3E16F6E1">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 定义</w:t>
      </w:r>
    </w:p>
    <w:p w14:paraId="556753B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2.1采购项目联系人姓名和电话见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177BC10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2.2采购人名称、地址、电话、联系人见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18F60DC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2.3采购代理机构名称、地址、电话、联系人见</w:t>
      </w:r>
      <w:r>
        <w:rPr>
          <w:rFonts w:hint="eastAsia" w:ascii="宋体" w:hAnsi="宋体"/>
          <w:b/>
          <w:color w:val="auto"/>
          <w:szCs w:val="21"/>
          <w:highlight w:val="none"/>
        </w:rPr>
        <w:t>【投标须知前附表】。</w:t>
      </w:r>
    </w:p>
    <w:p w14:paraId="7ABBA5B6">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olor w:val="auto"/>
          <w:szCs w:val="21"/>
          <w:highlight w:val="none"/>
        </w:rPr>
        <w:t>2.4投标人系指响应招标、参加投标竞争的法人、其他组织或自然人。</w:t>
      </w:r>
    </w:p>
    <w:p w14:paraId="41C657B0">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3. 投标人的资格要求</w:t>
      </w:r>
    </w:p>
    <w:p w14:paraId="050C484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3.1投标人应当符合</w:t>
      </w:r>
      <w:r>
        <w:rPr>
          <w:rFonts w:hint="eastAsia" w:ascii="宋体" w:hAnsi="宋体"/>
          <w:b/>
          <w:color w:val="auto"/>
          <w:szCs w:val="21"/>
          <w:highlight w:val="none"/>
        </w:rPr>
        <w:t>【投标须知前附表】</w:t>
      </w:r>
      <w:r>
        <w:rPr>
          <w:rFonts w:hint="eastAsia" w:ascii="宋体" w:hAnsi="宋体"/>
          <w:color w:val="auto"/>
          <w:szCs w:val="21"/>
          <w:highlight w:val="none"/>
        </w:rPr>
        <w:t>规定的投标人资格条件。</w:t>
      </w:r>
    </w:p>
    <w:p w14:paraId="712755C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3.2</w:t>
      </w:r>
      <w:r>
        <w:rPr>
          <w:rFonts w:hint="eastAsia" w:ascii="宋体" w:hAnsi="宋体"/>
          <w:b/>
          <w:color w:val="auto"/>
          <w:szCs w:val="21"/>
          <w:highlight w:val="none"/>
        </w:rPr>
        <w:t>【投标须知前附表】</w:t>
      </w:r>
      <w:r>
        <w:rPr>
          <w:rFonts w:hint="eastAsia" w:ascii="宋体" w:hAnsi="宋体"/>
          <w:color w:val="auto"/>
          <w:szCs w:val="21"/>
          <w:highlight w:val="none"/>
        </w:rPr>
        <w:t>规定接受联合体形式投标的，投标人除应符合本章第3.1</w:t>
      </w:r>
      <w:r>
        <w:rPr>
          <w:rFonts w:hint="eastAsia" w:ascii="宋体" w:hAnsi="宋体" w:cs="宋体"/>
          <w:color w:val="auto"/>
          <w:kern w:val="0"/>
          <w:szCs w:val="21"/>
          <w:highlight w:val="none"/>
          <w:lang w:val="zh-CN"/>
        </w:rPr>
        <w:t>款</w:t>
      </w:r>
      <w:r>
        <w:rPr>
          <w:rFonts w:hint="eastAsia" w:ascii="宋体" w:hAnsi="宋体"/>
          <w:color w:val="auto"/>
          <w:szCs w:val="21"/>
          <w:highlight w:val="none"/>
        </w:rPr>
        <w:t xml:space="preserve">规定外，还应遵守以下规定： </w:t>
      </w:r>
    </w:p>
    <w:p w14:paraId="32D5670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（l）联合体中有同类资质的供应商按照联合体分工承担相同工作的，应当按照资质等级较低的供应商确定资质等级。</w:t>
      </w:r>
    </w:p>
    <w:p w14:paraId="150A502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（2）联合体各方应按招标文件提供的格式签订联合体协议书，明确联合体牵头人和各方的权利义务、合同工作量比例；</w:t>
      </w:r>
    </w:p>
    <w:p w14:paraId="5265E0EF">
      <w:pPr>
        <w:adjustRightInd w:val="0"/>
        <w:snapToGrid w:val="0"/>
        <w:spacing w:line="360" w:lineRule="auto"/>
        <w:ind w:firstLine="420" w:firstLineChars="200"/>
        <w:rPr>
          <w:rFonts w:ascii="宋体" w:hAnsi="宋体" w:cs="宋体"/>
          <w:color w:val="auto"/>
          <w:kern w:val="0"/>
          <w:szCs w:val="21"/>
          <w:highlight w:val="none"/>
          <w:lang w:val="zh-CN"/>
        </w:rPr>
      </w:pPr>
      <w:r>
        <w:rPr>
          <w:rFonts w:hint="eastAsia" w:ascii="宋体" w:hAnsi="宋体"/>
          <w:color w:val="auto"/>
          <w:szCs w:val="21"/>
          <w:highlight w:val="none"/>
        </w:rPr>
        <w:t>（3）联合体各方签订联合体协议书后，</w:t>
      </w:r>
      <w:r>
        <w:rPr>
          <w:rFonts w:hint="eastAsia" w:ascii="宋体" w:hAnsi="宋体" w:cs="宋体"/>
          <w:color w:val="auto"/>
          <w:kern w:val="0"/>
          <w:szCs w:val="21"/>
          <w:highlight w:val="none"/>
          <w:lang w:val="zh-CN"/>
        </w:rPr>
        <w:t>不得再单独参加或者与其他投标人组成新的联合体参加</w:t>
      </w:r>
      <w:r>
        <w:rPr>
          <w:rFonts w:hint="eastAsia" w:ascii="宋体" w:hAnsi="宋体" w:cs="宋体"/>
          <w:color w:val="auto"/>
          <w:kern w:val="0"/>
          <w:szCs w:val="21"/>
          <w:highlight w:val="none"/>
        </w:rPr>
        <w:t>本项目</w:t>
      </w:r>
      <w:r>
        <w:rPr>
          <w:rFonts w:hint="eastAsia" w:ascii="宋体" w:hAnsi="宋体" w:cs="宋体"/>
          <w:color w:val="auto"/>
          <w:kern w:val="0"/>
          <w:szCs w:val="21"/>
          <w:highlight w:val="none"/>
          <w:lang w:val="zh-CN"/>
        </w:rPr>
        <w:t>同一合同项下的采购活动。</w:t>
      </w:r>
    </w:p>
    <w:p w14:paraId="080098FD">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 xml:space="preserve">4. 投标费用 </w:t>
      </w:r>
    </w:p>
    <w:p w14:paraId="180CCB8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4.1投标人应自行承担所有参与投标的相关费用，不论投标的结果如何，采购人、采购代理机构均无义务和责任承担这些费用。</w:t>
      </w:r>
    </w:p>
    <w:p w14:paraId="0DC0371B">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5．组织现场考察或者召开答疑会</w:t>
      </w:r>
    </w:p>
    <w:p w14:paraId="67608BA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highlight w:val="none"/>
        </w:rPr>
        <w:t>5.1采购人、采购代理机构可以在</w:t>
      </w:r>
      <w:r>
        <w:rPr>
          <w:rFonts w:hint="eastAsia" w:ascii="宋体" w:hAnsi="宋体"/>
          <w:b/>
          <w:color w:val="auto"/>
          <w:szCs w:val="21"/>
          <w:highlight w:val="none"/>
        </w:rPr>
        <w:t>【投标须知前附表】</w:t>
      </w:r>
      <w:r>
        <w:rPr>
          <w:rFonts w:hint="eastAsia" w:ascii="宋体" w:hAnsi="宋体"/>
          <w:color w:val="auto"/>
          <w:szCs w:val="21"/>
          <w:highlight w:val="none"/>
        </w:rPr>
        <w:t>规定的招标文件提供期限截止后，组织已获取招标文件的潜在投标人现场考察或者召开开标前答疑会。</w:t>
      </w:r>
    </w:p>
    <w:p w14:paraId="4D987FE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5.2获取招标文件的潜在投标人应按</w:t>
      </w:r>
      <w:r>
        <w:rPr>
          <w:rFonts w:hint="eastAsia" w:ascii="宋体" w:hAnsi="宋体"/>
          <w:b/>
          <w:color w:val="auto"/>
          <w:szCs w:val="21"/>
          <w:highlight w:val="none"/>
        </w:rPr>
        <w:t>【投标须知前附表】</w:t>
      </w:r>
      <w:r>
        <w:rPr>
          <w:rFonts w:hint="eastAsia" w:ascii="宋体" w:hAnsi="宋体"/>
          <w:color w:val="auto"/>
          <w:szCs w:val="21"/>
          <w:highlight w:val="none"/>
        </w:rPr>
        <w:t>规定参加现场考察或者答疑会；如不参加，其风险由其自行承担。</w:t>
      </w:r>
    </w:p>
    <w:p w14:paraId="226ADE5F">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5.3潜在投标人现场考察或者参加答疑会的费用由自己承担，现场考察期间所发生的人身伤害及财产损失由自己负责。</w:t>
      </w:r>
    </w:p>
    <w:p w14:paraId="5AC22BBC">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5.4采购人、采购代理机构不对投标人据此而做出的推论、理解和结论负责。投标人一旦中标，不得以任何借口，提出额外补偿，或延长合同期限的要求。</w:t>
      </w:r>
    </w:p>
    <w:p w14:paraId="4CEB604C">
      <w:pPr>
        <w:pStyle w:val="4"/>
        <w:adjustRightInd w:val="0"/>
        <w:snapToGrid w:val="0"/>
        <w:spacing w:beforeLines="50" w:after="0" w:line="360" w:lineRule="auto"/>
        <w:jc w:val="center"/>
        <w:rPr>
          <w:rFonts w:ascii="宋体" w:hAnsi="宋体"/>
          <w:color w:val="auto"/>
          <w:sz w:val="28"/>
          <w:szCs w:val="28"/>
          <w:highlight w:val="none"/>
        </w:rPr>
      </w:pPr>
      <w:bookmarkStart w:id="145" w:name="_Toc5040"/>
      <w:bookmarkStart w:id="146" w:name="_Toc19862"/>
      <w:bookmarkStart w:id="147" w:name="_Toc166778329"/>
      <w:bookmarkStart w:id="148" w:name="_Toc19393"/>
      <w:bookmarkStart w:id="149" w:name="_Toc13544"/>
      <w:bookmarkStart w:id="150" w:name="_Toc140957864"/>
      <w:bookmarkStart w:id="151" w:name="_Toc109656571"/>
      <w:bookmarkStart w:id="152" w:name="_Toc28175"/>
      <w:bookmarkStart w:id="153" w:name="_Toc30132"/>
      <w:bookmarkStart w:id="154" w:name="_Toc6332"/>
      <w:bookmarkStart w:id="155" w:name="_Toc118209421"/>
      <w:bookmarkStart w:id="156" w:name="_Toc17485"/>
      <w:bookmarkStart w:id="157" w:name="_Toc113350930"/>
      <w:bookmarkStart w:id="158" w:name="_Toc108483389"/>
      <w:bookmarkStart w:id="159" w:name="_Toc18927"/>
      <w:bookmarkStart w:id="160" w:name="_Toc11362"/>
      <w:bookmarkStart w:id="161" w:name="_Toc111543551"/>
      <w:bookmarkStart w:id="162" w:name="_Toc18334"/>
      <w:bookmarkStart w:id="163" w:name="_Toc2311"/>
      <w:bookmarkStart w:id="164" w:name="_Toc99299719"/>
      <w:bookmarkStart w:id="165" w:name="_Toc171282398"/>
      <w:bookmarkStart w:id="166" w:name="_Toc79093665"/>
      <w:bookmarkStart w:id="167" w:name="_Toc189905355"/>
      <w:bookmarkStart w:id="168" w:name="_Toc23082"/>
      <w:bookmarkStart w:id="169" w:name="_Toc1478"/>
      <w:bookmarkStart w:id="170" w:name="_Toc23553"/>
      <w:bookmarkStart w:id="171" w:name="_Toc17036"/>
      <w:bookmarkStart w:id="172" w:name="_Toc137408711"/>
      <w:bookmarkStart w:id="173" w:name="_Toc103979572"/>
      <w:bookmarkStart w:id="174" w:name="_Toc193053699"/>
      <w:bookmarkStart w:id="175" w:name="_Toc15651"/>
      <w:bookmarkStart w:id="176" w:name="_Toc24830"/>
      <w:r>
        <w:rPr>
          <w:rFonts w:hint="eastAsia" w:ascii="宋体" w:hAnsi="宋体"/>
          <w:color w:val="auto"/>
          <w:sz w:val="28"/>
          <w:szCs w:val="28"/>
          <w:highlight w:val="none"/>
        </w:rPr>
        <w:t>二、招标文件</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0E4F51E8">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6. 招标文件的构成</w:t>
      </w:r>
    </w:p>
    <w:p w14:paraId="1A66C9D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6.1 招标文件共七章，各章内容如下：</w:t>
      </w:r>
    </w:p>
    <w:p w14:paraId="49D1A57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第一章 投标邀请</w:t>
      </w:r>
    </w:p>
    <w:p w14:paraId="723CE76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第二章 投标须知</w:t>
      </w:r>
    </w:p>
    <w:p w14:paraId="3571E8B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第三章 资格审查</w:t>
      </w:r>
    </w:p>
    <w:p w14:paraId="0EB801F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第四章 评标方法及标准</w:t>
      </w:r>
    </w:p>
    <w:p w14:paraId="7D32F1B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第五章 采购需求</w:t>
      </w:r>
    </w:p>
    <w:p w14:paraId="05C9FCE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第六章 政府采购合同</w:t>
      </w:r>
    </w:p>
    <w:p w14:paraId="14D0060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第七章 投标文件的组成</w:t>
      </w:r>
    </w:p>
    <w:p w14:paraId="4EB2A784">
      <w:pPr>
        <w:adjustRightInd w:val="0"/>
        <w:snapToGrid w:val="0"/>
        <w:spacing w:line="360" w:lineRule="auto"/>
        <w:ind w:firstLine="420" w:firstLineChars="200"/>
        <w:rPr>
          <w:rFonts w:ascii="宋体" w:hAnsi="宋体" w:cs="宋体"/>
          <w:b/>
          <w:color w:val="auto"/>
          <w:szCs w:val="21"/>
          <w:highlight w:val="none"/>
        </w:rPr>
      </w:pPr>
      <w:r>
        <w:rPr>
          <w:rFonts w:hint="eastAsia" w:ascii="宋体" w:hAnsi="宋体"/>
          <w:color w:val="auto"/>
          <w:szCs w:val="21"/>
          <w:highlight w:val="none"/>
        </w:rPr>
        <w:t>6.2采购人、采购代理机构在提交投标文件截止时间前</w:t>
      </w:r>
      <w:r>
        <w:rPr>
          <w:rFonts w:hint="eastAsia" w:ascii="宋体" w:hAnsi="宋体" w:cs="宋体"/>
          <w:color w:val="auto"/>
          <w:szCs w:val="21"/>
          <w:highlight w:val="none"/>
        </w:rPr>
        <w:t>对招标文件所作的澄清或者修改，构成招标文件的组成部分。</w:t>
      </w:r>
    </w:p>
    <w:p w14:paraId="1E7695D5">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7．偏离与实质性响应</w:t>
      </w:r>
    </w:p>
    <w:p w14:paraId="04BE9FD2">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7.1投标人应当按照招标文件的要求编制投标文件。投标文件应当对招标文件提出的要求和条件作出明确响应。</w:t>
      </w:r>
    </w:p>
    <w:p w14:paraId="43B9988A">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7.2偏离是指投标文件不响应或者不满足招标文件提出的要求和条件，分为实质性偏离和非实质性偏离。</w:t>
      </w:r>
    </w:p>
    <w:p w14:paraId="009C9BD7">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7.3除法律、法规和招标文件规定的其他投标无效情形外，招标文件中用“★”符号标明的条款为实质性要求和条件，对其中任何一条的偏离，为实质性偏离，其</w:t>
      </w:r>
      <w:r>
        <w:rPr>
          <w:rFonts w:hint="eastAsia" w:ascii="宋体" w:hAnsi="宋体"/>
          <w:b/>
          <w:color w:val="auto"/>
          <w:highlight w:val="none"/>
        </w:rPr>
        <w:t>投标无效</w:t>
      </w:r>
      <w:r>
        <w:rPr>
          <w:rFonts w:hint="eastAsia" w:ascii="宋体" w:hAnsi="宋体"/>
          <w:color w:val="auto"/>
          <w:highlight w:val="none"/>
        </w:rPr>
        <w:t>。</w:t>
      </w:r>
    </w:p>
    <w:p w14:paraId="07A51A68">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7.4投标</w:t>
      </w:r>
      <w:r>
        <w:rPr>
          <w:rFonts w:hint="eastAsia" w:ascii="宋体" w:hAnsi="宋体"/>
          <w:color w:val="auto"/>
          <w:szCs w:val="21"/>
          <w:highlight w:val="none"/>
        </w:rPr>
        <w:t>文件偏离招标文件的非实质性要求和条件，为非实质性偏离。非实质性偏离的范围和幅度应当符合</w:t>
      </w:r>
      <w:r>
        <w:rPr>
          <w:rFonts w:hint="eastAsia" w:ascii="宋体" w:hAnsi="宋体"/>
          <w:b/>
          <w:color w:val="auto"/>
          <w:szCs w:val="21"/>
          <w:highlight w:val="none"/>
        </w:rPr>
        <w:t>【投标须知前附表】</w:t>
      </w:r>
      <w:r>
        <w:rPr>
          <w:rFonts w:hint="eastAsia" w:ascii="宋体" w:hAnsi="宋体"/>
          <w:color w:val="auto"/>
          <w:szCs w:val="21"/>
          <w:highlight w:val="none"/>
        </w:rPr>
        <w:t>的规定，</w:t>
      </w:r>
      <w:r>
        <w:rPr>
          <w:rFonts w:hint="eastAsia" w:ascii="宋体" w:hAnsi="宋体"/>
          <w:b/>
          <w:color w:val="auto"/>
          <w:szCs w:val="21"/>
          <w:highlight w:val="none"/>
        </w:rPr>
        <w:t>否则</w:t>
      </w:r>
      <w:r>
        <w:rPr>
          <w:rFonts w:hint="eastAsia" w:ascii="宋体" w:hAnsi="宋体"/>
          <w:b/>
          <w:color w:val="auto"/>
          <w:highlight w:val="none"/>
        </w:rPr>
        <w:t>投标无效</w:t>
      </w:r>
      <w:r>
        <w:rPr>
          <w:rFonts w:hint="eastAsia" w:ascii="宋体" w:hAnsi="宋体"/>
          <w:color w:val="auto"/>
          <w:highlight w:val="none"/>
        </w:rPr>
        <w:t>。</w:t>
      </w:r>
    </w:p>
    <w:p w14:paraId="1CC9C671">
      <w:pPr>
        <w:adjustRightInd w:val="0"/>
        <w:snapToGrid w:val="0"/>
        <w:spacing w:line="360" w:lineRule="auto"/>
        <w:rPr>
          <w:rFonts w:ascii="宋体" w:hAnsi="宋体"/>
          <w:b/>
          <w:bCs/>
          <w:color w:val="auto"/>
          <w:sz w:val="24"/>
          <w:highlight w:val="none"/>
        </w:rPr>
      </w:pPr>
      <w:r>
        <w:rPr>
          <w:rFonts w:hint="eastAsia" w:ascii="宋体" w:hAnsi="宋体"/>
          <w:b/>
          <w:color w:val="auto"/>
          <w:sz w:val="24"/>
          <w:highlight w:val="none"/>
        </w:rPr>
        <w:t>8. 询问</w:t>
      </w:r>
    </w:p>
    <w:p w14:paraId="5A0628C4">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8.1潜在投标人应仔细阅读和检查招标文件的全部内容。如有疑问，可以向采购人或者采购代理机构提出询问。</w:t>
      </w:r>
    </w:p>
    <w:p w14:paraId="77E8F461">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9. 招标文件的澄清或者修改</w:t>
      </w:r>
    </w:p>
    <w:p w14:paraId="79B7A26D">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9.1采购人、采购代理机构对已发出的招标文件进行必要澄清或者修改的，将在</w:t>
      </w:r>
      <w:r>
        <w:rPr>
          <w:rFonts w:hint="eastAsia" w:ascii="宋体" w:hAnsi="宋体"/>
          <w:b/>
          <w:color w:val="auto"/>
          <w:szCs w:val="21"/>
          <w:highlight w:val="none"/>
        </w:rPr>
        <w:t>【投标须知前附表】</w:t>
      </w:r>
      <w:r>
        <w:rPr>
          <w:rFonts w:hint="eastAsia" w:ascii="宋体" w:hAnsi="宋体"/>
          <w:color w:val="auto"/>
          <w:szCs w:val="21"/>
          <w:highlight w:val="none"/>
        </w:rPr>
        <w:t>规定的</w:t>
      </w:r>
      <w:r>
        <w:rPr>
          <w:rFonts w:hint="eastAsia" w:ascii="宋体" w:hAnsi="宋体"/>
          <w:color w:val="auto"/>
          <w:highlight w:val="none"/>
        </w:rPr>
        <w:t>招标公告指定媒体上发布澄清或者修改公告。</w:t>
      </w:r>
    </w:p>
    <w:p w14:paraId="24BD2B4F">
      <w:pPr>
        <w:adjustRightInd w:val="0"/>
        <w:snapToGrid w:val="0"/>
        <w:spacing w:line="360" w:lineRule="auto"/>
        <w:ind w:firstLine="420" w:firstLineChars="200"/>
        <w:rPr>
          <w:rFonts w:ascii="宋体" w:hAnsi="宋体"/>
          <w:color w:val="auto"/>
          <w:highlight w:val="none"/>
        </w:rPr>
      </w:pPr>
      <w:r>
        <w:rPr>
          <w:rFonts w:hint="eastAsia" w:ascii="宋体" w:hAnsi="宋体" w:cs="宋体"/>
          <w:color w:val="auto"/>
          <w:kern w:val="0"/>
          <w:szCs w:val="21"/>
          <w:highlight w:val="none"/>
        </w:rPr>
        <w:t>9.2澄清或者修改</w:t>
      </w:r>
      <w:r>
        <w:rPr>
          <w:rFonts w:hint="eastAsia" w:ascii="宋体" w:hAnsi="宋体"/>
          <w:color w:val="auto"/>
          <w:highlight w:val="none"/>
        </w:rPr>
        <w:t>的</w:t>
      </w:r>
      <w:r>
        <w:rPr>
          <w:rFonts w:hint="eastAsia" w:ascii="宋体" w:hAnsi="宋体" w:cs="宋体"/>
          <w:color w:val="auto"/>
          <w:kern w:val="0"/>
          <w:szCs w:val="21"/>
          <w:highlight w:val="none"/>
        </w:rPr>
        <w:t>内容可能影响投标文件编制的，采购人、采购代理机构</w:t>
      </w:r>
      <w:r>
        <w:rPr>
          <w:rFonts w:hint="eastAsia" w:ascii="宋体" w:hAnsi="宋体"/>
          <w:color w:val="auto"/>
          <w:highlight w:val="none"/>
        </w:rPr>
        <w:t>将</w:t>
      </w:r>
      <w:r>
        <w:rPr>
          <w:rFonts w:hint="eastAsia" w:ascii="宋体" w:hAnsi="宋体" w:cs="宋体"/>
          <w:color w:val="auto"/>
          <w:kern w:val="0"/>
          <w:szCs w:val="21"/>
          <w:highlight w:val="none"/>
        </w:rPr>
        <w:t>在提交投标文件截止时间15日前，</w:t>
      </w:r>
      <w:r>
        <w:rPr>
          <w:rFonts w:hint="eastAsia" w:ascii="宋体" w:hAnsi="宋体"/>
          <w:color w:val="auto"/>
          <w:highlight w:val="none"/>
        </w:rPr>
        <w:t>在指定媒体上发布公告通知潜在投标人；不足15日的，将相应延长提交投标文件的截止时间。</w:t>
      </w:r>
    </w:p>
    <w:p w14:paraId="4788CEF9">
      <w:pPr>
        <w:adjustRightInd w:val="0"/>
        <w:snapToGrid w:val="0"/>
        <w:spacing w:line="360" w:lineRule="auto"/>
        <w:ind w:firstLine="420" w:firstLineChars="200"/>
        <w:rPr>
          <w:rFonts w:ascii="宋体" w:hAnsi="宋体"/>
          <w:color w:val="auto"/>
          <w:highlight w:val="none"/>
        </w:rPr>
      </w:pPr>
      <w:r>
        <w:rPr>
          <w:rFonts w:ascii="宋体" w:hAnsi="宋体"/>
          <w:color w:val="auto"/>
          <w:highlight w:val="none"/>
        </w:rPr>
        <w:t>9.3</w:t>
      </w:r>
      <w:r>
        <w:rPr>
          <w:rFonts w:hint="eastAsia" w:ascii="宋体" w:hAnsi="宋体"/>
          <w:color w:val="auto"/>
          <w:highlight w:val="none"/>
        </w:rPr>
        <w:t>招标文件的提供期限届满后，获取招标文件的潜在投标人不足3家的，可以顺延提供期限，并在</w:t>
      </w:r>
      <w:r>
        <w:rPr>
          <w:rFonts w:hint="eastAsia" w:ascii="宋体" w:hAnsi="宋体"/>
          <w:bCs/>
          <w:color w:val="auto"/>
          <w:szCs w:val="21"/>
          <w:highlight w:val="none"/>
        </w:rPr>
        <w:t>指定</w:t>
      </w:r>
      <w:r>
        <w:rPr>
          <w:rFonts w:hint="eastAsia" w:ascii="宋体" w:hAnsi="宋体"/>
          <w:color w:val="auto"/>
          <w:highlight w:val="none"/>
        </w:rPr>
        <w:t>媒体上发布修改公告。</w:t>
      </w:r>
    </w:p>
    <w:p w14:paraId="7525B0F5">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9.4 通过电子招标投标交易平台下载招标文件的，请获取招标文件的潜在投标人及时关注</w:t>
      </w:r>
      <w:r>
        <w:rPr>
          <w:rFonts w:hint="eastAsia" w:ascii="宋体" w:hAnsi="宋体"/>
          <w:color w:val="auto"/>
          <w:szCs w:val="21"/>
          <w:highlight w:val="none"/>
        </w:rPr>
        <w:t>招标公告指定媒体</w:t>
      </w:r>
      <w:r>
        <w:rPr>
          <w:rFonts w:hint="eastAsia" w:ascii="宋体" w:hAnsi="宋体"/>
          <w:color w:val="auto"/>
          <w:highlight w:val="none"/>
        </w:rPr>
        <w:t>发布的澄清或者修改公告，采购人、采购代理机构不再书面通知。</w:t>
      </w:r>
    </w:p>
    <w:p w14:paraId="37113E7A">
      <w:pPr>
        <w:pStyle w:val="4"/>
        <w:adjustRightInd w:val="0"/>
        <w:snapToGrid w:val="0"/>
        <w:spacing w:beforeLines="50" w:after="0" w:line="360" w:lineRule="auto"/>
        <w:jc w:val="center"/>
        <w:rPr>
          <w:rFonts w:ascii="宋体" w:hAnsi="宋体"/>
          <w:color w:val="auto"/>
          <w:sz w:val="28"/>
          <w:szCs w:val="28"/>
          <w:highlight w:val="none"/>
        </w:rPr>
      </w:pPr>
      <w:bookmarkStart w:id="177" w:name="_Toc1130"/>
      <w:bookmarkStart w:id="178" w:name="_Toc113350931"/>
      <w:bookmarkStart w:id="179" w:name="_Toc137408712"/>
      <w:bookmarkStart w:id="180" w:name="_Toc16599"/>
      <w:bookmarkStart w:id="181" w:name="_Toc30967"/>
      <w:bookmarkStart w:id="182" w:name="_Toc109656572"/>
      <w:bookmarkStart w:id="183" w:name="_Toc5692"/>
      <w:bookmarkStart w:id="184" w:name="_Toc7141"/>
      <w:bookmarkStart w:id="185" w:name="_Toc1798"/>
      <w:bookmarkStart w:id="186" w:name="_Toc9035"/>
      <w:bookmarkStart w:id="187" w:name="_Toc140957865"/>
      <w:bookmarkStart w:id="188" w:name="_Toc1049"/>
      <w:bookmarkStart w:id="189" w:name="_Toc20455"/>
      <w:bookmarkStart w:id="190" w:name="_Toc111543552"/>
      <w:bookmarkStart w:id="191" w:name="_Toc118209422"/>
      <w:bookmarkStart w:id="192" w:name="_Toc79093666"/>
      <w:bookmarkStart w:id="193" w:name="_Toc2102"/>
      <w:bookmarkStart w:id="194" w:name="_Toc189905356"/>
      <w:bookmarkStart w:id="195" w:name="_Toc8227"/>
      <w:bookmarkStart w:id="196" w:name="_Toc103979573"/>
      <w:bookmarkStart w:id="197" w:name="_Toc193053700"/>
      <w:bookmarkStart w:id="198" w:name="_Toc171282399"/>
      <w:bookmarkStart w:id="199" w:name="_Toc5827"/>
      <w:bookmarkStart w:id="200" w:name="_Toc28717"/>
      <w:bookmarkStart w:id="201" w:name="_Toc16873"/>
      <w:bookmarkStart w:id="202" w:name="_Toc108483390"/>
      <w:bookmarkStart w:id="203" w:name="_Toc99299720"/>
      <w:bookmarkStart w:id="204" w:name="_Toc166778330"/>
      <w:bookmarkStart w:id="205" w:name="_Toc6302"/>
      <w:bookmarkStart w:id="206" w:name="_Toc5133"/>
      <w:bookmarkStart w:id="207" w:name="_Toc31371"/>
      <w:bookmarkStart w:id="208" w:name="_Toc531"/>
      <w:r>
        <w:rPr>
          <w:rFonts w:hint="eastAsia" w:ascii="宋体" w:hAnsi="宋体"/>
          <w:color w:val="auto"/>
          <w:sz w:val="28"/>
          <w:szCs w:val="28"/>
          <w:highlight w:val="none"/>
        </w:rPr>
        <w:t>三、投标文件</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5CF8E4CA">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10. 投标语言</w:t>
      </w:r>
    </w:p>
    <w:p w14:paraId="17C4F64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10.1除专用术语外，投标人提交的投标文件及投标人与采购代理机构就有关投标的所有来往函电均使用中文。投标人可以提交其它语言的资料，但应附有中文注释，有差异时以中文为准。</w:t>
      </w:r>
    </w:p>
    <w:p w14:paraId="473CF1BA">
      <w:pPr>
        <w:adjustRightInd w:val="0"/>
        <w:snapToGrid w:val="0"/>
        <w:spacing w:line="360" w:lineRule="auto"/>
        <w:rPr>
          <w:rFonts w:ascii="宋体" w:hAnsi="宋体"/>
          <w:b/>
          <w:color w:val="auto"/>
          <w:sz w:val="24"/>
          <w:highlight w:val="none"/>
        </w:rPr>
      </w:pPr>
      <w:r>
        <w:rPr>
          <w:rFonts w:hint="eastAsia" w:ascii="宋体" w:hAnsi="宋体"/>
          <w:b/>
          <w:bCs/>
          <w:color w:val="auto"/>
          <w:sz w:val="24"/>
          <w:highlight w:val="none"/>
        </w:rPr>
        <w:t xml:space="preserve">11. </w:t>
      </w:r>
      <w:r>
        <w:rPr>
          <w:rFonts w:hint="eastAsia" w:ascii="宋体" w:hAnsi="宋体"/>
          <w:b/>
          <w:color w:val="auto"/>
          <w:sz w:val="24"/>
          <w:highlight w:val="none"/>
        </w:rPr>
        <w:t>计量单位</w:t>
      </w:r>
    </w:p>
    <w:p w14:paraId="01694CB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11.1所有计量均采用中华人民共和国法定计量单位。</w:t>
      </w:r>
    </w:p>
    <w:p w14:paraId="43636225">
      <w:pPr>
        <w:adjustRightInd w:val="0"/>
        <w:snapToGrid w:val="0"/>
        <w:spacing w:line="360" w:lineRule="auto"/>
        <w:rPr>
          <w:rFonts w:ascii="宋体" w:hAnsi="宋体"/>
          <w:b/>
          <w:bCs/>
          <w:color w:val="auto"/>
          <w:sz w:val="24"/>
          <w:highlight w:val="none"/>
        </w:rPr>
      </w:pPr>
      <w:r>
        <w:rPr>
          <w:rFonts w:hint="eastAsia" w:ascii="宋体" w:hAnsi="宋体"/>
          <w:b/>
          <w:color w:val="auto"/>
          <w:sz w:val="24"/>
          <w:highlight w:val="none"/>
        </w:rPr>
        <w:t xml:space="preserve">12. </w:t>
      </w:r>
      <w:r>
        <w:rPr>
          <w:rFonts w:hint="eastAsia" w:ascii="宋体" w:hAnsi="宋体"/>
          <w:b/>
          <w:bCs/>
          <w:color w:val="auto"/>
          <w:sz w:val="24"/>
          <w:highlight w:val="none"/>
        </w:rPr>
        <w:t>投标文件的组成</w:t>
      </w:r>
    </w:p>
    <w:p w14:paraId="6F8180E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12.1投标文件由如下内容组成：</w:t>
      </w:r>
    </w:p>
    <w:p w14:paraId="51F6B044">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第一部分 资格证明文件</w:t>
      </w:r>
    </w:p>
    <w:p w14:paraId="1CE5BA5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（1）开标一览表</w:t>
      </w:r>
    </w:p>
    <w:p w14:paraId="52E8A42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（2）投标保证金</w:t>
      </w:r>
    </w:p>
    <w:p w14:paraId="64CB617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（3）授权委托书</w:t>
      </w:r>
    </w:p>
    <w:p w14:paraId="1DDC8FC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（4）投标人提供的资格证明文件</w:t>
      </w:r>
    </w:p>
    <w:p w14:paraId="0A48C304">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第二部分 商务和技术文件</w:t>
      </w:r>
    </w:p>
    <w:p w14:paraId="3CE6E36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（5）投标函</w:t>
      </w:r>
    </w:p>
    <w:p w14:paraId="4029E4B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（6）分项报价</w:t>
      </w:r>
    </w:p>
    <w:p w14:paraId="079F5B8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（7）采购需求响应</w:t>
      </w:r>
    </w:p>
    <w:p w14:paraId="4445891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（8）合同条款偏离表</w:t>
      </w:r>
    </w:p>
    <w:p w14:paraId="06D436E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（9）采购需求偏离表</w:t>
      </w:r>
    </w:p>
    <w:p w14:paraId="3C360A5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（10）享受政府采购政策优惠的证明资料</w:t>
      </w:r>
    </w:p>
    <w:p w14:paraId="308EB39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（11）投标货物符合招标文件规定的证明文件</w:t>
      </w:r>
    </w:p>
    <w:p w14:paraId="32FFDE1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（12）投标人认为需提供的其他资料</w:t>
      </w:r>
    </w:p>
    <w:p w14:paraId="1E2AA72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12.2投标人可以编制资格审查索引表、符合性审查索引表、评审索引表，以方便采购人、采购代理机构、评标委员会在资格审查及评审时查阅。</w:t>
      </w:r>
    </w:p>
    <w:p w14:paraId="6CAD769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12.3根据《政府采购法》第四十二条的规定，投标人无论中标与否，其投标文件不予退还。</w:t>
      </w:r>
    </w:p>
    <w:p w14:paraId="034E6950">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13. 投标报价</w:t>
      </w:r>
    </w:p>
    <w:p w14:paraId="3BAC8D7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2C9471D5">
      <w:pPr>
        <w:adjustRightInd w:val="0"/>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2投标人的投标报价不得超过采购预算，也不得超过最高限价(如果设定)，否则其</w:t>
      </w:r>
      <w:r>
        <w:rPr>
          <w:rFonts w:hint="eastAsia" w:ascii="宋体" w:hAnsi="宋体"/>
          <w:b/>
          <w:color w:val="auto"/>
          <w:szCs w:val="21"/>
          <w:highlight w:val="none"/>
        </w:rPr>
        <w:t>投标无效</w:t>
      </w:r>
      <w:r>
        <w:rPr>
          <w:rFonts w:hint="eastAsia" w:ascii="宋体" w:hAnsi="宋体"/>
          <w:color w:val="auto"/>
          <w:szCs w:val="21"/>
          <w:highlight w:val="none"/>
        </w:rPr>
        <w:t>。采购项目预算、最高限价见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14A4F813">
      <w:pPr>
        <w:adjustRightInd w:val="0"/>
        <w:snapToGrid w:val="0"/>
        <w:spacing w:line="360" w:lineRule="auto"/>
        <w:ind w:firstLine="420" w:firstLineChars="200"/>
        <w:rPr>
          <w:rFonts w:ascii="宋体" w:hAnsi="宋体"/>
          <w:color w:val="auto"/>
          <w:highlight w:val="none"/>
        </w:rPr>
      </w:pPr>
      <w:r>
        <w:rPr>
          <w:rFonts w:hint="eastAsia" w:ascii="宋体" w:hAnsi="宋体"/>
          <w:color w:val="auto"/>
          <w:szCs w:val="21"/>
          <w:highlight w:val="none"/>
        </w:rPr>
        <w:t>13.3 投标人应在分项报价明细表中对每项内容给予详细分项</w:t>
      </w:r>
      <w:r>
        <w:rPr>
          <w:rFonts w:hint="eastAsia" w:ascii="宋体" w:hAnsi="宋体"/>
          <w:color w:val="auto"/>
          <w:highlight w:val="none"/>
        </w:rPr>
        <w:t>报价。</w:t>
      </w:r>
    </w:p>
    <w:p w14:paraId="158AF84B">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13.4投标人对采购项目内容只允许有一个投标报价，否则其</w:t>
      </w:r>
      <w:r>
        <w:rPr>
          <w:rFonts w:hint="eastAsia" w:ascii="宋体" w:hAnsi="宋体"/>
          <w:b/>
          <w:color w:val="auto"/>
          <w:highlight w:val="none"/>
        </w:rPr>
        <w:t>投标无效</w:t>
      </w:r>
      <w:r>
        <w:rPr>
          <w:rFonts w:hint="eastAsia" w:ascii="宋体" w:hAnsi="宋体"/>
          <w:color w:val="auto"/>
          <w:highlight w:val="none"/>
        </w:rPr>
        <w:t>。</w:t>
      </w:r>
    </w:p>
    <w:p w14:paraId="214DA5BA">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13.5采购人不接受投标人给予的赠品、回扣或者与采购无关的其他商品、服务。如有赠与行为，其</w:t>
      </w:r>
      <w:r>
        <w:rPr>
          <w:rFonts w:hint="eastAsia" w:ascii="宋体" w:hAnsi="宋体"/>
          <w:b/>
          <w:color w:val="auto"/>
          <w:highlight w:val="none"/>
        </w:rPr>
        <w:t>投标无效</w:t>
      </w:r>
      <w:r>
        <w:rPr>
          <w:rFonts w:hint="eastAsia" w:ascii="宋体" w:hAnsi="宋体"/>
          <w:color w:val="auto"/>
          <w:highlight w:val="none"/>
        </w:rPr>
        <w:t>。</w:t>
      </w:r>
    </w:p>
    <w:p w14:paraId="11C654C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13.6采用固定价格定价方式的采购项目，</w:t>
      </w:r>
      <w:r>
        <w:rPr>
          <w:rFonts w:hint="eastAsia" w:ascii="宋体" w:hAnsi="宋体"/>
          <w:color w:val="auto"/>
          <w:highlight w:val="none"/>
        </w:rPr>
        <w:t>投标文件中标明的价格在合同执行过程中是固定不变的，不得以任何理由予以变更。任何包含价格调整要求和条件的投标，其</w:t>
      </w:r>
      <w:r>
        <w:rPr>
          <w:rFonts w:hint="eastAsia" w:ascii="宋体" w:hAnsi="宋体"/>
          <w:b/>
          <w:color w:val="auto"/>
          <w:highlight w:val="none"/>
        </w:rPr>
        <w:t>投标无效</w:t>
      </w:r>
      <w:r>
        <w:rPr>
          <w:rFonts w:hint="eastAsia" w:ascii="宋体" w:hAnsi="宋体"/>
          <w:color w:val="auto"/>
          <w:highlight w:val="none"/>
        </w:rPr>
        <w:t>。</w:t>
      </w:r>
    </w:p>
    <w:p w14:paraId="495172C8">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13.7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2132D483">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13.8投标报价的其他要求见</w:t>
      </w:r>
      <w:r>
        <w:rPr>
          <w:rFonts w:hint="eastAsia" w:ascii="宋体" w:hAnsi="宋体"/>
          <w:b/>
          <w:color w:val="auto"/>
          <w:szCs w:val="21"/>
          <w:highlight w:val="none"/>
        </w:rPr>
        <w:t>【投标须知前附表】</w:t>
      </w:r>
      <w:r>
        <w:rPr>
          <w:rFonts w:hint="eastAsia" w:ascii="宋体" w:hAnsi="宋体"/>
          <w:color w:val="auto"/>
          <w:highlight w:val="none"/>
        </w:rPr>
        <w:t>。</w:t>
      </w:r>
    </w:p>
    <w:p w14:paraId="717E5C40">
      <w:pPr>
        <w:adjustRightInd w:val="0"/>
        <w:snapToGrid w:val="0"/>
        <w:spacing w:line="360" w:lineRule="auto"/>
        <w:rPr>
          <w:rFonts w:ascii="宋体" w:hAnsi="宋体"/>
          <w:b/>
          <w:bCs/>
          <w:color w:val="auto"/>
          <w:sz w:val="24"/>
          <w:highlight w:val="none"/>
        </w:rPr>
      </w:pPr>
      <w:r>
        <w:rPr>
          <w:rFonts w:hint="eastAsia" w:ascii="宋体" w:hAnsi="宋体"/>
          <w:b/>
          <w:color w:val="auto"/>
          <w:sz w:val="24"/>
          <w:highlight w:val="none"/>
        </w:rPr>
        <w:t xml:space="preserve">14. </w:t>
      </w:r>
      <w:r>
        <w:rPr>
          <w:rFonts w:hint="eastAsia" w:ascii="宋体" w:hAnsi="宋体"/>
          <w:b/>
          <w:bCs/>
          <w:color w:val="auto"/>
          <w:sz w:val="24"/>
          <w:highlight w:val="none"/>
        </w:rPr>
        <w:t>投标人的资格证明文件</w:t>
      </w:r>
    </w:p>
    <w:p w14:paraId="047E29DB">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14.1</w:t>
      </w:r>
      <w:r>
        <w:rPr>
          <w:rFonts w:hint="eastAsia" w:ascii="宋体" w:hAnsi="宋体"/>
          <w:color w:val="auto"/>
          <w:szCs w:val="21"/>
          <w:highlight w:val="none"/>
        </w:rPr>
        <w:t>除</w:t>
      </w:r>
      <w:r>
        <w:rPr>
          <w:rFonts w:hint="eastAsia" w:ascii="宋体" w:hAnsi="宋体"/>
          <w:b/>
          <w:color w:val="auto"/>
          <w:szCs w:val="21"/>
          <w:highlight w:val="none"/>
        </w:rPr>
        <w:t>【投标须知前附表】</w:t>
      </w:r>
      <w:r>
        <w:rPr>
          <w:rFonts w:hint="eastAsia" w:ascii="宋体" w:hAnsi="宋体"/>
          <w:color w:val="auto"/>
          <w:szCs w:val="21"/>
          <w:highlight w:val="none"/>
        </w:rPr>
        <w:t>另有规</w:t>
      </w:r>
      <w:r>
        <w:rPr>
          <w:rFonts w:hint="eastAsia" w:ascii="宋体" w:hAnsi="宋体"/>
          <w:color w:val="auto"/>
          <w:highlight w:val="none"/>
        </w:rPr>
        <w:t>定外，投标人应按下列规定提供资格证明文件。</w:t>
      </w:r>
    </w:p>
    <w:p w14:paraId="060EA378">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w:t>
      </w:r>
      <w:r>
        <w:rPr>
          <w:rFonts w:hint="eastAsia" w:ascii="宋体" w:hAnsi="宋体"/>
          <w:b/>
          <w:color w:val="auto"/>
          <w:highlight w:val="none"/>
        </w:rPr>
        <w:t>法人或者其他组织的营业执照等主体资格证明文件，自然人的身份证明</w:t>
      </w:r>
      <w:r>
        <w:rPr>
          <w:rFonts w:hint="eastAsia" w:ascii="宋体" w:hAnsi="宋体"/>
          <w:color w:val="auto"/>
          <w:highlight w:val="none"/>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390C07C9">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w:t>
      </w:r>
      <w:r>
        <w:rPr>
          <w:rFonts w:hint="eastAsia" w:ascii="宋体" w:hAnsi="宋体"/>
          <w:b/>
          <w:color w:val="auto"/>
          <w:highlight w:val="none"/>
        </w:rPr>
        <w:t>湖南省政府采购供应商资格承诺函(格式)</w:t>
      </w:r>
    </w:p>
    <w:p w14:paraId="0E913995">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w:t>
      </w:r>
      <w:r>
        <w:rPr>
          <w:rFonts w:hint="eastAsia" w:ascii="宋体" w:hAnsi="宋体"/>
          <w:b/>
          <w:color w:val="auto"/>
          <w:highlight w:val="none"/>
        </w:rPr>
        <w:t>符合特定资格条件证明材料或者情况说明</w:t>
      </w:r>
      <w:r>
        <w:rPr>
          <w:rFonts w:hint="eastAsia" w:ascii="宋体" w:hAnsi="宋体"/>
          <w:color w:val="auto"/>
          <w:szCs w:val="21"/>
          <w:highlight w:val="none"/>
        </w:rPr>
        <w:t>。</w:t>
      </w:r>
    </w:p>
    <w:p w14:paraId="4B89F815">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14.2投标人以联合体形式投标的，除应提交联合协议(格式)外，参加联合体的各方均应提交上款资格证明材料。</w:t>
      </w:r>
    </w:p>
    <w:p w14:paraId="54687ED7">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14.3投标人的资格证明文件均应为有效文件并加盖投标人单位章，并按招标文件规定签署。</w:t>
      </w:r>
    </w:p>
    <w:p w14:paraId="0AA56CE2">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15. 投标货物及服务符合招标文件规定的证明文件</w:t>
      </w:r>
    </w:p>
    <w:p w14:paraId="6B6F8DC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15.1投标人应当提交其拟供的合同项下货物及其服务符合招标文件规定的证明文件,该证明文件作为投标文件的一部分。</w:t>
      </w:r>
    </w:p>
    <w:p w14:paraId="34DF771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15.2上述证明文件可以是文字资料、图表、数据、证书等资料，包括但不限于：</w:t>
      </w:r>
    </w:p>
    <w:p w14:paraId="23E6E5C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（1）货物主要技术指标和性能的详细说明。对有具体参数要求的指标，投标人应提供具体参数值；</w:t>
      </w:r>
    </w:p>
    <w:p w14:paraId="43787FF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（2）货物的品牌型号、制造商及原产地等说明；</w:t>
      </w:r>
    </w:p>
    <w:p w14:paraId="780C2ED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（3）招标文件第五章“采购需求”要求的其它文件。</w:t>
      </w:r>
    </w:p>
    <w:p w14:paraId="1621D97A">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16. 投标有效期</w:t>
      </w:r>
    </w:p>
    <w:p w14:paraId="7341CAE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16.1投标有效期从提交投标文件的截止之日起计算。投标文件中承诺的投标有效期应当不少于</w:t>
      </w:r>
      <w:r>
        <w:rPr>
          <w:rFonts w:hint="eastAsia" w:ascii="宋体" w:hAnsi="宋体"/>
          <w:b/>
          <w:color w:val="auto"/>
          <w:szCs w:val="21"/>
          <w:highlight w:val="none"/>
        </w:rPr>
        <w:t>【投标须知前附表】</w:t>
      </w:r>
      <w:r>
        <w:rPr>
          <w:rFonts w:hint="eastAsia" w:ascii="宋体" w:hAnsi="宋体"/>
          <w:color w:val="auto"/>
          <w:szCs w:val="21"/>
          <w:highlight w:val="none"/>
        </w:rPr>
        <w:t>中载明的投标有效期。投标有效期不满足要求的，其</w:t>
      </w:r>
      <w:r>
        <w:rPr>
          <w:rFonts w:hint="eastAsia" w:ascii="宋体" w:hAnsi="宋体"/>
          <w:b/>
          <w:color w:val="auto"/>
          <w:szCs w:val="21"/>
          <w:highlight w:val="none"/>
        </w:rPr>
        <w:t>投标无效</w:t>
      </w:r>
      <w:r>
        <w:rPr>
          <w:rFonts w:hint="eastAsia" w:ascii="宋体" w:hAnsi="宋体"/>
          <w:color w:val="auto"/>
          <w:szCs w:val="21"/>
          <w:highlight w:val="none"/>
        </w:rPr>
        <w:t>。</w:t>
      </w:r>
    </w:p>
    <w:p w14:paraId="5BD9906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16.2投标有效期内投标人撤销投标文件的，投标人应承担招标文件和法律规定的责任。</w:t>
      </w:r>
    </w:p>
    <w:p w14:paraId="104CF44C">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17. 投标保证金（不要求提供）</w:t>
      </w:r>
    </w:p>
    <w:p w14:paraId="04F8DEBC">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18.分包</w:t>
      </w:r>
    </w:p>
    <w:p w14:paraId="3AFA90CC">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18.1</w:t>
      </w:r>
      <w:r>
        <w:rPr>
          <w:rFonts w:hint="eastAsia" w:hAnsi="宋体"/>
          <w:b/>
          <w:bCs/>
          <w:color w:val="auto"/>
          <w:highlight w:val="none"/>
        </w:rPr>
        <w:t>【投标须知前附表】</w:t>
      </w:r>
      <w:r>
        <w:rPr>
          <w:rFonts w:hint="eastAsia" w:ascii="宋体" w:hAnsi="宋体"/>
          <w:color w:val="auto"/>
          <w:highlight w:val="none"/>
        </w:rPr>
        <w:t>规定投标人分包的，投标人分包承诺不符合招标文件中有关分包规定的，其</w:t>
      </w:r>
      <w:r>
        <w:rPr>
          <w:rFonts w:hint="eastAsia" w:ascii="宋体" w:hAnsi="宋体"/>
          <w:b/>
          <w:bCs/>
          <w:color w:val="auto"/>
          <w:highlight w:val="none"/>
        </w:rPr>
        <w:t>投标无效</w:t>
      </w:r>
      <w:r>
        <w:rPr>
          <w:rFonts w:hint="eastAsia" w:ascii="宋体" w:hAnsi="宋体"/>
          <w:color w:val="auto"/>
          <w:highlight w:val="none"/>
        </w:rPr>
        <w:t>。</w:t>
      </w:r>
    </w:p>
    <w:p w14:paraId="3968B3AC">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18.2投标人应在签订政府采购合同前向采购人提供分包合同，否则，采购人有权拒绝签订采购合同。</w:t>
      </w:r>
    </w:p>
    <w:p w14:paraId="51C75B13">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18.3享受中小企业扶持政策获得政府采购合同的，小微企业不得将合同分包给大中型企业，中型企业不得将合同分包给大型企业。</w:t>
      </w:r>
    </w:p>
    <w:p w14:paraId="53C57597">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18.4分包供应商不得再次分包。</w:t>
      </w:r>
    </w:p>
    <w:p w14:paraId="3B1E46ED">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19. 投标文件的签署</w:t>
      </w:r>
    </w:p>
    <w:p w14:paraId="7F466F9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19.1投标文件份数，投标人应准备所投项目的电子投标文件一份。</w:t>
      </w:r>
    </w:p>
    <w:p w14:paraId="6565BD0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19.2电子投标文件：投标人应按照电子招标文件要求制作投标文件，并在</w:t>
      </w:r>
      <w:r>
        <w:rPr>
          <w:rFonts w:hint="eastAsia" w:ascii="宋体" w:hAnsi="宋体"/>
          <w:color w:val="auto"/>
          <w:highlight w:val="none"/>
        </w:rPr>
        <w:t>指定处采用电子平台认可的CA数字证书</w:t>
      </w:r>
      <w:r>
        <w:rPr>
          <w:rFonts w:hint="eastAsia" w:ascii="宋体" w:hAnsi="宋体"/>
          <w:color w:val="auto"/>
          <w:szCs w:val="21"/>
          <w:highlight w:val="none"/>
        </w:rPr>
        <w:t>进行电子签名和盖章。</w:t>
      </w:r>
    </w:p>
    <w:p w14:paraId="4B5524B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19.3投标人确认投标后，应从交易平台上下载“电子招标文件制作工具（</w:t>
      </w:r>
      <w:r>
        <w:rPr>
          <w:rStyle w:val="99"/>
          <w:rFonts w:ascii="宋体" w:hAnsi="宋体"/>
          <w:color w:val="auto"/>
          <w:szCs w:val="21"/>
          <w:highlight w:val="none"/>
        </w:rPr>
        <w:t>金润投标人工具箱）</w:t>
      </w:r>
      <w:r>
        <w:rPr>
          <w:rFonts w:hint="eastAsia" w:ascii="宋体" w:hAnsi="宋体"/>
          <w:color w:val="auto"/>
          <w:szCs w:val="21"/>
          <w:highlight w:val="none"/>
        </w:rPr>
        <w:t>”，并使用此工具编制电子投标文件，否则将可能影响电子投标文件的上传而导致投标无效。</w:t>
      </w:r>
    </w:p>
    <w:p w14:paraId="521EA12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19.4投标人因自身原因导致电子投标文件无法导入电子评标系统的，该投标文件视为无效投标文件。</w:t>
      </w:r>
    </w:p>
    <w:p w14:paraId="0A85ADD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19.5电子招投标文件具有法律效力，若投标文件与招标文件要求不一致，其内容影响中标结果时，责任由投标人自行承担。</w:t>
      </w:r>
    </w:p>
    <w:p w14:paraId="1F8F0C55">
      <w:pPr>
        <w:pStyle w:val="4"/>
        <w:adjustRightInd w:val="0"/>
        <w:snapToGrid w:val="0"/>
        <w:spacing w:beforeLines="50" w:after="0" w:line="360" w:lineRule="auto"/>
        <w:jc w:val="center"/>
        <w:rPr>
          <w:rFonts w:ascii="宋体" w:hAnsi="宋体"/>
          <w:color w:val="auto"/>
          <w:sz w:val="28"/>
          <w:szCs w:val="28"/>
          <w:highlight w:val="none"/>
        </w:rPr>
      </w:pPr>
      <w:bookmarkStart w:id="209" w:name="_Toc19687"/>
      <w:bookmarkStart w:id="210" w:name="_Toc32090"/>
      <w:bookmarkStart w:id="211" w:name="_Toc111543553"/>
      <w:bookmarkStart w:id="212" w:name="_Toc26359"/>
      <w:bookmarkStart w:id="213" w:name="_Toc137408713"/>
      <w:bookmarkStart w:id="214" w:name="_Toc31183"/>
      <w:bookmarkStart w:id="215" w:name="_Toc118209423"/>
      <w:bookmarkStart w:id="216" w:name="_Toc103979574"/>
      <w:bookmarkStart w:id="217" w:name="_Toc13570"/>
      <w:bookmarkStart w:id="218" w:name="_Toc108483391"/>
      <w:bookmarkStart w:id="219" w:name="_Toc21750"/>
      <w:bookmarkStart w:id="220" w:name="_Toc189905357"/>
      <w:bookmarkStart w:id="221" w:name="_Toc17167"/>
      <w:bookmarkStart w:id="222" w:name="_Toc25705"/>
      <w:bookmarkStart w:id="223" w:name="_Toc193053701"/>
      <w:bookmarkStart w:id="224" w:name="_Toc3913"/>
      <w:bookmarkStart w:id="225" w:name="_Toc3646"/>
      <w:bookmarkStart w:id="226" w:name="_Toc29542"/>
      <w:bookmarkStart w:id="227" w:name="_Toc13121"/>
      <w:bookmarkStart w:id="228" w:name="_Toc23884"/>
      <w:bookmarkStart w:id="229" w:name="_Toc24561"/>
      <w:bookmarkStart w:id="230" w:name="_Toc166778331"/>
      <w:bookmarkStart w:id="231" w:name="_Toc1499"/>
      <w:bookmarkStart w:id="232" w:name="_Toc26905"/>
      <w:bookmarkStart w:id="233" w:name="_Toc171282400"/>
      <w:bookmarkStart w:id="234" w:name="_Toc109656573"/>
      <w:bookmarkStart w:id="235" w:name="_Toc140957866"/>
      <w:bookmarkStart w:id="236" w:name="_Toc79093667"/>
      <w:bookmarkStart w:id="237" w:name="_Toc99299721"/>
      <w:bookmarkStart w:id="238" w:name="_Toc22086"/>
      <w:bookmarkStart w:id="239" w:name="_Toc113350932"/>
      <w:bookmarkStart w:id="240" w:name="_Toc10541"/>
      <w:r>
        <w:rPr>
          <w:rFonts w:hint="eastAsia" w:ascii="宋体" w:hAnsi="宋体"/>
          <w:color w:val="auto"/>
          <w:sz w:val="28"/>
          <w:szCs w:val="28"/>
          <w:highlight w:val="none"/>
        </w:rPr>
        <w:t>四、投标</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14:paraId="14407249">
      <w:pPr>
        <w:adjustRightInd w:val="0"/>
        <w:snapToGrid w:val="0"/>
        <w:spacing w:line="360" w:lineRule="auto"/>
        <w:rPr>
          <w:rFonts w:ascii="宋体" w:hAnsi="宋体"/>
          <w:b/>
          <w:bCs/>
          <w:color w:val="auto"/>
          <w:sz w:val="24"/>
          <w:highlight w:val="none"/>
        </w:rPr>
      </w:pPr>
      <w:r>
        <w:rPr>
          <w:rFonts w:hint="eastAsia" w:ascii="宋体" w:hAnsi="宋体"/>
          <w:b/>
          <w:color w:val="auto"/>
          <w:sz w:val="24"/>
          <w:highlight w:val="none"/>
        </w:rPr>
        <w:t>20.</w:t>
      </w:r>
      <w:r>
        <w:rPr>
          <w:rFonts w:hint="eastAsia" w:ascii="宋体" w:hAnsi="宋体"/>
          <w:b/>
          <w:bCs/>
          <w:color w:val="auto"/>
          <w:sz w:val="24"/>
          <w:highlight w:val="none"/>
        </w:rPr>
        <w:t xml:space="preserve"> 投标文件的加密</w:t>
      </w:r>
    </w:p>
    <w:p w14:paraId="64CF696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20.1娄底市公共资源交易电子服务平台发布的“电子投标文件制作工具（</w:t>
      </w:r>
      <w:r>
        <w:rPr>
          <w:rStyle w:val="99"/>
          <w:rFonts w:ascii="宋体" w:hAnsi="宋体"/>
          <w:color w:val="auto"/>
          <w:szCs w:val="21"/>
          <w:highlight w:val="none"/>
        </w:rPr>
        <w:t>金润投标人工具箱）</w:t>
      </w:r>
      <w:r>
        <w:rPr>
          <w:rFonts w:hint="eastAsia" w:ascii="宋体" w:hAnsi="宋体"/>
          <w:color w:val="auto"/>
          <w:szCs w:val="21"/>
          <w:highlight w:val="none"/>
        </w:rPr>
        <w:t>”的程序进行固化、加密。</w:t>
      </w:r>
    </w:p>
    <w:p w14:paraId="6690B0A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w:t>
      </w:r>
      <w:r>
        <w:rPr>
          <w:rFonts w:ascii="宋体" w:hAnsi="宋体"/>
          <w:color w:val="auto"/>
          <w:szCs w:val="21"/>
          <w:highlight w:val="none"/>
        </w:rPr>
        <w:t>.2</w:t>
      </w:r>
      <w:r>
        <w:rPr>
          <w:rFonts w:hint="eastAsia" w:ascii="宋体" w:hAnsi="宋体"/>
          <w:color w:val="auto"/>
          <w:highlight w:val="none"/>
        </w:rPr>
        <w:t>“电子标书软件加密锁” 具有唯一性，仅限于本单位在电子化招标投标活动中使用，不得转让和出借；</w:t>
      </w:r>
    </w:p>
    <w:p w14:paraId="384D9AA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w:t>
      </w:r>
      <w:r>
        <w:rPr>
          <w:rFonts w:ascii="宋体" w:hAnsi="宋体"/>
          <w:color w:val="auto"/>
          <w:szCs w:val="21"/>
          <w:highlight w:val="none"/>
        </w:rPr>
        <w:t>.</w:t>
      </w:r>
      <w:r>
        <w:rPr>
          <w:rFonts w:hint="eastAsia" w:ascii="宋体" w:hAnsi="宋体"/>
          <w:color w:val="auto"/>
          <w:szCs w:val="21"/>
          <w:highlight w:val="none"/>
        </w:rPr>
        <w:t>3</w:t>
      </w:r>
      <w:r>
        <w:rPr>
          <w:rFonts w:hint="eastAsia" w:ascii="宋体" w:hAnsi="宋体"/>
          <w:color w:val="auto"/>
          <w:highlight w:val="none"/>
        </w:rPr>
        <w:t>投标人在编辑投标文件时，在投标文件目录中属于本节点内容的必须上传或填写在本节点的对应位置，未按要求填写或上传的，相应责任由投标人自行承担</w:t>
      </w:r>
      <w:r>
        <w:rPr>
          <w:rFonts w:hint="eastAsia" w:ascii="宋体" w:hAnsi="宋体"/>
          <w:color w:val="auto"/>
          <w:szCs w:val="21"/>
          <w:highlight w:val="none"/>
        </w:rPr>
        <w:t>。</w:t>
      </w:r>
    </w:p>
    <w:p w14:paraId="1AA3A68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highlight w:val="none"/>
        </w:rPr>
        <w:t>20.4投标书编写完成后，必须用本系统自带的电子密钥进行加密，如果误选了非本项目的规则文件导致不能在开标时解密投标文件，该投标文件将被电子开标系统拒绝，将导致投标文件无效。</w:t>
      </w:r>
    </w:p>
    <w:p w14:paraId="2E4ED37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highlight w:val="none"/>
        </w:rPr>
        <w:t>20.5如果开标时出现网络故障、技术故障，影响了招投标活动，采购人可采取措施如延期、延长上传的投标书和解密时间等，以保障招投标活动的公开、公平和公正，投标人不得对此持有异议</w:t>
      </w:r>
      <w:r>
        <w:rPr>
          <w:rFonts w:ascii="宋体" w:hAnsi="宋体"/>
          <w:color w:val="auto"/>
          <w:highlight w:val="none"/>
        </w:rPr>
        <w:t>。</w:t>
      </w:r>
    </w:p>
    <w:p w14:paraId="425EDCE9">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21. 投标文件的递交</w:t>
      </w:r>
    </w:p>
    <w:p w14:paraId="7C5FC65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21.1</w:t>
      </w:r>
      <w:r>
        <w:rPr>
          <w:rStyle w:val="99"/>
          <w:rFonts w:ascii="宋体" w:hAnsi="宋体"/>
          <w:color w:val="auto"/>
          <w:szCs w:val="21"/>
          <w:highlight w:val="none"/>
        </w:rPr>
        <w:t>实行网上投标，</w:t>
      </w:r>
      <w:r>
        <w:rPr>
          <w:rFonts w:ascii="宋体" w:hAnsi="宋体"/>
          <w:color w:val="auto"/>
          <w:highlight w:val="none"/>
        </w:rPr>
        <w:t>投标人必须</w:t>
      </w:r>
      <w:r>
        <w:rPr>
          <w:rFonts w:hint="eastAsia" w:ascii="宋体" w:hAnsi="宋体"/>
          <w:color w:val="auto"/>
          <w:highlight w:val="none"/>
        </w:rPr>
        <w:t>在</w:t>
      </w:r>
      <w:r>
        <w:rPr>
          <w:rFonts w:ascii="宋体" w:hAnsi="宋体"/>
          <w:color w:val="auto"/>
          <w:highlight w:val="none"/>
        </w:rPr>
        <w:t>采购文件规定的投标截止时间前完成</w:t>
      </w:r>
      <w:r>
        <w:rPr>
          <w:rFonts w:hint="eastAsia" w:ascii="宋体" w:hAnsi="宋体"/>
          <w:color w:val="auto"/>
          <w:szCs w:val="21"/>
          <w:highlight w:val="none"/>
        </w:rPr>
        <w:t>。</w:t>
      </w:r>
    </w:p>
    <w:p w14:paraId="4129650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21.2</w:t>
      </w:r>
      <w:r>
        <w:rPr>
          <w:rFonts w:ascii="宋体" w:hAnsi="宋体"/>
          <w:color w:val="auto"/>
          <w:highlight w:val="none"/>
        </w:rPr>
        <w:t>按本</w:t>
      </w:r>
      <w:r>
        <w:rPr>
          <w:rFonts w:hint="eastAsia" w:ascii="宋体" w:hAnsi="宋体"/>
          <w:color w:val="auto"/>
          <w:highlight w:val="none"/>
        </w:rPr>
        <w:t>章</w:t>
      </w:r>
      <w:r>
        <w:rPr>
          <w:rFonts w:ascii="宋体" w:hAnsi="宋体"/>
          <w:color w:val="auto"/>
          <w:highlight w:val="none"/>
        </w:rPr>
        <w:t>第</w:t>
      </w:r>
      <w:r>
        <w:rPr>
          <w:rFonts w:hint="eastAsia" w:ascii="宋体" w:hAnsi="宋体"/>
          <w:color w:val="auto"/>
          <w:highlight w:val="none"/>
        </w:rPr>
        <w:t>9</w:t>
      </w:r>
      <w:r>
        <w:rPr>
          <w:rFonts w:ascii="宋体" w:hAnsi="宋体"/>
          <w:color w:val="auto"/>
          <w:highlight w:val="none"/>
        </w:rPr>
        <w:t>条规定，招标文件发生实质性修改后，投标人须撤回原电子投标文件，根据最新招标文件重新制作投标文件并再次上传。</w:t>
      </w:r>
    </w:p>
    <w:p w14:paraId="192A1D29">
      <w:pPr>
        <w:adjustRightInd w:val="0"/>
        <w:snapToGrid w:val="0"/>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21.3</w:t>
      </w:r>
      <w:r>
        <w:rPr>
          <w:rFonts w:ascii="宋体" w:hAnsi="宋体"/>
          <w:color w:val="auto"/>
          <w:highlight w:val="none"/>
        </w:rPr>
        <w:t>投标截止时间</w:t>
      </w:r>
      <w:r>
        <w:rPr>
          <w:rFonts w:hint="eastAsia" w:ascii="宋体" w:hAnsi="宋体"/>
          <w:color w:val="auto"/>
          <w:highlight w:val="none"/>
        </w:rPr>
        <w:t>到达以后不再接收</w:t>
      </w:r>
      <w:r>
        <w:rPr>
          <w:rFonts w:ascii="宋体" w:hAnsi="宋体"/>
          <w:color w:val="auto"/>
          <w:highlight w:val="none"/>
        </w:rPr>
        <w:t>投标文件。</w:t>
      </w:r>
    </w:p>
    <w:p w14:paraId="3C64D192">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22. 投标文件的修改和撤回</w:t>
      </w:r>
    </w:p>
    <w:p w14:paraId="039DC80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22.1投标人</w:t>
      </w:r>
      <w:r>
        <w:rPr>
          <w:rFonts w:hint="eastAsia" w:ascii="宋体" w:hAnsi="宋体"/>
          <w:color w:val="auto"/>
          <w:highlight w:val="none"/>
        </w:rPr>
        <w:t>在提交电子投标文件后可对其投标文件进行修改并重新上传投标文件或在网上进行撤销投标的操作。</w:t>
      </w:r>
    </w:p>
    <w:p w14:paraId="24DC8EA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22.2</w:t>
      </w:r>
      <w:r>
        <w:rPr>
          <w:rFonts w:hint="eastAsia" w:ascii="宋体" w:hAnsi="宋体"/>
          <w:color w:val="auto"/>
          <w:highlight w:val="none"/>
        </w:rPr>
        <w:t>投标截止时间以后不得修改投标文件。</w:t>
      </w:r>
    </w:p>
    <w:p w14:paraId="62B0F35E">
      <w:pPr>
        <w:adjustRightInd w:val="0"/>
        <w:snapToGrid w:val="0"/>
        <w:spacing w:line="360" w:lineRule="auto"/>
        <w:rPr>
          <w:rFonts w:ascii="宋体" w:hAnsi="宋体" w:cs="Arial"/>
          <w:b/>
          <w:color w:val="auto"/>
          <w:sz w:val="24"/>
          <w:highlight w:val="none"/>
        </w:rPr>
      </w:pPr>
      <w:r>
        <w:rPr>
          <w:rFonts w:hint="eastAsia" w:ascii="宋体" w:hAnsi="宋体"/>
          <w:b/>
          <w:bCs/>
          <w:color w:val="auto"/>
          <w:sz w:val="24"/>
          <w:highlight w:val="none"/>
        </w:rPr>
        <w:t>23.</w:t>
      </w:r>
      <w:r>
        <w:rPr>
          <w:rFonts w:hint="eastAsia" w:ascii="宋体" w:hAnsi="宋体" w:cs="Arial"/>
          <w:b/>
          <w:color w:val="auto"/>
          <w:sz w:val="24"/>
          <w:highlight w:val="none"/>
        </w:rPr>
        <w:t xml:space="preserve"> 串通</w:t>
      </w:r>
      <w:r>
        <w:rPr>
          <w:rFonts w:hint="eastAsia" w:ascii="宋体" w:hAnsi="宋体"/>
          <w:b/>
          <w:color w:val="auto"/>
          <w:sz w:val="24"/>
          <w:highlight w:val="none"/>
        </w:rPr>
        <w:t>投标行为</w:t>
      </w:r>
    </w:p>
    <w:p w14:paraId="5DC28326">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23.1有下列情形之一的，属于恶意串通，对投标人依照政府采购法第七十七条第一款的规定追究法律责任：</w:t>
      </w:r>
    </w:p>
    <w:p w14:paraId="6BA6BB96">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（1）投标人直接或者间接从采购人或者采购代理机构处获得其他投标人的相关情况并修改其投标文件；</w:t>
      </w:r>
    </w:p>
    <w:p w14:paraId="31D1B5E5">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（2）投标人按照采购人或者采购代理机构的授意撤换、修改投标文件；</w:t>
      </w:r>
    </w:p>
    <w:p w14:paraId="4AEF8328">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（3）投标人之间协商报价、技术方案等投标文件的实质性内容；</w:t>
      </w:r>
    </w:p>
    <w:p w14:paraId="21CEAF40">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（4）属于同一集团、协会、商会等组织成员的投标人按照该组织要求协同参加政府采购活动；</w:t>
      </w:r>
    </w:p>
    <w:p w14:paraId="1DB82CFC">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（5）投标人之间事先约定由某一特定投标人中标；</w:t>
      </w:r>
    </w:p>
    <w:p w14:paraId="38FF27C3">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（6）投标人之间商定部分投标人放弃参加政府采购活动或者放弃中标；</w:t>
      </w:r>
    </w:p>
    <w:p w14:paraId="41C13DA7">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（7）投标人与采购人或者采购代理机构之间、投标人相互之间，为谋求特定投标人中标或者排斥其他投标人的其他串通行为。</w:t>
      </w:r>
    </w:p>
    <w:p w14:paraId="1644CB1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23.2有下列情形之一的，视为投标人串通投标，其</w:t>
      </w:r>
      <w:r>
        <w:rPr>
          <w:rFonts w:hint="eastAsia" w:ascii="宋体" w:hAnsi="宋体"/>
          <w:b/>
          <w:color w:val="auto"/>
          <w:szCs w:val="21"/>
          <w:highlight w:val="none"/>
        </w:rPr>
        <w:t>投标无效</w:t>
      </w:r>
      <w:r>
        <w:rPr>
          <w:rFonts w:hint="eastAsia" w:ascii="宋体" w:hAnsi="宋体"/>
          <w:color w:val="auto"/>
          <w:szCs w:val="21"/>
          <w:highlight w:val="none"/>
        </w:rPr>
        <w:t>：</w:t>
      </w:r>
    </w:p>
    <w:p w14:paraId="1F8078F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（1）不同投标人的投标文件由同一单位或者个人编制；</w:t>
      </w:r>
    </w:p>
    <w:p w14:paraId="277E8C9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（2）不同投标人委托同一单位或者个人办理投标事宜；</w:t>
      </w:r>
    </w:p>
    <w:p w14:paraId="26309AA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（3）不同投标人的投标文件载明的项目管理成员或者联系人员为同一人；</w:t>
      </w:r>
    </w:p>
    <w:p w14:paraId="10F11C3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（4）不同投标人的投标文件异常一致或者投标报价呈规律性差异；</w:t>
      </w:r>
    </w:p>
    <w:p w14:paraId="7CCFF22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（5）不同投标人的投标文件相互混装；</w:t>
      </w:r>
    </w:p>
    <w:p w14:paraId="1ED1E2E1">
      <w:pPr>
        <w:pStyle w:val="4"/>
        <w:adjustRightInd w:val="0"/>
        <w:snapToGrid w:val="0"/>
        <w:spacing w:beforeLines="50" w:after="0" w:line="360" w:lineRule="auto"/>
        <w:jc w:val="center"/>
        <w:rPr>
          <w:rFonts w:ascii="宋体" w:hAnsi="宋体"/>
          <w:color w:val="auto"/>
          <w:sz w:val="28"/>
          <w:szCs w:val="28"/>
          <w:highlight w:val="none"/>
        </w:rPr>
      </w:pPr>
      <w:bookmarkStart w:id="241" w:name="_Toc223"/>
      <w:bookmarkStart w:id="242" w:name="_Toc189905358"/>
      <w:bookmarkStart w:id="243" w:name="_Toc30149"/>
      <w:bookmarkStart w:id="244" w:name="_Toc109656574"/>
      <w:bookmarkStart w:id="245" w:name="_Toc113350933"/>
      <w:bookmarkStart w:id="246" w:name="_Toc79093668"/>
      <w:bookmarkStart w:id="247" w:name="_Toc3323"/>
      <w:bookmarkStart w:id="248" w:name="_Toc14305"/>
      <w:bookmarkStart w:id="249" w:name="_Toc5760"/>
      <w:bookmarkStart w:id="250" w:name="_Toc171282401"/>
      <w:bookmarkStart w:id="251" w:name="_Toc193053702"/>
      <w:bookmarkStart w:id="252" w:name="_Toc470"/>
      <w:bookmarkStart w:id="253" w:name="_Toc111543554"/>
      <w:bookmarkStart w:id="254" w:name="_Toc99299722"/>
      <w:bookmarkStart w:id="255" w:name="_Toc137408714"/>
      <w:bookmarkStart w:id="256" w:name="_Toc3699"/>
      <w:bookmarkStart w:id="257" w:name="_Toc10327"/>
      <w:bookmarkStart w:id="258" w:name="_Toc7281"/>
      <w:bookmarkStart w:id="259" w:name="_Toc24952"/>
      <w:bookmarkStart w:id="260" w:name="_Toc12640"/>
      <w:bookmarkStart w:id="261" w:name="_Toc108483392"/>
      <w:bookmarkStart w:id="262" w:name="_Toc15974"/>
      <w:bookmarkStart w:id="263" w:name="_Toc25200"/>
      <w:bookmarkStart w:id="264" w:name="_Toc140957867"/>
      <w:bookmarkStart w:id="265" w:name="_Toc28340"/>
      <w:bookmarkStart w:id="266" w:name="_Toc118209424"/>
      <w:bookmarkStart w:id="267" w:name="_Toc22022"/>
      <w:bookmarkStart w:id="268" w:name="_Toc780"/>
      <w:bookmarkStart w:id="269" w:name="_Toc21465"/>
      <w:bookmarkStart w:id="270" w:name="_Toc166778332"/>
      <w:bookmarkStart w:id="271" w:name="_Toc103979575"/>
      <w:bookmarkStart w:id="272" w:name="_Toc30693"/>
      <w:r>
        <w:rPr>
          <w:rFonts w:hint="eastAsia" w:ascii="宋体" w:hAnsi="宋体"/>
          <w:color w:val="auto"/>
          <w:sz w:val="28"/>
          <w:szCs w:val="28"/>
          <w:highlight w:val="none"/>
        </w:rPr>
        <w:t>五、开标，资格审查和评标</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0794A455">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24. 开标</w:t>
      </w:r>
    </w:p>
    <w:p w14:paraId="0DF1EA2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24.1采购人、采购代理机构按</w:t>
      </w:r>
      <w:r>
        <w:rPr>
          <w:rFonts w:hint="eastAsia" w:ascii="宋体" w:hAnsi="宋体"/>
          <w:b/>
          <w:color w:val="auto"/>
          <w:szCs w:val="21"/>
          <w:highlight w:val="none"/>
        </w:rPr>
        <w:t>【投标须知前附表】</w:t>
      </w:r>
      <w:r>
        <w:rPr>
          <w:rFonts w:hint="eastAsia" w:ascii="宋体" w:hAnsi="宋体"/>
          <w:color w:val="auto"/>
          <w:szCs w:val="21"/>
          <w:highlight w:val="none"/>
        </w:rPr>
        <w:t>的规定组织网上开标，并邀请投标人参加。</w:t>
      </w:r>
    </w:p>
    <w:p w14:paraId="674EA09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24.2投标截止时间到达以后，投标人在规定时限内对电子投标文件进行解密。采购人、采购代理机构在网上进行开标、唱标，同步在网上公布开标结果。</w:t>
      </w:r>
    </w:p>
    <w:p w14:paraId="3811D4A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24.3开标注意事项：因投标人原因未按时限解密或无法解密的投标文件视为无效投标文件，相应责任由投标人自行承担。</w:t>
      </w:r>
    </w:p>
    <w:p w14:paraId="0B2B212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24.4投标人代表对开标过程和开标记录有疑义，以及认为采购人、采购代理机构相关工作人员有《政府采购法实施条例》第九条第一款需要回避的情形的，可以提出询问或者回避申请。</w:t>
      </w:r>
    </w:p>
    <w:p w14:paraId="31127BD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24.5采购人、采购代理机构对投标人提出的询问或者回避申请，按《政府采购法实施条例》有关规定及时处理。</w:t>
      </w:r>
    </w:p>
    <w:p w14:paraId="6F6D7A3B">
      <w:pPr>
        <w:adjustRightInd w:val="0"/>
        <w:snapToGrid w:val="0"/>
        <w:spacing w:line="360" w:lineRule="auto"/>
        <w:rPr>
          <w:rFonts w:ascii="宋体" w:hAnsi="宋体"/>
          <w:b/>
          <w:color w:val="auto"/>
          <w:sz w:val="24"/>
          <w:highlight w:val="none"/>
        </w:rPr>
      </w:pPr>
      <w:r>
        <w:rPr>
          <w:rStyle w:val="50"/>
          <w:rFonts w:hint="eastAsia" w:ascii="宋体" w:hAnsi="宋体" w:cs="Arial"/>
          <w:color w:val="auto"/>
          <w:sz w:val="24"/>
          <w:highlight w:val="none"/>
        </w:rPr>
        <w:t>25.</w:t>
      </w:r>
      <w:r>
        <w:rPr>
          <w:rFonts w:hint="eastAsia" w:ascii="宋体" w:hAnsi="宋体"/>
          <w:b/>
          <w:color w:val="auto"/>
          <w:sz w:val="24"/>
          <w:highlight w:val="none"/>
        </w:rPr>
        <w:t xml:space="preserve"> 资格审查</w:t>
      </w:r>
    </w:p>
    <w:p w14:paraId="5720471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25.1开标结束后，采购人、采购代理机构依法按照第三章“资格审查”规定组织资格审查。</w:t>
      </w:r>
    </w:p>
    <w:p w14:paraId="62CC010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25.2资格审查结束后，采购人、采购代理机构应将资格审查结果告知评标委员会。资格审查不合格投标人不进入评标；资格审查合格投标人少于3家的，不得评标。</w:t>
      </w:r>
    </w:p>
    <w:p w14:paraId="2545A441">
      <w:pPr>
        <w:adjustRightInd w:val="0"/>
        <w:snapToGrid w:val="0"/>
        <w:spacing w:line="360" w:lineRule="auto"/>
        <w:rPr>
          <w:rFonts w:ascii="宋体" w:hAnsi="宋体"/>
          <w:b/>
          <w:color w:val="auto"/>
          <w:sz w:val="24"/>
          <w:highlight w:val="none"/>
        </w:rPr>
      </w:pPr>
      <w:r>
        <w:rPr>
          <w:rFonts w:hint="eastAsia" w:ascii="宋体" w:hAnsi="宋体"/>
          <w:b/>
          <w:bCs/>
          <w:color w:val="auto"/>
          <w:sz w:val="24"/>
          <w:highlight w:val="none"/>
        </w:rPr>
        <w:t>26.</w:t>
      </w:r>
      <w:r>
        <w:rPr>
          <w:rFonts w:hint="eastAsia" w:ascii="宋体" w:hAnsi="宋体"/>
          <w:b/>
          <w:color w:val="auto"/>
          <w:sz w:val="24"/>
          <w:highlight w:val="none"/>
        </w:rPr>
        <w:t xml:space="preserve"> 评标委员会</w:t>
      </w:r>
    </w:p>
    <w:p w14:paraId="6530BA8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26.1评标由依法组建的评标委员会负责，评标委员会由采购人代表和评审专家组成。</w:t>
      </w:r>
    </w:p>
    <w:p w14:paraId="74DB20D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26.2评标委员会成员有下列情形之一的，应当回避：</w:t>
      </w:r>
    </w:p>
    <w:p w14:paraId="19768B0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（1）参加采购活动前三年内,与投标人存在劳动关系,或者担任过投标人的董事、监事,或者是投标人的控股股东或实际控制人；</w:t>
      </w:r>
    </w:p>
    <w:p w14:paraId="6779500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（2）与投标人的法定代表人或者负责人有夫妻、直系血亲、三代以内旁系血亲或者近姻亲关系；</w:t>
      </w:r>
    </w:p>
    <w:p w14:paraId="058E71E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（3）与投标人有其他可能影响政府采购活动公平、公正进行的关系。</w:t>
      </w:r>
    </w:p>
    <w:p w14:paraId="7C2B10F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26.3评标委员会负责具体评标事务，并独立履行下列职责：</w:t>
      </w:r>
    </w:p>
    <w:p w14:paraId="4192D91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（1）审查、评价投标文件是否符合招标文件的商务、技术等实质性要求；</w:t>
      </w:r>
    </w:p>
    <w:p w14:paraId="30F5A7A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（2）要求投标人对投标文件有关事项作出澄清或者说明；</w:t>
      </w:r>
    </w:p>
    <w:p w14:paraId="2FFF431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（3）对投标文件进行比较和评价；</w:t>
      </w:r>
    </w:p>
    <w:p w14:paraId="5EB8CCD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（4）确定中标候选人名单，以及根据采购人委托直接确定中标人。</w:t>
      </w:r>
    </w:p>
    <w:p w14:paraId="570F9103">
      <w:pPr>
        <w:adjustRightInd w:val="0"/>
        <w:snapToGrid w:val="0"/>
        <w:spacing w:line="360" w:lineRule="auto"/>
        <w:rPr>
          <w:rFonts w:ascii="宋体" w:hAnsi="宋体"/>
          <w:b/>
          <w:bCs/>
          <w:color w:val="auto"/>
          <w:sz w:val="24"/>
          <w:highlight w:val="none"/>
        </w:rPr>
      </w:pPr>
      <w:r>
        <w:rPr>
          <w:rFonts w:hint="eastAsia" w:ascii="宋体" w:hAnsi="宋体"/>
          <w:b/>
          <w:color w:val="auto"/>
          <w:sz w:val="24"/>
          <w:highlight w:val="none"/>
        </w:rPr>
        <w:t>27.</w:t>
      </w:r>
      <w:r>
        <w:rPr>
          <w:rFonts w:hint="eastAsia" w:ascii="宋体" w:hAnsi="宋体"/>
          <w:b/>
          <w:bCs/>
          <w:color w:val="auto"/>
          <w:sz w:val="24"/>
          <w:highlight w:val="none"/>
        </w:rPr>
        <w:t xml:space="preserve"> 评标</w:t>
      </w:r>
    </w:p>
    <w:p w14:paraId="3F5CE54D">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27.1评标委员会按照</w:t>
      </w:r>
      <w:r>
        <w:rPr>
          <w:rFonts w:hint="eastAsia" w:ascii="宋体" w:hAnsi="宋体"/>
          <w:bCs/>
          <w:color w:val="auto"/>
          <w:highlight w:val="none"/>
        </w:rPr>
        <w:t>第四章“评标方法及标准”</w:t>
      </w:r>
      <w:r>
        <w:rPr>
          <w:rFonts w:hint="eastAsia" w:ascii="宋体" w:hAnsi="宋体"/>
          <w:color w:val="auto"/>
          <w:highlight w:val="none"/>
        </w:rPr>
        <w:t>规定的评标方法、评审因素、标准和程序以及有关法律、法规及规章对投标文件进行评审。</w:t>
      </w:r>
    </w:p>
    <w:p w14:paraId="0F17238B">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27.2在电子化政府采购交易过程中，如遇不可抗力及停电、系统故障等情况短时内无法恢复正常的，采购人应暂停开、评标等交易活动，并如实记录相关情况。待故障和问题解除后，恢复交易活动。</w:t>
      </w:r>
    </w:p>
    <w:p w14:paraId="7EE32F7A">
      <w:pPr>
        <w:pStyle w:val="4"/>
        <w:adjustRightInd w:val="0"/>
        <w:snapToGrid w:val="0"/>
        <w:spacing w:beforeLines="50" w:after="0" w:line="360" w:lineRule="auto"/>
        <w:jc w:val="center"/>
        <w:rPr>
          <w:rFonts w:ascii="宋体" w:hAnsi="宋体"/>
          <w:color w:val="auto"/>
          <w:sz w:val="28"/>
          <w:szCs w:val="28"/>
          <w:highlight w:val="none"/>
        </w:rPr>
      </w:pPr>
      <w:bookmarkStart w:id="273" w:name="_Toc166778333"/>
      <w:bookmarkStart w:id="274" w:name="_Toc20717"/>
      <w:bookmarkStart w:id="275" w:name="_Toc12066"/>
      <w:bookmarkStart w:id="276" w:name="_Toc24913"/>
      <w:bookmarkStart w:id="277" w:name="_Toc14835"/>
      <w:bookmarkStart w:id="278" w:name="_Toc99299723"/>
      <w:bookmarkStart w:id="279" w:name="_Toc26181"/>
      <w:bookmarkStart w:id="280" w:name="_Toc109656575"/>
      <w:bookmarkStart w:id="281" w:name="_Toc9583"/>
      <w:bookmarkStart w:id="282" w:name="_Toc103979576"/>
      <w:bookmarkStart w:id="283" w:name="_Toc189905359"/>
      <w:bookmarkStart w:id="284" w:name="_Toc6624"/>
      <w:bookmarkStart w:id="285" w:name="_Toc1860"/>
      <w:bookmarkStart w:id="286" w:name="_Toc108483393"/>
      <w:bookmarkStart w:id="287" w:name="_Toc11031"/>
      <w:bookmarkStart w:id="288" w:name="_Toc18282"/>
      <w:bookmarkStart w:id="289" w:name="_Toc171282402"/>
      <w:bookmarkStart w:id="290" w:name="_Toc91"/>
      <w:bookmarkStart w:id="291" w:name="_Toc79093669"/>
      <w:bookmarkStart w:id="292" w:name="_Toc193053703"/>
      <w:bookmarkStart w:id="293" w:name="_Toc140957868"/>
      <w:bookmarkStart w:id="294" w:name="_Toc111543555"/>
      <w:bookmarkStart w:id="295" w:name="_Toc15303"/>
      <w:bookmarkStart w:id="296" w:name="_Toc8487"/>
      <w:bookmarkStart w:id="297" w:name="_Toc5228"/>
      <w:bookmarkStart w:id="298" w:name="_Toc26802"/>
      <w:bookmarkStart w:id="299" w:name="_Toc113350934"/>
      <w:bookmarkStart w:id="300" w:name="_Toc17922"/>
      <w:bookmarkStart w:id="301" w:name="_Toc22356"/>
      <w:bookmarkStart w:id="302" w:name="_Toc118209425"/>
      <w:bookmarkStart w:id="303" w:name="_Toc7197"/>
      <w:bookmarkStart w:id="304" w:name="_Toc137408715"/>
      <w:r>
        <w:rPr>
          <w:rFonts w:hint="eastAsia" w:ascii="宋体" w:hAnsi="宋体"/>
          <w:color w:val="auto"/>
          <w:sz w:val="28"/>
          <w:szCs w:val="28"/>
          <w:highlight w:val="none"/>
        </w:rPr>
        <w:t>六、中标信息公布</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14:paraId="329D0367">
      <w:pPr>
        <w:adjustRightInd w:val="0"/>
        <w:snapToGrid w:val="0"/>
        <w:spacing w:line="360" w:lineRule="auto"/>
        <w:rPr>
          <w:rFonts w:ascii="宋体" w:hAnsi="宋体"/>
          <w:b/>
          <w:bCs/>
          <w:color w:val="auto"/>
          <w:sz w:val="24"/>
          <w:highlight w:val="none"/>
        </w:rPr>
      </w:pPr>
      <w:r>
        <w:rPr>
          <w:rFonts w:hint="eastAsia" w:ascii="宋体" w:hAnsi="宋体"/>
          <w:b/>
          <w:color w:val="auto"/>
          <w:sz w:val="24"/>
          <w:highlight w:val="none"/>
        </w:rPr>
        <w:t>28.</w:t>
      </w:r>
      <w:r>
        <w:rPr>
          <w:rFonts w:hint="eastAsia" w:ascii="宋体" w:hAnsi="宋体"/>
          <w:b/>
          <w:bCs/>
          <w:color w:val="auto"/>
          <w:sz w:val="24"/>
          <w:highlight w:val="none"/>
        </w:rPr>
        <w:t>中标通知书与中标信息公布</w:t>
      </w:r>
    </w:p>
    <w:p w14:paraId="103C097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28.1采购代理机构应当在评标结束后2个工作日内将评标报告送采购人。</w:t>
      </w:r>
    </w:p>
    <w:p w14:paraId="6FACA01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28.2采购人应当自收到评标报告之日起5个工作日内，在评标报告确定的中标候选人名单中按顺序确定中标人。中标候选人并列的，按照</w:t>
      </w:r>
      <w:r>
        <w:rPr>
          <w:rFonts w:hint="eastAsia" w:ascii="宋体" w:hAnsi="宋体"/>
          <w:b/>
          <w:color w:val="auto"/>
          <w:szCs w:val="21"/>
          <w:highlight w:val="none"/>
        </w:rPr>
        <w:t>【投标须知前附表】</w:t>
      </w:r>
      <w:r>
        <w:rPr>
          <w:rFonts w:hint="eastAsia" w:ascii="宋体" w:hAnsi="宋体"/>
          <w:color w:val="auto"/>
          <w:szCs w:val="21"/>
          <w:highlight w:val="none"/>
        </w:rPr>
        <w:t>规定的方式确定中标人；招标文件未规定的，采取随机抽取的方式确定。</w:t>
      </w:r>
    </w:p>
    <w:p w14:paraId="4CDBCFB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28.3采购人、采购代理机构应当自采购人确定中标供应商之日起2个工作日内，发出中标通知书，并在招标公告指定媒体上公告中标结果，招标文件随中标结果同时公告，中标结果公告期限为1个工作日。</w:t>
      </w:r>
    </w:p>
    <w:p w14:paraId="1CE59D76">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29.</w:t>
      </w:r>
      <w:r>
        <w:rPr>
          <w:rFonts w:hint="eastAsia" w:ascii="宋体" w:hAnsi="宋体"/>
          <w:b/>
          <w:color w:val="auto"/>
          <w:sz w:val="24"/>
          <w:highlight w:val="none"/>
        </w:rPr>
        <w:t xml:space="preserve"> 投标人询问及</w:t>
      </w:r>
      <w:r>
        <w:rPr>
          <w:rFonts w:hint="eastAsia" w:ascii="宋体" w:hAnsi="宋体"/>
          <w:b/>
          <w:bCs/>
          <w:color w:val="auto"/>
          <w:sz w:val="24"/>
          <w:highlight w:val="none"/>
        </w:rPr>
        <w:t>质疑</w:t>
      </w:r>
    </w:p>
    <w:p w14:paraId="7807FC7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29.1投标人对政府采购活动事项有疑问的，可以向采购人、采购代理机构提出询问。采购人或者采购代理机构将在3个工作日内作出答复。</w:t>
      </w:r>
    </w:p>
    <w:p w14:paraId="30FE883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29.2投标人认为招标文件、采购过程和中标结果使自己的权益受到损害的，可以在知道或者应知其权益受到损害之日起7个工作日内，按照《湖南省财政厅关于印发＜政府采购质疑答复和投诉处理操作规程＞的通知》(湘财购〔2024〕67号)规定，以纸质书面形式向采购人、采购代理机构提出质疑。投标人应当在法定质疑期内一次性提出针对同一采购程序环节的质疑。</w:t>
      </w:r>
    </w:p>
    <w:p w14:paraId="31914AA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b/>
          <w:color w:val="auto"/>
          <w:szCs w:val="21"/>
          <w:highlight w:val="none"/>
        </w:rPr>
        <w:t>【申请人须知前附表】</w:t>
      </w:r>
      <w:r>
        <w:rPr>
          <w:rFonts w:hint="eastAsia" w:ascii="宋体" w:hAnsi="宋体"/>
          <w:color w:val="auto"/>
          <w:szCs w:val="21"/>
          <w:highlight w:val="none"/>
        </w:rPr>
        <w:t xml:space="preserve">。  </w:t>
      </w:r>
    </w:p>
    <w:p w14:paraId="5C1C97F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29.4采购人、采购代理机构按照《湖南省财政厅关于印发＜政府采购质疑答复和投诉处理操作规程＞的通知》规定进行质疑答复。</w:t>
      </w:r>
    </w:p>
    <w:p w14:paraId="3FE956DA">
      <w:pPr>
        <w:adjustRightInd w:val="0"/>
        <w:snapToGrid w:val="0"/>
        <w:spacing w:line="360" w:lineRule="auto"/>
        <w:ind w:firstLine="420" w:firstLineChars="200"/>
        <w:rPr>
          <w:rFonts w:ascii="宋体" w:hAnsi="宋体"/>
          <w:b/>
          <w:bCs/>
          <w:color w:val="auto"/>
          <w:highlight w:val="none"/>
        </w:rPr>
      </w:pPr>
      <w:r>
        <w:rPr>
          <w:rFonts w:hint="eastAsia" w:ascii="宋体" w:hAnsi="宋体"/>
          <w:color w:val="auto"/>
          <w:szCs w:val="21"/>
          <w:highlight w:val="none"/>
        </w:rPr>
        <w:t>29</w:t>
      </w:r>
      <w:r>
        <w:rPr>
          <w:rFonts w:ascii="宋体" w:hAnsi="宋体"/>
          <w:color w:val="auto"/>
          <w:szCs w:val="21"/>
          <w:highlight w:val="none"/>
        </w:rPr>
        <w:t>.</w:t>
      </w:r>
      <w:r>
        <w:rPr>
          <w:rFonts w:hint="eastAsia" w:ascii="宋体" w:hAnsi="宋体"/>
          <w:color w:val="auto"/>
          <w:szCs w:val="21"/>
          <w:highlight w:val="none"/>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79F6CDF4">
      <w:pPr>
        <w:pStyle w:val="4"/>
        <w:adjustRightInd w:val="0"/>
        <w:snapToGrid w:val="0"/>
        <w:spacing w:beforeLines="50" w:after="0" w:line="360" w:lineRule="auto"/>
        <w:jc w:val="center"/>
        <w:rPr>
          <w:rFonts w:ascii="宋体" w:hAnsi="宋体"/>
          <w:color w:val="auto"/>
          <w:sz w:val="28"/>
          <w:szCs w:val="28"/>
          <w:highlight w:val="none"/>
        </w:rPr>
      </w:pPr>
      <w:bookmarkStart w:id="305" w:name="_Toc28540"/>
      <w:bookmarkStart w:id="306" w:name="_Toc7010"/>
      <w:bookmarkStart w:id="307" w:name="_Toc8920"/>
      <w:bookmarkStart w:id="308" w:name="_Toc752"/>
      <w:bookmarkStart w:id="309" w:name="_Toc113350935"/>
      <w:bookmarkStart w:id="310" w:name="_Toc8430"/>
      <w:bookmarkStart w:id="311" w:name="_Toc32360"/>
      <w:bookmarkStart w:id="312" w:name="_Toc17268"/>
      <w:bookmarkStart w:id="313" w:name="_Toc166778334"/>
      <w:bookmarkStart w:id="314" w:name="_Toc140957869"/>
      <w:bookmarkStart w:id="315" w:name="_Toc13438"/>
      <w:bookmarkStart w:id="316" w:name="_Toc13681"/>
      <w:bookmarkStart w:id="317" w:name="_Toc328"/>
      <w:bookmarkStart w:id="318" w:name="_Toc137408716"/>
      <w:bookmarkStart w:id="319" w:name="_Toc13118"/>
      <w:bookmarkStart w:id="320" w:name="_Toc108483394"/>
      <w:bookmarkStart w:id="321" w:name="_Toc3749"/>
      <w:bookmarkStart w:id="322" w:name="_Toc103979577"/>
      <w:bookmarkStart w:id="323" w:name="_Toc193053704"/>
      <w:bookmarkStart w:id="324" w:name="_Toc79093670"/>
      <w:bookmarkStart w:id="325" w:name="_Toc10671"/>
      <w:bookmarkStart w:id="326" w:name="_Toc2292"/>
      <w:bookmarkStart w:id="327" w:name="_Toc171282403"/>
      <w:bookmarkStart w:id="328" w:name="_Toc189905360"/>
      <w:bookmarkStart w:id="329" w:name="_Toc29928"/>
      <w:bookmarkStart w:id="330" w:name="_Toc4403"/>
      <w:bookmarkStart w:id="331" w:name="_Toc111543556"/>
      <w:bookmarkStart w:id="332" w:name="_Toc99299724"/>
      <w:bookmarkStart w:id="333" w:name="_Toc31254"/>
      <w:bookmarkStart w:id="334" w:name="_Toc14894"/>
      <w:bookmarkStart w:id="335" w:name="_Toc118209426"/>
      <w:bookmarkStart w:id="336" w:name="_Toc109656576"/>
      <w:r>
        <w:rPr>
          <w:rFonts w:hint="eastAsia" w:ascii="宋体" w:hAnsi="宋体"/>
          <w:color w:val="auto"/>
          <w:sz w:val="28"/>
          <w:szCs w:val="28"/>
          <w:highlight w:val="none"/>
        </w:rPr>
        <w:t>七、合同签订</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69A851CE">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30. 签订合同</w:t>
      </w:r>
    </w:p>
    <w:p w14:paraId="1FB866B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30.1采购人应自中标通知书发出之日起30日内，按中标通知书指定的时间、地点与中标人签订政府采购合同。所签订的合同不得对招标文件确定的事项和中标人投标文件作实质性修改。</w:t>
      </w:r>
    </w:p>
    <w:p w14:paraId="36FADFB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30.2招标文件、中标人的投标文件均为签订合同的依据。</w:t>
      </w:r>
    </w:p>
    <w:p w14:paraId="74D70DE5">
      <w:pPr>
        <w:adjustRightInd w:val="0"/>
        <w:snapToGrid w:val="0"/>
        <w:spacing w:line="360" w:lineRule="auto"/>
        <w:ind w:firstLine="420" w:firstLineChars="200"/>
        <w:rPr>
          <w:rFonts w:ascii="宋体" w:hAnsi="宋体" w:cs="微软雅黑"/>
          <w:color w:val="auto"/>
          <w:kern w:val="0"/>
          <w:szCs w:val="21"/>
          <w:highlight w:val="none"/>
        </w:rPr>
      </w:pPr>
      <w:r>
        <w:rPr>
          <w:rFonts w:hint="eastAsia" w:ascii="宋体" w:hAnsi="宋体" w:cs="微软雅黑"/>
          <w:color w:val="auto"/>
          <w:kern w:val="0"/>
          <w:szCs w:val="21"/>
          <w:highlight w:val="none"/>
        </w:rPr>
        <w:t>30.3联</w:t>
      </w:r>
      <w:r>
        <w:rPr>
          <w:rFonts w:hint="eastAsia" w:ascii="宋体" w:hAnsi="宋体" w:cs="微软雅黑"/>
          <w:color w:val="auto"/>
          <w:spacing w:val="-2"/>
          <w:kern w:val="0"/>
          <w:szCs w:val="21"/>
          <w:highlight w:val="none"/>
        </w:rPr>
        <w:t>合</w:t>
      </w:r>
      <w:r>
        <w:rPr>
          <w:rFonts w:hint="eastAsia" w:ascii="宋体" w:hAnsi="宋体" w:cs="微软雅黑"/>
          <w:color w:val="auto"/>
          <w:kern w:val="0"/>
          <w:szCs w:val="21"/>
          <w:highlight w:val="none"/>
        </w:rPr>
        <w:t>体</w:t>
      </w:r>
      <w:r>
        <w:rPr>
          <w:rFonts w:hint="eastAsia" w:ascii="宋体" w:hAnsi="宋体" w:cs="微软雅黑"/>
          <w:color w:val="auto"/>
          <w:spacing w:val="-2"/>
          <w:kern w:val="0"/>
          <w:szCs w:val="21"/>
          <w:highlight w:val="none"/>
        </w:rPr>
        <w:t>中</w:t>
      </w:r>
      <w:r>
        <w:rPr>
          <w:rFonts w:hint="eastAsia" w:ascii="宋体" w:hAnsi="宋体" w:cs="微软雅黑"/>
          <w:color w:val="auto"/>
          <w:kern w:val="0"/>
          <w:szCs w:val="21"/>
          <w:highlight w:val="none"/>
        </w:rPr>
        <w:t>标的</w:t>
      </w:r>
      <w:r>
        <w:rPr>
          <w:rFonts w:hint="eastAsia" w:ascii="宋体" w:hAnsi="宋体" w:cs="微软雅黑"/>
          <w:color w:val="auto"/>
          <w:spacing w:val="-14"/>
          <w:kern w:val="0"/>
          <w:szCs w:val="21"/>
          <w:highlight w:val="none"/>
        </w:rPr>
        <w:t>，</w:t>
      </w:r>
      <w:r>
        <w:rPr>
          <w:rFonts w:hint="eastAsia" w:ascii="宋体" w:hAnsi="宋体" w:cs="微软雅黑"/>
          <w:color w:val="auto"/>
          <w:kern w:val="0"/>
          <w:szCs w:val="21"/>
          <w:highlight w:val="none"/>
        </w:rPr>
        <w:t>联</w:t>
      </w:r>
      <w:r>
        <w:rPr>
          <w:rFonts w:hint="eastAsia" w:ascii="宋体" w:hAnsi="宋体" w:cs="微软雅黑"/>
          <w:color w:val="auto"/>
          <w:spacing w:val="-2"/>
          <w:kern w:val="0"/>
          <w:szCs w:val="21"/>
          <w:highlight w:val="none"/>
        </w:rPr>
        <w:t>合</w:t>
      </w:r>
      <w:r>
        <w:rPr>
          <w:rFonts w:hint="eastAsia" w:ascii="宋体" w:hAnsi="宋体" w:cs="微软雅黑"/>
          <w:color w:val="auto"/>
          <w:kern w:val="0"/>
          <w:szCs w:val="21"/>
          <w:highlight w:val="none"/>
        </w:rPr>
        <w:t>体各</w:t>
      </w:r>
      <w:r>
        <w:rPr>
          <w:rFonts w:hint="eastAsia" w:ascii="宋体" w:hAnsi="宋体" w:cs="微软雅黑"/>
          <w:color w:val="auto"/>
          <w:spacing w:val="-2"/>
          <w:kern w:val="0"/>
          <w:szCs w:val="21"/>
          <w:highlight w:val="none"/>
        </w:rPr>
        <w:t>方</w:t>
      </w:r>
      <w:r>
        <w:rPr>
          <w:rFonts w:hint="eastAsia" w:ascii="宋体" w:hAnsi="宋体" w:cs="微软雅黑"/>
          <w:color w:val="auto"/>
          <w:kern w:val="0"/>
          <w:szCs w:val="21"/>
          <w:highlight w:val="none"/>
        </w:rPr>
        <w:t>应</w:t>
      </w:r>
      <w:r>
        <w:rPr>
          <w:rFonts w:hint="eastAsia" w:ascii="宋体" w:hAnsi="宋体" w:cs="微软雅黑"/>
          <w:color w:val="auto"/>
          <w:spacing w:val="-2"/>
          <w:kern w:val="0"/>
          <w:szCs w:val="21"/>
          <w:highlight w:val="none"/>
        </w:rPr>
        <w:t>当</w:t>
      </w:r>
      <w:r>
        <w:rPr>
          <w:rFonts w:hint="eastAsia" w:ascii="宋体" w:hAnsi="宋体" w:cs="微软雅黑"/>
          <w:color w:val="auto"/>
          <w:kern w:val="0"/>
          <w:szCs w:val="21"/>
          <w:highlight w:val="none"/>
        </w:rPr>
        <w:t>共</w:t>
      </w:r>
      <w:r>
        <w:rPr>
          <w:rFonts w:hint="eastAsia" w:ascii="宋体" w:hAnsi="宋体" w:cs="微软雅黑"/>
          <w:color w:val="auto"/>
          <w:spacing w:val="-2"/>
          <w:kern w:val="0"/>
          <w:szCs w:val="21"/>
          <w:highlight w:val="none"/>
        </w:rPr>
        <w:t>同</w:t>
      </w:r>
      <w:r>
        <w:rPr>
          <w:rFonts w:hint="eastAsia" w:ascii="宋体" w:hAnsi="宋体" w:cs="微软雅黑"/>
          <w:color w:val="auto"/>
          <w:kern w:val="0"/>
          <w:szCs w:val="21"/>
          <w:highlight w:val="none"/>
        </w:rPr>
        <w:t>与</w:t>
      </w:r>
      <w:r>
        <w:rPr>
          <w:rFonts w:hint="eastAsia" w:ascii="宋体" w:hAnsi="宋体" w:cs="微软雅黑"/>
          <w:color w:val="auto"/>
          <w:spacing w:val="-2"/>
          <w:kern w:val="0"/>
          <w:szCs w:val="21"/>
          <w:highlight w:val="none"/>
        </w:rPr>
        <w:t>采购人</w:t>
      </w:r>
      <w:r>
        <w:rPr>
          <w:rFonts w:hint="eastAsia" w:ascii="宋体" w:hAnsi="宋体" w:cs="微软雅黑"/>
          <w:color w:val="auto"/>
          <w:kern w:val="0"/>
          <w:szCs w:val="21"/>
          <w:highlight w:val="none"/>
        </w:rPr>
        <w:t>签订</w:t>
      </w:r>
      <w:r>
        <w:rPr>
          <w:rFonts w:hint="eastAsia" w:ascii="宋体" w:hAnsi="宋体" w:cs="微软雅黑"/>
          <w:color w:val="auto"/>
          <w:spacing w:val="-2"/>
          <w:kern w:val="0"/>
          <w:szCs w:val="21"/>
          <w:highlight w:val="none"/>
        </w:rPr>
        <w:t>合</w:t>
      </w:r>
      <w:r>
        <w:rPr>
          <w:rFonts w:hint="eastAsia" w:ascii="宋体" w:hAnsi="宋体" w:cs="微软雅黑"/>
          <w:color w:val="auto"/>
          <w:kern w:val="0"/>
          <w:szCs w:val="21"/>
          <w:highlight w:val="none"/>
        </w:rPr>
        <w:t>同</w:t>
      </w:r>
      <w:r>
        <w:rPr>
          <w:rFonts w:hint="eastAsia" w:ascii="宋体" w:hAnsi="宋体" w:cs="微软雅黑"/>
          <w:color w:val="auto"/>
          <w:spacing w:val="-14"/>
          <w:kern w:val="0"/>
          <w:szCs w:val="21"/>
          <w:highlight w:val="none"/>
        </w:rPr>
        <w:t>，</w:t>
      </w:r>
      <w:r>
        <w:rPr>
          <w:rFonts w:hint="eastAsia" w:ascii="宋体" w:hAnsi="宋体" w:cs="微软雅黑"/>
          <w:color w:val="auto"/>
          <w:kern w:val="0"/>
          <w:szCs w:val="21"/>
          <w:highlight w:val="none"/>
        </w:rPr>
        <w:t>就</w:t>
      </w:r>
      <w:r>
        <w:rPr>
          <w:rFonts w:hint="eastAsia" w:ascii="宋体" w:hAnsi="宋体" w:cs="微软雅黑"/>
          <w:color w:val="auto"/>
          <w:spacing w:val="-2"/>
          <w:kern w:val="0"/>
          <w:szCs w:val="21"/>
          <w:highlight w:val="none"/>
        </w:rPr>
        <w:t>中</w:t>
      </w:r>
      <w:r>
        <w:rPr>
          <w:rFonts w:hint="eastAsia" w:ascii="宋体" w:hAnsi="宋体" w:cs="微软雅黑"/>
          <w:color w:val="auto"/>
          <w:kern w:val="0"/>
          <w:szCs w:val="21"/>
          <w:highlight w:val="none"/>
        </w:rPr>
        <w:t>标</w:t>
      </w:r>
      <w:r>
        <w:rPr>
          <w:rFonts w:hint="eastAsia" w:ascii="宋体" w:hAnsi="宋体" w:cs="微软雅黑"/>
          <w:color w:val="auto"/>
          <w:spacing w:val="-2"/>
          <w:kern w:val="0"/>
          <w:szCs w:val="21"/>
          <w:highlight w:val="none"/>
        </w:rPr>
        <w:t>项</w:t>
      </w:r>
      <w:r>
        <w:rPr>
          <w:rFonts w:hint="eastAsia" w:ascii="宋体" w:hAnsi="宋体" w:cs="微软雅黑"/>
          <w:color w:val="auto"/>
          <w:kern w:val="0"/>
          <w:szCs w:val="21"/>
          <w:highlight w:val="none"/>
        </w:rPr>
        <w:t>目</w:t>
      </w:r>
      <w:r>
        <w:rPr>
          <w:rFonts w:hint="eastAsia" w:ascii="宋体" w:hAnsi="宋体" w:cs="微软雅黑"/>
          <w:color w:val="auto"/>
          <w:spacing w:val="-2"/>
          <w:kern w:val="0"/>
          <w:szCs w:val="21"/>
          <w:highlight w:val="none"/>
        </w:rPr>
        <w:t>向</w:t>
      </w:r>
      <w:r>
        <w:rPr>
          <w:rFonts w:hint="eastAsia" w:ascii="宋体" w:hAnsi="宋体" w:cs="微软雅黑"/>
          <w:color w:val="auto"/>
          <w:kern w:val="0"/>
          <w:szCs w:val="21"/>
          <w:highlight w:val="none"/>
        </w:rPr>
        <w:t>采购人承</w:t>
      </w:r>
      <w:r>
        <w:rPr>
          <w:rFonts w:hint="eastAsia" w:ascii="宋体" w:hAnsi="宋体" w:cs="微软雅黑"/>
          <w:color w:val="auto"/>
          <w:spacing w:val="-2"/>
          <w:kern w:val="0"/>
          <w:szCs w:val="21"/>
          <w:highlight w:val="none"/>
        </w:rPr>
        <w:t>担</w:t>
      </w:r>
      <w:r>
        <w:rPr>
          <w:rFonts w:hint="eastAsia" w:ascii="宋体" w:hAnsi="宋体" w:cs="微软雅黑"/>
          <w:color w:val="auto"/>
          <w:kern w:val="0"/>
          <w:szCs w:val="21"/>
          <w:highlight w:val="none"/>
        </w:rPr>
        <w:t>连带责</w:t>
      </w:r>
      <w:r>
        <w:rPr>
          <w:rFonts w:hint="eastAsia" w:ascii="宋体" w:hAnsi="宋体" w:cs="微软雅黑"/>
          <w:color w:val="auto"/>
          <w:spacing w:val="-2"/>
          <w:kern w:val="0"/>
          <w:szCs w:val="21"/>
          <w:highlight w:val="none"/>
        </w:rPr>
        <w:t>任</w:t>
      </w:r>
      <w:r>
        <w:rPr>
          <w:rFonts w:hint="eastAsia" w:ascii="宋体" w:hAnsi="宋体" w:cs="微软雅黑"/>
          <w:color w:val="auto"/>
          <w:kern w:val="0"/>
          <w:szCs w:val="21"/>
          <w:highlight w:val="none"/>
        </w:rPr>
        <w:t>。</w:t>
      </w:r>
    </w:p>
    <w:p w14:paraId="18228D3D">
      <w:pPr>
        <w:adjustRightInd w:val="0"/>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30.4</w:t>
      </w:r>
      <w:r>
        <w:rPr>
          <w:rFonts w:hint="eastAsia" w:ascii="宋体" w:hAnsi="宋体"/>
          <w:color w:val="auto"/>
          <w:szCs w:val="21"/>
          <w:highlight w:val="none"/>
        </w:rPr>
        <w:t>中标合同将在招标公告指定媒体上公告，但合同中涉及国家秘密、商业秘密的内容除外。</w:t>
      </w:r>
    </w:p>
    <w:p w14:paraId="6B373E94">
      <w:pPr>
        <w:adjustRightInd w:val="0"/>
        <w:snapToGrid w:val="0"/>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30.5中标人</w:t>
      </w:r>
      <w:r>
        <w:rPr>
          <w:rFonts w:hint="eastAsia" w:ascii="宋体" w:hAnsi="宋体"/>
          <w:bCs/>
          <w:color w:val="auto"/>
          <w:szCs w:val="21"/>
          <w:highlight w:val="none"/>
        </w:rPr>
        <w:t>应当按照合同约定依法履行合同义务。政府采购合同的履行、违约责任和解决争议的方法等适用《中华人民共和国民法典》。</w:t>
      </w:r>
    </w:p>
    <w:p w14:paraId="39B1F6AE">
      <w:pPr>
        <w:adjustRightInd w:val="0"/>
        <w:snapToGrid w:val="0"/>
        <w:spacing w:line="360" w:lineRule="auto"/>
        <w:rPr>
          <w:rFonts w:ascii="宋体" w:hAnsi="宋体" w:cs="宋体"/>
          <w:b/>
          <w:color w:val="auto"/>
          <w:kern w:val="0"/>
          <w:sz w:val="24"/>
          <w:highlight w:val="none"/>
        </w:rPr>
      </w:pPr>
      <w:r>
        <w:rPr>
          <w:rFonts w:hint="eastAsia" w:ascii="宋体" w:hAnsi="宋体"/>
          <w:b/>
          <w:bCs/>
          <w:color w:val="auto"/>
          <w:sz w:val="24"/>
          <w:highlight w:val="none"/>
        </w:rPr>
        <w:t>31.</w:t>
      </w:r>
      <w:r>
        <w:rPr>
          <w:rFonts w:hint="eastAsia" w:ascii="宋体" w:hAnsi="宋体" w:cs="宋体"/>
          <w:b/>
          <w:color w:val="auto"/>
          <w:kern w:val="0"/>
          <w:sz w:val="24"/>
          <w:highlight w:val="none"/>
        </w:rPr>
        <w:t xml:space="preserve"> 履约担保</w:t>
      </w:r>
    </w:p>
    <w:p w14:paraId="73007572">
      <w:pPr>
        <w:adjustRightInd w:val="0"/>
        <w:snapToGrid w:val="0"/>
        <w:spacing w:line="360" w:lineRule="auto"/>
        <w:ind w:firstLine="420" w:firstLineChars="200"/>
        <w:rPr>
          <w:rFonts w:ascii="宋体" w:hAnsi="宋体"/>
          <w:color w:val="auto"/>
          <w:szCs w:val="21"/>
          <w:highlight w:val="none"/>
        </w:rPr>
      </w:pPr>
      <w:r>
        <w:rPr>
          <w:rFonts w:hint="eastAsia" w:ascii="宋体" w:hAnsi="宋体" w:cs="宋体"/>
          <w:color w:val="auto"/>
          <w:kern w:val="0"/>
          <w:szCs w:val="21"/>
          <w:highlight w:val="none"/>
        </w:rPr>
        <w:t>31.1</w:t>
      </w:r>
      <w:r>
        <w:rPr>
          <w:rFonts w:hint="eastAsia" w:ascii="宋体" w:hAnsi="宋体"/>
          <w:color w:val="auto"/>
          <w:szCs w:val="21"/>
          <w:highlight w:val="none"/>
        </w:rPr>
        <w:t>招标文件要求中标人向采购人提交履约担保的，中标人应按照</w:t>
      </w:r>
      <w:r>
        <w:rPr>
          <w:rFonts w:hint="eastAsia" w:ascii="宋体" w:hAnsi="宋体"/>
          <w:b/>
          <w:color w:val="auto"/>
          <w:szCs w:val="21"/>
          <w:highlight w:val="none"/>
        </w:rPr>
        <w:t>【投标须知前附表】</w:t>
      </w:r>
      <w:r>
        <w:rPr>
          <w:rFonts w:hint="eastAsia" w:ascii="宋体" w:hAnsi="宋体"/>
          <w:color w:val="auto"/>
          <w:szCs w:val="21"/>
          <w:highlight w:val="none"/>
        </w:rPr>
        <w:t>的规定提交，</w:t>
      </w:r>
      <w:r>
        <w:rPr>
          <w:rFonts w:hint="eastAsia" w:ascii="宋体" w:hAnsi="宋体"/>
          <w:bCs/>
          <w:color w:val="auto"/>
          <w:szCs w:val="21"/>
          <w:highlight w:val="none"/>
        </w:rPr>
        <w:t>投标人可以保函、电子增信替代履约担保</w:t>
      </w:r>
      <w:r>
        <w:rPr>
          <w:rFonts w:hint="eastAsia" w:ascii="宋体" w:hAnsi="宋体"/>
          <w:color w:val="auto"/>
          <w:szCs w:val="21"/>
          <w:highlight w:val="none"/>
        </w:rPr>
        <w:t>。</w:t>
      </w:r>
    </w:p>
    <w:p w14:paraId="11E24924">
      <w:pPr>
        <w:adjustRightInd w:val="0"/>
        <w:snapToGrid w:val="0"/>
        <w:spacing w:line="360" w:lineRule="auto"/>
        <w:ind w:firstLine="420" w:firstLineChars="200"/>
        <w:rPr>
          <w:rFonts w:ascii="宋体" w:hAnsi="宋体"/>
          <w:color w:val="auto"/>
          <w:szCs w:val="21"/>
          <w:highlight w:val="none"/>
        </w:rPr>
      </w:pPr>
    </w:p>
    <w:p w14:paraId="511427AD">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32.</w:t>
      </w:r>
      <w:r>
        <w:rPr>
          <w:rFonts w:hint="eastAsia" w:ascii="宋体" w:hAnsi="宋体"/>
          <w:b/>
          <w:color w:val="auto"/>
          <w:sz w:val="24"/>
          <w:highlight w:val="none"/>
        </w:rPr>
        <w:t xml:space="preserve"> 政府采购合同履行中</w:t>
      </w:r>
      <w:r>
        <w:rPr>
          <w:rFonts w:hint="eastAsia" w:ascii="宋体" w:hAnsi="宋体"/>
          <w:b/>
          <w:bCs/>
          <w:color w:val="auto"/>
          <w:sz w:val="24"/>
          <w:highlight w:val="none"/>
        </w:rPr>
        <w:t>数量的变更</w:t>
      </w:r>
    </w:p>
    <w:p w14:paraId="5FF5F9F0">
      <w:pPr>
        <w:adjustRightInd w:val="0"/>
        <w:snapToGrid w:val="0"/>
        <w:spacing w:line="360" w:lineRule="auto"/>
        <w:ind w:firstLine="420" w:firstLineChars="200"/>
        <w:rPr>
          <w:rFonts w:ascii="宋体" w:hAnsi="宋体"/>
          <w:color w:val="auto"/>
          <w:sz w:val="28"/>
          <w:szCs w:val="28"/>
          <w:highlight w:val="none"/>
        </w:rPr>
      </w:pPr>
      <w:r>
        <w:rPr>
          <w:rFonts w:hint="eastAsia" w:ascii="宋体" w:hAnsi="宋体"/>
          <w:color w:val="auto"/>
          <w:highlight w:val="none"/>
        </w:rPr>
        <w:t>32.1政府采购合同履行中，采购人需追加与合同标的相同的货物服务的，在不改变合同其他条款的前提下，可以与中标人协商签订补充合同，但所有补充合同的采购金额不得超过原合同采购金额的百分之十。</w:t>
      </w:r>
    </w:p>
    <w:p w14:paraId="48573FBE">
      <w:pPr>
        <w:pStyle w:val="4"/>
        <w:adjustRightInd w:val="0"/>
        <w:snapToGrid w:val="0"/>
        <w:spacing w:beforeLines="50" w:after="0" w:line="360" w:lineRule="auto"/>
        <w:jc w:val="center"/>
        <w:rPr>
          <w:rFonts w:ascii="宋体" w:hAnsi="宋体"/>
          <w:color w:val="auto"/>
          <w:sz w:val="28"/>
          <w:szCs w:val="28"/>
          <w:highlight w:val="none"/>
        </w:rPr>
      </w:pPr>
      <w:bookmarkStart w:id="337" w:name="_Toc31336"/>
      <w:bookmarkStart w:id="338" w:name="_Toc30695"/>
      <w:bookmarkStart w:id="339" w:name="_Toc12398"/>
      <w:bookmarkStart w:id="340" w:name="_Toc6602"/>
      <w:bookmarkStart w:id="341" w:name="_Toc15142"/>
      <w:bookmarkStart w:id="342" w:name="_Toc193053705"/>
      <w:bookmarkStart w:id="343" w:name="_Toc189905361"/>
      <w:bookmarkStart w:id="344" w:name="_Toc79093671"/>
      <w:bookmarkStart w:id="345" w:name="_Toc3474"/>
      <w:bookmarkStart w:id="346" w:name="_Toc28028"/>
      <w:bookmarkStart w:id="347" w:name="_Toc118209427"/>
      <w:bookmarkStart w:id="348" w:name="_Toc27382"/>
      <w:bookmarkStart w:id="349" w:name="_Toc137408717"/>
      <w:bookmarkStart w:id="350" w:name="_Toc9738"/>
      <w:bookmarkStart w:id="351" w:name="_Toc13595"/>
      <w:bookmarkStart w:id="352" w:name="_Toc108483395"/>
      <w:bookmarkStart w:id="353" w:name="_Toc171282404"/>
      <w:bookmarkStart w:id="354" w:name="_Toc140957870"/>
      <w:bookmarkStart w:id="355" w:name="_Toc3277"/>
      <w:bookmarkStart w:id="356" w:name="_Toc24745"/>
      <w:bookmarkStart w:id="357" w:name="_Toc111543557"/>
      <w:bookmarkStart w:id="358" w:name="_Toc166778335"/>
      <w:bookmarkStart w:id="359" w:name="_Toc99299725"/>
      <w:bookmarkStart w:id="360" w:name="_Toc109656577"/>
      <w:bookmarkStart w:id="361" w:name="_Toc103979578"/>
      <w:bookmarkStart w:id="362" w:name="_Toc24582"/>
      <w:bookmarkStart w:id="363" w:name="_Toc3639"/>
      <w:bookmarkStart w:id="364" w:name="_Toc16186"/>
      <w:bookmarkStart w:id="365" w:name="_Toc10555"/>
      <w:bookmarkStart w:id="366" w:name="_Toc113350936"/>
      <w:bookmarkStart w:id="367" w:name="_Toc15284"/>
      <w:bookmarkStart w:id="368" w:name="_Toc18118"/>
      <w:r>
        <w:rPr>
          <w:rFonts w:hint="eastAsia" w:ascii="宋体" w:hAnsi="宋体"/>
          <w:color w:val="auto"/>
          <w:sz w:val="28"/>
          <w:szCs w:val="28"/>
          <w:highlight w:val="none"/>
        </w:rPr>
        <w:t>八、</w:t>
      </w:r>
      <w:bookmarkEnd w:id="337"/>
      <w:bookmarkEnd w:id="338"/>
      <w:bookmarkEnd w:id="339"/>
      <w:bookmarkEnd w:id="340"/>
      <w:r>
        <w:rPr>
          <w:rFonts w:hint="eastAsia" w:ascii="宋体" w:hAnsi="宋体"/>
          <w:color w:val="auto"/>
          <w:sz w:val="28"/>
          <w:szCs w:val="28"/>
          <w:highlight w:val="none"/>
        </w:rPr>
        <w:t>政府采购政策</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14:paraId="2055318A">
      <w:pPr>
        <w:adjustRightInd w:val="0"/>
        <w:snapToGrid w:val="0"/>
        <w:spacing w:line="360" w:lineRule="auto"/>
        <w:rPr>
          <w:rFonts w:ascii="宋体" w:hAnsi="宋体"/>
          <w:b/>
          <w:color w:val="auto"/>
          <w:sz w:val="24"/>
          <w:highlight w:val="none"/>
        </w:rPr>
      </w:pPr>
      <w:r>
        <w:rPr>
          <w:rFonts w:hint="eastAsia" w:ascii="宋体" w:hAnsi="宋体"/>
          <w:b/>
          <w:bCs/>
          <w:color w:val="auto"/>
          <w:sz w:val="24"/>
          <w:highlight w:val="none"/>
        </w:rPr>
        <w:t>33.</w:t>
      </w:r>
      <w:r>
        <w:rPr>
          <w:rFonts w:hint="eastAsia" w:ascii="宋体" w:hAnsi="宋体"/>
          <w:b/>
          <w:color w:val="auto"/>
          <w:sz w:val="24"/>
          <w:highlight w:val="none"/>
        </w:rPr>
        <w:t>政府采购政策</w:t>
      </w:r>
    </w:p>
    <w:p w14:paraId="35EF47D2">
      <w:pPr>
        <w:adjustRightInd w:val="0"/>
        <w:snapToGrid w:val="0"/>
        <w:spacing w:line="360" w:lineRule="auto"/>
        <w:ind w:firstLine="420" w:firstLineChars="200"/>
        <w:rPr>
          <w:rFonts w:ascii="宋体" w:hAnsi="宋体" w:cs="宋体"/>
          <w:color w:val="auto"/>
          <w:kern w:val="0"/>
          <w:highlight w:val="none"/>
        </w:rPr>
      </w:pPr>
      <w:r>
        <w:rPr>
          <w:rFonts w:hint="eastAsia" w:ascii="宋体" w:hAnsi="宋体" w:cs="宋体"/>
          <w:color w:val="auto"/>
          <w:kern w:val="0"/>
          <w:highlight w:val="none"/>
        </w:rPr>
        <w:t>33.1优先采购：</w:t>
      </w:r>
    </w:p>
    <w:p w14:paraId="56BC5182">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w:t>
      </w:r>
      <w:r>
        <w:rPr>
          <w:rFonts w:hint="eastAsia" w:ascii="宋体" w:hAnsi="宋体"/>
          <w:color w:val="auto"/>
          <w:szCs w:val="21"/>
          <w:highlight w:val="none"/>
        </w:rPr>
        <w:t>纳入财政部会同国务院有关部门发布的节能产品、环境标志产品政府采购品目清单，实施政府优先采购的，评审时按招标文件第四章第一节有关规定对该部分产品给予一定比例的价格折扣或者加分；</w:t>
      </w:r>
    </w:p>
    <w:p w14:paraId="1D96189C">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（2）纳入湖南省财政厅等有关部门发布的湖南省两型产品政府采购目录的，实施政府优先采购，评审时按</w:t>
      </w:r>
      <w:r>
        <w:rPr>
          <w:rFonts w:hint="eastAsia" w:ascii="宋体" w:hAnsi="宋体"/>
          <w:color w:val="auto"/>
          <w:szCs w:val="21"/>
          <w:highlight w:val="none"/>
        </w:rPr>
        <w:t>招标文件第四章第一节有关规定对该部分产品</w:t>
      </w:r>
      <w:r>
        <w:rPr>
          <w:rFonts w:hint="eastAsia" w:ascii="宋体" w:hAnsi="宋体"/>
          <w:color w:val="auto"/>
          <w:highlight w:val="none"/>
        </w:rPr>
        <w:t>给予一定比例的价格折扣或者加分。</w:t>
      </w:r>
    </w:p>
    <w:p w14:paraId="50AED232">
      <w:pPr>
        <w:adjustRightInd w:val="0"/>
        <w:snapToGrid w:val="0"/>
        <w:spacing w:line="360" w:lineRule="auto"/>
        <w:ind w:firstLine="420" w:firstLineChars="200"/>
        <w:rPr>
          <w:rFonts w:ascii="宋体" w:hAnsi="宋体" w:cs="宋体"/>
          <w:color w:val="auto"/>
          <w:kern w:val="0"/>
          <w:highlight w:val="none"/>
        </w:rPr>
      </w:pPr>
      <w:r>
        <w:rPr>
          <w:rFonts w:hint="eastAsia" w:ascii="宋体" w:hAnsi="宋体" w:cs="宋体"/>
          <w:color w:val="auto"/>
          <w:kern w:val="0"/>
          <w:highlight w:val="none"/>
        </w:rPr>
        <w:t>33.2强制采购：</w:t>
      </w:r>
    </w:p>
    <w:p w14:paraId="4EFE5DF2">
      <w:pPr>
        <w:adjustRightInd w:val="0"/>
        <w:snapToGrid w:val="0"/>
        <w:spacing w:line="360" w:lineRule="auto"/>
        <w:ind w:firstLine="420" w:firstLineChars="200"/>
        <w:rPr>
          <w:rFonts w:ascii="宋体" w:hAnsi="宋体" w:cs="宋体"/>
          <w:color w:val="auto"/>
          <w:kern w:val="0"/>
          <w:highlight w:val="none"/>
        </w:rPr>
      </w:pPr>
      <w:r>
        <w:rPr>
          <w:rFonts w:hint="eastAsia" w:ascii="宋体" w:hAnsi="宋体" w:cs="宋体"/>
          <w:color w:val="auto"/>
          <w:kern w:val="0"/>
          <w:highlight w:val="none"/>
        </w:rPr>
        <w:t>（1）纳入财政部会同国务院有关部门发布的节能产品政府采购品目清单，实施政府强制采购的（品目清单标注</w:t>
      </w:r>
      <w:r>
        <w:rPr>
          <w:rFonts w:hint="eastAsia" w:ascii="宋体" w:hAnsi="宋体" w:cs="宋体"/>
          <w:color w:val="auto"/>
          <w:kern w:val="0"/>
          <w:highlight w:val="none"/>
        </w:rPr>
        <w:sym w:font="Wingdings" w:char="F0AB"/>
      </w:r>
      <w:r>
        <w:rPr>
          <w:rFonts w:hint="eastAsia" w:ascii="宋体" w:hAnsi="宋体" w:cs="宋体"/>
          <w:color w:val="auto"/>
          <w:kern w:val="0"/>
          <w:highlight w:val="none"/>
        </w:rPr>
        <w:t>符号产品），投标人投标产品应当取得国家确定的认证机构出具的、处于有效期之内的节能产品认证证书，否则其</w:t>
      </w:r>
      <w:r>
        <w:rPr>
          <w:rFonts w:hint="eastAsia" w:ascii="宋体" w:hAnsi="宋体" w:cs="宋体"/>
          <w:b/>
          <w:color w:val="auto"/>
          <w:kern w:val="0"/>
          <w:szCs w:val="21"/>
          <w:highlight w:val="none"/>
        </w:rPr>
        <w:t>投标无效</w:t>
      </w:r>
      <w:r>
        <w:rPr>
          <w:rFonts w:hint="eastAsia" w:ascii="宋体" w:hAnsi="宋体" w:cs="宋体"/>
          <w:color w:val="auto"/>
          <w:kern w:val="0"/>
          <w:highlight w:val="none"/>
        </w:rPr>
        <w:t>。</w:t>
      </w:r>
    </w:p>
    <w:p w14:paraId="5290636C">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33.3价格评审优惠：</w:t>
      </w:r>
    </w:p>
    <w:p w14:paraId="5AF8E3C4">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在政府采购活动中，供应商提供的货物、工程或者服务符合下列情形的：（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给予一定比例的价格折扣，用扣除后的价格参与评审；</w:t>
      </w:r>
    </w:p>
    <w:p w14:paraId="41C20556">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14:paraId="163367F0">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接受大中型企业与小微企业组成联合体或者允许大中型企业向一家或者多家小微企业分包的采购项目，对于联合协议或者分包意向协议约定小微企业的合同份额占到合同总金额40%以上的，给予一定比例的价格折扣，用扣除后的价格参与评审。以联合体形式参加政府采购活动，联合体各方均为中小企业的，联合体视同中小企业。其中，联合体各方均为小微企业的，联合体视同小微企业；</w:t>
      </w:r>
    </w:p>
    <w:p w14:paraId="0CC813B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highlight w:val="none"/>
        </w:rPr>
        <w:t>（3）符合中小企业划分标准的个体工商户视同中小企业，享受评审中价格扣除等促进中小企业发展的政府采购政策</w:t>
      </w:r>
      <w:r>
        <w:rPr>
          <w:rFonts w:hint="eastAsia" w:ascii="宋体" w:hAnsi="宋体"/>
          <w:color w:val="auto"/>
          <w:szCs w:val="21"/>
          <w:highlight w:val="none"/>
        </w:rPr>
        <w:t>。</w:t>
      </w:r>
    </w:p>
    <w:p w14:paraId="39E75584">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（4）监狱企业、残疾人福利性单位视同小型、微型企业，享受评审中价格扣除等促进中小企业发展的政府采购政策。</w:t>
      </w:r>
    </w:p>
    <w:p w14:paraId="6EF65A3B">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（5）与大企业的负责人为同一人，或者与大企业存在直接控股、管理关系的中小企业，不享受评审中价格扣除等促进中小企业发展的政府采购政策。</w:t>
      </w:r>
    </w:p>
    <w:p w14:paraId="5815FDA8">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（6）本章第1.2款规定采购项目或者采购包属于“预留采购份额”的，预留部分不再享受本款“价格评审优惠”的小微企业扶持政策。</w:t>
      </w:r>
    </w:p>
    <w:p w14:paraId="2938A83B">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33.4政府采购政策交叉与叠加</w:t>
      </w:r>
    </w:p>
    <w:p w14:paraId="73170FCA">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（1）投标产品取得两个及以上优先采购产品认证的，评审时只有其中一项产品能享受优先采购优惠（投标人自行选择，并在投标文件中并填报相关信息及数据）</w:t>
      </w:r>
    </w:p>
    <w:p w14:paraId="254AA7C0">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（2）投标人同时符合小型、微型企业及监狱企业、残疾人福利性单位要求的，评审时只有一种类型享受价格评审优惠政策；</w:t>
      </w:r>
    </w:p>
    <w:p w14:paraId="238090F6">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（3）小型和微型企业的价格评审优惠可以与同时属于“节能产品”、“环境标志产品”及“两型产品”中的一项优先采购优惠累加计算。</w:t>
      </w:r>
    </w:p>
    <w:p w14:paraId="6E24FE29">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33.5在货物采购项目中，供应商提供的货物既有中小企业制造货物，也有大型企业制造货物的，不享受政府采购中小企业扶持政策。</w:t>
      </w:r>
    </w:p>
    <w:p w14:paraId="521977D6">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33.6投标人符合本章第33.1款、第33.2款、第33.3款规定的，应提供相关证明资料。</w:t>
      </w:r>
    </w:p>
    <w:p w14:paraId="3F7CAF38">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（1）节能产品、环境标志产品：提供国家确定的认证机构出具的、处于有效期之内的节能产品、环境标志产品认证证书。</w:t>
      </w:r>
    </w:p>
    <w:p w14:paraId="12B82477">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（2）两型产品：提供《湖南省两型产品政府采购目录》（最新一期）文件首页和投标产品所在页（截图）。</w:t>
      </w:r>
    </w:p>
    <w:p w14:paraId="7DAE8D78">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（3）中小企业：货物类采购项目，按《关于印发＜政府采购促进中小企业发展办法＞的通知》(财库[2020]46号) 和《关于印发中小企业划型标准规定的通知》（工信部联企业〔2011〕300号）文件规定提供中小企业声明函（格式）；服务类采购项目，按《湖南省财政厅关于政府采购促进中小企业发展的有关措施的通知》（湘财购[2022]17号）文件规定提供湖南省政府采购供应商资格承诺函（格式）。</w:t>
      </w:r>
    </w:p>
    <w:p w14:paraId="0F801DD3">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（4）监狱企业：按《关于政府采购支持监狱企业发展有关问题的通知》(财库〔2014〕68号)文件规定提供证明文件。</w:t>
      </w:r>
    </w:p>
    <w:p w14:paraId="4CF5C6E3">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（5）残疾人福利性单位：按《关于促进残疾人就业政府采购政策的通知》(财库〔2017〕141号)文件规定提供《残疾人福利性单位声明函》（格式）。</w:t>
      </w:r>
    </w:p>
    <w:p w14:paraId="03F5AD37">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33.7执行中小企业预留采购份额政策的规定：</w:t>
      </w:r>
    </w:p>
    <w:p w14:paraId="18EEB224">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（1）预留份额的采购项目或者采购包，应明确该项目或相关采购包专门面向中小企业采购，并作为供应商资格条件。</w:t>
      </w:r>
    </w:p>
    <w:p w14:paraId="14C8BA31">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（2）要求以联合体形式参加或者合同分包的，应明确联合协议或者分包意向协议中中小企业合同金额应当达到的比例，并作为供应商资格条件。</w:t>
      </w:r>
    </w:p>
    <w:p w14:paraId="17488F43">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（3）组成联合体或者接受分包合同的中小企业与联合体内其他企业(成员)、分包企业(投标人)之间不得存在直接控股、管理关系。</w:t>
      </w:r>
    </w:p>
    <w:p w14:paraId="1BDFF897">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33.8采购进口产品</w:t>
      </w:r>
    </w:p>
    <w:p w14:paraId="2BDC3809">
      <w:pPr>
        <w:adjustRightInd w:val="0"/>
        <w:snapToGrid w:val="0"/>
        <w:spacing w:line="360" w:lineRule="auto"/>
        <w:ind w:firstLine="420" w:firstLineChars="200"/>
        <w:rPr>
          <w:rFonts w:ascii="宋体" w:hAnsi="宋体"/>
          <w:color w:val="auto"/>
          <w:highlight w:val="none"/>
        </w:rPr>
      </w:pPr>
      <w:r>
        <w:rPr>
          <w:rFonts w:hint="eastAsia" w:ascii="宋体" w:hAnsi="宋体" w:cs="宋体"/>
          <w:color w:val="auto"/>
          <w:kern w:val="0"/>
          <w:szCs w:val="21"/>
          <w:highlight w:val="none"/>
        </w:rPr>
        <w:t>进口产品是指符合《政府采购进口产品管理办法》（财库〔2007〕119号）和《关于政府采购进口产品管理有关问题的通知》（财办库〔2008〕248号）文件规定的产品。除</w:t>
      </w:r>
      <w:r>
        <w:rPr>
          <w:rFonts w:hint="eastAsia" w:ascii="宋体" w:hAnsi="宋体"/>
          <w:b/>
          <w:color w:val="auto"/>
          <w:szCs w:val="21"/>
          <w:highlight w:val="none"/>
        </w:rPr>
        <w:t>【投标须知前附表】</w:t>
      </w:r>
      <w:r>
        <w:rPr>
          <w:rFonts w:hint="eastAsia" w:ascii="宋体" w:hAnsi="宋体" w:cs="宋体"/>
          <w:color w:val="auto"/>
          <w:kern w:val="0"/>
          <w:szCs w:val="21"/>
          <w:highlight w:val="none"/>
        </w:rPr>
        <w:t>另有规定外，采购项目</w:t>
      </w:r>
      <w:r>
        <w:rPr>
          <w:rFonts w:hint="eastAsia" w:ascii="宋体" w:hAnsi="宋体" w:cs="宋体"/>
          <w:b/>
          <w:color w:val="auto"/>
          <w:kern w:val="0"/>
          <w:szCs w:val="21"/>
          <w:highlight w:val="none"/>
        </w:rPr>
        <w:t>拒绝进口产品参加投标</w:t>
      </w:r>
      <w:r>
        <w:rPr>
          <w:rFonts w:hint="eastAsia" w:ascii="宋体" w:hAnsi="宋体" w:cs="宋体"/>
          <w:color w:val="auto"/>
          <w:kern w:val="0"/>
          <w:szCs w:val="21"/>
          <w:highlight w:val="none"/>
        </w:rPr>
        <w:t>。本款规定同意购买进口产品的，不限制满足招标文件要求的国内产品参与投标竞争。</w:t>
      </w:r>
    </w:p>
    <w:p w14:paraId="768A2D2F">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33.9投标人有融资、担保需求的，可登陆中国湖南政府采购网查询相关银行、担保机构业务。</w:t>
      </w:r>
    </w:p>
    <w:p w14:paraId="1A67E536">
      <w:pPr>
        <w:pStyle w:val="4"/>
        <w:adjustRightInd w:val="0"/>
        <w:snapToGrid w:val="0"/>
        <w:spacing w:beforeLines="50" w:after="0" w:line="360" w:lineRule="auto"/>
        <w:jc w:val="center"/>
        <w:rPr>
          <w:rFonts w:ascii="宋体" w:hAnsi="宋体"/>
          <w:color w:val="auto"/>
          <w:sz w:val="28"/>
          <w:szCs w:val="28"/>
          <w:highlight w:val="none"/>
        </w:rPr>
      </w:pPr>
      <w:bookmarkStart w:id="369" w:name="_Toc6819"/>
      <w:bookmarkStart w:id="370" w:name="_Toc193053706"/>
      <w:bookmarkStart w:id="371" w:name="_Toc109656578"/>
      <w:bookmarkStart w:id="372" w:name="_Toc171282405"/>
      <w:bookmarkStart w:id="373" w:name="_Toc137408718"/>
      <w:bookmarkStart w:id="374" w:name="_Toc1219"/>
      <w:bookmarkStart w:id="375" w:name="_Toc7193"/>
      <w:bookmarkStart w:id="376" w:name="_Toc79093672"/>
      <w:bookmarkStart w:id="377" w:name="_Toc103979579"/>
      <w:bookmarkStart w:id="378" w:name="_Toc26502"/>
      <w:bookmarkStart w:id="379" w:name="_Toc733"/>
      <w:bookmarkStart w:id="380" w:name="_Toc31643"/>
      <w:bookmarkStart w:id="381" w:name="_Toc111543558"/>
      <w:bookmarkStart w:id="382" w:name="_Toc166778336"/>
      <w:bookmarkStart w:id="383" w:name="_Toc27182"/>
      <w:bookmarkStart w:id="384" w:name="_Toc189905362"/>
      <w:bookmarkStart w:id="385" w:name="_Toc26341"/>
      <w:bookmarkStart w:id="386" w:name="_Toc12927"/>
      <w:bookmarkStart w:id="387" w:name="_Toc29193"/>
      <w:bookmarkStart w:id="388" w:name="_Toc13771"/>
      <w:bookmarkStart w:id="389" w:name="_Toc118209428"/>
      <w:bookmarkStart w:id="390" w:name="_Toc108483396"/>
      <w:bookmarkStart w:id="391" w:name="_Toc113350937"/>
      <w:bookmarkStart w:id="392" w:name="_Toc99299726"/>
      <w:bookmarkStart w:id="393" w:name="_Toc5102"/>
      <w:bookmarkStart w:id="394" w:name="_Toc140957871"/>
      <w:bookmarkStart w:id="395" w:name="_Toc24320"/>
      <w:bookmarkStart w:id="396" w:name="_Toc13142"/>
      <w:bookmarkStart w:id="397" w:name="_Toc8411"/>
      <w:bookmarkStart w:id="398" w:name="_Toc31956"/>
      <w:bookmarkStart w:id="399" w:name="_Toc25968"/>
      <w:bookmarkStart w:id="400" w:name="_Toc5429"/>
      <w:r>
        <w:rPr>
          <w:rFonts w:hint="eastAsia" w:ascii="宋体" w:hAnsi="宋体"/>
          <w:color w:val="auto"/>
          <w:sz w:val="28"/>
          <w:szCs w:val="28"/>
          <w:highlight w:val="none"/>
        </w:rPr>
        <w:t>九、其他规定</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14:paraId="16B85F54">
      <w:pPr>
        <w:adjustRightInd w:val="0"/>
        <w:snapToGrid w:val="0"/>
        <w:spacing w:beforeLines="50" w:line="360" w:lineRule="auto"/>
        <w:rPr>
          <w:rFonts w:ascii="宋体" w:hAnsi="宋体"/>
          <w:b/>
          <w:color w:val="auto"/>
          <w:sz w:val="24"/>
          <w:highlight w:val="none"/>
        </w:rPr>
      </w:pPr>
      <w:r>
        <w:rPr>
          <w:rFonts w:hint="eastAsia" w:ascii="宋体" w:hAnsi="宋体"/>
          <w:b/>
          <w:bCs/>
          <w:color w:val="auto"/>
          <w:sz w:val="24"/>
          <w:highlight w:val="none"/>
        </w:rPr>
        <w:t>34.</w:t>
      </w:r>
      <w:r>
        <w:rPr>
          <w:rFonts w:hint="eastAsia" w:ascii="宋体" w:hAnsi="宋体"/>
          <w:b/>
          <w:color w:val="auto"/>
          <w:sz w:val="24"/>
          <w:highlight w:val="none"/>
        </w:rPr>
        <w:t>招标不足三家处理</w:t>
      </w:r>
    </w:p>
    <w:p w14:paraId="3BA4EAE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34.1公开招标数额标准以上的采购项目，投标截止后投标人不足3家或者通过资格审查或符合性审查的投标人不足3家的，除采购任务取消情形外，按照以下方式处理：</w:t>
      </w:r>
    </w:p>
    <w:p w14:paraId="6703D69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（1）招标文件存在不合理条款或者招标程序不符合规定的，采购人、采购代理机构改正后依法重新招标；</w:t>
      </w:r>
    </w:p>
    <w:p w14:paraId="0985C6B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（2）招标文件没有不合理条款、招标程序符合规定，需要采用其他采购方式采购的，采购人应当依法报财政部门批准。</w:t>
      </w:r>
    </w:p>
    <w:p w14:paraId="4F4B74A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34.2属上款第（2）项情形的，评标委员会应出具招标文件没有不合理条款的论证意见。</w:t>
      </w:r>
    </w:p>
    <w:p w14:paraId="052BCEAC">
      <w:pPr>
        <w:adjustRightInd w:val="0"/>
        <w:snapToGrid w:val="0"/>
        <w:spacing w:line="360" w:lineRule="auto"/>
        <w:rPr>
          <w:rFonts w:ascii="宋体" w:hAnsi="宋体"/>
          <w:b/>
          <w:color w:val="auto"/>
          <w:sz w:val="24"/>
          <w:highlight w:val="none"/>
        </w:rPr>
      </w:pPr>
      <w:r>
        <w:rPr>
          <w:rFonts w:hint="eastAsia" w:ascii="宋体" w:hAnsi="宋体"/>
          <w:b/>
          <w:bCs/>
          <w:color w:val="auto"/>
          <w:sz w:val="24"/>
          <w:highlight w:val="none"/>
        </w:rPr>
        <w:t>35.</w:t>
      </w:r>
      <w:r>
        <w:rPr>
          <w:rFonts w:hint="eastAsia" w:ascii="宋体" w:hAnsi="宋体"/>
          <w:b/>
          <w:color w:val="auto"/>
          <w:sz w:val="24"/>
          <w:highlight w:val="none"/>
        </w:rPr>
        <w:t xml:space="preserve"> 需要补充的其他内容</w:t>
      </w:r>
    </w:p>
    <w:p w14:paraId="1634493C">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35.1合同价款支付</w:t>
      </w:r>
    </w:p>
    <w:p w14:paraId="274284B0">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（1）招标文件</w:t>
      </w:r>
      <w:r>
        <w:rPr>
          <w:rFonts w:hint="eastAsia" w:ascii="宋体" w:hAnsi="宋体"/>
          <w:bCs/>
          <w:color w:val="auto"/>
          <w:szCs w:val="21"/>
          <w:highlight w:val="none"/>
        </w:rPr>
        <w:t>规定支付合同预付款的，采购人应按</w:t>
      </w:r>
      <w:r>
        <w:rPr>
          <w:rFonts w:hint="eastAsia" w:ascii="宋体" w:hAnsi="宋体"/>
          <w:b/>
          <w:color w:val="auto"/>
          <w:szCs w:val="21"/>
          <w:highlight w:val="none"/>
        </w:rPr>
        <w:t>【投标须知前附表】</w:t>
      </w:r>
      <w:r>
        <w:rPr>
          <w:rFonts w:hint="eastAsia" w:ascii="宋体" w:hAnsi="宋体"/>
          <w:bCs/>
          <w:color w:val="auto"/>
          <w:szCs w:val="21"/>
          <w:highlight w:val="none"/>
        </w:rPr>
        <w:t>规定的支付比例和支付条件向符合要求的中标供应商及时支付相应款项，并在政府采购合同中进行明确。</w:t>
      </w:r>
    </w:p>
    <w:p w14:paraId="7B3A4DE0">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（2）招标文件</w:t>
      </w:r>
      <w:r>
        <w:rPr>
          <w:rFonts w:hint="eastAsia" w:ascii="宋体" w:hAnsi="宋体"/>
          <w:bCs/>
          <w:color w:val="auto"/>
          <w:highlight w:val="none"/>
        </w:rPr>
        <w:t>规定需提交质量保证金的，采购人可以按</w:t>
      </w:r>
      <w:r>
        <w:rPr>
          <w:rFonts w:hint="eastAsia" w:ascii="宋体" w:hAnsi="宋体"/>
          <w:b/>
          <w:color w:val="auto"/>
          <w:highlight w:val="none"/>
        </w:rPr>
        <w:t>【投标须知前附表】</w:t>
      </w:r>
      <w:r>
        <w:rPr>
          <w:rFonts w:hint="eastAsia" w:ascii="宋体" w:hAnsi="宋体"/>
          <w:bCs/>
          <w:color w:val="auto"/>
          <w:highlight w:val="none"/>
        </w:rPr>
        <w:t>规定要求中标供应商提交质量保证金，并在政府采购合同中进行明确。</w:t>
      </w:r>
    </w:p>
    <w:p w14:paraId="720AA7F0">
      <w:pPr>
        <w:adjustRightInd w:val="0"/>
        <w:snapToGrid w:val="0"/>
        <w:spacing w:line="360" w:lineRule="auto"/>
        <w:ind w:firstLine="420" w:firstLineChars="200"/>
        <w:rPr>
          <w:rFonts w:ascii="宋体" w:hAnsi="宋体"/>
          <w:color w:val="auto"/>
          <w:highlight w:val="none"/>
        </w:rPr>
      </w:pPr>
      <w:r>
        <w:rPr>
          <w:rFonts w:hint="eastAsia" w:ascii="宋体" w:hAnsi="宋体"/>
          <w:bCs/>
          <w:color w:val="auto"/>
          <w:highlight w:val="none"/>
        </w:rPr>
        <w:t>（3）投标人可以保函、电子增信替代预付款担保、质量保证金。</w:t>
      </w:r>
    </w:p>
    <w:p w14:paraId="7D9D031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highlight w:val="none"/>
        </w:rPr>
        <w:t>35.2招标文件需要补充的其</w:t>
      </w:r>
      <w:r>
        <w:rPr>
          <w:rFonts w:hint="eastAsia" w:ascii="宋体" w:hAnsi="宋体"/>
          <w:color w:val="auto"/>
          <w:szCs w:val="21"/>
          <w:highlight w:val="none"/>
        </w:rPr>
        <w:t>他内容见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6C1ECB6A">
      <w:pPr>
        <w:pStyle w:val="24"/>
        <w:adjustRightInd w:val="0"/>
        <w:snapToGrid w:val="0"/>
        <w:spacing w:beforeLines="50" w:line="360" w:lineRule="auto"/>
        <w:jc w:val="center"/>
        <w:outlineLvl w:val="0"/>
        <w:rPr>
          <w:rFonts w:hAnsi="宋体"/>
          <w:b/>
          <w:color w:val="auto"/>
          <w:sz w:val="32"/>
          <w:szCs w:val="32"/>
          <w:highlight w:val="none"/>
        </w:rPr>
      </w:pPr>
      <w:r>
        <w:rPr>
          <w:rFonts w:hAnsi="宋体"/>
          <w:color w:val="auto"/>
          <w:highlight w:val="none"/>
        </w:rPr>
        <w:br w:type="page"/>
      </w:r>
      <w:bookmarkStart w:id="401" w:name="_Toc15608"/>
      <w:bookmarkStart w:id="402" w:name="_Toc189905363"/>
      <w:bookmarkStart w:id="403" w:name="_Toc13528"/>
      <w:bookmarkStart w:id="404" w:name="_Toc4149"/>
      <w:bookmarkStart w:id="405" w:name="_Toc109656579"/>
      <w:bookmarkStart w:id="406" w:name="_Toc26507"/>
      <w:bookmarkStart w:id="407" w:name="_Toc118209429"/>
      <w:bookmarkStart w:id="408" w:name="_Toc5431"/>
      <w:bookmarkStart w:id="409" w:name="_Toc79093673"/>
      <w:bookmarkStart w:id="410" w:name="_Toc31093"/>
      <w:bookmarkStart w:id="411" w:name="_Toc14248"/>
      <w:bookmarkStart w:id="412" w:name="_Toc1524"/>
      <w:bookmarkStart w:id="413" w:name="_Toc108483397"/>
      <w:bookmarkStart w:id="414" w:name="_Toc23612"/>
      <w:bookmarkStart w:id="415" w:name="_Toc137408719"/>
      <w:bookmarkStart w:id="416" w:name="_Toc14070"/>
      <w:bookmarkStart w:id="417" w:name="_Toc140957872"/>
      <w:bookmarkStart w:id="418" w:name="_Toc25969"/>
      <w:bookmarkStart w:id="419" w:name="_Toc113350938"/>
      <w:bookmarkStart w:id="420" w:name="_Toc171282406"/>
      <w:bookmarkStart w:id="421" w:name="_Toc99299727"/>
      <w:bookmarkStart w:id="422" w:name="_Toc103979580"/>
      <w:bookmarkStart w:id="423" w:name="_Toc1675"/>
      <w:bookmarkStart w:id="424" w:name="_Toc166778337"/>
      <w:bookmarkStart w:id="425" w:name="_Toc9881"/>
      <w:bookmarkStart w:id="426" w:name="_Toc10925"/>
      <w:bookmarkStart w:id="427" w:name="_Toc15320"/>
      <w:bookmarkStart w:id="428" w:name="_Toc26266"/>
      <w:bookmarkStart w:id="429" w:name="_Toc12958"/>
      <w:bookmarkStart w:id="430" w:name="_Toc111543559"/>
      <w:bookmarkStart w:id="431" w:name="_Toc28526"/>
      <w:bookmarkStart w:id="432" w:name="_Toc193053707"/>
      <w:r>
        <w:rPr>
          <w:rFonts w:hint="eastAsia" w:hAnsi="宋体"/>
          <w:b/>
          <w:color w:val="auto"/>
          <w:sz w:val="32"/>
          <w:szCs w:val="32"/>
          <w:highlight w:val="none"/>
        </w:rPr>
        <w:t>第三章 资格审查</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433B3209">
      <w:pPr>
        <w:pStyle w:val="4"/>
        <w:adjustRightInd w:val="0"/>
        <w:snapToGrid w:val="0"/>
        <w:spacing w:before="0" w:after="0" w:line="360" w:lineRule="auto"/>
        <w:rPr>
          <w:rFonts w:ascii="宋体" w:hAnsi="宋体"/>
          <w:color w:val="auto"/>
          <w:sz w:val="24"/>
          <w:szCs w:val="24"/>
          <w:highlight w:val="none"/>
        </w:rPr>
      </w:pPr>
      <w:bookmarkStart w:id="433" w:name="_Toc9255"/>
      <w:bookmarkStart w:id="434" w:name="_Toc11712"/>
      <w:bookmarkStart w:id="435" w:name="_Toc15956"/>
      <w:bookmarkStart w:id="436" w:name="_Toc30047"/>
      <w:bookmarkStart w:id="437" w:name="_Toc118209430"/>
      <w:bookmarkStart w:id="438" w:name="_Toc137408720"/>
      <w:bookmarkStart w:id="439" w:name="_Toc26121"/>
      <w:bookmarkStart w:id="440" w:name="_Toc103979581"/>
      <w:bookmarkStart w:id="441" w:name="_Toc9734"/>
      <w:bookmarkStart w:id="442" w:name="_Toc113350939"/>
      <w:bookmarkStart w:id="443" w:name="_Toc9579"/>
      <w:bookmarkStart w:id="444" w:name="_Toc24113"/>
      <w:bookmarkStart w:id="445" w:name="_Toc18845"/>
      <w:bookmarkStart w:id="446" w:name="_Toc12005"/>
      <w:bookmarkStart w:id="447" w:name="_Toc4073"/>
      <w:bookmarkStart w:id="448" w:name="_Toc28925"/>
      <w:bookmarkStart w:id="449" w:name="_Toc108483398"/>
      <w:bookmarkStart w:id="450" w:name="_Toc99299728"/>
      <w:bookmarkStart w:id="451" w:name="_Toc30020"/>
      <w:bookmarkStart w:id="452" w:name="_Toc111543560"/>
      <w:bookmarkStart w:id="453" w:name="_Toc166778338"/>
      <w:bookmarkStart w:id="454" w:name="_Toc193053708"/>
      <w:bookmarkStart w:id="455" w:name="_Toc19553"/>
      <w:bookmarkStart w:id="456" w:name="_Toc140957873"/>
      <w:bookmarkStart w:id="457" w:name="_Toc24501"/>
      <w:bookmarkStart w:id="458" w:name="_Toc24163"/>
      <w:bookmarkStart w:id="459" w:name="_Toc79093674"/>
      <w:bookmarkStart w:id="460" w:name="_Toc5519"/>
      <w:bookmarkStart w:id="461" w:name="_Toc171282407"/>
      <w:bookmarkStart w:id="462" w:name="_Toc1265"/>
      <w:bookmarkStart w:id="463" w:name="_Toc189905364"/>
      <w:bookmarkStart w:id="464" w:name="_Toc109656580"/>
      <w:r>
        <w:rPr>
          <w:rFonts w:hint="eastAsia" w:ascii="宋体" w:hAnsi="宋体"/>
          <w:color w:val="auto"/>
          <w:sz w:val="24"/>
          <w:szCs w:val="24"/>
          <w:highlight w:val="none"/>
        </w:rPr>
        <w:t>1．资格审查主体</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14:paraId="72949F0C">
      <w:pPr>
        <w:adjustRightInd w:val="0"/>
        <w:snapToGrid w:val="0"/>
        <w:spacing w:line="360" w:lineRule="auto"/>
        <w:ind w:firstLine="417" w:firstLineChars="199"/>
        <w:rPr>
          <w:rFonts w:ascii="宋体" w:hAnsi="宋体"/>
          <w:color w:val="auto"/>
          <w:szCs w:val="21"/>
          <w:highlight w:val="none"/>
        </w:rPr>
      </w:pPr>
      <w:r>
        <w:rPr>
          <w:rFonts w:hint="eastAsia" w:ascii="宋体" w:hAnsi="宋体"/>
          <w:color w:val="auto"/>
          <w:szCs w:val="21"/>
          <w:highlight w:val="none"/>
        </w:rPr>
        <w:t>1.1资格审查主体：采购人、采购代理机构负责资格审查。</w:t>
      </w:r>
    </w:p>
    <w:p w14:paraId="7C260338">
      <w:pPr>
        <w:pStyle w:val="4"/>
        <w:adjustRightInd w:val="0"/>
        <w:snapToGrid w:val="0"/>
        <w:spacing w:before="0" w:after="0" w:line="360" w:lineRule="auto"/>
        <w:rPr>
          <w:rFonts w:ascii="宋体" w:hAnsi="宋体"/>
          <w:color w:val="auto"/>
          <w:sz w:val="24"/>
          <w:szCs w:val="24"/>
          <w:highlight w:val="none"/>
        </w:rPr>
      </w:pPr>
      <w:bookmarkStart w:id="465" w:name="_Toc103979582"/>
      <w:bookmarkStart w:id="466" w:name="_Toc6379"/>
      <w:bookmarkStart w:id="467" w:name="_Toc12401"/>
      <w:bookmarkStart w:id="468" w:name="_Toc24465"/>
      <w:bookmarkStart w:id="469" w:name="_Toc12061"/>
      <w:bookmarkStart w:id="470" w:name="_Toc7744"/>
      <w:bookmarkStart w:id="471" w:name="_Toc19993"/>
      <w:bookmarkStart w:id="472" w:name="_Toc25827"/>
      <w:bookmarkStart w:id="473" w:name="_Toc189905365"/>
      <w:bookmarkStart w:id="474" w:name="_Toc111543561"/>
      <w:bookmarkStart w:id="475" w:name="_Toc137408721"/>
      <w:bookmarkStart w:id="476" w:name="_Toc171282408"/>
      <w:bookmarkStart w:id="477" w:name="_Toc27240"/>
      <w:bookmarkStart w:id="478" w:name="_Toc166778339"/>
      <w:bookmarkStart w:id="479" w:name="_Toc2433"/>
      <w:bookmarkStart w:id="480" w:name="_Toc109656581"/>
      <w:bookmarkStart w:id="481" w:name="_Toc79093675"/>
      <w:bookmarkStart w:id="482" w:name="_Toc23131"/>
      <w:bookmarkStart w:id="483" w:name="_Toc14163"/>
      <w:bookmarkStart w:id="484" w:name="_Toc113350940"/>
      <w:bookmarkStart w:id="485" w:name="_Toc108483399"/>
      <w:bookmarkStart w:id="486" w:name="_Toc18866"/>
      <w:bookmarkStart w:id="487" w:name="_Toc14840"/>
      <w:bookmarkStart w:id="488" w:name="_Toc26314"/>
      <w:bookmarkStart w:id="489" w:name="_Toc23466"/>
      <w:bookmarkStart w:id="490" w:name="_Toc118209431"/>
      <w:bookmarkStart w:id="491" w:name="_Toc2499"/>
      <w:bookmarkStart w:id="492" w:name="_Toc140957874"/>
      <w:bookmarkStart w:id="493" w:name="_Toc193053709"/>
      <w:bookmarkStart w:id="494" w:name="_Toc21869"/>
      <w:bookmarkStart w:id="495" w:name="_Toc28000"/>
      <w:bookmarkStart w:id="496" w:name="_Toc99299729"/>
      <w:r>
        <w:rPr>
          <w:rFonts w:hint="eastAsia" w:ascii="宋体" w:hAnsi="宋体"/>
          <w:color w:val="auto"/>
          <w:sz w:val="24"/>
          <w:szCs w:val="24"/>
          <w:highlight w:val="none"/>
        </w:rPr>
        <w:t>2．资格审查</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14:paraId="5BE4283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2.1资格审查依据法律法规和招标文件的规定，对投标文件中的资格证明文件、投标报价等进行审查，以确定投标供应商是否具备投标资格。</w:t>
      </w:r>
    </w:p>
    <w:p w14:paraId="19A1316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2.2采购人、采购代理机构按本章附表1“资格审查表”所列审查项目及审查标准，对投标人资格进行审查。</w:t>
      </w:r>
    </w:p>
    <w:p w14:paraId="4A75263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2.3在资格审查时，投标人存在下列情况之一的，资格审查不合格，其投标无效：</w:t>
      </w:r>
    </w:p>
    <w:p w14:paraId="21135BC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（1）不具备招标文件中规定的资格要求的，或提交的资格证明文件不符合招标文件要求的；</w:t>
      </w:r>
    </w:p>
    <w:p w14:paraId="479290B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（2）联合体投标未提交联合体协议书，或未提交联合体各方资格证明文件的；</w:t>
      </w:r>
    </w:p>
    <w:p w14:paraId="4AA9A6A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（3）投标文件的资格证明文件未按照招标文件要求编制、签署、盖章的；</w:t>
      </w:r>
    </w:p>
    <w:p w14:paraId="2E6F790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（4）投标报价超过招标文件中规定的预算金额或者最高限价的；</w:t>
      </w:r>
    </w:p>
    <w:p w14:paraId="61AC615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（5）法律、法规和招标文件规定的其他投标无效情形的。</w:t>
      </w:r>
    </w:p>
    <w:p w14:paraId="31FF1054">
      <w:pPr>
        <w:adjustRightInd w:val="0"/>
        <w:snapToGrid w:val="0"/>
        <w:spacing w:line="360" w:lineRule="auto"/>
        <w:ind w:firstLine="420" w:firstLineChars="200"/>
        <w:rPr>
          <w:rFonts w:ascii="宋体" w:hAnsi="宋体"/>
          <w:b/>
          <w:color w:val="auto"/>
          <w:sz w:val="32"/>
          <w:szCs w:val="32"/>
          <w:highlight w:val="none"/>
        </w:rPr>
      </w:pPr>
      <w:r>
        <w:rPr>
          <w:rFonts w:hint="eastAsia" w:ascii="宋体" w:hAnsi="宋体"/>
          <w:color w:val="auto"/>
          <w:highlight w:val="none"/>
        </w:rPr>
        <w:t>2.4信用记录。开标结束后</w:t>
      </w:r>
      <w:r>
        <w:rPr>
          <w:rFonts w:hint="eastAsia" w:ascii="宋体" w:hAnsi="宋体"/>
          <w:color w:val="auto"/>
          <w:szCs w:val="21"/>
          <w:highlight w:val="none"/>
        </w:rPr>
        <w:t>资格审查时，采购人、采购代理机构将对投标人信用记录进行甄别。</w:t>
      </w:r>
    </w:p>
    <w:p w14:paraId="11F6697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（1）信用信息查询的查询渠道：信用中国网（www.creditchina.gov.cn）、中国政府采购网（www.ccgp.gov.cn）；</w:t>
      </w:r>
    </w:p>
    <w:p w14:paraId="7D29211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4A414C2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（3）联合体形式投标的，联合体成员存在不良信用记录的，视同联合体存在不良信用记录。</w:t>
      </w:r>
    </w:p>
    <w:p w14:paraId="5410164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（4）信用信息查询记录和证据留存具体方式：</w:t>
      </w:r>
      <w:r>
        <w:rPr>
          <w:rFonts w:hint="eastAsia" w:ascii="宋体" w:hAnsi="宋体"/>
          <w:color w:val="auto"/>
          <w:sz w:val="22"/>
          <w:szCs w:val="22"/>
          <w:highlight w:val="none"/>
        </w:rPr>
        <w:t>采购人、采购代理机构</w:t>
      </w:r>
      <w:r>
        <w:rPr>
          <w:rFonts w:ascii="宋体" w:hAnsi="宋体"/>
          <w:color w:val="auto"/>
          <w:sz w:val="22"/>
          <w:szCs w:val="22"/>
          <w:highlight w:val="none"/>
        </w:rPr>
        <w:t>经办人将查询网页</w:t>
      </w:r>
      <w:r>
        <w:rPr>
          <w:rFonts w:hint="eastAsia" w:ascii="宋体" w:hAnsi="宋体"/>
          <w:color w:val="auto"/>
          <w:sz w:val="22"/>
          <w:szCs w:val="22"/>
          <w:highlight w:val="none"/>
        </w:rPr>
        <w:t>截图、</w:t>
      </w:r>
      <w:r>
        <w:rPr>
          <w:rFonts w:ascii="宋体" w:hAnsi="宋体"/>
          <w:color w:val="auto"/>
          <w:sz w:val="22"/>
          <w:szCs w:val="22"/>
          <w:highlight w:val="none"/>
        </w:rPr>
        <w:t>打印、签字</w:t>
      </w:r>
      <w:r>
        <w:rPr>
          <w:rFonts w:hint="eastAsia" w:ascii="宋体" w:hAnsi="宋体"/>
          <w:color w:val="auto"/>
          <w:sz w:val="22"/>
          <w:szCs w:val="22"/>
          <w:highlight w:val="none"/>
        </w:rPr>
        <w:t>，作为查询记录和证据，与其他采购文件一并保存。</w:t>
      </w:r>
      <w:r>
        <w:rPr>
          <w:rFonts w:ascii="宋体" w:hAnsi="宋体"/>
          <w:color w:val="auto"/>
          <w:sz w:val="22"/>
          <w:szCs w:val="22"/>
          <w:highlight w:val="none"/>
        </w:rPr>
        <w:t>投标人不良信用记录以</w:t>
      </w:r>
      <w:r>
        <w:rPr>
          <w:rFonts w:hint="eastAsia" w:ascii="宋体" w:hAnsi="宋体"/>
          <w:color w:val="auto"/>
          <w:sz w:val="22"/>
          <w:szCs w:val="22"/>
          <w:highlight w:val="none"/>
        </w:rPr>
        <w:t>采购人、采购代理机构</w:t>
      </w:r>
      <w:r>
        <w:rPr>
          <w:rFonts w:ascii="宋体" w:hAnsi="宋体"/>
          <w:color w:val="auto"/>
          <w:sz w:val="22"/>
          <w:szCs w:val="22"/>
          <w:highlight w:val="none"/>
        </w:rPr>
        <w:t>查询结果为准</w:t>
      </w:r>
      <w:r>
        <w:rPr>
          <w:rFonts w:hint="eastAsia" w:ascii="宋体" w:hAnsi="宋体"/>
          <w:color w:val="auto"/>
          <w:sz w:val="22"/>
          <w:szCs w:val="22"/>
          <w:highlight w:val="none"/>
        </w:rPr>
        <w:t>。</w:t>
      </w:r>
    </w:p>
    <w:p w14:paraId="71C1696F">
      <w:pPr>
        <w:pStyle w:val="4"/>
        <w:adjustRightInd w:val="0"/>
        <w:snapToGrid w:val="0"/>
        <w:spacing w:before="0" w:after="0" w:line="360" w:lineRule="auto"/>
        <w:rPr>
          <w:rFonts w:ascii="宋体" w:hAnsi="宋体"/>
          <w:color w:val="auto"/>
          <w:sz w:val="24"/>
          <w:szCs w:val="24"/>
          <w:highlight w:val="none"/>
        </w:rPr>
      </w:pPr>
      <w:bookmarkStart w:id="497" w:name="_Toc113350941"/>
      <w:bookmarkStart w:id="498" w:name="_Toc14118"/>
      <w:bookmarkStart w:id="499" w:name="_Toc171282409"/>
      <w:bookmarkStart w:id="500" w:name="_Toc193053710"/>
      <w:bookmarkStart w:id="501" w:name="_Toc189905366"/>
      <w:bookmarkStart w:id="502" w:name="_Toc21201"/>
      <w:bookmarkStart w:id="503" w:name="_Toc29966"/>
      <w:bookmarkStart w:id="504" w:name="_Toc103979583"/>
      <w:bookmarkStart w:id="505" w:name="_Toc166778340"/>
      <w:bookmarkStart w:id="506" w:name="_Toc12441"/>
      <w:bookmarkStart w:id="507" w:name="_Toc111543562"/>
      <w:bookmarkStart w:id="508" w:name="_Toc4011"/>
      <w:bookmarkStart w:id="509" w:name="_Toc3424"/>
      <w:bookmarkStart w:id="510" w:name="_Toc118209432"/>
      <w:bookmarkStart w:id="511" w:name="_Toc23806"/>
      <w:bookmarkStart w:id="512" w:name="_Toc25689"/>
      <w:bookmarkStart w:id="513" w:name="_Toc25110"/>
      <w:bookmarkStart w:id="514" w:name="_Toc18034"/>
      <w:bookmarkStart w:id="515" w:name="_Toc140957875"/>
      <w:bookmarkStart w:id="516" w:name="_Toc28741"/>
      <w:bookmarkStart w:id="517" w:name="_Toc11040"/>
      <w:bookmarkStart w:id="518" w:name="_Toc3885"/>
      <w:bookmarkStart w:id="519" w:name="_Toc28324"/>
      <w:bookmarkStart w:id="520" w:name="_Toc6730"/>
      <w:bookmarkStart w:id="521" w:name="_Toc137408722"/>
      <w:bookmarkStart w:id="522" w:name="_Toc26805"/>
      <w:bookmarkStart w:id="523" w:name="_Toc23919"/>
      <w:bookmarkStart w:id="524" w:name="_Toc109656582"/>
      <w:bookmarkStart w:id="525" w:name="_Toc108483400"/>
      <w:bookmarkStart w:id="526" w:name="_Toc79093676"/>
      <w:bookmarkStart w:id="527" w:name="_Toc8094"/>
      <w:bookmarkStart w:id="528" w:name="_Toc99299730"/>
      <w:r>
        <w:rPr>
          <w:rFonts w:hint="eastAsia" w:ascii="宋体" w:hAnsi="宋体"/>
          <w:color w:val="auto"/>
          <w:sz w:val="24"/>
          <w:szCs w:val="24"/>
          <w:highlight w:val="none"/>
        </w:rPr>
        <w:t>3．资格审查结果</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14:paraId="2262505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3.1未通过资格审查的投标人，采购人、采购代理机构应当告知其未通过的原因。</w:t>
      </w:r>
    </w:p>
    <w:p w14:paraId="0A6C823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3.2资格审查结束后，采购人、采购代理机构应将资格审查结果告知评标委员会。</w:t>
      </w:r>
    </w:p>
    <w:p w14:paraId="2C98CFB6">
      <w:pPr>
        <w:adjustRightInd w:val="0"/>
        <w:snapToGrid w:val="0"/>
        <w:spacing w:line="360" w:lineRule="auto"/>
        <w:ind w:firstLine="420" w:firstLineChars="200"/>
        <w:rPr>
          <w:rFonts w:ascii="宋体" w:hAnsi="宋体"/>
          <w:color w:val="auto"/>
          <w:highlight w:val="none"/>
        </w:rPr>
      </w:pPr>
      <w:r>
        <w:rPr>
          <w:rFonts w:ascii="宋体" w:hAnsi="宋体"/>
          <w:color w:val="auto"/>
          <w:highlight w:val="none"/>
        </w:rPr>
        <w:br w:type="page"/>
      </w:r>
    </w:p>
    <w:p w14:paraId="38FEE284">
      <w:pPr>
        <w:adjustRightInd w:val="0"/>
        <w:snapToGrid w:val="0"/>
        <w:rPr>
          <w:rFonts w:ascii="宋体" w:hAnsi="宋体"/>
          <w:b/>
          <w:color w:val="auto"/>
          <w:szCs w:val="21"/>
          <w:highlight w:val="none"/>
        </w:rPr>
      </w:pPr>
      <w:r>
        <w:rPr>
          <w:rFonts w:hint="eastAsia" w:ascii="宋体" w:hAnsi="宋体"/>
          <w:b/>
          <w:color w:val="auto"/>
          <w:szCs w:val="21"/>
          <w:highlight w:val="none"/>
        </w:rPr>
        <w:t>附表1</w:t>
      </w:r>
      <w:r>
        <w:rPr>
          <w:rFonts w:ascii="宋体" w:hAnsi="宋体"/>
          <w:b/>
          <w:color w:val="auto"/>
          <w:szCs w:val="21"/>
          <w:highlight w:val="none"/>
        </w:rPr>
        <w:t>资格审查表</w:t>
      </w:r>
    </w:p>
    <w:p w14:paraId="710A39E7">
      <w:pPr>
        <w:adjustRightInd w:val="0"/>
        <w:snapToGrid w:val="0"/>
        <w:spacing w:beforeLines="50" w:line="360" w:lineRule="auto"/>
        <w:jc w:val="center"/>
        <w:outlineLvl w:val="1"/>
        <w:rPr>
          <w:rFonts w:ascii="宋体" w:hAnsi="宋体"/>
          <w:b/>
          <w:color w:val="auto"/>
          <w:sz w:val="28"/>
          <w:szCs w:val="28"/>
          <w:highlight w:val="none"/>
        </w:rPr>
      </w:pPr>
      <w:bookmarkStart w:id="529" w:name="_Toc166778341"/>
      <w:bookmarkStart w:id="530" w:name="_Toc118209433"/>
      <w:bookmarkStart w:id="531" w:name="_Toc30133"/>
      <w:bookmarkStart w:id="532" w:name="_Toc171282410"/>
      <w:bookmarkStart w:id="533" w:name="_Toc113350942"/>
      <w:bookmarkStart w:id="534" w:name="_Toc27887"/>
      <w:bookmarkStart w:id="535" w:name="_Toc6142"/>
      <w:bookmarkStart w:id="536" w:name="_Toc111543563"/>
      <w:bookmarkStart w:id="537" w:name="_Toc18063"/>
      <w:bookmarkStart w:id="538" w:name="_Toc16619"/>
      <w:bookmarkStart w:id="539" w:name="_Toc79093678"/>
      <w:bookmarkStart w:id="540" w:name="_Toc193053711"/>
      <w:bookmarkStart w:id="541" w:name="_Toc7502"/>
      <w:bookmarkStart w:id="542" w:name="_Toc32320"/>
      <w:bookmarkStart w:id="543" w:name="_Toc103979585"/>
      <w:bookmarkStart w:id="544" w:name="_Toc140957876"/>
      <w:bookmarkStart w:id="545" w:name="_Toc108483402"/>
      <w:bookmarkStart w:id="546" w:name="_Toc17434"/>
      <w:bookmarkStart w:id="547" w:name="_Toc18022"/>
      <w:bookmarkStart w:id="548" w:name="_Toc21342"/>
      <w:bookmarkStart w:id="549" w:name="_Toc9335"/>
      <w:bookmarkStart w:id="550" w:name="_Toc14872"/>
      <w:bookmarkStart w:id="551" w:name="_Toc32562"/>
      <w:bookmarkStart w:id="552" w:name="_Toc25398"/>
      <w:bookmarkStart w:id="553" w:name="_Toc109656584"/>
      <w:bookmarkStart w:id="554" w:name="_Toc23125"/>
      <w:bookmarkStart w:id="555" w:name="_Toc137408723"/>
      <w:bookmarkStart w:id="556" w:name="_Toc189905367"/>
      <w:bookmarkStart w:id="557" w:name="_Toc28109"/>
      <w:bookmarkStart w:id="558" w:name="_Toc99299732"/>
      <w:bookmarkStart w:id="559" w:name="_Toc14237"/>
      <w:r>
        <w:rPr>
          <w:rFonts w:ascii="宋体" w:hAnsi="宋体"/>
          <w:b/>
          <w:color w:val="auto"/>
          <w:sz w:val="28"/>
          <w:szCs w:val="28"/>
          <w:highlight w:val="none"/>
        </w:rPr>
        <w:t>资格审查表</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4"/>
        <w:gridCol w:w="1493"/>
        <w:gridCol w:w="5520"/>
        <w:gridCol w:w="1281"/>
      </w:tblGrid>
      <w:tr w14:paraId="1CB7F5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644" w:type="dxa"/>
            <w:tcBorders>
              <w:right w:val="single" w:color="auto" w:sz="4" w:space="0"/>
            </w:tcBorders>
            <w:vAlign w:val="center"/>
          </w:tcPr>
          <w:p w14:paraId="63E070EB">
            <w:pPr>
              <w:adjustRightInd w:val="0"/>
              <w:snapToGrid w:val="0"/>
              <w:spacing w:line="360" w:lineRule="exact"/>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1493" w:type="dxa"/>
            <w:tcBorders>
              <w:left w:val="single" w:color="auto" w:sz="4" w:space="0"/>
            </w:tcBorders>
            <w:vAlign w:val="center"/>
          </w:tcPr>
          <w:p w14:paraId="06B8443A">
            <w:pPr>
              <w:adjustRightInd w:val="0"/>
              <w:snapToGrid w:val="0"/>
              <w:spacing w:line="360" w:lineRule="exact"/>
              <w:jc w:val="center"/>
              <w:rPr>
                <w:rFonts w:ascii="宋体" w:hAnsi="宋体"/>
                <w:b/>
                <w:color w:val="auto"/>
                <w:kern w:val="0"/>
                <w:szCs w:val="21"/>
                <w:highlight w:val="none"/>
              </w:rPr>
            </w:pPr>
            <w:r>
              <w:rPr>
                <w:rFonts w:hint="eastAsia" w:ascii="宋体" w:hAnsi="宋体"/>
                <w:b/>
                <w:color w:val="auto"/>
                <w:kern w:val="0"/>
                <w:szCs w:val="21"/>
                <w:highlight w:val="none"/>
              </w:rPr>
              <w:t>评审项目名称</w:t>
            </w:r>
          </w:p>
        </w:tc>
        <w:tc>
          <w:tcPr>
            <w:tcW w:w="5520" w:type="dxa"/>
            <w:vAlign w:val="center"/>
          </w:tcPr>
          <w:p w14:paraId="5BB59DF0">
            <w:pPr>
              <w:adjustRightInd w:val="0"/>
              <w:snapToGrid w:val="0"/>
              <w:spacing w:line="360" w:lineRule="exact"/>
              <w:jc w:val="center"/>
              <w:rPr>
                <w:rFonts w:ascii="宋体" w:hAnsi="宋体"/>
                <w:b/>
                <w:color w:val="auto"/>
                <w:kern w:val="0"/>
                <w:szCs w:val="21"/>
                <w:highlight w:val="none"/>
              </w:rPr>
            </w:pPr>
            <w:r>
              <w:rPr>
                <w:rFonts w:hint="eastAsia" w:ascii="宋体" w:hAnsi="宋体"/>
                <w:b/>
                <w:color w:val="auto"/>
                <w:kern w:val="0"/>
                <w:szCs w:val="21"/>
                <w:highlight w:val="none"/>
              </w:rPr>
              <w:t>评审标准</w:t>
            </w:r>
          </w:p>
        </w:tc>
        <w:tc>
          <w:tcPr>
            <w:tcW w:w="1281" w:type="dxa"/>
            <w:vAlign w:val="center"/>
          </w:tcPr>
          <w:p w14:paraId="22841BEF">
            <w:pPr>
              <w:adjustRightInd w:val="0"/>
              <w:snapToGrid w:val="0"/>
              <w:spacing w:line="360" w:lineRule="exact"/>
              <w:jc w:val="center"/>
              <w:rPr>
                <w:rFonts w:ascii="宋体" w:hAnsi="宋体"/>
                <w:b/>
                <w:color w:val="auto"/>
                <w:kern w:val="0"/>
                <w:szCs w:val="21"/>
                <w:highlight w:val="none"/>
              </w:rPr>
            </w:pPr>
            <w:r>
              <w:rPr>
                <w:rFonts w:ascii="宋体" w:hAnsi="宋体"/>
                <w:b/>
                <w:color w:val="auto"/>
                <w:kern w:val="0"/>
                <w:szCs w:val="21"/>
                <w:highlight w:val="none"/>
              </w:rPr>
              <w:t>备注</w:t>
            </w:r>
          </w:p>
        </w:tc>
      </w:tr>
      <w:tr w14:paraId="73147C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61" w:hRule="atLeast"/>
          <w:jc w:val="center"/>
        </w:trPr>
        <w:tc>
          <w:tcPr>
            <w:tcW w:w="644" w:type="dxa"/>
            <w:tcBorders>
              <w:right w:val="single" w:color="auto" w:sz="4" w:space="0"/>
            </w:tcBorders>
            <w:vAlign w:val="center"/>
          </w:tcPr>
          <w:p w14:paraId="34F457AE">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493" w:type="dxa"/>
            <w:tcBorders>
              <w:left w:val="single" w:color="auto" w:sz="4" w:space="0"/>
            </w:tcBorders>
            <w:vAlign w:val="center"/>
          </w:tcPr>
          <w:p w14:paraId="5942F65A">
            <w:pPr>
              <w:adjustRightInd w:val="0"/>
              <w:snapToGrid w:val="0"/>
              <w:jc w:val="center"/>
              <w:rPr>
                <w:rFonts w:ascii="宋体" w:hAnsi="宋体"/>
                <w:color w:val="auto"/>
                <w:kern w:val="0"/>
                <w:szCs w:val="21"/>
                <w:highlight w:val="none"/>
              </w:rPr>
            </w:pPr>
            <w:r>
              <w:rPr>
                <w:rFonts w:hint="eastAsia" w:ascii="宋体" w:hAnsi="宋体"/>
                <w:color w:val="auto"/>
                <w:kern w:val="0"/>
                <w:szCs w:val="21"/>
                <w:highlight w:val="none"/>
              </w:rPr>
              <w:t>营业执照</w:t>
            </w:r>
          </w:p>
        </w:tc>
        <w:tc>
          <w:tcPr>
            <w:tcW w:w="5520" w:type="dxa"/>
            <w:vAlign w:val="center"/>
          </w:tcPr>
          <w:p w14:paraId="1803ED09">
            <w:pPr>
              <w:adjustRightInd w:val="0"/>
              <w:snapToGrid w:val="0"/>
              <w:rPr>
                <w:rFonts w:ascii="宋体" w:hAnsi="宋体"/>
                <w:color w:val="auto"/>
                <w:kern w:val="0"/>
                <w:szCs w:val="21"/>
                <w:highlight w:val="none"/>
              </w:rPr>
            </w:pPr>
            <w:r>
              <w:rPr>
                <w:rFonts w:hint="eastAsia" w:ascii="宋体" w:hAnsi="宋体"/>
                <w:color w:val="auto"/>
                <w:szCs w:val="21"/>
                <w:highlight w:val="none"/>
              </w:rPr>
              <w:t>法人提交企业法人营业执照副本(或者法人登记证书)扫描件</w:t>
            </w:r>
          </w:p>
        </w:tc>
        <w:tc>
          <w:tcPr>
            <w:tcW w:w="1281" w:type="dxa"/>
            <w:vAlign w:val="center"/>
          </w:tcPr>
          <w:p w14:paraId="7123D809">
            <w:pPr>
              <w:adjustRightInd w:val="0"/>
              <w:snapToGrid w:val="0"/>
              <w:jc w:val="center"/>
              <w:rPr>
                <w:rFonts w:ascii="宋体" w:hAnsi="宋体"/>
                <w:color w:val="auto"/>
                <w:kern w:val="0"/>
                <w:szCs w:val="21"/>
                <w:highlight w:val="none"/>
              </w:rPr>
            </w:pPr>
          </w:p>
        </w:tc>
      </w:tr>
      <w:tr w14:paraId="7AD30E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jc w:val="center"/>
        </w:trPr>
        <w:tc>
          <w:tcPr>
            <w:tcW w:w="644" w:type="dxa"/>
            <w:tcBorders>
              <w:right w:val="single" w:color="auto" w:sz="4" w:space="0"/>
            </w:tcBorders>
            <w:vAlign w:val="center"/>
          </w:tcPr>
          <w:p w14:paraId="442FCC3D">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2</w:t>
            </w:r>
          </w:p>
        </w:tc>
        <w:tc>
          <w:tcPr>
            <w:tcW w:w="1493" w:type="dxa"/>
            <w:tcBorders>
              <w:left w:val="single" w:color="auto" w:sz="4" w:space="0"/>
            </w:tcBorders>
            <w:vAlign w:val="center"/>
          </w:tcPr>
          <w:p w14:paraId="3E6181F0">
            <w:pPr>
              <w:adjustRightInd w:val="0"/>
              <w:snapToGrid w:val="0"/>
              <w:jc w:val="center"/>
              <w:rPr>
                <w:rFonts w:ascii="宋体" w:hAnsi="宋体"/>
                <w:color w:val="auto"/>
                <w:kern w:val="0"/>
                <w:szCs w:val="21"/>
                <w:highlight w:val="none"/>
              </w:rPr>
            </w:pPr>
            <w:r>
              <w:rPr>
                <w:rFonts w:hint="eastAsia" w:ascii="宋体" w:hAnsi="宋体" w:cs="宋体"/>
                <w:color w:val="auto"/>
                <w:highlight w:val="none"/>
              </w:rPr>
              <w:t>基本资格条件</w:t>
            </w:r>
          </w:p>
        </w:tc>
        <w:tc>
          <w:tcPr>
            <w:tcW w:w="5520" w:type="dxa"/>
            <w:vAlign w:val="center"/>
          </w:tcPr>
          <w:p w14:paraId="32893B91">
            <w:pPr>
              <w:adjustRightInd w:val="0"/>
              <w:snapToGrid w:val="0"/>
              <w:rPr>
                <w:rFonts w:ascii="宋体" w:hAnsi="宋体"/>
                <w:color w:val="auto"/>
                <w:kern w:val="0"/>
                <w:szCs w:val="21"/>
                <w:highlight w:val="none"/>
              </w:rPr>
            </w:pPr>
            <w:r>
              <w:rPr>
                <w:rFonts w:hint="eastAsia" w:ascii="宋体" w:hAnsi="宋体"/>
                <w:color w:val="auto"/>
                <w:szCs w:val="21"/>
                <w:highlight w:val="none"/>
              </w:rPr>
              <w:t>是否提供湖南省政府采购供应商资格承诺函；</w:t>
            </w:r>
          </w:p>
        </w:tc>
        <w:tc>
          <w:tcPr>
            <w:tcW w:w="1281" w:type="dxa"/>
            <w:vAlign w:val="center"/>
          </w:tcPr>
          <w:p w14:paraId="2985368D">
            <w:pPr>
              <w:jc w:val="center"/>
              <w:rPr>
                <w:rFonts w:ascii="宋体" w:hAnsi="宋体"/>
                <w:color w:val="auto"/>
                <w:highlight w:val="none"/>
              </w:rPr>
            </w:pPr>
          </w:p>
        </w:tc>
      </w:tr>
      <w:tr w14:paraId="42B82F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4" w:type="dxa"/>
            <w:tcBorders>
              <w:right w:val="single" w:color="auto" w:sz="4" w:space="0"/>
            </w:tcBorders>
            <w:vAlign w:val="center"/>
          </w:tcPr>
          <w:p w14:paraId="651F2220">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3</w:t>
            </w:r>
          </w:p>
        </w:tc>
        <w:tc>
          <w:tcPr>
            <w:tcW w:w="1493" w:type="dxa"/>
            <w:tcBorders>
              <w:left w:val="single" w:color="auto" w:sz="4" w:space="0"/>
            </w:tcBorders>
            <w:vAlign w:val="center"/>
          </w:tcPr>
          <w:p w14:paraId="1F18E36F">
            <w:pPr>
              <w:adjustRightInd w:val="0"/>
              <w:snapToGrid w:val="0"/>
              <w:jc w:val="center"/>
              <w:rPr>
                <w:rFonts w:ascii="宋体" w:hAnsi="宋体"/>
                <w:color w:val="auto"/>
                <w:kern w:val="0"/>
                <w:szCs w:val="21"/>
                <w:highlight w:val="none"/>
              </w:rPr>
            </w:pPr>
            <w:r>
              <w:rPr>
                <w:rFonts w:hint="eastAsia" w:ascii="宋体" w:hAnsi="宋体"/>
                <w:color w:val="auto"/>
                <w:kern w:val="1"/>
                <w:szCs w:val="21"/>
                <w:highlight w:val="none"/>
              </w:rPr>
              <w:t>特定资格</w:t>
            </w:r>
          </w:p>
        </w:tc>
        <w:tc>
          <w:tcPr>
            <w:tcW w:w="5520" w:type="dxa"/>
            <w:vAlign w:val="center"/>
          </w:tcPr>
          <w:p w14:paraId="058CE08D">
            <w:pPr>
              <w:adjustRightInd w:val="0"/>
              <w:snapToGrid w:val="0"/>
              <w:spacing w:line="360" w:lineRule="exact"/>
              <w:rPr>
                <w:rFonts w:ascii="宋体" w:hAnsi="宋体"/>
                <w:color w:val="auto"/>
                <w:kern w:val="1"/>
                <w:szCs w:val="21"/>
                <w:highlight w:val="none"/>
              </w:rPr>
            </w:pPr>
            <w:r>
              <w:rPr>
                <w:rFonts w:hint="eastAsia" w:ascii="宋体" w:hAnsi="宋体"/>
                <w:color w:val="auto"/>
                <w:kern w:val="1"/>
                <w:szCs w:val="21"/>
                <w:highlight w:val="none"/>
              </w:rPr>
              <w:t>是否满足招标文件的要求</w:t>
            </w:r>
          </w:p>
        </w:tc>
        <w:tc>
          <w:tcPr>
            <w:tcW w:w="1281" w:type="dxa"/>
            <w:vAlign w:val="center"/>
          </w:tcPr>
          <w:p w14:paraId="3E7ED60D">
            <w:pPr>
              <w:jc w:val="center"/>
              <w:rPr>
                <w:rFonts w:ascii="宋体" w:hAnsi="宋体"/>
                <w:color w:val="auto"/>
                <w:kern w:val="0"/>
                <w:szCs w:val="21"/>
                <w:highlight w:val="none"/>
              </w:rPr>
            </w:pPr>
          </w:p>
        </w:tc>
      </w:tr>
      <w:tr w14:paraId="6EA4BD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4" w:type="dxa"/>
            <w:tcBorders>
              <w:right w:val="single" w:color="auto" w:sz="4" w:space="0"/>
            </w:tcBorders>
            <w:vAlign w:val="center"/>
          </w:tcPr>
          <w:p w14:paraId="5A013791">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4</w:t>
            </w:r>
          </w:p>
        </w:tc>
        <w:tc>
          <w:tcPr>
            <w:tcW w:w="1493" w:type="dxa"/>
            <w:tcBorders>
              <w:left w:val="single" w:color="auto" w:sz="4" w:space="0"/>
            </w:tcBorders>
            <w:vAlign w:val="center"/>
          </w:tcPr>
          <w:p w14:paraId="2924F4A5">
            <w:pPr>
              <w:adjustRightInd w:val="0"/>
              <w:snapToGrid w:val="0"/>
              <w:jc w:val="center"/>
              <w:rPr>
                <w:rFonts w:ascii="宋体" w:hAnsi="宋体"/>
                <w:color w:val="auto"/>
                <w:kern w:val="0"/>
                <w:szCs w:val="21"/>
                <w:highlight w:val="none"/>
              </w:rPr>
            </w:pPr>
            <w:r>
              <w:rPr>
                <w:rFonts w:hint="eastAsia" w:ascii="宋体" w:hAnsi="宋体"/>
                <w:color w:val="auto"/>
                <w:kern w:val="0"/>
                <w:szCs w:val="21"/>
                <w:highlight w:val="none"/>
              </w:rPr>
              <w:t>联合体</w:t>
            </w:r>
          </w:p>
        </w:tc>
        <w:tc>
          <w:tcPr>
            <w:tcW w:w="5520" w:type="dxa"/>
            <w:vAlign w:val="center"/>
          </w:tcPr>
          <w:p w14:paraId="3588C793">
            <w:pPr>
              <w:adjustRightInd w:val="0"/>
              <w:snapToGrid w:val="0"/>
              <w:spacing w:beforeLines="50" w:line="360" w:lineRule="auto"/>
              <w:rPr>
                <w:rFonts w:ascii="宋体" w:hAnsi="宋体"/>
                <w:color w:val="auto"/>
                <w:kern w:val="0"/>
                <w:szCs w:val="21"/>
                <w:highlight w:val="none"/>
              </w:rPr>
            </w:pPr>
            <w:r>
              <w:rPr>
                <w:rFonts w:hint="eastAsia" w:ascii="宋体" w:hAnsi="宋体"/>
                <w:color w:val="auto"/>
                <w:kern w:val="0"/>
                <w:szCs w:val="21"/>
                <w:highlight w:val="none"/>
              </w:rPr>
              <w:t>是否联合体投标</w:t>
            </w:r>
          </w:p>
        </w:tc>
        <w:tc>
          <w:tcPr>
            <w:tcW w:w="1281" w:type="dxa"/>
            <w:vAlign w:val="center"/>
          </w:tcPr>
          <w:p w14:paraId="04CB6667">
            <w:pPr>
              <w:jc w:val="center"/>
              <w:rPr>
                <w:rFonts w:ascii="宋体" w:hAnsi="宋体"/>
                <w:color w:val="auto"/>
                <w:highlight w:val="none"/>
              </w:rPr>
            </w:pPr>
          </w:p>
        </w:tc>
      </w:tr>
      <w:tr w14:paraId="147098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4" w:type="dxa"/>
            <w:tcBorders>
              <w:right w:val="single" w:color="auto" w:sz="4" w:space="0"/>
            </w:tcBorders>
            <w:vAlign w:val="center"/>
          </w:tcPr>
          <w:p w14:paraId="135625B9">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5</w:t>
            </w:r>
          </w:p>
        </w:tc>
        <w:tc>
          <w:tcPr>
            <w:tcW w:w="1493" w:type="dxa"/>
            <w:tcBorders>
              <w:left w:val="single" w:color="auto" w:sz="4" w:space="0"/>
            </w:tcBorders>
            <w:vAlign w:val="center"/>
          </w:tcPr>
          <w:p w14:paraId="0CFF89BE">
            <w:pPr>
              <w:adjustRightInd w:val="0"/>
              <w:snapToGrid w:val="0"/>
              <w:jc w:val="center"/>
              <w:rPr>
                <w:rFonts w:ascii="宋体" w:hAnsi="宋体"/>
                <w:color w:val="auto"/>
                <w:kern w:val="0"/>
                <w:szCs w:val="21"/>
                <w:highlight w:val="none"/>
              </w:rPr>
            </w:pPr>
            <w:r>
              <w:rPr>
                <w:rFonts w:hint="eastAsia" w:ascii="宋体" w:hAnsi="宋体"/>
                <w:color w:val="auto"/>
                <w:kern w:val="0"/>
                <w:szCs w:val="21"/>
                <w:highlight w:val="none"/>
              </w:rPr>
              <w:t>文件的编制、签署、盖章</w:t>
            </w:r>
          </w:p>
        </w:tc>
        <w:tc>
          <w:tcPr>
            <w:tcW w:w="5520" w:type="dxa"/>
            <w:vAlign w:val="center"/>
          </w:tcPr>
          <w:p w14:paraId="0A74494B">
            <w:pPr>
              <w:adjustRightInd w:val="0"/>
              <w:snapToGrid w:val="0"/>
              <w:spacing w:beforeLines="50" w:line="360" w:lineRule="auto"/>
              <w:rPr>
                <w:rFonts w:ascii="宋体" w:hAnsi="宋体"/>
                <w:color w:val="auto"/>
                <w:kern w:val="0"/>
                <w:szCs w:val="21"/>
                <w:highlight w:val="none"/>
              </w:rPr>
            </w:pPr>
            <w:r>
              <w:rPr>
                <w:rFonts w:hint="eastAsia" w:ascii="宋体" w:hAnsi="宋体"/>
                <w:color w:val="auto"/>
                <w:kern w:val="0"/>
                <w:szCs w:val="21"/>
                <w:highlight w:val="none"/>
              </w:rPr>
              <w:t>资格证明文件的编制、签署、盖章</w:t>
            </w:r>
            <w:r>
              <w:rPr>
                <w:rFonts w:hint="eastAsia" w:ascii="宋体" w:hAnsi="宋体"/>
                <w:color w:val="auto"/>
                <w:kern w:val="1"/>
                <w:szCs w:val="21"/>
                <w:highlight w:val="none"/>
              </w:rPr>
              <w:t>是否满足招标文件的要求</w:t>
            </w:r>
          </w:p>
        </w:tc>
        <w:tc>
          <w:tcPr>
            <w:tcW w:w="1281" w:type="dxa"/>
            <w:vAlign w:val="center"/>
          </w:tcPr>
          <w:p w14:paraId="0D6168D8">
            <w:pPr>
              <w:adjustRightInd w:val="0"/>
              <w:snapToGrid w:val="0"/>
              <w:jc w:val="center"/>
              <w:rPr>
                <w:rFonts w:ascii="宋体" w:hAnsi="宋体"/>
                <w:color w:val="auto"/>
                <w:kern w:val="0"/>
                <w:sz w:val="20"/>
                <w:szCs w:val="21"/>
                <w:highlight w:val="none"/>
              </w:rPr>
            </w:pPr>
          </w:p>
        </w:tc>
      </w:tr>
      <w:tr w14:paraId="40F602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4" w:type="dxa"/>
            <w:tcBorders>
              <w:right w:val="single" w:color="auto" w:sz="4" w:space="0"/>
            </w:tcBorders>
            <w:vAlign w:val="center"/>
          </w:tcPr>
          <w:p w14:paraId="3E5CCE4D">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6</w:t>
            </w:r>
          </w:p>
        </w:tc>
        <w:tc>
          <w:tcPr>
            <w:tcW w:w="1493" w:type="dxa"/>
            <w:tcBorders>
              <w:left w:val="single" w:color="auto" w:sz="4" w:space="0"/>
            </w:tcBorders>
            <w:vAlign w:val="center"/>
          </w:tcPr>
          <w:p w14:paraId="26D5FB3F">
            <w:pPr>
              <w:adjustRightInd w:val="0"/>
              <w:snapToGrid w:val="0"/>
              <w:jc w:val="center"/>
              <w:rPr>
                <w:rFonts w:ascii="宋体" w:hAnsi="宋体"/>
                <w:color w:val="auto"/>
                <w:kern w:val="0"/>
                <w:szCs w:val="21"/>
                <w:highlight w:val="none"/>
              </w:rPr>
            </w:pPr>
            <w:r>
              <w:rPr>
                <w:rFonts w:hint="eastAsia" w:ascii="宋体" w:hAnsi="宋体"/>
                <w:color w:val="auto"/>
                <w:kern w:val="0"/>
                <w:szCs w:val="21"/>
                <w:highlight w:val="none"/>
              </w:rPr>
              <w:t>投标报价</w:t>
            </w:r>
          </w:p>
        </w:tc>
        <w:tc>
          <w:tcPr>
            <w:tcW w:w="5520" w:type="dxa"/>
            <w:vAlign w:val="center"/>
          </w:tcPr>
          <w:p w14:paraId="7AEB6BEB">
            <w:pPr>
              <w:adjustRightInd w:val="0"/>
              <w:snapToGrid w:val="0"/>
              <w:spacing w:beforeLines="50" w:line="360" w:lineRule="auto"/>
              <w:rPr>
                <w:rFonts w:ascii="宋体" w:hAnsi="宋体"/>
                <w:color w:val="auto"/>
                <w:kern w:val="0"/>
                <w:szCs w:val="21"/>
                <w:highlight w:val="none"/>
              </w:rPr>
            </w:pPr>
            <w:r>
              <w:rPr>
                <w:rFonts w:hint="eastAsia" w:ascii="宋体" w:hAnsi="宋体"/>
                <w:color w:val="auto"/>
                <w:kern w:val="0"/>
                <w:szCs w:val="21"/>
                <w:highlight w:val="none"/>
              </w:rPr>
              <w:t>投标报价</w:t>
            </w:r>
            <w:r>
              <w:rPr>
                <w:rFonts w:hint="eastAsia" w:ascii="宋体" w:hAnsi="宋体"/>
                <w:color w:val="auto"/>
                <w:kern w:val="1"/>
                <w:szCs w:val="21"/>
                <w:highlight w:val="none"/>
              </w:rPr>
              <w:t>是否满足招标文件的要求</w:t>
            </w:r>
          </w:p>
        </w:tc>
        <w:tc>
          <w:tcPr>
            <w:tcW w:w="1281" w:type="dxa"/>
            <w:vAlign w:val="center"/>
          </w:tcPr>
          <w:p w14:paraId="13C13866">
            <w:pPr>
              <w:adjustRightInd w:val="0"/>
              <w:snapToGrid w:val="0"/>
              <w:jc w:val="center"/>
              <w:rPr>
                <w:rFonts w:ascii="宋体" w:hAnsi="宋体"/>
                <w:color w:val="auto"/>
                <w:kern w:val="0"/>
                <w:sz w:val="20"/>
                <w:szCs w:val="21"/>
                <w:highlight w:val="none"/>
              </w:rPr>
            </w:pPr>
          </w:p>
        </w:tc>
      </w:tr>
      <w:tr w14:paraId="46E48F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4" w:type="dxa"/>
            <w:tcBorders>
              <w:right w:val="single" w:color="auto" w:sz="4" w:space="0"/>
            </w:tcBorders>
            <w:vAlign w:val="center"/>
          </w:tcPr>
          <w:p w14:paraId="6D17D8B2">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7</w:t>
            </w:r>
          </w:p>
        </w:tc>
        <w:tc>
          <w:tcPr>
            <w:tcW w:w="1493" w:type="dxa"/>
            <w:tcBorders>
              <w:left w:val="single" w:color="auto" w:sz="4" w:space="0"/>
            </w:tcBorders>
            <w:vAlign w:val="center"/>
          </w:tcPr>
          <w:p w14:paraId="563F5E2B">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信用记录</w:t>
            </w:r>
          </w:p>
        </w:tc>
        <w:tc>
          <w:tcPr>
            <w:tcW w:w="5520" w:type="dxa"/>
            <w:vAlign w:val="center"/>
          </w:tcPr>
          <w:p w14:paraId="646C07B3">
            <w:pPr>
              <w:adjustRightInd w:val="0"/>
              <w:snapToGrid w:val="0"/>
              <w:spacing w:beforeLines="50" w:line="360" w:lineRule="auto"/>
              <w:rPr>
                <w:rFonts w:ascii="宋体" w:hAnsi="宋体"/>
                <w:color w:val="auto"/>
                <w:kern w:val="0"/>
                <w:szCs w:val="21"/>
                <w:highlight w:val="none"/>
              </w:rPr>
            </w:pPr>
            <w:r>
              <w:rPr>
                <w:rFonts w:hint="eastAsia" w:ascii="宋体" w:hAnsi="宋体"/>
                <w:color w:val="auto"/>
                <w:kern w:val="0"/>
                <w:szCs w:val="21"/>
                <w:highlight w:val="none"/>
              </w:rPr>
              <w:t>是否存在不良信用记录</w:t>
            </w:r>
          </w:p>
        </w:tc>
        <w:tc>
          <w:tcPr>
            <w:tcW w:w="1281" w:type="dxa"/>
            <w:vAlign w:val="center"/>
          </w:tcPr>
          <w:p w14:paraId="74C88807">
            <w:pPr>
              <w:adjustRightInd w:val="0"/>
              <w:snapToGrid w:val="0"/>
              <w:jc w:val="center"/>
              <w:rPr>
                <w:rFonts w:ascii="宋体" w:hAnsi="宋体"/>
                <w:color w:val="auto"/>
                <w:kern w:val="0"/>
                <w:szCs w:val="21"/>
                <w:highlight w:val="none"/>
              </w:rPr>
            </w:pPr>
          </w:p>
        </w:tc>
      </w:tr>
      <w:tr w14:paraId="3B77C6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4" w:type="dxa"/>
            <w:tcBorders>
              <w:right w:val="single" w:color="auto" w:sz="4" w:space="0"/>
            </w:tcBorders>
            <w:vAlign w:val="center"/>
          </w:tcPr>
          <w:p w14:paraId="0D48B853">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8</w:t>
            </w:r>
          </w:p>
        </w:tc>
        <w:tc>
          <w:tcPr>
            <w:tcW w:w="1493" w:type="dxa"/>
            <w:tcBorders>
              <w:left w:val="single" w:color="auto" w:sz="4" w:space="0"/>
            </w:tcBorders>
            <w:vAlign w:val="center"/>
          </w:tcPr>
          <w:p w14:paraId="610BDEF6">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其他</w:t>
            </w:r>
          </w:p>
        </w:tc>
        <w:tc>
          <w:tcPr>
            <w:tcW w:w="5520" w:type="dxa"/>
            <w:vAlign w:val="center"/>
          </w:tcPr>
          <w:p w14:paraId="25197D00">
            <w:pPr>
              <w:adjustRightInd w:val="0"/>
              <w:snapToGrid w:val="0"/>
              <w:spacing w:beforeLines="50" w:line="360" w:lineRule="auto"/>
              <w:rPr>
                <w:rFonts w:ascii="宋体" w:hAnsi="宋体"/>
                <w:color w:val="auto"/>
                <w:kern w:val="0"/>
                <w:szCs w:val="21"/>
                <w:highlight w:val="none"/>
              </w:rPr>
            </w:pPr>
            <w:r>
              <w:rPr>
                <w:rFonts w:hint="eastAsia" w:ascii="宋体" w:hAnsi="宋体"/>
                <w:color w:val="auto"/>
                <w:szCs w:val="21"/>
                <w:highlight w:val="none"/>
              </w:rPr>
              <w:t>法律、法规和招标文件规定的其他投标无效情形的。</w:t>
            </w:r>
          </w:p>
        </w:tc>
        <w:tc>
          <w:tcPr>
            <w:tcW w:w="1281" w:type="dxa"/>
            <w:vAlign w:val="center"/>
          </w:tcPr>
          <w:p w14:paraId="0FFC8335">
            <w:pPr>
              <w:adjustRightInd w:val="0"/>
              <w:snapToGrid w:val="0"/>
              <w:jc w:val="center"/>
              <w:rPr>
                <w:rFonts w:ascii="宋体" w:hAnsi="宋体"/>
                <w:color w:val="auto"/>
                <w:kern w:val="0"/>
                <w:szCs w:val="21"/>
                <w:highlight w:val="none"/>
              </w:rPr>
            </w:pPr>
          </w:p>
        </w:tc>
      </w:tr>
    </w:tbl>
    <w:p w14:paraId="25F2ADF1">
      <w:pPr>
        <w:widowControl/>
        <w:jc w:val="left"/>
        <w:rPr>
          <w:rFonts w:ascii="宋体" w:hAnsi="宋体"/>
          <w:bCs/>
          <w:color w:val="auto"/>
          <w:szCs w:val="21"/>
          <w:highlight w:val="none"/>
        </w:rPr>
      </w:pPr>
      <w:r>
        <w:rPr>
          <w:rFonts w:ascii="宋体" w:hAnsi="宋体"/>
          <w:b/>
          <w:color w:val="auto"/>
          <w:szCs w:val="21"/>
          <w:highlight w:val="none"/>
        </w:rPr>
        <w:br w:type="page"/>
      </w:r>
    </w:p>
    <w:p w14:paraId="16FEF679">
      <w:pPr>
        <w:pStyle w:val="5"/>
        <w:adjustRightInd w:val="0"/>
        <w:snapToGrid w:val="0"/>
        <w:spacing w:before="0" w:after="0" w:line="360" w:lineRule="auto"/>
        <w:rPr>
          <w:rFonts w:ascii="宋体" w:hAnsi="宋体" w:eastAsia="宋体"/>
          <w:b w:val="0"/>
          <w:color w:val="auto"/>
          <w:sz w:val="21"/>
          <w:szCs w:val="21"/>
          <w:highlight w:val="none"/>
        </w:rPr>
      </w:pPr>
      <w:bookmarkStart w:id="560" w:name="_Toc6640"/>
      <w:r>
        <w:rPr>
          <w:rFonts w:hint="eastAsia" w:ascii="宋体" w:hAnsi="宋体" w:eastAsia="宋体"/>
          <w:b w:val="0"/>
          <w:color w:val="auto"/>
          <w:sz w:val="21"/>
          <w:szCs w:val="21"/>
          <w:highlight w:val="none"/>
        </w:rPr>
        <w:t>附表2 资格审查结果一览表</w:t>
      </w:r>
      <w:bookmarkEnd w:id="560"/>
    </w:p>
    <w:p w14:paraId="39FB327C">
      <w:pPr>
        <w:adjustRightInd w:val="0"/>
        <w:snapToGrid w:val="0"/>
        <w:spacing w:line="360" w:lineRule="auto"/>
        <w:jc w:val="center"/>
        <w:outlineLvl w:val="1"/>
        <w:rPr>
          <w:rFonts w:ascii="宋体" w:hAnsi="宋体"/>
          <w:b/>
          <w:color w:val="auto"/>
          <w:sz w:val="28"/>
          <w:szCs w:val="28"/>
          <w:highlight w:val="none"/>
        </w:rPr>
      </w:pPr>
      <w:bookmarkStart w:id="561" w:name="_Toc79093679"/>
      <w:bookmarkStart w:id="562" w:name="_Toc8747"/>
      <w:bookmarkStart w:id="563" w:name="_Toc193053712"/>
      <w:bookmarkStart w:id="564" w:name="_Toc111543564"/>
      <w:bookmarkStart w:id="565" w:name="_Toc137408724"/>
      <w:bookmarkStart w:id="566" w:name="_Toc113350943"/>
      <w:bookmarkStart w:id="567" w:name="_Toc32203"/>
      <w:bookmarkStart w:id="568" w:name="_Toc99299733"/>
      <w:bookmarkStart w:id="569" w:name="_Toc2877"/>
      <w:bookmarkStart w:id="570" w:name="_Toc15453"/>
      <w:bookmarkStart w:id="571" w:name="_Toc19284"/>
      <w:bookmarkStart w:id="572" w:name="_Toc118209434"/>
      <w:bookmarkStart w:id="573" w:name="_Toc26920"/>
      <w:bookmarkStart w:id="574" w:name="_Toc32215"/>
      <w:bookmarkStart w:id="575" w:name="_Toc189905368"/>
      <w:bookmarkStart w:id="576" w:name="_Toc836"/>
      <w:bookmarkStart w:id="577" w:name="_Toc32394"/>
      <w:bookmarkStart w:id="578" w:name="_Toc31900"/>
      <w:bookmarkStart w:id="579" w:name="_Toc166778342"/>
      <w:bookmarkStart w:id="580" w:name="_Toc109656585"/>
      <w:bookmarkStart w:id="581" w:name="_Toc20338"/>
      <w:bookmarkStart w:id="582" w:name="_Toc7530"/>
      <w:bookmarkStart w:id="583" w:name="_Toc4336"/>
      <w:bookmarkStart w:id="584" w:name="_Toc26769"/>
      <w:bookmarkStart w:id="585" w:name="_Toc140957877"/>
      <w:bookmarkStart w:id="586" w:name="_Toc171282411"/>
      <w:bookmarkStart w:id="587" w:name="_Toc103979586"/>
      <w:bookmarkStart w:id="588" w:name="_Toc10339"/>
      <w:bookmarkStart w:id="589" w:name="_Toc108483403"/>
      <w:bookmarkStart w:id="590" w:name="_Toc26730"/>
      <w:bookmarkStart w:id="591" w:name="_Toc16640"/>
      <w:r>
        <w:rPr>
          <w:rFonts w:hint="eastAsia" w:ascii="宋体" w:hAnsi="宋体"/>
          <w:b/>
          <w:color w:val="auto"/>
          <w:sz w:val="28"/>
          <w:szCs w:val="28"/>
          <w:highlight w:val="none"/>
        </w:rPr>
        <w:t>资格审查结果一览表</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14:paraId="19E05FCE">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项目名称：                                           政府采购计划编号：</w:t>
      </w:r>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642"/>
      </w:tblGrid>
      <w:tr w14:paraId="37273B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vAlign w:val="center"/>
          </w:tcPr>
          <w:p w14:paraId="18F1FAA2">
            <w:pPr>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2963" w:type="dxa"/>
            <w:vAlign w:val="center"/>
          </w:tcPr>
          <w:p w14:paraId="5768BA6F">
            <w:pPr>
              <w:jc w:val="center"/>
              <w:rPr>
                <w:rFonts w:ascii="宋体" w:hAnsi="宋体"/>
                <w:b/>
                <w:color w:val="auto"/>
                <w:kern w:val="0"/>
                <w:szCs w:val="21"/>
                <w:highlight w:val="none"/>
              </w:rPr>
            </w:pPr>
            <w:r>
              <w:rPr>
                <w:rFonts w:hint="eastAsia" w:ascii="宋体" w:hAnsi="宋体"/>
                <w:b/>
                <w:color w:val="auto"/>
                <w:kern w:val="0"/>
                <w:szCs w:val="21"/>
                <w:highlight w:val="none"/>
              </w:rPr>
              <w:t>投标人名称</w:t>
            </w:r>
          </w:p>
        </w:tc>
        <w:tc>
          <w:tcPr>
            <w:tcW w:w="2439" w:type="dxa"/>
            <w:vAlign w:val="center"/>
          </w:tcPr>
          <w:p w14:paraId="70D12D69">
            <w:pPr>
              <w:jc w:val="center"/>
              <w:rPr>
                <w:rFonts w:ascii="宋体" w:hAnsi="宋体"/>
                <w:b/>
                <w:color w:val="auto"/>
                <w:kern w:val="0"/>
                <w:szCs w:val="21"/>
                <w:highlight w:val="none"/>
              </w:rPr>
            </w:pPr>
            <w:r>
              <w:rPr>
                <w:rFonts w:hint="eastAsia" w:ascii="宋体" w:hAnsi="宋体"/>
                <w:b/>
                <w:color w:val="auto"/>
                <w:kern w:val="0"/>
                <w:szCs w:val="21"/>
                <w:highlight w:val="none"/>
              </w:rPr>
              <w:t>资格审查结果</w:t>
            </w:r>
          </w:p>
          <w:p w14:paraId="3156652E">
            <w:pPr>
              <w:jc w:val="center"/>
              <w:rPr>
                <w:rFonts w:ascii="宋体" w:hAnsi="宋体"/>
                <w:b/>
                <w:color w:val="auto"/>
                <w:kern w:val="0"/>
                <w:szCs w:val="21"/>
                <w:highlight w:val="none"/>
              </w:rPr>
            </w:pPr>
            <w:r>
              <w:rPr>
                <w:rFonts w:hint="eastAsia" w:ascii="宋体" w:hAnsi="宋体"/>
                <w:b/>
                <w:color w:val="auto"/>
                <w:kern w:val="0"/>
                <w:szCs w:val="21"/>
                <w:highlight w:val="none"/>
              </w:rPr>
              <w:t>（合格/不合格）</w:t>
            </w:r>
          </w:p>
        </w:tc>
        <w:tc>
          <w:tcPr>
            <w:tcW w:w="2642" w:type="dxa"/>
            <w:vAlign w:val="center"/>
          </w:tcPr>
          <w:p w14:paraId="7AF05C95">
            <w:pPr>
              <w:jc w:val="center"/>
              <w:rPr>
                <w:rFonts w:ascii="宋体" w:hAnsi="宋体"/>
                <w:b/>
                <w:color w:val="auto"/>
                <w:kern w:val="0"/>
                <w:szCs w:val="21"/>
                <w:highlight w:val="none"/>
              </w:rPr>
            </w:pPr>
            <w:r>
              <w:rPr>
                <w:rFonts w:hint="eastAsia" w:ascii="宋体" w:hAnsi="宋体"/>
                <w:b/>
                <w:color w:val="auto"/>
                <w:kern w:val="0"/>
                <w:szCs w:val="21"/>
                <w:highlight w:val="none"/>
              </w:rPr>
              <w:t>资格审查不合格原因</w:t>
            </w:r>
          </w:p>
        </w:tc>
      </w:tr>
      <w:tr w14:paraId="4230E3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10EB1E05">
            <w:pPr>
              <w:adjustRightInd w:val="0"/>
              <w:snapToGrid w:val="0"/>
              <w:spacing w:line="360" w:lineRule="auto"/>
              <w:rPr>
                <w:rFonts w:ascii="宋体" w:hAnsi="宋体"/>
                <w:color w:val="auto"/>
                <w:kern w:val="0"/>
                <w:sz w:val="24"/>
                <w:highlight w:val="none"/>
              </w:rPr>
            </w:pPr>
          </w:p>
        </w:tc>
        <w:tc>
          <w:tcPr>
            <w:tcW w:w="2963" w:type="dxa"/>
          </w:tcPr>
          <w:p w14:paraId="485F7628">
            <w:pPr>
              <w:adjustRightInd w:val="0"/>
              <w:snapToGrid w:val="0"/>
              <w:spacing w:line="360" w:lineRule="auto"/>
              <w:rPr>
                <w:rFonts w:ascii="宋体" w:hAnsi="宋体"/>
                <w:color w:val="auto"/>
                <w:kern w:val="0"/>
                <w:sz w:val="24"/>
                <w:highlight w:val="none"/>
              </w:rPr>
            </w:pPr>
          </w:p>
        </w:tc>
        <w:tc>
          <w:tcPr>
            <w:tcW w:w="2439" w:type="dxa"/>
          </w:tcPr>
          <w:p w14:paraId="460E7413">
            <w:pPr>
              <w:adjustRightInd w:val="0"/>
              <w:snapToGrid w:val="0"/>
              <w:spacing w:line="360" w:lineRule="auto"/>
              <w:rPr>
                <w:rFonts w:ascii="宋体" w:hAnsi="宋体"/>
                <w:color w:val="auto"/>
                <w:kern w:val="0"/>
                <w:sz w:val="24"/>
                <w:highlight w:val="none"/>
              </w:rPr>
            </w:pPr>
          </w:p>
        </w:tc>
        <w:tc>
          <w:tcPr>
            <w:tcW w:w="2642" w:type="dxa"/>
          </w:tcPr>
          <w:p w14:paraId="66244289">
            <w:pPr>
              <w:adjustRightInd w:val="0"/>
              <w:snapToGrid w:val="0"/>
              <w:spacing w:line="360" w:lineRule="auto"/>
              <w:rPr>
                <w:rFonts w:ascii="宋体" w:hAnsi="宋体"/>
                <w:color w:val="auto"/>
                <w:kern w:val="0"/>
                <w:sz w:val="24"/>
                <w:highlight w:val="none"/>
              </w:rPr>
            </w:pPr>
          </w:p>
        </w:tc>
      </w:tr>
      <w:tr w14:paraId="313EC6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32D2FBF3">
            <w:pPr>
              <w:adjustRightInd w:val="0"/>
              <w:snapToGrid w:val="0"/>
              <w:spacing w:line="360" w:lineRule="auto"/>
              <w:rPr>
                <w:rFonts w:ascii="宋体" w:hAnsi="宋体"/>
                <w:color w:val="auto"/>
                <w:kern w:val="0"/>
                <w:sz w:val="24"/>
                <w:highlight w:val="none"/>
              </w:rPr>
            </w:pPr>
          </w:p>
        </w:tc>
        <w:tc>
          <w:tcPr>
            <w:tcW w:w="2963" w:type="dxa"/>
          </w:tcPr>
          <w:p w14:paraId="718AE293">
            <w:pPr>
              <w:adjustRightInd w:val="0"/>
              <w:snapToGrid w:val="0"/>
              <w:spacing w:line="360" w:lineRule="auto"/>
              <w:rPr>
                <w:rFonts w:ascii="宋体" w:hAnsi="宋体"/>
                <w:color w:val="auto"/>
                <w:kern w:val="0"/>
                <w:sz w:val="24"/>
                <w:highlight w:val="none"/>
              </w:rPr>
            </w:pPr>
          </w:p>
        </w:tc>
        <w:tc>
          <w:tcPr>
            <w:tcW w:w="2439" w:type="dxa"/>
          </w:tcPr>
          <w:p w14:paraId="170D58D5">
            <w:pPr>
              <w:adjustRightInd w:val="0"/>
              <w:snapToGrid w:val="0"/>
              <w:spacing w:line="360" w:lineRule="auto"/>
              <w:rPr>
                <w:rFonts w:ascii="宋体" w:hAnsi="宋体"/>
                <w:color w:val="auto"/>
                <w:kern w:val="0"/>
                <w:sz w:val="24"/>
                <w:highlight w:val="none"/>
              </w:rPr>
            </w:pPr>
          </w:p>
        </w:tc>
        <w:tc>
          <w:tcPr>
            <w:tcW w:w="2642" w:type="dxa"/>
          </w:tcPr>
          <w:p w14:paraId="03CD7A22">
            <w:pPr>
              <w:adjustRightInd w:val="0"/>
              <w:snapToGrid w:val="0"/>
              <w:spacing w:line="360" w:lineRule="auto"/>
              <w:rPr>
                <w:rFonts w:ascii="宋体" w:hAnsi="宋体"/>
                <w:color w:val="auto"/>
                <w:kern w:val="0"/>
                <w:sz w:val="24"/>
                <w:highlight w:val="none"/>
              </w:rPr>
            </w:pPr>
          </w:p>
        </w:tc>
      </w:tr>
      <w:tr w14:paraId="6267D2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0B545E41">
            <w:pPr>
              <w:adjustRightInd w:val="0"/>
              <w:snapToGrid w:val="0"/>
              <w:spacing w:line="360" w:lineRule="auto"/>
              <w:rPr>
                <w:rFonts w:ascii="宋体" w:hAnsi="宋体"/>
                <w:color w:val="auto"/>
                <w:kern w:val="0"/>
                <w:sz w:val="24"/>
                <w:highlight w:val="none"/>
              </w:rPr>
            </w:pPr>
          </w:p>
        </w:tc>
        <w:tc>
          <w:tcPr>
            <w:tcW w:w="2963" w:type="dxa"/>
          </w:tcPr>
          <w:p w14:paraId="5F65DB75">
            <w:pPr>
              <w:adjustRightInd w:val="0"/>
              <w:snapToGrid w:val="0"/>
              <w:spacing w:line="360" w:lineRule="auto"/>
              <w:rPr>
                <w:rFonts w:ascii="宋体" w:hAnsi="宋体"/>
                <w:color w:val="auto"/>
                <w:kern w:val="0"/>
                <w:sz w:val="24"/>
                <w:highlight w:val="none"/>
              </w:rPr>
            </w:pPr>
          </w:p>
        </w:tc>
        <w:tc>
          <w:tcPr>
            <w:tcW w:w="2439" w:type="dxa"/>
          </w:tcPr>
          <w:p w14:paraId="02F07D21">
            <w:pPr>
              <w:adjustRightInd w:val="0"/>
              <w:snapToGrid w:val="0"/>
              <w:spacing w:line="360" w:lineRule="auto"/>
              <w:rPr>
                <w:rFonts w:ascii="宋体" w:hAnsi="宋体"/>
                <w:color w:val="auto"/>
                <w:kern w:val="0"/>
                <w:sz w:val="24"/>
                <w:highlight w:val="none"/>
              </w:rPr>
            </w:pPr>
          </w:p>
        </w:tc>
        <w:tc>
          <w:tcPr>
            <w:tcW w:w="2642" w:type="dxa"/>
          </w:tcPr>
          <w:p w14:paraId="7A26EFAA">
            <w:pPr>
              <w:adjustRightInd w:val="0"/>
              <w:snapToGrid w:val="0"/>
              <w:spacing w:line="360" w:lineRule="auto"/>
              <w:rPr>
                <w:rFonts w:ascii="宋体" w:hAnsi="宋体"/>
                <w:color w:val="auto"/>
                <w:kern w:val="0"/>
                <w:sz w:val="24"/>
                <w:highlight w:val="none"/>
              </w:rPr>
            </w:pPr>
          </w:p>
        </w:tc>
      </w:tr>
      <w:tr w14:paraId="49B087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1EB49DCF">
            <w:pPr>
              <w:adjustRightInd w:val="0"/>
              <w:snapToGrid w:val="0"/>
              <w:spacing w:line="360" w:lineRule="auto"/>
              <w:rPr>
                <w:rFonts w:ascii="宋体" w:hAnsi="宋体"/>
                <w:color w:val="auto"/>
                <w:kern w:val="0"/>
                <w:sz w:val="24"/>
                <w:highlight w:val="none"/>
              </w:rPr>
            </w:pPr>
          </w:p>
        </w:tc>
        <w:tc>
          <w:tcPr>
            <w:tcW w:w="2963" w:type="dxa"/>
          </w:tcPr>
          <w:p w14:paraId="0F600C8B">
            <w:pPr>
              <w:adjustRightInd w:val="0"/>
              <w:snapToGrid w:val="0"/>
              <w:spacing w:line="360" w:lineRule="auto"/>
              <w:rPr>
                <w:rFonts w:ascii="宋体" w:hAnsi="宋体"/>
                <w:color w:val="auto"/>
                <w:kern w:val="0"/>
                <w:sz w:val="24"/>
                <w:highlight w:val="none"/>
              </w:rPr>
            </w:pPr>
          </w:p>
        </w:tc>
        <w:tc>
          <w:tcPr>
            <w:tcW w:w="2439" w:type="dxa"/>
          </w:tcPr>
          <w:p w14:paraId="59E569B5">
            <w:pPr>
              <w:adjustRightInd w:val="0"/>
              <w:snapToGrid w:val="0"/>
              <w:spacing w:line="360" w:lineRule="auto"/>
              <w:rPr>
                <w:rFonts w:ascii="宋体" w:hAnsi="宋体"/>
                <w:color w:val="auto"/>
                <w:kern w:val="0"/>
                <w:sz w:val="24"/>
                <w:highlight w:val="none"/>
              </w:rPr>
            </w:pPr>
          </w:p>
        </w:tc>
        <w:tc>
          <w:tcPr>
            <w:tcW w:w="2642" w:type="dxa"/>
          </w:tcPr>
          <w:p w14:paraId="34E3AFC2">
            <w:pPr>
              <w:adjustRightInd w:val="0"/>
              <w:snapToGrid w:val="0"/>
              <w:spacing w:line="360" w:lineRule="auto"/>
              <w:rPr>
                <w:rFonts w:ascii="宋体" w:hAnsi="宋体"/>
                <w:color w:val="auto"/>
                <w:kern w:val="0"/>
                <w:sz w:val="24"/>
                <w:highlight w:val="none"/>
              </w:rPr>
            </w:pPr>
          </w:p>
        </w:tc>
      </w:tr>
      <w:tr w14:paraId="285581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36878910">
            <w:pPr>
              <w:adjustRightInd w:val="0"/>
              <w:snapToGrid w:val="0"/>
              <w:spacing w:line="360" w:lineRule="auto"/>
              <w:rPr>
                <w:rFonts w:ascii="宋体" w:hAnsi="宋体"/>
                <w:color w:val="auto"/>
                <w:kern w:val="0"/>
                <w:sz w:val="24"/>
                <w:highlight w:val="none"/>
              </w:rPr>
            </w:pPr>
          </w:p>
        </w:tc>
        <w:tc>
          <w:tcPr>
            <w:tcW w:w="2963" w:type="dxa"/>
          </w:tcPr>
          <w:p w14:paraId="585D0736">
            <w:pPr>
              <w:adjustRightInd w:val="0"/>
              <w:snapToGrid w:val="0"/>
              <w:spacing w:line="360" w:lineRule="auto"/>
              <w:rPr>
                <w:rFonts w:ascii="宋体" w:hAnsi="宋体"/>
                <w:color w:val="auto"/>
                <w:kern w:val="0"/>
                <w:sz w:val="24"/>
                <w:highlight w:val="none"/>
              </w:rPr>
            </w:pPr>
          </w:p>
        </w:tc>
        <w:tc>
          <w:tcPr>
            <w:tcW w:w="2439" w:type="dxa"/>
          </w:tcPr>
          <w:p w14:paraId="0E26D42B">
            <w:pPr>
              <w:adjustRightInd w:val="0"/>
              <w:snapToGrid w:val="0"/>
              <w:spacing w:line="360" w:lineRule="auto"/>
              <w:rPr>
                <w:rFonts w:ascii="宋体" w:hAnsi="宋体"/>
                <w:color w:val="auto"/>
                <w:kern w:val="0"/>
                <w:sz w:val="24"/>
                <w:highlight w:val="none"/>
              </w:rPr>
            </w:pPr>
          </w:p>
        </w:tc>
        <w:tc>
          <w:tcPr>
            <w:tcW w:w="2642" w:type="dxa"/>
          </w:tcPr>
          <w:p w14:paraId="583E0997">
            <w:pPr>
              <w:adjustRightInd w:val="0"/>
              <w:snapToGrid w:val="0"/>
              <w:spacing w:line="360" w:lineRule="auto"/>
              <w:rPr>
                <w:rFonts w:ascii="宋体" w:hAnsi="宋体"/>
                <w:color w:val="auto"/>
                <w:kern w:val="0"/>
                <w:sz w:val="24"/>
                <w:highlight w:val="none"/>
              </w:rPr>
            </w:pPr>
          </w:p>
        </w:tc>
      </w:tr>
      <w:tr w14:paraId="6B8993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64DCBE0E">
            <w:pPr>
              <w:adjustRightInd w:val="0"/>
              <w:snapToGrid w:val="0"/>
              <w:spacing w:line="360" w:lineRule="auto"/>
              <w:rPr>
                <w:rFonts w:ascii="宋体" w:hAnsi="宋体"/>
                <w:color w:val="auto"/>
                <w:kern w:val="0"/>
                <w:sz w:val="24"/>
                <w:highlight w:val="none"/>
              </w:rPr>
            </w:pPr>
          </w:p>
        </w:tc>
        <w:tc>
          <w:tcPr>
            <w:tcW w:w="2963" w:type="dxa"/>
          </w:tcPr>
          <w:p w14:paraId="63CB45D4">
            <w:pPr>
              <w:adjustRightInd w:val="0"/>
              <w:snapToGrid w:val="0"/>
              <w:spacing w:line="360" w:lineRule="auto"/>
              <w:rPr>
                <w:rFonts w:ascii="宋体" w:hAnsi="宋体"/>
                <w:color w:val="auto"/>
                <w:kern w:val="0"/>
                <w:sz w:val="24"/>
                <w:highlight w:val="none"/>
              </w:rPr>
            </w:pPr>
          </w:p>
        </w:tc>
        <w:tc>
          <w:tcPr>
            <w:tcW w:w="2439" w:type="dxa"/>
          </w:tcPr>
          <w:p w14:paraId="5765C804">
            <w:pPr>
              <w:adjustRightInd w:val="0"/>
              <w:snapToGrid w:val="0"/>
              <w:spacing w:line="360" w:lineRule="auto"/>
              <w:rPr>
                <w:rFonts w:ascii="宋体" w:hAnsi="宋体"/>
                <w:color w:val="auto"/>
                <w:kern w:val="0"/>
                <w:sz w:val="24"/>
                <w:highlight w:val="none"/>
              </w:rPr>
            </w:pPr>
          </w:p>
        </w:tc>
        <w:tc>
          <w:tcPr>
            <w:tcW w:w="2642" w:type="dxa"/>
          </w:tcPr>
          <w:p w14:paraId="6AFA4517">
            <w:pPr>
              <w:adjustRightInd w:val="0"/>
              <w:snapToGrid w:val="0"/>
              <w:spacing w:line="360" w:lineRule="auto"/>
              <w:rPr>
                <w:rFonts w:ascii="宋体" w:hAnsi="宋体"/>
                <w:color w:val="auto"/>
                <w:kern w:val="0"/>
                <w:sz w:val="24"/>
                <w:highlight w:val="none"/>
              </w:rPr>
            </w:pPr>
          </w:p>
        </w:tc>
      </w:tr>
      <w:tr w14:paraId="6F6107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26B9E172">
            <w:pPr>
              <w:adjustRightInd w:val="0"/>
              <w:snapToGrid w:val="0"/>
              <w:spacing w:line="360" w:lineRule="auto"/>
              <w:rPr>
                <w:rFonts w:ascii="宋体" w:hAnsi="宋体"/>
                <w:color w:val="auto"/>
                <w:kern w:val="0"/>
                <w:sz w:val="24"/>
                <w:highlight w:val="none"/>
              </w:rPr>
            </w:pPr>
          </w:p>
        </w:tc>
        <w:tc>
          <w:tcPr>
            <w:tcW w:w="2963" w:type="dxa"/>
          </w:tcPr>
          <w:p w14:paraId="540F9342">
            <w:pPr>
              <w:adjustRightInd w:val="0"/>
              <w:snapToGrid w:val="0"/>
              <w:spacing w:line="360" w:lineRule="auto"/>
              <w:rPr>
                <w:rFonts w:ascii="宋体" w:hAnsi="宋体"/>
                <w:color w:val="auto"/>
                <w:kern w:val="0"/>
                <w:sz w:val="24"/>
                <w:highlight w:val="none"/>
              </w:rPr>
            </w:pPr>
          </w:p>
        </w:tc>
        <w:tc>
          <w:tcPr>
            <w:tcW w:w="2439" w:type="dxa"/>
          </w:tcPr>
          <w:p w14:paraId="5755B90B">
            <w:pPr>
              <w:adjustRightInd w:val="0"/>
              <w:snapToGrid w:val="0"/>
              <w:spacing w:line="360" w:lineRule="auto"/>
              <w:rPr>
                <w:rFonts w:ascii="宋体" w:hAnsi="宋体"/>
                <w:color w:val="auto"/>
                <w:kern w:val="0"/>
                <w:sz w:val="24"/>
                <w:highlight w:val="none"/>
              </w:rPr>
            </w:pPr>
          </w:p>
        </w:tc>
        <w:tc>
          <w:tcPr>
            <w:tcW w:w="2642" w:type="dxa"/>
          </w:tcPr>
          <w:p w14:paraId="6FB3BEF5">
            <w:pPr>
              <w:adjustRightInd w:val="0"/>
              <w:snapToGrid w:val="0"/>
              <w:spacing w:line="360" w:lineRule="auto"/>
              <w:rPr>
                <w:rFonts w:ascii="宋体" w:hAnsi="宋体"/>
                <w:color w:val="auto"/>
                <w:kern w:val="0"/>
                <w:sz w:val="24"/>
                <w:highlight w:val="none"/>
              </w:rPr>
            </w:pPr>
          </w:p>
        </w:tc>
      </w:tr>
      <w:tr w14:paraId="6DC4C4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1E8F182D">
            <w:pPr>
              <w:adjustRightInd w:val="0"/>
              <w:snapToGrid w:val="0"/>
              <w:spacing w:line="360" w:lineRule="auto"/>
              <w:rPr>
                <w:rFonts w:ascii="宋体" w:hAnsi="宋体"/>
                <w:color w:val="auto"/>
                <w:kern w:val="0"/>
                <w:sz w:val="24"/>
                <w:highlight w:val="none"/>
              </w:rPr>
            </w:pPr>
          </w:p>
        </w:tc>
        <w:tc>
          <w:tcPr>
            <w:tcW w:w="2963" w:type="dxa"/>
          </w:tcPr>
          <w:p w14:paraId="460D4001">
            <w:pPr>
              <w:adjustRightInd w:val="0"/>
              <w:snapToGrid w:val="0"/>
              <w:spacing w:line="360" w:lineRule="auto"/>
              <w:rPr>
                <w:rFonts w:ascii="宋体" w:hAnsi="宋体"/>
                <w:color w:val="auto"/>
                <w:kern w:val="0"/>
                <w:sz w:val="24"/>
                <w:highlight w:val="none"/>
              </w:rPr>
            </w:pPr>
          </w:p>
        </w:tc>
        <w:tc>
          <w:tcPr>
            <w:tcW w:w="2439" w:type="dxa"/>
          </w:tcPr>
          <w:p w14:paraId="60BE0D7C">
            <w:pPr>
              <w:adjustRightInd w:val="0"/>
              <w:snapToGrid w:val="0"/>
              <w:spacing w:line="360" w:lineRule="auto"/>
              <w:rPr>
                <w:rFonts w:ascii="宋体" w:hAnsi="宋体"/>
                <w:color w:val="auto"/>
                <w:kern w:val="0"/>
                <w:sz w:val="24"/>
                <w:highlight w:val="none"/>
              </w:rPr>
            </w:pPr>
          </w:p>
        </w:tc>
        <w:tc>
          <w:tcPr>
            <w:tcW w:w="2642" w:type="dxa"/>
          </w:tcPr>
          <w:p w14:paraId="457B10B1">
            <w:pPr>
              <w:adjustRightInd w:val="0"/>
              <w:snapToGrid w:val="0"/>
              <w:spacing w:line="360" w:lineRule="auto"/>
              <w:rPr>
                <w:rFonts w:ascii="宋体" w:hAnsi="宋体"/>
                <w:color w:val="auto"/>
                <w:kern w:val="0"/>
                <w:sz w:val="24"/>
                <w:highlight w:val="none"/>
              </w:rPr>
            </w:pPr>
          </w:p>
        </w:tc>
      </w:tr>
      <w:tr w14:paraId="0A9171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1BD67003">
            <w:pPr>
              <w:adjustRightInd w:val="0"/>
              <w:snapToGrid w:val="0"/>
              <w:spacing w:line="360" w:lineRule="auto"/>
              <w:rPr>
                <w:rFonts w:ascii="宋体" w:hAnsi="宋体"/>
                <w:color w:val="auto"/>
                <w:kern w:val="0"/>
                <w:sz w:val="24"/>
                <w:highlight w:val="none"/>
              </w:rPr>
            </w:pPr>
          </w:p>
        </w:tc>
        <w:tc>
          <w:tcPr>
            <w:tcW w:w="2963" w:type="dxa"/>
          </w:tcPr>
          <w:p w14:paraId="7E98A23A">
            <w:pPr>
              <w:adjustRightInd w:val="0"/>
              <w:snapToGrid w:val="0"/>
              <w:spacing w:line="360" w:lineRule="auto"/>
              <w:rPr>
                <w:rFonts w:ascii="宋体" w:hAnsi="宋体"/>
                <w:color w:val="auto"/>
                <w:kern w:val="0"/>
                <w:sz w:val="24"/>
                <w:highlight w:val="none"/>
              </w:rPr>
            </w:pPr>
          </w:p>
        </w:tc>
        <w:tc>
          <w:tcPr>
            <w:tcW w:w="2439" w:type="dxa"/>
          </w:tcPr>
          <w:p w14:paraId="476C125C">
            <w:pPr>
              <w:adjustRightInd w:val="0"/>
              <w:snapToGrid w:val="0"/>
              <w:spacing w:line="360" w:lineRule="auto"/>
              <w:rPr>
                <w:rFonts w:ascii="宋体" w:hAnsi="宋体"/>
                <w:color w:val="auto"/>
                <w:kern w:val="0"/>
                <w:sz w:val="24"/>
                <w:highlight w:val="none"/>
              </w:rPr>
            </w:pPr>
          </w:p>
        </w:tc>
        <w:tc>
          <w:tcPr>
            <w:tcW w:w="2642" w:type="dxa"/>
          </w:tcPr>
          <w:p w14:paraId="768A4B2B">
            <w:pPr>
              <w:adjustRightInd w:val="0"/>
              <w:snapToGrid w:val="0"/>
              <w:spacing w:line="360" w:lineRule="auto"/>
              <w:rPr>
                <w:rFonts w:ascii="宋体" w:hAnsi="宋体"/>
                <w:color w:val="auto"/>
                <w:kern w:val="0"/>
                <w:sz w:val="24"/>
                <w:highlight w:val="none"/>
              </w:rPr>
            </w:pPr>
          </w:p>
        </w:tc>
      </w:tr>
    </w:tbl>
    <w:p w14:paraId="7055D175">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采购人（签字）：</w:t>
      </w:r>
    </w:p>
    <w:p w14:paraId="0AC3BB51">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采购代理机构（签字）：</w:t>
      </w:r>
    </w:p>
    <w:p w14:paraId="783FECB9">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日期：年月日</w:t>
      </w:r>
    </w:p>
    <w:p w14:paraId="54752540">
      <w:pPr>
        <w:widowControl/>
        <w:jc w:val="left"/>
        <w:rPr>
          <w:rFonts w:ascii="宋体" w:hAnsi="宋体"/>
          <w:color w:val="auto"/>
          <w:sz w:val="24"/>
          <w:highlight w:val="none"/>
        </w:rPr>
      </w:pPr>
      <w:r>
        <w:rPr>
          <w:rFonts w:ascii="宋体" w:hAnsi="宋体"/>
          <w:color w:val="auto"/>
          <w:sz w:val="24"/>
          <w:highlight w:val="none"/>
        </w:rPr>
        <w:br w:type="page"/>
      </w:r>
    </w:p>
    <w:p w14:paraId="29E4E347">
      <w:pPr>
        <w:pStyle w:val="5"/>
        <w:adjustRightInd w:val="0"/>
        <w:snapToGrid w:val="0"/>
        <w:spacing w:before="0" w:after="0" w:line="360" w:lineRule="auto"/>
        <w:rPr>
          <w:rFonts w:ascii="宋体" w:hAnsi="宋体" w:eastAsia="宋体"/>
          <w:b w:val="0"/>
          <w:color w:val="auto"/>
          <w:sz w:val="21"/>
          <w:szCs w:val="21"/>
          <w:highlight w:val="none"/>
        </w:rPr>
      </w:pPr>
      <w:bookmarkStart w:id="592" w:name="_Toc7789"/>
      <w:r>
        <w:rPr>
          <w:rFonts w:hint="eastAsia" w:ascii="宋体" w:hAnsi="宋体" w:eastAsia="宋体"/>
          <w:b w:val="0"/>
          <w:color w:val="auto"/>
          <w:sz w:val="21"/>
          <w:szCs w:val="21"/>
          <w:highlight w:val="none"/>
        </w:rPr>
        <w:t>附表3 资格审查合格投标人名单</w:t>
      </w:r>
      <w:bookmarkEnd w:id="592"/>
    </w:p>
    <w:p w14:paraId="281BD3FA">
      <w:pPr>
        <w:adjustRightInd w:val="0"/>
        <w:snapToGrid w:val="0"/>
        <w:spacing w:line="360" w:lineRule="auto"/>
        <w:jc w:val="center"/>
        <w:outlineLvl w:val="1"/>
        <w:rPr>
          <w:rFonts w:ascii="宋体" w:hAnsi="宋体"/>
          <w:b/>
          <w:color w:val="auto"/>
          <w:sz w:val="28"/>
          <w:szCs w:val="28"/>
          <w:highlight w:val="none"/>
        </w:rPr>
      </w:pPr>
      <w:bookmarkStart w:id="593" w:name="_Toc3637"/>
      <w:bookmarkStart w:id="594" w:name="_Toc17369"/>
      <w:bookmarkStart w:id="595" w:name="_Toc99299734"/>
      <w:bookmarkStart w:id="596" w:name="_Toc103979587"/>
      <w:bookmarkStart w:id="597" w:name="_Toc25353"/>
      <w:bookmarkStart w:id="598" w:name="_Toc30398"/>
      <w:bookmarkStart w:id="599" w:name="_Toc108483404"/>
      <w:bookmarkStart w:id="600" w:name="_Toc79093680"/>
      <w:bookmarkStart w:id="601" w:name="_Toc18123"/>
      <w:bookmarkStart w:id="602" w:name="_Toc9701"/>
      <w:bookmarkStart w:id="603" w:name="_Toc2393"/>
      <w:bookmarkStart w:id="604" w:name="_Toc2650"/>
      <w:bookmarkStart w:id="605" w:name="_Toc16389"/>
      <w:bookmarkStart w:id="606" w:name="_Toc8097"/>
      <w:bookmarkStart w:id="607" w:name="_Toc118209435"/>
      <w:bookmarkStart w:id="608" w:name="_Toc171282412"/>
      <w:bookmarkStart w:id="609" w:name="_Toc13189"/>
      <w:bookmarkStart w:id="610" w:name="_Toc113350944"/>
      <w:bookmarkStart w:id="611" w:name="_Toc19720"/>
      <w:bookmarkStart w:id="612" w:name="_Toc13041"/>
      <w:bookmarkStart w:id="613" w:name="_Toc111543565"/>
      <w:bookmarkStart w:id="614" w:name="_Toc109656586"/>
      <w:bookmarkStart w:id="615" w:name="_Toc19303"/>
      <w:bookmarkStart w:id="616" w:name="_Toc31997"/>
      <w:bookmarkStart w:id="617" w:name="_Toc137408725"/>
      <w:bookmarkStart w:id="618" w:name="_Toc193053713"/>
      <w:bookmarkStart w:id="619" w:name="_Toc140957878"/>
      <w:bookmarkStart w:id="620" w:name="_Toc28258"/>
      <w:bookmarkStart w:id="621" w:name="_Toc13610"/>
      <w:bookmarkStart w:id="622" w:name="_Toc189905369"/>
      <w:bookmarkStart w:id="623" w:name="_Toc166778343"/>
      <w:r>
        <w:rPr>
          <w:rFonts w:hint="eastAsia" w:ascii="宋体" w:hAnsi="宋体"/>
          <w:b/>
          <w:color w:val="auto"/>
          <w:sz w:val="28"/>
          <w:szCs w:val="28"/>
          <w:highlight w:val="none"/>
        </w:rPr>
        <w:t>资格审查合格投标人名单</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14:paraId="6285C42E">
      <w:pPr>
        <w:adjustRightInd w:val="0"/>
        <w:snapToGrid w:val="0"/>
        <w:spacing w:line="360" w:lineRule="auto"/>
        <w:ind w:firstLine="210" w:firstLineChars="100"/>
        <w:rPr>
          <w:rFonts w:ascii="宋体" w:hAnsi="宋体"/>
          <w:color w:val="auto"/>
          <w:sz w:val="32"/>
          <w:szCs w:val="32"/>
          <w:highlight w:val="none"/>
        </w:rPr>
      </w:pPr>
      <w:r>
        <w:rPr>
          <w:rFonts w:hint="eastAsia" w:ascii="宋体" w:hAnsi="宋体"/>
          <w:color w:val="auto"/>
          <w:szCs w:val="21"/>
          <w:highlight w:val="none"/>
        </w:rPr>
        <w:t>项目名称：                                        政府采购计划编号：</w:t>
      </w:r>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70"/>
        <w:gridCol w:w="7613"/>
      </w:tblGrid>
      <w:tr w14:paraId="1C9460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70" w:type="dxa"/>
            <w:vAlign w:val="center"/>
          </w:tcPr>
          <w:p w14:paraId="77182637">
            <w:pPr>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7613" w:type="dxa"/>
            <w:vAlign w:val="center"/>
          </w:tcPr>
          <w:p w14:paraId="186279EA">
            <w:pPr>
              <w:jc w:val="center"/>
              <w:rPr>
                <w:rFonts w:ascii="宋体" w:hAnsi="宋体"/>
                <w:b/>
                <w:color w:val="auto"/>
                <w:kern w:val="0"/>
                <w:szCs w:val="21"/>
                <w:highlight w:val="none"/>
              </w:rPr>
            </w:pPr>
            <w:r>
              <w:rPr>
                <w:rFonts w:hint="eastAsia" w:ascii="宋体" w:hAnsi="宋体"/>
                <w:b/>
                <w:color w:val="auto"/>
                <w:kern w:val="0"/>
                <w:szCs w:val="21"/>
                <w:highlight w:val="none"/>
              </w:rPr>
              <w:t>合格投标人名称</w:t>
            </w:r>
          </w:p>
        </w:tc>
      </w:tr>
      <w:tr w14:paraId="4EC081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70" w:type="dxa"/>
          </w:tcPr>
          <w:p w14:paraId="7E39DE2E">
            <w:pPr>
              <w:adjustRightInd w:val="0"/>
              <w:snapToGrid w:val="0"/>
              <w:spacing w:line="360" w:lineRule="auto"/>
              <w:rPr>
                <w:rFonts w:ascii="宋体" w:hAnsi="宋体"/>
                <w:color w:val="auto"/>
                <w:kern w:val="0"/>
                <w:szCs w:val="21"/>
                <w:highlight w:val="none"/>
              </w:rPr>
            </w:pPr>
          </w:p>
        </w:tc>
        <w:tc>
          <w:tcPr>
            <w:tcW w:w="7613" w:type="dxa"/>
          </w:tcPr>
          <w:p w14:paraId="7D322869">
            <w:pPr>
              <w:adjustRightInd w:val="0"/>
              <w:snapToGrid w:val="0"/>
              <w:spacing w:line="360" w:lineRule="auto"/>
              <w:rPr>
                <w:rFonts w:ascii="宋体" w:hAnsi="宋体"/>
                <w:color w:val="auto"/>
                <w:kern w:val="0"/>
                <w:szCs w:val="21"/>
                <w:highlight w:val="none"/>
              </w:rPr>
            </w:pPr>
          </w:p>
        </w:tc>
      </w:tr>
      <w:tr w14:paraId="3DAD0C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70" w:type="dxa"/>
          </w:tcPr>
          <w:p w14:paraId="475C3D1F">
            <w:pPr>
              <w:adjustRightInd w:val="0"/>
              <w:snapToGrid w:val="0"/>
              <w:spacing w:line="360" w:lineRule="auto"/>
              <w:rPr>
                <w:rFonts w:ascii="宋体" w:hAnsi="宋体"/>
                <w:color w:val="auto"/>
                <w:kern w:val="0"/>
                <w:sz w:val="24"/>
                <w:highlight w:val="none"/>
              </w:rPr>
            </w:pPr>
          </w:p>
        </w:tc>
        <w:tc>
          <w:tcPr>
            <w:tcW w:w="7613" w:type="dxa"/>
          </w:tcPr>
          <w:p w14:paraId="237B4125">
            <w:pPr>
              <w:adjustRightInd w:val="0"/>
              <w:snapToGrid w:val="0"/>
              <w:spacing w:line="360" w:lineRule="auto"/>
              <w:rPr>
                <w:rFonts w:ascii="宋体" w:hAnsi="宋体"/>
                <w:color w:val="auto"/>
                <w:kern w:val="0"/>
                <w:sz w:val="24"/>
                <w:highlight w:val="none"/>
              </w:rPr>
            </w:pPr>
          </w:p>
        </w:tc>
      </w:tr>
      <w:tr w14:paraId="2173ED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70" w:type="dxa"/>
          </w:tcPr>
          <w:p w14:paraId="42371E87">
            <w:pPr>
              <w:adjustRightInd w:val="0"/>
              <w:snapToGrid w:val="0"/>
              <w:spacing w:line="360" w:lineRule="auto"/>
              <w:rPr>
                <w:rFonts w:ascii="宋体" w:hAnsi="宋体"/>
                <w:color w:val="auto"/>
                <w:kern w:val="0"/>
                <w:sz w:val="24"/>
                <w:highlight w:val="none"/>
              </w:rPr>
            </w:pPr>
          </w:p>
        </w:tc>
        <w:tc>
          <w:tcPr>
            <w:tcW w:w="7613" w:type="dxa"/>
          </w:tcPr>
          <w:p w14:paraId="4DC0E4CD">
            <w:pPr>
              <w:adjustRightInd w:val="0"/>
              <w:snapToGrid w:val="0"/>
              <w:spacing w:line="360" w:lineRule="auto"/>
              <w:rPr>
                <w:rFonts w:ascii="宋体" w:hAnsi="宋体"/>
                <w:color w:val="auto"/>
                <w:kern w:val="0"/>
                <w:sz w:val="24"/>
                <w:highlight w:val="none"/>
              </w:rPr>
            </w:pPr>
          </w:p>
        </w:tc>
      </w:tr>
      <w:tr w14:paraId="7856C6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70" w:type="dxa"/>
          </w:tcPr>
          <w:p w14:paraId="3358AE81">
            <w:pPr>
              <w:adjustRightInd w:val="0"/>
              <w:snapToGrid w:val="0"/>
              <w:spacing w:line="360" w:lineRule="auto"/>
              <w:rPr>
                <w:rFonts w:ascii="宋体" w:hAnsi="宋体"/>
                <w:color w:val="auto"/>
                <w:kern w:val="0"/>
                <w:sz w:val="24"/>
                <w:highlight w:val="none"/>
              </w:rPr>
            </w:pPr>
          </w:p>
        </w:tc>
        <w:tc>
          <w:tcPr>
            <w:tcW w:w="7613" w:type="dxa"/>
          </w:tcPr>
          <w:p w14:paraId="4B34224B">
            <w:pPr>
              <w:adjustRightInd w:val="0"/>
              <w:snapToGrid w:val="0"/>
              <w:spacing w:line="360" w:lineRule="auto"/>
              <w:rPr>
                <w:rFonts w:ascii="宋体" w:hAnsi="宋体"/>
                <w:color w:val="auto"/>
                <w:kern w:val="0"/>
                <w:sz w:val="24"/>
                <w:highlight w:val="none"/>
              </w:rPr>
            </w:pPr>
          </w:p>
        </w:tc>
      </w:tr>
      <w:tr w14:paraId="6BD7E9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70" w:type="dxa"/>
          </w:tcPr>
          <w:p w14:paraId="34C051C3">
            <w:pPr>
              <w:adjustRightInd w:val="0"/>
              <w:snapToGrid w:val="0"/>
              <w:spacing w:line="360" w:lineRule="auto"/>
              <w:rPr>
                <w:rFonts w:ascii="宋体" w:hAnsi="宋体"/>
                <w:color w:val="auto"/>
                <w:kern w:val="0"/>
                <w:sz w:val="24"/>
                <w:highlight w:val="none"/>
              </w:rPr>
            </w:pPr>
          </w:p>
        </w:tc>
        <w:tc>
          <w:tcPr>
            <w:tcW w:w="7613" w:type="dxa"/>
          </w:tcPr>
          <w:p w14:paraId="2DE75DF5">
            <w:pPr>
              <w:adjustRightInd w:val="0"/>
              <w:snapToGrid w:val="0"/>
              <w:spacing w:line="360" w:lineRule="auto"/>
              <w:rPr>
                <w:rFonts w:ascii="宋体" w:hAnsi="宋体"/>
                <w:color w:val="auto"/>
                <w:kern w:val="0"/>
                <w:sz w:val="24"/>
                <w:highlight w:val="none"/>
              </w:rPr>
            </w:pPr>
          </w:p>
        </w:tc>
      </w:tr>
      <w:tr w14:paraId="7D9BF8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70" w:type="dxa"/>
          </w:tcPr>
          <w:p w14:paraId="48CBEDB3">
            <w:pPr>
              <w:adjustRightInd w:val="0"/>
              <w:snapToGrid w:val="0"/>
              <w:spacing w:line="360" w:lineRule="auto"/>
              <w:rPr>
                <w:rFonts w:ascii="宋体" w:hAnsi="宋体"/>
                <w:color w:val="auto"/>
                <w:kern w:val="0"/>
                <w:sz w:val="24"/>
                <w:highlight w:val="none"/>
              </w:rPr>
            </w:pPr>
          </w:p>
        </w:tc>
        <w:tc>
          <w:tcPr>
            <w:tcW w:w="7613" w:type="dxa"/>
          </w:tcPr>
          <w:p w14:paraId="501DDC4B">
            <w:pPr>
              <w:adjustRightInd w:val="0"/>
              <w:snapToGrid w:val="0"/>
              <w:spacing w:line="360" w:lineRule="auto"/>
              <w:rPr>
                <w:rFonts w:ascii="宋体" w:hAnsi="宋体"/>
                <w:color w:val="auto"/>
                <w:kern w:val="0"/>
                <w:sz w:val="24"/>
                <w:highlight w:val="none"/>
              </w:rPr>
            </w:pPr>
          </w:p>
        </w:tc>
      </w:tr>
    </w:tbl>
    <w:p w14:paraId="27309487">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采购人（签字）：</w:t>
      </w:r>
    </w:p>
    <w:p w14:paraId="61731B64">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采购代理机构（签字）：</w:t>
      </w:r>
    </w:p>
    <w:p w14:paraId="35F41DAC">
      <w:pPr>
        <w:jc w:val="left"/>
        <w:rPr>
          <w:rFonts w:ascii="宋体" w:hAnsi="宋体"/>
          <w:color w:val="auto"/>
          <w:szCs w:val="21"/>
          <w:highlight w:val="none"/>
        </w:rPr>
      </w:pPr>
      <w:r>
        <w:rPr>
          <w:rFonts w:hint="eastAsia" w:ascii="宋体" w:hAnsi="宋体"/>
          <w:color w:val="auto"/>
          <w:szCs w:val="21"/>
          <w:highlight w:val="none"/>
        </w:rPr>
        <w:t>日期：年月日</w:t>
      </w:r>
    </w:p>
    <w:p w14:paraId="3766FDC2">
      <w:pPr>
        <w:jc w:val="center"/>
        <w:outlineLvl w:val="0"/>
        <w:rPr>
          <w:rFonts w:ascii="宋体" w:hAnsi="宋体"/>
          <w:b/>
          <w:color w:val="auto"/>
          <w:sz w:val="28"/>
          <w:szCs w:val="28"/>
          <w:highlight w:val="none"/>
        </w:rPr>
      </w:pPr>
      <w:r>
        <w:rPr>
          <w:rFonts w:ascii="宋体" w:hAnsi="宋体"/>
          <w:color w:val="auto"/>
          <w:highlight w:val="none"/>
        </w:rPr>
        <w:br w:type="page"/>
      </w:r>
      <w:bookmarkStart w:id="624" w:name="_Toc166778344"/>
      <w:bookmarkStart w:id="625" w:name="_Toc737"/>
      <w:bookmarkStart w:id="626" w:name="_Toc4305"/>
      <w:bookmarkStart w:id="627" w:name="_Toc27820"/>
      <w:bookmarkStart w:id="628" w:name="_Toc4223"/>
      <w:bookmarkStart w:id="629" w:name="_Toc113350945"/>
      <w:bookmarkStart w:id="630" w:name="_Toc19966"/>
      <w:bookmarkStart w:id="631" w:name="_Toc118209436"/>
      <w:bookmarkStart w:id="632" w:name="_Toc171282413"/>
      <w:bookmarkStart w:id="633" w:name="_Toc8149"/>
      <w:bookmarkStart w:id="634" w:name="_Toc22883"/>
      <w:bookmarkStart w:id="635" w:name="_Toc3264"/>
      <w:bookmarkStart w:id="636" w:name="_Toc32630"/>
      <w:bookmarkStart w:id="637" w:name="_Toc30261"/>
      <w:bookmarkStart w:id="638" w:name="_Toc8131"/>
      <w:bookmarkStart w:id="639" w:name="_Toc28760"/>
      <w:bookmarkStart w:id="640" w:name="_Toc108483405"/>
      <w:bookmarkStart w:id="641" w:name="_Toc32448"/>
      <w:bookmarkStart w:id="642" w:name="_Toc27760"/>
      <w:bookmarkStart w:id="643" w:name="_Toc137408726"/>
      <w:bookmarkStart w:id="644" w:name="_Toc26777"/>
      <w:bookmarkStart w:id="645" w:name="_Toc99299735"/>
      <w:bookmarkStart w:id="646" w:name="_Toc189905370"/>
      <w:bookmarkStart w:id="647" w:name="_Toc17421"/>
      <w:bookmarkStart w:id="648" w:name="_Toc103979588"/>
      <w:bookmarkStart w:id="649" w:name="_Toc109656587"/>
      <w:bookmarkStart w:id="650" w:name="_Toc140957879"/>
      <w:bookmarkStart w:id="651" w:name="_Toc193053714"/>
      <w:bookmarkStart w:id="652" w:name="_Toc111543566"/>
      <w:bookmarkStart w:id="653" w:name="_Toc79093681"/>
      <w:bookmarkStart w:id="654" w:name="_Toc27660"/>
      <w:r>
        <w:rPr>
          <w:rFonts w:hint="eastAsia" w:ascii="宋体" w:hAnsi="宋体"/>
          <w:b/>
          <w:color w:val="auto"/>
          <w:sz w:val="32"/>
          <w:szCs w:val="32"/>
          <w:highlight w:val="none"/>
        </w:rPr>
        <w:t>第四章  评标方法及标准</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6DD1242B">
      <w:pPr>
        <w:pStyle w:val="3"/>
        <w:adjustRightInd w:val="0"/>
        <w:snapToGrid w:val="0"/>
        <w:jc w:val="center"/>
        <w:rPr>
          <w:rFonts w:ascii="宋体" w:hAnsi="宋体"/>
          <w:color w:val="auto"/>
          <w:sz w:val="28"/>
          <w:szCs w:val="28"/>
          <w:highlight w:val="none"/>
        </w:rPr>
      </w:pPr>
      <w:bookmarkStart w:id="655" w:name="_Toc4889"/>
      <w:bookmarkStart w:id="656" w:name="_Toc111543567"/>
      <w:bookmarkStart w:id="657" w:name="_Toc16085"/>
      <w:bookmarkStart w:id="658" w:name="_Toc99299736"/>
      <w:bookmarkStart w:id="659" w:name="_Toc17253"/>
      <w:bookmarkStart w:id="660" w:name="_Toc9616"/>
      <w:bookmarkStart w:id="661" w:name="_Toc28742"/>
      <w:bookmarkStart w:id="662" w:name="_Toc189905371"/>
      <w:bookmarkStart w:id="663" w:name="_Toc22706"/>
      <w:bookmarkStart w:id="664" w:name="_Toc29066"/>
      <w:bookmarkStart w:id="665" w:name="_Toc140957880"/>
      <w:bookmarkStart w:id="666" w:name="_Toc137408727"/>
      <w:bookmarkStart w:id="667" w:name="_Toc23113"/>
      <w:bookmarkStart w:id="668" w:name="_Toc5531"/>
      <w:bookmarkStart w:id="669" w:name="_Toc1835"/>
      <w:bookmarkStart w:id="670" w:name="_Toc171282414"/>
      <w:bookmarkStart w:id="671" w:name="_Toc10663"/>
      <w:bookmarkStart w:id="672" w:name="_Toc28953"/>
      <w:bookmarkStart w:id="673" w:name="_Toc4871"/>
      <w:bookmarkStart w:id="674" w:name="_Toc79093682"/>
      <w:bookmarkStart w:id="675" w:name="_Toc166778345"/>
      <w:bookmarkStart w:id="676" w:name="_Toc19684"/>
      <w:bookmarkStart w:id="677" w:name="_Toc109656588"/>
      <w:bookmarkStart w:id="678" w:name="_Toc108483406"/>
      <w:bookmarkStart w:id="679" w:name="_Toc103979589"/>
      <w:bookmarkStart w:id="680" w:name="_Toc27218"/>
      <w:bookmarkStart w:id="681" w:name="_Toc193053715"/>
      <w:bookmarkStart w:id="682" w:name="_Toc118209437"/>
      <w:bookmarkStart w:id="683" w:name="_Toc18392"/>
      <w:bookmarkStart w:id="684" w:name="_Toc20315"/>
      <w:bookmarkStart w:id="685" w:name="_Toc521"/>
      <w:bookmarkStart w:id="686" w:name="_Toc113350946"/>
      <w:r>
        <w:rPr>
          <w:rFonts w:hint="eastAsia" w:ascii="宋体" w:hAnsi="宋体"/>
          <w:b w:val="0"/>
          <w:bCs w:val="0"/>
          <w:color w:val="auto"/>
          <w:sz w:val="28"/>
          <w:szCs w:val="28"/>
          <w:highlight w:val="none"/>
        </w:rPr>
        <w:t>第一</w:t>
      </w:r>
      <w:r>
        <w:rPr>
          <w:rFonts w:hint="eastAsia" w:ascii="宋体" w:hAnsi="宋体"/>
          <w:color w:val="auto"/>
          <w:sz w:val="28"/>
          <w:szCs w:val="28"/>
          <w:highlight w:val="none"/>
        </w:rPr>
        <w:t>节  评标方法及标准前附表</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14:paraId="0559E900">
      <w:pPr>
        <w:adjustRightInd w:val="0"/>
        <w:snapToGrid w:val="0"/>
        <w:jc w:val="right"/>
        <w:rPr>
          <w:rFonts w:ascii="宋体" w:hAnsi="宋体"/>
          <w:bCs/>
          <w:i/>
          <w:color w:val="auto"/>
          <w:szCs w:val="21"/>
          <w:highlight w:val="none"/>
        </w:rPr>
      </w:pPr>
      <w:r>
        <w:rPr>
          <w:rFonts w:hint="eastAsia" w:ascii="宋体" w:hAnsi="宋体"/>
          <w:bCs/>
          <w:i/>
          <w:color w:val="auto"/>
          <w:szCs w:val="21"/>
          <w:highlight w:val="none"/>
        </w:rPr>
        <w:t>本项目启用的条款在“编列内容规定”栏内以“■”标注。</w:t>
      </w:r>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2127"/>
        <w:gridCol w:w="4778"/>
      </w:tblGrid>
      <w:tr w14:paraId="6035EF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701" w:type="dxa"/>
          </w:tcPr>
          <w:p w14:paraId="23F7B6A2">
            <w:pPr>
              <w:adjustRightInd w:val="0"/>
              <w:snapToGrid w:val="0"/>
              <w:spacing w:line="360" w:lineRule="exact"/>
              <w:jc w:val="center"/>
              <w:rPr>
                <w:rFonts w:ascii="宋体" w:hAnsi="宋体"/>
                <w:b/>
                <w:color w:val="auto"/>
                <w:highlight w:val="none"/>
              </w:rPr>
            </w:pPr>
            <w:r>
              <w:rPr>
                <w:rFonts w:hint="eastAsia" w:ascii="宋体" w:hAnsi="宋体"/>
                <w:b/>
                <w:color w:val="auto"/>
                <w:highlight w:val="none"/>
              </w:rPr>
              <w:t>条款号</w:t>
            </w:r>
          </w:p>
        </w:tc>
        <w:tc>
          <w:tcPr>
            <w:tcW w:w="2127" w:type="dxa"/>
          </w:tcPr>
          <w:p w14:paraId="090F2297">
            <w:pPr>
              <w:adjustRightInd w:val="0"/>
              <w:snapToGrid w:val="0"/>
              <w:spacing w:line="360" w:lineRule="exact"/>
              <w:jc w:val="center"/>
              <w:rPr>
                <w:rFonts w:ascii="宋体" w:hAnsi="宋体"/>
                <w:b/>
                <w:color w:val="auto"/>
                <w:highlight w:val="none"/>
              </w:rPr>
            </w:pPr>
            <w:r>
              <w:rPr>
                <w:rFonts w:hint="eastAsia" w:ascii="宋体" w:hAnsi="宋体"/>
                <w:b/>
                <w:color w:val="auto"/>
                <w:highlight w:val="none"/>
              </w:rPr>
              <w:t>条款名称</w:t>
            </w:r>
          </w:p>
        </w:tc>
        <w:tc>
          <w:tcPr>
            <w:tcW w:w="4778" w:type="dxa"/>
          </w:tcPr>
          <w:p w14:paraId="3BB3B124">
            <w:pPr>
              <w:adjustRightInd w:val="0"/>
              <w:snapToGrid w:val="0"/>
              <w:spacing w:line="360" w:lineRule="exact"/>
              <w:jc w:val="center"/>
              <w:rPr>
                <w:rFonts w:ascii="宋体" w:hAnsi="宋体"/>
                <w:b/>
                <w:color w:val="auto"/>
                <w:highlight w:val="none"/>
              </w:rPr>
            </w:pPr>
            <w:r>
              <w:rPr>
                <w:rFonts w:hint="eastAsia" w:ascii="宋体" w:hAnsi="宋体"/>
                <w:b/>
                <w:color w:val="auto"/>
                <w:highlight w:val="none"/>
              </w:rPr>
              <w:t>编列内容规定</w:t>
            </w:r>
          </w:p>
        </w:tc>
      </w:tr>
      <w:tr w14:paraId="7D7F71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atLeast"/>
          <w:jc w:val="center"/>
        </w:trPr>
        <w:tc>
          <w:tcPr>
            <w:tcW w:w="1701" w:type="dxa"/>
            <w:vAlign w:val="center"/>
          </w:tcPr>
          <w:p w14:paraId="4E0EFA9C">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第1.3</w:t>
            </w:r>
            <w:r>
              <w:rPr>
                <w:rFonts w:hint="eastAsia" w:ascii="宋体" w:hAnsi="宋体" w:cs="宋体"/>
                <w:color w:val="auto"/>
                <w:kern w:val="0"/>
                <w:szCs w:val="21"/>
                <w:highlight w:val="none"/>
                <w:lang w:val="zh-CN"/>
              </w:rPr>
              <w:t>款</w:t>
            </w:r>
          </w:p>
        </w:tc>
        <w:tc>
          <w:tcPr>
            <w:tcW w:w="2127" w:type="dxa"/>
            <w:vAlign w:val="center"/>
          </w:tcPr>
          <w:p w14:paraId="2F26D4E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评标方法</w:t>
            </w:r>
          </w:p>
        </w:tc>
        <w:tc>
          <w:tcPr>
            <w:tcW w:w="4778" w:type="dxa"/>
            <w:vAlign w:val="center"/>
          </w:tcPr>
          <w:p w14:paraId="7A7CA883">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综合评分法</w:t>
            </w:r>
          </w:p>
        </w:tc>
      </w:tr>
      <w:tr w14:paraId="0D8C75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1" w:hRule="atLeast"/>
          <w:jc w:val="center"/>
        </w:trPr>
        <w:tc>
          <w:tcPr>
            <w:tcW w:w="1701" w:type="dxa"/>
            <w:vAlign w:val="center"/>
          </w:tcPr>
          <w:p w14:paraId="3E29440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第4.2</w:t>
            </w:r>
            <w:r>
              <w:rPr>
                <w:rFonts w:hint="eastAsia" w:ascii="宋体" w:hAnsi="宋体" w:cs="宋体"/>
                <w:color w:val="auto"/>
                <w:kern w:val="0"/>
                <w:szCs w:val="21"/>
                <w:highlight w:val="none"/>
                <w:lang w:val="zh-CN"/>
              </w:rPr>
              <w:t>款</w:t>
            </w:r>
          </w:p>
        </w:tc>
        <w:tc>
          <w:tcPr>
            <w:tcW w:w="2127" w:type="dxa"/>
            <w:vAlign w:val="center"/>
          </w:tcPr>
          <w:p w14:paraId="2C8EBC23">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投标文件报价出现前后不一致的修正</w:t>
            </w:r>
          </w:p>
        </w:tc>
        <w:tc>
          <w:tcPr>
            <w:tcW w:w="4778" w:type="dxa"/>
            <w:vAlign w:val="center"/>
          </w:tcPr>
          <w:p w14:paraId="042B42D0">
            <w:pPr>
              <w:pStyle w:val="24"/>
              <w:adjustRightInd w:val="0"/>
              <w:snapToGrid w:val="0"/>
              <w:spacing w:line="360" w:lineRule="exact"/>
              <w:rPr>
                <w:rFonts w:hAnsi="宋体"/>
                <w:color w:val="auto"/>
                <w:kern w:val="2"/>
                <w:sz w:val="21"/>
                <w:highlight w:val="none"/>
              </w:rPr>
            </w:pPr>
            <w:r>
              <w:rPr>
                <w:rFonts w:hint="eastAsia" w:hAnsi="宋体"/>
                <w:color w:val="auto"/>
                <w:sz w:val="21"/>
                <w:highlight w:val="none"/>
              </w:rPr>
              <w:t>按第二节“评标方法及标准”第4.2条规定修正</w:t>
            </w:r>
          </w:p>
        </w:tc>
      </w:tr>
      <w:tr w14:paraId="3FEACF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59" w:hRule="atLeast"/>
          <w:jc w:val="center"/>
        </w:trPr>
        <w:tc>
          <w:tcPr>
            <w:tcW w:w="1701" w:type="dxa"/>
            <w:vAlign w:val="center"/>
          </w:tcPr>
          <w:p w14:paraId="0578FB59">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第5.2（1）</w:t>
            </w:r>
            <w:r>
              <w:rPr>
                <w:rFonts w:hint="eastAsia" w:ascii="宋体" w:hAnsi="宋体" w:cs="宋体"/>
                <w:color w:val="auto"/>
                <w:kern w:val="0"/>
                <w:szCs w:val="21"/>
                <w:highlight w:val="none"/>
                <w:lang w:val="zh-CN"/>
              </w:rPr>
              <w:t>项</w:t>
            </w:r>
          </w:p>
        </w:tc>
        <w:tc>
          <w:tcPr>
            <w:tcW w:w="2127" w:type="dxa"/>
            <w:vAlign w:val="center"/>
          </w:tcPr>
          <w:p w14:paraId="121C30E5">
            <w:pPr>
              <w:adjustRightInd w:val="0"/>
              <w:snapToGrid w:val="0"/>
              <w:spacing w:line="360" w:lineRule="exact"/>
              <w:jc w:val="center"/>
              <w:rPr>
                <w:rFonts w:ascii="宋体" w:hAnsi="宋体"/>
                <w:bCs/>
                <w:color w:val="auto"/>
                <w:szCs w:val="21"/>
                <w:highlight w:val="none"/>
              </w:rPr>
            </w:pPr>
            <w:r>
              <w:rPr>
                <w:rFonts w:hint="eastAsia" w:ascii="宋体" w:hAnsi="宋体"/>
                <w:color w:val="auto"/>
                <w:szCs w:val="21"/>
                <w:highlight w:val="none"/>
              </w:rPr>
              <w:t>价格评审优惠</w:t>
            </w:r>
          </w:p>
        </w:tc>
        <w:tc>
          <w:tcPr>
            <w:tcW w:w="4778" w:type="dxa"/>
            <w:vAlign w:val="center"/>
          </w:tcPr>
          <w:p w14:paraId="026DEDCD">
            <w:pPr>
              <w:adjustRightInd w:val="0"/>
              <w:snapToGrid w:val="0"/>
              <w:spacing w:line="360" w:lineRule="exact"/>
              <w:jc w:val="left"/>
              <w:rPr>
                <w:rFonts w:ascii="宋体" w:hAnsi="宋体"/>
                <w:color w:val="auto"/>
                <w:szCs w:val="21"/>
                <w:highlight w:val="none"/>
              </w:rPr>
            </w:pPr>
            <w:r>
              <w:rPr>
                <w:rFonts w:hint="eastAsia" w:ascii="宋体" w:hAnsi="宋体"/>
                <w:color w:val="auto"/>
                <w:szCs w:val="21"/>
                <w:highlight w:val="none"/>
              </w:rPr>
              <w:sym w:font="Wingdings" w:char="00FE"/>
            </w:r>
            <w:r>
              <w:rPr>
                <w:rFonts w:hint="eastAsia" w:ascii="宋体" w:hAnsi="宋体"/>
                <w:color w:val="auto"/>
                <w:highlight w:val="none"/>
              </w:rPr>
              <w:t>在本服务采购项目中，服务由中小企业承接的，给予一定比例的价格折扣（</w:t>
            </w:r>
            <w:r>
              <w:rPr>
                <w:rFonts w:hint="eastAsia" w:ascii="宋体" w:hAnsi="宋体"/>
                <w:color w:val="auto"/>
                <w:szCs w:val="21"/>
                <w:highlight w:val="none"/>
              </w:rPr>
              <w:t>10%-20%</w:t>
            </w:r>
            <w:r>
              <w:rPr>
                <w:rFonts w:hint="eastAsia" w:ascii="宋体" w:hAnsi="宋体"/>
                <w:color w:val="auto"/>
                <w:highlight w:val="none"/>
              </w:rPr>
              <w:t>），用扣除后的价格参与评审</w:t>
            </w:r>
            <w:r>
              <w:rPr>
                <w:rFonts w:hint="eastAsia" w:ascii="宋体" w:hAnsi="宋体"/>
                <w:color w:val="auto"/>
                <w:szCs w:val="21"/>
                <w:highlight w:val="none"/>
              </w:rPr>
              <w:t>，本项目具体扣除比例为</w:t>
            </w:r>
            <w:r>
              <w:rPr>
                <w:rFonts w:hint="eastAsia" w:ascii="宋体" w:hAnsi="宋体"/>
                <w:b/>
                <w:bCs/>
                <w:color w:val="auto"/>
                <w:szCs w:val="21"/>
                <w:highlight w:val="none"/>
                <w:u w:val="single"/>
              </w:rPr>
              <w:t xml:space="preserve"> 10 </w:t>
            </w:r>
            <w:r>
              <w:rPr>
                <w:rFonts w:hint="eastAsia" w:ascii="宋体" w:hAnsi="宋体"/>
                <w:color w:val="auto"/>
                <w:szCs w:val="21"/>
                <w:highlight w:val="none"/>
              </w:rPr>
              <w:t>％；</w:t>
            </w:r>
          </w:p>
          <w:p w14:paraId="1D2A745A">
            <w:pPr>
              <w:spacing w:line="360" w:lineRule="exact"/>
              <w:rPr>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接受大中型企业与小微企业组成联合体或者允许大中型企业向一家或者多家小微企业分包的采购项目，对于联合协议或者分包意向协议约定小微企业的合同份额占到合同总金额40%以上的，给予联合体或者大中型企业的报价一定比例（4%-6%）的价格折扣，用扣除后的价格参与评审，本项目具体扣除比例为</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232841E3">
            <w:pPr>
              <w:spacing w:line="360" w:lineRule="exact"/>
              <w:rPr>
                <w:rFonts w:ascii="宋体" w:hAnsi="宋体"/>
                <w:color w:val="auto"/>
                <w:szCs w:val="21"/>
                <w:highlight w:val="none"/>
              </w:rPr>
            </w:pPr>
            <w:r>
              <w:rPr>
                <w:rFonts w:hint="eastAsia" w:ascii="宋体" w:hAnsi="宋体"/>
                <w:color w:val="auto"/>
                <w:szCs w:val="21"/>
                <w:highlight w:val="none"/>
              </w:rPr>
              <w:t>（注：监狱企业、残疾人福利性单位视同小型、微型企业，享受评审中价格扣除等促进中小企业发展的政府采购政策）</w:t>
            </w:r>
          </w:p>
        </w:tc>
      </w:tr>
      <w:tr w14:paraId="768BB7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30" w:hRule="atLeast"/>
          <w:jc w:val="center"/>
        </w:trPr>
        <w:tc>
          <w:tcPr>
            <w:tcW w:w="1701" w:type="dxa"/>
            <w:vAlign w:val="center"/>
          </w:tcPr>
          <w:p w14:paraId="67293846">
            <w:pPr>
              <w:adjustRightInd w:val="0"/>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第6.1</w:t>
            </w:r>
            <w:r>
              <w:rPr>
                <w:rFonts w:hint="eastAsia" w:ascii="宋体" w:hAnsi="宋体" w:cs="宋体"/>
                <w:color w:val="auto"/>
                <w:kern w:val="0"/>
                <w:szCs w:val="21"/>
                <w:highlight w:val="none"/>
                <w:lang w:val="zh-CN"/>
              </w:rPr>
              <w:t>款</w:t>
            </w:r>
          </w:p>
        </w:tc>
        <w:tc>
          <w:tcPr>
            <w:tcW w:w="2127" w:type="dxa"/>
            <w:vAlign w:val="center"/>
          </w:tcPr>
          <w:p w14:paraId="20E72613">
            <w:pPr>
              <w:adjustRightInd w:val="0"/>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中标候选人并列的确定中标人的方式</w:t>
            </w:r>
          </w:p>
        </w:tc>
        <w:tc>
          <w:tcPr>
            <w:tcW w:w="4778" w:type="dxa"/>
            <w:vAlign w:val="center"/>
          </w:tcPr>
          <w:p w14:paraId="76557C02">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完全满足采购文件实质性需求且综合得分最高的单位为中标单位，得分相同的，按投标报价由低到高顺序排列；得分且投标报价相同的，按技术指标优劣顺序排列。</w:t>
            </w:r>
          </w:p>
        </w:tc>
      </w:tr>
    </w:tbl>
    <w:p w14:paraId="3551CE75">
      <w:pPr>
        <w:adjustRightInd w:val="0"/>
        <w:snapToGrid w:val="0"/>
        <w:spacing w:beforeLines="50" w:line="360" w:lineRule="auto"/>
        <w:ind w:firstLine="420" w:firstLineChars="200"/>
        <w:jc w:val="center"/>
        <w:outlineLvl w:val="1"/>
        <w:rPr>
          <w:rFonts w:ascii="宋体" w:hAnsi="宋体"/>
          <w:b/>
          <w:color w:val="auto"/>
          <w:sz w:val="28"/>
          <w:szCs w:val="28"/>
          <w:highlight w:val="none"/>
        </w:rPr>
      </w:pPr>
      <w:r>
        <w:rPr>
          <w:rFonts w:ascii="宋体" w:hAnsi="宋体"/>
          <w:color w:val="auto"/>
          <w:highlight w:val="none"/>
        </w:rPr>
        <w:br w:type="page"/>
      </w:r>
      <w:bookmarkStart w:id="687" w:name="_Toc111543568"/>
      <w:bookmarkStart w:id="688" w:name="_Toc193053716"/>
      <w:bookmarkStart w:id="689" w:name="_Toc25653"/>
      <w:bookmarkStart w:id="690" w:name="_Toc3859"/>
      <w:bookmarkStart w:id="691" w:name="_Toc31560"/>
      <w:bookmarkStart w:id="692" w:name="_Toc24910"/>
      <w:bookmarkStart w:id="693" w:name="_Toc12416"/>
      <w:bookmarkStart w:id="694" w:name="_Toc14964"/>
      <w:bookmarkStart w:id="695" w:name="_Toc23674"/>
      <w:bookmarkStart w:id="696" w:name="_Toc14314"/>
      <w:bookmarkStart w:id="697" w:name="_Toc109656589"/>
      <w:bookmarkStart w:id="698" w:name="_Toc103979590"/>
      <w:bookmarkStart w:id="699" w:name="_Toc166778346"/>
      <w:bookmarkStart w:id="700" w:name="_Toc171282415"/>
      <w:bookmarkStart w:id="701" w:name="_Toc113350947"/>
      <w:bookmarkStart w:id="702" w:name="_Toc140957881"/>
      <w:bookmarkStart w:id="703" w:name="_Toc189905372"/>
      <w:bookmarkStart w:id="704" w:name="_Toc99299737"/>
      <w:bookmarkStart w:id="705" w:name="_Toc12035"/>
      <w:bookmarkStart w:id="706" w:name="_Toc7885"/>
      <w:bookmarkStart w:id="707" w:name="_Toc4249"/>
      <w:bookmarkStart w:id="708" w:name="_Toc11994"/>
      <w:bookmarkStart w:id="709" w:name="_Toc137408728"/>
      <w:bookmarkStart w:id="710" w:name="_Toc118209438"/>
      <w:bookmarkStart w:id="711" w:name="_Toc108483407"/>
      <w:bookmarkStart w:id="712" w:name="_Toc30069"/>
      <w:bookmarkStart w:id="713" w:name="_Toc26100"/>
      <w:bookmarkStart w:id="714" w:name="_Toc31949"/>
      <w:bookmarkStart w:id="715" w:name="_Toc79093683"/>
      <w:bookmarkStart w:id="716" w:name="_Toc7884"/>
      <w:bookmarkStart w:id="717" w:name="_Toc18893"/>
      <w:r>
        <w:rPr>
          <w:rFonts w:hint="eastAsia" w:ascii="宋体" w:hAnsi="宋体"/>
          <w:b/>
          <w:color w:val="auto"/>
          <w:sz w:val="28"/>
          <w:szCs w:val="28"/>
          <w:highlight w:val="none"/>
        </w:rPr>
        <w:t>第二节  评标方法及标准</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631DE866">
      <w:pPr>
        <w:pStyle w:val="4"/>
        <w:adjustRightInd w:val="0"/>
        <w:snapToGrid w:val="0"/>
        <w:spacing w:before="0" w:after="0" w:line="360" w:lineRule="auto"/>
        <w:rPr>
          <w:rFonts w:ascii="宋体" w:hAnsi="宋体"/>
          <w:color w:val="auto"/>
          <w:sz w:val="24"/>
          <w:szCs w:val="24"/>
          <w:highlight w:val="none"/>
        </w:rPr>
      </w:pPr>
      <w:bookmarkStart w:id="718" w:name="_Toc21523"/>
      <w:bookmarkStart w:id="719" w:name="_Toc189905373"/>
      <w:bookmarkStart w:id="720" w:name="_Toc19362"/>
      <w:bookmarkStart w:id="721" w:name="_Toc27403"/>
      <w:bookmarkStart w:id="722" w:name="_Toc22818"/>
      <w:bookmarkStart w:id="723" w:name="_Toc108483408"/>
      <w:bookmarkStart w:id="724" w:name="_Toc16150"/>
      <w:bookmarkStart w:id="725" w:name="_Toc21662"/>
      <w:bookmarkStart w:id="726" w:name="_Toc118209439"/>
      <w:bookmarkStart w:id="727" w:name="_Toc18050"/>
      <w:bookmarkStart w:id="728" w:name="_Toc171282416"/>
      <w:bookmarkStart w:id="729" w:name="_Toc166778347"/>
      <w:bookmarkStart w:id="730" w:name="_Toc16459"/>
      <w:bookmarkStart w:id="731" w:name="_Toc99299738"/>
      <w:bookmarkStart w:id="732" w:name="_Toc193053717"/>
      <w:bookmarkStart w:id="733" w:name="_Toc25737"/>
      <w:bookmarkStart w:id="734" w:name="_Toc19927"/>
      <w:bookmarkStart w:id="735" w:name="_Toc9367"/>
      <w:bookmarkStart w:id="736" w:name="_Toc17712"/>
      <w:bookmarkStart w:id="737" w:name="_Toc4376"/>
      <w:bookmarkStart w:id="738" w:name="_Toc31164"/>
      <w:bookmarkStart w:id="739" w:name="_Toc137408729"/>
      <w:bookmarkStart w:id="740" w:name="_Toc140957882"/>
      <w:bookmarkStart w:id="741" w:name="_Toc79093684"/>
      <w:bookmarkStart w:id="742" w:name="_Toc27216"/>
      <w:bookmarkStart w:id="743" w:name="_Toc10374"/>
      <w:bookmarkStart w:id="744" w:name="_Toc111543569"/>
      <w:bookmarkStart w:id="745" w:name="_Toc21261"/>
      <w:bookmarkStart w:id="746" w:name="_Toc113350948"/>
      <w:bookmarkStart w:id="747" w:name="_Toc109656590"/>
      <w:bookmarkStart w:id="748" w:name="_Toc23026"/>
      <w:bookmarkStart w:id="749" w:name="_Toc103979591"/>
      <w:r>
        <w:rPr>
          <w:rFonts w:hint="eastAsia" w:ascii="宋体" w:hAnsi="宋体"/>
          <w:color w:val="auto"/>
          <w:sz w:val="24"/>
          <w:szCs w:val="24"/>
          <w:highlight w:val="none"/>
        </w:rPr>
        <w:t>1．评标方法</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14:paraId="4F866D2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1.1综合评分法，指投标文件满足招标文件全部实质性要求，且按照评审因素的量化指标评审得分最高的投标人为中标候选人的评标方法。</w:t>
      </w:r>
    </w:p>
    <w:p w14:paraId="0790E0CC">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1.2最低评标价，是指投标文件满足招标文件全部实质性要求，且投标报价最低的投标人为中标候选人的评标方法。</w:t>
      </w:r>
    </w:p>
    <w:p w14:paraId="3C4BEFD1">
      <w:pPr>
        <w:adjustRightInd w:val="0"/>
        <w:snapToGrid w:val="0"/>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1.3本采购项目评标方法见本章第一节</w:t>
      </w:r>
      <w:r>
        <w:rPr>
          <w:rFonts w:hint="eastAsia" w:ascii="宋体" w:hAnsi="宋体"/>
          <w:b/>
          <w:color w:val="auto"/>
          <w:szCs w:val="21"/>
          <w:highlight w:val="none"/>
        </w:rPr>
        <w:t>【评标方法及标准前附表】</w:t>
      </w:r>
      <w:r>
        <w:rPr>
          <w:rFonts w:hint="eastAsia" w:ascii="宋体" w:hAnsi="宋体"/>
          <w:color w:val="auto"/>
          <w:szCs w:val="21"/>
          <w:highlight w:val="none"/>
        </w:rPr>
        <w:t>。</w:t>
      </w:r>
    </w:p>
    <w:p w14:paraId="655BDD81">
      <w:pPr>
        <w:pStyle w:val="4"/>
        <w:adjustRightInd w:val="0"/>
        <w:snapToGrid w:val="0"/>
        <w:spacing w:before="0" w:after="0" w:line="360" w:lineRule="auto"/>
        <w:rPr>
          <w:rFonts w:ascii="宋体" w:hAnsi="宋体"/>
          <w:bCs w:val="0"/>
          <w:color w:val="auto"/>
          <w:sz w:val="24"/>
          <w:szCs w:val="24"/>
          <w:highlight w:val="none"/>
        </w:rPr>
      </w:pPr>
      <w:bookmarkStart w:id="750" w:name="_Toc8579"/>
      <w:bookmarkStart w:id="751" w:name="_Toc113350949"/>
      <w:bookmarkStart w:id="752" w:name="_Toc118209440"/>
      <w:bookmarkStart w:id="753" w:name="_Toc29902"/>
      <w:bookmarkStart w:id="754" w:name="_Toc108483409"/>
      <w:bookmarkStart w:id="755" w:name="_Toc5476"/>
      <w:bookmarkStart w:id="756" w:name="_Toc27692"/>
      <w:bookmarkStart w:id="757" w:name="_Toc3697"/>
      <w:bookmarkStart w:id="758" w:name="_Toc111543570"/>
      <w:bookmarkStart w:id="759" w:name="_Toc31980"/>
      <w:bookmarkStart w:id="760" w:name="_Toc5362"/>
      <w:bookmarkStart w:id="761" w:name="_Toc137408730"/>
      <w:bookmarkStart w:id="762" w:name="_Toc79093685"/>
      <w:bookmarkStart w:id="763" w:name="_Toc109656591"/>
      <w:bookmarkStart w:id="764" w:name="_Toc19092"/>
      <w:bookmarkStart w:id="765" w:name="_Toc171282417"/>
      <w:bookmarkStart w:id="766" w:name="_Toc1452"/>
      <w:bookmarkStart w:id="767" w:name="_Toc494"/>
      <w:bookmarkStart w:id="768" w:name="_Toc140957883"/>
      <w:bookmarkStart w:id="769" w:name="_Toc23350"/>
      <w:bookmarkStart w:id="770" w:name="_Toc22163"/>
      <w:bookmarkStart w:id="771" w:name="_Toc19"/>
      <w:bookmarkStart w:id="772" w:name="_Toc103979592"/>
      <w:bookmarkStart w:id="773" w:name="_Toc16975"/>
      <w:bookmarkStart w:id="774" w:name="_Toc189905374"/>
      <w:bookmarkStart w:id="775" w:name="_Toc3477"/>
      <w:bookmarkStart w:id="776" w:name="_Toc166778348"/>
      <w:bookmarkStart w:id="777" w:name="_Toc99299739"/>
      <w:bookmarkStart w:id="778" w:name="_Toc193053718"/>
      <w:bookmarkStart w:id="779" w:name="_Toc6347"/>
      <w:bookmarkStart w:id="780" w:name="_Toc21004"/>
      <w:bookmarkStart w:id="781" w:name="_Toc7982"/>
      <w:r>
        <w:rPr>
          <w:rFonts w:hint="eastAsia" w:ascii="宋体" w:hAnsi="宋体"/>
          <w:bCs w:val="0"/>
          <w:color w:val="auto"/>
          <w:sz w:val="24"/>
          <w:szCs w:val="24"/>
          <w:highlight w:val="none"/>
        </w:rPr>
        <w:t>2．评标程序</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14:paraId="2B0DB59D">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2.1评标程序分为投标文件符合性审查、澄清有关问题、比较和评价、推荐中标候选人。</w:t>
      </w:r>
    </w:p>
    <w:p w14:paraId="3F3924F2">
      <w:pPr>
        <w:pStyle w:val="4"/>
        <w:adjustRightInd w:val="0"/>
        <w:snapToGrid w:val="0"/>
        <w:spacing w:before="0" w:after="0" w:line="360" w:lineRule="auto"/>
        <w:rPr>
          <w:rFonts w:ascii="宋体" w:hAnsi="宋体"/>
          <w:bCs w:val="0"/>
          <w:color w:val="auto"/>
          <w:sz w:val="24"/>
          <w:szCs w:val="24"/>
          <w:highlight w:val="none"/>
        </w:rPr>
      </w:pPr>
      <w:bookmarkStart w:id="782" w:name="_Toc7623"/>
      <w:bookmarkStart w:id="783" w:name="_Toc7172"/>
      <w:bookmarkStart w:id="784" w:name="_Toc7031"/>
      <w:bookmarkStart w:id="785" w:name="_Toc4153"/>
      <w:bookmarkStart w:id="786" w:name="_Toc1339"/>
      <w:bookmarkStart w:id="787" w:name="_Toc108483410"/>
      <w:bookmarkStart w:id="788" w:name="_Toc79093686"/>
      <w:bookmarkStart w:id="789" w:name="_Toc83"/>
      <w:bookmarkStart w:id="790" w:name="_Toc20682"/>
      <w:bookmarkStart w:id="791" w:name="_Toc9382"/>
      <w:bookmarkStart w:id="792" w:name="_Toc21607"/>
      <w:bookmarkStart w:id="793" w:name="_Toc5501"/>
      <w:bookmarkStart w:id="794" w:name="_Toc1455"/>
      <w:bookmarkStart w:id="795" w:name="_Toc4943"/>
      <w:bookmarkStart w:id="796" w:name="_Toc99299740"/>
      <w:bookmarkStart w:id="797" w:name="_Toc109656592"/>
      <w:bookmarkStart w:id="798" w:name="_Toc25065"/>
      <w:bookmarkStart w:id="799" w:name="_Toc171282418"/>
      <w:bookmarkStart w:id="800" w:name="_Toc166778349"/>
      <w:bookmarkStart w:id="801" w:name="_Toc137408731"/>
      <w:bookmarkStart w:id="802" w:name="_Toc118209441"/>
      <w:bookmarkStart w:id="803" w:name="_Toc189905375"/>
      <w:bookmarkStart w:id="804" w:name="_Toc140957884"/>
      <w:bookmarkStart w:id="805" w:name="_Toc18409"/>
      <w:bookmarkStart w:id="806" w:name="_Toc113350950"/>
      <w:bookmarkStart w:id="807" w:name="_Toc16678"/>
      <w:bookmarkStart w:id="808" w:name="_Toc193053719"/>
      <w:bookmarkStart w:id="809" w:name="_Toc9101"/>
      <w:bookmarkStart w:id="810" w:name="_Toc1460"/>
      <w:bookmarkStart w:id="811" w:name="_Toc103979593"/>
      <w:bookmarkStart w:id="812" w:name="_Toc111543571"/>
      <w:bookmarkStart w:id="813" w:name="_Toc20674"/>
      <w:r>
        <w:rPr>
          <w:rFonts w:hint="eastAsia" w:ascii="宋体" w:hAnsi="宋体"/>
          <w:bCs w:val="0"/>
          <w:color w:val="auto"/>
          <w:sz w:val="24"/>
          <w:szCs w:val="24"/>
          <w:highlight w:val="none"/>
        </w:rPr>
        <w:t>3．投标文件符合性审查</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14:paraId="327C8AE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3.1资格审查结束后，评标委员会依法按照本章第三节“投标文件的符合性审查”规定进行投标文件符合性。</w:t>
      </w:r>
    </w:p>
    <w:p w14:paraId="5F23CA3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3.2符合性审查合格投标人少于3家的，应予废标。</w:t>
      </w:r>
    </w:p>
    <w:p w14:paraId="353B8B4B">
      <w:pPr>
        <w:pStyle w:val="4"/>
        <w:adjustRightInd w:val="0"/>
        <w:snapToGrid w:val="0"/>
        <w:spacing w:before="0" w:after="0" w:line="360" w:lineRule="auto"/>
        <w:rPr>
          <w:rFonts w:ascii="宋体" w:hAnsi="宋体"/>
          <w:bCs w:val="0"/>
          <w:color w:val="auto"/>
          <w:sz w:val="24"/>
          <w:szCs w:val="24"/>
          <w:highlight w:val="none"/>
        </w:rPr>
      </w:pPr>
      <w:bookmarkStart w:id="814" w:name="_Toc166778350"/>
      <w:bookmarkStart w:id="815" w:name="_Toc3855"/>
      <w:bookmarkStart w:id="816" w:name="_Toc16758"/>
      <w:bookmarkStart w:id="817" w:name="_Toc19773"/>
      <w:bookmarkStart w:id="818" w:name="_Toc140957885"/>
      <w:bookmarkStart w:id="819" w:name="_Toc101"/>
      <w:bookmarkStart w:id="820" w:name="_Toc4330"/>
      <w:bookmarkStart w:id="821" w:name="_Toc22961"/>
      <w:bookmarkStart w:id="822" w:name="_Toc108483411"/>
      <w:bookmarkStart w:id="823" w:name="_Toc9144"/>
      <w:bookmarkStart w:id="824" w:name="_Toc15887"/>
      <w:bookmarkStart w:id="825" w:name="_Toc10969"/>
      <w:bookmarkStart w:id="826" w:name="_Toc21072"/>
      <w:bookmarkStart w:id="827" w:name="_Toc118209442"/>
      <w:bookmarkStart w:id="828" w:name="_Toc193053720"/>
      <w:bookmarkStart w:id="829" w:name="_Toc30121"/>
      <w:bookmarkStart w:id="830" w:name="_Toc24587"/>
      <w:bookmarkStart w:id="831" w:name="_Toc189905376"/>
      <w:bookmarkStart w:id="832" w:name="_Toc29120"/>
      <w:bookmarkStart w:id="833" w:name="_Toc19629"/>
      <w:bookmarkStart w:id="834" w:name="_Toc113350951"/>
      <w:bookmarkStart w:id="835" w:name="_Toc109656593"/>
      <w:bookmarkStart w:id="836" w:name="_Toc111543572"/>
      <w:bookmarkStart w:id="837" w:name="_Toc11599"/>
      <w:bookmarkStart w:id="838" w:name="_Toc79093687"/>
      <w:bookmarkStart w:id="839" w:name="_Toc137408732"/>
      <w:bookmarkStart w:id="840" w:name="_Toc171282419"/>
      <w:bookmarkStart w:id="841" w:name="_Toc14171"/>
      <w:bookmarkStart w:id="842" w:name="_Toc11293"/>
      <w:bookmarkStart w:id="843" w:name="_Toc6021"/>
      <w:bookmarkStart w:id="844" w:name="_Toc99299741"/>
      <w:bookmarkStart w:id="845" w:name="_Toc103979594"/>
      <w:r>
        <w:rPr>
          <w:rFonts w:hint="eastAsia" w:ascii="宋体" w:hAnsi="宋体"/>
          <w:bCs w:val="0"/>
          <w:color w:val="auto"/>
          <w:sz w:val="24"/>
          <w:szCs w:val="24"/>
          <w:highlight w:val="none"/>
        </w:rPr>
        <w:t>4．投标文件的澄清</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14:paraId="56E99E0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4.1对于投标文件中含义不明确、同类问题表述不一致或者有明显文字和计算错误的内容，评标委员会应当以书面形式要求投标人作出必要的澄清、说明或者补正。</w:t>
      </w:r>
    </w:p>
    <w:p w14:paraId="7EA393D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4.2投标文件的投标报价出现前后不一致的，除</w:t>
      </w:r>
      <w:r>
        <w:rPr>
          <w:rFonts w:hint="eastAsia" w:ascii="宋体" w:hAnsi="宋体"/>
          <w:b/>
          <w:color w:val="auto"/>
          <w:szCs w:val="21"/>
          <w:highlight w:val="none"/>
        </w:rPr>
        <w:t>【评标方法及标准前附表】</w:t>
      </w:r>
      <w:r>
        <w:rPr>
          <w:rFonts w:hint="eastAsia" w:ascii="宋体" w:hAnsi="宋体"/>
          <w:color w:val="auto"/>
          <w:szCs w:val="21"/>
          <w:highlight w:val="none"/>
        </w:rPr>
        <w:t>另有规定外，按照下列规定修正：</w:t>
      </w:r>
    </w:p>
    <w:p w14:paraId="7BE199F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（1）投标文件中开标一览表内容与投标文件中相应内容不一致的，以开标一览表为准；</w:t>
      </w:r>
    </w:p>
    <w:p w14:paraId="19C0AEB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（2）大写金额和小写金额不一致的，以大写金额为准；</w:t>
      </w:r>
    </w:p>
    <w:p w14:paraId="02FB2BA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（3）单价金额小数点或者百分比有明显错位的，以开标一览表的总价为准，并修改单价；</w:t>
      </w:r>
    </w:p>
    <w:p w14:paraId="7E5F298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（4）总价金额与按单价汇总金额不一致的，以单价金额计算结果为准。</w:t>
      </w:r>
    </w:p>
    <w:p w14:paraId="34BFFFB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4.3投标文件报价同时出现两种以上不一致的，按照前款规定的顺序修正。修正后的报价由投标人代表签字或者加盖单位章确认后产生约束力，投标人不确认的，其投标无效。</w:t>
      </w:r>
    </w:p>
    <w:p w14:paraId="2E087D3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14:paraId="008F08D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4.5有效的书面澄清材料，是投标文件的补充材料，成为投标文件的组成部分。</w:t>
      </w:r>
    </w:p>
    <w:p w14:paraId="07CEECBD">
      <w:pPr>
        <w:spacing w:line="360" w:lineRule="auto"/>
        <w:rPr>
          <w:rStyle w:val="99"/>
          <w:rFonts w:ascii="宋体" w:hAnsi="宋体"/>
          <w:b/>
          <w:color w:val="auto"/>
          <w:kern w:val="0"/>
          <w:szCs w:val="21"/>
          <w:highlight w:val="none"/>
        </w:rPr>
      </w:pPr>
      <w:r>
        <w:rPr>
          <w:rFonts w:hint="eastAsia" w:ascii="宋体" w:hAnsi="宋体"/>
          <w:color w:val="auto"/>
          <w:szCs w:val="21"/>
          <w:highlight w:val="none"/>
        </w:rPr>
        <w:t>4.6</w:t>
      </w:r>
      <w:r>
        <w:rPr>
          <w:rStyle w:val="99"/>
          <w:rFonts w:ascii="宋体" w:hAnsi="宋体"/>
          <w:b/>
          <w:color w:val="auto"/>
          <w:kern w:val="0"/>
          <w:szCs w:val="21"/>
          <w:highlight w:val="none"/>
        </w:rPr>
        <w:t>异常报价</w:t>
      </w:r>
    </w:p>
    <w:p w14:paraId="36419FAB">
      <w:pPr>
        <w:adjustRightInd w:val="0"/>
        <w:snapToGrid w:val="0"/>
        <w:spacing w:line="360" w:lineRule="auto"/>
        <w:ind w:firstLine="420" w:firstLineChars="200"/>
        <w:rPr>
          <w:rFonts w:ascii="宋体" w:hAnsi="宋体"/>
          <w:color w:val="auto"/>
          <w:szCs w:val="21"/>
          <w:highlight w:val="none"/>
        </w:rPr>
      </w:pPr>
      <w:r>
        <w:rPr>
          <w:rStyle w:val="99"/>
          <w:rFonts w:hint="eastAsia" w:ascii="宋体" w:hAnsi="宋体"/>
          <w:color w:val="auto"/>
          <w:kern w:val="0"/>
          <w:szCs w:val="21"/>
          <w:highlight w:val="none"/>
        </w:rPr>
        <w:t>4.6</w:t>
      </w:r>
      <w:r>
        <w:rPr>
          <w:rStyle w:val="99"/>
          <w:rFonts w:ascii="宋体" w:hAnsi="宋体"/>
          <w:color w:val="auto"/>
          <w:kern w:val="0"/>
          <w:szCs w:val="21"/>
          <w:highlight w:val="none"/>
        </w:rPr>
        <w:t>.1</w:t>
      </w:r>
      <w:r>
        <w:rPr>
          <w:rFonts w:hint="eastAsia" w:ascii="宋体" w:hAnsi="宋体"/>
          <w:color w:val="auto"/>
          <w:szCs w:val="21"/>
          <w:highlight w:val="none"/>
        </w:rPr>
        <w:t>投标报价中出现下列情形之一的，评审委员会应当启动异常低价投标（响应）审查程序：　　</w:t>
      </w:r>
    </w:p>
    <w:p w14:paraId="05BB1F8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（1）投标（响应）报价低于全部通过符合性审查供应商投标（响应）报价平均值50%的，即投标（响应）报价&lt;全部通过符合性审查供应商投标（响应）报价平均值×50%； </w:t>
      </w:r>
    </w:p>
    <w:p w14:paraId="2333E4E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（2）投标（响应）报价低于通过符合性审查的次低报价供应商投标（响应）报价50%的，即投标（响应）报价&lt;通过符合性审查的次低报价供应商投标（响应）报价×50%； </w:t>
      </w:r>
    </w:p>
    <w:p w14:paraId="24AC765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（3）投标（响应）报价低于采购项目最高限价45%的，即投标（响应）报价&lt;采购项目最高限价×45%； </w:t>
      </w:r>
    </w:p>
    <w:p w14:paraId="28C2A58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（4）评审委员会基于专业判断，认为供应商报价过低，有可能影响产品质量或者不能诚信履约的其他情形。</w:t>
      </w:r>
    </w:p>
    <w:p w14:paraId="41B5DB9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采购人可以结合具体项目实际情况，提高上述第1项至第3项中启动异常低价投标（响应）审查的数值标准，但是最高不得超过65%。 </w:t>
      </w:r>
    </w:p>
    <w:p w14:paraId="7540B8A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相关法律法规对供应商报价有规定的，从其规定。 </w:t>
      </w:r>
    </w:p>
    <w:p w14:paraId="3DE6258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4.6.2评审委员会启动异常低价投标（响应）审查后，属于4.6.1款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4581B2B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4.6.3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03A0BC4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4.6.4采购人、采购代理机构应当为评审委员会在评审现场及时获取同类项目中标（成交）价格、类似产品市场价格水平、行业人工费用标准、国家有关部门指导行业协会发布的行业平均成本等相关信息资料提供便利。 </w:t>
      </w:r>
    </w:p>
    <w:p w14:paraId="5088E06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4.6.5异常低价投标（响应）审查的启动原因、审查意见和审查结果应当在评审报告中记录，并随供应商提供的相关书面说明及证明材料。。</w:t>
      </w:r>
    </w:p>
    <w:p w14:paraId="6BBA8AD5">
      <w:pPr>
        <w:pStyle w:val="4"/>
        <w:adjustRightInd w:val="0"/>
        <w:snapToGrid w:val="0"/>
        <w:spacing w:before="0" w:after="0" w:line="360" w:lineRule="auto"/>
        <w:rPr>
          <w:rFonts w:ascii="宋体" w:hAnsi="宋体"/>
          <w:bCs w:val="0"/>
          <w:color w:val="auto"/>
          <w:sz w:val="24"/>
          <w:szCs w:val="24"/>
          <w:highlight w:val="none"/>
        </w:rPr>
      </w:pPr>
      <w:bookmarkStart w:id="846" w:name="_Toc111543573"/>
      <w:bookmarkStart w:id="847" w:name="_Toc171282420"/>
      <w:bookmarkStart w:id="848" w:name="_Toc21266"/>
      <w:bookmarkStart w:id="849" w:name="_Toc25551"/>
      <w:bookmarkStart w:id="850" w:name="_Toc31874"/>
      <w:bookmarkStart w:id="851" w:name="_Toc32587"/>
      <w:bookmarkStart w:id="852" w:name="_Toc15933"/>
      <w:bookmarkStart w:id="853" w:name="_Toc103979595"/>
      <w:bookmarkStart w:id="854" w:name="_Toc21050"/>
      <w:bookmarkStart w:id="855" w:name="_Toc109656594"/>
      <w:bookmarkStart w:id="856" w:name="_Toc3223"/>
      <w:bookmarkStart w:id="857" w:name="_Toc24823"/>
      <w:bookmarkStart w:id="858" w:name="_Toc113350952"/>
      <w:bookmarkStart w:id="859" w:name="_Toc31938"/>
      <w:bookmarkStart w:id="860" w:name="_Toc137408733"/>
      <w:bookmarkStart w:id="861" w:name="_Toc99299742"/>
      <w:bookmarkStart w:id="862" w:name="_Toc166778351"/>
      <w:bookmarkStart w:id="863" w:name="_Toc17776"/>
      <w:bookmarkStart w:id="864" w:name="_Toc140957886"/>
      <w:bookmarkStart w:id="865" w:name="_Toc29494"/>
      <w:bookmarkStart w:id="866" w:name="_Toc108483412"/>
      <w:bookmarkStart w:id="867" w:name="_Toc189905377"/>
      <w:bookmarkStart w:id="868" w:name="_Toc17975"/>
      <w:bookmarkStart w:id="869" w:name="_Toc13814"/>
      <w:bookmarkStart w:id="870" w:name="_Toc193053721"/>
      <w:bookmarkStart w:id="871" w:name="_Toc118209443"/>
      <w:bookmarkStart w:id="872" w:name="_Toc10473"/>
      <w:bookmarkStart w:id="873" w:name="_Toc27238"/>
      <w:bookmarkStart w:id="874" w:name="_Toc79093688"/>
      <w:bookmarkStart w:id="875" w:name="_Toc31305"/>
      <w:bookmarkStart w:id="876" w:name="_Toc10069"/>
      <w:bookmarkStart w:id="877" w:name="_Toc17703"/>
      <w:r>
        <w:rPr>
          <w:rFonts w:hint="eastAsia" w:ascii="宋体" w:hAnsi="宋体"/>
          <w:bCs w:val="0"/>
          <w:color w:val="auto"/>
          <w:sz w:val="24"/>
          <w:szCs w:val="24"/>
          <w:highlight w:val="none"/>
        </w:rPr>
        <w:t>5．投标文件的比较与评价</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p>
    <w:p w14:paraId="6F30E041">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5.1评标委员会依法按照本章第四节“投标文件的比较与评价”规定，对资格性检查和符合性检查合格的投标文件进行比较和评价。</w:t>
      </w:r>
    </w:p>
    <w:p w14:paraId="33F007DE">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5.2政府采购政策：</w:t>
      </w:r>
    </w:p>
    <w:p w14:paraId="5DB59954">
      <w:pPr>
        <w:adjustRightInd w:val="0"/>
        <w:snapToGrid w:val="0"/>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w:t>
      </w:r>
      <w:r>
        <w:rPr>
          <w:rFonts w:hint="eastAsia" w:ascii="宋体" w:hAnsi="宋体"/>
          <w:bCs/>
          <w:color w:val="auto"/>
          <w:szCs w:val="21"/>
          <w:highlight w:val="none"/>
        </w:rPr>
        <w:t>价格评审优惠：</w:t>
      </w:r>
      <w:r>
        <w:rPr>
          <w:rFonts w:hint="eastAsia" w:ascii="宋体" w:hAnsi="宋体"/>
          <w:color w:val="auto"/>
          <w:szCs w:val="21"/>
          <w:highlight w:val="none"/>
        </w:rPr>
        <w:t>按</w:t>
      </w:r>
      <w:r>
        <w:rPr>
          <w:rFonts w:hint="eastAsia" w:ascii="宋体" w:hAnsi="宋体"/>
          <w:b/>
          <w:color w:val="auto"/>
          <w:szCs w:val="21"/>
          <w:highlight w:val="none"/>
        </w:rPr>
        <w:t>【评标方法及标准前附表】</w:t>
      </w:r>
      <w:r>
        <w:rPr>
          <w:rFonts w:hint="eastAsia" w:ascii="宋体" w:hAnsi="宋体"/>
          <w:color w:val="auto"/>
          <w:szCs w:val="21"/>
          <w:highlight w:val="none"/>
        </w:rPr>
        <w:t>及第二章“投标须知”的相关规定给予相应比例的价格折扣。</w:t>
      </w:r>
    </w:p>
    <w:p w14:paraId="2A9B2F86">
      <w:pPr>
        <w:pStyle w:val="4"/>
        <w:adjustRightInd w:val="0"/>
        <w:snapToGrid w:val="0"/>
        <w:spacing w:before="0" w:after="0" w:line="360" w:lineRule="auto"/>
        <w:rPr>
          <w:rFonts w:ascii="宋体" w:hAnsi="宋体"/>
          <w:color w:val="auto"/>
          <w:sz w:val="24"/>
          <w:szCs w:val="24"/>
          <w:highlight w:val="none"/>
        </w:rPr>
      </w:pPr>
      <w:bookmarkStart w:id="878" w:name="_Toc108483413"/>
      <w:bookmarkStart w:id="879" w:name="_Toc5437"/>
      <w:bookmarkStart w:id="880" w:name="_Toc30080"/>
      <w:bookmarkStart w:id="881" w:name="_Toc29684"/>
      <w:bookmarkStart w:id="882" w:name="_Toc166778352"/>
      <w:bookmarkStart w:id="883" w:name="_Toc137408734"/>
      <w:bookmarkStart w:id="884" w:name="_Toc113350953"/>
      <w:bookmarkStart w:id="885" w:name="_Toc28998"/>
      <w:bookmarkStart w:id="886" w:name="_Toc3078"/>
      <w:bookmarkStart w:id="887" w:name="_Toc140957887"/>
      <w:bookmarkStart w:id="888" w:name="_Toc29259"/>
      <w:bookmarkStart w:id="889" w:name="_Toc6840"/>
      <w:bookmarkStart w:id="890" w:name="_Toc109656595"/>
      <w:bookmarkStart w:id="891" w:name="_Toc21221"/>
      <w:bookmarkStart w:id="892" w:name="_Toc103979596"/>
      <w:bookmarkStart w:id="893" w:name="_Toc6775"/>
      <w:bookmarkStart w:id="894" w:name="_Toc171282421"/>
      <w:bookmarkStart w:id="895" w:name="_Toc27027"/>
      <w:bookmarkStart w:id="896" w:name="_Toc99299743"/>
      <w:bookmarkStart w:id="897" w:name="_Toc31299"/>
      <w:bookmarkStart w:id="898" w:name="_Toc129"/>
      <w:bookmarkStart w:id="899" w:name="_Toc17665"/>
      <w:bookmarkStart w:id="900" w:name="_Toc21805"/>
      <w:bookmarkStart w:id="901" w:name="_Toc11514"/>
      <w:bookmarkStart w:id="902" w:name="_Toc30006"/>
      <w:bookmarkStart w:id="903" w:name="_Toc111543574"/>
      <w:bookmarkStart w:id="904" w:name="_Toc118209444"/>
      <w:bookmarkStart w:id="905" w:name="_Toc193053722"/>
      <w:bookmarkStart w:id="906" w:name="_Toc20396"/>
      <w:bookmarkStart w:id="907" w:name="_Toc3579"/>
      <w:bookmarkStart w:id="908" w:name="_Toc189905378"/>
      <w:bookmarkStart w:id="909" w:name="_Toc79093689"/>
      <w:r>
        <w:rPr>
          <w:rFonts w:hint="eastAsia" w:ascii="宋体" w:hAnsi="宋体"/>
          <w:bCs w:val="0"/>
          <w:color w:val="auto"/>
          <w:sz w:val="24"/>
          <w:szCs w:val="24"/>
          <w:highlight w:val="none"/>
        </w:rPr>
        <w:t>6．</w:t>
      </w:r>
      <w:r>
        <w:rPr>
          <w:rFonts w:hint="eastAsia" w:ascii="宋体" w:hAnsi="宋体"/>
          <w:color w:val="auto"/>
          <w:sz w:val="24"/>
          <w:szCs w:val="24"/>
          <w:highlight w:val="none"/>
        </w:rPr>
        <w:t>推荐中标候选人</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p w14:paraId="04574060">
      <w:pPr>
        <w:adjustRightInd w:val="0"/>
        <w:snapToGrid w:val="0"/>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6.1</w:t>
      </w:r>
      <w:r>
        <w:rPr>
          <w:rFonts w:hint="eastAsia" w:ascii="宋体" w:hAnsi="宋体"/>
          <w:bCs/>
          <w:color w:val="auto"/>
          <w:szCs w:val="21"/>
          <w:highlight w:val="none"/>
        </w:rPr>
        <w:t>评标结果按评审后得分由高到低顺序排列。得分相同的，按投标报价由低到高顺序排列。得分且投标报价相同的并列，按</w:t>
      </w:r>
      <w:r>
        <w:rPr>
          <w:rFonts w:hint="eastAsia" w:ascii="宋体" w:hAnsi="宋体"/>
          <w:b/>
          <w:bCs/>
          <w:color w:val="auto"/>
          <w:szCs w:val="21"/>
          <w:highlight w:val="none"/>
        </w:rPr>
        <w:t>【评标方法及标准前附表】</w:t>
      </w:r>
      <w:r>
        <w:rPr>
          <w:rFonts w:hint="eastAsia" w:ascii="宋体" w:hAnsi="宋体"/>
          <w:bCs/>
          <w:color w:val="auto"/>
          <w:szCs w:val="21"/>
          <w:highlight w:val="none"/>
        </w:rPr>
        <w:t>规定的方式确定中标人；招标文件未规定的，采取随机抽取的方式确定。</w:t>
      </w:r>
    </w:p>
    <w:p w14:paraId="17B74B4B">
      <w:pPr>
        <w:pStyle w:val="4"/>
        <w:adjustRightInd w:val="0"/>
        <w:snapToGrid w:val="0"/>
        <w:spacing w:before="0" w:after="0" w:line="360" w:lineRule="auto"/>
        <w:rPr>
          <w:rFonts w:ascii="宋体" w:hAnsi="宋体"/>
          <w:color w:val="auto"/>
          <w:sz w:val="24"/>
          <w:szCs w:val="24"/>
          <w:highlight w:val="none"/>
        </w:rPr>
      </w:pPr>
      <w:bookmarkStart w:id="910" w:name="_Toc137408735"/>
      <w:bookmarkStart w:id="911" w:name="_Toc171282422"/>
      <w:bookmarkStart w:id="912" w:name="_Toc4674"/>
      <w:bookmarkStart w:id="913" w:name="_Toc13787"/>
      <w:bookmarkStart w:id="914" w:name="_Toc111543575"/>
      <w:bookmarkStart w:id="915" w:name="_Toc4410"/>
      <w:bookmarkStart w:id="916" w:name="_Toc24138"/>
      <w:bookmarkStart w:id="917" w:name="_Toc31696"/>
      <w:bookmarkStart w:id="918" w:name="_Toc103979597"/>
      <w:bookmarkStart w:id="919" w:name="_Toc25998"/>
      <w:bookmarkStart w:id="920" w:name="_Toc193053723"/>
      <w:bookmarkStart w:id="921" w:name="_Toc99299744"/>
      <w:bookmarkStart w:id="922" w:name="_Toc26244"/>
      <w:bookmarkStart w:id="923" w:name="_Toc4982"/>
      <w:bookmarkStart w:id="924" w:name="_Toc27834"/>
      <w:bookmarkStart w:id="925" w:name="_Toc17800"/>
      <w:bookmarkStart w:id="926" w:name="_Toc2490"/>
      <w:bookmarkStart w:id="927" w:name="_Toc23006"/>
      <w:bookmarkStart w:id="928" w:name="_Toc28541"/>
      <w:bookmarkStart w:id="929" w:name="_Toc108483414"/>
      <w:bookmarkStart w:id="930" w:name="_Toc140957888"/>
      <w:bookmarkStart w:id="931" w:name="_Toc189905379"/>
      <w:bookmarkStart w:id="932" w:name="_Toc29434"/>
      <w:bookmarkStart w:id="933" w:name="_Toc23121"/>
      <w:bookmarkStart w:id="934" w:name="_Toc109656596"/>
      <w:bookmarkStart w:id="935" w:name="_Toc113350954"/>
      <w:bookmarkStart w:id="936" w:name="_Toc79093690"/>
      <w:bookmarkStart w:id="937" w:name="_Toc19285"/>
      <w:bookmarkStart w:id="938" w:name="_Toc166778353"/>
      <w:bookmarkStart w:id="939" w:name="_Toc118209445"/>
      <w:bookmarkStart w:id="940" w:name="_Toc30874"/>
      <w:bookmarkStart w:id="941" w:name="_Toc16923"/>
      <w:r>
        <w:rPr>
          <w:rFonts w:hint="eastAsia" w:ascii="宋体" w:hAnsi="宋体"/>
          <w:bCs w:val="0"/>
          <w:color w:val="auto"/>
          <w:sz w:val="24"/>
          <w:szCs w:val="24"/>
          <w:highlight w:val="none"/>
        </w:rPr>
        <w:t>7．</w:t>
      </w:r>
      <w:r>
        <w:rPr>
          <w:rFonts w:hint="eastAsia" w:ascii="宋体" w:hAnsi="宋体"/>
          <w:color w:val="auto"/>
          <w:sz w:val="24"/>
          <w:szCs w:val="24"/>
          <w:highlight w:val="none"/>
        </w:rPr>
        <w:t>编写评标报告</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14:paraId="665AEA2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7.1评标</w:t>
      </w:r>
      <w:r>
        <w:rPr>
          <w:rFonts w:hint="eastAsia" w:ascii="宋体" w:hAnsi="宋体"/>
          <w:bCs/>
          <w:color w:val="auto"/>
          <w:szCs w:val="21"/>
          <w:highlight w:val="none"/>
        </w:rPr>
        <w:t>委员会</w:t>
      </w:r>
      <w:r>
        <w:rPr>
          <w:rFonts w:hint="eastAsia" w:ascii="宋体" w:hAnsi="宋体"/>
          <w:color w:val="auto"/>
          <w:szCs w:val="21"/>
          <w:highlight w:val="none"/>
        </w:rPr>
        <w:t>根据全体评标成员签字的原始评标记录和评标结果编写评标报告。</w:t>
      </w:r>
    </w:p>
    <w:p w14:paraId="6225AE5A">
      <w:pPr>
        <w:adjustRightInd w:val="0"/>
        <w:snapToGrid w:val="0"/>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7.2</w:t>
      </w:r>
      <w:r>
        <w:rPr>
          <w:rFonts w:hint="eastAsia" w:ascii="宋体" w:hAnsi="宋体"/>
          <w:bCs/>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415620B0">
      <w:pPr>
        <w:pStyle w:val="4"/>
        <w:adjustRightInd w:val="0"/>
        <w:snapToGrid w:val="0"/>
        <w:spacing w:before="0" w:after="0" w:line="360" w:lineRule="auto"/>
        <w:rPr>
          <w:rFonts w:ascii="宋体" w:hAnsi="宋体"/>
          <w:bCs w:val="0"/>
          <w:color w:val="auto"/>
          <w:sz w:val="24"/>
          <w:szCs w:val="24"/>
          <w:highlight w:val="none"/>
        </w:rPr>
      </w:pPr>
      <w:bookmarkStart w:id="942" w:name="_Toc166778354"/>
      <w:bookmarkStart w:id="943" w:name="_Toc21996"/>
      <w:bookmarkStart w:id="944" w:name="_Toc118209446"/>
      <w:bookmarkStart w:id="945" w:name="_Toc137408736"/>
      <w:bookmarkStart w:id="946" w:name="_Toc9675"/>
      <w:bookmarkStart w:id="947" w:name="_Toc17787"/>
      <w:bookmarkStart w:id="948" w:name="_Toc171282423"/>
      <w:bookmarkStart w:id="949" w:name="_Toc6266"/>
      <w:bookmarkStart w:id="950" w:name="_Toc140957889"/>
      <w:bookmarkStart w:id="951" w:name="_Toc23324"/>
      <w:bookmarkStart w:id="952" w:name="_Toc13789"/>
      <w:bookmarkStart w:id="953" w:name="_Toc111543576"/>
      <w:bookmarkStart w:id="954" w:name="_Toc103979598"/>
      <w:bookmarkStart w:id="955" w:name="_Toc19226"/>
      <w:bookmarkStart w:id="956" w:name="_Toc19841"/>
      <w:bookmarkStart w:id="957" w:name="_Toc28705"/>
      <w:bookmarkStart w:id="958" w:name="_Toc79093691"/>
      <w:bookmarkStart w:id="959" w:name="_Toc113350955"/>
      <w:bookmarkStart w:id="960" w:name="_Toc1967"/>
      <w:bookmarkStart w:id="961" w:name="_Toc22861"/>
      <w:bookmarkStart w:id="962" w:name="_Toc15982"/>
      <w:bookmarkStart w:id="963" w:name="_Toc108483415"/>
      <w:bookmarkStart w:id="964" w:name="_Toc10540"/>
      <w:bookmarkStart w:id="965" w:name="_Toc193053724"/>
      <w:bookmarkStart w:id="966" w:name="_Toc5096"/>
      <w:bookmarkStart w:id="967" w:name="_Toc26539"/>
      <w:bookmarkStart w:id="968" w:name="_Toc7558"/>
      <w:bookmarkStart w:id="969" w:name="_Toc15722"/>
      <w:bookmarkStart w:id="970" w:name="_Toc109656597"/>
      <w:bookmarkStart w:id="971" w:name="_Toc99299745"/>
      <w:bookmarkStart w:id="972" w:name="_Toc18743"/>
      <w:bookmarkStart w:id="973" w:name="_Toc189905380"/>
      <w:r>
        <w:rPr>
          <w:rFonts w:hint="eastAsia" w:ascii="宋体" w:hAnsi="宋体"/>
          <w:bCs w:val="0"/>
          <w:color w:val="auto"/>
          <w:sz w:val="24"/>
          <w:szCs w:val="24"/>
          <w:highlight w:val="none"/>
        </w:rPr>
        <w:t>8．</w:t>
      </w:r>
      <w:r>
        <w:rPr>
          <w:rFonts w:hint="eastAsia" w:ascii="宋体" w:hAnsi="宋体"/>
          <w:color w:val="auto"/>
          <w:sz w:val="24"/>
          <w:szCs w:val="24"/>
          <w:highlight w:val="none"/>
        </w:rPr>
        <w:t>评标报告</w:t>
      </w:r>
      <w:r>
        <w:rPr>
          <w:rFonts w:hint="eastAsia" w:ascii="宋体" w:hAnsi="宋体"/>
          <w:bCs w:val="0"/>
          <w:color w:val="auto"/>
          <w:sz w:val="24"/>
          <w:szCs w:val="24"/>
          <w:highlight w:val="none"/>
        </w:rPr>
        <w:t>复核</w:t>
      </w:r>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p w14:paraId="119067B0">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8.1汇总结束后，评标委员会应当进行复核，特别要对拟推荐为中标候选供应商的、报价最低的、投标文件被认定为无效的进行重点复核。</w:t>
      </w:r>
    </w:p>
    <w:p w14:paraId="4E0DB440">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8.2汇总完成后，除下列情形外，任何人不得修改评标结果：</w:t>
      </w:r>
    </w:p>
    <w:p w14:paraId="28E69637">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（1）分值汇总计算错误的；</w:t>
      </w:r>
    </w:p>
    <w:p w14:paraId="1D0C2AC0">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（2）分项评分超出评分标准范围的；</w:t>
      </w:r>
    </w:p>
    <w:p w14:paraId="7BBC2017">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（3）评标委员会成员对客观评审因素评分不一致的；</w:t>
      </w:r>
    </w:p>
    <w:p w14:paraId="20E45420">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（4）经评标委员会认定评分畸高、畸低的。</w:t>
      </w:r>
    </w:p>
    <w:p w14:paraId="6F6EDC93">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34520EE3">
      <w:pPr>
        <w:pStyle w:val="4"/>
        <w:adjustRightInd w:val="0"/>
        <w:snapToGrid w:val="0"/>
        <w:spacing w:before="0" w:after="0" w:line="360" w:lineRule="auto"/>
        <w:rPr>
          <w:rFonts w:ascii="宋体" w:hAnsi="宋体"/>
          <w:bCs w:val="0"/>
          <w:color w:val="auto"/>
          <w:sz w:val="24"/>
          <w:szCs w:val="24"/>
          <w:highlight w:val="none"/>
        </w:rPr>
      </w:pPr>
      <w:bookmarkStart w:id="974" w:name="_Toc137408737"/>
      <w:bookmarkStart w:id="975" w:name="_Toc166778355"/>
      <w:bookmarkStart w:id="976" w:name="_Toc26561"/>
      <w:bookmarkStart w:id="977" w:name="_Toc7850"/>
      <w:bookmarkStart w:id="978" w:name="_Toc10522"/>
      <w:bookmarkStart w:id="979" w:name="_Toc200"/>
      <w:bookmarkStart w:id="980" w:name="_Toc29526"/>
      <w:bookmarkStart w:id="981" w:name="_Toc13010"/>
      <w:bookmarkStart w:id="982" w:name="_Toc9921"/>
      <w:bookmarkStart w:id="983" w:name="_Toc140957890"/>
      <w:bookmarkStart w:id="984" w:name="_Toc118209447"/>
      <w:bookmarkStart w:id="985" w:name="_Toc3802"/>
      <w:bookmarkStart w:id="986" w:name="_Toc16504"/>
      <w:bookmarkStart w:id="987" w:name="_Toc29557"/>
      <w:bookmarkStart w:id="988" w:name="_Toc9078"/>
      <w:bookmarkStart w:id="989" w:name="_Toc189905381"/>
      <w:bookmarkStart w:id="990" w:name="_Toc30471"/>
      <w:bookmarkStart w:id="991" w:name="_Toc99299746"/>
      <w:bookmarkStart w:id="992" w:name="_Toc193053725"/>
      <w:bookmarkStart w:id="993" w:name="_Toc24488"/>
      <w:bookmarkStart w:id="994" w:name="_Toc22922"/>
      <w:bookmarkStart w:id="995" w:name="_Toc22208"/>
      <w:bookmarkStart w:id="996" w:name="_Toc103979599"/>
      <w:bookmarkStart w:id="997" w:name="_Toc4872"/>
      <w:bookmarkStart w:id="998" w:name="_Toc113350956"/>
      <w:bookmarkStart w:id="999" w:name="_Toc171282424"/>
      <w:bookmarkStart w:id="1000" w:name="_Toc109656598"/>
      <w:bookmarkStart w:id="1001" w:name="_Toc17038"/>
      <w:bookmarkStart w:id="1002" w:name="_Toc108483416"/>
      <w:bookmarkStart w:id="1003" w:name="_Toc3662"/>
      <w:bookmarkStart w:id="1004" w:name="_Toc79093692"/>
      <w:bookmarkStart w:id="1005" w:name="_Toc111543577"/>
      <w:r>
        <w:rPr>
          <w:rFonts w:hint="eastAsia" w:ascii="宋体" w:hAnsi="宋体"/>
          <w:color w:val="auto"/>
          <w:sz w:val="24"/>
          <w:szCs w:val="24"/>
          <w:highlight w:val="none"/>
        </w:rPr>
        <w:t>9．</w:t>
      </w:r>
      <w:r>
        <w:rPr>
          <w:rFonts w:hint="eastAsia" w:ascii="宋体" w:hAnsi="宋体"/>
          <w:bCs w:val="0"/>
          <w:color w:val="auto"/>
          <w:sz w:val="24"/>
          <w:szCs w:val="24"/>
          <w:highlight w:val="none"/>
        </w:rPr>
        <w:t>停止评标</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p>
    <w:p w14:paraId="77035C11">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bCs/>
          <w:color w:val="auto"/>
          <w:szCs w:val="21"/>
          <w:highlight w:val="none"/>
        </w:rPr>
        <w:t>9.1</w:t>
      </w:r>
      <w:r>
        <w:rPr>
          <w:rFonts w:hint="eastAsia" w:ascii="宋体" w:hAnsi="宋体" w:cs="宋体"/>
          <w:color w:val="auto"/>
          <w:kern w:val="0"/>
          <w:szCs w:val="21"/>
          <w:highlight w:val="none"/>
        </w:rPr>
        <w:t>评标委员会发现招标文件存在歧义、重大缺陷导致评标工作无法进行，或者招标文件内容违反国家有关强制性规定的，应当停止评标工作，与采购人、者采购代理机构沟通并作书面记录。采购人、采购代理机构确认后，应当修改招标文件，重新组织采购活动。</w:t>
      </w:r>
    </w:p>
    <w:p w14:paraId="20BD1E53">
      <w:pPr>
        <w:pStyle w:val="4"/>
        <w:spacing w:before="0" w:after="0" w:line="360" w:lineRule="auto"/>
        <w:rPr>
          <w:rFonts w:ascii="宋体" w:hAnsi="宋体"/>
          <w:bCs w:val="0"/>
          <w:color w:val="auto"/>
          <w:sz w:val="24"/>
          <w:szCs w:val="24"/>
          <w:highlight w:val="none"/>
        </w:rPr>
      </w:pPr>
      <w:bookmarkStart w:id="1006" w:name="_Toc189905382"/>
      <w:bookmarkStart w:id="1007" w:name="_Toc13040"/>
      <w:bookmarkStart w:id="1008" w:name="_Toc109656599"/>
      <w:bookmarkStart w:id="1009" w:name="_Toc23522"/>
      <w:bookmarkStart w:id="1010" w:name="_Toc20257"/>
      <w:bookmarkStart w:id="1011" w:name="_Toc113350957"/>
      <w:bookmarkStart w:id="1012" w:name="_Toc103979600"/>
      <w:bookmarkStart w:id="1013" w:name="_Toc19765"/>
      <w:bookmarkStart w:id="1014" w:name="_Toc171282425"/>
      <w:bookmarkStart w:id="1015" w:name="_Toc21810"/>
      <w:bookmarkStart w:id="1016" w:name="_Toc17371"/>
      <w:bookmarkStart w:id="1017" w:name="_Toc137408738"/>
      <w:bookmarkStart w:id="1018" w:name="_Toc140957891"/>
      <w:bookmarkStart w:id="1019" w:name="_Toc108483417"/>
      <w:bookmarkStart w:id="1020" w:name="_Toc166778356"/>
      <w:bookmarkStart w:id="1021" w:name="_Toc24146"/>
      <w:bookmarkStart w:id="1022" w:name="_Toc25646"/>
      <w:bookmarkStart w:id="1023" w:name="_Toc19665"/>
      <w:bookmarkStart w:id="1024" w:name="_Toc99299747"/>
      <w:bookmarkStart w:id="1025" w:name="_Toc111543578"/>
      <w:bookmarkStart w:id="1026" w:name="_Toc25339"/>
      <w:bookmarkStart w:id="1027" w:name="_Toc15775"/>
      <w:bookmarkStart w:id="1028" w:name="_Toc118209448"/>
      <w:bookmarkStart w:id="1029" w:name="_Toc79093693"/>
      <w:bookmarkStart w:id="1030" w:name="_Toc193053726"/>
      <w:bookmarkStart w:id="1031" w:name="_Toc27534"/>
      <w:bookmarkStart w:id="1032" w:name="_Toc23077"/>
      <w:bookmarkStart w:id="1033" w:name="_Toc2244"/>
      <w:r>
        <w:rPr>
          <w:rFonts w:hint="eastAsia" w:ascii="宋体" w:hAnsi="宋体"/>
          <w:bCs w:val="0"/>
          <w:color w:val="auto"/>
          <w:sz w:val="24"/>
          <w:szCs w:val="24"/>
          <w:highlight w:val="none"/>
        </w:rPr>
        <w:t>10.废标</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14:paraId="6C73885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10.1 根据有关法律法规和招标文件的有关规定，如出现下列情况之一的，应予以废标：</w:t>
      </w:r>
    </w:p>
    <w:p w14:paraId="5377FD3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（1）符合专业条件的投标人或者对招标文件作实质响应的投标人不足三家的；</w:t>
      </w:r>
    </w:p>
    <w:p w14:paraId="42A8131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（2）出现影响采购公正的违法、违规行为的；</w:t>
      </w:r>
    </w:p>
    <w:p w14:paraId="6FF02E3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（3）投标人的报价均超过招标人项目采购预算，采购人不能支付的；</w:t>
      </w:r>
    </w:p>
    <w:p w14:paraId="23C485B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（4）因重大变故，采购任务取消的。</w:t>
      </w:r>
    </w:p>
    <w:p w14:paraId="669C4BBA">
      <w:pPr>
        <w:pStyle w:val="4"/>
        <w:keepNext w:val="0"/>
        <w:keepLines w:val="0"/>
        <w:adjustRightInd w:val="0"/>
        <w:snapToGrid w:val="0"/>
        <w:spacing w:before="0" w:after="0" w:line="360" w:lineRule="auto"/>
        <w:rPr>
          <w:rFonts w:ascii="宋体" w:hAnsi="宋体"/>
          <w:bCs w:val="0"/>
          <w:color w:val="auto"/>
          <w:sz w:val="24"/>
          <w:szCs w:val="24"/>
          <w:highlight w:val="none"/>
        </w:rPr>
      </w:pPr>
      <w:bookmarkStart w:id="1034" w:name="_Toc2557"/>
      <w:bookmarkStart w:id="1035" w:name="_Toc193053727"/>
      <w:bookmarkStart w:id="1036" w:name="_Toc17085"/>
      <w:bookmarkStart w:id="1037" w:name="_Toc31276"/>
      <w:bookmarkStart w:id="1038" w:name="_Toc109656600"/>
      <w:bookmarkStart w:id="1039" w:name="_Toc21924"/>
      <w:bookmarkStart w:id="1040" w:name="_Toc108483418"/>
      <w:bookmarkStart w:id="1041" w:name="_Toc103979601"/>
      <w:bookmarkStart w:id="1042" w:name="_Toc140957892"/>
      <w:bookmarkStart w:id="1043" w:name="_Toc11605"/>
      <w:bookmarkStart w:id="1044" w:name="_Toc99299748"/>
      <w:bookmarkStart w:id="1045" w:name="_Toc30810"/>
      <w:bookmarkStart w:id="1046" w:name="_Toc18434"/>
      <w:bookmarkStart w:id="1047" w:name="_Toc137408739"/>
      <w:bookmarkStart w:id="1048" w:name="_Toc118209449"/>
      <w:bookmarkStart w:id="1049" w:name="_Toc20651225"/>
      <w:bookmarkStart w:id="1050" w:name="_Toc18317"/>
      <w:bookmarkStart w:id="1051" w:name="_Toc79093694"/>
      <w:bookmarkStart w:id="1052" w:name="_Toc9927"/>
      <w:bookmarkStart w:id="1053" w:name="_Toc171282426"/>
      <w:bookmarkStart w:id="1054" w:name="_Toc111543579"/>
      <w:bookmarkStart w:id="1055" w:name="_Toc23967"/>
      <w:bookmarkStart w:id="1056" w:name="_Toc32018"/>
      <w:bookmarkStart w:id="1057" w:name="_Toc22030"/>
      <w:bookmarkStart w:id="1058" w:name="_Toc4465"/>
      <w:bookmarkStart w:id="1059" w:name="_Toc113350958"/>
      <w:bookmarkStart w:id="1060" w:name="_Toc189905383"/>
      <w:bookmarkStart w:id="1061" w:name="_Toc17816"/>
      <w:bookmarkStart w:id="1062" w:name="_Toc166778357"/>
      <w:bookmarkStart w:id="1063" w:name="_Toc9748"/>
      <w:bookmarkStart w:id="1064" w:name="_Toc7628"/>
      <w:bookmarkStart w:id="1065" w:name="_Toc22921"/>
      <w:bookmarkStart w:id="1066" w:name="_Toc26197"/>
      <w:r>
        <w:rPr>
          <w:rFonts w:hint="eastAsia" w:ascii="宋体" w:hAnsi="宋体" w:cs="宋体"/>
          <w:color w:val="auto"/>
          <w:sz w:val="24"/>
          <w:szCs w:val="24"/>
          <w:highlight w:val="none"/>
        </w:rPr>
        <w:t>11．重新组建评标委员会进行评标</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14:paraId="20CCBC0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11.1评标委员会或者其成员存在下列情形导致评标结果无效的，采购人、采购代理机构可以重新组建评标委员会进行评标，并书面报告本级财政部门，但采购合同已经履行的除外：</w:t>
      </w:r>
    </w:p>
    <w:p w14:paraId="635402F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（1）评标委员会组成不符合《政府采购货物和服务招标投标管理办法》规定的；</w:t>
      </w:r>
    </w:p>
    <w:p w14:paraId="337DA9D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（2）有《政府采购货物和服务招标投标管理办法》第六十二条第一至五项情形的；</w:t>
      </w:r>
    </w:p>
    <w:p w14:paraId="6792424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（3）评标委员会及其成员独立评标受到非法干预的；</w:t>
      </w:r>
    </w:p>
    <w:p w14:paraId="19BCB73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（4）有政府采购法实施条例第七十五条规定的违法行为的。</w:t>
      </w:r>
    </w:p>
    <w:p w14:paraId="3B80BEA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11.2有违法违规行为的原评标委员会成员不得参加重新组建的评标委员会。</w:t>
      </w:r>
    </w:p>
    <w:p w14:paraId="2341629D">
      <w:pPr>
        <w:pStyle w:val="3"/>
        <w:adjustRightInd w:val="0"/>
        <w:snapToGrid w:val="0"/>
        <w:spacing w:beforeLines="50"/>
        <w:jc w:val="center"/>
        <w:rPr>
          <w:rFonts w:ascii="宋体" w:hAnsi="宋体"/>
          <w:color w:val="auto"/>
          <w:sz w:val="28"/>
          <w:szCs w:val="28"/>
          <w:highlight w:val="none"/>
        </w:rPr>
      </w:pPr>
      <w:r>
        <w:rPr>
          <w:rFonts w:ascii="宋体" w:hAnsi="宋体"/>
          <w:b w:val="0"/>
          <w:color w:val="auto"/>
          <w:sz w:val="32"/>
          <w:highlight w:val="none"/>
        </w:rPr>
        <w:br w:type="page"/>
      </w:r>
      <w:bookmarkStart w:id="1067" w:name="_Toc29546"/>
      <w:bookmarkStart w:id="1068" w:name="_Toc19078"/>
      <w:bookmarkStart w:id="1069" w:name="_Toc189905384"/>
      <w:bookmarkStart w:id="1070" w:name="_Toc111543580"/>
      <w:bookmarkStart w:id="1071" w:name="_Toc171282427"/>
      <w:bookmarkStart w:id="1072" w:name="_Toc29540"/>
      <w:bookmarkStart w:id="1073" w:name="_Toc13341"/>
      <w:bookmarkStart w:id="1074" w:name="_Toc103979602"/>
      <w:bookmarkStart w:id="1075" w:name="_Toc14019"/>
      <w:bookmarkStart w:id="1076" w:name="_Toc13413"/>
      <w:bookmarkStart w:id="1077" w:name="_Toc24528"/>
      <w:bookmarkStart w:id="1078" w:name="_Toc109656601"/>
      <w:bookmarkStart w:id="1079" w:name="_Toc7489"/>
      <w:bookmarkStart w:id="1080" w:name="_Toc137408740"/>
      <w:bookmarkStart w:id="1081" w:name="_Toc166778358"/>
      <w:bookmarkStart w:id="1082" w:name="_Toc6919"/>
      <w:bookmarkStart w:id="1083" w:name="_Toc11255"/>
      <w:bookmarkStart w:id="1084" w:name="_Toc108483419"/>
      <w:bookmarkStart w:id="1085" w:name="_Toc118209450"/>
      <w:bookmarkStart w:id="1086" w:name="_Toc27385"/>
      <w:bookmarkStart w:id="1087" w:name="_Toc79093695"/>
      <w:bookmarkStart w:id="1088" w:name="_Toc14637"/>
      <w:bookmarkStart w:id="1089" w:name="_Toc113350959"/>
      <w:bookmarkStart w:id="1090" w:name="_Toc193053728"/>
      <w:bookmarkStart w:id="1091" w:name="_Toc17855"/>
      <w:bookmarkStart w:id="1092" w:name="_Toc14134"/>
      <w:bookmarkStart w:id="1093" w:name="_Toc28183"/>
      <w:bookmarkStart w:id="1094" w:name="_Toc1066"/>
      <w:bookmarkStart w:id="1095" w:name="_Toc11165"/>
      <w:bookmarkStart w:id="1096" w:name="_Toc140957893"/>
      <w:bookmarkStart w:id="1097" w:name="_Toc99299749"/>
      <w:bookmarkStart w:id="1098" w:name="_Toc16999"/>
      <w:r>
        <w:rPr>
          <w:rFonts w:hint="eastAsia" w:ascii="宋体" w:hAnsi="宋体"/>
          <w:color w:val="auto"/>
          <w:sz w:val="28"/>
          <w:szCs w:val="28"/>
          <w:highlight w:val="none"/>
        </w:rPr>
        <w:t>第三节 投标文件的符合性审查</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p>
    <w:p w14:paraId="72985129">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1.符合性审查</w:t>
      </w:r>
    </w:p>
    <w:p w14:paraId="4829B71A">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1.1</w:t>
      </w:r>
      <w:r>
        <w:rPr>
          <w:rFonts w:hint="eastAsia" w:ascii="宋体" w:hAnsi="宋体"/>
          <w:color w:val="auto"/>
          <w:szCs w:val="21"/>
          <w:highlight w:val="none"/>
        </w:rPr>
        <w:t>评标委员会应按本章本节附表1“符合性审查表”所列审查项目及审查标准，</w:t>
      </w:r>
      <w:r>
        <w:rPr>
          <w:rFonts w:hint="eastAsia" w:ascii="宋体" w:hAnsi="宋体"/>
          <w:color w:val="auto"/>
          <w:highlight w:val="none"/>
        </w:rPr>
        <w:t>对符合资格条件的投标人的投标文件进行符合性审查，以确定其是否满足招标文件的实质性要求。</w:t>
      </w:r>
    </w:p>
    <w:p w14:paraId="6DD4D86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6FC7001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（2）投标人不得通过修正或撤销不合要求的偏离从而使其投标成为实质上响应的投标。</w:t>
      </w:r>
    </w:p>
    <w:p w14:paraId="38D3831F">
      <w:pPr>
        <w:adjustRightInd w:val="0"/>
        <w:snapToGrid w:val="0"/>
        <w:spacing w:line="360" w:lineRule="auto"/>
        <w:ind w:firstLine="420" w:firstLineChars="200"/>
        <w:rPr>
          <w:rFonts w:ascii="宋体" w:hAnsi="宋体"/>
          <w:color w:val="auto"/>
          <w:highlight w:val="none"/>
        </w:rPr>
      </w:pPr>
      <w:r>
        <w:rPr>
          <w:rFonts w:hint="eastAsia" w:ascii="宋体" w:hAnsi="宋体"/>
          <w:color w:val="auto"/>
          <w:kern w:val="0"/>
          <w:szCs w:val="21"/>
          <w:highlight w:val="none"/>
        </w:rPr>
        <w:t>1.2</w:t>
      </w:r>
      <w:r>
        <w:rPr>
          <w:rFonts w:hint="eastAsia" w:ascii="宋体" w:hAnsi="宋体"/>
          <w:color w:val="auto"/>
          <w:highlight w:val="none"/>
        </w:rPr>
        <w:t>未通过符合性审查的投标人，其投标将被认定为投标无效，不能进入下一阶段评审。通过符合性审查的投标人数量不足 3 家的，不得作进一步的比较和评价。</w:t>
      </w:r>
    </w:p>
    <w:p w14:paraId="504E8EFA">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2.投标无效</w:t>
      </w:r>
    </w:p>
    <w:p w14:paraId="2DBBF2B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2.1投标人存在下列情况之一的，符合性审查不合格，投标无效：</w:t>
      </w:r>
    </w:p>
    <w:p w14:paraId="05CA8D9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（1）投标文件中商务技术文件未按照招标文件规定要求签署、盖章的；</w:t>
      </w:r>
    </w:p>
    <w:p w14:paraId="3D2C57D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（2）投标文件没有对招标文件的实质性要求和条件作出响应，或者对招标文件的偏离超出招标文件规定的偏离范围和幅度；</w:t>
      </w:r>
    </w:p>
    <w:p w14:paraId="5B1268F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（3）投标有效期不足的；</w:t>
      </w:r>
    </w:p>
    <w:p w14:paraId="1572EE1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（4）投标文件含有采购人不能接受的附加条件的；</w:t>
      </w:r>
    </w:p>
    <w:p w14:paraId="0FC00B9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（5）不符合本节第1.1款规定符合性审查标准的；</w:t>
      </w:r>
    </w:p>
    <w:p w14:paraId="404C11A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（6）法律、法规和招标文件规定的其他投标无效情形的。</w:t>
      </w:r>
    </w:p>
    <w:p w14:paraId="10CB241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2.2在评标过程中发现投标人有不遵循公平竞争的原则，恶意串通，妨碍其他投标人的竞争行为，损害采购人或者其他投标人的合法权益的，评标委员会应当认定其投标无效，并书面报告本级财政部门。</w:t>
      </w:r>
    </w:p>
    <w:p w14:paraId="0DDD401B">
      <w:pPr>
        <w:pStyle w:val="4"/>
        <w:adjustRightInd w:val="0"/>
        <w:snapToGrid w:val="0"/>
        <w:spacing w:beforeLines="50" w:after="0" w:line="360" w:lineRule="auto"/>
        <w:rPr>
          <w:rFonts w:ascii="宋体" w:hAnsi="宋体"/>
          <w:color w:val="auto"/>
          <w:sz w:val="21"/>
          <w:szCs w:val="21"/>
          <w:highlight w:val="none"/>
        </w:rPr>
      </w:pPr>
      <w:r>
        <w:rPr>
          <w:rFonts w:ascii="宋体" w:hAnsi="宋体"/>
          <w:color w:val="auto"/>
          <w:highlight w:val="none"/>
        </w:rPr>
        <w:br w:type="page"/>
      </w:r>
      <w:bookmarkStart w:id="1099" w:name="_Toc166778359"/>
      <w:bookmarkStart w:id="1100" w:name="_Toc5856"/>
      <w:bookmarkStart w:id="1101" w:name="_Toc99299750"/>
      <w:bookmarkStart w:id="1102" w:name="_Toc118209451"/>
      <w:bookmarkStart w:id="1103" w:name="_Toc79093696"/>
      <w:bookmarkStart w:id="1104" w:name="_Toc24887"/>
      <w:bookmarkStart w:id="1105" w:name="_Toc22963"/>
      <w:bookmarkStart w:id="1106" w:name="_Toc21629"/>
      <w:bookmarkStart w:id="1107" w:name="_Toc108483420"/>
      <w:bookmarkStart w:id="1108" w:name="_Toc103979603"/>
      <w:bookmarkStart w:id="1109" w:name="_Toc171282428"/>
      <w:bookmarkStart w:id="1110" w:name="_Toc189905385"/>
      <w:bookmarkStart w:id="1111" w:name="_Toc2349"/>
      <w:bookmarkStart w:id="1112" w:name="_Toc5749"/>
      <w:bookmarkStart w:id="1113" w:name="_Toc140957894"/>
      <w:bookmarkStart w:id="1114" w:name="_Toc6250"/>
      <w:bookmarkStart w:id="1115" w:name="_Toc29523"/>
      <w:bookmarkStart w:id="1116" w:name="_Toc137408741"/>
      <w:bookmarkStart w:id="1117" w:name="_Toc113350960"/>
      <w:bookmarkStart w:id="1118" w:name="_Toc8217"/>
      <w:bookmarkStart w:id="1119" w:name="_Toc4013"/>
      <w:bookmarkStart w:id="1120" w:name="_Toc10178"/>
      <w:bookmarkStart w:id="1121" w:name="_Toc27243"/>
      <w:bookmarkStart w:id="1122" w:name="_Toc12913"/>
      <w:bookmarkStart w:id="1123" w:name="_Toc193053729"/>
      <w:bookmarkStart w:id="1124" w:name="_Toc111543581"/>
      <w:bookmarkStart w:id="1125" w:name="_Toc109656602"/>
      <w:bookmarkStart w:id="1126" w:name="_Toc14593"/>
      <w:bookmarkStart w:id="1127" w:name="_Toc28341"/>
      <w:bookmarkStart w:id="1128" w:name="_Toc9893"/>
      <w:bookmarkStart w:id="1129" w:name="_Toc23621"/>
      <w:bookmarkStart w:id="1130" w:name="_Toc31898"/>
      <w:r>
        <w:rPr>
          <w:rFonts w:hint="eastAsia" w:ascii="宋体" w:hAnsi="宋体"/>
          <w:color w:val="auto"/>
          <w:sz w:val="21"/>
          <w:szCs w:val="21"/>
          <w:highlight w:val="none"/>
        </w:rPr>
        <w:t>附表1 符合性审查表</w:t>
      </w:r>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p>
    <w:p w14:paraId="1E66ADC1">
      <w:pPr>
        <w:adjustRightInd w:val="0"/>
        <w:snapToGrid w:val="0"/>
        <w:spacing w:beforeLines="50" w:line="360" w:lineRule="auto"/>
        <w:jc w:val="center"/>
        <w:outlineLvl w:val="2"/>
        <w:rPr>
          <w:rFonts w:ascii="宋体" w:hAnsi="宋体"/>
          <w:b/>
          <w:color w:val="auto"/>
          <w:sz w:val="28"/>
          <w:szCs w:val="28"/>
          <w:highlight w:val="none"/>
        </w:rPr>
      </w:pPr>
      <w:bookmarkStart w:id="1131" w:name="_Toc137408742"/>
      <w:bookmarkStart w:id="1132" w:name="_Toc193053730"/>
      <w:bookmarkStart w:id="1133" w:name="_Toc31415"/>
      <w:bookmarkStart w:id="1134" w:name="_Toc79093697"/>
      <w:bookmarkStart w:id="1135" w:name="_Toc19329"/>
      <w:bookmarkStart w:id="1136" w:name="_Toc6785"/>
      <w:bookmarkStart w:id="1137" w:name="_Toc11572"/>
      <w:bookmarkStart w:id="1138" w:name="_Toc5351"/>
      <w:bookmarkStart w:id="1139" w:name="_Toc171282429"/>
      <w:bookmarkStart w:id="1140" w:name="_Toc99299751"/>
      <w:bookmarkStart w:id="1141" w:name="_Toc108483421"/>
      <w:bookmarkStart w:id="1142" w:name="_Toc103979604"/>
      <w:bookmarkStart w:id="1143" w:name="_Toc6582"/>
      <w:bookmarkStart w:id="1144" w:name="_Toc12728"/>
      <w:bookmarkStart w:id="1145" w:name="_Toc32330"/>
      <w:bookmarkStart w:id="1146" w:name="_Toc25954"/>
      <w:bookmarkStart w:id="1147" w:name="_Toc4155"/>
      <w:bookmarkStart w:id="1148" w:name="_Toc15325"/>
      <w:bookmarkStart w:id="1149" w:name="_Toc140957895"/>
      <w:bookmarkStart w:id="1150" w:name="_Toc17917"/>
      <w:bookmarkStart w:id="1151" w:name="_Toc113350961"/>
      <w:bookmarkStart w:id="1152" w:name="_Toc118209452"/>
      <w:bookmarkStart w:id="1153" w:name="_Toc109656603"/>
      <w:bookmarkStart w:id="1154" w:name="_Toc111543582"/>
      <w:bookmarkStart w:id="1155" w:name="_Toc27626"/>
      <w:bookmarkStart w:id="1156" w:name="_Toc18512"/>
      <w:bookmarkStart w:id="1157" w:name="_Toc4522"/>
      <w:bookmarkStart w:id="1158" w:name="_Toc166778360"/>
      <w:bookmarkStart w:id="1159" w:name="_Toc29495"/>
      <w:bookmarkStart w:id="1160" w:name="_Toc189905386"/>
      <w:bookmarkStart w:id="1161" w:name="_Toc12057"/>
      <w:r>
        <w:rPr>
          <w:rFonts w:hint="eastAsia" w:ascii="宋体" w:hAnsi="宋体"/>
          <w:b/>
          <w:color w:val="auto"/>
          <w:sz w:val="28"/>
          <w:szCs w:val="28"/>
          <w:highlight w:val="none"/>
        </w:rPr>
        <w:t>符合性审查表</w:t>
      </w:r>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8"/>
        <w:gridCol w:w="3056"/>
        <w:gridCol w:w="4578"/>
      </w:tblGrid>
      <w:tr w14:paraId="6337B3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688" w:type="dxa"/>
            <w:vAlign w:val="center"/>
          </w:tcPr>
          <w:p w14:paraId="1EBC36FE">
            <w:pPr>
              <w:adjustRightInd w:val="0"/>
              <w:snapToGrid w:val="0"/>
              <w:spacing w:beforeLines="50" w:line="360" w:lineRule="auto"/>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3056" w:type="dxa"/>
            <w:vAlign w:val="center"/>
          </w:tcPr>
          <w:p w14:paraId="1D6BEA78">
            <w:pPr>
              <w:adjustRightInd w:val="0"/>
              <w:snapToGrid w:val="0"/>
              <w:spacing w:beforeLines="50" w:line="360" w:lineRule="auto"/>
              <w:jc w:val="center"/>
              <w:rPr>
                <w:rFonts w:ascii="宋体" w:hAnsi="宋体"/>
                <w:b/>
                <w:color w:val="auto"/>
                <w:kern w:val="0"/>
                <w:szCs w:val="21"/>
                <w:highlight w:val="none"/>
              </w:rPr>
            </w:pPr>
            <w:r>
              <w:rPr>
                <w:rFonts w:hint="eastAsia" w:ascii="宋体" w:hAnsi="宋体"/>
                <w:b/>
                <w:color w:val="auto"/>
                <w:kern w:val="0"/>
                <w:szCs w:val="21"/>
                <w:highlight w:val="none"/>
              </w:rPr>
              <w:t>审查项目</w:t>
            </w:r>
          </w:p>
        </w:tc>
        <w:tc>
          <w:tcPr>
            <w:tcW w:w="4578" w:type="dxa"/>
            <w:vAlign w:val="center"/>
          </w:tcPr>
          <w:p w14:paraId="5D95A08D">
            <w:pPr>
              <w:adjustRightInd w:val="0"/>
              <w:snapToGrid w:val="0"/>
              <w:spacing w:beforeLines="50" w:line="360" w:lineRule="auto"/>
              <w:jc w:val="center"/>
              <w:rPr>
                <w:rFonts w:ascii="宋体" w:hAnsi="宋体"/>
                <w:b/>
                <w:color w:val="auto"/>
                <w:kern w:val="0"/>
                <w:szCs w:val="21"/>
                <w:highlight w:val="none"/>
              </w:rPr>
            </w:pPr>
            <w:r>
              <w:rPr>
                <w:rFonts w:hint="eastAsia" w:ascii="宋体" w:hAnsi="宋体"/>
                <w:b/>
                <w:color w:val="auto"/>
                <w:kern w:val="0"/>
                <w:szCs w:val="21"/>
                <w:highlight w:val="none"/>
              </w:rPr>
              <w:t>审查标准</w:t>
            </w:r>
          </w:p>
        </w:tc>
      </w:tr>
      <w:tr w14:paraId="730AA8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6" w:hRule="atLeast"/>
          <w:jc w:val="center"/>
        </w:trPr>
        <w:tc>
          <w:tcPr>
            <w:tcW w:w="688" w:type="dxa"/>
            <w:vAlign w:val="center"/>
          </w:tcPr>
          <w:p w14:paraId="2C22163D">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3056" w:type="dxa"/>
            <w:vAlign w:val="center"/>
          </w:tcPr>
          <w:p w14:paraId="66B72902">
            <w:pPr>
              <w:adjustRightInd w:val="0"/>
              <w:snapToGrid w:val="0"/>
              <w:spacing w:line="360" w:lineRule="exact"/>
              <w:jc w:val="center"/>
              <w:rPr>
                <w:rFonts w:ascii="宋体" w:hAnsi="宋体"/>
                <w:color w:val="auto"/>
                <w:kern w:val="0"/>
                <w:szCs w:val="21"/>
                <w:highlight w:val="none"/>
              </w:rPr>
            </w:pPr>
            <w:r>
              <w:rPr>
                <w:rFonts w:hint="eastAsia" w:ascii="宋体" w:hAnsi="宋体"/>
                <w:color w:val="auto"/>
                <w:szCs w:val="21"/>
                <w:highlight w:val="none"/>
              </w:rPr>
              <w:t>投标文件的有效性、完整性</w:t>
            </w:r>
          </w:p>
        </w:tc>
        <w:tc>
          <w:tcPr>
            <w:tcW w:w="4578" w:type="dxa"/>
            <w:vAlign w:val="center"/>
          </w:tcPr>
          <w:p w14:paraId="6C6B1B4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投标人是否按照招标文件的要求编制投标文件。投标文件是否对招标文件提出的要求和条件作出明确响应。</w:t>
            </w:r>
          </w:p>
        </w:tc>
      </w:tr>
      <w:tr w14:paraId="57C1BB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00" w:hRule="atLeast"/>
          <w:jc w:val="center"/>
        </w:trPr>
        <w:tc>
          <w:tcPr>
            <w:tcW w:w="688" w:type="dxa"/>
            <w:vAlign w:val="center"/>
          </w:tcPr>
          <w:p w14:paraId="2ACEAFD9">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2</w:t>
            </w:r>
          </w:p>
        </w:tc>
        <w:tc>
          <w:tcPr>
            <w:tcW w:w="3056" w:type="dxa"/>
            <w:vAlign w:val="center"/>
          </w:tcPr>
          <w:p w14:paraId="650938AA">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投标文件的响应程度</w:t>
            </w:r>
          </w:p>
        </w:tc>
        <w:tc>
          <w:tcPr>
            <w:tcW w:w="4578" w:type="dxa"/>
            <w:vAlign w:val="center"/>
          </w:tcPr>
          <w:p w14:paraId="7C0A1933">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投标文件对招标文件的实质性要求和条件作出响应，或者对招标文件的偏离超出招标文件规定的偏离范围和幅度</w:t>
            </w:r>
          </w:p>
        </w:tc>
      </w:tr>
      <w:tr w14:paraId="39ED09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8" w:type="dxa"/>
            <w:vAlign w:val="center"/>
          </w:tcPr>
          <w:p w14:paraId="0761D77F">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3</w:t>
            </w:r>
          </w:p>
        </w:tc>
        <w:tc>
          <w:tcPr>
            <w:tcW w:w="3056" w:type="dxa"/>
            <w:vAlign w:val="center"/>
          </w:tcPr>
          <w:p w14:paraId="6EEE9765">
            <w:pPr>
              <w:adjustRightInd w:val="0"/>
              <w:snapToGrid w:val="0"/>
              <w:spacing w:line="360" w:lineRule="exact"/>
              <w:jc w:val="center"/>
              <w:rPr>
                <w:rFonts w:ascii="宋体" w:hAnsi="宋体"/>
                <w:color w:val="auto"/>
                <w:kern w:val="0"/>
                <w:szCs w:val="21"/>
                <w:highlight w:val="none"/>
              </w:rPr>
            </w:pPr>
            <w:r>
              <w:rPr>
                <w:rFonts w:hint="eastAsia" w:ascii="宋体" w:hAnsi="宋体"/>
                <w:color w:val="auto"/>
                <w:szCs w:val="21"/>
                <w:highlight w:val="none"/>
              </w:rPr>
              <w:t>投标有效期</w:t>
            </w:r>
          </w:p>
        </w:tc>
        <w:tc>
          <w:tcPr>
            <w:tcW w:w="4578" w:type="dxa"/>
            <w:vAlign w:val="center"/>
          </w:tcPr>
          <w:p w14:paraId="110FC803">
            <w:pPr>
              <w:adjustRightInd w:val="0"/>
              <w:snapToGrid w:val="0"/>
              <w:spacing w:line="360" w:lineRule="exact"/>
              <w:jc w:val="center"/>
              <w:rPr>
                <w:rFonts w:ascii="宋体" w:hAnsi="宋体"/>
                <w:color w:val="auto"/>
                <w:szCs w:val="21"/>
                <w:highlight w:val="none"/>
              </w:rPr>
            </w:pPr>
            <w:r>
              <w:rPr>
                <w:rFonts w:hint="eastAsia" w:ascii="宋体" w:hAnsi="宋体"/>
                <w:color w:val="auto"/>
                <w:highlight w:val="none"/>
              </w:rPr>
              <w:t>90日（日历日）</w:t>
            </w:r>
          </w:p>
        </w:tc>
      </w:tr>
      <w:tr w14:paraId="17B8C3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8" w:type="dxa"/>
            <w:vAlign w:val="center"/>
          </w:tcPr>
          <w:p w14:paraId="14B70E47">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4</w:t>
            </w:r>
          </w:p>
        </w:tc>
        <w:tc>
          <w:tcPr>
            <w:tcW w:w="3056" w:type="dxa"/>
            <w:vAlign w:val="center"/>
          </w:tcPr>
          <w:p w14:paraId="681C2FD2">
            <w:pPr>
              <w:adjustRightInd w:val="0"/>
              <w:snapToGrid w:val="0"/>
              <w:spacing w:line="360" w:lineRule="exact"/>
              <w:jc w:val="center"/>
              <w:rPr>
                <w:rFonts w:ascii="宋体" w:hAnsi="宋体"/>
                <w:color w:val="auto"/>
                <w:kern w:val="0"/>
                <w:szCs w:val="21"/>
                <w:highlight w:val="none"/>
              </w:rPr>
            </w:pPr>
            <w:r>
              <w:rPr>
                <w:rFonts w:hint="eastAsia" w:ascii="宋体" w:hAnsi="宋体"/>
                <w:color w:val="auto"/>
                <w:szCs w:val="21"/>
                <w:highlight w:val="none"/>
              </w:rPr>
              <w:t>商务技术文件签署、盖章</w:t>
            </w:r>
          </w:p>
        </w:tc>
        <w:tc>
          <w:tcPr>
            <w:tcW w:w="4578" w:type="dxa"/>
            <w:vAlign w:val="center"/>
          </w:tcPr>
          <w:p w14:paraId="5E79DFB3">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投标文件中商务技术文件未按照招标文件规定要求签署、盖章的</w:t>
            </w:r>
          </w:p>
        </w:tc>
      </w:tr>
      <w:tr w14:paraId="618255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8" w:type="dxa"/>
            <w:vAlign w:val="center"/>
          </w:tcPr>
          <w:p w14:paraId="0507AE97">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5</w:t>
            </w:r>
          </w:p>
        </w:tc>
        <w:tc>
          <w:tcPr>
            <w:tcW w:w="3056" w:type="dxa"/>
            <w:vAlign w:val="center"/>
          </w:tcPr>
          <w:p w14:paraId="0D348B41">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附加条件</w:t>
            </w:r>
          </w:p>
        </w:tc>
        <w:tc>
          <w:tcPr>
            <w:tcW w:w="4578" w:type="dxa"/>
            <w:vAlign w:val="center"/>
          </w:tcPr>
          <w:p w14:paraId="2C042F8F">
            <w:pPr>
              <w:adjustRightInd w:val="0"/>
              <w:snapToGrid w:val="0"/>
              <w:spacing w:line="360" w:lineRule="exact"/>
              <w:jc w:val="center"/>
              <w:rPr>
                <w:rFonts w:ascii="宋体" w:hAnsi="宋体"/>
                <w:color w:val="auto"/>
                <w:szCs w:val="21"/>
                <w:highlight w:val="none"/>
              </w:rPr>
            </w:pPr>
            <w:r>
              <w:rPr>
                <w:rFonts w:ascii="宋体" w:hAnsi="宋体"/>
                <w:color w:val="auto"/>
                <w:highlight w:val="none"/>
              </w:rPr>
              <w:t>投标文件</w:t>
            </w:r>
            <w:r>
              <w:rPr>
                <w:rFonts w:hint="eastAsia" w:ascii="宋体" w:hAnsi="宋体"/>
                <w:color w:val="auto"/>
                <w:highlight w:val="none"/>
              </w:rPr>
              <w:t>是否</w:t>
            </w:r>
            <w:r>
              <w:rPr>
                <w:rFonts w:ascii="宋体" w:hAnsi="宋体"/>
                <w:color w:val="auto"/>
                <w:highlight w:val="none"/>
              </w:rPr>
              <w:t>含有采购人不能接受的附加条件的</w:t>
            </w:r>
          </w:p>
        </w:tc>
      </w:tr>
      <w:tr w14:paraId="3512F5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25" w:hRule="atLeast"/>
          <w:jc w:val="center"/>
        </w:trPr>
        <w:tc>
          <w:tcPr>
            <w:tcW w:w="688" w:type="dxa"/>
            <w:vAlign w:val="center"/>
          </w:tcPr>
          <w:p w14:paraId="64E4D738">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6</w:t>
            </w:r>
          </w:p>
        </w:tc>
        <w:tc>
          <w:tcPr>
            <w:tcW w:w="3056" w:type="dxa"/>
            <w:vAlign w:val="center"/>
          </w:tcPr>
          <w:p w14:paraId="730BEBBF">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标的范围</w:t>
            </w:r>
          </w:p>
        </w:tc>
        <w:tc>
          <w:tcPr>
            <w:tcW w:w="4578" w:type="dxa"/>
            <w:vAlign w:val="center"/>
          </w:tcPr>
          <w:p w14:paraId="64034CEE">
            <w:pPr>
              <w:adjustRightInd w:val="0"/>
              <w:snapToGrid w:val="0"/>
              <w:spacing w:line="360" w:lineRule="exact"/>
              <w:jc w:val="center"/>
              <w:rPr>
                <w:rFonts w:ascii="宋体" w:hAnsi="宋体"/>
                <w:color w:val="auto"/>
                <w:highlight w:val="none"/>
              </w:rPr>
            </w:pPr>
            <w:r>
              <w:rPr>
                <w:rFonts w:hint="eastAsia" w:ascii="宋体" w:hAnsi="宋体"/>
                <w:color w:val="auto"/>
                <w:highlight w:val="none"/>
              </w:rPr>
              <w:t>投标标的是否满足采购标的范围</w:t>
            </w:r>
          </w:p>
        </w:tc>
      </w:tr>
      <w:tr w14:paraId="7D038C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8" w:type="dxa"/>
            <w:vAlign w:val="center"/>
          </w:tcPr>
          <w:p w14:paraId="69590236">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7</w:t>
            </w:r>
          </w:p>
        </w:tc>
        <w:tc>
          <w:tcPr>
            <w:tcW w:w="3056" w:type="dxa"/>
            <w:vAlign w:val="center"/>
          </w:tcPr>
          <w:p w14:paraId="7BF71B69">
            <w:pPr>
              <w:adjustRightInd w:val="0"/>
              <w:snapToGrid w:val="0"/>
              <w:spacing w:line="360" w:lineRule="exact"/>
              <w:jc w:val="center"/>
              <w:rPr>
                <w:rFonts w:ascii="宋体" w:hAnsi="宋体"/>
                <w:color w:val="auto"/>
                <w:kern w:val="0"/>
                <w:szCs w:val="21"/>
                <w:highlight w:val="none"/>
              </w:rPr>
            </w:pPr>
            <w:r>
              <w:rPr>
                <w:rFonts w:hint="eastAsia" w:ascii="宋体" w:hAnsi="宋体"/>
                <w:color w:val="auto"/>
                <w:szCs w:val="21"/>
                <w:highlight w:val="none"/>
              </w:rPr>
              <w:t>法律、法规和招标文件规定的其他投标无效情形</w:t>
            </w:r>
          </w:p>
        </w:tc>
        <w:tc>
          <w:tcPr>
            <w:tcW w:w="4578" w:type="dxa"/>
            <w:vAlign w:val="center"/>
          </w:tcPr>
          <w:p w14:paraId="775FE5B7">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是否存在有招标文件规定的其他投标无效情形</w:t>
            </w:r>
          </w:p>
        </w:tc>
      </w:tr>
      <w:tr w14:paraId="0AB8AA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8" w:type="dxa"/>
            <w:vAlign w:val="center"/>
          </w:tcPr>
          <w:p w14:paraId="1A4C8134">
            <w:pPr>
              <w:adjustRightInd w:val="0"/>
              <w:snapToGrid w:val="0"/>
              <w:spacing w:beforeLines="50" w:line="360" w:lineRule="auto"/>
              <w:jc w:val="center"/>
              <w:rPr>
                <w:rFonts w:ascii="宋体" w:hAnsi="宋体"/>
                <w:color w:val="auto"/>
                <w:kern w:val="0"/>
                <w:sz w:val="20"/>
                <w:szCs w:val="21"/>
                <w:highlight w:val="none"/>
              </w:rPr>
            </w:pPr>
            <w:r>
              <w:rPr>
                <w:rFonts w:hint="eastAsia" w:ascii="宋体" w:hAnsi="宋体"/>
                <w:color w:val="auto"/>
                <w:kern w:val="0"/>
                <w:sz w:val="20"/>
                <w:szCs w:val="21"/>
                <w:highlight w:val="none"/>
              </w:rPr>
              <w:t>结论</w:t>
            </w:r>
          </w:p>
        </w:tc>
        <w:tc>
          <w:tcPr>
            <w:tcW w:w="7634" w:type="dxa"/>
            <w:gridSpan w:val="2"/>
            <w:vAlign w:val="center"/>
          </w:tcPr>
          <w:p w14:paraId="722542FA">
            <w:pPr>
              <w:adjustRightInd w:val="0"/>
              <w:snapToGrid w:val="0"/>
              <w:spacing w:beforeLines="50" w:line="360" w:lineRule="auto"/>
              <w:jc w:val="center"/>
              <w:rPr>
                <w:rFonts w:ascii="宋体" w:hAnsi="宋体"/>
                <w:color w:val="auto"/>
                <w:kern w:val="0"/>
                <w:sz w:val="20"/>
                <w:szCs w:val="21"/>
                <w:highlight w:val="none"/>
              </w:rPr>
            </w:pPr>
          </w:p>
        </w:tc>
      </w:tr>
    </w:tbl>
    <w:p w14:paraId="1794880A">
      <w:pPr>
        <w:pStyle w:val="24"/>
        <w:adjustRightInd w:val="0"/>
        <w:snapToGrid w:val="0"/>
        <w:ind w:firstLine="422" w:firstLineChars="200"/>
        <w:rPr>
          <w:rFonts w:hAnsi="宋体"/>
          <w:b/>
          <w:color w:val="auto"/>
          <w:sz w:val="21"/>
          <w:highlight w:val="none"/>
        </w:rPr>
      </w:pPr>
    </w:p>
    <w:p w14:paraId="707CE0C9">
      <w:pPr>
        <w:pStyle w:val="24"/>
        <w:adjustRightInd w:val="0"/>
        <w:snapToGrid w:val="0"/>
        <w:ind w:firstLine="422" w:firstLineChars="200"/>
        <w:rPr>
          <w:rFonts w:hAnsi="宋体"/>
          <w:b/>
          <w:color w:val="auto"/>
          <w:sz w:val="21"/>
          <w:highlight w:val="none"/>
        </w:rPr>
      </w:pPr>
      <w:r>
        <w:rPr>
          <w:rFonts w:hAnsi="宋体"/>
          <w:b/>
          <w:color w:val="auto"/>
          <w:sz w:val="21"/>
          <w:highlight w:val="none"/>
        </w:rPr>
        <w:br w:type="page"/>
      </w:r>
    </w:p>
    <w:p w14:paraId="06A7776E">
      <w:pPr>
        <w:pStyle w:val="5"/>
        <w:adjustRightInd w:val="0"/>
        <w:snapToGrid w:val="0"/>
        <w:spacing w:before="0" w:after="0" w:line="360" w:lineRule="auto"/>
        <w:rPr>
          <w:rFonts w:ascii="宋体" w:hAnsi="宋体" w:eastAsia="宋体"/>
          <w:b w:val="0"/>
          <w:color w:val="auto"/>
          <w:sz w:val="21"/>
          <w:szCs w:val="21"/>
          <w:highlight w:val="none"/>
        </w:rPr>
      </w:pPr>
      <w:bookmarkStart w:id="1162" w:name="_Toc15888518"/>
      <w:bookmarkStart w:id="1163" w:name="_Toc838"/>
      <w:r>
        <w:rPr>
          <w:rFonts w:hint="eastAsia" w:ascii="宋体" w:hAnsi="宋体" w:eastAsia="宋体"/>
          <w:b w:val="0"/>
          <w:color w:val="auto"/>
          <w:sz w:val="21"/>
          <w:szCs w:val="21"/>
          <w:highlight w:val="none"/>
        </w:rPr>
        <w:t>附表2 符合性审查结果一览表</w:t>
      </w:r>
      <w:bookmarkEnd w:id="1162"/>
      <w:bookmarkEnd w:id="1163"/>
    </w:p>
    <w:p w14:paraId="794AE6ED">
      <w:pPr>
        <w:adjustRightInd w:val="0"/>
        <w:snapToGrid w:val="0"/>
        <w:spacing w:beforeLines="50" w:line="360" w:lineRule="auto"/>
        <w:jc w:val="center"/>
        <w:outlineLvl w:val="2"/>
        <w:rPr>
          <w:rFonts w:ascii="宋体" w:hAnsi="宋体"/>
          <w:b/>
          <w:color w:val="auto"/>
          <w:sz w:val="28"/>
          <w:szCs w:val="28"/>
          <w:highlight w:val="none"/>
        </w:rPr>
      </w:pPr>
      <w:bookmarkStart w:id="1164" w:name="_Toc113350962"/>
      <w:bookmarkStart w:id="1165" w:name="_Toc171282430"/>
      <w:bookmarkStart w:id="1166" w:name="_Toc189905387"/>
      <w:bookmarkStart w:id="1167" w:name="_Toc99299752"/>
      <w:bookmarkStart w:id="1168" w:name="_Toc109656604"/>
      <w:bookmarkStart w:id="1169" w:name="_Toc18533"/>
      <w:bookmarkStart w:id="1170" w:name="_Toc15969"/>
      <w:bookmarkStart w:id="1171" w:name="_Toc28477"/>
      <w:bookmarkStart w:id="1172" w:name="_Toc111543583"/>
      <w:bookmarkStart w:id="1173" w:name="_Toc193053731"/>
      <w:bookmarkStart w:id="1174" w:name="_Toc28416"/>
      <w:bookmarkStart w:id="1175" w:name="_Toc118209453"/>
      <w:bookmarkStart w:id="1176" w:name="_Toc108483422"/>
      <w:bookmarkStart w:id="1177" w:name="_Toc166778361"/>
      <w:bookmarkStart w:id="1178" w:name="_Toc31758"/>
      <w:bookmarkStart w:id="1179" w:name="_Toc21235"/>
      <w:bookmarkStart w:id="1180" w:name="_Toc140957896"/>
      <w:bookmarkStart w:id="1181" w:name="_Toc21927"/>
      <w:bookmarkStart w:id="1182" w:name="_Toc14576"/>
      <w:bookmarkStart w:id="1183" w:name="_Toc103979605"/>
      <w:bookmarkStart w:id="1184" w:name="_Toc79093698"/>
      <w:bookmarkStart w:id="1185" w:name="_Toc9615"/>
      <w:bookmarkStart w:id="1186" w:name="_Toc28562"/>
      <w:bookmarkStart w:id="1187" w:name="_Toc5000"/>
      <w:bookmarkStart w:id="1188" w:name="_Toc18537"/>
      <w:bookmarkStart w:id="1189" w:name="_Toc58"/>
      <w:bookmarkStart w:id="1190" w:name="_Toc6495"/>
      <w:bookmarkStart w:id="1191" w:name="_Toc14780"/>
      <w:bookmarkStart w:id="1192" w:name="_Toc27135"/>
      <w:bookmarkStart w:id="1193" w:name="_Toc137408743"/>
      <w:bookmarkStart w:id="1194" w:name="_Toc15772"/>
      <w:r>
        <w:rPr>
          <w:rFonts w:hint="eastAsia" w:ascii="宋体" w:hAnsi="宋体"/>
          <w:b/>
          <w:color w:val="auto"/>
          <w:sz w:val="28"/>
          <w:szCs w:val="28"/>
          <w:highlight w:val="none"/>
        </w:rPr>
        <w:t>符合性审查结果一览表</w:t>
      </w:r>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p>
    <w:p w14:paraId="2BC8ED81">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项目名称：                                           政府采购计划编号：</w:t>
      </w:r>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36"/>
        <w:gridCol w:w="2963"/>
        <w:gridCol w:w="2439"/>
        <w:gridCol w:w="2483"/>
      </w:tblGrid>
      <w:tr w14:paraId="2C9676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vAlign w:val="center"/>
          </w:tcPr>
          <w:p w14:paraId="3D6BCAA0">
            <w:pPr>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2963" w:type="dxa"/>
            <w:vAlign w:val="center"/>
          </w:tcPr>
          <w:p w14:paraId="39FC25E2">
            <w:pPr>
              <w:jc w:val="center"/>
              <w:rPr>
                <w:rFonts w:ascii="宋体" w:hAnsi="宋体"/>
                <w:b/>
                <w:color w:val="auto"/>
                <w:kern w:val="0"/>
                <w:szCs w:val="21"/>
                <w:highlight w:val="none"/>
              </w:rPr>
            </w:pPr>
            <w:r>
              <w:rPr>
                <w:rFonts w:hint="eastAsia" w:ascii="宋体" w:hAnsi="宋体"/>
                <w:b/>
                <w:color w:val="auto"/>
                <w:kern w:val="0"/>
                <w:szCs w:val="21"/>
                <w:highlight w:val="none"/>
              </w:rPr>
              <w:t>投标人名称</w:t>
            </w:r>
          </w:p>
        </w:tc>
        <w:tc>
          <w:tcPr>
            <w:tcW w:w="2439" w:type="dxa"/>
            <w:vAlign w:val="center"/>
          </w:tcPr>
          <w:p w14:paraId="79EDE58E">
            <w:pPr>
              <w:jc w:val="center"/>
              <w:rPr>
                <w:rFonts w:ascii="宋体" w:hAnsi="宋体"/>
                <w:b/>
                <w:color w:val="auto"/>
                <w:kern w:val="0"/>
                <w:szCs w:val="21"/>
                <w:highlight w:val="none"/>
              </w:rPr>
            </w:pPr>
            <w:r>
              <w:rPr>
                <w:rFonts w:hint="eastAsia" w:ascii="宋体" w:hAnsi="宋体"/>
                <w:b/>
                <w:color w:val="auto"/>
                <w:kern w:val="0"/>
                <w:szCs w:val="21"/>
                <w:highlight w:val="none"/>
              </w:rPr>
              <w:t>符合性审查结果</w:t>
            </w:r>
          </w:p>
          <w:p w14:paraId="32ADC3AF">
            <w:pPr>
              <w:jc w:val="center"/>
              <w:rPr>
                <w:rFonts w:ascii="宋体" w:hAnsi="宋体"/>
                <w:b/>
                <w:color w:val="auto"/>
                <w:kern w:val="0"/>
                <w:szCs w:val="21"/>
                <w:highlight w:val="none"/>
              </w:rPr>
            </w:pPr>
            <w:r>
              <w:rPr>
                <w:rFonts w:hint="eastAsia" w:ascii="宋体" w:hAnsi="宋体"/>
                <w:b/>
                <w:color w:val="auto"/>
                <w:kern w:val="0"/>
                <w:szCs w:val="21"/>
                <w:highlight w:val="none"/>
              </w:rPr>
              <w:t>（合格/不合格）</w:t>
            </w:r>
          </w:p>
        </w:tc>
        <w:tc>
          <w:tcPr>
            <w:tcW w:w="2483" w:type="dxa"/>
            <w:vAlign w:val="center"/>
          </w:tcPr>
          <w:p w14:paraId="4C4DB197">
            <w:pPr>
              <w:jc w:val="center"/>
              <w:rPr>
                <w:rFonts w:ascii="宋体" w:hAnsi="宋体"/>
                <w:b/>
                <w:color w:val="auto"/>
                <w:kern w:val="0"/>
                <w:szCs w:val="21"/>
                <w:highlight w:val="none"/>
              </w:rPr>
            </w:pPr>
            <w:r>
              <w:rPr>
                <w:rFonts w:hint="eastAsia" w:ascii="宋体" w:hAnsi="宋体"/>
                <w:b/>
                <w:color w:val="auto"/>
                <w:kern w:val="0"/>
                <w:szCs w:val="21"/>
                <w:highlight w:val="none"/>
              </w:rPr>
              <w:t>符合性审查不合格原因</w:t>
            </w:r>
          </w:p>
        </w:tc>
      </w:tr>
      <w:tr w14:paraId="678AD0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3FCB6B94">
            <w:pPr>
              <w:adjustRightInd w:val="0"/>
              <w:snapToGrid w:val="0"/>
              <w:spacing w:line="360" w:lineRule="auto"/>
              <w:rPr>
                <w:rFonts w:ascii="宋体" w:hAnsi="宋体"/>
                <w:color w:val="auto"/>
                <w:kern w:val="0"/>
                <w:sz w:val="24"/>
                <w:highlight w:val="none"/>
              </w:rPr>
            </w:pPr>
          </w:p>
        </w:tc>
        <w:tc>
          <w:tcPr>
            <w:tcW w:w="2963" w:type="dxa"/>
          </w:tcPr>
          <w:p w14:paraId="73DBBDB6">
            <w:pPr>
              <w:adjustRightInd w:val="0"/>
              <w:snapToGrid w:val="0"/>
              <w:spacing w:line="360" w:lineRule="auto"/>
              <w:rPr>
                <w:rFonts w:ascii="宋体" w:hAnsi="宋体"/>
                <w:color w:val="auto"/>
                <w:kern w:val="0"/>
                <w:sz w:val="24"/>
                <w:highlight w:val="none"/>
              </w:rPr>
            </w:pPr>
          </w:p>
        </w:tc>
        <w:tc>
          <w:tcPr>
            <w:tcW w:w="2439" w:type="dxa"/>
          </w:tcPr>
          <w:p w14:paraId="478337CE">
            <w:pPr>
              <w:adjustRightInd w:val="0"/>
              <w:snapToGrid w:val="0"/>
              <w:spacing w:line="360" w:lineRule="auto"/>
              <w:rPr>
                <w:rFonts w:ascii="宋体" w:hAnsi="宋体"/>
                <w:color w:val="auto"/>
                <w:kern w:val="0"/>
                <w:sz w:val="24"/>
                <w:highlight w:val="none"/>
              </w:rPr>
            </w:pPr>
          </w:p>
        </w:tc>
        <w:tc>
          <w:tcPr>
            <w:tcW w:w="2483" w:type="dxa"/>
          </w:tcPr>
          <w:p w14:paraId="7F91BFC0">
            <w:pPr>
              <w:adjustRightInd w:val="0"/>
              <w:snapToGrid w:val="0"/>
              <w:spacing w:line="360" w:lineRule="auto"/>
              <w:rPr>
                <w:rFonts w:ascii="宋体" w:hAnsi="宋体"/>
                <w:color w:val="auto"/>
                <w:kern w:val="0"/>
                <w:sz w:val="24"/>
                <w:highlight w:val="none"/>
              </w:rPr>
            </w:pPr>
          </w:p>
        </w:tc>
      </w:tr>
      <w:tr w14:paraId="519D3C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2CA02DF3">
            <w:pPr>
              <w:adjustRightInd w:val="0"/>
              <w:snapToGrid w:val="0"/>
              <w:spacing w:line="360" w:lineRule="auto"/>
              <w:rPr>
                <w:rFonts w:ascii="宋体" w:hAnsi="宋体"/>
                <w:color w:val="auto"/>
                <w:kern w:val="0"/>
                <w:sz w:val="24"/>
                <w:highlight w:val="none"/>
              </w:rPr>
            </w:pPr>
          </w:p>
        </w:tc>
        <w:tc>
          <w:tcPr>
            <w:tcW w:w="2963" w:type="dxa"/>
          </w:tcPr>
          <w:p w14:paraId="79F9CA55">
            <w:pPr>
              <w:adjustRightInd w:val="0"/>
              <w:snapToGrid w:val="0"/>
              <w:spacing w:line="360" w:lineRule="auto"/>
              <w:rPr>
                <w:rFonts w:ascii="宋体" w:hAnsi="宋体"/>
                <w:color w:val="auto"/>
                <w:kern w:val="0"/>
                <w:sz w:val="24"/>
                <w:highlight w:val="none"/>
              </w:rPr>
            </w:pPr>
          </w:p>
        </w:tc>
        <w:tc>
          <w:tcPr>
            <w:tcW w:w="2439" w:type="dxa"/>
          </w:tcPr>
          <w:p w14:paraId="409F2FC3">
            <w:pPr>
              <w:adjustRightInd w:val="0"/>
              <w:snapToGrid w:val="0"/>
              <w:spacing w:line="360" w:lineRule="auto"/>
              <w:rPr>
                <w:rFonts w:ascii="宋体" w:hAnsi="宋体"/>
                <w:color w:val="auto"/>
                <w:kern w:val="0"/>
                <w:sz w:val="24"/>
                <w:highlight w:val="none"/>
              </w:rPr>
            </w:pPr>
          </w:p>
        </w:tc>
        <w:tc>
          <w:tcPr>
            <w:tcW w:w="2483" w:type="dxa"/>
          </w:tcPr>
          <w:p w14:paraId="07B0FBB8">
            <w:pPr>
              <w:adjustRightInd w:val="0"/>
              <w:snapToGrid w:val="0"/>
              <w:spacing w:line="360" w:lineRule="auto"/>
              <w:rPr>
                <w:rFonts w:ascii="宋体" w:hAnsi="宋体"/>
                <w:color w:val="auto"/>
                <w:kern w:val="0"/>
                <w:sz w:val="24"/>
                <w:highlight w:val="none"/>
              </w:rPr>
            </w:pPr>
          </w:p>
        </w:tc>
      </w:tr>
      <w:tr w14:paraId="67873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0ADAC3D2">
            <w:pPr>
              <w:adjustRightInd w:val="0"/>
              <w:snapToGrid w:val="0"/>
              <w:spacing w:line="360" w:lineRule="auto"/>
              <w:rPr>
                <w:rFonts w:ascii="宋体" w:hAnsi="宋体"/>
                <w:color w:val="auto"/>
                <w:kern w:val="0"/>
                <w:sz w:val="24"/>
                <w:highlight w:val="none"/>
              </w:rPr>
            </w:pPr>
          </w:p>
        </w:tc>
        <w:tc>
          <w:tcPr>
            <w:tcW w:w="2963" w:type="dxa"/>
          </w:tcPr>
          <w:p w14:paraId="3709889E">
            <w:pPr>
              <w:adjustRightInd w:val="0"/>
              <w:snapToGrid w:val="0"/>
              <w:spacing w:line="360" w:lineRule="auto"/>
              <w:rPr>
                <w:rFonts w:ascii="宋体" w:hAnsi="宋体"/>
                <w:color w:val="auto"/>
                <w:kern w:val="0"/>
                <w:sz w:val="24"/>
                <w:highlight w:val="none"/>
              </w:rPr>
            </w:pPr>
          </w:p>
        </w:tc>
        <w:tc>
          <w:tcPr>
            <w:tcW w:w="2439" w:type="dxa"/>
          </w:tcPr>
          <w:p w14:paraId="30201097">
            <w:pPr>
              <w:adjustRightInd w:val="0"/>
              <w:snapToGrid w:val="0"/>
              <w:spacing w:line="360" w:lineRule="auto"/>
              <w:rPr>
                <w:rFonts w:ascii="宋体" w:hAnsi="宋体"/>
                <w:color w:val="auto"/>
                <w:kern w:val="0"/>
                <w:sz w:val="24"/>
                <w:highlight w:val="none"/>
              </w:rPr>
            </w:pPr>
          </w:p>
        </w:tc>
        <w:tc>
          <w:tcPr>
            <w:tcW w:w="2483" w:type="dxa"/>
          </w:tcPr>
          <w:p w14:paraId="60017EE0">
            <w:pPr>
              <w:adjustRightInd w:val="0"/>
              <w:snapToGrid w:val="0"/>
              <w:spacing w:line="360" w:lineRule="auto"/>
              <w:rPr>
                <w:rFonts w:ascii="宋体" w:hAnsi="宋体"/>
                <w:color w:val="auto"/>
                <w:kern w:val="0"/>
                <w:sz w:val="24"/>
                <w:highlight w:val="none"/>
              </w:rPr>
            </w:pPr>
          </w:p>
        </w:tc>
      </w:tr>
      <w:tr w14:paraId="1EDEE1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711FE789">
            <w:pPr>
              <w:adjustRightInd w:val="0"/>
              <w:snapToGrid w:val="0"/>
              <w:spacing w:line="360" w:lineRule="auto"/>
              <w:rPr>
                <w:rFonts w:ascii="宋体" w:hAnsi="宋体"/>
                <w:color w:val="auto"/>
                <w:kern w:val="0"/>
                <w:sz w:val="24"/>
                <w:highlight w:val="none"/>
              </w:rPr>
            </w:pPr>
          </w:p>
        </w:tc>
        <w:tc>
          <w:tcPr>
            <w:tcW w:w="2963" w:type="dxa"/>
          </w:tcPr>
          <w:p w14:paraId="2C643926">
            <w:pPr>
              <w:adjustRightInd w:val="0"/>
              <w:snapToGrid w:val="0"/>
              <w:spacing w:line="360" w:lineRule="auto"/>
              <w:rPr>
                <w:rFonts w:ascii="宋体" w:hAnsi="宋体"/>
                <w:color w:val="auto"/>
                <w:kern w:val="0"/>
                <w:sz w:val="24"/>
                <w:highlight w:val="none"/>
              </w:rPr>
            </w:pPr>
          </w:p>
        </w:tc>
        <w:tc>
          <w:tcPr>
            <w:tcW w:w="2439" w:type="dxa"/>
          </w:tcPr>
          <w:p w14:paraId="12BF237C">
            <w:pPr>
              <w:adjustRightInd w:val="0"/>
              <w:snapToGrid w:val="0"/>
              <w:spacing w:line="360" w:lineRule="auto"/>
              <w:rPr>
                <w:rFonts w:ascii="宋体" w:hAnsi="宋体"/>
                <w:color w:val="auto"/>
                <w:kern w:val="0"/>
                <w:sz w:val="24"/>
                <w:highlight w:val="none"/>
              </w:rPr>
            </w:pPr>
          </w:p>
        </w:tc>
        <w:tc>
          <w:tcPr>
            <w:tcW w:w="2483" w:type="dxa"/>
          </w:tcPr>
          <w:p w14:paraId="64D4AEEB">
            <w:pPr>
              <w:adjustRightInd w:val="0"/>
              <w:snapToGrid w:val="0"/>
              <w:spacing w:line="360" w:lineRule="auto"/>
              <w:rPr>
                <w:rFonts w:ascii="宋体" w:hAnsi="宋体"/>
                <w:color w:val="auto"/>
                <w:kern w:val="0"/>
                <w:sz w:val="24"/>
                <w:highlight w:val="none"/>
              </w:rPr>
            </w:pPr>
          </w:p>
        </w:tc>
      </w:tr>
      <w:tr w14:paraId="1A8D9F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75FEA840">
            <w:pPr>
              <w:adjustRightInd w:val="0"/>
              <w:snapToGrid w:val="0"/>
              <w:spacing w:line="360" w:lineRule="auto"/>
              <w:rPr>
                <w:rFonts w:ascii="宋体" w:hAnsi="宋体"/>
                <w:color w:val="auto"/>
                <w:kern w:val="0"/>
                <w:sz w:val="24"/>
                <w:highlight w:val="none"/>
              </w:rPr>
            </w:pPr>
          </w:p>
        </w:tc>
        <w:tc>
          <w:tcPr>
            <w:tcW w:w="2963" w:type="dxa"/>
          </w:tcPr>
          <w:p w14:paraId="562A58E4">
            <w:pPr>
              <w:adjustRightInd w:val="0"/>
              <w:snapToGrid w:val="0"/>
              <w:spacing w:line="360" w:lineRule="auto"/>
              <w:rPr>
                <w:rFonts w:ascii="宋体" w:hAnsi="宋体"/>
                <w:color w:val="auto"/>
                <w:kern w:val="0"/>
                <w:sz w:val="24"/>
                <w:highlight w:val="none"/>
              </w:rPr>
            </w:pPr>
          </w:p>
        </w:tc>
        <w:tc>
          <w:tcPr>
            <w:tcW w:w="2439" w:type="dxa"/>
          </w:tcPr>
          <w:p w14:paraId="229773C1">
            <w:pPr>
              <w:adjustRightInd w:val="0"/>
              <w:snapToGrid w:val="0"/>
              <w:spacing w:line="360" w:lineRule="auto"/>
              <w:rPr>
                <w:rFonts w:ascii="宋体" w:hAnsi="宋体"/>
                <w:color w:val="auto"/>
                <w:kern w:val="0"/>
                <w:sz w:val="24"/>
                <w:highlight w:val="none"/>
              </w:rPr>
            </w:pPr>
          </w:p>
        </w:tc>
        <w:tc>
          <w:tcPr>
            <w:tcW w:w="2483" w:type="dxa"/>
          </w:tcPr>
          <w:p w14:paraId="49C85D28">
            <w:pPr>
              <w:adjustRightInd w:val="0"/>
              <w:snapToGrid w:val="0"/>
              <w:spacing w:line="360" w:lineRule="auto"/>
              <w:rPr>
                <w:rFonts w:ascii="宋体" w:hAnsi="宋体"/>
                <w:color w:val="auto"/>
                <w:kern w:val="0"/>
                <w:sz w:val="24"/>
                <w:highlight w:val="none"/>
              </w:rPr>
            </w:pPr>
          </w:p>
        </w:tc>
      </w:tr>
      <w:tr w14:paraId="070378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5F17E425">
            <w:pPr>
              <w:adjustRightInd w:val="0"/>
              <w:snapToGrid w:val="0"/>
              <w:spacing w:line="360" w:lineRule="auto"/>
              <w:rPr>
                <w:rFonts w:ascii="宋体" w:hAnsi="宋体"/>
                <w:color w:val="auto"/>
                <w:kern w:val="0"/>
                <w:sz w:val="24"/>
                <w:highlight w:val="none"/>
              </w:rPr>
            </w:pPr>
          </w:p>
        </w:tc>
        <w:tc>
          <w:tcPr>
            <w:tcW w:w="2963" w:type="dxa"/>
          </w:tcPr>
          <w:p w14:paraId="32BA1C6E">
            <w:pPr>
              <w:adjustRightInd w:val="0"/>
              <w:snapToGrid w:val="0"/>
              <w:spacing w:line="360" w:lineRule="auto"/>
              <w:rPr>
                <w:rFonts w:ascii="宋体" w:hAnsi="宋体"/>
                <w:color w:val="auto"/>
                <w:kern w:val="0"/>
                <w:sz w:val="24"/>
                <w:highlight w:val="none"/>
              </w:rPr>
            </w:pPr>
          </w:p>
        </w:tc>
        <w:tc>
          <w:tcPr>
            <w:tcW w:w="2439" w:type="dxa"/>
          </w:tcPr>
          <w:p w14:paraId="084BB8FF">
            <w:pPr>
              <w:adjustRightInd w:val="0"/>
              <w:snapToGrid w:val="0"/>
              <w:spacing w:line="360" w:lineRule="auto"/>
              <w:rPr>
                <w:rFonts w:ascii="宋体" w:hAnsi="宋体"/>
                <w:color w:val="auto"/>
                <w:kern w:val="0"/>
                <w:sz w:val="24"/>
                <w:highlight w:val="none"/>
              </w:rPr>
            </w:pPr>
          </w:p>
        </w:tc>
        <w:tc>
          <w:tcPr>
            <w:tcW w:w="2483" w:type="dxa"/>
          </w:tcPr>
          <w:p w14:paraId="73A2DB70">
            <w:pPr>
              <w:adjustRightInd w:val="0"/>
              <w:snapToGrid w:val="0"/>
              <w:spacing w:line="360" w:lineRule="auto"/>
              <w:rPr>
                <w:rFonts w:ascii="宋体" w:hAnsi="宋体"/>
                <w:color w:val="auto"/>
                <w:kern w:val="0"/>
                <w:sz w:val="24"/>
                <w:highlight w:val="none"/>
              </w:rPr>
            </w:pPr>
          </w:p>
        </w:tc>
      </w:tr>
      <w:tr w14:paraId="75A8F1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0742479E">
            <w:pPr>
              <w:adjustRightInd w:val="0"/>
              <w:snapToGrid w:val="0"/>
              <w:spacing w:line="360" w:lineRule="auto"/>
              <w:rPr>
                <w:rFonts w:ascii="宋体" w:hAnsi="宋体"/>
                <w:color w:val="auto"/>
                <w:kern w:val="0"/>
                <w:sz w:val="24"/>
                <w:highlight w:val="none"/>
              </w:rPr>
            </w:pPr>
          </w:p>
        </w:tc>
        <w:tc>
          <w:tcPr>
            <w:tcW w:w="2963" w:type="dxa"/>
          </w:tcPr>
          <w:p w14:paraId="644067BF">
            <w:pPr>
              <w:adjustRightInd w:val="0"/>
              <w:snapToGrid w:val="0"/>
              <w:spacing w:line="360" w:lineRule="auto"/>
              <w:rPr>
                <w:rFonts w:ascii="宋体" w:hAnsi="宋体"/>
                <w:color w:val="auto"/>
                <w:kern w:val="0"/>
                <w:sz w:val="24"/>
                <w:highlight w:val="none"/>
              </w:rPr>
            </w:pPr>
          </w:p>
        </w:tc>
        <w:tc>
          <w:tcPr>
            <w:tcW w:w="2439" w:type="dxa"/>
          </w:tcPr>
          <w:p w14:paraId="37DE93FE">
            <w:pPr>
              <w:adjustRightInd w:val="0"/>
              <w:snapToGrid w:val="0"/>
              <w:spacing w:line="360" w:lineRule="auto"/>
              <w:rPr>
                <w:rFonts w:ascii="宋体" w:hAnsi="宋体"/>
                <w:color w:val="auto"/>
                <w:kern w:val="0"/>
                <w:sz w:val="24"/>
                <w:highlight w:val="none"/>
              </w:rPr>
            </w:pPr>
          </w:p>
        </w:tc>
        <w:tc>
          <w:tcPr>
            <w:tcW w:w="2483" w:type="dxa"/>
          </w:tcPr>
          <w:p w14:paraId="3EC40619">
            <w:pPr>
              <w:adjustRightInd w:val="0"/>
              <w:snapToGrid w:val="0"/>
              <w:spacing w:line="360" w:lineRule="auto"/>
              <w:rPr>
                <w:rFonts w:ascii="宋体" w:hAnsi="宋体"/>
                <w:color w:val="auto"/>
                <w:kern w:val="0"/>
                <w:sz w:val="24"/>
                <w:highlight w:val="none"/>
              </w:rPr>
            </w:pPr>
          </w:p>
        </w:tc>
      </w:tr>
      <w:tr w14:paraId="56FB3F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51B4CE2A">
            <w:pPr>
              <w:adjustRightInd w:val="0"/>
              <w:snapToGrid w:val="0"/>
              <w:spacing w:line="360" w:lineRule="auto"/>
              <w:rPr>
                <w:rFonts w:ascii="宋体" w:hAnsi="宋体"/>
                <w:color w:val="auto"/>
                <w:kern w:val="0"/>
                <w:sz w:val="24"/>
                <w:highlight w:val="none"/>
              </w:rPr>
            </w:pPr>
          </w:p>
        </w:tc>
        <w:tc>
          <w:tcPr>
            <w:tcW w:w="2963" w:type="dxa"/>
          </w:tcPr>
          <w:p w14:paraId="64ACB8CF">
            <w:pPr>
              <w:adjustRightInd w:val="0"/>
              <w:snapToGrid w:val="0"/>
              <w:spacing w:line="360" w:lineRule="auto"/>
              <w:rPr>
                <w:rFonts w:ascii="宋体" w:hAnsi="宋体"/>
                <w:color w:val="auto"/>
                <w:kern w:val="0"/>
                <w:sz w:val="24"/>
                <w:highlight w:val="none"/>
              </w:rPr>
            </w:pPr>
          </w:p>
        </w:tc>
        <w:tc>
          <w:tcPr>
            <w:tcW w:w="2439" w:type="dxa"/>
          </w:tcPr>
          <w:p w14:paraId="05EAB803">
            <w:pPr>
              <w:adjustRightInd w:val="0"/>
              <w:snapToGrid w:val="0"/>
              <w:spacing w:line="360" w:lineRule="auto"/>
              <w:rPr>
                <w:rFonts w:ascii="宋体" w:hAnsi="宋体"/>
                <w:color w:val="auto"/>
                <w:kern w:val="0"/>
                <w:sz w:val="24"/>
                <w:highlight w:val="none"/>
              </w:rPr>
            </w:pPr>
          </w:p>
        </w:tc>
        <w:tc>
          <w:tcPr>
            <w:tcW w:w="2483" w:type="dxa"/>
          </w:tcPr>
          <w:p w14:paraId="45A35116">
            <w:pPr>
              <w:adjustRightInd w:val="0"/>
              <w:snapToGrid w:val="0"/>
              <w:spacing w:line="360" w:lineRule="auto"/>
              <w:rPr>
                <w:rFonts w:ascii="宋体" w:hAnsi="宋体"/>
                <w:color w:val="auto"/>
                <w:kern w:val="0"/>
                <w:sz w:val="24"/>
                <w:highlight w:val="none"/>
              </w:rPr>
            </w:pPr>
          </w:p>
        </w:tc>
      </w:tr>
      <w:tr w14:paraId="5A5951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659994FB">
            <w:pPr>
              <w:adjustRightInd w:val="0"/>
              <w:snapToGrid w:val="0"/>
              <w:spacing w:line="360" w:lineRule="auto"/>
              <w:rPr>
                <w:rFonts w:ascii="宋体" w:hAnsi="宋体"/>
                <w:color w:val="auto"/>
                <w:kern w:val="0"/>
                <w:sz w:val="24"/>
                <w:highlight w:val="none"/>
              </w:rPr>
            </w:pPr>
          </w:p>
        </w:tc>
        <w:tc>
          <w:tcPr>
            <w:tcW w:w="2963" w:type="dxa"/>
          </w:tcPr>
          <w:p w14:paraId="73EE9267">
            <w:pPr>
              <w:adjustRightInd w:val="0"/>
              <w:snapToGrid w:val="0"/>
              <w:spacing w:line="360" w:lineRule="auto"/>
              <w:rPr>
                <w:rFonts w:ascii="宋体" w:hAnsi="宋体"/>
                <w:color w:val="auto"/>
                <w:kern w:val="0"/>
                <w:sz w:val="24"/>
                <w:highlight w:val="none"/>
              </w:rPr>
            </w:pPr>
          </w:p>
        </w:tc>
        <w:tc>
          <w:tcPr>
            <w:tcW w:w="2439" w:type="dxa"/>
          </w:tcPr>
          <w:p w14:paraId="70FDAA64">
            <w:pPr>
              <w:adjustRightInd w:val="0"/>
              <w:snapToGrid w:val="0"/>
              <w:spacing w:line="360" w:lineRule="auto"/>
              <w:rPr>
                <w:rFonts w:ascii="宋体" w:hAnsi="宋体"/>
                <w:color w:val="auto"/>
                <w:kern w:val="0"/>
                <w:sz w:val="24"/>
                <w:highlight w:val="none"/>
              </w:rPr>
            </w:pPr>
          </w:p>
        </w:tc>
        <w:tc>
          <w:tcPr>
            <w:tcW w:w="2483" w:type="dxa"/>
          </w:tcPr>
          <w:p w14:paraId="02E2F51C">
            <w:pPr>
              <w:adjustRightInd w:val="0"/>
              <w:snapToGrid w:val="0"/>
              <w:spacing w:line="360" w:lineRule="auto"/>
              <w:rPr>
                <w:rFonts w:ascii="宋体" w:hAnsi="宋体"/>
                <w:color w:val="auto"/>
                <w:kern w:val="0"/>
                <w:sz w:val="24"/>
                <w:highlight w:val="none"/>
              </w:rPr>
            </w:pPr>
          </w:p>
        </w:tc>
      </w:tr>
    </w:tbl>
    <w:p w14:paraId="66838F47">
      <w:pPr>
        <w:adjustRightInd w:val="0"/>
        <w:snapToGrid w:val="0"/>
        <w:spacing w:line="360" w:lineRule="auto"/>
        <w:rPr>
          <w:rFonts w:ascii="宋体" w:hAnsi="宋体"/>
          <w:color w:val="auto"/>
          <w:szCs w:val="21"/>
          <w:highlight w:val="none"/>
        </w:rPr>
      </w:pPr>
    </w:p>
    <w:p w14:paraId="093A8FAD">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评标委员会（签字）：</w:t>
      </w:r>
    </w:p>
    <w:p w14:paraId="1D1ABBB3">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   年  月  日</w:t>
      </w:r>
    </w:p>
    <w:p w14:paraId="7D39B2C9">
      <w:pPr>
        <w:widowControl/>
        <w:jc w:val="left"/>
        <w:rPr>
          <w:rFonts w:ascii="宋体" w:hAnsi="宋体"/>
          <w:color w:val="auto"/>
          <w:sz w:val="24"/>
          <w:highlight w:val="none"/>
        </w:rPr>
      </w:pPr>
      <w:r>
        <w:rPr>
          <w:rFonts w:ascii="宋体" w:hAnsi="宋体"/>
          <w:color w:val="auto"/>
          <w:sz w:val="24"/>
          <w:highlight w:val="none"/>
        </w:rPr>
        <w:br w:type="page"/>
      </w:r>
    </w:p>
    <w:p w14:paraId="0FEF82BB">
      <w:pPr>
        <w:pStyle w:val="5"/>
        <w:adjustRightInd w:val="0"/>
        <w:snapToGrid w:val="0"/>
        <w:spacing w:before="0" w:after="0" w:line="360" w:lineRule="auto"/>
        <w:rPr>
          <w:rFonts w:ascii="宋体" w:hAnsi="宋体" w:eastAsia="宋体"/>
          <w:b w:val="0"/>
          <w:color w:val="auto"/>
          <w:sz w:val="21"/>
          <w:szCs w:val="21"/>
          <w:highlight w:val="none"/>
        </w:rPr>
      </w:pPr>
      <w:bookmarkStart w:id="1195" w:name="_Toc15888519"/>
      <w:bookmarkStart w:id="1196" w:name="_Toc8156"/>
      <w:r>
        <w:rPr>
          <w:rFonts w:hint="eastAsia" w:ascii="宋体" w:hAnsi="宋体" w:eastAsia="宋体"/>
          <w:b w:val="0"/>
          <w:color w:val="auto"/>
          <w:sz w:val="21"/>
          <w:szCs w:val="21"/>
          <w:highlight w:val="none"/>
        </w:rPr>
        <w:t>附表3 符合性审查合格投标人名单</w:t>
      </w:r>
      <w:bookmarkEnd w:id="1195"/>
      <w:bookmarkEnd w:id="1196"/>
    </w:p>
    <w:p w14:paraId="0C30B1FB">
      <w:pPr>
        <w:adjustRightInd w:val="0"/>
        <w:snapToGrid w:val="0"/>
        <w:spacing w:beforeLines="50" w:line="360" w:lineRule="auto"/>
        <w:jc w:val="center"/>
        <w:outlineLvl w:val="2"/>
        <w:rPr>
          <w:rFonts w:ascii="宋体" w:hAnsi="宋体"/>
          <w:b/>
          <w:color w:val="auto"/>
          <w:sz w:val="28"/>
          <w:szCs w:val="28"/>
          <w:highlight w:val="none"/>
        </w:rPr>
      </w:pPr>
      <w:bookmarkStart w:id="1197" w:name="_Toc11624"/>
      <w:bookmarkStart w:id="1198" w:name="_Toc25135"/>
      <w:bookmarkStart w:id="1199" w:name="_Toc6397"/>
      <w:bookmarkStart w:id="1200" w:name="_Toc137408744"/>
      <w:bookmarkStart w:id="1201" w:name="_Toc166778362"/>
      <w:bookmarkStart w:id="1202" w:name="_Toc910"/>
      <w:bookmarkStart w:id="1203" w:name="_Toc19364"/>
      <w:bookmarkStart w:id="1204" w:name="_Toc7173"/>
      <w:bookmarkStart w:id="1205" w:name="_Toc193053732"/>
      <w:bookmarkStart w:id="1206" w:name="_Toc171282431"/>
      <w:bookmarkStart w:id="1207" w:name="_Toc118209454"/>
      <w:bookmarkStart w:id="1208" w:name="_Toc20774"/>
      <w:bookmarkStart w:id="1209" w:name="_Toc29614"/>
      <w:bookmarkStart w:id="1210" w:name="_Toc30964"/>
      <w:bookmarkStart w:id="1211" w:name="_Toc99299753"/>
      <w:bookmarkStart w:id="1212" w:name="_Toc111543584"/>
      <w:bookmarkStart w:id="1213" w:name="_Toc113350963"/>
      <w:bookmarkStart w:id="1214" w:name="_Toc140957897"/>
      <w:bookmarkStart w:id="1215" w:name="_Toc108483423"/>
      <w:bookmarkStart w:id="1216" w:name="_Toc93"/>
      <w:bookmarkStart w:id="1217" w:name="_Toc79093699"/>
      <w:bookmarkStart w:id="1218" w:name="_Toc13256"/>
      <w:bookmarkStart w:id="1219" w:name="_Toc103979606"/>
      <w:bookmarkStart w:id="1220" w:name="_Toc15302"/>
      <w:bookmarkStart w:id="1221" w:name="_Toc21009"/>
      <w:bookmarkStart w:id="1222" w:name="_Toc109656605"/>
      <w:bookmarkStart w:id="1223" w:name="_Toc189905388"/>
      <w:bookmarkStart w:id="1224" w:name="_Toc21175"/>
      <w:bookmarkStart w:id="1225" w:name="_Toc20050"/>
      <w:bookmarkStart w:id="1226" w:name="_Toc20501"/>
      <w:bookmarkStart w:id="1227" w:name="_Toc30190"/>
      <w:r>
        <w:rPr>
          <w:rFonts w:hint="eastAsia" w:ascii="宋体" w:hAnsi="宋体"/>
          <w:b/>
          <w:color w:val="auto"/>
          <w:sz w:val="28"/>
          <w:szCs w:val="28"/>
          <w:highlight w:val="none"/>
        </w:rPr>
        <w:t>符合性审查合格投标人名单</w:t>
      </w:r>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p>
    <w:p w14:paraId="04B06E34">
      <w:pPr>
        <w:adjustRightInd w:val="0"/>
        <w:snapToGrid w:val="0"/>
        <w:spacing w:line="360" w:lineRule="auto"/>
        <w:rPr>
          <w:rFonts w:ascii="宋体" w:hAnsi="宋体"/>
          <w:color w:val="auto"/>
          <w:sz w:val="32"/>
          <w:szCs w:val="32"/>
          <w:highlight w:val="none"/>
        </w:rPr>
      </w:pPr>
      <w:r>
        <w:rPr>
          <w:rFonts w:hint="eastAsia" w:ascii="宋体" w:hAnsi="宋体"/>
          <w:color w:val="auto"/>
          <w:szCs w:val="21"/>
          <w:highlight w:val="none"/>
        </w:rPr>
        <w:t>项目名称：                                        政府采购计划编号：</w:t>
      </w:r>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20"/>
        <w:gridCol w:w="7613"/>
      </w:tblGrid>
      <w:tr w14:paraId="6F74FF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1420" w:type="dxa"/>
            <w:vAlign w:val="center"/>
          </w:tcPr>
          <w:p w14:paraId="5DD6D7C7">
            <w:pPr>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7613" w:type="dxa"/>
            <w:vAlign w:val="center"/>
          </w:tcPr>
          <w:p w14:paraId="12E689DC">
            <w:pPr>
              <w:jc w:val="center"/>
              <w:rPr>
                <w:rFonts w:ascii="宋体" w:hAnsi="宋体"/>
                <w:b/>
                <w:color w:val="auto"/>
                <w:kern w:val="0"/>
                <w:szCs w:val="21"/>
                <w:highlight w:val="none"/>
              </w:rPr>
            </w:pPr>
            <w:r>
              <w:rPr>
                <w:rFonts w:hint="eastAsia" w:ascii="宋体" w:hAnsi="宋体"/>
                <w:b/>
                <w:color w:val="auto"/>
                <w:kern w:val="0"/>
                <w:szCs w:val="21"/>
                <w:highlight w:val="none"/>
              </w:rPr>
              <w:t>合格投标人名称</w:t>
            </w:r>
          </w:p>
        </w:tc>
      </w:tr>
      <w:tr w14:paraId="1B15AA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20" w:type="dxa"/>
          </w:tcPr>
          <w:p w14:paraId="38BD4FD4">
            <w:pPr>
              <w:adjustRightInd w:val="0"/>
              <w:snapToGrid w:val="0"/>
              <w:spacing w:line="360" w:lineRule="auto"/>
              <w:rPr>
                <w:rFonts w:ascii="宋体" w:hAnsi="宋体"/>
                <w:color w:val="auto"/>
                <w:kern w:val="0"/>
                <w:szCs w:val="21"/>
                <w:highlight w:val="none"/>
              </w:rPr>
            </w:pPr>
          </w:p>
        </w:tc>
        <w:tc>
          <w:tcPr>
            <w:tcW w:w="7613" w:type="dxa"/>
          </w:tcPr>
          <w:p w14:paraId="66FBBEF9">
            <w:pPr>
              <w:adjustRightInd w:val="0"/>
              <w:snapToGrid w:val="0"/>
              <w:spacing w:line="360" w:lineRule="auto"/>
              <w:rPr>
                <w:rFonts w:ascii="宋体" w:hAnsi="宋体"/>
                <w:color w:val="auto"/>
                <w:kern w:val="0"/>
                <w:szCs w:val="21"/>
                <w:highlight w:val="none"/>
              </w:rPr>
            </w:pPr>
          </w:p>
        </w:tc>
      </w:tr>
      <w:tr w14:paraId="7C6AE8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20" w:type="dxa"/>
          </w:tcPr>
          <w:p w14:paraId="056A535C">
            <w:pPr>
              <w:adjustRightInd w:val="0"/>
              <w:snapToGrid w:val="0"/>
              <w:spacing w:line="360" w:lineRule="auto"/>
              <w:rPr>
                <w:rFonts w:ascii="宋体" w:hAnsi="宋体"/>
                <w:color w:val="auto"/>
                <w:kern w:val="0"/>
                <w:sz w:val="24"/>
                <w:highlight w:val="none"/>
              </w:rPr>
            </w:pPr>
          </w:p>
        </w:tc>
        <w:tc>
          <w:tcPr>
            <w:tcW w:w="7613" w:type="dxa"/>
          </w:tcPr>
          <w:p w14:paraId="0DA4F939">
            <w:pPr>
              <w:adjustRightInd w:val="0"/>
              <w:snapToGrid w:val="0"/>
              <w:spacing w:line="360" w:lineRule="auto"/>
              <w:rPr>
                <w:rFonts w:ascii="宋体" w:hAnsi="宋体"/>
                <w:color w:val="auto"/>
                <w:kern w:val="0"/>
                <w:sz w:val="24"/>
                <w:highlight w:val="none"/>
              </w:rPr>
            </w:pPr>
          </w:p>
        </w:tc>
      </w:tr>
      <w:tr w14:paraId="4429E9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20" w:type="dxa"/>
          </w:tcPr>
          <w:p w14:paraId="2A6E3564">
            <w:pPr>
              <w:adjustRightInd w:val="0"/>
              <w:snapToGrid w:val="0"/>
              <w:spacing w:line="360" w:lineRule="auto"/>
              <w:rPr>
                <w:rFonts w:ascii="宋体" w:hAnsi="宋体"/>
                <w:color w:val="auto"/>
                <w:kern w:val="0"/>
                <w:sz w:val="24"/>
                <w:highlight w:val="none"/>
              </w:rPr>
            </w:pPr>
          </w:p>
        </w:tc>
        <w:tc>
          <w:tcPr>
            <w:tcW w:w="7613" w:type="dxa"/>
          </w:tcPr>
          <w:p w14:paraId="050098AD">
            <w:pPr>
              <w:adjustRightInd w:val="0"/>
              <w:snapToGrid w:val="0"/>
              <w:spacing w:line="360" w:lineRule="auto"/>
              <w:rPr>
                <w:rFonts w:ascii="宋体" w:hAnsi="宋体"/>
                <w:color w:val="auto"/>
                <w:kern w:val="0"/>
                <w:sz w:val="24"/>
                <w:highlight w:val="none"/>
              </w:rPr>
            </w:pPr>
          </w:p>
        </w:tc>
      </w:tr>
      <w:tr w14:paraId="122A9E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20" w:type="dxa"/>
          </w:tcPr>
          <w:p w14:paraId="06A8D840">
            <w:pPr>
              <w:adjustRightInd w:val="0"/>
              <w:snapToGrid w:val="0"/>
              <w:spacing w:line="360" w:lineRule="auto"/>
              <w:rPr>
                <w:rFonts w:ascii="宋体" w:hAnsi="宋体"/>
                <w:color w:val="auto"/>
                <w:kern w:val="0"/>
                <w:sz w:val="24"/>
                <w:highlight w:val="none"/>
              </w:rPr>
            </w:pPr>
          </w:p>
        </w:tc>
        <w:tc>
          <w:tcPr>
            <w:tcW w:w="7613" w:type="dxa"/>
          </w:tcPr>
          <w:p w14:paraId="56D973DD">
            <w:pPr>
              <w:adjustRightInd w:val="0"/>
              <w:snapToGrid w:val="0"/>
              <w:spacing w:line="360" w:lineRule="auto"/>
              <w:rPr>
                <w:rFonts w:ascii="宋体" w:hAnsi="宋体"/>
                <w:color w:val="auto"/>
                <w:kern w:val="0"/>
                <w:sz w:val="24"/>
                <w:highlight w:val="none"/>
              </w:rPr>
            </w:pPr>
          </w:p>
        </w:tc>
      </w:tr>
      <w:tr w14:paraId="7D47F1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20" w:type="dxa"/>
          </w:tcPr>
          <w:p w14:paraId="2F187DA1">
            <w:pPr>
              <w:adjustRightInd w:val="0"/>
              <w:snapToGrid w:val="0"/>
              <w:spacing w:line="360" w:lineRule="auto"/>
              <w:rPr>
                <w:rFonts w:ascii="宋体" w:hAnsi="宋体"/>
                <w:color w:val="auto"/>
                <w:kern w:val="0"/>
                <w:sz w:val="24"/>
                <w:highlight w:val="none"/>
              </w:rPr>
            </w:pPr>
          </w:p>
        </w:tc>
        <w:tc>
          <w:tcPr>
            <w:tcW w:w="7613" w:type="dxa"/>
          </w:tcPr>
          <w:p w14:paraId="73A26AAA">
            <w:pPr>
              <w:adjustRightInd w:val="0"/>
              <w:snapToGrid w:val="0"/>
              <w:spacing w:line="360" w:lineRule="auto"/>
              <w:rPr>
                <w:rFonts w:ascii="宋体" w:hAnsi="宋体"/>
                <w:color w:val="auto"/>
                <w:kern w:val="0"/>
                <w:sz w:val="24"/>
                <w:highlight w:val="none"/>
              </w:rPr>
            </w:pPr>
          </w:p>
        </w:tc>
      </w:tr>
      <w:tr w14:paraId="366849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20" w:type="dxa"/>
          </w:tcPr>
          <w:p w14:paraId="04AF5D06">
            <w:pPr>
              <w:adjustRightInd w:val="0"/>
              <w:snapToGrid w:val="0"/>
              <w:spacing w:line="360" w:lineRule="auto"/>
              <w:rPr>
                <w:rFonts w:ascii="宋体" w:hAnsi="宋体"/>
                <w:color w:val="auto"/>
                <w:kern w:val="0"/>
                <w:sz w:val="24"/>
                <w:highlight w:val="none"/>
              </w:rPr>
            </w:pPr>
          </w:p>
        </w:tc>
        <w:tc>
          <w:tcPr>
            <w:tcW w:w="7613" w:type="dxa"/>
          </w:tcPr>
          <w:p w14:paraId="57009D7F">
            <w:pPr>
              <w:adjustRightInd w:val="0"/>
              <w:snapToGrid w:val="0"/>
              <w:spacing w:line="360" w:lineRule="auto"/>
              <w:rPr>
                <w:rFonts w:ascii="宋体" w:hAnsi="宋体"/>
                <w:color w:val="auto"/>
                <w:kern w:val="0"/>
                <w:sz w:val="24"/>
                <w:highlight w:val="none"/>
              </w:rPr>
            </w:pPr>
          </w:p>
        </w:tc>
      </w:tr>
    </w:tbl>
    <w:p w14:paraId="06068FD3">
      <w:pPr>
        <w:adjustRightInd w:val="0"/>
        <w:snapToGrid w:val="0"/>
        <w:spacing w:line="360" w:lineRule="auto"/>
        <w:rPr>
          <w:rFonts w:ascii="宋体" w:hAnsi="宋体"/>
          <w:color w:val="auto"/>
          <w:szCs w:val="21"/>
          <w:highlight w:val="none"/>
        </w:rPr>
      </w:pPr>
    </w:p>
    <w:p w14:paraId="40BE5246">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评标委员会（签字）：</w:t>
      </w:r>
    </w:p>
    <w:p w14:paraId="7C722CA0">
      <w:pPr>
        <w:jc w:val="left"/>
        <w:rPr>
          <w:rFonts w:ascii="宋体" w:hAnsi="宋体"/>
          <w:color w:val="auto"/>
          <w:szCs w:val="21"/>
          <w:highlight w:val="none"/>
        </w:rPr>
      </w:pPr>
      <w:r>
        <w:rPr>
          <w:rFonts w:hint="eastAsia" w:ascii="宋体" w:hAnsi="宋体"/>
          <w:color w:val="auto"/>
          <w:szCs w:val="21"/>
          <w:highlight w:val="none"/>
        </w:rPr>
        <w:t>日期：  年  月   日</w:t>
      </w:r>
    </w:p>
    <w:p w14:paraId="0C735A64">
      <w:pPr>
        <w:pStyle w:val="3"/>
        <w:adjustRightInd w:val="0"/>
        <w:snapToGrid w:val="0"/>
        <w:spacing w:beforeLines="50"/>
        <w:jc w:val="center"/>
        <w:rPr>
          <w:rFonts w:ascii="宋体" w:hAnsi="宋体"/>
          <w:color w:val="auto"/>
          <w:sz w:val="28"/>
          <w:szCs w:val="28"/>
          <w:highlight w:val="none"/>
        </w:rPr>
      </w:pPr>
      <w:r>
        <w:rPr>
          <w:rFonts w:ascii="宋体" w:hAnsi="宋体"/>
          <w:color w:val="auto"/>
          <w:highlight w:val="none"/>
        </w:rPr>
        <w:br w:type="page"/>
      </w:r>
      <w:bookmarkStart w:id="1228" w:name="_Toc111543585"/>
      <w:bookmarkStart w:id="1229" w:name="_Toc140957898"/>
      <w:bookmarkStart w:id="1230" w:name="_Toc171282432"/>
      <w:bookmarkStart w:id="1231" w:name="_Toc79093700"/>
      <w:bookmarkStart w:id="1232" w:name="_Toc141"/>
      <w:bookmarkStart w:id="1233" w:name="_Toc7177"/>
      <w:bookmarkStart w:id="1234" w:name="_Toc108483424"/>
      <w:bookmarkStart w:id="1235" w:name="_Toc23987"/>
      <w:bookmarkStart w:id="1236" w:name="_Toc99299754"/>
      <w:bookmarkStart w:id="1237" w:name="_Toc137408745"/>
      <w:bookmarkStart w:id="1238" w:name="_Toc113350964"/>
      <w:bookmarkStart w:id="1239" w:name="_Toc25684"/>
      <w:bookmarkStart w:id="1240" w:name="_Toc1379"/>
      <w:bookmarkStart w:id="1241" w:name="_Toc25000"/>
      <w:bookmarkStart w:id="1242" w:name="_Toc103979607"/>
      <w:bookmarkStart w:id="1243" w:name="_Toc28365"/>
      <w:bookmarkStart w:id="1244" w:name="_Toc166778363"/>
      <w:bookmarkStart w:id="1245" w:name="_Toc17949"/>
      <w:bookmarkStart w:id="1246" w:name="_Toc4121"/>
      <w:bookmarkStart w:id="1247" w:name="_Toc25599"/>
      <w:bookmarkStart w:id="1248" w:name="_Toc189905389"/>
      <w:bookmarkStart w:id="1249" w:name="_Toc109656606"/>
      <w:bookmarkStart w:id="1250" w:name="_Toc24467"/>
      <w:bookmarkStart w:id="1251" w:name="_Toc13093"/>
      <w:bookmarkStart w:id="1252" w:name="_Toc118209455"/>
      <w:bookmarkStart w:id="1253" w:name="_Toc8203"/>
      <w:bookmarkStart w:id="1254" w:name="_Toc6308"/>
      <w:bookmarkStart w:id="1255" w:name="_Toc193053733"/>
      <w:bookmarkStart w:id="1256" w:name="_Toc27718"/>
      <w:bookmarkStart w:id="1257" w:name="_Toc17716"/>
      <w:bookmarkStart w:id="1258" w:name="_Toc24484"/>
      <w:bookmarkStart w:id="1259" w:name="_Toc9361"/>
      <w:r>
        <w:rPr>
          <w:rFonts w:hint="eastAsia" w:ascii="宋体" w:hAnsi="宋体"/>
          <w:color w:val="auto"/>
          <w:sz w:val="28"/>
          <w:szCs w:val="28"/>
          <w:highlight w:val="none"/>
        </w:rPr>
        <w:t>第四节 投标文件的比较与评价（综合评分法）</w:t>
      </w:r>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p>
    <w:p w14:paraId="06BB9A42">
      <w:pPr>
        <w:widowControl/>
        <w:adjustRightInd w:val="0"/>
        <w:snapToGrid w:val="0"/>
        <w:spacing w:line="360" w:lineRule="auto"/>
        <w:rPr>
          <w:rFonts w:ascii="宋体" w:hAnsi="宋体"/>
          <w:b/>
          <w:color w:val="auto"/>
          <w:sz w:val="24"/>
          <w:highlight w:val="none"/>
        </w:rPr>
      </w:pPr>
    </w:p>
    <w:p w14:paraId="0D9C8CD3">
      <w:pPr>
        <w:widowControl/>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1.综合评分法</w:t>
      </w:r>
    </w:p>
    <w:p w14:paraId="63648E7D">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1.1综合评分法，指投标文件满足招标文件全部实质性要求，且按照评审因素的量化指标评审得分最高的投标人为中标候选人的评标方法。</w:t>
      </w:r>
    </w:p>
    <w:p w14:paraId="325D9E9D">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65646E5D">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1.3未通过符合性审查的投标文件不得进入比较与评价。</w:t>
      </w:r>
    </w:p>
    <w:p w14:paraId="2ED1FE89">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2.投标报价的算术修正及政府采购政策调整</w:t>
      </w:r>
    </w:p>
    <w:p w14:paraId="193D745A">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2.1如果有算术错误，投标报价将按本章第二节第4.2款、第4.3款规定进行算术修正。</w:t>
      </w:r>
    </w:p>
    <w:p w14:paraId="0A3789D8">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2.2需落实政府采购政策（价格评审优惠）的，按第二章“投标须知”及本章第二节第</w:t>
      </w:r>
      <w:r>
        <w:rPr>
          <w:rFonts w:ascii="宋体" w:hAnsi="宋体"/>
          <w:bCs/>
          <w:color w:val="auto"/>
          <w:szCs w:val="21"/>
          <w:highlight w:val="none"/>
        </w:rPr>
        <w:t>5.</w:t>
      </w:r>
      <w:r>
        <w:rPr>
          <w:rFonts w:hint="eastAsia" w:ascii="宋体" w:hAnsi="宋体"/>
          <w:bCs/>
          <w:color w:val="auto"/>
          <w:szCs w:val="21"/>
          <w:highlight w:val="none"/>
        </w:rPr>
        <w:t>2（1）项的相关规定进行价格调整。</w:t>
      </w:r>
    </w:p>
    <w:p w14:paraId="7081C36D">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2.3按本章本节第2.1款、第2.2款规定，以修正或调整后的价格确定投标人的投标报价和评标基准价，用于投标报价评价。</w:t>
      </w:r>
    </w:p>
    <w:p w14:paraId="48A8E08F">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3.投标报价评价</w:t>
      </w:r>
    </w:p>
    <w:p w14:paraId="2D4D77A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3.1投标报价评价：价格分应当采用低价优先法计算，即满足招标文件要求且投标价格最低的投标报价为评标基准价，其价格分为满分（报价权重分）。其他投标人的价格分统一按照下列公式计算：</w:t>
      </w:r>
    </w:p>
    <w:p w14:paraId="4F1403D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投标报价得分=（评标基准价</w:t>
      </w:r>
      <w:r>
        <w:rPr>
          <w:rFonts w:hint="eastAsia" w:ascii="宋体" w:hAnsi="宋体"/>
          <w:color w:val="auto"/>
          <w:szCs w:val="21"/>
          <w:highlight w:val="none"/>
          <w:vertAlign w:val="subscript"/>
        </w:rPr>
        <w:t>修正或调整</w:t>
      </w:r>
      <w:r>
        <w:rPr>
          <w:rFonts w:hint="eastAsia" w:ascii="宋体" w:hAnsi="宋体"/>
          <w:color w:val="auto"/>
          <w:szCs w:val="21"/>
          <w:highlight w:val="none"/>
        </w:rPr>
        <w:t>／投标报价</w:t>
      </w:r>
      <w:r>
        <w:rPr>
          <w:rFonts w:hint="eastAsia" w:ascii="宋体" w:hAnsi="宋体"/>
          <w:color w:val="auto"/>
          <w:szCs w:val="21"/>
          <w:highlight w:val="none"/>
          <w:vertAlign w:val="subscript"/>
        </w:rPr>
        <w:t>修正或调整</w:t>
      </w:r>
      <w:r>
        <w:rPr>
          <w:rFonts w:hint="eastAsia" w:ascii="宋体" w:hAnsi="宋体"/>
          <w:color w:val="auto"/>
          <w:szCs w:val="21"/>
          <w:highlight w:val="none"/>
        </w:rPr>
        <w:t>）×100 ×报价权重分</w:t>
      </w:r>
    </w:p>
    <w:p w14:paraId="014B70AB">
      <w:pPr>
        <w:adjustRightInd w:val="0"/>
        <w:snapToGrid w:val="0"/>
        <w:spacing w:line="360" w:lineRule="auto"/>
        <w:rPr>
          <w:rFonts w:ascii="宋体" w:hAnsi="宋体"/>
          <w:b/>
          <w:color w:val="auto"/>
          <w:sz w:val="24"/>
          <w:highlight w:val="none"/>
        </w:rPr>
      </w:pPr>
      <w:r>
        <w:rPr>
          <w:rFonts w:hint="eastAsia" w:ascii="宋体" w:hAnsi="宋体"/>
          <w:b/>
          <w:bCs/>
          <w:color w:val="auto"/>
          <w:sz w:val="24"/>
          <w:highlight w:val="none"/>
        </w:rPr>
        <w:t>4.</w:t>
      </w:r>
      <w:r>
        <w:rPr>
          <w:rFonts w:hint="eastAsia" w:ascii="宋体" w:hAnsi="宋体"/>
          <w:b/>
          <w:color w:val="auto"/>
          <w:sz w:val="24"/>
          <w:highlight w:val="none"/>
        </w:rPr>
        <w:t>技术、商务等评分项响应评价及政府采购政策加分</w:t>
      </w:r>
    </w:p>
    <w:p w14:paraId="5AAD374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4.1技术、商务等评分项响应评分。按</w:t>
      </w:r>
      <w:r>
        <w:rPr>
          <w:rFonts w:hint="eastAsia" w:ascii="宋体" w:hAnsi="宋体"/>
          <w:bCs/>
          <w:color w:val="auto"/>
          <w:szCs w:val="21"/>
          <w:highlight w:val="none"/>
        </w:rPr>
        <w:t>本章</w:t>
      </w:r>
      <w:r>
        <w:rPr>
          <w:rFonts w:hint="eastAsia" w:ascii="宋体" w:hAnsi="宋体"/>
          <w:color w:val="auto"/>
          <w:szCs w:val="21"/>
          <w:highlight w:val="none"/>
        </w:rPr>
        <w:t>本节附页1“评标方法及标准表”规定的评标因素和标准，对技术、商务等评分项计算得分。</w:t>
      </w:r>
    </w:p>
    <w:p w14:paraId="70A9641F">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5.评标总得分</w:t>
      </w:r>
    </w:p>
    <w:p w14:paraId="5064842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5.1评标总得分为投标报价、技术、商务等评分项得分(含优先采购政策加分)之和。</w:t>
      </w:r>
    </w:p>
    <w:p w14:paraId="5FF7C71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评标总得分＝F1×A1＋F2×A2＋……＋Fn×An</w:t>
      </w:r>
    </w:p>
    <w:p w14:paraId="2A23F38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F1、F2……Fn分别为各项评审因素的得分；</w:t>
      </w:r>
    </w:p>
    <w:p w14:paraId="7FE32A7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A1、A2、……An分别为各项评审因素所占的权重（A1＋A2＋…＋An＝1）。</w:t>
      </w:r>
    </w:p>
    <w:p w14:paraId="3872460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5.2评分分值计算保留小数点后两位，小数点后第三位“四舍五入”。</w:t>
      </w:r>
    </w:p>
    <w:p w14:paraId="3439A83B">
      <w:pPr>
        <w:adjustRightInd w:val="0"/>
        <w:snapToGrid w:val="0"/>
        <w:spacing w:line="360" w:lineRule="auto"/>
        <w:ind w:firstLine="420" w:firstLineChars="200"/>
        <w:rPr>
          <w:rFonts w:ascii="宋体" w:hAnsi="宋体"/>
          <w:color w:val="auto"/>
          <w:szCs w:val="21"/>
          <w:highlight w:val="none"/>
        </w:rPr>
      </w:pPr>
      <w:r>
        <w:rPr>
          <w:rFonts w:hint="eastAsia" w:ascii="宋体" w:hAnsi="宋体" w:cs="宋体"/>
          <w:color w:val="auto"/>
          <w:kern w:val="0"/>
          <w:szCs w:val="21"/>
          <w:highlight w:val="none"/>
        </w:rPr>
        <w:t>5.3</w:t>
      </w:r>
      <w:r>
        <w:rPr>
          <w:rFonts w:hint="eastAsia" w:ascii="宋体" w:hAnsi="宋体"/>
          <w:color w:val="auto"/>
          <w:szCs w:val="21"/>
          <w:highlight w:val="none"/>
        </w:rPr>
        <w:t>评标时，评标委员会成员应当独立对满足招标文件全部实质性要求投标人的</w:t>
      </w:r>
      <w:r>
        <w:rPr>
          <w:rFonts w:hint="eastAsia" w:ascii="宋体" w:hAnsi="宋体"/>
          <w:bCs/>
          <w:color w:val="auto"/>
          <w:szCs w:val="21"/>
          <w:highlight w:val="none"/>
        </w:rPr>
        <w:t>投标文件</w:t>
      </w:r>
      <w:r>
        <w:rPr>
          <w:rFonts w:hint="eastAsia" w:ascii="宋体" w:hAnsi="宋体"/>
          <w:color w:val="auto"/>
          <w:szCs w:val="21"/>
          <w:highlight w:val="none"/>
        </w:rPr>
        <w:t>进行评价、评分，然后汇总每个投标人每项评分因素的得分。每个投标人的最终得分为所有评标委员会成员评分的算术平均值。</w:t>
      </w:r>
    </w:p>
    <w:p w14:paraId="3A52594D">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6.中标候选人的推荐方法</w:t>
      </w:r>
    </w:p>
    <w:p w14:paraId="145AF827">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6.1评标结果按评审后得分由高到低顺序排列。得分相同的，按投标报价由低到高顺序排列。</w:t>
      </w:r>
      <w:r>
        <w:rPr>
          <w:rFonts w:hint="eastAsia" w:ascii="宋体" w:hAnsi="宋体"/>
          <w:bCs/>
          <w:color w:val="auto"/>
          <w:szCs w:val="21"/>
          <w:highlight w:val="none"/>
        </w:rPr>
        <w:t>得分且投标报价相同的并列。</w:t>
      </w:r>
      <w:r>
        <w:rPr>
          <w:rFonts w:hint="eastAsia" w:ascii="宋体" w:hAnsi="宋体"/>
          <w:bCs/>
          <w:color w:val="auto"/>
          <w:szCs w:val="21"/>
          <w:highlight w:val="none"/>
        </w:rPr>
        <w:t>投标文件满足招标文件全部实质性要求，且按照评审因素的量化指标评审得分最高的投标人为排名第一的中标候选人。</w:t>
      </w:r>
    </w:p>
    <w:p w14:paraId="0C4BA5F8">
      <w:pPr>
        <w:spacing w:line="360" w:lineRule="auto"/>
        <w:ind w:firstLine="420" w:firstLineChars="200"/>
        <w:rPr>
          <w:rFonts w:ascii="宋体" w:hAnsi="宋体"/>
          <w:color w:val="auto"/>
          <w:highlight w:val="none"/>
        </w:rPr>
      </w:pPr>
      <w:r>
        <w:rPr>
          <w:rFonts w:hint="eastAsia" w:ascii="宋体" w:hAnsi="宋体"/>
          <w:bCs/>
          <w:color w:val="auto"/>
          <w:szCs w:val="21"/>
          <w:highlight w:val="none"/>
        </w:rPr>
        <w:t>6.2得分且投标报价相同的并列，按本章第二节规定确定中标侯选人。</w:t>
      </w:r>
    </w:p>
    <w:p w14:paraId="0094BC8A">
      <w:pPr>
        <w:pStyle w:val="4"/>
        <w:adjustRightInd w:val="0"/>
        <w:snapToGrid w:val="0"/>
        <w:spacing w:beforeLines="50" w:after="0" w:line="360" w:lineRule="auto"/>
        <w:rPr>
          <w:rFonts w:ascii="宋体" w:hAnsi="宋体"/>
          <w:color w:val="auto"/>
          <w:sz w:val="21"/>
          <w:szCs w:val="21"/>
          <w:highlight w:val="none"/>
        </w:rPr>
      </w:pPr>
      <w:r>
        <w:rPr>
          <w:rFonts w:ascii="宋体" w:hAnsi="宋体"/>
          <w:color w:val="auto"/>
          <w:highlight w:val="none"/>
        </w:rPr>
        <w:br w:type="page"/>
      </w:r>
      <w:bookmarkStart w:id="1260" w:name="_Toc140957899"/>
      <w:bookmarkStart w:id="1261" w:name="_Toc109656607"/>
      <w:bookmarkStart w:id="1262" w:name="_Toc22130"/>
      <w:bookmarkStart w:id="1263" w:name="_Toc11516"/>
      <w:bookmarkStart w:id="1264" w:name="_Toc12110"/>
      <w:bookmarkStart w:id="1265" w:name="_Toc99299755"/>
      <w:bookmarkStart w:id="1266" w:name="_Toc15867"/>
      <w:bookmarkStart w:id="1267" w:name="_Toc118209456"/>
      <w:bookmarkStart w:id="1268" w:name="_Toc103979608"/>
      <w:bookmarkStart w:id="1269" w:name="_Toc29021"/>
      <w:bookmarkStart w:id="1270" w:name="_Toc21930"/>
      <w:bookmarkStart w:id="1271" w:name="_Toc807"/>
      <w:bookmarkStart w:id="1272" w:name="_Toc20178"/>
      <w:bookmarkStart w:id="1273" w:name="_Toc108483425"/>
      <w:bookmarkStart w:id="1274" w:name="_Toc24091"/>
      <w:bookmarkStart w:id="1275" w:name="_Toc29249"/>
      <w:bookmarkStart w:id="1276" w:name="_Toc137408746"/>
      <w:bookmarkStart w:id="1277" w:name="_Toc113350965"/>
      <w:bookmarkStart w:id="1278" w:name="_Toc193053734"/>
      <w:bookmarkStart w:id="1279" w:name="_Toc1"/>
      <w:bookmarkStart w:id="1280" w:name="_Toc189905390"/>
      <w:bookmarkStart w:id="1281" w:name="_Toc22868"/>
      <w:bookmarkStart w:id="1282" w:name="_Toc13674"/>
      <w:bookmarkStart w:id="1283" w:name="_Toc79093701"/>
      <w:bookmarkStart w:id="1284" w:name="_Toc11410"/>
      <w:bookmarkStart w:id="1285" w:name="_Toc31710"/>
      <w:bookmarkStart w:id="1286" w:name="_Toc166778364"/>
      <w:bookmarkStart w:id="1287" w:name="_Toc28960"/>
      <w:bookmarkStart w:id="1288" w:name="_Toc111543586"/>
      <w:bookmarkStart w:id="1289" w:name="_Toc171282433"/>
      <w:bookmarkStart w:id="1290" w:name="_Toc17518"/>
      <w:bookmarkStart w:id="1291" w:name="_Toc10318"/>
      <w:r>
        <w:rPr>
          <w:rFonts w:hint="eastAsia" w:ascii="宋体" w:hAnsi="宋体"/>
          <w:color w:val="auto"/>
          <w:sz w:val="21"/>
          <w:szCs w:val="21"/>
          <w:highlight w:val="none"/>
        </w:rPr>
        <w:t>附页1 评标方法及标准表</w:t>
      </w:r>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p>
    <w:p w14:paraId="207C8429">
      <w:pPr>
        <w:pStyle w:val="46"/>
        <w:ind w:left="0" w:leftChars="0" w:firstLine="0" w:firstLineChars="0"/>
        <w:jc w:val="center"/>
        <w:rPr>
          <w:b/>
          <w:bCs/>
          <w:color w:val="auto"/>
          <w:highlight w:val="none"/>
        </w:rPr>
      </w:pPr>
      <w:r>
        <w:rPr>
          <w:rFonts w:hint="eastAsia"/>
          <w:b/>
          <w:bCs/>
          <w:color w:val="auto"/>
          <w:kern w:val="2"/>
          <w:sz w:val="21"/>
          <w:highlight w:val="none"/>
        </w:rPr>
        <w:t>本采购项目的权值见下表</w:t>
      </w:r>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0"/>
        <w:gridCol w:w="4680"/>
        <w:gridCol w:w="3420"/>
      </w:tblGrid>
      <w:tr w14:paraId="7B4F7C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720" w:type="dxa"/>
            <w:vAlign w:val="center"/>
          </w:tcPr>
          <w:p w14:paraId="00B76D52">
            <w:pPr>
              <w:adjustRightInd w:val="0"/>
              <w:snapToGrid w:val="0"/>
              <w:spacing w:line="240" w:lineRule="exact"/>
              <w:rPr>
                <w:rFonts w:ascii="宋体" w:hAnsi="宋体" w:cs="宋体"/>
                <w:b/>
                <w:bCs/>
                <w:color w:val="auto"/>
                <w:kern w:val="0"/>
                <w:szCs w:val="21"/>
                <w:highlight w:val="none"/>
                <w:lang w:val="ru-RU" w:eastAsia="ru-RU"/>
              </w:rPr>
            </w:pPr>
            <w:r>
              <w:rPr>
                <w:rFonts w:hint="eastAsia" w:ascii="宋体" w:hAnsi="宋体" w:cs="宋体"/>
                <w:b/>
                <w:bCs/>
                <w:color w:val="auto"/>
                <w:kern w:val="0"/>
                <w:szCs w:val="21"/>
                <w:highlight w:val="none"/>
                <w:lang w:val="ru-RU" w:eastAsia="ru-RU"/>
              </w:rPr>
              <w:t>序号</w:t>
            </w:r>
          </w:p>
        </w:tc>
        <w:tc>
          <w:tcPr>
            <w:tcW w:w="4680" w:type="dxa"/>
            <w:vAlign w:val="center"/>
          </w:tcPr>
          <w:p w14:paraId="520ADEB8">
            <w:pPr>
              <w:adjustRightInd w:val="0"/>
              <w:snapToGrid w:val="0"/>
              <w:spacing w:line="240" w:lineRule="exact"/>
              <w:jc w:val="center"/>
              <w:rPr>
                <w:rFonts w:ascii="宋体" w:hAnsi="宋体" w:cs="宋体"/>
                <w:b/>
                <w:bCs/>
                <w:color w:val="auto"/>
                <w:kern w:val="0"/>
                <w:szCs w:val="21"/>
                <w:highlight w:val="none"/>
                <w:lang w:val="ru-RU" w:eastAsia="ru-RU"/>
              </w:rPr>
            </w:pPr>
            <w:r>
              <w:rPr>
                <w:rFonts w:hint="eastAsia" w:ascii="宋体" w:hAnsi="宋体" w:cs="宋体"/>
                <w:b/>
                <w:bCs/>
                <w:color w:val="auto"/>
                <w:kern w:val="0"/>
                <w:szCs w:val="21"/>
                <w:highlight w:val="none"/>
                <w:lang w:val="ru-RU" w:eastAsia="ru-RU"/>
              </w:rPr>
              <w:t>项     目</w:t>
            </w:r>
          </w:p>
        </w:tc>
        <w:tc>
          <w:tcPr>
            <w:tcW w:w="3420" w:type="dxa"/>
            <w:vAlign w:val="center"/>
          </w:tcPr>
          <w:p w14:paraId="7C26CED4">
            <w:pPr>
              <w:adjustRightInd w:val="0"/>
              <w:snapToGrid w:val="0"/>
              <w:spacing w:line="240" w:lineRule="exact"/>
              <w:jc w:val="center"/>
              <w:rPr>
                <w:rFonts w:ascii="宋体" w:hAnsi="宋体" w:cs="宋体"/>
                <w:b/>
                <w:bCs/>
                <w:color w:val="auto"/>
                <w:kern w:val="0"/>
                <w:szCs w:val="21"/>
                <w:highlight w:val="none"/>
                <w:lang w:val="ru-RU" w:eastAsia="ru-RU"/>
              </w:rPr>
            </w:pPr>
            <w:r>
              <w:rPr>
                <w:rFonts w:hint="eastAsia" w:ascii="宋体" w:hAnsi="宋体" w:cs="宋体"/>
                <w:b/>
                <w:bCs/>
                <w:color w:val="auto"/>
                <w:kern w:val="0"/>
                <w:szCs w:val="21"/>
                <w:highlight w:val="none"/>
                <w:lang w:val="ru-RU" w:eastAsia="ru-RU"/>
              </w:rPr>
              <w:t>权值的取值</w:t>
            </w:r>
          </w:p>
        </w:tc>
      </w:tr>
      <w:tr w14:paraId="0A841E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720" w:type="dxa"/>
            <w:vAlign w:val="center"/>
          </w:tcPr>
          <w:p w14:paraId="6F391FE5">
            <w:pPr>
              <w:adjustRightInd w:val="0"/>
              <w:snapToGrid w:val="0"/>
              <w:spacing w:line="240" w:lineRule="exact"/>
              <w:jc w:val="center"/>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1</w:t>
            </w:r>
          </w:p>
        </w:tc>
        <w:tc>
          <w:tcPr>
            <w:tcW w:w="4680" w:type="dxa"/>
            <w:vAlign w:val="center"/>
          </w:tcPr>
          <w:p w14:paraId="54F85A82">
            <w:pPr>
              <w:adjustRightInd w:val="0"/>
              <w:snapToGrid w:val="0"/>
              <w:spacing w:line="240" w:lineRule="exact"/>
              <w:jc w:val="center"/>
              <w:rPr>
                <w:rFonts w:ascii="宋体" w:hAnsi="宋体" w:cs="宋体"/>
                <w:color w:val="auto"/>
                <w:kern w:val="0"/>
                <w:szCs w:val="21"/>
                <w:highlight w:val="none"/>
                <w:lang w:val="ru-RU"/>
              </w:rPr>
            </w:pPr>
            <w:r>
              <w:rPr>
                <w:rFonts w:hint="eastAsia" w:ascii="宋体" w:hAnsi="宋体" w:cs="宋体"/>
                <w:color w:val="auto"/>
                <w:kern w:val="0"/>
                <w:szCs w:val="21"/>
                <w:highlight w:val="none"/>
                <w:lang w:val="ru-RU" w:eastAsia="ru-RU"/>
              </w:rPr>
              <w:t>报价</w:t>
            </w:r>
            <w:r>
              <w:rPr>
                <w:rFonts w:hint="eastAsia" w:ascii="宋体" w:hAnsi="宋体" w:cs="宋体"/>
                <w:color w:val="auto"/>
                <w:kern w:val="0"/>
                <w:szCs w:val="21"/>
                <w:highlight w:val="none"/>
                <w:lang w:val="ru-RU"/>
              </w:rPr>
              <w:t>（A</w:t>
            </w:r>
            <w:r>
              <w:rPr>
                <w:rFonts w:ascii="宋体" w:hAnsi="宋体" w:cs="宋体"/>
                <w:color w:val="auto"/>
                <w:kern w:val="0"/>
                <w:szCs w:val="21"/>
                <w:highlight w:val="none"/>
                <w:lang w:val="ru-RU"/>
              </w:rPr>
              <w:t>1</w:t>
            </w:r>
            <w:r>
              <w:rPr>
                <w:rFonts w:hint="eastAsia" w:ascii="宋体" w:hAnsi="宋体" w:cs="宋体"/>
                <w:color w:val="auto"/>
                <w:kern w:val="0"/>
                <w:szCs w:val="21"/>
                <w:highlight w:val="none"/>
                <w:lang w:val="ru-RU"/>
              </w:rPr>
              <w:t>）</w:t>
            </w:r>
          </w:p>
        </w:tc>
        <w:tc>
          <w:tcPr>
            <w:tcW w:w="3420" w:type="dxa"/>
            <w:vAlign w:val="center"/>
          </w:tcPr>
          <w:p w14:paraId="5A0CEF53">
            <w:pPr>
              <w:adjustRightInd w:val="0"/>
              <w:snapToGrid w:val="0"/>
              <w:spacing w:line="2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w:t>
            </w:r>
            <w:r>
              <w:rPr>
                <w:rFonts w:hint="eastAsia" w:ascii="宋体" w:hAnsi="宋体" w:cs="宋体"/>
                <w:color w:val="auto"/>
                <w:kern w:val="0"/>
                <w:szCs w:val="21"/>
                <w:highlight w:val="none"/>
                <w:lang w:val="en-US" w:eastAsia="zh-CN"/>
              </w:rPr>
              <w:t>1</w:t>
            </w:r>
          </w:p>
        </w:tc>
      </w:tr>
      <w:tr w14:paraId="0A5B9A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vAlign w:val="center"/>
          </w:tcPr>
          <w:p w14:paraId="3513042C">
            <w:pPr>
              <w:adjustRightInd w:val="0"/>
              <w:snapToGrid w:val="0"/>
              <w:spacing w:line="240" w:lineRule="exact"/>
              <w:jc w:val="center"/>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2</w:t>
            </w:r>
          </w:p>
        </w:tc>
        <w:tc>
          <w:tcPr>
            <w:tcW w:w="4680" w:type="dxa"/>
            <w:vAlign w:val="center"/>
          </w:tcPr>
          <w:p w14:paraId="43D7FCF9">
            <w:pPr>
              <w:adjustRightInd w:val="0"/>
              <w:snapToGrid w:val="0"/>
              <w:spacing w:line="240" w:lineRule="exact"/>
              <w:jc w:val="center"/>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技术</w:t>
            </w:r>
            <w:r>
              <w:rPr>
                <w:rFonts w:hint="eastAsia" w:ascii="宋体" w:hAnsi="宋体" w:cs="宋体"/>
                <w:color w:val="auto"/>
                <w:kern w:val="0"/>
                <w:szCs w:val="21"/>
                <w:highlight w:val="none"/>
                <w:lang w:val="ru-RU"/>
              </w:rPr>
              <w:t>（A</w:t>
            </w:r>
            <w:r>
              <w:rPr>
                <w:rFonts w:ascii="宋体" w:hAnsi="宋体" w:cs="宋体"/>
                <w:color w:val="auto"/>
                <w:kern w:val="0"/>
                <w:szCs w:val="21"/>
                <w:highlight w:val="none"/>
                <w:lang w:val="ru-RU"/>
              </w:rPr>
              <w:t>2</w:t>
            </w:r>
            <w:r>
              <w:rPr>
                <w:rFonts w:hint="eastAsia" w:ascii="宋体" w:hAnsi="宋体" w:cs="宋体"/>
                <w:color w:val="auto"/>
                <w:kern w:val="0"/>
                <w:szCs w:val="21"/>
                <w:highlight w:val="none"/>
                <w:lang w:val="ru-RU"/>
              </w:rPr>
              <w:t>）</w:t>
            </w:r>
          </w:p>
        </w:tc>
        <w:tc>
          <w:tcPr>
            <w:tcW w:w="3420" w:type="dxa"/>
            <w:vAlign w:val="center"/>
          </w:tcPr>
          <w:p w14:paraId="5D310544">
            <w:pPr>
              <w:adjustRightInd w:val="0"/>
              <w:snapToGrid w:val="0"/>
              <w:spacing w:line="2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w:t>
            </w:r>
            <w:r>
              <w:rPr>
                <w:rFonts w:hint="eastAsia" w:ascii="宋体" w:hAnsi="宋体" w:cs="宋体"/>
                <w:color w:val="auto"/>
                <w:kern w:val="0"/>
                <w:szCs w:val="21"/>
                <w:highlight w:val="none"/>
                <w:lang w:val="en-US" w:eastAsia="zh-CN"/>
              </w:rPr>
              <w:t>5</w:t>
            </w:r>
          </w:p>
        </w:tc>
      </w:tr>
      <w:tr w14:paraId="09D442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vAlign w:val="center"/>
          </w:tcPr>
          <w:p w14:paraId="59893903">
            <w:pPr>
              <w:adjustRightInd w:val="0"/>
              <w:snapToGrid w:val="0"/>
              <w:spacing w:line="240" w:lineRule="exact"/>
              <w:jc w:val="center"/>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3</w:t>
            </w:r>
          </w:p>
        </w:tc>
        <w:tc>
          <w:tcPr>
            <w:tcW w:w="4680" w:type="dxa"/>
            <w:vAlign w:val="center"/>
          </w:tcPr>
          <w:p w14:paraId="06EA58D5">
            <w:pPr>
              <w:adjustRightInd w:val="0"/>
              <w:snapToGrid w:val="0"/>
              <w:spacing w:line="240" w:lineRule="exact"/>
              <w:jc w:val="center"/>
              <w:rPr>
                <w:rFonts w:ascii="宋体" w:hAnsi="宋体" w:cs="宋体"/>
                <w:color w:val="auto"/>
                <w:kern w:val="0"/>
                <w:szCs w:val="21"/>
                <w:highlight w:val="none"/>
                <w:lang w:val="ru-RU"/>
              </w:rPr>
            </w:pPr>
            <w:r>
              <w:rPr>
                <w:rFonts w:hint="eastAsia" w:ascii="宋体" w:hAnsi="宋体" w:cs="宋体"/>
                <w:color w:val="auto"/>
                <w:kern w:val="0"/>
                <w:szCs w:val="21"/>
                <w:highlight w:val="none"/>
                <w:lang w:val="ru-RU"/>
              </w:rPr>
              <w:t>商务（A</w:t>
            </w:r>
            <w:r>
              <w:rPr>
                <w:rFonts w:ascii="宋体" w:hAnsi="宋体" w:cs="宋体"/>
                <w:color w:val="auto"/>
                <w:kern w:val="0"/>
                <w:szCs w:val="21"/>
                <w:highlight w:val="none"/>
                <w:lang w:val="ru-RU"/>
              </w:rPr>
              <w:t>3</w:t>
            </w:r>
            <w:r>
              <w:rPr>
                <w:rFonts w:hint="eastAsia" w:ascii="宋体" w:hAnsi="宋体" w:cs="宋体"/>
                <w:color w:val="auto"/>
                <w:kern w:val="0"/>
                <w:szCs w:val="21"/>
                <w:highlight w:val="none"/>
                <w:lang w:val="ru-RU"/>
              </w:rPr>
              <w:t>）</w:t>
            </w:r>
          </w:p>
        </w:tc>
        <w:tc>
          <w:tcPr>
            <w:tcW w:w="3420" w:type="dxa"/>
            <w:vAlign w:val="center"/>
          </w:tcPr>
          <w:p w14:paraId="65143E9F">
            <w:pPr>
              <w:adjustRightInd w:val="0"/>
              <w:snapToGrid w:val="0"/>
              <w:spacing w:line="2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0.4</w:t>
            </w:r>
          </w:p>
        </w:tc>
      </w:tr>
      <w:tr w14:paraId="7D9DEB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400" w:type="dxa"/>
            <w:gridSpan w:val="2"/>
            <w:vAlign w:val="center"/>
          </w:tcPr>
          <w:p w14:paraId="46464E53">
            <w:pPr>
              <w:adjustRightInd w:val="0"/>
              <w:snapToGrid w:val="0"/>
              <w:spacing w:line="240" w:lineRule="exact"/>
              <w:jc w:val="center"/>
              <w:rPr>
                <w:rFonts w:ascii="宋体" w:hAnsi="宋体" w:cs="宋体"/>
                <w:color w:val="auto"/>
                <w:kern w:val="0"/>
                <w:szCs w:val="21"/>
                <w:highlight w:val="none"/>
                <w:lang w:val="ru-RU" w:eastAsia="ru-RU"/>
              </w:r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lang w:val="ru-RU"/>
              </w:rPr>
              <w:t>合计</w:t>
            </w:r>
          </w:p>
        </w:tc>
        <w:tc>
          <w:tcPr>
            <w:tcW w:w="3420" w:type="dxa"/>
            <w:vAlign w:val="center"/>
          </w:tcPr>
          <w:p w14:paraId="3F404BB3">
            <w:pPr>
              <w:adjustRightInd w:val="0"/>
              <w:snapToGrid w:val="0"/>
              <w:spacing w:line="2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p>
        </w:tc>
      </w:tr>
    </w:tbl>
    <w:p w14:paraId="00931AA7">
      <w:pPr>
        <w:adjustRightInd w:val="0"/>
        <w:snapToGrid w:val="0"/>
        <w:spacing w:beforeLines="50" w:line="360" w:lineRule="auto"/>
        <w:jc w:val="center"/>
        <w:rPr>
          <w:b/>
          <w:bCs/>
          <w:color w:val="auto"/>
          <w:highlight w:val="none"/>
        </w:rPr>
      </w:pPr>
      <w:r>
        <w:rPr>
          <w:rFonts w:hint="eastAsia"/>
          <w:b/>
          <w:bCs/>
          <w:color w:val="auto"/>
          <w:highlight w:val="none"/>
        </w:rPr>
        <w:t>附表1.1投标报价评审标准表</w:t>
      </w:r>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6253"/>
      </w:tblGrid>
      <w:tr w14:paraId="2206D4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503" w:type="dxa"/>
            <w:tcBorders>
              <w:right w:val="single" w:color="auto" w:sz="4" w:space="0"/>
            </w:tcBorders>
            <w:vAlign w:val="center"/>
          </w:tcPr>
          <w:p w14:paraId="07A1734C">
            <w:pPr>
              <w:adjustRightInd w:val="0"/>
              <w:snapToGrid w:val="0"/>
              <w:jc w:val="center"/>
              <w:rPr>
                <w:rFonts w:ascii="宋体" w:hAnsi="宋体"/>
                <w:b/>
                <w:color w:val="auto"/>
                <w:szCs w:val="21"/>
                <w:highlight w:val="none"/>
              </w:rPr>
            </w:pPr>
            <w:r>
              <w:rPr>
                <w:rFonts w:hint="eastAsia" w:ascii="宋体" w:hAnsi="宋体"/>
                <w:b/>
                <w:color w:val="auto"/>
                <w:szCs w:val="21"/>
                <w:highlight w:val="none"/>
              </w:rPr>
              <w:t>序号</w:t>
            </w:r>
          </w:p>
        </w:tc>
        <w:tc>
          <w:tcPr>
            <w:tcW w:w="2160" w:type="dxa"/>
            <w:tcBorders>
              <w:left w:val="single" w:color="auto" w:sz="4" w:space="0"/>
              <w:right w:val="single" w:color="auto" w:sz="4" w:space="0"/>
            </w:tcBorders>
            <w:vAlign w:val="center"/>
          </w:tcPr>
          <w:p w14:paraId="35DBE26B">
            <w:pPr>
              <w:adjustRightInd w:val="0"/>
              <w:snapToGrid w:val="0"/>
              <w:jc w:val="center"/>
              <w:rPr>
                <w:rFonts w:ascii="宋体" w:hAnsi="宋体"/>
                <w:b/>
                <w:color w:val="auto"/>
                <w:szCs w:val="21"/>
                <w:highlight w:val="none"/>
              </w:rPr>
            </w:pPr>
            <w:r>
              <w:rPr>
                <w:rFonts w:hint="eastAsia" w:ascii="宋体" w:hAnsi="宋体"/>
                <w:b/>
                <w:color w:val="auto"/>
                <w:szCs w:val="21"/>
                <w:highlight w:val="none"/>
              </w:rPr>
              <w:t>评标因素（分值）</w:t>
            </w:r>
          </w:p>
        </w:tc>
        <w:tc>
          <w:tcPr>
            <w:tcW w:w="6253" w:type="dxa"/>
            <w:tcBorders>
              <w:left w:val="single" w:color="auto" w:sz="4" w:space="0"/>
            </w:tcBorders>
            <w:vAlign w:val="center"/>
          </w:tcPr>
          <w:p w14:paraId="099ECF35">
            <w:pPr>
              <w:adjustRightInd w:val="0"/>
              <w:snapToGrid w:val="0"/>
              <w:jc w:val="center"/>
              <w:rPr>
                <w:rFonts w:ascii="宋体" w:hAnsi="宋体"/>
                <w:b/>
                <w:color w:val="auto"/>
                <w:szCs w:val="21"/>
                <w:highlight w:val="none"/>
              </w:rPr>
            </w:pPr>
            <w:r>
              <w:rPr>
                <w:rFonts w:hint="eastAsia" w:ascii="宋体" w:hAnsi="宋体"/>
                <w:b/>
                <w:color w:val="auto"/>
                <w:szCs w:val="21"/>
                <w:highlight w:val="none"/>
              </w:rPr>
              <w:t>评标标准</w:t>
            </w:r>
          </w:p>
        </w:tc>
      </w:tr>
      <w:tr w14:paraId="2D5F67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3" w:type="dxa"/>
            <w:tcBorders>
              <w:right w:val="single" w:color="auto" w:sz="4" w:space="0"/>
            </w:tcBorders>
            <w:vAlign w:val="center"/>
          </w:tcPr>
          <w:p w14:paraId="1B4918ED">
            <w:pPr>
              <w:adjustRightInd w:val="0"/>
              <w:snapToGrid w:val="0"/>
              <w:spacing w:beforeLines="50"/>
              <w:jc w:val="center"/>
              <w:rPr>
                <w:rFonts w:ascii="宋体" w:hAnsi="宋体"/>
                <w:color w:val="auto"/>
                <w:szCs w:val="21"/>
                <w:highlight w:val="none"/>
              </w:rPr>
            </w:pPr>
            <w:r>
              <w:rPr>
                <w:rFonts w:hint="eastAsia" w:ascii="宋体" w:hAnsi="宋体"/>
                <w:color w:val="auto"/>
                <w:szCs w:val="21"/>
                <w:highlight w:val="none"/>
              </w:rPr>
              <w:t>1</w:t>
            </w:r>
          </w:p>
        </w:tc>
        <w:tc>
          <w:tcPr>
            <w:tcW w:w="2160" w:type="dxa"/>
            <w:tcBorders>
              <w:left w:val="single" w:color="auto" w:sz="4" w:space="0"/>
              <w:right w:val="single" w:color="auto" w:sz="4" w:space="0"/>
            </w:tcBorders>
            <w:vAlign w:val="center"/>
          </w:tcPr>
          <w:p w14:paraId="1CCF0AA5">
            <w:pPr>
              <w:adjustRightInd w:val="0"/>
              <w:snapToGrid w:val="0"/>
              <w:jc w:val="center"/>
              <w:rPr>
                <w:rFonts w:ascii="宋体" w:hAnsi="宋体"/>
                <w:color w:val="auto"/>
                <w:szCs w:val="21"/>
                <w:highlight w:val="none"/>
              </w:rPr>
            </w:pPr>
            <w:r>
              <w:rPr>
                <w:rFonts w:hint="eastAsia" w:ascii="宋体" w:hAnsi="宋体"/>
                <w:color w:val="auto"/>
                <w:szCs w:val="21"/>
                <w:highlight w:val="none"/>
              </w:rPr>
              <w:t>价格评价项</w:t>
            </w:r>
          </w:p>
          <w:p w14:paraId="79E6380C">
            <w:pPr>
              <w:adjustRightInd w:val="0"/>
              <w:snapToGrid w:val="0"/>
              <w:jc w:val="center"/>
              <w:rPr>
                <w:rFonts w:ascii="宋体" w:hAnsi="宋体"/>
                <w:color w:val="auto"/>
                <w:szCs w:val="21"/>
                <w:highlight w:val="none"/>
              </w:rPr>
            </w:pPr>
            <w:r>
              <w:rPr>
                <w:rFonts w:hint="eastAsia" w:ascii="宋体" w:hAnsi="宋体"/>
                <w:color w:val="auto"/>
                <w:szCs w:val="21"/>
                <w:highlight w:val="none"/>
              </w:rPr>
              <w:t>（F=100分）</w:t>
            </w:r>
          </w:p>
        </w:tc>
        <w:tc>
          <w:tcPr>
            <w:tcW w:w="6253" w:type="dxa"/>
            <w:tcBorders>
              <w:left w:val="single" w:color="auto" w:sz="4" w:space="0"/>
            </w:tcBorders>
            <w:vAlign w:val="center"/>
          </w:tcPr>
          <w:p w14:paraId="18C29413">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以经评委会一致认定满足招标文件要求且投标价格最低的投标报价为评标基准价，其价格计满分。其他投标人的价格得分统一按公式计算：</w:t>
            </w:r>
          </w:p>
          <w:p w14:paraId="6C35194C">
            <w:pPr>
              <w:spacing w:line="360" w:lineRule="exact"/>
              <w:rPr>
                <w:color w:val="auto"/>
                <w:szCs w:val="21"/>
                <w:highlight w:val="none"/>
              </w:rPr>
            </w:pPr>
            <w:r>
              <w:rPr>
                <w:rFonts w:hint="eastAsia" w:ascii="宋体" w:hAnsi="宋体" w:cs="宋体"/>
                <w:color w:val="auto"/>
                <w:szCs w:val="21"/>
                <w:highlight w:val="none"/>
              </w:rPr>
              <w:t>投标报价得分=（评标基准价</w:t>
            </w:r>
            <w:r>
              <w:rPr>
                <w:rFonts w:hint="eastAsia" w:ascii="宋体" w:hAnsi="宋体" w:cs="宋体"/>
                <w:color w:val="auto"/>
                <w:szCs w:val="21"/>
                <w:highlight w:val="none"/>
                <w:vertAlign w:val="subscript"/>
              </w:rPr>
              <w:t>修正或调整</w:t>
            </w:r>
            <w:r>
              <w:rPr>
                <w:rFonts w:hint="eastAsia" w:ascii="宋体" w:hAnsi="宋体" w:cs="宋体"/>
                <w:color w:val="auto"/>
                <w:szCs w:val="21"/>
                <w:highlight w:val="none"/>
              </w:rPr>
              <w:t>／投标报价</w:t>
            </w:r>
            <w:r>
              <w:rPr>
                <w:rFonts w:hint="eastAsia" w:ascii="宋体" w:hAnsi="宋体" w:cs="宋体"/>
                <w:color w:val="auto"/>
                <w:szCs w:val="21"/>
                <w:highlight w:val="none"/>
                <w:vertAlign w:val="subscript"/>
              </w:rPr>
              <w:t>修正或调整</w:t>
            </w:r>
            <w:r>
              <w:rPr>
                <w:rFonts w:hint="eastAsia" w:ascii="宋体" w:hAnsi="宋体" w:cs="宋体"/>
                <w:color w:val="auto"/>
                <w:szCs w:val="21"/>
                <w:highlight w:val="none"/>
              </w:rPr>
              <w:t>）</w:t>
            </w:r>
            <w:r>
              <w:rPr>
                <w:rFonts w:hint="eastAsia" w:ascii="宋体" w:hAnsi="宋体"/>
                <w:color w:val="auto"/>
                <w:szCs w:val="21"/>
                <w:highlight w:val="none"/>
              </w:rPr>
              <w:t>×100</w:t>
            </w:r>
            <w:r>
              <w:rPr>
                <w:rFonts w:hint="eastAsia" w:ascii="宋体" w:hAnsi="宋体" w:cs="宋体"/>
                <w:color w:val="auto"/>
                <w:szCs w:val="21"/>
                <w:highlight w:val="none"/>
              </w:rPr>
              <w:t>×报价权值</w:t>
            </w:r>
          </w:p>
        </w:tc>
      </w:tr>
      <w:tr w14:paraId="63FEEA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vAlign w:val="center"/>
          </w:tcPr>
          <w:p w14:paraId="029B29DE">
            <w:pPr>
              <w:adjustRightInd w:val="0"/>
              <w:snapToGrid w:val="0"/>
              <w:spacing w:beforeLines="50"/>
              <w:jc w:val="center"/>
              <w:rPr>
                <w:rFonts w:ascii="宋体" w:hAnsi="宋体"/>
                <w:color w:val="auto"/>
                <w:szCs w:val="21"/>
                <w:highlight w:val="none"/>
              </w:rPr>
            </w:pPr>
            <w:r>
              <w:rPr>
                <w:rFonts w:hint="eastAsia" w:ascii="宋体" w:hAnsi="宋体"/>
                <w:color w:val="auto"/>
                <w:szCs w:val="21"/>
                <w:highlight w:val="none"/>
              </w:rPr>
              <w:t>2</w:t>
            </w:r>
          </w:p>
        </w:tc>
        <w:tc>
          <w:tcPr>
            <w:tcW w:w="2160" w:type="dxa"/>
            <w:tcBorders>
              <w:left w:val="single" w:color="auto" w:sz="4" w:space="0"/>
            </w:tcBorders>
            <w:vAlign w:val="center"/>
          </w:tcPr>
          <w:p w14:paraId="66393793">
            <w:pPr>
              <w:adjustRightInd w:val="0"/>
              <w:snapToGrid w:val="0"/>
              <w:jc w:val="center"/>
              <w:rPr>
                <w:rFonts w:ascii="宋体" w:hAnsi="宋体"/>
                <w:color w:val="auto"/>
                <w:szCs w:val="21"/>
                <w:highlight w:val="none"/>
              </w:rPr>
            </w:pPr>
            <w:r>
              <w:rPr>
                <w:rFonts w:hint="eastAsia" w:ascii="宋体" w:hAnsi="宋体"/>
                <w:color w:val="auto"/>
                <w:szCs w:val="21"/>
                <w:highlight w:val="none"/>
              </w:rPr>
              <w:t>优先采购加分（F</w:t>
            </w:r>
            <w:r>
              <w:rPr>
                <w:rFonts w:hint="eastAsia" w:ascii="宋体" w:hAnsi="宋体"/>
                <w:color w:val="auto"/>
                <w:szCs w:val="21"/>
                <w:highlight w:val="none"/>
                <w:vertAlign w:val="subscript"/>
              </w:rPr>
              <w:t>优先采购加分</w:t>
            </w:r>
            <w:r>
              <w:rPr>
                <w:rFonts w:hint="eastAsia" w:ascii="宋体" w:hAnsi="宋体"/>
                <w:color w:val="auto"/>
                <w:szCs w:val="21"/>
                <w:highlight w:val="none"/>
              </w:rPr>
              <w:t>）</w:t>
            </w:r>
          </w:p>
        </w:tc>
        <w:tc>
          <w:tcPr>
            <w:tcW w:w="6253" w:type="dxa"/>
            <w:tcBorders>
              <w:bottom w:val="single" w:color="auto" w:sz="4" w:space="0"/>
            </w:tcBorders>
            <w:vAlign w:val="center"/>
          </w:tcPr>
          <w:p w14:paraId="71BE9929">
            <w:pPr>
              <w:adjustRightInd w:val="0"/>
              <w:snapToGrid w:val="0"/>
              <w:spacing w:beforeLines="50"/>
              <w:rPr>
                <w:rFonts w:ascii="宋体" w:hAnsi="宋体"/>
                <w:color w:val="auto"/>
                <w:szCs w:val="21"/>
                <w:highlight w:val="none"/>
              </w:rPr>
            </w:pPr>
            <w:r>
              <w:rPr>
                <w:rFonts w:hint="eastAsia" w:ascii="宋体" w:hAnsi="宋体"/>
                <w:color w:val="auto"/>
                <w:szCs w:val="21"/>
                <w:highlight w:val="none"/>
              </w:rPr>
              <w:t>/</w:t>
            </w:r>
          </w:p>
        </w:tc>
      </w:tr>
      <w:tr w14:paraId="0EC6BB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vAlign w:val="center"/>
          </w:tcPr>
          <w:p w14:paraId="6FCD1A51">
            <w:pPr>
              <w:adjustRightInd w:val="0"/>
              <w:snapToGrid w:val="0"/>
              <w:jc w:val="center"/>
              <w:rPr>
                <w:rFonts w:ascii="宋体" w:hAnsi="宋体"/>
                <w:color w:val="auto"/>
                <w:szCs w:val="21"/>
                <w:highlight w:val="none"/>
              </w:rPr>
            </w:pPr>
            <w:r>
              <w:rPr>
                <w:rFonts w:hint="eastAsia" w:ascii="宋体" w:hAnsi="宋体"/>
                <w:color w:val="auto"/>
                <w:szCs w:val="21"/>
                <w:highlight w:val="none"/>
              </w:rPr>
              <w:t>∑</w:t>
            </w:r>
          </w:p>
        </w:tc>
        <w:tc>
          <w:tcPr>
            <w:tcW w:w="8413" w:type="dxa"/>
            <w:gridSpan w:val="2"/>
            <w:tcBorders>
              <w:left w:val="single" w:color="auto" w:sz="4" w:space="0"/>
            </w:tcBorders>
            <w:vAlign w:val="center"/>
          </w:tcPr>
          <w:p w14:paraId="25BD1DCB">
            <w:pPr>
              <w:adjustRightInd w:val="0"/>
              <w:snapToGrid w:val="0"/>
              <w:rPr>
                <w:rFonts w:ascii="宋体" w:hAnsi="宋体"/>
                <w:color w:val="auto"/>
                <w:szCs w:val="21"/>
                <w:highlight w:val="none"/>
              </w:rPr>
            </w:pPr>
            <w:r>
              <w:rPr>
                <w:rFonts w:hint="eastAsia" w:ascii="宋体" w:hAnsi="宋体"/>
                <w:color w:val="auto"/>
                <w:szCs w:val="21"/>
                <w:highlight w:val="none"/>
              </w:rPr>
              <w:t>F</w:t>
            </w:r>
            <w:r>
              <w:rPr>
                <w:rFonts w:hint="eastAsia" w:ascii="宋体" w:hAnsi="宋体"/>
                <w:color w:val="auto"/>
                <w:szCs w:val="21"/>
                <w:highlight w:val="none"/>
                <w:vertAlign w:val="subscript"/>
              </w:rPr>
              <w:t>1</w:t>
            </w:r>
            <w:r>
              <w:rPr>
                <w:rFonts w:hint="eastAsia" w:ascii="宋体" w:hAnsi="宋体"/>
                <w:color w:val="auto"/>
                <w:szCs w:val="21"/>
                <w:highlight w:val="none"/>
              </w:rPr>
              <w:t>=F+</w:t>
            </w:r>
            <w:r>
              <w:rPr>
                <w:rFonts w:hint="eastAsia"/>
                <w:color w:val="auto"/>
                <w:szCs w:val="21"/>
                <w:highlight w:val="none"/>
              </w:rPr>
              <w:t xml:space="preserve"> </w:t>
            </w:r>
            <w:r>
              <w:rPr>
                <w:rFonts w:hint="eastAsia" w:ascii="宋体" w:hAnsi="宋体"/>
                <w:color w:val="auto"/>
                <w:szCs w:val="21"/>
                <w:highlight w:val="none"/>
              </w:rPr>
              <w:t>F</w:t>
            </w:r>
            <w:r>
              <w:rPr>
                <w:rFonts w:hint="eastAsia" w:ascii="宋体" w:hAnsi="宋体"/>
                <w:color w:val="auto"/>
                <w:szCs w:val="21"/>
                <w:highlight w:val="none"/>
                <w:vertAlign w:val="subscript"/>
              </w:rPr>
              <w:t>优先采购加分</w:t>
            </w:r>
          </w:p>
        </w:tc>
      </w:tr>
    </w:tbl>
    <w:p w14:paraId="42C44366">
      <w:pPr>
        <w:adjustRightInd w:val="0"/>
        <w:snapToGrid w:val="0"/>
        <w:spacing w:beforeLines="50" w:line="360" w:lineRule="auto"/>
        <w:jc w:val="center"/>
        <w:rPr>
          <w:b/>
          <w:bCs/>
          <w:color w:val="auto"/>
          <w:highlight w:val="none"/>
        </w:rPr>
      </w:pPr>
      <w:bookmarkStart w:id="1292" w:name="_Toc13491"/>
      <w:bookmarkStart w:id="1293" w:name="_Toc108483427"/>
      <w:bookmarkStart w:id="1294" w:name="_Toc12699"/>
      <w:bookmarkStart w:id="1295" w:name="_Toc5843"/>
      <w:bookmarkStart w:id="1296" w:name="_Toc111543587"/>
      <w:bookmarkStart w:id="1297" w:name="_Toc20184"/>
      <w:bookmarkStart w:id="1298" w:name="_Toc140957900"/>
      <w:bookmarkStart w:id="1299" w:name="_Toc25462"/>
      <w:bookmarkStart w:id="1300" w:name="_Toc7276"/>
      <w:bookmarkStart w:id="1301" w:name="_Toc22860"/>
      <w:bookmarkStart w:id="1302" w:name="_Toc79093704"/>
      <w:bookmarkStart w:id="1303" w:name="_Toc3845"/>
      <w:bookmarkStart w:id="1304" w:name="_Toc166778365"/>
      <w:bookmarkStart w:id="1305" w:name="_Toc103979610"/>
      <w:bookmarkStart w:id="1306" w:name="_Toc16010"/>
      <w:bookmarkStart w:id="1307" w:name="_Toc7007"/>
      <w:bookmarkStart w:id="1308" w:name="_Toc32398"/>
      <w:bookmarkStart w:id="1309" w:name="_Toc118209457"/>
      <w:bookmarkStart w:id="1310" w:name="_Toc113350966"/>
      <w:bookmarkStart w:id="1311" w:name="_Toc137408748"/>
      <w:bookmarkStart w:id="1312" w:name="_Toc7873"/>
      <w:bookmarkStart w:id="1313" w:name="_Toc109656609"/>
      <w:bookmarkStart w:id="1314" w:name="_Toc99299757"/>
      <w:bookmarkStart w:id="1315" w:name="_Toc171282434"/>
      <w:bookmarkStart w:id="1316" w:name="_Toc32058"/>
      <w:r>
        <w:rPr>
          <w:rFonts w:hint="eastAsia"/>
          <w:b/>
          <w:bCs/>
          <w:color w:val="auto"/>
          <w:highlight w:val="none"/>
        </w:rPr>
        <w:t>附表1.2技术部分评审标准表</w:t>
      </w:r>
    </w:p>
    <w:tbl>
      <w:tblPr>
        <w:tblStyle w:val="47"/>
        <w:tblW w:w="909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876"/>
        <w:gridCol w:w="1051"/>
        <w:gridCol w:w="5663"/>
      </w:tblGrid>
      <w:tr w14:paraId="2691B8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25" w:hRule="atLeast"/>
          <w:jc w:val="center"/>
        </w:trPr>
        <w:tc>
          <w:tcPr>
            <w:tcW w:w="503" w:type="dxa"/>
            <w:tcBorders>
              <w:right w:val="single" w:color="auto" w:sz="4" w:space="0"/>
            </w:tcBorders>
            <w:vAlign w:val="center"/>
          </w:tcPr>
          <w:p w14:paraId="46C8FDDF">
            <w:pPr>
              <w:adjustRightInd w:val="0"/>
              <w:snapToGrid w:val="0"/>
              <w:jc w:val="center"/>
              <w:rPr>
                <w:rFonts w:ascii="宋体" w:hAnsi="宋体"/>
                <w:b/>
                <w:color w:val="auto"/>
                <w:szCs w:val="21"/>
                <w:highlight w:val="none"/>
              </w:rPr>
            </w:pPr>
            <w:r>
              <w:rPr>
                <w:rFonts w:hint="eastAsia" w:ascii="宋体" w:hAnsi="宋体"/>
                <w:b/>
                <w:color w:val="auto"/>
                <w:szCs w:val="21"/>
                <w:highlight w:val="none"/>
              </w:rPr>
              <w:t>序号</w:t>
            </w:r>
          </w:p>
        </w:tc>
        <w:tc>
          <w:tcPr>
            <w:tcW w:w="1876" w:type="dxa"/>
            <w:tcBorders>
              <w:left w:val="single" w:color="auto" w:sz="4" w:space="0"/>
              <w:right w:val="single" w:color="auto" w:sz="4" w:space="0"/>
            </w:tcBorders>
            <w:vAlign w:val="center"/>
          </w:tcPr>
          <w:p w14:paraId="4AB5D816">
            <w:pPr>
              <w:adjustRightInd w:val="0"/>
              <w:snapToGrid w:val="0"/>
              <w:jc w:val="center"/>
              <w:rPr>
                <w:rFonts w:ascii="宋体" w:hAnsi="宋体"/>
                <w:b/>
                <w:color w:val="auto"/>
                <w:szCs w:val="21"/>
                <w:highlight w:val="none"/>
              </w:rPr>
            </w:pPr>
            <w:r>
              <w:rPr>
                <w:rFonts w:hint="eastAsia" w:ascii="宋体" w:hAnsi="宋体"/>
                <w:b/>
                <w:color w:val="auto"/>
                <w:szCs w:val="21"/>
                <w:highlight w:val="none"/>
              </w:rPr>
              <w:t>评标因素（分值）</w:t>
            </w:r>
          </w:p>
        </w:tc>
        <w:tc>
          <w:tcPr>
            <w:tcW w:w="6714" w:type="dxa"/>
            <w:gridSpan w:val="2"/>
            <w:tcBorders>
              <w:left w:val="single" w:color="auto" w:sz="4" w:space="0"/>
            </w:tcBorders>
            <w:vAlign w:val="center"/>
          </w:tcPr>
          <w:p w14:paraId="2EBA90AD">
            <w:pPr>
              <w:adjustRightInd w:val="0"/>
              <w:snapToGrid w:val="0"/>
              <w:jc w:val="center"/>
              <w:rPr>
                <w:rFonts w:ascii="宋体" w:hAnsi="宋体"/>
                <w:b/>
                <w:color w:val="auto"/>
                <w:szCs w:val="21"/>
                <w:highlight w:val="none"/>
              </w:rPr>
            </w:pPr>
            <w:r>
              <w:rPr>
                <w:rFonts w:hint="eastAsia" w:ascii="宋体" w:hAnsi="宋体"/>
                <w:b/>
                <w:color w:val="auto"/>
                <w:szCs w:val="21"/>
                <w:highlight w:val="none"/>
              </w:rPr>
              <w:t>评标标准</w:t>
            </w:r>
          </w:p>
        </w:tc>
      </w:tr>
      <w:tr w14:paraId="3591CD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vMerge w:val="restart"/>
            <w:tcBorders>
              <w:right w:val="single" w:color="auto" w:sz="4" w:space="0"/>
            </w:tcBorders>
            <w:vAlign w:val="center"/>
          </w:tcPr>
          <w:p w14:paraId="222956B7">
            <w:pPr>
              <w:adjustRightInd w:val="0"/>
              <w:snapToGrid w:val="0"/>
              <w:spacing w:beforeLines="50"/>
              <w:jc w:val="center"/>
              <w:rPr>
                <w:rFonts w:ascii="宋体" w:hAnsi="宋体"/>
                <w:color w:val="auto"/>
                <w:szCs w:val="21"/>
                <w:highlight w:val="none"/>
              </w:rPr>
            </w:pPr>
            <w:r>
              <w:rPr>
                <w:rFonts w:hint="eastAsia" w:ascii="宋体" w:hAnsi="宋体"/>
                <w:color w:val="auto"/>
                <w:szCs w:val="21"/>
                <w:highlight w:val="none"/>
              </w:rPr>
              <w:t>1</w:t>
            </w:r>
          </w:p>
          <w:p w14:paraId="75F4AFAB">
            <w:pPr>
              <w:adjustRightInd w:val="0"/>
              <w:snapToGrid w:val="0"/>
              <w:spacing w:beforeLines="50"/>
              <w:jc w:val="center"/>
              <w:rPr>
                <w:rFonts w:ascii="宋体" w:hAnsi="宋体"/>
                <w:color w:val="auto"/>
                <w:szCs w:val="21"/>
                <w:highlight w:val="none"/>
              </w:rPr>
            </w:pPr>
          </w:p>
          <w:p w14:paraId="23F3093C">
            <w:pPr>
              <w:pStyle w:val="46"/>
              <w:ind w:firstLine="400"/>
              <w:rPr>
                <w:color w:val="auto"/>
                <w:highlight w:val="none"/>
              </w:rPr>
            </w:pPr>
          </w:p>
        </w:tc>
        <w:tc>
          <w:tcPr>
            <w:tcW w:w="1876" w:type="dxa"/>
            <w:vMerge w:val="restart"/>
            <w:tcBorders>
              <w:left w:val="single" w:color="auto" w:sz="4" w:space="0"/>
            </w:tcBorders>
            <w:vAlign w:val="center"/>
          </w:tcPr>
          <w:p w14:paraId="238D0F74">
            <w:pPr>
              <w:adjustRightInd w:val="0"/>
              <w:snapToGrid w:val="0"/>
              <w:jc w:val="center"/>
              <w:rPr>
                <w:rFonts w:ascii="宋体" w:hAnsi="宋体"/>
                <w:color w:val="auto"/>
                <w:szCs w:val="21"/>
                <w:highlight w:val="none"/>
              </w:rPr>
            </w:pPr>
            <w:r>
              <w:rPr>
                <w:rFonts w:hint="eastAsia" w:ascii="宋体" w:hAnsi="宋体"/>
                <w:color w:val="auto"/>
                <w:szCs w:val="21"/>
                <w:highlight w:val="none"/>
              </w:rPr>
              <w:t>技术评价项</w:t>
            </w:r>
          </w:p>
          <w:p w14:paraId="33F6DB4D">
            <w:pPr>
              <w:adjustRightInd w:val="0"/>
              <w:snapToGrid w:val="0"/>
              <w:jc w:val="center"/>
              <w:rPr>
                <w:rFonts w:ascii="宋体" w:hAnsi="宋体"/>
                <w:color w:val="auto"/>
                <w:szCs w:val="21"/>
                <w:highlight w:val="none"/>
              </w:rPr>
            </w:pPr>
            <w:r>
              <w:rPr>
                <w:rFonts w:hint="eastAsia" w:ascii="宋体" w:hAnsi="宋体"/>
                <w:color w:val="auto"/>
                <w:szCs w:val="21"/>
                <w:highlight w:val="none"/>
              </w:rPr>
              <w:t>（F=100分）</w:t>
            </w:r>
          </w:p>
        </w:tc>
        <w:tc>
          <w:tcPr>
            <w:tcW w:w="1051" w:type="dxa"/>
            <w:shd w:val="clear" w:color="auto" w:fill="auto"/>
            <w:vAlign w:val="center"/>
          </w:tcPr>
          <w:p w14:paraId="0DD68421">
            <w:pPr>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培训方案36</w:t>
            </w:r>
            <w:r>
              <w:rPr>
                <w:rFonts w:ascii="宋体" w:hAnsi="宋体" w:cs="宋体"/>
                <w:color w:val="auto"/>
                <w:szCs w:val="21"/>
                <w:highlight w:val="none"/>
              </w:rPr>
              <w:t>分</w:t>
            </w:r>
          </w:p>
        </w:tc>
        <w:tc>
          <w:tcPr>
            <w:tcW w:w="5663" w:type="dxa"/>
            <w:shd w:val="clear" w:color="auto" w:fill="auto"/>
            <w:vAlign w:val="center"/>
          </w:tcPr>
          <w:p w14:paraId="693F5D87">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根据</w:t>
            </w:r>
            <w:r>
              <w:rPr>
                <w:rStyle w:val="99"/>
                <w:rFonts w:ascii="宋体" w:hAnsi="宋体"/>
                <w:color w:val="auto"/>
                <w:szCs w:val="21"/>
                <w:highlight w:val="none"/>
              </w:rPr>
              <w:t>供应商</w:t>
            </w:r>
            <w:r>
              <w:rPr>
                <w:rFonts w:hint="eastAsia" w:ascii="宋体" w:hAnsi="宋体" w:cs="宋体"/>
                <w:color w:val="auto"/>
                <w:szCs w:val="21"/>
                <w:highlight w:val="none"/>
              </w:rPr>
              <w:t>针对本项目所提供的所投包内容的培训方案进行综合评价，方案内容包</w:t>
            </w:r>
            <w:r>
              <w:rPr>
                <w:rFonts w:ascii="宋体" w:hAnsi="宋体" w:cs="宋体"/>
                <w:color w:val="auto"/>
                <w:szCs w:val="21"/>
                <w:highlight w:val="none"/>
              </w:rPr>
              <w:t>括但不限于①培训组织方案（含预期效果）；②课堂教学（包含线上线下）方案；③实践教学和观摩交流方案；④跟踪服务方案；⑤培训学时具体安排；⑥经费支出计划。上述内容，满分</w:t>
            </w:r>
            <w:r>
              <w:rPr>
                <w:rFonts w:hint="eastAsia" w:ascii="宋体" w:hAnsi="宋体" w:cs="宋体"/>
                <w:color w:val="auto"/>
                <w:szCs w:val="21"/>
                <w:highlight w:val="none"/>
              </w:rPr>
              <w:t>36</w:t>
            </w:r>
            <w:r>
              <w:rPr>
                <w:rFonts w:ascii="宋体" w:hAnsi="宋体" w:cs="宋体"/>
                <w:color w:val="auto"/>
                <w:szCs w:val="21"/>
                <w:highlight w:val="none"/>
              </w:rPr>
              <w:t>分</w:t>
            </w:r>
            <w:r>
              <w:rPr>
                <w:rFonts w:hint="eastAsia" w:ascii="宋体" w:hAnsi="宋体" w:cs="宋体"/>
                <w:color w:val="auto"/>
                <w:szCs w:val="21"/>
                <w:highlight w:val="none"/>
              </w:rPr>
              <w:t>；</w:t>
            </w:r>
          </w:p>
          <w:p w14:paraId="320EE9D3">
            <w:pPr>
              <w:widowControl/>
              <w:spacing w:line="360" w:lineRule="exact"/>
              <w:jc w:val="left"/>
              <w:textAlignment w:val="baseline"/>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方案欠完善或针对性欠缺的每项扣2分，上述扣分扣完为止；</w:t>
            </w:r>
          </w:p>
          <w:p w14:paraId="0645DAE0">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方案缺漏项或不合理的每项扣4分，上述扣分扣完为止；</w:t>
            </w:r>
          </w:p>
          <w:p w14:paraId="043E7260">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未提供的不计分。</w:t>
            </w:r>
          </w:p>
          <w:p w14:paraId="27869310">
            <w:pPr>
              <w:widowControl/>
              <w:spacing w:line="360" w:lineRule="exact"/>
              <w:jc w:val="left"/>
              <w:textAlignment w:val="baseline"/>
              <w:rPr>
                <w:rFonts w:hint="eastAsia" w:ascii="宋体" w:hAnsi="宋体" w:eastAsia="宋体" w:cs="宋体"/>
                <w:color w:val="auto"/>
                <w:szCs w:val="21"/>
                <w:highlight w:val="none"/>
                <w:lang w:val="en-US" w:eastAsia="zh-CN"/>
              </w:rPr>
            </w:pPr>
            <w:r>
              <w:rPr>
                <w:rFonts w:ascii="宋体" w:hAnsi="宋体" w:cs="宋体"/>
                <w:color w:val="auto"/>
                <w:szCs w:val="21"/>
                <w:highlight w:val="none"/>
              </w:rPr>
              <w:t>事项说明：1</w:t>
            </w:r>
            <w:r>
              <w:rPr>
                <w:rFonts w:hint="eastAsia" w:ascii="宋体" w:hAnsi="宋体" w:cs="宋体"/>
                <w:color w:val="auto"/>
                <w:szCs w:val="21"/>
                <w:highlight w:val="none"/>
                <w:lang w:val="en-US" w:eastAsia="zh-CN"/>
              </w:rPr>
              <w:t>.</w:t>
            </w:r>
            <w:r>
              <w:rPr>
                <w:rFonts w:ascii="宋体" w:hAnsi="宋体" w:cs="宋体"/>
                <w:color w:val="auto"/>
                <w:szCs w:val="21"/>
                <w:highlight w:val="none"/>
              </w:rPr>
              <w:t>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内容不完善等</w:t>
            </w:r>
            <w:r>
              <w:rPr>
                <w:rFonts w:hint="eastAsia" w:ascii="宋体" w:hAnsi="宋体" w:cs="宋体"/>
                <w:color w:val="auto"/>
                <w:szCs w:val="21"/>
                <w:highlight w:val="none"/>
                <w:lang w:val="en-US" w:eastAsia="zh-CN"/>
              </w:rPr>
              <w:t>;</w:t>
            </w:r>
          </w:p>
          <w:p w14:paraId="711BFADC">
            <w:pPr>
              <w:widowControl/>
              <w:spacing w:line="360" w:lineRule="exact"/>
              <w:jc w:val="left"/>
              <w:textAlignment w:val="baseline"/>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lang w:val="en-US" w:eastAsia="zh-CN"/>
              </w:rPr>
              <w:t>.</w:t>
            </w:r>
            <w:r>
              <w:rPr>
                <w:rFonts w:ascii="宋体" w:hAnsi="宋体" w:cs="宋体"/>
                <w:color w:val="auto"/>
                <w:szCs w:val="21"/>
                <w:highlight w:val="none"/>
              </w:rPr>
              <w:t>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5594BD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9" w:hRule="atLeast"/>
          <w:jc w:val="center"/>
        </w:trPr>
        <w:tc>
          <w:tcPr>
            <w:tcW w:w="503" w:type="dxa"/>
            <w:vMerge w:val="continue"/>
            <w:tcBorders>
              <w:right w:val="single" w:color="auto" w:sz="4" w:space="0"/>
            </w:tcBorders>
            <w:vAlign w:val="center"/>
          </w:tcPr>
          <w:p w14:paraId="0457D7F9">
            <w:pPr>
              <w:pStyle w:val="46"/>
              <w:ind w:firstLine="400"/>
              <w:rPr>
                <w:color w:val="auto"/>
                <w:highlight w:val="none"/>
              </w:rPr>
            </w:pPr>
          </w:p>
        </w:tc>
        <w:tc>
          <w:tcPr>
            <w:tcW w:w="1876" w:type="dxa"/>
            <w:vMerge w:val="continue"/>
            <w:tcBorders>
              <w:left w:val="single" w:color="auto" w:sz="4" w:space="0"/>
            </w:tcBorders>
            <w:vAlign w:val="center"/>
          </w:tcPr>
          <w:p w14:paraId="4600B1FE">
            <w:pPr>
              <w:adjustRightInd w:val="0"/>
              <w:snapToGrid w:val="0"/>
              <w:jc w:val="center"/>
              <w:rPr>
                <w:rFonts w:ascii="宋体" w:hAnsi="宋体"/>
                <w:color w:val="auto"/>
                <w:szCs w:val="21"/>
                <w:highlight w:val="none"/>
              </w:rPr>
            </w:pPr>
          </w:p>
        </w:tc>
        <w:tc>
          <w:tcPr>
            <w:tcW w:w="1051" w:type="dxa"/>
            <w:tcBorders>
              <w:bottom w:val="single" w:color="auto" w:sz="4" w:space="0"/>
            </w:tcBorders>
            <w:shd w:val="clear" w:color="auto" w:fill="auto"/>
            <w:vAlign w:val="center"/>
          </w:tcPr>
          <w:p w14:paraId="15A2180E">
            <w:pPr>
              <w:jc w:val="center"/>
              <w:rPr>
                <w:rFonts w:ascii="宋体" w:hAnsi="宋体" w:cs="宋体"/>
                <w:color w:val="auto"/>
                <w:szCs w:val="21"/>
                <w:highlight w:val="none"/>
              </w:rPr>
            </w:pPr>
            <w:r>
              <w:rPr>
                <w:rFonts w:hint="eastAsia" w:ascii="宋体" w:hAnsi="宋体" w:cs="宋体"/>
                <w:color w:val="auto"/>
                <w:szCs w:val="21"/>
                <w:highlight w:val="none"/>
              </w:rPr>
              <w:t>教材选用、课程体系</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6</w:t>
            </w:r>
            <w:r>
              <w:rPr>
                <w:rFonts w:ascii="宋体" w:hAnsi="宋体" w:cs="宋体"/>
                <w:color w:val="auto"/>
                <w:szCs w:val="21"/>
                <w:highlight w:val="none"/>
              </w:rPr>
              <w:t>分</w:t>
            </w:r>
          </w:p>
        </w:tc>
        <w:tc>
          <w:tcPr>
            <w:tcW w:w="5663" w:type="dxa"/>
            <w:tcBorders>
              <w:bottom w:val="single" w:color="auto" w:sz="4" w:space="0"/>
            </w:tcBorders>
            <w:shd w:val="clear" w:color="auto" w:fill="auto"/>
            <w:vAlign w:val="center"/>
          </w:tcPr>
          <w:p w14:paraId="38ABAF10">
            <w:pPr>
              <w:widowControl/>
              <w:spacing w:line="360" w:lineRule="exact"/>
              <w:jc w:val="left"/>
              <w:textAlignment w:val="baseline"/>
              <w:rPr>
                <w:rFonts w:ascii="宋体" w:hAnsi="宋体" w:cs="宋体"/>
                <w:color w:val="auto"/>
                <w:szCs w:val="21"/>
                <w:highlight w:val="none"/>
              </w:rPr>
            </w:pPr>
            <w:r>
              <w:rPr>
                <w:rFonts w:hint="eastAsia" w:ascii="宋体" w:hAnsi="宋体" w:cs="宋体"/>
                <w:color w:val="auto"/>
                <w:szCs w:val="21"/>
                <w:highlight w:val="none"/>
              </w:rPr>
              <w:t>1.培育教材包括正式出版物和各级农业农村部门组织编制的培育手册，选用规范、先进、实用的培育教材。优先选用农业农村部、教育部规划教材和各级农业农村部门推荐教材。鼓励文字教材和视频教材配合使用。教材完全符合培训主题要求，能有效提高培育人员技术技能和综合素质素养的，</w:t>
            </w:r>
            <w:r>
              <w:rPr>
                <w:rFonts w:ascii="宋体" w:hAnsi="宋体" w:cs="宋体"/>
                <w:color w:val="auto"/>
                <w:szCs w:val="21"/>
                <w:highlight w:val="none"/>
              </w:rPr>
              <w:t>计</w:t>
            </w:r>
            <w:r>
              <w:rPr>
                <w:rFonts w:hint="eastAsia" w:ascii="宋体" w:hAnsi="宋体" w:cs="宋体"/>
                <w:color w:val="auto"/>
                <w:szCs w:val="21"/>
                <w:highlight w:val="none"/>
              </w:rPr>
              <w:t>6</w:t>
            </w:r>
            <w:r>
              <w:rPr>
                <w:rFonts w:ascii="宋体" w:hAnsi="宋体" w:cs="宋体"/>
                <w:color w:val="auto"/>
                <w:szCs w:val="21"/>
                <w:highlight w:val="none"/>
              </w:rPr>
              <w:t>分。</w:t>
            </w:r>
          </w:p>
          <w:p w14:paraId="11009BD8">
            <w:pPr>
              <w:widowControl/>
              <w:spacing w:line="360" w:lineRule="exact"/>
              <w:jc w:val="left"/>
              <w:textAlignment w:val="baseline"/>
              <w:rPr>
                <w:rFonts w:ascii="宋体" w:hAnsi="宋体" w:cs="宋体"/>
                <w:color w:val="auto"/>
                <w:szCs w:val="21"/>
                <w:highlight w:val="none"/>
              </w:rPr>
            </w:pPr>
            <w:r>
              <w:rPr>
                <w:rFonts w:hint="eastAsia" w:ascii="宋体" w:hAnsi="宋体" w:cs="宋体"/>
                <w:color w:val="auto"/>
                <w:szCs w:val="21"/>
                <w:highlight w:val="none"/>
              </w:rPr>
              <w:t>注：投标文件中须提供教材选用清单（格式自拟）。</w:t>
            </w:r>
          </w:p>
          <w:p w14:paraId="6B6219A8">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2.专业课程体系：投标人开设与所投包的培训主题相关的专业课程或者有与培训主题相关的办学许可核定的职业（工种）的计10分。</w:t>
            </w:r>
          </w:p>
          <w:p w14:paraId="357B1DB2">
            <w:pPr>
              <w:widowControl/>
              <w:spacing w:line="360" w:lineRule="exact"/>
              <w:jc w:val="left"/>
              <w:rPr>
                <w:rFonts w:hint="eastAsia" w:ascii="宋体" w:hAnsi="宋体" w:cs="宋体"/>
                <w:color w:val="auto"/>
                <w:szCs w:val="21"/>
                <w:highlight w:val="none"/>
              </w:rPr>
            </w:pPr>
            <w:r>
              <w:rPr>
                <w:rFonts w:ascii="瀹嬩綋" w:hAnsi="瀹嬩綋" w:eastAsia="瀹嬩綋" w:cs="瀹嬩綋"/>
                <w:color w:val="auto"/>
                <w:kern w:val="0"/>
                <w:szCs w:val="21"/>
                <w:highlight w:val="none"/>
              </w:rPr>
              <w:t>注：投标文件中须提供相应证明文件扫描件。</w:t>
            </w:r>
          </w:p>
        </w:tc>
      </w:tr>
      <w:tr w14:paraId="489539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503" w:type="dxa"/>
            <w:vMerge w:val="continue"/>
            <w:tcBorders>
              <w:right w:val="single" w:color="auto" w:sz="4" w:space="0"/>
            </w:tcBorders>
            <w:vAlign w:val="center"/>
          </w:tcPr>
          <w:p w14:paraId="5E8D705D">
            <w:pPr>
              <w:pStyle w:val="46"/>
              <w:ind w:firstLine="400"/>
              <w:rPr>
                <w:color w:val="auto"/>
                <w:highlight w:val="none"/>
              </w:rPr>
            </w:pPr>
          </w:p>
        </w:tc>
        <w:tc>
          <w:tcPr>
            <w:tcW w:w="1876" w:type="dxa"/>
            <w:vMerge w:val="continue"/>
            <w:tcBorders>
              <w:left w:val="single" w:color="auto" w:sz="4" w:space="0"/>
            </w:tcBorders>
            <w:vAlign w:val="center"/>
          </w:tcPr>
          <w:p w14:paraId="5BDEB50B">
            <w:pPr>
              <w:adjustRightInd w:val="0"/>
              <w:snapToGrid w:val="0"/>
              <w:jc w:val="center"/>
              <w:rPr>
                <w:rFonts w:ascii="宋体" w:hAnsi="宋体"/>
                <w:color w:val="auto"/>
                <w:szCs w:val="21"/>
                <w:highlight w:val="none"/>
              </w:rPr>
            </w:pPr>
          </w:p>
        </w:tc>
        <w:tc>
          <w:tcPr>
            <w:tcW w:w="1051" w:type="dxa"/>
            <w:tcBorders>
              <w:top w:val="single" w:color="auto" w:sz="4" w:space="0"/>
              <w:bottom w:val="single" w:color="auto" w:sz="4" w:space="0"/>
            </w:tcBorders>
            <w:shd w:val="clear" w:color="auto" w:fill="auto"/>
            <w:vAlign w:val="center"/>
          </w:tcPr>
          <w:p w14:paraId="0E373F36">
            <w:pPr>
              <w:jc w:val="center"/>
              <w:rPr>
                <w:rFonts w:ascii="宋体" w:hAnsi="宋体" w:cs="宋体"/>
                <w:color w:val="auto"/>
                <w:szCs w:val="21"/>
                <w:highlight w:val="none"/>
              </w:rPr>
            </w:pPr>
            <w:r>
              <w:rPr>
                <w:rFonts w:hint="eastAsia" w:ascii="宋体" w:hAnsi="宋体" w:cs="宋体"/>
                <w:color w:val="auto"/>
                <w:szCs w:val="21"/>
                <w:highlight w:val="none"/>
              </w:rPr>
              <w:t>培训场所6</w:t>
            </w:r>
            <w:r>
              <w:rPr>
                <w:rFonts w:ascii="宋体" w:hAnsi="宋体" w:cs="宋体"/>
                <w:color w:val="auto"/>
                <w:szCs w:val="21"/>
                <w:highlight w:val="none"/>
              </w:rPr>
              <w:t>分</w:t>
            </w:r>
          </w:p>
        </w:tc>
        <w:tc>
          <w:tcPr>
            <w:tcW w:w="5663" w:type="dxa"/>
            <w:tcBorders>
              <w:top w:val="single" w:color="auto" w:sz="4" w:space="0"/>
              <w:bottom w:val="single" w:color="auto" w:sz="4" w:space="0"/>
            </w:tcBorders>
            <w:shd w:val="clear" w:color="auto" w:fill="auto"/>
            <w:vAlign w:val="center"/>
          </w:tcPr>
          <w:p w14:paraId="73404409">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w:t>
            </w:r>
            <w:r>
              <w:rPr>
                <w:rStyle w:val="99"/>
                <w:rFonts w:ascii="宋体" w:hAnsi="宋体"/>
                <w:color w:val="auto"/>
                <w:szCs w:val="21"/>
                <w:highlight w:val="none"/>
              </w:rPr>
              <w:t>供应商</w:t>
            </w:r>
            <w:r>
              <w:rPr>
                <w:rFonts w:hint="eastAsia" w:ascii="宋体" w:hAnsi="宋体" w:cs="宋体"/>
                <w:color w:val="auto"/>
                <w:szCs w:val="21"/>
                <w:highlight w:val="none"/>
              </w:rPr>
              <w:t>自属培训场所或租赁培训场所，满足学员集中授课、食宿所需的教学</w:t>
            </w:r>
            <w:r>
              <w:rPr>
                <w:rFonts w:ascii="宋体" w:hAnsi="宋体" w:cs="宋体"/>
                <w:color w:val="auto"/>
                <w:szCs w:val="21"/>
                <w:highlight w:val="none"/>
              </w:rPr>
              <w:t>设备、食堂、宿舍，同时承诺配备全面并能满足容纳培训人数不少于100人的，计</w:t>
            </w:r>
            <w:r>
              <w:rPr>
                <w:rFonts w:hint="eastAsia" w:ascii="宋体" w:hAnsi="宋体" w:cs="宋体"/>
                <w:color w:val="auto"/>
                <w:szCs w:val="21"/>
                <w:highlight w:val="none"/>
              </w:rPr>
              <w:t>3</w:t>
            </w:r>
            <w:r>
              <w:rPr>
                <w:rFonts w:ascii="宋体" w:hAnsi="宋体" w:cs="宋体"/>
                <w:color w:val="auto"/>
                <w:szCs w:val="21"/>
                <w:highlight w:val="none"/>
              </w:rPr>
              <w:t>分，未提供的不计分。</w:t>
            </w:r>
          </w:p>
          <w:p w14:paraId="1D041CD4">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2.</w:t>
            </w:r>
            <w:r>
              <w:rPr>
                <w:rStyle w:val="99"/>
                <w:rFonts w:ascii="宋体" w:hAnsi="宋体"/>
                <w:color w:val="auto"/>
                <w:szCs w:val="21"/>
                <w:highlight w:val="none"/>
              </w:rPr>
              <w:t>供应商</w:t>
            </w:r>
            <w:r>
              <w:rPr>
                <w:rFonts w:ascii="宋体" w:hAnsi="宋体" w:cs="宋体"/>
                <w:color w:val="auto"/>
                <w:szCs w:val="21"/>
                <w:highlight w:val="none"/>
              </w:rPr>
              <w:t>自属培训场所或租赁培训场所，能够满足所投包的培训主题实践教学需要的实训场地，符合《高素质农民培育规范（修订）》要求的，计</w:t>
            </w:r>
            <w:r>
              <w:rPr>
                <w:rFonts w:hint="eastAsia" w:ascii="宋体" w:hAnsi="宋体" w:cs="宋体"/>
                <w:color w:val="auto"/>
                <w:szCs w:val="21"/>
                <w:highlight w:val="none"/>
              </w:rPr>
              <w:t>3</w:t>
            </w:r>
            <w:r>
              <w:rPr>
                <w:rFonts w:ascii="宋体" w:hAnsi="宋体" w:cs="宋体"/>
                <w:color w:val="auto"/>
                <w:szCs w:val="21"/>
                <w:highlight w:val="none"/>
              </w:rPr>
              <w:t>分。</w:t>
            </w:r>
          </w:p>
          <w:p w14:paraId="548024B1">
            <w:pPr>
              <w:spacing w:line="360" w:lineRule="exact"/>
              <w:rPr>
                <w:rFonts w:hint="eastAsia" w:ascii="宋体" w:hAnsi="宋体" w:cs="宋体"/>
                <w:color w:val="auto"/>
                <w:szCs w:val="21"/>
                <w:highlight w:val="none"/>
              </w:rPr>
            </w:pPr>
            <w:r>
              <w:rPr>
                <w:rFonts w:ascii="宋体" w:hAnsi="宋体" w:cs="宋体"/>
                <w:color w:val="auto"/>
                <w:szCs w:val="21"/>
                <w:highlight w:val="none"/>
              </w:rPr>
              <w:t>注：培训场所为自有的，投标文件中须同时提供相关的不动产登记证明（不动产登记证或土地证）材料及承诺函（格式自拟）扫描件；培训场所为租赁的，投标文件须同时提供租赁合同及承诺函（格式自拟）证明材料。</w:t>
            </w:r>
          </w:p>
        </w:tc>
      </w:tr>
      <w:tr w14:paraId="414B90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3" w:hRule="atLeast"/>
          <w:jc w:val="center"/>
        </w:trPr>
        <w:tc>
          <w:tcPr>
            <w:tcW w:w="503" w:type="dxa"/>
            <w:vMerge w:val="continue"/>
            <w:tcBorders>
              <w:right w:val="single" w:color="auto" w:sz="4" w:space="0"/>
            </w:tcBorders>
            <w:vAlign w:val="center"/>
          </w:tcPr>
          <w:p w14:paraId="1C8CE0BE">
            <w:pPr>
              <w:pStyle w:val="46"/>
              <w:ind w:firstLine="400"/>
              <w:rPr>
                <w:color w:val="auto"/>
                <w:highlight w:val="none"/>
              </w:rPr>
            </w:pPr>
          </w:p>
        </w:tc>
        <w:tc>
          <w:tcPr>
            <w:tcW w:w="1876" w:type="dxa"/>
            <w:vMerge w:val="continue"/>
            <w:tcBorders>
              <w:left w:val="single" w:color="auto" w:sz="4" w:space="0"/>
            </w:tcBorders>
            <w:vAlign w:val="center"/>
          </w:tcPr>
          <w:p w14:paraId="2E86A233">
            <w:pPr>
              <w:adjustRightInd w:val="0"/>
              <w:snapToGrid w:val="0"/>
              <w:jc w:val="center"/>
              <w:rPr>
                <w:rFonts w:ascii="宋体" w:hAnsi="宋体"/>
                <w:color w:val="auto"/>
                <w:szCs w:val="21"/>
                <w:highlight w:val="none"/>
              </w:rPr>
            </w:pPr>
          </w:p>
        </w:tc>
        <w:tc>
          <w:tcPr>
            <w:tcW w:w="1051" w:type="dxa"/>
            <w:tcBorders>
              <w:top w:val="single" w:color="auto" w:sz="4" w:space="0"/>
            </w:tcBorders>
            <w:shd w:val="clear" w:color="auto" w:fill="auto"/>
            <w:vAlign w:val="center"/>
          </w:tcPr>
          <w:p w14:paraId="4A0A0486">
            <w:pPr>
              <w:jc w:val="center"/>
              <w:rPr>
                <w:rFonts w:ascii="宋体" w:hAnsi="宋体" w:cs="宋体"/>
                <w:color w:val="auto"/>
                <w:szCs w:val="21"/>
                <w:highlight w:val="none"/>
              </w:rPr>
            </w:pPr>
            <w:r>
              <w:rPr>
                <w:rFonts w:hint="eastAsia" w:ascii="宋体" w:hAnsi="宋体" w:cs="宋体"/>
                <w:color w:val="auto"/>
                <w:szCs w:val="21"/>
                <w:highlight w:val="none"/>
              </w:rPr>
              <w:t>质量保证方案24分</w:t>
            </w:r>
          </w:p>
        </w:tc>
        <w:tc>
          <w:tcPr>
            <w:tcW w:w="5663" w:type="dxa"/>
            <w:tcBorders>
              <w:top w:val="single" w:color="auto" w:sz="4" w:space="0"/>
            </w:tcBorders>
            <w:shd w:val="clear" w:color="auto" w:fill="auto"/>
            <w:vAlign w:val="center"/>
          </w:tcPr>
          <w:p w14:paraId="5F65BBF2">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根据</w:t>
            </w:r>
            <w:r>
              <w:rPr>
                <w:rStyle w:val="99"/>
                <w:rFonts w:ascii="宋体" w:hAnsi="宋体"/>
                <w:color w:val="auto"/>
                <w:szCs w:val="21"/>
                <w:highlight w:val="none"/>
              </w:rPr>
              <w:t>供应商</w:t>
            </w:r>
            <w:r>
              <w:rPr>
                <w:rFonts w:hint="eastAsia" w:ascii="宋体" w:hAnsi="宋体" w:cs="宋体"/>
                <w:color w:val="auto"/>
                <w:szCs w:val="21"/>
                <w:highlight w:val="none"/>
              </w:rPr>
              <w:t>针对本项目的质量保证方案，内容包括但不限于①培训班管理制度；②培育组织安全质量管理方案；③质量控制保证措施；④进度保证控制；⑤应急管理方案；⑥信息档案制度。上述内容，满分24分。</w:t>
            </w:r>
          </w:p>
          <w:p w14:paraId="221C49A0">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1.方案欠完善或针对性欠缺的每项扣2分，上述扣分扣完为止；</w:t>
            </w:r>
          </w:p>
          <w:p w14:paraId="40659926">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2.方案缺漏项或不合理的每项扣4分，上述扣分扣完为止；</w:t>
            </w:r>
          </w:p>
          <w:p w14:paraId="3B650FFE">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3.未提供的不计分。</w:t>
            </w:r>
          </w:p>
          <w:p w14:paraId="1A95EC68">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事项说明：1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内容不完善等；</w:t>
            </w:r>
          </w:p>
          <w:p w14:paraId="40CADFAD">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61D371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vMerge w:val="continue"/>
            <w:tcBorders>
              <w:right w:val="single" w:color="auto" w:sz="4" w:space="0"/>
            </w:tcBorders>
            <w:vAlign w:val="center"/>
          </w:tcPr>
          <w:p w14:paraId="6175C1A1">
            <w:pPr>
              <w:pStyle w:val="46"/>
              <w:ind w:firstLine="400"/>
              <w:rPr>
                <w:color w:val="auto"/>
                <w:highlight w:val="none"/>
              </w:rPr>
            </w:pPr>
          </w:p>
        </w:tc>
        <w:tc>
          <w:tcPr>
            <w:tcW w:w="1876" w:type="dxa"/>
            <w:vMerge w:val="continue"/>
            <w:tcBorders>
              <w:left w:val="single" w:color="auto" w:sz="4" w:space="0"/>
            </w:tcBorders>
            <w:vAlign w:val="center"/>
          </w:tcPr>
          <w:p w14:paraId="1E5D7B3D">
            <w:pPr>
              <w:adjustRightInd w:val="0"/>
              <w:snapToGrid w:val="0"/>
              <w:jc w:val="center"/>
              <w:rPr>
                <w:rFonts w:ascii="宋体" w:hAnsi="宋体"/>
                <w:color w:val="auto"/>
                <w:szCs w:val="21"/>
                <w:highlight w:val="none"/>
              </w:rPr>
            </w:pPr>
          </w:p>
        </w:tc>
        <w:tc>
          <w:tcPr>
            <w:tcW w:w="1051" w:type="dxa"/>
            <w:vAlign w:val="center"/>
          </w:tcPr>
          <w:p w14:paraId="6C13B01F">
            <w:pPr>
              <w:jc w:val="center"/>
              <w:rPr>
                <w:rFonts w:ascii="宋体" w:hAnsi="宋体" w:cs="宋体"/>
                <w:color w:val="auto"/>
                <w:szCs w:val="21"/>
                <w:highlight w:val="none"/>
              </w:rPr>
            </w:pPr>
            <w:r>
              <w:rPr>
                <w:rFonts w:hint="eastAsia" w:ascii="宋体" w:hAnsi="宋体" w:cs="宋体"/>
                <w:color w:val="auto"/>
                <w:szCs w:val="21"/>
                <w:highlight w:val="none"/>
              </w:rPr>
              <w:t>跟踪服务方案18分</w:t>
            </w:r>
          </w:p>
        </w:tc>
        <w:tc>
          <w:tcPr>
            <w:tcW w:w="5663" w:type="dxa"/>
            <w:vAlign w:val="center"/>
          </w:tcPr>
          <w:p w14:paraId="0C5E631F">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根据项目实际情况编制所投包内容服务方案，内容包括但不限于：（1）跟踪服务方式；（2）服务团队能力；（3）服务覆盖率；（4）经费保障等；（5）应急预案等。上述内容，满分18分，</w:t>
            </w:r>
          </w:p>
          <w:p w14:paraId="6C8BF15F">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1.方案欠完善或针对性欠缺的每项扣2分，上述扣分扣完为止；</w:t>
            </w:r>
          </w:p>
          <w:p w14:paraId="723A1366">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2.方案缺漏项或不合理的每项扣4分，上述扣分扣完为止；</w:t>
            </w:r>
          </w:p>
          <w:p w14:paraId="694BCCB5">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3.未提供的不计分。</w:t>
            </w:r>
          </w:p>
          <w:p w14:paraId="1C6D264E">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事项说明：1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内容不完善等；</w:t>
            </w:r>
          </w:p>
          <w:p w14:paraId="4FA71E16">
            <w:pPr>
              <w:widowControl/>
              <w:spacing w:line="360" w:lineRule="exact"/>
              <w:jc w:val="left"/>
              <w:textAlignment w:val="baseline"/>
              <w:rPr>
                <w:rFonts w:ascii="宋体" w:hAnsi="宋体" w:cs="宋体"/>
                <w:color w:val="auto"/>
                <w:szCs w:val="21"/>
                <w:highlight w:val="none"/>
              </w:rPr>
            </w:pPr>
            <w:r>
              <w:rPr>
                <w:rFonts w:hint="eastAsia" w:ascii="宋体" w:hAnsi="宋体" w:cs="宋体"/>
                <w:color w:val="auto"/>
                <w:szCs w:val="21"/>
                <w:highlight w:val="none"/>
              </w:rPr>
              <w:t>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6D0B69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vAlign w:val="center"/>
          </w:tcPr>
          <w:p w14:paraId="4C99CEF8">
            <w:pPr>
              <w:adjustRightInd w:val="0"/>
              <w:snapToGrid w:val="0"/>
              <w:spacing w:beforeLines="50"/>
              <w:jc w:val="center"/>
              <w:rPr>
                <w:rFonts w:ascii="宋体" w:hAnsi="宋体"/>
                <w:color w:val="auto"/>
                <w:szCs w:val="21"/>
                <w:highlight w:val="none"/>
              </w:rPr>
            </w:pPr>
            <w:r>
              <w:rPr>
                <w:rFonts w:hint="eastAsia" w:ascii="宋体" w:hAnsi="宋体"/>
                <w:color w:val="auto"/>
                <w:szCs w:val="21"/>
                <w:highlight w:val="none"/>
              </w:rPr>
              <w:t>2</w:t>
            </w:r>
          </w:p>
        </w:tc>
        <w:tc>
          <w:tcPr>
            <w:tcW w:w="1876" w:type="dxa"/>
            <w:tcBorders>
              <w:left w:val="single" w:color="auto" w:sz="4" w:space="0"/>
            </w:tcBorders>
            <w:vAlign w:val="center"/>
          </w:tcPr>
          <w:p w14:paraId="39B26068">
            <w:pPr>
              <w:adjustRightInd w:val="0"/>
              <w:snapToGrid w:val="0"/>
              <w:jc w:val="center"/>
              <w:rPr>
                <w:rFonts w:ascii="宋体" w:hAnsi="宋体"/>
                <w:color w:val="auto"/>
                <w:szCs w:val="21"/>
                <w:highlight w:val="none"/>
              </w:rPr>
            </w:pPr>
            <w:r>
              <w:rPr>
                <w:rFonts w:hint="eastAsia" w:ascii="宋体" w:hAnsi="宋体"/>
                <w:color w:val="auto"/>
                <w:szCs w:val="21"/>
                <w:highlight w:val="none"/>
              </w:rPr>
              <w:t>优先采购加分（F</w:t>
            </w:r>
            <w:r>
              <w:rPr>
                <w:rFonts w:hint="eastAsia" w:ascii="宋体" w:hAnsi="宋体"/>
                <w:color w:val="auto"/>
                <w:szCs w:val="21"/>
                <w:highlight w:val="none"/>
                <w:vertAlign w:val="subscript"/>
              </w:rPr>
              <w:t>优先采购加分</w:t>
            </w:r>
            <w:r>
              <w:rPr>
                <w:rFonts w:hint="eastAsia" w:ascii="宋体" w:hAnsi="宋体"/>
                <w:color w:val="auto"/>
                <w:szCs w:val="21"/>
                <w:highlight w:val="none"/>
              </w:rPr>
              <w:t>）</w:t>
            </w:r>
          </w:p>
        </w:tc>
        <w:tc>
          <w:tcPr>
            <w:tcW w:w="6714" w:type="dxa"/>
            <w:gridSpan w:val="2"/>
            <w:tcBorders>
              <w:bottom w:val="single" w:color="auto" w:sz="4" w:space="0"/>
            </w:tcBorders>
            <w:vAlign w:val="center"/>
          </w:tcPr>
          <w:p w14:paraId="7EF469E7">
            <w:pPr>
              <w:adjustRightInd w:val="0"/>
              <w:snapToGrid w:val="0"/>
              <w:spacing w:beforeLines="50"/>
              <w:rPr>
                <w:rFonts w:ascii="宋体" w:hAnsi="宋体"/>
                <w:color w:val="auto"/>
                <w:szCs w:val="21"/>
                <w:highlight w:val="none"/>
              </w:rPr>
            </w:pPr>
            <w:r>
              <w:rPr>
                <w:rFonts w:hint="eastAsia" w:ascii="宋体" w:hAnsi="宋体"/>
                <w:color w:val="auto"/>
                <w:szCs w:val="21"/>
                <w:highlight w:val="none"/>
              </w:rPr>
              <w:t>/</w:t>
            </w:r>
          </w:p>
        </w:tc>
      </w:tr>
      <w:tr w14:paraId="5BC7B1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vAlign w:val="center"/>
          </w:tcPr>
          <w:p w14:paraId="004273F2">
            <w:pPr>
              <w:adjustRightInd w:val="0"/>
              <w:snapToGrid w:val="0"/>
              <w:jc w:val="center"/>
              <w:rPr>
                <w:rFonts w:ascii="宋体" w:hAnsi="宋体"/>
                <w:color w:val="auto"/>
                <w:szCs w:val="21"/>
                <w:highlight w:val="none"/>
              </w:rPr>
            </w:pPr>
            <w:r>
              <w:rPr>
                <w:rFonts w:hint="eastAsia" w:ascii="宋体" w:hAnsi="宋体"/>
                <w:color w:val="auto"/>
                <w:szCs w:val="21"/>
                <w:highlight w:val="none"/>
              </w:rPr>
              <w:t>∑</w:t>
            </w:r>
          </w:p>
        </w:tc>
        <w:tc>
          <w:tcPr>
            <w:tcW w:w="8590" w:type="dxa"/>
            <w:gridSpan w:val="3"/>
            <w:tcBorders>
              <w:left w:val="single" w:color="auto" w:sz="4" w:space="0"/>
            </w:tcBorders>
            <w:vAlign w:val="center"/>
          </w:tcPr>
          <w:p w14:paraId="20B5F0B0">
            <w:pPr>
              <w:adjustRightInd w:val="0"/>
              <w:snapToGrid w:val="0"/>
              <w:rPr>
                <w:rFonts w:ascii="宋体" w:hAnsi="宋体"/>
                <w:color w:val="auto"/>
                <w:szCs w:val="21"/>
                <w:highlight w:val="none"/>
              </w:rPr>
            </w:pPr>
            <w:r>
              <w:rPr>
                <w:rFonts w:hint="eastAsia" w:ascii="宋体" w:hAnsi="宋体"/>
                <w:color w:val="auto"/>
                <w:szCs w:val="21"/>
                <w:highlight w:val="none"/>
              </w:rPr>
              <w:t>F</w:t>
            </w:r>
            <w:r>
              <w:rPr>
                <w:rFonts w:ascii="宋体" w:hAnsi="宋体"/>
                <w:color w:val="auto"/>
                <w:szCs w:val="21"/>
                <w:highlight w:val="none"/>
                <w:vertAlign w:val="subscript"/>
              </w:rPr>
              <w:t>2</w:t>
            </w:r>
            <w:r>
              <w:rPr>
                <w:rFonts w:hint="eastAsia" w:ascii="宋体" w:hAnsi="宋体"/>
                <w:color w:val="auto"/>
                <w:szCs w:val="21"/>
                <w:highlight w:val="none"/>
              </w:rPr>
              <w:t>=F+</w:t>
            </w:r>
            <w:r>
              <w:rPr>
                <w:rFonts w:hint="eastAsia"/>
                <w:color w:val="auto"/>
                <w:szCs w:val="21"/>
                <w:highlight w:val="none"/>
              </w:rPr>
              <w:t xml:space="preserve"> </w:t>
            </w:r>
            <w:r>
              <w:rPr>
                <w:rFonts w:hint="eastAsia" w:ascii="宋体" w:hAnsi="宋体"/>
                <w:color w:val="auto"/>
                <w:szCs w:val="21"/>
                <w:highlight w:val="none"/>
              </w:rPr>
              <w:t>F</w:t>
            </w:r>
            <w:r>
              <w:rPr>
                <w:rFonts w:hint="eastAsia" w:ascii="宋体" w:hAnsi="宋体"/>
                <w:color w:val="auto"/>
                <w:szCs w:val="21"/>
                <w:highlight w:val="none"/>
                <w:vertAlign w:val="subscript"/>
              </w:rPr>
              <w:t>优先采购加分</w:t>
            </w:r>
          </w:p>
        </w:tc>
      </w:tr>
    </w:tbl>
    <w:p w14:paraId="6E37BF79">
      <w:pPr>
        <w:adjustRightInd w:val="0"/>
        <w:snapToGrid w:val="0"/>
        <w:spacing w:beforeLines="50" w:line="360" w:lineRule="auto"/>
        <w:jc w:val="center"/>
        <w:rPr>
          <w:b/>
          <w:bCs/>
          <w:color w:val="auto"/>
          <w:highlight w:val="none"/>
        </w:rPr>
      </w:pPr>
      <w:r>
        <w:rPr>
          <w:rFonts w:hint="eastAsia"/>
          <w:b/>
          <w:bCs/>
          <w:color w:val="auto"/>
          <w:highlight w:val="none"/>
        </w:rPr>
        <w:t>附表1.3商务部分评审标准表</w:t>
      </w:r>
    </w:p>
    <w:tbl>
      <w:tblPr>
        <w:tblStyle w:val="47"/>
        <w:tblW w:w="91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822"/>
        <w:gridCol w:w="1140"/>
        <w:gridCol w:w="5656"/>
      </w:tblGrid>
      <w:tr w14:paraId="53E31D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right w:val="single" w:color="auto" w:sz="4" w:space="0"/>
            </w:tcBorders>
            <w:vAlign w:val="center"/>
          </w:tcPr>
          <w:p w14:paraId="06A1FDC9">
            <w:pPr>
              <w:adjustRightInd w:val="0"/>
              <w:snapToGrid w:val="0"/>
              <w:jc w:val="center"/>
              <w:rPr>
                <w:rFonts w:ascii="宋体" w:hAnsi="宋体"/>
                <w:b/>
                <w:color w:val="auto"/>
                <w:szCs w:val="21"/>
                <w:highlight w:val="none"/>
              </w:rPr>
            </w:pPr>
            <w:r>
              <w:rPr>
                <w:rFonts w:hint="eastAsia" w:ascii="宋体" w:hAnsi="宋体"/>
                <w:b/>
                <w:color w:val="auto"/>
                <w:szCs w:val="21"/>
                <w:highlight w:val="none"/>
              </w:rPr>
              <w:t>序号</w:t>
            </w:r>
          </w:p>
        </w:tc>
        <w:tc>
          <w:tcPr>
            <w:tcW w:w="1822" w:type="dxa"/>
            <w:tcBorders>
              <w:left w:val="single" w:color="auto" w:sz="4" w:space="0"/>
              <w:right w:val="single" w:color="auto" w:sz="4" w:space="0"/>
            </w:tcBorders>
            <w:vAlign w:val="center"/>
          </w:tcPr>
          <w:p w14:paraId="7FB9349F">
            <w:pPr>
              <w:adjustRightInd w:val="0"/>
              <w:snapToGrid w:val="0"/>
              <w:jc w:val="center"/>
              <w:rPr>
                <w:rFonts w:ascii="宋体" w:hAnsi="宋体"/>
                <w:b/>
                <w:color w:val="auto"/>
                <w:szCs w:val="21"/>
                <w:highlight w:val="none"/>
              </w:rPr>
            </w:pPr>
            <w:r>
              <w:rPr>
                <w:rFonts w:hint="eastAsia" w:ascii="宋体" w:hAnsi="宋体"/>
                <w:b/>
                <w:color w:val="auto"/>
                <w:szCs w:val="21"/>
                <w:highlight w:val="none"/>
              </w:rPr>
              <w:t>评标因素（分值）</w:t>
            </w:r>
          </w:p>
        </w:tc>
        <w:tc>
          <w:tcPr>
            <w:tcW w:w="6796" w:type="dxa"/>
            <w:gridSpan w:val="2"/>
            <w:tcBorders>
              <w:left w:val="single" w:color="auto" w:sz="4" w:space="0"/>
            </w:tcBorders>
            <w:vAlign w:val="center"/>
          </w:tcPr>
          <w:p w14:paraId="0724D467">
            <w:pPr>
              <w:adjustRightInd w:val="0"/>
              <w:snapToGrid w:val="0"/>
              <w:jc w:val="center"/>
              <w:rPr>
                <w:rFonts w:ascii="宋体" w:hAnsi="宋体"/>
                <w:b/>
                <w:color w:val="auto"/>
                <w:szCs w:val="21"/>
                <w:highlight w:val="none"/>
              </w:rPr>
            </w:pPr>
            <w:r>
              <w:rPr>
                <w:rFonts w:hint="eastAsia" w:ascii="宋体" w:hAnsi="宋体"/>
                <w:b/>
                <w:color w:val="auto"/>
                <w:szCs w:val="21"/>
                <w:highlight w:val="none"/>
              </w:rPr>
              <w:t>评标标准</w:t>
            </w:r>
          </w:p>
        </w:tc>
      </w:tr>
      <w:tr w14:paraId="562E4F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7" w:hRule="atLeast"/>
          <w:jc w:val="center"/>
        </w:trPr>
        <w:tc>
          <w:tcPr>
            <w:tcW w:w="503" w:type="dxa"/>
            <w:vMerge w:val="restart"/>
            <w:tcBorders>
              <w:right w:val="single" w:color="auto" w:sz="4" w:space="0"/>
            </w:tcBorders>
            <w:vAlign w:val="center"/>
          </w:tcPr>
          <w:p w14:paraId="1EC63726">
            <w:pPr>
              <w:adjustRightInd w:val="0"/>
              <w:snapToGrid w:val="0"/>
              <w:spacing w:beforeLines="50"/>
              <w:jc w:val="center"/>
              <w:rPr>
                <w:rFonts w:ascii="宋体" w:hAnsi="宋体"/>
                <w:b/>
                <w:color w:val="auto"/>
                <w:szCs w:val="21"/>
                <w:highlight w:val="none"/>
              </w:rPr>
            </w:pPr>
            <w:r>
              <w:rPr>
                <w:rFonts w:hint="eastAsia" w:ascii="宋体" w:hAnsi="宋体"/>
                <w:color w:val="auto"/>
                <w:szCs w:val="21"/>
                <w:highlight w:val="none"/>
              </w:rPr>
              <w:t>1</w:t>
            </w:r>
          </w:p>
        </w:tc>
        <w:tc>
          <w:tcPr>
            <w:tcW w:w="1822" w:type="dxa"/>
            <w:vMerge w:val="restart"/>
            <w:tcBorders>
              <w:left w:val="single" w:color="auto" w:sz="4" w:space="0"/>
              <w:right w:val="single" w:color="auto" w:sz="4" w:space="0"/>
            </w:tcBorders>
            <w:vAlign w:val="center"/>
          </w:tcPr>
          <w:p w14:paraId="36E8854C">
            <w:pPr>
              <w:adjustRightInd w:val="0"/>
              <w:snapToGrid w:val="0"/>
              <w:jc w:val="center"/>
              <w:rPr>
                <w:rFonts w:ascii="宋体" w:hAnsi="宋体"/>
                <w:color w:val="auto"/>
                <w:szCs w:val="21"/>
                <w:highlight w:val="none"/>
              </w:rPr>
            </w:pPr>
            <w:r>
              <w:rPr>
                <w:rFonts w:hint="eastAsia" w:ascii="宋体" w:hAnsi="宋体"/>
                <w:color w:val="auto"/>
                <w:szCs w:val="21"/>
                <w:highlight w:val="none"/>
              </w:rPr>
              <w:t>商务评价项</w:t>
            </w:r>
          </w:p>
          <w:p w14:paraId="73FB0BE5">
            <w:pPr>
              <w:adjustRightInd w:val="0"/>
              <w:snapToGrid w:val="0"/>
              <w:jc w:val="center"/>
              <w:rPr>
                <w:rFonts w:ascii="宋体" w:hAnsi="宋体"/>
                <w:b/>
                <w:color w:val="auto"/>
                <w:szCs w:val="21"/>
                <w:highlight w:val="none"/>
              </w:rPr>
            </w:pPr>
            <w:r>
              <w:rPr>
                <w:rFonts w:hint="eastAsia" w:ascii="宋体" w:hAnsi="宋体"/>
                <w:color w:val="auto"/>
                <w:szCs w:val="21"/>
                <w:highlight w:val="none"/>
              </w:rPr>
              <w:t>（F=100分）</w:t>
            </w:r>
          </w:p>
        </w:tc>
        <w:tc>
          <w:tcPr>
            <w:tcW w:w="1140" w:type="dxa"/>
            <w:tcBorders>
              <w:left w:val="single" w:color="auto" w:sz="4" w:space="0"/>
              <w:bottom w:val="single" w:color="auto" w:sz="4" w:space="0"/>
            </w:tcBorders>
            <w:vAlign w:val="center"/>
          </w:tcPr>
          <w:p w14:paraId="1561BA16">
            <w:pPr>
              <w:spacing w:line="320" w:lineRule="exact"/>
              <w:jc w:val="center"/>
              <w:rPr>
                <w:color w:val="auto"/>
                <w:highlight w:val="none"/>
              </w:rPr>
            </w:pPr>
            <w:r>
              <w:rPr>
                <w:rFonts w:hint="eastAsia" w:ascii="宋体" w:hAnsi="宋体" w:cs="宋体"/>
                <w:color w:val="auto"/>
                <w:szCs w:val="21"/>
                <w:highlight w:val="none"/>
              </w:rPr>
              <w:t>类似业绩</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0分</w:t>
            </w:r>
          </w:p>
        </w:tc>
        <w:tc>
          <w:tcPr>
            <w:tcW w:w="5656" w:type="dxa"/>
            <w:tcBorders>
              <w:bottom w:val="single" w:color="auto" w:sz="4" w:space="0"/>
            </w:tcBorders>
            <w:vAlign w:val="center"/>
          </w:tcPr>
          <w:p w14:paraId="0E2035A5">
            <w:pPr>
              <w:spacing w:line="360" w:lineRule="exact"/>
              <w:rPr>
                <w:rFonts w:ascii="宋体" w:hAnsi="宋体" w:cs="宋体"/>
                <w:color w:val="auto"/>
                <w:szCs w:val="21"/>
                <w:highlight w:val="none"/>
              </w:rPr>
            </w:pPr>
            <w:r>
              <w:rPr>
                <w:rStyle w:val="99"/>
                <w:rFonts w:ascii="宋体" w:hAnsi="宋体"/>
                <w:color w:val="auto"/>
                <w:szCs w:val="21"/>
                <w:highlight w:val="none"/>
              </w:rPr>
              <w:t>供应商</w:t>
            </w:r>
            <w:r>
              <w:rPr>
                <w:rStyle w:val="99"/>
                <w:rFonts w:hint="eastAsia" w:ascii="宋体" w:hAnsi="宋体"/>
                <w:color w:val="auto"/>
                <w:szCs w:val="21"/>
                <w:highlight w:val="none"/>
                <w:lang w:val="en-US" w:eastAsia="zh-CN"/>
              </w:rPr>
              <w:t>近3年</w:t>
            </w:r>
            <w:r>
              <w:rPr>
                <w:rFonts w:hint="eastAsia" w:ascii="宋体" w:hAnsi="宋体" w:cs="宋体"/>
                <w:color w:val="auto"/>
                <w:szCs w:val="21"/>
                <w:highlight w:val="none"/>
              </w:rPr>
              <w:t>承办过高素质农民培训班的，每个计</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分，最多计</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0分。</w:t>
            </w:r>
          </w:p>
          <w:p w14:paraId="44DB1DFA">
            <w:pPr>
              <w:spacing w:line="360" w:lineRule="exact"/>
              <w:rPr>
                <w:rFonts w:ascii="宋体" w:hAnsi="宋体" w:cs="宋体"/>
                <w:color w:val="auto"/>
                <w:kern w:val="0"/>
                <w:szCs w:val="21"/>
                <w:highlight w:val="none"/>
              </w:rPr>
            </w:pPr>
            <w:r>
              <w:rPr>
                <w:rFonts w:hint="eastAsia" w:ascii="宋体" w:hAnsi="宋体" w:cs="宋体"/>
                <w:color w:val="auto"/>
                <w:szCs w:val="21"/>
                <w:highlight w:val="none"/>
              </w:rPr>
              <w:t>（评审依据：</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文件中提供合同扫描件或</w:t>
            </w:r>
            <w:r>
              <w:rPr>
                <w:rFonts w:ascii="瀹嬩綋" w:hAnsi="瀹嬩綋" w:eastAsia="瀹嬩綋" w:cs="瀹嬩綋"/>
                <w:color w:val="auto"/>
                <w:kern w:val="0"/>
                <w:szCs w:val="21"/>
                <w:highlight w:val="none"/>
              </w:rPr>
              <w:t>农业农村部农民教育培训信息管理系统查询截图记录</w:t>
            </w:r>
            <w:r>
              <w:rPr>
                <w:rFonts w:hint="eastAsia" w:ascii="宋体" w:hAnsi="宋体" w:cs="宋体"/>
                <w:color w:val="auto"/>
                <w:szCs w:val="21"/>
                <w:highlight w:val="none"/>
              </w:rPr>
              <w:t>，否则不计分)</w:t>
            </w:r>
          </w:p>
        </w:tc>
      </w:tr>
      <w:tr w14:paraId="1D2E9A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7" w:hRule="atLeast"/>
          <w:jc w:val="center"/>
        </w:trPr>
        <w:tc>
          <w:tcPr>
            <w:tcW w:w="503" w:type="dxa"/>
            <w:vMerge w:val="continue"/>
            <w:tcBorders>
              <w:right w:val="single" w:color="auto" w:sz="4" w:space="0"/>
            </w:tcBorders>
            <w:vAlign w:val="center"/>
          </w:tcPr>
          <w:p w14:paraId="2FBFE901">
            <w:pPr>
              <w:adjustRightInd w:val="0"/>
              <w:snapToGrid w:val="0"/>
              <w:spacing w:beforeLines="50"/>
              <w:jc w:val="center"/>
              <w:rPr>
                <w:rFonts w:hint="eastAsia" w:ascii="宋体" w:hAnsi="宋体"/>
                <w:color w:val="auto"/>
                <w:szCs w:val="21"/>
                <w:highlight w:val="none"/>
              </w:rPr>
            </w:pPr>
          </w:p>
        </w:tc>
        <w:tc>
          <w:tcPr>
            <w:tcW w:w="1822" w:type="dxa"/>
            <w:vMerge w:val="continue"/>
            <w:tcBorders>
              <w:left w:val="single" w:color="auto" w:sz="4" w:space="0"/>
              <w:right w:val="single" w:color="auto" w:sz="4" w:space="0"/>
            </w:tcBorders>
            <w:vAlign w:val="center"/>
          </w:tcPr>
          <w:p w14:paraId="0E8B218D">
            <w:pPr>
              <w:adjustRightInd w:val="0"/>
              <w:snapToGrid w:val="0"/>
              <w:jc w:val="center"/>
              <w:rPr>
                <w:rFonts w:hint="eastAsia" w:ascii="宋体" w:hAnsi="宋体"/>
                <w:color w:val="auto"/>
                <w:szCs w:val="21"/>
                <w:highlight w:val="none"/>
              </w:rPr>
            </w:pPr>
          </w:p>
        </w:tc>
        <w:tc>
          <w:tcPr>
            <w:tcW w:w="1140" w:type="dxa"/>
            <w:tcBorders>
              <w:left w:val="single" w:color="auto" w:sz="4" w:space="0"/>
              <w:bottom w:val="single" w:color="auto" w:sz="4" w:space="0"/>
            </w:tcBorders>
            <w:vAlign w:val="center"/>
          </w:tcPr>
          <w:p w14:paraId="0FE4B76C">
            <w:pPr>
              <w:jc w:val="center"/>
              <w:rPr>
                <w:rFonts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SA"/>
              </w:rPr>
              <w:t>师资配置40分</w:t>
            </w:r>
          </w:p>
        </w:tc>
        <w:tc>
          <w:tcPr>
            <w:tcW w:w="5656" w:type="dxa"/>
            <w:tcBorders>
              <w:bottom w:val="single" w:color="auto" w:sz="4" w:space="0"/>
            </w:tcBorders>
            <w:vAlign w:val="center"/>
          </w:tcPr>
          <w:p w14:paraId="2120D618">
            <w:pPr>
              <w:keepNext w:val="0"/>
              <w:keepLines w:val="0"/>
              <w:pageBreakBefore w:val="0"/>
              <w:widowControl/>
              <w:kinsoku/>
              <w:wordWrap/>
              <w:overflowPunct/>
              <w:topLinePunct w:val="0"/>
              <w:autoSpaceDE/>
              <w:autoSpaceDN/>
              <w:bidi w:val="0"/>
              <w:snapToGrid/>
              <w:spacing w:line="240" w:lineRule="auto"/>
              <w:jc w:val="lef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1.根据投标人提供的针对本项目安排专兼职师资力量的方案综合评价，本院校或本机构专职师资占比≧50％的计40分，40％≤占比&lt;50％的计30分，30％≤占比&lt;40％的计20分，20％≤占比&lt;30％的计10分。</w:t>
            </w:r>
          </w:p>
          <w:p w14:paraId="0F2C7B0B">
            <w:pPr>
              <w:widowControl/>
              <w:spacing w:line="360" w:lineRule="exact"/>
              <w:jc w:val="left"/>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SA"/>
              </w:rPr>
              <w:t>注：</w:t>
            </w:r>
            <w:r>
              <w:rPr>
                <w:rFonts w:hint="eastAsia" w:ascii="宋体" w:hAnsi="宋体" w:cs="宋体"/>
                <w:color w:val="auto"/>
                <w:kern w:val="2"/>
                <w:sz w:val="21"/>
                <w:szCs w:val="21"/>
                <w:highlight w:val="none"/>
                <w:lang w:val="en-US" w:eastAsia="zh-CN" w:bidi="ar-SA"/>
              </w:rPr>
              <w:t>招标</w:t>
            </w:r>
            <w:r>
              <w:rPr>
                <w:rFonts w:hint="eastAsia" w:ascii="宋体" w:hAnsi="宋体" w:eastAsia="宋体" w:cs="宋体"/>
                <w:color w:val="auto"/>
                <w:kern w:val="2"/>
                <w:sz w:val="21"/>
                <w:szCs w:val="21"/>
                <w:highlight w:val="none"/>
                <w:lang w:val="en-US" w:eastAsia="zh-CN" w:bidi="ar-SA"/>
              </w:rPr>
              <w:t>人</w:t>
            </w:r>
            <w:r>
              <w:rPr>
                <w:rFonts w:hint="eastAsia" w:ascii="宋体" w:hAnsi="宋体" w:cs="宋体"/>
                <w:color w:val="auto"/>
                <w:kern w:val="2"/>
                <w:sz w:val="21"/>
                <w:szCs w:val="21"/>
                <w:highlight w:val="none"/>
                <w:lang w:val="en-US" w:eastAsia="zh-CN" w:bidi="ar-SA"/>
              </w:rPr>
              <w:t>要求</w:t>
            </w:r>
            <w:r>
              <w:rPr>
                <w:rFonts w:hint="eastAsia" w:ascii="宋体" w:hAnsi="宋体" w:eastAsia="宋体" w:cs="宋体"/>
                <w:color w:val="auto"/>
                <w:kern w:val="2"/>
                <w:sz w:val="21"/>
                <w:szCs w:val="21"/>
                <w:highlight w:val="none"/>
                <w:lang w:val="en-US" w:eastAsia="zh-CN" w:bidi="ar-SA"/>
              </w:rPr>
              <w:t>拟投入本项目的专、兼职师资规模</w:t>
            </w:r>
            <w:r>
              <w:rPr>
                <w:rFonts w:hint="eastAsia" w:ascii="宋体" w:hAnsi="宋体" w:eastAsia="宋体" w:cs="宋体"/>
                <w:color w:val="auto"/>
                <w:kern w:val="2"/>
                <w:sz w:val="21"/>
                <w:szCs w:val="21"/>
                <w:highlight w:val="none"/>
                <w:lang w:val="en-US" w:eastAsia="zh-CN" w:bidi="ar-SA"/>
              </w:rPr>
              <w:t>≧12名</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院校师资提供在职在编证明；其他机构提供专（兼）职师资近3个月（6-8月）任意一个月的社保缴纳证明；外聘兼职师资聘用证明材料。</w:t>
            </w:r>
          </w:p>
        </w:tc>
      </w:tr>
      <w:tr w14:paraId="5F95BD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76" w:hRule="atLeast"/>
          <w:jc w:val="center"/>
        </w:trPr>
        <w:tc>
          <w:tcPr>
            <w:tcW w:w="503" w:type="dxa"/>
            <w:vMerge w:val="continue"/>
            <w:tcBorders>
              <w:right w:val="single" w:color="auto" w:sz="4" w:space="0"/>
            </w:tcBorders>
            <w:vAlign w:val="center"/>
          </w:tcPr>
          <w:p w14:paraId="6D96D47D">
            <w:pPr>
              <w:adjustRightInd w:val="0"/>
              <w:snapToGrid w:val="0"/>
              <w:spacing w:beforeLines="50"/>
              <w:jc w:val="center"/>
              <w:rPr>
                <w:rFonts w:ascii="宋体" w:hAnsi="宋体"/>
                <w:color w:val="auto"/>
                <w:szCs w:val="21"/>
                <w:highlight w:val="none"/>
              </w:rPr>
            </w:pPr>
          </w:p>
        </w:tc>
        <w:tc>
          <w:tcPr>
            <w:tcW w:w="1822" w:type="dxa"/>
            <w:vMerge w:val="continue"/>
            <w:tcBorders>
              <w:left w:val="single" w:color="auto" w:sz="4" w:space="0"/>
              <w:right w:val="single" w:color="auto" w:sz="4" w:space="0"/>
            </w:tcBorders>
            <w:vAlign w:val="center"/>
          </w:tcPr>
          <w:p w14:paraId="3AD88FBF">
            <w:pPr>
              <w:adjustRightInd w:val="0"/>
              <w:snapToGrid w:val="0"/>
              <w:jc w:val="center"/>
              <w:rPr>
                <w:rFonts w:ascii="宋体" w:hAnsi="宋体"/>
                <w:color w:val="auto"/>
                <w:szCs w:val="21"/>
                <w:highlight w:val="none"/>
              </w:rPr>
            </w:pPr>
          </w:p>
        </w:tc>
        <w:tc>
          <w:tcPr>
            <w:tcW w:w="1140" w:type="dxa"/>
            <w:tcBorders>
              <w:left w:val="single" w:color="auto" w:sz="4" w:space="0"/>
            </w:tcBorders>
            <w:shd w:val="clear" w:color="auto" w:fill="auto"/>
            <w:vAlign w:val="center"/>
          </w:tcPr>
          <w:p w14:paraId="76EF69AC">
            <w:pPr>
              <w:widowControl/>
              <w:spacing w:line="360" w:lineRule="exact"/>
              <w:jc w:val="center"/>
              <w:rPr>
                <w:color w:val="auto"/>
                <w:highlight w:val="none"/>
              </w:rPr>
            </w:pPr>
            <w:r>
              <w:rPr>
                <w:rFonts w:hint="eastAsia" w:ascii="宋体" w:hAnsi="宋体" w:cs="宋体"/>
                <w:color w:val="auto"/>
                <w:szCs w:val="21"/>
                <w:highlight w:val="none"/>
              </w:rPr>
              <w:t>履约能力</w:t>
            </w:r>
            <w:r>
              <w:rPr>
                <w:rFonts w:hint="eastAsia" w:ascii="宋体" w:hAnsi="宋体" w:eastAsia="宋体" w:cs="宋体"/>
                <w:color w:val="auto"/>
                <w:kern w:val="2"/>
                <w:sz w:val="21"/>
                <w:szCs w:val="21"/>
                <w:highlight w:val="none"/>
                <w:lang w:val="en-US" w:eastAsia="zh-CN" w:bidi="ar-SA"/>
              </w:rPr>
              <w:t>40分</w:t>
            </w:r>
          </w:p>
        </w:tc>
        <w:tc>
          <w:tcPr>
            <w:tcW w:w="5656" w:type="dxa"/>
            <w:tcBorders>
              <w:bottom w:val="single" w:color="auto" w:sz="4" w:space="0"/>
            </w:tcBorders>
            <w:shd w:val="clear" w:color="auto" w:fill="auto"/>
            <w:vAlign w:val="center"/>
          </w:tcPr>
          <w:p w14:paraId="3FEFD07B">
            <w:pPr>
              <w:widowControl/>
              <w:numPr>
                <w:ilvl w:val="0"/>
                <w:numId w:val="0"/>
              </w:numPr>
              <w:spacing w:line="360" w:lineRule="exact"/>
              <w:jc w:val="lef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1.实践教学观摩交流场所（10分）</w:t>
            </w:r>
          </w:p>
          <w:p w14:paraId="242C78B7">
            <w:pPr>
              <w:widowControl/>
              <w:numPr>
                <w:ilvl w:val="0"/>
                <w:numId w:val="0"/>
              </w:numPr>
              <w:spacing w:line="360" w:lineRule="exact"/>
              <w:jc w:val="lef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每提供1处与培训内容相匹配、且已纳入农民教育培育信息管理系统实践教学、观摩交流场所，场所为自有的，计5分；提供2处或2处以上的计10分； </w:t>
            </w:r>
          </w:p>
          <w:p w14:paraId="6E85A632">
            <w:pPr>
              <w:widowControl/>
              <w:numPr>
                <w:ilvl w:val="0"/>
                <w:numId w:val="0"/>
              </w:numPr>
              <w:spacing w:line="360" w:lineRule="exact"/>
              <w:jc w:val="lef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每提供1处与培训内容相匹配、且已纳入农民教育培育信息管理系统实践教学、观摩交流场所，场所为协议合作的，计3分，提供2处或2处以上的计6分；</w:t>
            </w:r>
          </w:p>
          <w:p w14:paraId="6F6B1E18">
            <w:pPr>
              <w:widowControl/>
              <w:numPr>
                <w:ilvl w:val="0"/>
                <w:numId w:val="0"/>
              </w:numPr>
              <w:spacing w:line="360" w:lineRule="exact"/>
              <w:jc w:val="lef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.教学办公场所(</w:t>
            </w:r>
            <w:r>
              <w:rPr>
                <w:rFonts w:hint="eastAsia" w:ascii="宋体" w:hAnsi="宋体" w:cs="宋体"/>
                <w:color w:val="auto"/>
                <w:kern w:val="2"/>
                <w:sz w:val="21"/>
                <w:szCs w:val="21"/>
                <w:highlight w:val="none"/>
                <w:lang w:val="en-US" w:eastAsia="zh-CN" w:bidi="ar-SA"/>
              </w:rPr>
              <w:t>10</w:t>
            </w:r>
            <w:r>
              <w:rPr>
                <w:rFonts w:hint="eastAsia" w:ascii="宋体" w:hAnsi="宋体" w:eastAsia="宋体" w:cs="宋体"/>
                <w:color w:val="auto"/>
                <w:kern w:val="2"/>
                <w:sz w:val="21"/>
                <w:szCs w:val="21"/>
                <w:highlight w:val="none"/>
                <w:lang w:val="en-US" w:eastAsia="zh-CN" w:bidi="ar-SA"/>
              </w:rPr>
              <w:t>分)。</w:t>
            </w:r>
          </w:p>
          <w:p w14:paraId="691AA97D">
            <w:pPr>
              <w:widowControl/>
              <w:numPr>
                <w:ilvl w:val="0"/>
                <w:numId w:val="0"/>
              </w:numPr>
              <w:spacing w:line="360" w:lineRule="exact"/>
              <w:jc w:val="lef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有固定的教学办公场所,配备与培育主题相关的完备教学设施设备且满足50名学员集中授课的，计</w:t>
            </w:r>
            <w:r>
              <w:rPr>
                <w:rFonts w:hint="eastAsia" w:ascii="宋体" w:hAnsi="宋体" w:cs="宋体"/>
                <w:color w:val="auto"/>
                <w:kern w:val="2"/>
                <w:sz w:val="21"/>
                <w:szCs w:val="21"/>
                <w:highlight w:val="none"/>
                <w:lang w:val="en-US" w:eastAsia="zh-CN" w:bidi="ar-SA"/>
              </w:rPr>
              <w:t>10</w:t>
            </w:r>
            <w:r>
              <w:rPr>
                <w:rFonts w:hint="eastAsia" w:ascii="宋体" w:hAnsi="宋体" w:eastAsia="宋体" w:cs="宋体"/>
                <w:color w:val="auto"/>
                <w:kern w:val="2"/>
                <w:sz w:val="21"/>
                <w:szCs w:val="21"/>
                <w:highlight w:val="none"/>
                <w:lang w:val="en-US" w:eastAsia="zh-CN" w:bidi="ar-SA"/>
              </w:rPr>
              <w:t>分。</w:t>
            </w:r>
          </w:p>
          <w:p w14:paraId="471D4FBA">
            <w:pPr>
              <w:widowControl/>
              <w:numPr>
                <w:ilvl w:val="0"/>
                <w:numId w:val="0"/>
              </w:numPr>
              <w:spacing w:line="360" w:lineRule="exact"/>
              <w:jc w:val="lef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.管理服务团队（20分）</w:t>
            </w:r>
          </w:p>
          <w:p w14:paraId="07C4DB3C">
            <w:pPr>
              <w:widowControl/>
              <w:numPr>
                <w:ilvl w:val="0"/>
                <w:numId w:val="0"/>
              </w:numPr>
              <w:spacing w:line="360" w:lineRule="exact"/>
              <w:jc w:val="lef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（1）专职教学管理人员不少于5人，管理团队分工包括但不限于项目负责人、财务人员、班级管理人员、教学管理人员和后勤保障人员等</w:t>
            </w:r>
            <w:r>
              <w:rPr>
                <w:rFonts w:hint="eastAsia" w:ascii="宋体" w:hAnsi="宋体" w:cs="宋体"/>
                <w:color w:val="auto"/>
                <w:kern w:val="2"/>
                <w:sz w:val="21"/>
                <w:szCs w:val="21"/>
                <w:highlight w:val="none"/>
                <w:lang w:val="en-US" w:eastAsia="zh-CN" w:bidi="ar-SA"/>
              </w:rPr>
              <w:t>的计10分</w:t>
            </w:r>
            <w:r>
              <w:rPr>
                <w:rFonts w:hint="eastAsia" w:ascii="宋体" w:hAnsi="宋体" w:eastAsia="宋体" w:cs="宋体"/>
                <w:color w:val="auto"/>
                <w:kern w:val="2"/>
                <w:sz w:val="21"/>
                <w:szCs w:val="21"/>
                <w:highlight w:val="none"/>
                <w:lang w:val="en-US" w:eastAsia="zh-CN" w:bidi="ar-SA"/>
              </w:rPr>
              <w:t>，少于5人的每少1人扣2分；（2）拟任本项目负责人具有农业或教育类高级职称的计10分；中级职称的计5分。</w:t>
            </w:r>
          </w:p>
          <w:p w14:paraId="51051BB3">
            <w:pPr>
              <w:widowControl/>
              <w:numPr>
                <w:ilvl w:val="0"/>
                <w:numId w:val="0"/>
              </w:numPr>
              <w:spacing w:line="360" w:lineRule="exact"/>
              <w:jc w:val="left"/>
              <w:textAlignment w:val="baseline"/>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SA"/>
              </w:rPr>
              <w:t>注：（1）实践教学、观摩交流场所需提供自有或协议合作证明材料、现场照片、主要实训设备配置清单和认定证明材料；（</w:t>
            </w:r>
            <w:r>
              <w:rPr>
                <w:rFonts w:hint="eastAsia" w:ascii="宋体" w:hAnsi="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）管理服务团队人员需提供近三个月的社保缴纳证明；（</w:t>
            </w:r>
            <w:r>
              <w:rPr>
                <w:rFonts w:hint="eastAsia" w:ascii="宋体" w:hAnsi="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）项目负责人须提供职称证书扫描件。</w:t>
            </w:r>
          </w:p>
        </w:tc>
      </w:tr>
      <w:tr w14:paraId="35D764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vAlign w:val="center"/>
          </w:tcPr>
          <w:p w14:paraId="18C12A88">
            <w:pPr>
              <w:adjustRightInd w:val="0"/>
              <w:snapToGrid w:val="0"/>
              <w:jc w:val="center"/>
              <w:rPr>
                <w:rFonts w:ascii="宋体" w:hAnsi="宋体"/>
                <w:color w:val="auto"/>
                <w:szCs w:val="21"/>
                <w:highlight w:val="none"/>
              </w:rPr>
            </w:pPr>
            <w:r>
              <w:rPr>
                <w:rFonts w:hint="eastAsia" w:ascii="宋体" w:hAnsi="宋体"/>
                <w:color w:val="auto"/>
                <w:szCs w:val="21"/>
                <w:highlight w:val="none"/>
              </w:rPr>
              <w:t>2</w:t>
            </w:r>
          </w:p>
        </w:tc>
        <w:tc>
          <w:tcPr>
            <w:tcW w:w="1822" w:type="dxa"/>
            <w:tcBorders>
              <w:left w:val="single" w:color="auto" w:sz="4" w:space="0"/>
            </w:tcBorders>
            <w:vAlign w:val="center"/>
          </w:tcPr>
          <w:p w14:paraId="63F797BA">
            <w:pPr>
              <w:adjustRightInd w:val="0"/>
              <w:snapToGrid w:val="0"/>
              <w:jc w:val="center"/>
              <w:rPr>
                <w:rFonts w:ascii="宋体" w:hAnsi="宋体"/>
                <w:color w:val="auto"/>
                <w:szCs w:val="21"/>
                <w:highlight w:val="none"/>
              </w:rPr>
            </w:pPr>
            <w:r>
              <w:rPr>
                <w:rFonts w:hint="eastAsia" w:ascii="宋体" w:hAnsi="宋体"/>
                <w:color w:val="auto"/>
                <w:szCs w:val="21"/>
                <w:highlight w:val="none"/>
              </w:rPr>
              <w:t>优先采购加分（F</w:t>
            </w:r>
            <w:r>
              <w:rPr>
                <w:rFonts w:hint="eastAsia" w:ascii="宋体" w:hAnsi="宋体"/>
                <w:color w:val="auto"/>
                <w:szCs w:val="21"/>
                <w:highlight w:val="none"/>
                <w:vertAlign w:val="subscript"/>
              </w:rPr>
              <w:t>优先采购加分</w:t>
            </w:r>
            <w:r>
              <w:rPr>
                <w:rFonts w:hint="eastAsia" w:ascii="宋体" w:hAnsi="宋体"/>
                <w:color w:val="auto"/>
                <w:szCs w:val="21"/>
                <w:highlight w:val="none"/>
              </w:rPr>
              <w:t>）</w:t>
            </w:r>
          </w:p>
        </w:tc>
        <w:tc>
          <w:tcPr>
            <w:tcW w:w="6796" w:type="dxa"/>
            <w:gridSpan w:val="2"/>
            <w:tcBorders>
              <w:bottom w:val="single" w:color="auto" w:sz="4" w:space="0"/>
            </w:tcBorders>
            <w:vAlign w:val="center"/>
          </w:tcPr>
          <w:p w14:paraId="24CAE24A">
            <w:pPr>
              <w:adjustRightInd w:val="0"/>
              <w:snapToGrid w:val="0"/>
              <w:spacing w:beforeLines="50"/>
              <w:rPr>
                <w:rFonts w:ascii="宋体" w:hAnsi="宋体"/>
                <w:color w:val="auto"/>
                <w:szCs w:val="21"/>
                <w:highlight w:val="none"/>
              </w:rPr>
            </w:pPr>
            <w:r>
              <w:rPr>
                <w:rFonts w:hint="eastAsia" w:ascii="宋体" w:hAnsi="宋体"/>
                <w:color w:val="auto"/>
                <w:szCs w:val="21"/>
                <w:highlight w:val="none"/>
              </w:rPr>
              <w:t>/</w:t>
            </w:r>
          </w:p>
        </w:tc>
      </w:tr>
      <w:tr w14:paraId="2E9993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vAlign w:val="center"/>
          </w:tcPr>
          <w:p w14:paraId="07EFAB7F">
            <w:pPr>
              <w:adjustRightInd w:val="0"/>
              <w:snapToGrid w:val="0"/>
              <w:jc w:val="center"/>
              <w:rPr>
                <w:rFonts w:ascii="宋体" w:hAnsi="宋体"/>
                <w:color w:val="auto"/>
                <w:szCs w:val="21"/>
                <w:highlight w:val="none"/>
              </w:rPr>
            </w:pPr>
            <w:r>
              <w:rPr>
                <w:rFonts w:hint="eastAsia" w:ascii="宋体" w:hAnsi="宋体"/>
                <w:color w:val="auto"/>
                <w:szCs w:val="21"/>
                <w:highlight w:val="none"/>
              </w:rPr>
              <w:t>∑</w:t>
            </w:r>
          </w:p>
        </w:tc>
        <w:tc>
          <w:tcPr>
            <w:tcW w:w="8618" w:type="dxa"/>
            <w:gridSpan w:val="3"/>
            <w:tcBorders>
              <w:left w:val="single" w:color="auto" w:sz="4" w:space="0"/>
            </w:tcBorders>
            <w:vAlign w:val="center"/>
          </w:tcPr>
          <w:p w14:paraId="3FC99470">
            <w:pPr>
              <w:adjustRightInd w:val="0"/>
              <w:snapToGrid w:val="0"/>
              <w:rPr>
                <w:rFonts w:ascii="宋体" w:hAnsi="宋体"/>
                <w:color w:val="auto"/>
                <w:szCs w:val="21"/>
                <w:highlight w:val="none"/>
              </w:rPr>
            </w:pPr>
          </w:p>
        </w:tc>
      </w:tr>
    </w:tbl>
    <w:p w14:paraId="76D14E4D">
      <w:pPr>
        <w:pStyle w:val="103"/>
        <w:spacing w:afterLines="50" w:line="360" w:lineRule="exact"/>
        <w:ind w:firstLine="0" w:firstLineChars="0"/>
        <w:jc w:val="center"/>
        <w:outlineLvl w:val="0"/>
        <w:rPr>
          <w:rFonts w:ascii="宋体" w:hAnsi="宋体" w:cs="Courier New"/>
          <w:b/>
          <w:color w:val="auto"/>
          <w:sz w:val="32"/>
          <w:szCs w:val="32"/>
          <w:highlight w:val="none"/>
        </w:rPr>
        <w:sectPr>
          <w:headerReference r:id="rId9" w:type="default"/>
          <w:footerReference r:id="rId10" w:type="default"/>
          <w:pgSz w:w="11900" w:h="16832"/>
          <w:pgMar w:top="1763" w:right="1497" w:bottom="1434" w:left="1366" w:header="895" w:footer="1372" w:gutter="0"/>
          <w:cols w:space="0" w:num="1"/>
        </w:sectPr>
      </w:pPr>
    </w:p>
    <w:p w14:paraId="78C46EA5">
      <w:pPr>
        <w:pStyle w:val="103"/>
        <w:spacing w:afterLines="50" w:line="360" w:lineRule="exact"/>
        <w:ind w:firstLine="0" w:firstLineChars="0"/>
        <w:jc w:val="center"/>
        <w:outlineLvl w:val="0"/>
        <w:rPr>
          <w:rFonts w:ascii="宋体" w:hAnsi="宋体" w:cs="Courier New"/>
          <w:b/>
          <w:color w:val="auto"/>
          <w:sz w:val="32"/>
          <w:szCs w:val="32"/>
          <w:highlight w:val="none"/>
        </w:rPr>
      </w:pPr>
      <w:bookmarkStart w:id="1317" w:name="_Toc193053735"/>
      <w:bookmarkStart w:id="1318" w:name="_Toc19866"/>
      <w:bookmarkStart w:id="1319" w:name="_Toc29314"/>
      <w:bookmarkStart w:id="1320" w:name="_Toc13795"/>
      <w:bookmarkStart w:id="1321" w:name="_Toc2442"/>
      <w:bookmarkStart w:id="1322" w:name="_Toc189905391"/>
      <w:r>
        <w:rPr>
          <w:rFonts w:hint="eastAsia" w:ascii="宋体" w:hAnsi="宋体" w:cs="Courier New"/>
          <w:b/>
          <w:color w:val="auto"/>
          <w:sz w:val="32"/>
          <w:szCs w:val="32"/>
          <w:highlight w:val="none"/>
        </w:rPr>
        <w:t>第五章  采购需求</w:t>
      </w:r>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p>
    <w:p w14:paraId="0CCD2CEB">
      <w:pPr>
        <w:adjustRightInd w:val="0"/>
        <w:snapToGrid w:val="0"/>
        <w:spacing w:line="360" w:lineRule="auto"/>
        <w:ind w:firstLine="422" w:firstLineChars="200"/>
        <w:rPr>
          <w:rFonts w:ascii="宋体" w:hAnsi="宋体" w:cs="宋体"/>
          <w:b/>
          <w:bCs/>
          <w:color w:val="auto"/>
          <w:szCs w:val="21"/>
          <w:highlight w:val="none"/>
        </w:rPr>
      </w:pPr>
    </w:p>
    <w:p w14:paraId="6C1EF9E3">
      <w:pPr>
        <w:adjustRightInd w:val="0"/>
        <w:snapToGrid w:val="0"/>
        <w:spacing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rPr>
        <w:t>一、项目名称：</w:t>
      </w:r>
      <w:r>
        <w:rPr>
          <w:rFonts w:hint="eastAsia" w:ascii="宋体" w:hAnsi="宋体" w:cs="宋体"/>
          <w:color w:val="auto"/>
          <w:szCs w:val="21"/>
          <w:highlight w:val="none"/>
        </w:rPr>
        <w:t>2026年</w:t>
      </w:r>
      <w:r>
        <w:rPr>
          <w:rFonts w:hint="eastAsia" w:ascii="宋体" w:hAnsi="宋体" w:cs="宋体"/>
          <w:color w:val="auto"/>
          <w:szCs w:val="21"/>
          <w:highlight w:val="none"/>
        </w:rPr>
        <w:t>新化县高素质农民培育项目</w:t>
      </w:r>
    </w:p>
    <w:p w14:paraId="6E997FB2">
      <w:pPr>
        <w:adjustRightInd w:val="0"/>
        <w:snapToGrid w:val="0"/>
        <w:spacing w:line="360" w:lineRule="auto"/>
        <w:ind w:firstLine="410" w:firstLineChars="200"/>
        <w:rPr>
          <w:rFonts w:ascii="宋体" w:hAnsi="宋体" w:cs="宋体"/>
          <w:b/>
          <w:bCs/>
          <w:color w:val="auto"/>
          <w:spacing w:val="-3"/>
          <w:szCs w:val="21"/>
          <w:highlight w:val="none"/>
        </w:rPr>
      </w:pPr>
      <w:r>
        <w:rPr>
          <w:rFonts w:hint="eastAsia" w:ascii="宋体" w:hAnsi="宋体" w:cs="宋体"/>
          <w:b/>
          <w:bCs/>
          <w:color w:val="auto"/>
          <w:spacing w:val="-3"/>
          <w:szCs w:val="21"/>
          <w:highlight w:val="none"/>
        </w:rPr>
        <w:t>二、分包情况</w:t>
      </w:r>
    </w:p>
    <w:tbl>
      <w:tblPr>
        <w:tblStyle w:val="223"/>
        <w:tblW w:w="831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68"/>
        <w:gridCol w:w="4174"/>
        <w:gridCol w:w="2268"/>
        <w:gridCol w:w="1502"/>
      </w:tblGrid>
      <w:tr w14:paraId="1549E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0" w:type="auto"/>
            <w:vAlign w:val="center"/>
          </w:tcPr>
          <w:p w14:paraId="43A4E796">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包号</w:t>
            </w:r>
          </w:p>
        </w:tc>
        <w:tc>
          <w:tcPr>
            <w:tcW w:w="4174" w:type="dxa"/>
            <w:vAlign w:val="center"/>
          </w:tcPr>
          <w:p w14:paraId="0621684B">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培训内容</w:t>
            </w:r>
          </w:p>
        </w:tc>
        <w:tc>
          <w:tcPr>
            <w:tcW w:w="2268" w:type="dxa"/>
            <w:vAlign w:val="center"/>
          </w:tcPr>
          <w:p w14:paraId="190EB2B1">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502" w:type="dxa"/>
            <w:vAlign w:val="center"/>
          </w:tcPr>
          <w:p w14:paraId="3DE9AAEF">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采购预算（元）</w:t>
            </w:r>
          </w:p>
        </w:tc>
      </w:tr>
      <w:tr w14:paraId="341B6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jc w:val="center"/>
        </w:trPr>
        <w:tc>
          <w:tcPr>
            <w:tcW w:w="0" w:type="auto"/>
            <w:vMerge w:val="restart"/>
            <w:vAlign w:val="center"/>
          </w:tcPr>
          <w:p w14:paraId="1F4A39B6">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01</w:t>
            </w:r>
          </w:p>
        </w:tc>
        <w:tc>
          <w:tcPr>
            <w:tcW w:w="4174" w:type="dxa"/>
            <w:tcBorders>
              <w:bottom w:val="single" w:color="auto" w:sz="4" w:space="0"/>
            </w:tcBorders>
            <w:vAlign w:val="center"/>
          </w:tcPr>
          <w:p w14:paraId="4CE02F71">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重要农产品（小水果）经营管理能力提升</w:t>
            </w:r>
          </w:p>
        </w:tc>
        <w:tc>
          <w:tcPr>
            <w:tcW w:w="2268" w:type="dxa"/>
            <w:tcBorders>
              <w:bottom w:val="single" w:color="auto" w:sz="4" w:space="0"/>
            </w:tcBorders>
            <w:vAlign w:val="center"/>
          </w:tcPr>
          <w:p w14:paraId="548DB118">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50人</w:t>
            </w:r>
            <w:r>
              <w:rPr>
                <w:rFonts w:ascii="宋体" w:hAnsi="宋体" w:cs="宋体"/>
                <w:color w:val="auto"/>
                <w:szCs w:val="21"/>
                <w:highlight w:val="none"/>
              </w:rPr>
              <w:t>×</w:t>
            </w:r>
            <w:r>
              <w:rPr>
                <w:rFonts w:hint="eastAsia" w:ascii="宋体" w:hAnsi="宋体" w:cs="宋体"/>
                <w:color w:val="auto"/>
                <w:szCs w:val="21"/>
                <w:highlight w:val="none"/>
              </w:rPr>
              <w:t>2800元/人</w:t>
            </w:r>
          </w:p>
        </w:tc>
        <w:tc>
          <w:tcPr>
            <w:tcW w:w="1502" w:type="dxa"/>
            <w:vMerge w:val="restart"/>
            <w:vAlign w:val="center"/>
          </w:tcPr>
          <w:p w14:paraId="2F73C9AC">
            <w:pPr>
              <w:widowControl/>
              <w:jc w:val="center"/>
              <w:textAlignment w:val="baseline"/>
              <w:rPr>
                <w:rFonts w:hint="eastAsia" w:ascii="宋体" w:hAnsi="宋体" w:cs="宋体"/>
                <w:color w:val="auto"/>
                <w:szCs w:val="21"/>
                <w:highlight w:val="none"/>
                <w:lang w:val="en-US" w:eastAsia="zh-CN"/>
              </w:rPr>
            </w:pPr>
          </w:p>
          <w:p w14:paraId="4A52916E">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lang w:val="en-US" w:eastAsia="zh-CN"/>
              </w:rPr>
              <w:t>28</w:t>
            </w:r>
            <w:r>
              <w:rPr>
                <w:rFonts w:hint="eastAsia" w:ascii="宋体" w:hAnsi="宋体" w:cs="宋体"/>
                <w:color w:val="auto"/>
                <w:szCs w:val="21"/>
                <w:highlight w:val="none"/>
              </w:rPr>
              <w:t>0000.00</w:t>
            </w:r>
          </w:p>
          <w:p w14:paraId="77D9EBFF">
            <w:pPr>
              <w:jc w:val="center"/>
              <w:textAlignment w:val="baseline"/>
              <w:rPr>
                <w:rFonts w:hint="eastAsia" w:ascii="宋体" w:hAnsi="宋体" w:cs="宋体"/>
                <w:color w:val="auto"/>
                <w:szCs w:val="21"/>
                <w:highlight w:val="none"/>
              </w:rPr>
            </w:pPr>
          </w:p>
        </w:tc>
      </w:tr>
      <w:tr w14:paraId="13464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0" w:type="auto"/>
            <w:vMerge w:val="continue"/>
            <w:vAlign w:val="center"/>
          </w:tcPr>
          <w:p w14:paraId="34C3828C">
            <w:pPr>
              <w:widowControl/>
              <w:jc w:val="center"/>
              <w:textAlignment w:val="baseline"/>
              <w:rPr>
                <w:rFonts w:hint="eastAsia" w:ascii="宋体" w:hAnsi="宋体" w:cs="宋体"/>
                <w:color w:val="auto"/>
                <w:szCs w:val="21"/>
                <w:highlight w:val="none"/>
              </w:rPr>
            </w:pPr>
          </w:p>
        </w:tc>
        <w:tc>
          <w:tcPr>
            <w:tcW w:w="4174" w:type="dxa"/>
            <w:tcBorders>
              <w:top w:val="single" w:color="auto" w:sz="4" w:space="0"/>
            </w:tcBorders>
            <w:vAlign w:val="center"/>
          </w:tcPr>
          <w:p w14:paraId="37290F56">
            <w:pPr>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农村集体经济组织带头人培训</w:t>
            </w:r>
          </w:p>
        </w:tc>
        <w:tc>
          <w:tcPr>
            <w:tcW w:w="2268" w:type="dxa"/>
            <w:tcBorders>
              <w:top w:val="single" w:color="auto" w:sz="4" w:space="0"/>
            </w:tcBorders>
            <w:vAlign w:val="center"/>
          </w:tcPr>
          <w:p w14:paraId="2ECA3942">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50人</w:t>
            </w:r>
            <w:r>
              <w:rPr>
                <w:rFonts w:ascii="宋体" w:hAnsi="宋体" w:cs="宋体"/>
                <w:color w:val="auto"/>
                <w:szCs w:val="21"/>
                <w:highlight w:val="none"/>
              </w:rPr>
              <w:t>×</w:t>
            </w:r>
            <w:r>
              <w:rPr>
                <w:rFonts w:hint="eastAsia" w:ascii="宋体" w:hAnsi="宋体" w:cs="宋体"/>
                <w:color w:val="auto"/>
                <w:szCs w:val="21"/>
                <w:highlight w:val="none"/>
              </w:rPr>
              <w:t>2800元/人</w:t>
            </w:r>
          </w:p>
        </w:tc>
        <w:tc>
          <w:tcPr>
            <w:tcW w:w="1502" w:type="dxa"/>
            <w:vMerge w:val="continue"/>
            <w:vAlign w:val="center"/>
          </w:tcPr>
          <w:p w14:paraId="61582C09">
            <w:pPr>
              <w:jc w:val="center"/>
              <w:textAlignment w:val="baseline"/>
              <w:rPr>
                <w:rFonts w:hint="eastAsia" w:ascii="宋体" w:hAnsi="宋体" w:cs="宋体"/>
                <w:color w:val="auto"/>
                <w:szCs w:val="21"/>
                <w:highlight w:val="none"/>
              </w:rPr>
            </w:pPr>
          </w:p>
        </w:tc>
      </w:tr>
      <w:tr w14:paraId="21802E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jc w:val="center"/>
        </w:trPr>
        <w:tc>
          <w:tcPr>
            <w:tcW w:w="0" w:type="auto"/>
            <w:vAlign w:val="center"/>
          </w:tcPr>
          <w:p w14:paraId="44CB4693">
            <w:pPr>
              <w:widowControl/>
              <w:jc w:val="center"/>
              <w:textAlignment w:val="baseline"/>
              <w:rPr>
                <w:rFonts w:ascii="宋体" w:hAnsi="宋体" w:cs="宋体"/>
                <w:color w:val="auto"/>
                <w:szCs w:val="21"/>
                <w:highlight w:val="none"/>
              </w:rPr>
            </w:pPr>
            <w:r>
              <w:rPr>
                <w:rFonts w:hint="eastAsia" w:ascii="宋体" w:hAnsi="宋体" w:cs="宋体"/>
                <w:color w:val="auto"/>
                <w:szCs w:val="21"/>
                <w:highlight w:val="none"/>
              </w:rPr>
              <w:t>02</w:t>
            </w:r>
          </w:p>
        </w:tc>
        <w:tc>
          <w:tcPr>
            <w:tcW w:w="4174" w:type="dxa"/>
            <w:vAlign w:val="center"/>
          </w:tcPr>
          <w:p w14:paraId="3AF8D242">
            <w:pPr>
              <w:widowControl/>
              <w:jc w:val="center"/>
              <w:textAlignment w:val="baseline"/>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农机手（无人机）技能提升</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分2个</w:t>
            </w:r>
            <w:r>
              <w:rPr>
                <w:rFonts w:hint="eastAsia" w:ascii="宋体" w:hAnsi="宋体" w:cs="宋体"/>
                <w:color w:val="auto"/>
                <w:szCs w:val="21"/>
                <w:highlight w:val="none"/>
                <w:lang w:val="en-US" w:eastAsia="zh-CN"/>
              </w:rPr>
              <w:t>班</w:t>
            </w:r>
            <w:r>
              <w:rPr>
                <w:rFonts w:hint="eastAsia" w:ascii="宋体" w:hAnsi="宋体" w:cs="宋体"/>
                <w:color w:val="auto"/>
                <w:szCs w:val="21"/>
                <w:highlight w:val="none"/>
                <w:lang w:val="en-US" w:eastAsia="zh-CN"/>
              </w:rPr>
              <w:t>实施</w:t>
            </w:r>
            <w:r>
              <w:rPr>
                <w:rFonts w:hint="eastAsia" w:ascii="宋体" w:hAnsi="宋体" w:cs="宋体"/>
                <w:color w:val="auto"/>
                <w:szCs w:val="21"/>
                <w:highlight w:val="none"/>
                <w:lang w:eastAsia="zh-CN"/>
              </w:rPr>
              <w:t>）</w:t>
            </w:r>
          </w:p>
        </w:tc>
        <w:tc>
          <w:tcPr>
            <w:tcW w:w="2268" w:type="dxa"/>
            <w:vAlign w:val="center"/>
          </w:tcPr>
          <w:p w14:paraId="722EE00E">
            <w:pPr>
              <w:jc w:val="center"/>
              <w:textAlignment w:val="baseline"/>
              <w:rPr>
                <w:rFonts w:ascii="宋体" w:hAnsi="宋体" w:cs="宋体"/>
                <w:color w:val="auto"/>
                <w:szCs w:val="21"/>
                <w:highlight w:val="none"/>
              </w:rPr>
            </w:pPr>
            <w:r>
              <w:rPr>
                <w:rFonts w:hint="eastAsia" w:ascii="宋体" w:hAnsi="宋体" w:cs="宋体"/>
                <w:color w:val="auto"/>
                <w:szCs w:val="21"/>
                <w:highlight w:val="none"/>
              </w:rPr>
              <w:t>100人</w:t>
            </w:r>
            <w:r>
              <w:rPr>
                <w:rFonts w:ascii="宋体" w:hAnsi="宋体" w:cs="宋体"/>
                <w:color w:val="auto"/>
                <w:szCs w:val="21"/>
                <w:highlight w:val="none"/>
              </w:rPr>
              <w:t>×</w:t>
            </w:r>
            <w:r>
              <w:rPr>
                <w:rFonts w:hint="eastAsia" w:ascii="宋体" w:hAnsi="宋体" w:cs="宋体"/>
                <w:color w:val="auto"/>
                <w:szCs w:val="21"/>
                <w:highlight w:val="none"/>
              </w:rPr>
              <w:t>2800元/人</w:t>
            </w:r>
          </w:p>
        </w:tc>
        <w:tc>
          <w:tcPr>
            <w:tcW w:w="1502" w:type="dxa"/>
            <w:vAlign w:val="center"/>
          </w:tcPr>
          <w:p w14:paraId="19BE764F">
            <w:pPr>
              <w:widowControl/>
              <w:jc w:val="center"/>
              <w:textAlignment w:val="baseline"/>
              <w:rPr>
                <w:rFonts w:ascii="宋体" w:hAnsi="宋体" w:cs="宋体"/>
                <w:color w:val="auto"/>
                <w:szCs w:val="21"/>
                <w:highlight w:val="none"/>
              </w:rPr>
            </w:pPr>
            <w:r>
              <w:rPr>
                <w:rFonts w:hint="eastAsia" w:ascii="宋体" w:hAnsi="宋体" w:cs="宋体"/>
                <w:color w:val="auto"/>
                <w:szCs w:val="21"/>
                <w:highlight w:val="none"/>
              </w:rPr>
              <w:t>280000.00</w:t>
            </w:r>
          </w:p>
        </w:tc>
      </w:tr>
      <w:tr w14:paraId="0DD80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0" w:type="auto"/>
            <w:vMerge w:val="restart"/>
            <w:vAlign w:val="center"/>
          </w:tcPr>
          <w:p w14:paraId="3E581911">
            <w:pPr>
              <w:widowControl/>
              <w:jc w:val="center"/>
              <w:textAlignment w:val="baseline"/>
              <w:rPr>
                <w:rFonts w:ascii="宋体" w:hAnsi="宋体" w:cs="宋体"/>
                <w:color w:val="auto"/>
                <w:szCs w:val="21"/>
                <w:highlight w:val="none"/>
              </w:rPr>
            </w:pPr>
            <w:r>
              <w:rPr>
                <w:rFonts w:hint="eastAsia" w:ascii="宋体" w:hAnsi="宋体" w:cs="宋体"/>
                <w:color w:val="auto"/>
                <w:szCs w:val="21"/>
                <w:highlight w:val="none"/>
              </w:rPr>
              <w:t>03</w:t>
            </w:r>
          </w:p>
        </w:tc>
        <w:tc>
          <w:tcPr>
            <w:tcW w:w="4174" w:type="dxa"/>
            <w:tcBorders>
              <w:bottom w:val="single" w:color="auto" w:sz="4" w:space="0"/>
            </w:tcBorders>
            <w:vAlign w:val="center"/>
          </w:tcPr>
          <w:p w14:paraId="3FB7B070">
            <w:pPr>
              <w:widowControl/>
              <w:jc w:val="center"/>
              <w:textAlignment w:val="baseline"/>
              <w:rPr>
                <w:rFonts w:ascii="宋体" w:hAnsi="宋体" w:cs="宋体"/>
                <w:color w:val="auto"/>
                <w:szCs w:val="21"/>
                <w:highlight w:val="none"/>
              </w:rPr>
            </w:pPr>
            <w:r>
              <w:rPr>
                <w:rFonts w:hint="eastAsia" w:ascii="宋体" w:hAnsi="宋体" w:cs="宋体"/>
                <w:color w:val="auto"/>
                <w:szCs w:val="21"/>
                <w:highlight w:val="none"/>
              </w:rPr>
              <w:t>智慧农业+AI智能应用专题培训</w:t>
            </w:r>
          </w:p>
        </w:tc>
        <w:tc>
          <w:tcPr>
            <w:tcW w:w="2268" w:type="dxa"/>
            <w:tcBorders>
              <w:bottom w:val="single" w:color="auto" w:sz="4" w:space="0"/>
            </w:tcBorders>
            <w:vAlign w:val="center"/>
          </w:tcPr>
          <w:p w14:paraId="74959945">
            <w:pPr>
              <w:widowControl/>
              <w:jc w:val="center"/>
              <w:textAlignment w:val="baseline"/>
              <w:rPr>
                <w:rFonts w:ascii="宋体" w:hAnsi="宋体" w:cs="宋体"/>
                <w:color w:val="auto"/>
                <w:szCs w:val="21"/>
                <w:highlight w:val="none"/>
              </w:rPr>
            </w:pPr>
            <w:r>
              <w:rPr>
                <w:rFonts w:hint="eastAsia" w:ascii="宋体" w:hAnsi="宋体" w:cs="宋体"/>
                <w:color w:val="auto"/>
                <w:szCs w:val="21"/>
                <w:highlight w:val="none"/>
              </w:rPr>
              <w:t>50人</w:t>
            </w:r>
            <w:r>
              <w:rPr>
                <w:rFonts w:ascii="宋体" w:hAnsi="宋体" w:cs="宋体"/>
                <w:color w:val="auto"/>
                <w:szCs w:val="21"/>
                <w:highlight w:val="none"/>
              </w:rPr>
              <w:t>×</w:t>
            </w:r>
            <w:r>
              <w:rPr>
                <w:rFonts w:hint="eastAsia" w:ascii="宋体" w:hAnsi="宋体" w:cs="宋体"/>
                <w:color w:val="auto"/>
                <w:szCs w:val="21"/>
                <w:highlight w:val="none"/>
              </w:rPr>
              <w:t>6000元/人</w:t>
            </w:r>
          </w:p>
        </w:tc>
        <w:tc>
          <w:tcPr>
            <w:tcW w:w="1502" w:type="dxa"/>
            <w:vMerge w:val="restart"/>
            <w:vAlign w:val="center"/>
          </w:tcPr>
          <w:p w14:paraId="705002BB">
            <w:pPr>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00000.00</w:t>
            </w:r>
          </w:p>
        </w:tc>
      </w:tr>
      <w:tr w14:paraId="5349F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0" w:type="auto"/>
            <w:vMerge w:val="continue"/>
            <w:vAlign w:val="center"/>
          </w:tcPr>
          <w:p w14:paraId="774B9F2B">
            <w:pPr>
              <w:widowControl/>
              <w:jc w:val="center"/>
              <w:textAlignment w:val="baseline"/>
              <w:rPr>
                <w:rFonts w:hint="eastAsia" w:ascii="宋体" w:hAnsi="宋体" w:cs="宋体"/>
                <w:color w:val="auto"/>
                <w:szCs w:val="21"/>
                <w:highlight w:val="none"/>
              </w:rPr>
            </w:pPr>
          </w:p>
        </w:tc>
        <w:tc>
          <w:tcPr>
            <w:tcW w:w="4174" w:type="dxa"/>
            <w:tcBorders>
              <w:top w:val="single" w:color="auto" w:sz="4" w:space="0"/>
            </w:tcBorders>
            <w:vAlign w:val="center"/>
          </w:tcPr>
          <w:p w14:paraId="29F6A2DD">
            <w:pPr>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农产品电商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村播）</w:t>
            </w:r>
            <w:r>
              <w:rPr>
                <w:rFonts w:hint="eastAsia" w:ascii="宋体" w:hAnsi="宋体" w:cs="宋体"/>
                <w:color w:val="auto"/>
                <w:szCs w:val="21"/>
                <w:highlight w:val="none"/>
              </w:rPr>
              <w:t>专题培训</w:t>
            </w:r>
          </w:p>
        </w:tc>
        <w:tc>
          <w:tcPr>
            <w:tcW w:w="2268" w:type="dxa"/>
            <w:tcBorders>
              <w:top w:val="single" w:color="auto" w:sz="4" w:space="0"/>
            </w:tcBorders>
            <w:vAlign w:val="center"/>
          </w:tcPr>
          <w:p w14:paraId="58C1A5E1">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50人</w:t>
            </w:r>
            <w:r>
              <w:rPr>
                <w:rFonts w:ascii="宋体" w:hAnsi="宋体" w:cs="宋体"/>
                <w:color w:val="auto"/>
                <w:szCs w:val="21"/>
                <w:highlight w:val="none"/>
              </w:rPr>
              <w:t>×</w:t>
            </w:r>
            <w:r>
              <w:rPr>
                <w:rFonts w:hint="eastAsia" w:ascii="宋体" w:hAnsi="宋体" w:cs="宋体"/>
                <w:color w:val="auto"/>
                <w:szCs w:val="21"/>
                <w:highlight w:val="none"/>
              </w:rPr>
              <w:t>6000元/人</w:t>
            </w:r>
          </w:p>
        </w:tc>
        <w:tc>
          <w:tcPr>
            <w:tcW w:w="1502" w:type="dxa"/>
            <w:vMerge w:val="continue"/>
            <w:vAlign w:val="center"/>
          </w:tcPr>
          <w:p w14:paraId="5DCCA47F">
            <w:pPr>
              <w:jc w:val="center"/>
              <w:textAlignment w:val="baseline"/>
              <w:rPr>
                <w:rFonts w:hint="eastAsia" w:ascii="宋体" w:hAnsi="宋体" w:cs="宋体"/>
                <w:color w:val="auto"/>
                <w:szCs w:val="21"/>
                <w:highlight w:val="none"/>
              </w:rPr>
            </w:pPr>
          </w:p>
        </w:tc>
      </w:tr>
      <w:tr w14:paraId="5F297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0" w:type="auto"/>
            <w:vAlign w:val="center"/>
          </w:tcPr>
          <w:p w14:paraId="45C828E3">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04</w:t>
            </w:r>
          </w:p>
        </w:tc>
        <w:tc>
          <w:tcPr>
            <w:tcW w:w="4174" w:type="dxa"/>
            <w:vAlign w:val="center"/>
          </w:tcPr>
          <w:p w14:paraId="177D19F8">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乡土文化能人（新化山歌）专题培训</w:t>
            </w:r>
          </w:p>
        </w:tc>
        <w:tc>
          <w:tcPr>
            <w:tcW w:w="2268" w:type="dxa"/>
            <w:vAlign w:val="center"/>
          </w:tcPr>
          <w:p w14:paraId="143C018C">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50人</w:t>
            </w:r>
            <w:r>
              <w:rPr>
                <w:rFonts w:ascii="宋体" w:hAnsi="宋体" w:cs="宋体"/>
                <w:color w:val="auto"/>
                <w:szCs w:val="21"/>
                <w:highlight w:val="none"/>
              </w:rPr>
              <w:t>×</w:t>
            </w:r>
            <w:r>
              <w:rPr>
                <w:rFonts w:hint="eastAsia" w:ascii="宋体" w:hAnsi="宋体" w:cs="宋体"/>
                <w:color w:val="auto"/>
                <w:szCs w:val="21"/>
                <w:highlight w:val="none"/>
              </w:rPr>
              <w:t>6000元/人</w:t>
            </w:r>
          </w:p>
        </w:tc>
        <w:tc>
          <w:tcPr>
            <w:tcW w:w="1502" w:type="dxa"/>
            <w:vAlign w:val="center"/>
          </w:tcPr>
          <w:p w14:paraId="53095A3F">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300000.00</w:t>
            </w:r>
          </w:p>
        </w:tc>
      </w:tr>
    </w:tbl>
    <w:p w14:paraId="1682F261">
      <w:pPr>
        <w:spacing w:line="400" w:lineRule="exact"/>
        <w:rPr>
          <w:rFonts w:hint="eastAsia" w:ascii="宋体" w:hAnsi="宋体"/>
          <w:color w:val="auto"/>
          <w:szCs w:val="21"/>
          <w:highlight w:val="none"/>
        </w:rPr>
      </w:pPr>
      <w:r>
        <w:rPr>
          <w:rFonts w:hint="eastAsia" w:ascii="宋体" w:hAnsi="宋体"/>
          <w:color w:val="auto"/>
          <w:szCs w:val="21"/>
          <w:highlight w:val="none"/>
        </w:rPr>
        <w:t>说明：</w:t>
      </w:r>
      <w:r>
        <w:rPr>
          <w:rFonts w:hint="eastAsia" w:ascii="宋体" w:hAnsi="宋体"/>
          <w:color w:val="auto"/>
          <w:szCs w:val="21"/>
          <w:highlight w:val="none"/>
          <w:lang w:val="en-US" w:eastAsia="zh-CN"/>
        </w:rPr>
        <w:t>1</w:t>
      </w:r>
      <w:r>
        <w:rPr>
          <w:rFonts w:hint="eastAsia" w:ascii="宋体" w:hAnsi="宋体"/>
          <w:color w:val="auto"/>
          <w:szCs w:val="21"/>
          <w:highlight w:val="none"/>
        </w:rPr>
        <w:t>.</w:t>
      </w:r>
      <w:r>
        <w:rPr>
          <w:rFonts w:hint="eastAsia" w:ascii="宋体" w:hAnsi="宋体" w:eastAsia="宋体" w:cs="宋体"/>
          <w:b/>
          <w:bCs/>
          <w:color w:val="auto"/>
          <w:kern w:val="2"/>
          <w:sz w:val="21"/>
          <w:szCs w:val="21"/>
          <w:highlight w:val="none"/>
          <w:lang w:val="en-US" w:eastAsia="zh-CN" w:bidi="ar-SA"/>
        </w:rPr>
        <w:t>所有包内班级培育对象均要求</w:t>
      </w:r>
      <w:r>
        <w:rPr>
          <w:rFonts w:hint="eastAsia" w:ascii="宋体" w:hAnsi="宋体" w:cs="宋体"/>
          <w:b/>
          <w:bCs/>
          <w:color w:val="auto"/>
          <w:kern w:val="2"/>
          <w:sz w:val="21"/>
          <w:szCs w:val="21"/>
          <w:highlight w:val="none"/>
          <w:lang w:val="en-US" w:eastAsia="zh-CN" w:bidi="ar-SA"/>
        </w:rPr>
        <w:t>为</w:t>
      </w:r>
      <w:r>
        <w:rPr>
          <w:rFonts w:hint="eastAsia" w:ascii="宋体" w:hAnsi="宋体" w:eastAsia="宋体" w:cs="宋体"/>
          <w:b/>
          <w:bCs/>
          <w:color w:val="auto"/>
          <w:kern w:val="2"/>
          <w:sz w:val="21"/>
          <w:szCs w:val="21"/>
          <w:highlight w:val="none"/>
          <w:lang w:val="en-US" w:eastAsia="zh-CN" w:bidi="ar-SA"/>
        </w:rPr>
        <w:t>非公职人员</w:t>
      </w:r>
      <w:r>
        <w:rPr>
          <w:rFonts w:hint="eastAsia" w:ascii="宋体" w:hAnsi="宋体" w:cs="宋体"/>
          <w:b/>
          <w:bCs/>
          <w:color w:val="auto"/>
          <w:kern w:val="2"/>
          <w:sz w:val="21"/>
          <w:szCs w:val="21"/>
          <w:highlight w:val="none"/>
          <w:lang w:val="en-US" w:eastAsia="zh-CN" w:bidi="ar-SA"/>
        </w:rPr>
        <w:t>。</w:t>
      </w:r>
    </w:p>
    <w:p w14:paraId="6584FA3B">
      <w:pPr>
        <w:spacing w:line="400" w:lineRule="exact"/>
        <w:ind w:firstLine="630" w:firstLineChars="300"/>
        <w:rPr>
          <w:rStyle w:val="99"/>
          <w:rFonts w:ascii="宋体" w:hAnsi="宋体"/>
          <w:b/>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.本项目分</w:t>
      </w:r>
      <w:r>
        <w:rPr>
          <w:rFonts w:hint="eastAsia" w:ascii="宋体" w:hAnsi="宋体"/>
          <w:color w:val="auto"/>
          <w:szCs w:val="21"/>
          <w:highlight w:val="none"/>
          <w:lang w:val="en-US" w:eastAsia="zh-CN"/>
        </w:rPr>
        <w:t>4</w:t>
      </w:r>
      <w:r>
        <w:rPr>
          <w:rFonts w:hint="eastAsia" w:ascii="宋体" w:hAnsi="宋体"/>
          <w:color w:val="auto"/>
          <w:szCs w:val="21"/>
          <w:highlight w:val="none"/>
        </w:rPr>
        <w:t>个包，供应商可以同时对多个包进行投标，但只允许中一个包。本项目按包1、包2、包3、包4的顺序进行评审，如某供应商在包1评审时推荐为第一中标候选人，在包2、包3、包4的符合性审查中作否决处理，不得进入综合打分阶段，以此类推。</w:t>
      </w:r>
    </w:p>
    <w:p w14:paraId="4D032DCA">
      <w:pPr>
        <w:adjustRightInd w:val="0"/>
        <w:snapToGrid w:val="0"/>
        <w:spacing w:line="360" w:lineRule="auto"/>
        <w:ind w:firstLine="410" w:firstLineChars="200"/>
        <w:rPr>
          <w:rFonts w:ascii="宋体" w:hAnsi="宋体" w:cs="宋体"/>
          <w:color w:val="auto"/>
          <w:szCs w:val="21"/>
          <w:highlight w:val="none"/>
        </w:rPr>
      </w:pPr>
      <w:r>
        <w:rPr>
          <w:rFonts w:hint="eastAsia" w:ascii="宋体" w:hAnsi="宋体" w:cs="宋体"/>
          <w:b/>
          <w:bCs/>
          <w:color w:val="auto"/>
          <w:spacing w:val="-3"/>
          <w:szCs w:val="21"/>
          <w:highlight w:val="none"/>
        </w:rPr>
        <w:t>三、培育工作目标</w:t>
      </w:r>
    </w:p>
    <w:p w14:paraId="6DBE1282">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为深入贯彻落实中央、省、市文件以及中央和省委农村工作会议精神，培养壮大乡村人才队伍，按照《湖南省农业农村厅办公室关于印发〈湖南省2026年高素质农民培育工作实施方案〉的通知》（湘农办发〔2026〕22号）要求，结合我县实际，制定如下目标。</w:t>
      </w:r>
    </w:p>
    <w:p w14:paraId="7A2AAF7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1、常规班：重要农产品（小水果）经营管理能力提升班50人；农机手（无人机）技能提升班100人</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分2个</w:t>
      </w:r>
      <w:r>
        <w:rPr>
          <w:rFonts w:hint="eastAsia" w:ascii="宋体" w:hAnsi="宋体" w:cs="宋体"/>
          <w:color w:val="auto"/>
          <w:szCs w:val="21"/>
          <w:highlight w:val="none"/>
          <w:lang w:val="en-US" w:eastAsia="zh-CN"/>
        </w:rPr>
        <w:t>班</w:t>
      </w:r>
      <w:r>
        <w:rPr>
          <w:rFonts w:hint="eastAsia" w:ascii="宋体" w:hAnsi="宋体" w:cs="宋体"/>
          <w:color w:val="auto"/>
          <w:szCs w:val="21"/>
          <w:highlight w:val="none"/>
          <w:lang w:val="en-US" w:eastAsia="zh-CN"/>
        </w:rPr>
        <w:t>实施</w:t>
      </w:r>
      <w:r>
        <w:rPr>
          <w:rFonts w:hint="eastAsia" w:ascii="宋体" w:hAnsi="宋体" w:cs="宋体"/>
          <w:color w:val="auto"/>
          <w:szCs w:val="21"/>
          <w:highlight w:val="none"/>
          <w:lang w:eastAsia="zh-CN"/>
        </w:rPr>
        <w:t>）</w:t>
      </w:r>
      <w:r>
        <w:rPr>
          <w:rFonts w:hint="eastAsia" w:ascii="宋体" w:hAnsi="宋体" w:cs="宋体"/>
          <w:color w:val="auto"/>
          <w:szCs w:val="21"/>
          <w:highlight w:val="none"/>
        </w:rPr>
        <w:t>；农村集体经济组织带头人培训班50人。</w:t>
      </w:r>
    </w:p>
    <w:p w14:paraId="0E923E2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2、专题班：其中智慧农业+AI智能应用专题培训班50人，农产品电</w:t>
      </w:r>
      <w:r>
        <w:rPr>
          <w:rFonts w:hint="eastAsia" w:ascii="宋体" w:hAnsi="宋体" w:cs="宋体"/>
          <w:color w:val="auto"/>
          <w:szCs w:val="21"/>
          <w:highlight w:val="none"/>
        </w:rPr>
        <w:t>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村播）</w:t>
      </w:r>
      <w:r>
        <w:rPr>
          <w:rFonts w:hint="eastAsia" w:ascii="宋体" w:hAnsi="宋体" w:cs="宋体"/>
          <w:color w:val="auto"/>
          <w:szCs w:val="21"/>
          <w:highlight w:val="none"/>
        </w:rPr>
        <w:t>专题培训班50人，乡土文化能人（新化山歌）专题培训班50人。</w:t>
      </w:r>
    </w:p>
    <w:p w14:paraId="52F09D3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3、学时安排。常规班总学时不少于56课时，专题班总学时不少于112学时（含线上线下）。</w:t>
      </w:r>
    </w:p>
    <w:p w14:paraId="5BB2BDC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各包拟投入本项目的专、兼职师资规模不少于12名</w:t>
      </w:r>
      <w:r>
        <w:rPr>
          <w:rFonts w:hint="eastAsia" w:ascii="宋体" w:hAnsi="宋体" w:cs="宋体"/>
          <w:color w:val="auto"/>
          <w:szCs w:val="21"/>
          <w:highlight w:val="none"/>
          <w:lang w:eastAsia="zh-CN"/>
        </w:rPr>
        <w:t>。</w:t>
      </w:r>
    </w:p>
    <w:p w14:paraId="1B94FC77">
      <w:pPr>
        <w:adjustRightInd w:val="0"/>
        <w:snapToGrid w:val="0"/>
        <w:spacing w:line="360" w:lineRule="auto"/>
        <w:ind w:firstLine="422" w:firstLineChars="200"/>
        <w:rPr>
          <w:rFonts w:ascii="宋体" w:hAnsi="宋体" w:cs="宋体"/>
          <w:b/>
          <w:bCs/>
          <w:color w:val="auto"/>
          <w:szCs w:val="21"/>
          <w:highlight w:val="none"/>
        </w:rPr>
      </w:pPr>
      <w:r>
        <w:rPr>
          <w:rFonts w:hint="eastAsia" w:ascii="宋体" w:hAnsi="宋体" w:cs="黑体"/>
          <w:b/>
          <w:color w:val="auto"/>
          <w:szCs w:val="21"/>
          <w:highlight w:val="none"/>
        </w:rPr>
        <w:t>四、</w:t>
      </w:r>
      <w:r>
        <w:rPr>
          <w:rFonts w:hint="eastAsia" w:ascii="宋体" w:hAnsi="宋体" w:cs="宋体"/>
          <w:b/>
          <w:bCs/>
          <w:color w:val="auto"/>
          <w:szCs w:val="21"/>
          <w:highlight w:val="none"/>
        </w:rPr>
        <w:t>服务内容</w:t>
      </w:r>
    </w:p>
    <w:p w14:paraId="71A8DFB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包1：重要农产品（小水果）经营管理能力提升和农村集体经济组织带头人培训</w:t>
      </w:r>
    </w:p>
    <w:p w14:paraId="65C608E9">
      <w:pPr>
        <w:numPr>
          <w:ilvl w:val="0"/>
          <w:numId w:val="1"/>
        </w:num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重要农产品（小水果）经营管理能力提升班（总50人）：重点围绕生态高效栽培技术、病虫害防治、全产业链标准化管理等内容开展小水果等经济作物领域培训。面向新型农业经营主体强化法律法规、扶持政策、底线红线、职业道德、行业标准、质量安全、绿色发展、品牌打造等相关内容培训。</w:t>
      </w:r>
    </w:p>
    <w:p w14:paraId="60C350FC">
      <w:pPr>
        <w:numPr>
          <w:ilvl w:val="0"/>
          <w:numId w:val="1"/>
        </w:numPr>
        <w:adjustRightInd w:val="0"/>
        <w:snapToGrid w:val="0"/>
        <w:spacing w:line="360" w:lineRule="auto"/>
        <w:ind w:left="0"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农村集体经济组织带头人培训班（总人数50人）：围绕提升政治素养与执行力、强化市场经营管理与产业发展能力、深化集体资产管理与财务规范、增强廉洁自律与风险防控意识等方面开展培训，着力打造一支懂经营、善治理、守底线的农村集体经济组织带头人队伍，为发展壮大农村集体经济提供坚实支撑。</w:t>
      </w:r>
    </w:p>
    <w:p w14:paraId="18DAACE3">
      <w:pPr>
        <w:numPr>
          <w:ilvl w:val="0"/>
          <w:numId w:val="0"/>
        </w:numPr>
        <w:adjustRightInd w:val="0"/>
        <w:snapToGrid w:val="0"/>
        <w:spacing w:line="360" w:lineRule="auto"/>
        <w:ind w:firstLine="42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培训方式：针对参训人员，举办 2 个培训班，人数 50 人/班，采取课堂教学（包含线上线下）、实践教学、跟踪服务相结合的方式开展。培训总时长 56学时，综合素养课学时不低于总学时数的 10%。专业技能课学时数应不低于总学时数的 70%，其中，采取实践教学的比例不低于专业技能课学时数的 50%。能力拓展课学时数应不高于总学时数的 20%。线上学习学时数不超过总学时数的 15%。</w:t>
      </w:r>
    </w:p>
    <w:p w14:paraId="0D767366">
      <w:pPr>
        <w:numPr>
          <w:ilvl w:val="0"/>
          <w:numId w:val="0"/>
        </w:numPr>
        <w:adjustRightInd w:val="0"/>
        <w:snapToGrid w:val="0"/>
        <w:spacing w:line="360" w:lineRule="auto"/>
        <w:ind w:firstLine="420"/>
        <w:rPr>
          <w:rFonts w:hint="eastAsia" w:ascii="宋体" w:hAnsi="宋体" w:cs="宋体"/>
          <w:color w:val="auto"/>
          <w:szCs w:val="21"/>
          <w:highlight w:val="none"/>
        </w:rPr>
      </w:pPr>
      <w:r>
        <w:rPr>
          <w:rFonts w:hint="default" w:ascii="宋体" w:hAnsi="宋体" w:cs="宋体"/>
          <w:color w:val="auto"/>
          <w:szCs w:val="21"/>
          <w:highlight w:val="none"/>
          <w:lang w:val="en-US" w:eastAsia="zh-CN"/>
        </w:rPr>
        <w:t>实践基地要求</w:t>
      </w:r>
      <w:r>
        <w:rPr>
          <w:rFonts w:hint="eastAsia" w:ascii="宋体" w:hAnsi="宋体" w:cs="宋体"/>
          <w:color w:val="auto"/>
          <w:szCs w:val="21"/>
          <w:highlight w:val="none"/>
          <w:lang w:val="en-US" w:eastAsia="zh-CN"/>
        </w:rPr>
        <w:t>：每班</w:t>
      </w:r>
      <w:r>
        <w:rPr>
          <w:rFonts w:hint="default" w:ascii="宋体" w:hAnsi="宋体" w:cs="宋体"/>
          <w:color w:val="auto"/>
          <w:szCs w:val="21"/>
          <w:highlight w:val="none"/>
          <w:lang w:val="en-US" w:eastAsia="zh-CN"/>
        </w:rPr>
        <w:t>提供2处或2处以上与培训内容相匹配，同时已纳入农民教育培育信息管理系统实践教学的场所。</w:t>
      </w:r>
    </w:p>
    <w:p w14:paraId="5B51FC4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包2：农机手（无人机）技能提升（总100人</w:t>
      </w:r>
      <w:r>
        <w:rPr>
          <w:rFonts w:hint="eastAsia" w:ascii="宋体" w:hAnsi="宋体" w:cs="宋体"/>
          <w:color w:val="auto"/>
          <w:szCs w:val="21"/>
          <w:highlight w:val="none"/>
          <w:lang w:val="en-US" w:eastAsia="zh-CN"/>
        </w:rPr>
        <w:t>分2个</w:t>
      </w:r>
      <w:r>
        <w:rPr>
          <w:rFonts w:hint="eastAsia" w:ascii="宋体" w:hAnsi="宋体" w:cs="宋体"/>
          <w:color w:val="auto"/>
          <w:szCs w:val="21"/>
          <w:highlight w:val="none"/>
          <w:lang w:val="en-US" w:eastAsia="zh-CN"/>
        </w:rPr>
        <w:t>班</w:t>
      </w:r>
      <w:r>
        <w:rPr>
          <w:rFonts w:hint="eastAsia" w:ascii="宋体" w:hAnsi="宋体" w:cs="宋体"/>
          <w:color w:val="auto"/>
          <w:szCs w:val="21"/>
          <w:highlight w:val="none"/>
          <w:lang w:val="en-US" w:eastAsia="zh-CN"/>
        </w:rPr>
        <w:t>实施。</w:t>
      </w:r>
      <w:r>
        <w:rPr>
          <w:rFonts w:hint="eastAsia" w:ascii="宋体" w:hAnsi="宋体" w:cs="宋体"/>
          <w:color w:val="auto"/>
          <w:szCs w:val="21"/>
          <w:highlight w:val="none"/>
          <w:lang w:val="en-US" w:eastAsia="zh-CN"/>
        </w:rPr>
        <w:t>无人机1班粮油作物高效飞防植保，无人机2班低空经济场景拓展</w:t>
      </w:r>
      <w:r>
        <w:rPr>
          <w:rFonts w:hint="eastAsia" w:ascii="宋体" w:hAnsi="宋体" w:cs="宋体"/>
          <w:color w:val="auto"/>
          <w:szCs w:val="21"/>
          <w:highlight w:val="none"/>
        </w:rPr>
        <w:t>）</w:t>
      </w:r>
    </w:p>
    <w:p w14:paraId="3E954A4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以支撑农业机械化全程全面高质量发展为目标，聚焦粮油作物机械化作业关键环节，面向专业农机手、农机大户、农机作业服务组织带头人，通过“理论教学+实操实训+作业演练”相结合的模式（如田间机械实操考核、飞防模拟作业竞赛等）。主攻粮油作物耕种管收高效飞防植保（无人机航线规划、药剂配比）、低空经济场景拓展（无人机农业场景应用、物资运输中的创新应用）等机械化作业技术。培育一批懂智能农机、会操作无人机的复合型农机手人才。同时强化农机安全生产规范、农机具维护保养、作业服务组织管理等内容培训，提升专业农机手的综合服务能力。考核合格者发放农机（无人机）操作合格证。</w:t>
      </w:r>
    </w:p>
    <w:p w14:paraId="01AD9C12">
      <w:pPr>
        <w:numPr>
          <w:ilvl w:val="0"/>
          <w:numId w:val="0"/>
        </w:numPr>
        <w:adjustRightInd w:val="0"/>
        <w:snapToGrid w:val="0"/>
        <w:spacing w:line="360" w:lineRule="auto"/>
        <w:ind w:firstLine="42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培训方式：针对参训人员，举办 2 个培训班，人数 50 人/班，采取课堂教学（包含线上线下）、实践教学、跟踪服务相结合的方式开展。培训总时长 56学时，综合素养课学时不低于总学时数的 10%。专业技能课学时数应不低于总学时数的 70%，其中，采取实践教学的比例不低于专业技能课学时数的 50%。能力拓展课学时数应不高于总学时数的 20%。线上学习学时数不超过总学时数的 15%。</w:t>
      </w:r>
    </w:p>
    <w:p w14:paraId="075B34C8">
      <w:pPr>
        <w:numPr>
          <w:ilvl w:val="0"/>
          <w:numId w:val="0"/>
        </w:numPr>
        <w:adjustRightInd w:val="0"/>
        <w:snapToGrid w:val="0"/>
        <w:spacing w:line="360" w:lineRule="auto"/>
        <w:ind w:firstLine="420"/>
        <w:rPr>
          <w:rFonts w:hint="eastAsia" w:ascii="宋体" w:hAnsi="宋体" w:cs="宋体"/>
          <w:color w:val="auto"/>
          <w:szCs w:val="21"/>
          <w:highlight w:val="none"/>
        </w:rPr>
      </w:pPr>
      <w:r>
        <w:rPr>
          <w:rFonts w:hint="default" w:ascii="宋体" w:hAnsi="宋体" w:cs="宋体"/>
          <w:color w:val="auto"/>
          <w:szCs w:val="21"/>
          <w:highlight w:val="none"/>
          <w:lang w:val="en-US" w:eastAsia="zh-CN"/>
        </w:rPr>
        <w:t>实践基地要求</w:t>
      </w:r>
      <w:r>
        <w:rPr>
          <w:rFonts w:hint="eastAsia" w:ascii="宋体" w:hAnsi="宋体" w:cs="宋体"/>
          <w:color w:val="auto"/>
          <w:szCs w:val="21"/>
          <w:highlight w:val="none"/>
          <w:lang w:val="en-US" w:eastAsia="zh-CN"/>
        </w:rPr>
        <w:t>：每班</w:t>
      </w:r>
      <w:r>
        <w:rPr>
          <w:rFonts w:hint="default" w:ascii="宋体" w:hAnsi="宋体" w:cs="宋体"/>
          <w:color w:val="auto"/>
          <w:szCs w:val="21"/>
          <w:highlight w:val="none"/>
          <w:lang w:val="en-US" w:eastAsia="zh-CN"/>
        </w:rPr>
        <w:t>提供2处或2处以上与培训内容相匹配，同时已纳入农民教育培育信息管理系统实践教学的场所。</w:t>
      </w:r>
    </w:p>
    <w:p w14:paraId="0F69EFE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包3：智慧农业+AI智能应用专题培训和农产品电商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村播）</w:t>
      </w:r>
      <w:r>
        <w:rPr>
          <w:rFonts w:hint="eastAsia" w:ascii="宋体" w:hAnsi="宋体" w:cs="宋体"/>
          <w:color w:val="auto"/>
          <w:szCs w:val="21"/>
          <w:highlight w:val="none"/>
        </w:rPr>
        <w:t>专题培训</w:t>
      </w:r>
    </w:p>
    <w:p w14:paraId="799EE14B">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智慧农业+AI智能应用班（50人）：面向有智慧农业发展需求的农业企业负责人、规模化种养大户、家庭农场主、农民合作社带头人等，围绕农业大数据平台使用（作物长势分析、产量预测等）、人工智能技术在农产品营销和品牌打造中的应用、数字农业场景应用、智能手机和数字化办公工具在农业主体中的落地应用等内容开展培训。采取“理论+实操+观摩研学”模式开展集中培训。</w:t>
      </w:r>
    </w:p>
    <w:p w14:paraId="07532A6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2、农产品电商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村播）</w:t>
      </w:r>
      <w:r>
        <w:rPr>
          <w:rFonts w:hint="eastAsia" w:ascii="宋体" w:hAnsi="宋体" w:cs="宋体"/>
          <w:color w:val="auto"/>
          <w:szCs w:val="21"/>
          <w:highlight w:val="none"/>
        </w:rPr>
        <w:t>专题培训班（50人）：面向从事农产品网络销售和农产品生产经营的农民或返乡从业人员。围绕品牌营销、产品设计、视频拍摄、文案策划等内容开展培训。采取“理论+实操+观摩研学”模式开展集中培训。</w:t>
      </w:r>
    </w:p>
    <w:p w14:paraId="65FF3CE0">
      <w:pPr>
        <w:numPr>
          <w:ilvl w:val="0"/>
          <w:numId w:val="0"/>
        </w:numPr>
        <w:adjustRightInd w:val="0"/>
        <w:snapToGrid w:val="0"/>
        <w:spacing w:line="360" w:lineRule="auto"/>
        <w:ind w:firstLine="42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培训方式：针对参训人员，举办 1 个培训班，人数 50 人/班，采取课堂教学（包含线上线下）、实践教学、跟踪服务相结合的方式开展。培训总时长 112学时，综合素养课学时不低于总学时数的 10%。专业技能课学时数应不低于总学时数的 70%，其中，采取实践教学的比例不低于专业技能课学时数的 50%。能力拓展课学时数应不高于总学时数的 20%。线上学习学时数不超过总学时数的 15%。</w:t>
      </w:r>
    </w:p>
    <w:p w14:paraId="5F88DB2A">
      <w:pPr>
        <w:numPr>
          <w:ilvl w:val="0"/>
          <w:numId w:val="0"/>
        </w:numPr>
        <w:adjustRightInd w:val="0"/>
        <w:snapToGrid w:val="0"/>
        <w:spacing w:line="360" w:lineRule="auto"/>
        <w:ind w:firstLine="420"/>
        <w:rPr>
          <w:rFonts w:hint="default" w:ascii="宋体" w:hAnsi="宋体" w:cs="宋体"/>
          <w:color w:val="auto"/>
          <w:szCs w:val="21"/>
          <w:highlight w:val="none"/>
          <w:lang w:val="en-US" w:eastAsia="zh-CN"/>
        </w:rPr>
      </w:pPr>
      <w:r>
        <w:rPr>
          <w:rFonts w:hint="default" w:ascii="宋体" w:hAnsi="宋体" w:cs="宋体"/>
          <w:color w:val="auto"/>
          <w:szCs w:val="21"/>
          <w:highlight w:val="none"/>
          <w:lang w:val="en-US" w:eastAsia="zh-CN"/>
        </w:rPr>
        <w:t>实践基地要求</w:t>
      </w:r>
      <w:r>
        <w:rPr>
          <w:rFonts w:hint="eastAsia" w:ascii="宋体" w:hAnsi="宋体" w:cs="宋体"/>
          <w:color w:val="auto"/>
          <w:szCs w:val="21"/>
          <w:highlight w:val="none"/>
          <w:lang w:val="en-US" w:eastAsia="zh-CN"/>
        </w:rPr>
        <w:t>：每班</w:t>
      </w:r>
      <w:r>
        <w:rPr>
          <w:rFonts w:hint="default" w:ascii="宋体" w:hAnsi="宋体" w:cs="宋体"/>
          <w:color w:val="auto"/>
          <w:szCs w:val="21"/>
          <w:highlight w:val="none"/>
          <w:lang w:val="en-US" w:eastAsia="zh-CN"/>
        </w:rPr>
        <w:t>提供2处或2处以上与培训内容相匹配，同时已纳入农民教育培育信息管理系统实践教学的场所。</w:t>
      </w:r>
    </w:p>
    <w:p w14:paraId="374D6F91">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包4：乡土文化能人（新化山歌）专题培训班（专题班50人）。</w:t>
      </w:r>
    </w:p>
    <w:p w14:paraId="768B48B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乡土文化能人（新化山歌）专题培训班，围绕“文艺赋美乡村”工作要求，面向有一定文艺特长、长期从事乡村文艺文化事业、致力于乡土文化挖掘保护和传承发展的农民文化能人。围绕农耕文化保护传承、优秀乡土文艺作品创作和优质乡村文化服务供给等内容，重点在文化特色突出、农民群众性文化团体活跃的奉家、水车、文田、大熊山地区，选一批乡土文化能人组织培训，推动乡土文化活化利用，促进农文旅深度融合，让乡村文化成为乡村振兴的精神支撑。</w:t>
      </w:r>
    </w:p>
    <w:p w14:paraId="2E66AE33">
      <w:pPr>
        <w:numPr>
          <w:ilvl w:val="0"/>
          <w:numId w:val="0"/>
        </w:numPr>
        <w:adjustRightInd w:val="0"/>
        <w:snapToGrid w:val="0"/>
        <w:spacing w:line="360" w:lineRule="auto"/>
        <w:ind w:firstLine="42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培训方式：针对参训人员，举办 1 个培训班，人数 50 人/班，采取课堂教学（包含线上线下）、实践教学、跟踪服务相结合的方式开展。培训总时长 112学时，综合素养课学时不低于总学时数的 10%。专业技能课学时数应不低于总学时数的 70%，其中，采取实践教学的比例不低于专业技能课学时数的 50%。能力拓展课学时数应不高于总学时数的 20%。线上学习学时数不超过总学时数的 15%。</w:t>
      </w:r>
    </w:p>
    <w:p w14:paraId="28F46F5A">
      <w:pPr>
        <w:numPr>
          <w:ilvl w:val="0"/>
          <w:numId w:val="0"/>
        </w:numPr>
        <w:adjustRightInd w:val="0"/>
        <w:snapToGrid w:val="0"/>
        <w:spacing w:line="360" w:lineRule="auto"/>
        <w:ind w:firstLine="420"/>
        <w:rPr>
          <w:rFonts w:hint="eastAsia" w:ascii="宋体" w:hAnsi="宋体" w:cs="宋体"/>
          <w:color w:val="auto"/>
          <w:szCs w:val="21"/>
          <w:highlight w:val="none"/>
        </w:rPr>
      </w:pPr>
      <w:r>
        <w:rPr>
          <w:rFonts w:hint="default" w:ascii="宋体" w:hAnsi="宋体" w:cs="宋体"/>
          <w:color w:val="auto"/>
          <w:szCs w:val="21"/>
          <w:highlight w:val="none"/>
          <w:lang w:val="en-US" w:eastAsia="zh-CN"/>
        </w:rPr>
        <w:t>实践基地要求</w:t>
      </w:r>
      <w:r>
        <w:rPr>
          <w:rFonts w:hint="eastAsia" w:ascii="宋体" w:hAnsi="宋体" w:cs="宋体"/>
          <w:color w:val="auto"/>
          <w:szCs w:val="21"/>
          <w:highlight w:val="none"/>
          <w:lang w:val="en-US" w:eastAsia="zh-CN"/>
        </w:rPr>
        <w:t>：每班</w:t>
      </w:r>
      <w:r>
        <w:rPr>
          <w:rFonts w:hint="default" w:ascii="宋体" w:hAnsi="宋体" w:cs="宋体"/>
          <w:color w:val="auto"/>
          <w:szCs w:val="21"/>
          <w:highlight w:val="none"/>
          <w:lang w:val="en-US" w:eastAsia="zh-CN"/>
        </w:rPr>
        <w:t>提供2处或2处以上与培训内容相匹配，同时已纳入农民教育培育信息管理系统实践教学的场所。</w:t>
      </w:r>
    </w:p>
    <w:p w14:paraId="6A946399">
      <w:pPr>
        <w:adjustRightInd w:val="0"/>
        <w:snapToGrid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五、培训对象：</w:t>
      </w:r>
    </w:p>
    <w:p w14:paraId="06EEA221">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年满16周岁，培育对象为正在从事或有意愿从事农业农村领域生产、经营、服务的农村集体经济组织相关人员、从事农业生产的大户、合作社骨干、农村青年群体、返乡创业青年等人员。</w:t>
      </w:r>
    </w:p>
    <w:p w14:paraId="589AE703">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培育对象身体健康，能正常参加培训班的各类活动。</w:t>
      </w:r>
    </w:p>
    <w:p w14:paraId="610B645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参训学员自愿报名，本年度参加培育的农民，只能参加当年度一个主题班的培训，确因人才培养需要的，可在次年参加不同主题或同一主题更高层级的培育。</w:t>
      </w:r>
    </w:p>
    <w:p w14:paraId="533F89E4">
      <w:pPr>
        <w:adjustRightInd w:val="0"/>
        <w:snapToGrid w:val="0"/>
        <w:spacing w:line="360" w:lineRule="auto"/>
        <w:ind w:firstLine="422" w:firstLineChars="200"/>
        <w:rPr>
          <w:rStyle w:val="99"/>
          <w:rFonts w:ascii="宋体" w:hAnsi="宋体" w:cs="宋体"/>
          <w:b/>
          <w:bCs/>
          <w:color w:val="auto"/>
          <w:szCs w:val="21"/>
          <w:highlight w:val="none"/>
        </w:rPr>
      </w:pPr>
      <w:r>
        <w:rPr>
          <w:rStyle w:val="99"/>
          <w:rFonts w:hint="eastAsia" w:ascii="宋体" w:hAnsi="宋体" w:cs="宋体"/>
          <w:b/>
          <w:bCs/>
          <w:color w:val="auto"/>
          <w:szCs w:val="21"/>
          <w:highlight w:val="none"/>
        </w:rPr>
        <w:t>六、服务期限：</w:t>
      </w:r>
      <w:r>
        <w:rPr>
          <w:rFonts w:hint="eastAsia" w:ascii="宋体" w:hAnsi="宋体" w:cs="宋体"/>
          <w:color w:val="auto"/>
          <w:highlight w:val="none"/>
        </w:rPr>
        <w:t>自合同签订之日起</w:t>
      </w:r>
      <w:r>
        <w:rPr>
          <w:rFonts w:hint="eastAsia" w:ascii="宋体" w:hAnsi="宋体" w:cs="宋体"/>
          <w:color w:val="auto"/>
          <w:highlight w:val="none"/>
          <w:lang w:val="en-US" w:eastAsia="zh-CN"/>
        </w:rPr>
        <w:t>6</w:t>
      </w:r>
      <w:r>
        <w:rPr>
          <w:rFonts w:hint="eastAsia" w:ascii="宋体" w:hAnsi="宋体" w:cs="宋体"/>
          <w:color w:val="auto"/>
          <w:highlight w:val="none"/>
        </w:rPr>
        <w:t>0日内完成本项目工作内容。</w:t>
      </w:r>
    </w:p>
    <w:p w14:paraId="63FB5342">
      <w:pPr>
        <w:adjustRightInd w:val="0"/>
        <w:snapToGrid w:val="0"/>
        <w:spacing w:line="360" w:lineRule="auto"/>
        <w:ind w:firstLine="422" w:firstLineChars="200"/>
        <w:rPr>
          <w:rStyle w:val="99"/>
          <w:rFonts w:ascii="宋体" w:hAnsi="宋体" w:cs="宋体"/>
          <w:b/>
          <w:bCs/>
          <w:color w:val="auto"/>
          <w:szCs w:val="21"/>
          <w:highlight w:val="none"/>
        </w:rPr>
      </w:pPr>
      <w:r>
        <w:rPr>
          <w:rStyle w:val="99"/>
          <w:rFonts w:hint="eastAsia" w:ascii="宋体" w:hAnsi="宋体" w:cs="宋体"/>
          <w:b/>
          <w:bCs/>
          <w:color w:val="auto"/>
          <w:szCs w:val="21"/>
          <w:highlight w:val="none"/>
        </w:rPr>
        <w:t>七、付款方式：</w:t>
      </w:r>
      <w:r>
        <w:rPr>
          <w:rStyle w:val="99"/>
          <w:rFonts w:hint="eastAsia" w:ascii="宋体" w:hAnsi="宋体" w:cs="宋体"/>
          <w:color w:val="auto"/>
          <w:szCs w:val="21"/>
          <w:highlight w:val="none"/>
        </w:rPr>
        <w:t>签订合同时约定</w:t>
      </w:r>
    </w:p>
    <w:p w14:paraId="799BD957">
      <w:pPr>
        <w:keepNext w:val="0"/>
        <w:keepLines w:val="0"/>
        <w:pageBreakBefore w:val="0"/>
        <w:widowControl/>
        <w:kinsoku/>
        <w:wordWrap/>
        <w:overflowPunct/>
        <w:topLinePunct w:val="0"/>
        <w:autoSpaceDE/>
        <w:autoSpaceDN/>
        <w:bidi w:val="0"/>
        <w:snapToGrid/>
        <w:spacing w:line="240" w:lineRule="auto"/>
        <w:ind w:firstLine="422" w:firstLineChars="200"/>
        <w:jc w:val="left"/>
        <w:textAlignment w:val="baseline"/>
        <w:rPr>
          <w:rFonts w:ascii="宋体" w:hAnsi="宋体" w:cs="宋体"/>
          <w:color w:val="auto"/>
          <w:szCs w:val="21"/>
          <w:highlight w:val="none"/>
        </w:rPr>
      </w:pPr>
      <w:r>
        <w:rPr>
          <w:rStyle w:val="99"/>
          <w:rFonts w:hint="eastAsia" w:ascii="宋体" w:hAnsi="宋体" w:cs="宋体"/>
          <w:b/>
          <w:bCs/>
          <w:color w:val="auto"/>
          <w:highlight w:val="none"/>
        </w:rPr>
        <w:t>八、未尽事宜双方签订合同时约定。</w:t>
      </w:r>
    </w:p>
    <w:p w14:paraId="69E203C0">
      <w:pPr>
        <w:spacing w:line="360" w:lineRule="auto"/>
        <w:ind w:firstLine="420" w:firstLineChars="200"/>
        <w:rPr>
          <w:color w:val="auto"/>
          <w:highlight w:val="none"/>
        </w:rPr>
      </w:pPr>
      <w:r>
        <w:rPr>
          <w:color w:val="auto"/>
          <w:highlight w:val="none"/>
        </w:rPr>
        <w:br w:type="page"/>
      </w:r>
    </w:p>
    <w:p w14:paraId="64B1F72A">
      <w:pPr>
        <w:spacing w:line="500" w:lineRule="exact"/>
        <w:rPr>
          <w:rFonts w:hint="eastAsia" w:ascii="宋体" w:hAnsi="宋体" w:cs="宋体"/>
          <w:color w:val="auto"/>
          <w:sz w:val="24"/>
          <w:highlight w:val="none"/>
        </w:rPr>
      </w:pPr>
      <w:r>
        <w:rPr>
          <w:rFonts w:hint="eastAsia" w:ascii="宋体" w:hAnsi="宋体" w:cs="宋体"/>
          <w:b/>
          <w:bCs/>
          <w:color w:val="auto"/>
          <w:sz w:val="32"/>
          <w:szCs w:val="32"/>
          <w:highlight w:val="none"/>
        </w:rPr>
        <w:t>附件1</w:t>
      </w:r>
    </w:p>
    <w:p w14:paraId="3347652C">
      <w:pPr>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6"/>
          <w:szCs w:val="36"/>
          <w:highlight w:val="none"/>
        </w:rPr>
        <w:t>高素质农民培育项目管理工作规程</w:t>
      </w:r>
    </w:p>
    <w:p w14:paraId="57CE8B25">
      <w:pPr>
        <w:jc w:val="center"/>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rPr>
        <w:t>（试行）</w:t>
      </w:r>
    </w:p>
    <w:p w14:paraId="51D09AA2">
      <w:pPr>
        <w:jc w:val="center"/>
        <w:rPr>
          <w:rFonts w:hint="eastAsia" w:ascii="黑体" w:hAnsi="黑体" w:eastAsia="黑体" w:cs="黑体"/>
          <w:color w:val="auto"/>
          <w:sz w:val="32"/>
          <w:szCs w:val="32"/>
          <w:highlight w:val="none"/>
        </w:rPr>
      </w:pPr>
      <w:r>
        <w:rPr>
          <w:rFonts w:hint="eastAsia" w:ascii="黑体" w:hAnsi="黑体" w:eastAsia="黑体" w:cs="黑体"/>
          <w:color w:val="auto"/>
          <w:sz w:val="28"/>
          <w:szCs w:val="28"/>
          <w:highlight w:val="none"/>
        </w:rPr>
        <w:t>第一章  总则</w:t>
      </w:r>
    </w:p>
    <w:p w14:paraId="5556F8F5">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第一条  为加强高素质农民培育计划组织管理，提高资金使用效率，提升培育质量效果，依据财政部《中央对地方专项转移支付管理办法》、农业农村部《农业相关转移支付项目管理部内工作规程》，制定本规程。</w:t>
      </w:r>
    </w:p>
    <w:p w14:paraId="461452CA">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第二条  本规程适用于各级农业农村部门使用中央财政转移支付资金开展的高素质农民培育工作。</w:t>
      </w:r>
    </w:p>
    <w:p w14:paraId="0E5ED397">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第三条  高素质农民培育采取统一部署、分层实施、分级管理、育用结合的方式，坚持质量导向、突出培育实效，紧密围绕农业农村高质量发展和乡村全面振兴人才需求组织开展。</w:t>
      </w:r>
    </w:p>
    <w:p w14:paraId="63885443">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第四条  农业农村部农村社会事业促进司（以下简称“部社会事业司”）负责高素质农民培育计划的管理和指导，制定《高素质农民培育规范》和相关标准，对各省高素质农民培育计划实施情况开展质量监管和总结评价。</w:t>
      </w:r>
    </w:p>
    <w:p w14:paraId="209B859C">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省级农业农村部门负责组织培育需求摸底，分解培育任务，指导市、县级落实培育计划，组织实施本级培育，开展质量监管和总结评价。各级农业农村部门负责本地区高素质农民培育计划组织实施和质量管理。</w:t>
      </w:r>
    </w:p>
    <w:p w14:paraId="4F46C344">
      <w:pPr>
        <w:jc w:val="center"/>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第二章  申报与下达</w:t>
      </w:r>
    </w:p>
    <w:p w14:paraId="14D0367C">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第五条  高素质农民培育计划任务围绕“三农”重点领域人才需求确定，根据农业农村领域急需紧缺人才培养需求设置相关专题任务，每年根据实际进行调整。</w:t>
      </w:r>
    </w:p>
    <w:p w14:paraId="71DCE414">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第六条  部社会事业司、各省农业农村部门应提前组织培育需求摸底，为确定年度培育任务提供参考。</w:t>
      </w:r>
    </w:p>
    <w:p w14:paraId="4E60EA6A">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第七条  部社会事业司提出高素质农民培育计划年度任务，下发专题任务申报指南，组织各省申报。</w:t>
      </w:r>
    </w:p>
    <w:p w14:paraId="7D8FF1EA">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各省农业农村部门按照专题任务申报指南要求，编制专题任务申报书，报送部社会事业司。</w:t>
      </w:r>
    </w:p>
    <w:p w14:paraId="79E78CA5">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第八条  部社会事业司组织项目评审，将通过评审的项目纳入项目储备库，提出专题任务分配建议，并按有关规定纳入资金测算、下达绩效任务。</w:t>
      </w:r>
    </w:p>
    <w:p w14:paraId="1FDF9635">
      <w:pPr>
        <w:jc w:val="center"/>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第三章  组织实施</w:t>
      </w:r>
    </w:p>
    <w:p w14:paraId="4987BE42">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第九条  高素质农民培育计划按照制定实施方案、分解培育任务、遴选培育机构、签订培育协议、指导任务实施、开展质量监管和总结评价的程序组织实施。</w:t>
      </w:r>
    </w:p>
    <w:p w14:paraId="1A1B9060">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第十条  各省农业农村部门按照财政部、农业农村部联合下达的年度高素质农民培育计划绩效任务和农业农村部印发的培育工作通知，制定实施方案并报部社会事业司审核备案。</w:t>
      </w:r>
    </w:p>
    <w:p w14:paraId="331C4515">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第十一条  各省农业农村部门根据部社会事业司审核备案的实施方案，通过因素测算、竞争立项等方式，确定市、县绩效任务，组织市、县编制实施方案并审核。优先支持上年任务完成情况和培育效果好的市、县承担培育任务。</w:t>
      </w:r>
    </w:p>
    <w:p w14:paraId="5B319669">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第十二条  各级农业农村部门分层实施培育计划任务，分别举办本级高素质农民培训班。</w:t>
      </w:r>
    </w:p>
    <w:p w14:paraId="6E744419">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本地区教育培训条件无法满足培育需求的，培训班整体或部分培训环节可采取异地委托培训或上级调训的方式开展。</w:t>
      </w:r>
    </w:p>
    <w:p w14:paraId="5A1F3657">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第十三条  各级农业农村部门应当坚持竞争择优原则遴选培育机构。</w:t>
      </w:r>
    </w:p>
    <w:p w14:paraId="0818054B">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机构可跨区域承担培育任务。鼓励优质公益性培育机构连续稳定承担培育任务，对承担上一年度培育任务并高质高效完成的培育机构可优先选用。承担培育任务的培育机构经确定后，要按规定履行公开公示程序。</w:t>
      </w:r>
    </w:p>
    <w:p w14:paraId="60548DA5">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通过招投标形式遴选培育机构的，应将《高素质农民培育规范》有关培育机构条件的内容纳入招标条件。</w:t>
      </w:r>
    </w:p>
    <w:p w14:paraId="2A594F49">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承担实践教学环节的机构应具有满足培育主题要求的场地、设施设备、实践师资等条件。</w:t>
      </w:r>
    </w:p>
    <w:p w14:paraId="4B2D440F">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第十四条  各级农业农村部门应与承担任务的培育机构签订合同或服务协议，明确培育的目标任务、完成期限、培育对象遴选方式和要求、培训方式、质量要求、资金用途和绩效目标等。培育任务内容应包含培育对象遴选、课堂教学（包含线上线下培训）、实践教学、观摩交流、跟踪服务及相应实施机构等。</w:t>
      </w:r>
    </w:p>
    <w:p w14:paraId="642A97AA">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第十五条  各级农业农村部门应指导本级培育机构精准遴选培育对象。高素质农民培育对象主要为新型农业经营主体带头人和乡村振兴骨干人员。</w:t>
      </w:r>
    </w:p>
    <w:p w14:paraId="3E5F824D">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本年度参加培育的农民，确因人才培养需要的，可在次年参加不同主题或同一主题更高层级的培育。</w:t>
      </w:r>
    </w:p>
    <w:p w14:paraId="4C7F20EF">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第十六条  各级农业农村部门应认真审核本级培育任务开班计划，主要审核内容包括：</w:t>
      </w:r>
    </w:p>
    <w:p w14:paraId="3B0ACAC7">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（一）培育主题是否符合下达任务的要求；</w:t>
      </w:r>
    </w:p>
    <w:p w14:paraId="62233ACF">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（二）课程和培育对象是否与培育主题一致；</w:t>
      </w:r>
    </w:p>
    <w:p w14:paraId="45BFC524">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（三）师资选用是否满足课程要求；</w:t>
      </w:r>
    </w:p>
    <w:p w14:paraId="7EDCBB22">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（四）课堂教学（包含线上线下）、实践教学、观摩交流等培育方式是否合理，是否有利于提高培育质量；</w:t>
      </w:r>
    </w:p>
    <w:p w14:paraId="14A552F5">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（五）培育经费支出计划是否合理合规；</w:t>
      </w:r>
    </w:p>
    <w:p w14:paraId="61A6F9ED">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（六）培育预期效果。</w:t>
      </w:r>
    </w:p>
    <w:p w14:paraId="29EAF840">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第十七条  培训开班时间和培训时长应综合考虑农时农事特点、产业发展需求和人才培养规律，同一班次可采取分段实施的方式组织培训。</w:t>
      </w:r>
    </w:p>
    <w:p w14:paraId="69B3FDBE">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第十八条  培育师资应具备相应课程的专业条件。综合素养课程师资原则上应来自政府及所属事业单位、大中专院校、科研院所等公益性机构。鼓励聘请农业企业、新型农业经营主体管理人员等“土专家”以及实操经验丰富的专业人员、技术能手授课。各级农业农村部门应委派与培训班主题相符的主管单位人员讲授“开班第一课”。跟踪服务应配备专门师资。</w:t>
      </w:r>
    </w:p>
    <w:p w14:paraId="3B7535B8">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第十九条  培育机构应建立培育档案，包括开班计划、培育对象信息、课程及考核结果记录、资金支出票据复印件、结业证书发放情况和其他必要培育信息。培育档案至少保存5年。</w:t>
      </w:r>
    </w:p>
    <w:p w14:paraId="5FE86B23">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第二十条  各级农业农村部门可根据实际需要，指导培育机构对培育对象开展跟踪服务。鼓励各级农业农村部门持续跟进培育对象发展情况，提供技术指导、政策对接、金融帮扶和信息服务等支持。</w:t>
      </w:r>
    </w:p>
    <w:p w14:paraId="4206BECE">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第二十一条  培育完成并验收合格后，培育机构应向培育对象发放结业证书，并将培育对象和结业证书档案报下达培育任务的农业农村部门备案。</w:t>
      </w:r>
    </w:p>
    <w:p w14:paraId="4002099B">
      <w:pPr>
        <w:jc w:val="center"/>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第四章  资金支出</w:t>
      </w:r>
    </w:p>
    <w:p w14:paraId="233ACCFF">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第二十二条  培育经费支出应遵循节约高效原则。中央财政转移支付高素质农民培育资金可用于支付高素质农民培育计划实施的需求摸底、课堂教学、实践教学、交流观摩、跟踪服务和总结评价等培育环节必需费用和验收费用。不得列支招投标费用、审计费用和第三方评估费用等应从“三公”经费支出的其他费用。不得给培育对象发放补助。</w:t>
      </w:r>
    </w:p>
    <w:p w14:paraId="10C69990">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第二十三条  培育费用原则上按照实际需求支出，具体标准由各级农业农村部门商本级财政部门确定。课堂教学日均费用一般不高于培训地干部培训标准。实践教学和跟踪服务费用应按实际支出。</w:t>
      </w:r>
    </w:p>
    <w:p w14:paraId="4F18A2CF">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第二十四条  培育费用可采取预拨、部分预拨、报账等方式支付。预拨比例由各级农业农村部门商财政部门确定。支付对象为承担任务的培育机构，相关支出、报账由培育机构具体负责。</w:t>
      </w:r>
    </w:p>
    <w:p w14:paraId="1D1AA523">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第二十五条  用好农业农村部转移支付管理平台，及时填报各级实施方案和资金支出信息，确保真实准确。严禁数据造假。</w:t>
      </w:r>
    </w:p>
    <w:p w14:paraId="7DAAB425">
      <w:pPr>
        <w:jc w:val="center"/>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第五章  监督管理</w:t>
      </w:r>
    </w:p>
    <w:p w14:paraId="2FA99E15">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第二十六条  严格按照中央财政转移支付资金管理的相关规定做好培育项目实施监管。按照《农业农村部办公厅关于进一步加强财政支农相关资金使用全链条管理的通知》要求，全面提升资金使用效能。</w:t>
      </w:r>
    </w:p>
    <w:p w14:paraId="66F56AA3">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第二十七条  部社会事业司建立常态化抽核机制，通过电话回访、平台数据核实、实地核验等方式对高素质农民培育计划实施情况进行全过程监管，对于培育过程不符合本规程和《高素质农民培育规范》的情况，及时予以纠正。委托农业农村部农民科技教育培训中心开展质量跟踪，必要时委托第三方机构开展实地核验。平台数据核实依据农民教育培训信息管理系统和农业农村部转移支付管理平台开展。实地核验应符合“四不两直”相关要求。</w:t>
      </w:r>
    </w:p>
    <w:p w14:paraId="5614565E">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第二十八条  各级农业农村部门对本级培训班和下级培育任务实施开展质量监管，建立职责明确、分工协作的质量监管体系。</w:t>
      </w:r>
    </w:p>
    <w:p w14:paraId="61CA0192">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各级高素质农民培育归口主管业务部门对项目实施和资金使用管理负主体责任和监督责任，明确项目管理目标、关键举措、时间进度和责任人，做好高素质农民培育政策公开，加强项目组织实施和执行调度，强化项目日常实施监管。</w:t>
      </w:r>
    </w:p>
    <w:p w14:paraId="3E8267B4">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第二十九条  各级农业农村部门应当在立项评审、实施管理和验收评价等关键环节，开展全链条项目资金监管。制定培育机构公开遴选方案和专题班评审方案，公正开展遴选评审工作。规范开展项目招投标，坚决防止围标串标等违规行为，确保优质培育机构承担任务。按照年度实施方案，加强项目实施过程指导督促，确保项目执行进度，持续提升培育质量。对本级培训班使用教材、教案进行政策把关。</w:t>
      </w:r>
    </w:p>
    <w:p w14:paraId="6C983229">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第三十条  按照“谁使用谁负责”的原则，规范资金使用，任何单位和个人不得挤占、截留、挪用或擅自改变用途，不得跨项目整合资金，国家另有规定的除外。对企业为主体承担的项目，要商财政部门研究创新实施机制，防范骗取套取财政支农资金风险。地方各级农业农村部门要积极配合有关部门，严肃查处相关违规违纪违法行为，并以适当形式对培育机构进行通报、约谈。</w:t>
      </w:r>
    </w:p>
    <w:p w14:paraId="082C8C96">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第三十一条  部社会事业司在监督管理中发现以下问题时，应约谈该省份农业农村部门，提出整改要求并督促落实。对拒不整改的，商部计财司暂停下一年度培育任务。</w:t>
      </w:r>
    </w:p>
    <w:p w14:paraId="2AF37CC6">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（一）资金随意分配、挤占挪用的；</w:t>
      </w:r>
    </w:p>
    <w:p w14:paraId="2FA62A5D">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（二）未按要求开展培育质量监管的；</w:t>
      </w:r>
    </w:p>
    <w:p w14:paraId="77A62205">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（三）多个培育班次不符合规范要求的；</w:t>
      </w:r>
    </w:p>
    <w:p w14:paraId="08981542">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（四）发生多起举报、上访事件并核查属实的。</w:t>
      </w:r>
    </w:p>
    <w:p w14:paraId="0A8382DA">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省级农业农村部门在对市、县实施项目的监督管理中发现以上问题的，参照以上要求处理。</w:t>
      </w:r>
    </w:p>
    <w:p w14:paraId="79CE1C41">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第三十二条  各级农业农村部门对存在以下情况的培育机构，应暂停或取消其实施资格，追缴项目资金，三年内不再受理培育申请。</w:t>
      </w:r>
    </w:p>
    <w:p w14:paraId="1E3E863C">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（一）培育机构申报条件和培育过程弄虚作假的；</w:t>
      </w:r>
    </w:p>
    <w:p w14:paraId="3BD08D28">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（二）私自分包、转包培育任务的；</w:t>
      </w:r>
    </w:p>
    <w:p w14:paraId="75C388E7">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（三）超出培育完成期限时间较长仍未能完成任务的；</w:t>
      </w:r>
    </w:p>
    <w:p w14:paraId="563028E6">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（四）培育资金使用严重违规或违反合同协议的，存在虚报冒领、骗取套取行为的；</w:t>
      </w:r>
    </w:p>
    <w:p w14:paraId="3C477C32">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（五）培育过程中出现安全责任事故、违法违规情况的。</w:t>
      </w:r>
    </w:p>
    <w:p w14:paraId="1B1207C8">
      <w:pPr>
        <w:jc w:val="center"/>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第六章  总结评价</w:t>
      </w:r>
    </w:p>
    <w:p w14:paraId="5B9F09AB">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第三十三条  部社会事业司配合部计财司对各省高素质农民培育计划实施情况开展绩效管理。</w:t>
      </w:r>
    </w:p>
    <w:p w14:paraId="0B62112E">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第三十四条  各省农业农村部门每年1月10日前向部社会事业司报送高素质农民培育计划实施情况年度总结。</w:t>
      </w:r>
    </w:p>
    <w:p w14:paraId="6016E65A">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第三十五条  部社会事业司对各省实施情况开展总结性评价，评价结果采取适当方式进行通报，并作为确定下一年度培育任务的重要依据。</w:t>
      </w:r>
    </w:p>
    <w:p w14:paraId="1157DD3B">
      <w:pPr>
        <w:jc w:val="center"/>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第七章  附则</w:t>
      </w:r>
    </w:p>
    <w:p w14:paraId="4F6649E3">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第三十六条  本规程所称省是指省、自治区、直辖市、计划单列市、新疆生产建设兵团以及北大荒农垦集团有限公司、广东省农垦总局。农业农村部门是指农业农村、农牧、畜牧兽医、渔业等行政主管部门。</w:t>
      </w:r>
    </w:p>
    <w:p w14:paraId="64C219D4">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本规程相关规定与年度工作通知要求不一致的，按年度通知要求执行。</w:t>
      </w:r>
    </w:p>
    <w:p w14:paraId="33E3520E">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第三十七条  各地农业农村部门可根据本规程，结合本地区的实际情况，制定具体实施细则。</w:t>
      </w:r>
    </w:p>
    <w:p w14:paraId="76C9865A">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第三十八条  本规程由部社会事业司负责解释。</w:t>
      </w:r>
    </w:p>
    <w:p w14:paraId="45DBB4DD">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第三十九条  本规程自印发之日起施行。</w:t>
      </w:r>
    </w:p>
    <w:p w14:paraId="3FD47ED4">
      <w:pPr>
        <w:widowControl/>
        <w:textAlignment w:val="baseline"/>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br w:type="page"/>
      </w:r>
    </w:p>
    <w:p w14:paraId="7BA25C3E">
      <w:pPr>
        <w:spacing w:line="500" w:lineRule="exact"/>
        <w:rPr>
          <w:rFonts w:hint="eastAsia" w:ascii="宋体" w:hAnsi="宋体" w:cs="宋体"/>
          <w:color w:val="auto"/>
          <w:sz w:val="24"/>
          <w:highlight w:val="none"/>
        </w:rPr>
      </w:pPr>
      <w:r>
        <w:rPr>
          <w:rFonts w:hint="eastAsia" w:ascii="宋体" w:hAnsi="宋体" w:cs="宋体"/>
          <w:b/>
          <w:bCs/>
          <w:color w:val="auto"/>
          <w:sz w:val="32"/>
          <w:szCs w:val="32"/>
          <w:highlight w:val="none"/>
        </w:rPr>
        <w:t>附件2</w:t>
      </w:r>
    </w:p>
    <w:p w14:paraId="42C60A14">
      <w:pPr>
        <w:spacing w:line="500" w:lineRule="exact"/>
        <w:ind w:firstLine="643" w:firstLineChars="200"/>
        <w:jc w:val="center"/>
        <w:rPr>
          <w:rFonts w:hint="eastAsia" w:ascii="宋体" w:hAnsi="宋体" w:cs="宋体"/>
          <w:color w:val="auto"/>
          <w:sz w:val="24"/>
          <w:highlight w:val="none"/>
        </w:rPr>
      </w:pPr>
      <w:r>
        <w:rPr>
          <w:rFonts w:hint="eastAsia" w:ascii="宋体" w:hAnsi="宋体" w:cs="宋体"/>
          <w:b/>
          <w:bCs/>
          <w:color w:val="auto"/>
          <w:sz w:val="32"/>
          <w:szCs w:val="32"/>
          <w:highlight w:val="none"/>
        </w:rPr>
        <w:t>高素质农民培育规范（修订）</w:t>
      </w:r>
    </w:p>
    <w:p w14:paraId="463ADAF8">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一、适用范围</w:t>
      </w:r>
    </w:p>
    <w:p w14:paraId="64C758BD">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承担高素质农民培育任务的机构应遵循本规范执行高素质农民培育任务。</w:t>
      </w:r>
    </w:p>
    <w:p w14:paraId="2C8C9176">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二、培育对象</w:t>
      </w:r>
    </w:p>
    <w:p w14:paraId="58EC5DFF">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培育对象应正在从事或有意愿从事农业农村领域生产、经营、服务的农民和返乡人员，主要培育新型农业经营主体带头人和乡村振兴骨干人员。</w:t>
      </w:r>
    </w:p>
    <w:p w14:paraId="0159A211">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本年度参加培育的农民，确因人才培养需要的，可在次年参加不同主题或同一主题更高层级的培育。</w:t>
      </w:r>
    </w:p>
    <w:p w14:paraId="0A86B96E">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三、培育机构</w:t>
      </w:r>
    </w:p>
    <w:p w14:paraId="69524F95">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申请承担培育任务的机构应当符合以下条件：</w:t>
      </w:r>
    </w:p>
    <w:p w14:paraId="69D6BE84">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（一）成立3年以上，具有独立法人资格；</w:t>
      </w:r>
    </w:p>
    <w:p w14:paraId="4191F5FF">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（二）具有教育、培训相关职能、资质或主营业务范围；</w:t>
      </w:r>
    </w:p>
    <w:p w14:paraId="3A3A3E0B">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（三）能提供满足培育需要的教学场所及教学设施设备；</w:t>
      </w:r>
    </w:p>
    <w:p w14:paraId="26D5564E">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（四）具备专职教学管理人员和与培育主题相匹配的专兼职师资。</w:t>
      </w:r>
    </w:p>
    <w:p w14:paraId="609149B4">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承担实践教学环节的机构应当具有满足培育主题要求的场地、设施设备、实践师资等条件。</w:t>
      </w:r>
    </w:p>
    <w:p w14:paraId="76DF8E67">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机构负责建立培训班管理制度、制定开班计划、遴选培育对象、设置培训课程、委派或聘请授课师资、优选培育教材、落实培育任务、建立培育档案、开展跟踪服务，指定专人负责培训班组织实施，接受质量监管和核验评价。培育机构将课堂教学、实践教学和跟踪服务的部分环节委托给其他机构实施的，应与该机构签订合作协议，明确委托内容、质量要求、完成期限等，并对培育效果负责。</w:t>
      </w:r>
    </w:p>
    <w:p w14:paraId="118E00E2">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鼓励培训班建立临时党组织，强化党建引领。</w:t>
      </w:r>
    </w:p>
    <w:p w14:paraId="32460ECB">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四、开班计划</w:t>
      </w:r>
    </w:p>
    <w:p w14:paraId="30F63953">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开班计划应包括培育主题、课程、学时、培育对象、培育形式、师资、教材、经费支出计划和预期效果等培育全过程内容，明确班级管理相关要求，经下达培育任务的农业农村部门审核后，由培育机构公开发布。</w:t>
      </w:r>
    </w:p>
    <w:p w14:paraId="0A30068E">
      <w:pPr>
        <w:widowControl/>
        <w:spacing w:line="360" w:lineRule="auto"/>
        <w:ind w:firstLine="420" w:firstLineChars="200"/>
        <w:jc w:val="left"/>
        <w:rPr>
          <w:rFonts w:hint="eastAsia" w:ascii="仿宋_GB2312" w:hAnsi="仿宋_GB2312" w:eastAsia="仿宋_GB2312" w:cs="仿宋_GB2312"/>
          <w:color w:val="auto"/>
          <w:sz w:val="28"/>
          <w:szCs w:val="28"/>
          <w:highlight w:val="none"/>
        </w:rPr>
      </w:pPr>
      <w:r>
        <w:rPr>
          <w:rFonts w:hint="eastAsia" w:ascii="宋体" w:hAnsi="宋体" w:cs="宋体"/>
          <w:color w:val="auto"/>
          <w:szCs w:val="21"/>
          <w:highlight w:val="none"/>
        </w:rPr>
        <w:t>培育机构应严格按照开班计划实施培育。确有必要调整开班计划的，需经原审核部门同意。原则上每个培训班人数不超过70人，以实践教学为主的，每班不超过50人。由于交通不便、培育条件不足或培育内容专一性导致培育人数较少的，每班应不少于30人。</w:t>
      </w:r>
    </w:p>
    <w:p w14:paraId="4717587D">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五、课程要求</w:t>
      </w:r>
    </w:p>
    <w:p w14:paraId="48619244">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建立模块化课程体系，分为综合素养课、专业技能课、能力拓展课三类。培育机构综合考虑农时农事特点和人才培养规律，合理设计三类课程，选择集中或分时段开展。</w:t>
      </w:r>
    </w:p>
    <w:p w14:paraId="059D9A5D">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根据培育主题实际需要确定培训班总学时，每个培训班原则上不少于40个学时（不包含报到、返程时间）。1学时为45分钟，每天不超过8个学时。</w:t>
      </w:r>
    </w:p>
    <w:p w14:paraId="31B8D13D">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综合素养课包括思想政治、政策法规、职业素养和文化素养类等课程，包含“开班第一课”。“开班第一课”应包括当年中央一号文件和农业农村部相关部署要求等内容。专业技能课应根据培育对象实际需求，紧紧围绕培育主题开设。能力拓展课由培育机构根据培育对象和培育目标自选开展、自行设计。</w:t>
      </w:r>
    </w:p>
    <w:p w14:paraId="45A11B49">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原则上，综合素养课学时不低于总学时数的10%。专业技能课学时数应不低于总学时数的70%，其中，采取实践教学的比例不低于专业技能课学时数的50%。能力拓展课学时数应不高于总学时数的20%。全部专业技能课程结束后应进行课程考核。</w:t>
      </w:r>
    </w:p>
    <w:p w14:paraId="1082145A">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配合重大农业灾害、动物疫病应急处置等开展的应急性培训，学时要求可不受此限制。</w:t>
      </w:r>
    </w:p>
    <w:p w14:paraId="62DE49EC">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六、培育形式</w:t>
      </w:r>
    </w:p>
    <w:p w14:paraId="1047C822">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培育课程主要通过课堂教学（包含线上线下）、实践教学、观摩交流等形式进行。鼓励培育机构创新教学方法，改进培育形式，提高教学效果。</w:t>
      </w:r>
    </w:p>
    <w:p w14:paraId="751FBE90">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课堂教学包括线上线下集中授课。鼓励采取案例教学参与式教学、互动式教学等形式。线上学习可采取网络直播或课件学习的方式。线上学习平台应具备完善的在线学习、直播授课、课程考核及相关统计、监测和评价功能。其中，线上学习学时数不超过总学时数的15%。</w:t>
      </w:r>
    </w:p>
    <w:p w14:paraId="5DB9D8CB">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实践教学应在与课程内容直接相关的实习实训场所或生产经营一线开展，包括场地实训、顶岗实习、跟岗见习、模拟教学、实践孵化等形式。</w:t>
      </w:r>
    </w:p>
    <w:p w14:paraId="732DF958">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交流观摩应选取与培育主题相符的地点或主体开展。</w:t>
      </w:r>
    </w:p>
    <w:p w14:paraId="33964DB1">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七、培育师资</w:t>
      </w:r>
    </w:p>
    <w:p w14:paraId="42F7828C">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培育师资应具备相应课程的专业条件，授课符合课程主题需求，授课方式易于农民接受，教案内容通俗实用。</w:t>
      </w:r>
    </w:p>
    <w:p w14:paraId="7560FDDD">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综合素养课程师资原则上应来自政府及所属事业单位、大中专院校、科研院所等公益性机构。鼓励聘请农业企业、新型农业经营主体管理人员等“土专家”以及实操经验丰富的专业人员、技术能手讲授实践课程。“开班第一课”应由各级农业农村部门委派与培训班主题相符的主管单位人员讲授。跟踪服务应配备专门师资。</w:t>
      </w:r>
    </w:p>
    <w:p w14:paraId="56116E28">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八、培育教材</w:t>
      </w:r>
    </w:p>
    <w:p w14:paraId="4043D99E">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培育教材包括正式出版物和各级农业农村部门组织编制的培育手册。培育机构应严把教材质量关，经主管部门审核，选用规范、先进、实用的培育教材。</w:t>
      </w:r>
    </w:p>
    <w:p w14:paraId="5362A1D1">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优先选用农业农村部、教育部规划教材和各级农业农村部门推荐教材。鼓励文字教材和视频教材配合使用。</w:t>
      </w:r>
    </w:p>
    <w:p w14:paraId="0A55696A">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九、资金使用</w:t>
      </w:r>
    </w:p>
    <w:p w14:paraId="34B4E261">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机构应当按照相关规定和合同、协议约定的用途使用培育资金。可使用培育资金支付培育全过程环节所需费用，按照“谁使用谁负责”的原则，规范资金使用。不得擅自改变资金用途或擅自转拨资金，不得给培育对象发放补助。</w:t>
      </w:r>
    </w:p>
    <w:p w14:paraId="0B68EBB1">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十、培育对象管理</w:t>
      </w:r>
    </w:p>
    <w:p w14:paraId="2149BBCE">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培育机构应加强培育对象管理，要求培育对象在集中培育期间，严格遵守班级管理制度，严禁酗酒、滋事或从事可能影响学习培训的娱乐活动。</w:t>
      </w:r>
    </w:p>
    <w:p w14:paraId="4BB1287E">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十一、结业证书</w:t>
      </w:r>
    </w:p>
    <w:p w14:paraId="475D0DD5">
      <w:pPr>
        <w:ind w:firstLine="420" w:firstLineChars="200"/>
        <w:rPr>
          <w:rFonts w:hint="eastAsia" w:ascii="仿宋_GB2312" w:hAnsi="仿宋_GB2312" w:eastAsia="仿宋_GB2312" w:cs="仿宋_GB2312"/>
          <w:color w:val="auto"/>
          <w:sz w:val="28"/>
          <w:szCs w:val="28"/>
          <w:highlight w:val="none"/>
        </w:rPr>
      </w:pPr>
      <w:r>
        <w:rPr>
          <w:rFonts w:hint="eastAsia" w:ascii="宋体" w:hAnsi="宋体" w:cs="宋体"/>
          <w:color w:val="auto"/>
          <w:szCs w:val="21"/>
          <w:highlight w:val="none"/>
        </w:rPr>
        <w:t>培育机构根据课程考核和考勤情况，综合评价学员学习成果，对完成学习任务的培育对象颁发结业证书</w:t>
      </w:r>
      <w:r>
        <w:rPr>
          <w:rFonts w:hint="eastAsia" w:ascii="仿宋_GB2312" w:hAnsi="仿宋_GB2312" w:eastAsia="仿宋_GB2312" w:cs="仿宋_GB2312"/>
          <w:color w:val="auto"/>
          <w:sz w:val="28"/>
          <w:szCs w:val="28"/>
          <w:highlight w:val="none"/>
        </w:rPr>
        <w:t>。</w:t>
      </w:r>
    </w:p>
    <w:p w14:paraId="7BD2D323">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十二、跟踪服务</w:t>
      </w:r>
    </w:p>
    <w:p w14:paraId="3A33952B">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机构应在课堂教学、实践教学和交流观摩全部完成后对学员开展跟踪服务，时长不超过1年，次数不少于2次。跟踪服务人数不少于培训班总人数的30%。跟踪服务形式可包括技术指导、政策推介、发展帮扶、组织交流互助、组织参加与培育主题相关的展会和技能竞赛等。</w:t>
      </w:r>
    </w:p>
    <w:p w14:paraId="4AAE6A4C">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十三、信息档案</w:t>
      </w:r>
    </w:p>
    <w:p w14:paraId="51D1FC30">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培育机构应将开班计划、培育对象信息、课程、师资、跟踪服务情况全部录入农民教育培训信息管理系统，及时更新相关培育、课程考核和结业证书颁发情况。</w:t>
      </w:r>
    </w:p>
    <w:p w14:paraId="28168664">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培育机构应建立培育档案，包括开班计划、培育对象信息、课程及考核结果记录、资金支出票据复印件、结业证书发放情况和其他必要培育信息。培育档案至少保存5年。</w:t>
      </w:r>
    </w:p>
    <w:p w14:paraId="63BC75DB">
      <w:pPr>
        <w:spacing w:line="500" w:lineRule="exact"/>
        <w:rPr>
          <w:rFonts w:hint="eastAsia" w:ascii="宋体" w:hAnsi="宋体" w:cs="宋体"/>
          <w:b/>
          <w:bCs/>
          <w:color w:val="auto"/>
          <w:sz w:val="32"/>
          <w:szCs w:val="32"/>
          <w:highlight w:val="none"/>
        </w:rPr>
      </w:pPr>
    </w:p>
    <w:p w14:paraId="432F7025">
      <w:pPr>
        <w:spacing w:line="500" w:lineRule="exact"/>
        <w:rPr>
          <w:rFonts w:hint="eastAsia" w:ascii="宋体" w:hAnsi="宋体" w:cs="宋体"/>
          <w:b/>
          <w:bCs/>
          <w:color w:val="auto"/>
          <w:sz w:val="32"/>
          <w:szCs w:val="32"/>
          <w:highlight w:val="none"/>
        </w:rPr>
      </w:pPr>
    </w:p>
    <w:p w14:paraId="0F7AB9A9">
      <w:pPr>
        <w:spacing w:line="500" w:lineRule="exact"/>
        <w:rPr>
          <w:rFonts w:hint="eastAsia" w:ascii="宋体" w:hAnsi="宋体" w:cs="宋体"/>
          <w:b/>
          <w:bCs/>
          <w:color w:val="auto"/>
          <w:sz w:val="32"/>
          <w:szCs w:val="32"/>
          <w:highlight w:val="none"/>
        </w:rPr>
      </w:pPr>
    </w:p>
    <w:p w14:paraId="06259FB4">
      <w:pPr>
        <w:spacing w:line="500" w:lineRule="exact"/>
        <w:rPr>
          <w:rFonts w:hint="eastAsia" w:ascii="宋体" w:hAnsi="宋体" w:cs="宋体"/>
          <w:b/>
          <w:bCs/>
          <w:color w:val="auto"/>
          <w:sz w:val="32"/>
          <w:szCs w:val="32"/>
          <w:highlight w:val="none"/>
        </w:rPr>
      </w:pPr>
    </w:p>
    <w:p w14:paraId="19C1ACF4">
      <w:pPr>
        <w:spacing w:line="500" w:lineRule="exact"/>
        <w:rPr>
          <w:rFonts w:hint="eastAsia" w:ascii="宋体" w:hAnsi="宋体" w:cs="宋体"/>
          <w:b/>
          <w:bCs/>
          <w:color w:val="auto"/>
          <w:sz w:val="32"/>
          <w:szCs w:val="32"/>
          <w:highlight w:val="none"/>
        </w:rPr>
      </w:pPr>
    </w:p>
    <w:p w14:paraId="4A6E3768">
      <w:pPr>
        <w:spacing w:line="500" w:lineRule="exact"/>
        <w:rPr>
          <w:rFonts w:hint="eastAsia" w:ascii="宋体" w:hAnsi="宋体" w:cs="宋体"/>
          <w:b/>
          <w:bCs/>
          <w:color w:val="auto"/>
          <w:sz w:val="32"/>
          <w:szCs w:val="32"/>
          <w:highlight w:val="none"/>
        </w:rPr>
      </w:pPr>
    </w:p>
    <w:p w14:paraId="64A97E7B">
      <w:pPr>
        <w:spacing w:line="500" w:lineRule="exact"/>
        <w:rPr>
          <w:rFonts w:hint="eastAsia" w:ascii="宋体" w:hAnsi="宋体" w:cs="宋体"/>
          <w:b/>
          <w:bCs/>
          <w:color w:val="auto"/>
          <w:sz w:val="32"/>
          <w:szCs w:val="32"/>
          <w:highlight w:val="none"/>
        </w:rPr>
      </w:pPr>
    </w:p>
    <w:p w14:paraId="29D5B05F">
      <w:pPr>
        <w:spacing w:line="500" w:lineRule="exact"/>
        <w:rPr>
          <w:rFonts w:hint="eastAsia" w:ascii="宋体" w:hAnsi="宋体" w:cs="宋体"/>
          <w:b/>
          <w:bCs/>
          <w:color w:val="auto"/>
          <w:sz w:val="32"/>
          <w:szCs w:val="32"/>
          <w:highlight w:val="none"/>
        </w:rPr>
      </w:pPr>
    </w:p>
    <w:p w14:paraId="0B8E2C46">
      <w:pPr>
        <w:spacing w:line="500" w:lineRule="exact"/>
        <w:rPr>
          <w:rFonts w:hint="eastAsia" w:ascii="宋体" w:hAnsi="宋体" w:cs="宋体"/>
          <w:b/>
          <w:bCs/>
          <w:color w:val="auto"/>
          <w:sz w:val="32"/>
          <w:szCs w:val="32"/>
          <w:highlight w:val="none"/>
        </w:rPr>
      </w:pPr>
    </w:p>
    <w:p w14:paraId="6C6E6504">
      <w:pPr>
        <w:spacing w:line="500" w:lineRule="exact"/>
        <w:rPr>
          <w:rFonts w:hint="eastAsia" w:ascii="宋体" w:hAnsi="宋体" w:cs="宋体"/>
          <w:b/>
          <w:bCs/>
          <w:color w:val="auto"/>
          <w:sz w:val="32"/>
          <w:szCs w:val="32"/>
          <w:highlight w:val="none"/>
        </w:rPr>
      </w:pPr>
    </w:p>
    <w:p w14:paraId="6181ADA0">
      <w:pPr>
        <w:spacing w:line="500" w:lineRule="exact"/>
        <w:rPr>
          <w:rFonts w:hint="eastAsia" w:ascii="宋体" w:hAnsi="宋体" w:cs="宋体"/>
          <w:b/>
          <w:bCs/>
          <w:color w:val="auto"/>
          <w:sz w:val="32"/>
          <w:szCs w:val="32"/>
          <w:highlight w:val="none"/>
        </w:rPr>
      </w:pPr>
    </w:p>
    <w:p w14:paraId="40B3F989">
      <w:pPr>
        <w:spacing w:line="500" w:lineRule="exact"/>
        <w:rPr>
          <w:rFonts w:hint="eastAsia" w:ascii="宋体" w:hAnsi="宋体" w:cs="宋体"/>
          <w:b/>
          <w:bCs/>
          <w:color w:val="auto"/>
          <w:sz w:val="32"/>
          <w:szCs w:val="32"/>
          <w:highlight w:val="none"/>
        </w:rPr>
      </w:pPr>
    </w:p>
    <w:p w14:paraId="5B408C60">
      <w:pPr>
        <w:spacing w:line="500" w:lineRule="exact"/>
        <w:rPr>
          <w:rFonts w:hint="eastAsia" w:ascii="宋体" w:hAnsi="宋体" w:cs="宋体"/>
          <w:b/>
          <w:bCs/>
          <w:color w:val="auto"/>
          <w:sz w:val="32"/>
          <w:szCs w:val="32"/>
          <w:highlight w:val="none"/>
        </w:rPr>
      </w:pPr>
    </w:p>
    <w:p w14:paraId="6D1AF7E5">
      <w:pPr>
        <w:spacing w:line="500" w:lineRule="exact"/>
        <w:rPr>
          <w:rFonts w:hint="eastAsia" w:ascii="宋体" w:hAnsi="宋体" w:cs="宋体"/>
          <w:b/>
          <w:bCs/>
          <w:color w:val="auto"/>
          <w:sz w:val="32"/>
          <w:szCs w:val="32"/>
          <w:highlight w:val="none"/>
        </w:rPr>
      </w:pPr>
    </w:p>
    <w:p w14:paraId="3B519691">
      <w:pPr>
        <w:spacing w:line="500" w:lineRule="exact"/>
        <w:rPr>
          <w:rFonts w:hint="eastAsia" w:ascii="宋体" w:hAnsi="宋体" w:cs="宋体"/>
          <w:b/>
          <w:bCs/>
          <w:color w:val="auto"/>
          <w:sz w:val="32"/>
          <w:szCs w:val="32"/>
          <w:highlight w:val="none"/>
        </w:rPr>
      </w:pPr>
    </w:p>
    <w:p w14:paraId="5C1BFDF3">
      <w:pPr>
        <w:spacing w:line="500" w:lineRule="exact"/>
        <w:rPr>
          <w:rFonts w:hint="eastAsia" w:ascii="宋体" w:hAnsi="宋体" w:cs="宋体"/>
          <w:b/>
          <w:bCs/>
          <w:color w:val="auto"/>
          <w:sz w:val="32"/>
          <w:szCs w:val="32"/>
          <w:highlight w:val="none"/>
        </w:rPr>
      </w:pPr>
    </w:p>
    <w:p w14:paraId="6BC59E3A">
      <w:pPr>
        <w:spacing w:line="500" w:lineRule="exact"/>
        <w:rPr>
          <w:rFonts w:hint="eastAsia" w:ascii="宋体" w:hAnsi="宋体" w:cs="宋体"/>
          <w:b/>
          <w:bCs/>
          <w:color w:val="auto"/>
          <w:sz w:val="32"/>
          <w:szCs w:val="32"/>
          <w:highlight w:val="none"/>
        </w:rPr>
      </w:pPr>
    </w:p>
    <w:p w14:paraId="3CACB662">
      <w:pPr>
        <w:spacing w:line="500" w:lineRule="exact"/>
        <w:rPr>
          <w:rFonts w:hint="eastAsia" w:ascii="宋体" w:hAnsi="宋体" w:cs="宋体"/>
          <w:b/>
          <w:bCs/>
          <w:color w:val="auto"/>
          <w:sz w:val="32"/>
          <w:szCs w:val="32"/>
          <w:highlight w:val="none"/>
        </w:rPr>
      </w:pPr>
    </w:p>
    <w:p w14:paraId="725761FE">
      <w:pPr>
        <w:spacing w:line="500" w:lineRule="exact"/>
        <w:rPr>
          <w:rFonts w:hint="eastAsia" w:ascii="宋体" w:hAnsi="宋体" w:cs="宋体"/>
          <w:b/>
          <w:bCs/>
          <w:color w:val="auto"/>
          <w:sz w:val="32"/>
          <w:szCs w:val="32"/>
          <w:highlight w:val="none"/>
        </w:rPr>
      </w:pPr>
    </w:p>
    <w:p w14:paraId="3DA717D8">
      <w:pPr>
        <w:spacing w:line="500" w:lineRule="exact"/>
        <w:rPr>
          <w:rFonts w:hint="eastAsia" w:ascii="宋体" w:hAnsi="宋体" w:cs="宋体"/>
          <w:b/>
          <w:bCs/>
          <w:color w:val="auto"/>
          <w:sz w:val="32"/>
          <w:szCs w:val="32"/>
          <w:highlight w:val="none"/>
        </w:rPr>
      </w:pPr>
    </w:p>
    <w:p w14:paraId="2C6164A9">
      <w:pPr>
        <w:spacing w:line="500" w:lineRule="exact"/>
        <w:rPr>
          <w:rFonts w:hint="eastAsia" w:ascii="宋体" w:hAnsi="宋体" w:cs="宋体"/>
          <w:b/>
          <w:bCs/>
          <w:color w:val="auto"/>
          <w:sz w:val="32"/>
          <w:szCs w:val="32"/>
          <w:highlight w:val="none"/>
        </w:rPr>
      </w:pPr>
    </w:p>
    <w:p w14:paraId="6BA9CFB2">
      <w:pPr>
        <w:spacing w:line="500" w:lineRule="exact"/>
        <w:rPr>
          <w:rFonts w:hint="eastAsia" w:ascii="宋体" w:hAnsi="宋体" w:cs="宋体"/>
          <w:b/>
          <w:bCs/>
          <w:color w:val="auto"/>
          <w:sz w:val="32"/>
          <w:szCs w:val="32"/>
          <w:highlight w:val="none"/>
        </w:rPr>
      </w:pPr>
    </w:p>
    <w:p w14:paraId="5AA89DEF">
      <w:pPr>
        <w:widowControl/>
        <w:jc w:val="left"/>
        <w:rPr>
          <w:rFonts w:ascii="宋体" w:hAnsi="宋体" w:cs="宋体"/>
          <w:b/>
          <w:bCs/>
          <w:color w:val="auto"/>
          <w:sz w:val="32"/>
          <w:szCs w:val="32"/>
          <w:highlight w:val="none"/>
        </w:rPr>
      </w:pPr>
      <w:r>
        <w:rPr>
          <w:rFonts w:ascii="宋体" w:hAnsi="宋体" w:cs="宋体"/>
          <w:b/>
          <w:bCs/>
          <w:color w:val="auto"/>
          <w:sz w:val="32"/>
          <w:szCs w:val="32"/>
          <w:highlight w:val="none"/>
        </w:rPr>
        <w:br w:type="page"/>
      </w:r>
    </w:p>
    <w:p w14:paraId="6FD252FF">
      <w:pPr>
        <w:spacing w:line="500" w:lineRule="exact"/>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附件3</w:t>
      </w:r>
    </w:p>
    <w:p w14:paraId="5E138686">
      <w:pPr>
        <w:spacing w:line="500" w:lineRule="exact"/>
        <w:ind w:firstLine="643" w:firstLineChars="200"/>
        <w:jc w:val="center"/>
        <w:rPr>
          <w:rFonts w:ascii="宋体" w:hAnsi="宋体" w:cs="宋体"/>
          <w:b/>
          <w:bCs/>
          <w:color w:val="auto"/>
          <w:sz w:val="32"/>
          <w:szCs w:val="32"/>
          <w:highlight w:val="none"/>
        </w:rPr>
      </w:pPr>
      <w:r>
        <w:rPr>
          <w:rFonts w:ascii="宋体" w:hAnsi="宋体" w:cs="宋体"/>
          <w:b/>
          <w:bCs/>
          <w:color w:val="auto"/>
          <w:sz w:val="32"/>
          <w:szCs w:val="32"/>
          <w:highlight w:val="none"/>
        </w:rPr>
        <w:t>湖南省农业农村厅办公室</w:t>
      </w:r>
    </w:p>
    <w:p w14:paraId="13C847E7">
      <w:pPr>
        <w:spacing w:line="500" w:lineRule="exact"/>
        <w:ind w:firstLine="562" w:firstLineChars="20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湘农办发〔2025〕96号</w:t>
      </w:r>
    </w:p>
    <w:p w14:paraId="3720DEDF">
      <w:pPr>
        <w:spacing w:line="500" w:lineRule="exact"/>
        <w:ind w:firstLine="643" w:firstLineChars="200"/>
        <w:jc w:val="center"/>
        <w:rPr>
          <w:rFonts w:ascii="宋体" w:hAnsi="宋体" w:cs="宋体"/>
          <w:b/>
          <w:bCs/>
          <w:color w:val="auto"/>
          <w:sz w:val="32"/>
          <w:szCs w:val="32"/>
          <w:highlight w:val="none"/>
        </w:rPr>
      </w:pPr>
      <w:r>
        <w:rPr>
          <w:rFonts w:ascii="宋体" w:hAnsi="宋体" w:cs="宋体"/>
          <w:b/>
          <w:bCs/>
          <w:color w:val="auto"/>
          <w:sz w:val="32"/>
          <w:szCs w:val="32"/>
          <w:highlight w:val="none"/>
        </w:rPr>
        <w:t>关于进一步规范湖南省高素质农民培育工作的通知</w:t>
      </w:r>
    </w:p>
    <w:p w14:paraId="75CB0508">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各市州、县市区农业农村局：</w:t>
      </w:r>
    </w:p>
    <w:p w14:paraId="41FD6B37">
      <w:pPr>
        <w:widowControl/>
        <w:spacing w:line="360" w:lineRule="auto"/>
        <w:ind w:firstLine="420" w:firstLineChars="200"/>
        <w:jc w:val="left"/>
        <w:rPr>
          <w:rFonts w:hint="eastAsia" w:ascii="仿宋_GB2312" w:hAnsi="仿宋_GB2312" w:eastAsia="仿宋_GB2312" w:cs="仿宋_GB2312"/>
          <w:color w:val="auto"/>
          <w:sz w:val="28"/>
          <w:szCs w:val="28"/>
          <w:highlight w:val="none"/>
        </w:rPr>
      </w:pPr>
      <w:r>
        <w:rPr>
          <w:rFonts w:hint="eastAsia" w:ascii="宋体" w:hAnsi="宋体" w:cs="宋体"/>
          <w:color w:val="auto"/>
          <w:szCs w:val="21"/>
          <w:highlight w:val="none"/>
        </w:rPr>
        <w:t>为保证全省高素质农民培育工作科学、规范、高效开展，不断提高培育的针对性、规范性和有效性，根据农业农村部农村社会事业促进司《高素质农民培育项目管理工作规程（试行）》和《高素质农民培育规范（修订）》（农社综函〔2025〕15号）要求，现就进一步规范我省高素质农民培育工作有关事项通知如下：</w:t>
      </w:r>
    </w:p>
    <w:p w14:paraId="368F4F0F">
      <w:pPr>
        <w:ind w:firstLine="560" w:firstLineChars="200"/>
        <w:rPr>
          <w:rFonts w:ascii="黑体" w:hAnsi="黑体" w:eastAsia="黑体" w:cs="黑体"/>
          <w:color w:val="auto"/>
          <w:sz w:val="28"/>
          <w:szCs w:val="28"/>
          <w:highlight w:val="none"/>
        </w:rPr>
      </w:pPr>
      <w:r>
        <w:rPr>
          <w:rFonts w:ascii="黑体" w:hAnsi="黑体" w:eastAsia="黑体" w:cs="黑体"/>
          <w:color w:val="auto"/>
          <w:sz w:val="28"/>
          <w:szCs w:val="28"/>
          <w:highlight w:val="none"/>
        </w:rPr>
        <w:t>一、精准遴选培育学员</w:t>
      </w:r>
    </w:p>
    <w:p w14:paraId="0E39FF1D">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各县（市、区）要建立培育学员生源库，积极开展需求摸底，广泛宣传高素质农民培育工作，积极指导有意愿参训学员登录农业农村部“农民教育培训申报系统”或手机下载“云上智农”APP自愿报名。培育对象要求年满16周岁，身体健康，无影响参加培训的身体不适或疾病，培训对象主要包括正在从事或有意愿从事农业生产、经营、服务、管理、乡村建设等工作的农民（含返乡入乡农民工、退役军人、大中专毕业生等新农人）、乡村治理骨干、新型农业经营主体带头人、服务主体带头人、乡村工匠、农村创新创业者等。同一培育对象在同一年度只能参加一次培训。确因人才培养需要，可在次年参加不同主题或同一主题更高层级的培育。</w:t>
      </w:r>
    </w:p>
    <w:p w14:paraId="2658FCEE">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二、择优遴选培育机构</w:t>
      </w:r>
    </w:p>
    <w:p w14:paraId="12EB1BF2">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要择优遴选机构，承担培育任务的机构应具有独立法人资格，注册登记或成立满3年以上（含3年），开设与培训主题相关的专业课程或者有与培训主题相关的办学许可核定的职业（工种），且近三年内在经营活动中无重大违法、违规及失信记录；有固定的教学办公场所，配备与培育主题相关的完备教学设施设备，满足100名学员集中授课、实践教学、学员食宿所需的教学设备、食堂、宿舍和实践设备；能配备结构合理、素质优良的教学管理团队和师资队伍，要求专职教学管理人员不少于5人，需提供近三个月的社保缴纳证明。管理团队分工包括但不限于项目负责人、财务人员、班级管理人员、后勤保障人员等；具有健全的规章制度，包括教学管理、学员管理、财务管理、安全管理、档案管理、应急管理等制度；能够开具财政、税务部门申领的正规票据。优先选用承担上一年度培育任务并高质高效完成的培育机构，承担本年度高素质农民培育任务。</w:t>
      </w:r>
    </w:p>
    <w:p w14:paraId="1849303E">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近三年内培育机构有出现过以下情形的，不得承担本年度培育任务：培育机构申报条件和培育过程弄虚作假的；私自分包、转包培育任务的；超出培育完成期限时间1个月仍未能完成任务的；培育资金使用严重违规或违反合同协议的，存在虚报冒领、骗取套取行为的；培育过程中出现安全责任事故、违法违规情况的；发生严重违反师德师风，造成社会不良影响的。</w:t>
      </w:r>
    </w:p>
    <w:p w14:paraId="32CEAD98">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培育机构将课堂教学、实践教学和跟踪服务的部分环节委托给其他机构实施的，应与该机构签订合作协议，明确委托内容、质量要求、完成期限等。培育机构对培育效果负最终责任。</w:t>
      </w:r>
    </w:p>
    <w:p w14:paraId="19A4CE7F">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三、精选培育师资</w:t>
      </w:r>
    </w:p>
    <w:p w14:paraId="69A6B344">
      <w:pPr>
        <w:spacing w:line="520" w:lineRule="exact"/>
        <w:ind w:firstLine="420" w:firstLineChars="200"/>
        <w:rPr>
          <w:rFonts w:hint="eastAsia" w:ascii="仿宋_GB2312" w:hAnsi="仿宋_GB2312" w:eastAsia="仿宋_GB2312" w:cs="仿宋_GB2312"/>
          <w:color w:val="auto"/>
          <w:sz w:val="28"/>
          <w:szCs w:val="28"/>
          <w:highlight w:val="none"/>
        </w:rPr>
      </w:pPr>
      <w:r>
        <w:rPr>
          <w:rFonts w:hint="eastAsia" w:ascii="宋体" w:hAnsi="宋体" w:cs="宋体"/>
          <w:color w:val="auto"/>
          <w:szCs w:val="21"/>
          <w:highlight w:val="none"/>
        </w:rPr>
        <w:t>培育师资需从农民教育培训信息管理系统内选用。师资的专业领域、知识结构和实践经验应与所授课程主题高度匹配，确保授课内容的专业性和适用性。优先聘请农业农村部公布的全国共享乡村振兴实践指导师、社会反映较好的教师。每位授课教师在同一培训班次内，线下集中授课原则上不得连续安排超过4学时，确因课程内容需要（如大专题、实操演示及年度方案有要求等情况），培育机构向主管农业农村部门申请并同意后，可适当延长。各地农业农村部门应加强对师资队伍的管理，为高素质农民培育提供有力保障。</w:t>
      </w:r>
    </w:p>
    <w:p w14:paraId="2750F070">
      <w:pPr>
        <w:spacing w:line="480" w:lineRule="exact"/>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四、优选实践教学观摩交流场所</w:t>
      </w:r>
    </w:p>
    <w:p w14:paraId="14C10FEB">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各地农业农村部门应按照省厅发布的《关于征集湖南省高素质农民培育实践教学及观摩点的函》要求，做好实践教学观摩交流场所的遴选工作，对符合要求的场所及时录入“高素质农民培育管理信息系统－省级实践教学观摩交流场所”进行入库管理，承担培训任务的机构在省内开展实践观摩教学环节时，应从实践教学观摩交流场所库内优选与课程内容直接相关的场所开展，实训形式包括场地实训、顶岗实习、跟岗见习、模拟教学、实践孵化等形式。鼓励培育机构利用AR（增强现实）、VR（虚拟现实）等新技术手段在高素质农民培育领域的应用，提高培训有效性。承担培训任务的机构在省外开展实践观摩教学环节时，应提前向省级行政主管部门报批，并按程序将场所入库进行管理。</w:t>
      </w:r>
    </w:p>
    <w:p w14:paraId="0631BA8A">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四、严选培育教材</w:t>
      </w:r>
    </w:p>
    <w:p w14:paraId="43E156C6">
      <w:pPr>
        <w:spacing w:line="520" w:lineRule="exact"/>
        <w:ind w:firstLine="420" w:firstLineChars="200"/>
        <w:rPr>
          <w:rFonts w:hint="eastAsia" w:ascii="仿宋_GB2312" w:hAnsi="仿宋_GB2312" w:eastAsia="仿宋_GB2312" w:cs="仿宋_GB2312"/>
          <w:color w:val="auto"/>
          <w:sz w:val="28"/>
          <w:szCs w:val="28"/>
          <w:highlight w:val="none"/>
        </w:rPr>
      </w:pPr>
      <w:r>
        <w:rPr>
          <w:rFonts w:hint="eastAsia" w:ascii="宋体" w:hAnsi="宋体" w:cs="宋体"/>
          <w:color w:val="auto"/>
          <w:szCs w:val="21"/>
          <w:highlight w:val="none"/>
        </w:rPr>
        <w:t>培育教材包括正式出版物、各级农业农村部门组织编制的培育手册。优先选用农业农村部、教育部规划教材和各级农业农村部门推荐教材。教材选择应与班级主题紧密挂钩。为规范教材使用，提高培训质量，我省将建立省级教材目录，各市州农业农村局组织申报和推荐，并提交样书或样稿，省厅主管业务部门审核通过后录入农民教育培训信息管理系统，教材库实行动态管理，每年对目录内教材进行使用效果评估，根据反馈意见对过时或质量不达标的教材予以出库。</w:t>
      </w:r>
    </w:p>
    <w:p w14:paraId="7812027A">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五、制定开班计划</w:t>
      </w:r>
    </w:p>
    <w:p w14:paraId="17229E73">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各培育机构要科学合理制定开班计划，包括培育主题、时间、地点、课程、学时、培育对象、培育形式、师资、教材、经费支出计划和预期效果等培育全过程内容，明确班级管理相关要求。开班计划由市、县农业农村部门审核，并经省级农业农村部门审定后，由培育机构公开发布并严格按照计划实施（若有修改须本级主管部门同意并报厅主管处室备案）。</w:t>
      </w:r>
    </w:p>
    <w:p w14:paraId="690D2680">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六、创新培育形式</w:t>
      </w:r>
    </w:p>
    <w:p w14:paraId="77140EB8">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实行分类型、分专业、小班制、重实训、强服务的培育形式，综合采用课堂教学（含线上线下）、实践教学、观摩交流等多种方式进行。</w:t>
      </w:r>
    </w:p>
    <w:p w14:paraId="500C565F">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（一）合理安排课时</w:t>
      </w:r>
    </w:p>
    <w:p w14:paraId="019A5E3B">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按照培训模块设计培训班课程学时，45分钟为1学时，每天不超过8个学时。原则上，农业经理人班学时不低于160学时。专题班（如特定产业、特定技能提升班）不低于120学时。常规班按照经费档分别为不低于120学时或56学时（学时要求可根据本年度的高素质农民培育工作实施方案调整）。线上学习学时计入总学时，但占比不得超过15%，线上学习平台应具备完善的在线学习、直播授课、课程考核、学习过程记录、防作弊功能及相关统计、监测和评价功能。</w:t>
      </w:r>
    </w:p>
    <w:p w14:paraId="5EC96070">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（二）优化课程设置</w:t>
      </w:r>
    </w:p>
    <w:p w14:paraId="341C6192">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建立模块化课程体系，分为综合素养课、专业技能课、能力拓展课三类。其中，综合素养课包含“开班第一课”，包括当年中央一号文件和农业农村部相关部署要求等；专业技能课应根据培育对象实际需求，围绕培育主题开设，包括课堂教学和实训实操学习掌握乡村产业发展、乡村建设、乡村治理等方面的专业知识和实用技术技能；能力拓展课由培育对象和培育目标自选开展、自行设计。课程模块比例参照《高素质农民培育规范（修订）》执行。</w:t>
      </w:r>
    </w:p>
    <w:p w14:paraId="6C866129">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七、规范审核流程</w:t>
      </w:r>
    </w:p>
    <w:p w14:paraId="46050389">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班前，培育机构需制定开班实施方案，包括计划开班时间、培育地点、培育主题、课程设置、学时分配、培育对象、培育形式、师资安排、实践教学观摩交流场所安排、教材选用、经费预算、预期效果等培育全过程内容，并落实班级基本管理制度，包含开班制度、班主任制度、开班第一课制度、学员考勤制度、上课场景存档制度（含照片、视频等），明确保存要求、满意度调查制度、培训台账制度、培训剪影短视频留档制度、管理人员跟班制度、安全管理制度等，报县市农业农村部门审查、省厅备案。正式开班时，培育机构在农民教育培训信息管理系统提交开班实施方案，经落实培育任务的市（州）或者县（市、区）农业农村主管部门审核通过后，提交省级农业农村主管部门审核。经审核通过后，培育机构公开发布开班信息，培育机构按计划开班。培育机构应严格按照审核通过的开班计划实施培育。</w:t>
      </w:r>
    </w:p>
    <w:p w14:paraId="0C9FB51B">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八、强化跟踪服务</w:t>
      </w:r>
    </w:p>
    <w:p w14:paraId="73CE9530">
      <w:pPr>
        <w:spacing w:line="520" w:lineRule="exact"/>
        <w:ind w:firstLine="420" w:firstLineChars="200"/>
        <w:rPr>
          <w:rFonts w:hint="eastAsia" w:ascii="仿宋_GB2312" w:hAnsi="仿宋_GB2312" w:eastAsia="仿宋_GB2312" w:cs="仿宋_GB2312"/>
          <w:color w:val="auto"/>
          <w:sz w:val="28"/>
          <w:szCs w:val="28"/>
          <w:highlight w:val="none"/>
        </w:rPr>
      </w:pPr>
      <w:r>
        <w:rPr>
          <w:rFonts w:hint="eastAsia" w:ascii="宋体" w:hAnsi="宋体" w:cs="宋体"/>
          <w:color w:val="auto"/>
          <w:szCs w:val="21"/>
          <w:highlight w:val="none"/>
        </w:rPr>
        <w:t>培育机构要配备专门师资进行跟踪服务，跟踪服务需在培训班结束之日起一年内完成，人数不少于培训班总人数的60%，次数不少于2次。积极开展技术指导、政策推介、信贷保险支持，促进农民抱团、对接市场。积极搭建交流平台，组织开展产销对接、跨省区交流合作、创业创新项目路演、技能竞赛等活动。</w:t>
      </w:r>
    </w:p>
    <w:p w14:paraId="46A70B63">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九、规范使用培育资金</w:t>
      </w:r>
    </w:p>
    <w:p w14:paraId="71DC7D3B">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高素质农民培育资金可用于支付高素质农民培育计划实施的需求摸底、课堂教学（含线上线下）、实践教学、交流观摩、跟踪服务和总结评价等培育环节必需费用和验收费用。不得列支招投标费用、审计费用和第三方评估费用等应从“三公”经费支出的其他费用。不得以各种形式给培育对象发放补助。各培育机构必须按照培训资金的使用范围和使用标准，规范使用资金，实行专项管理，专款专用。培育结束后各主管部门及时支付培训费用。</w:t>
      </w:r>
    </w:p>
    <w:p w14:paraId="0EC558DE">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十、保障措施</w:t>
      </w:r>
    </w:p>
    <w:p w14:paraId="2F89B7A5">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（一）加强组织管理</w:t>
      </w:r>
    </w:p>
    <w:p w14:paraId="4ADBBD58">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各级农业农村部门要做好本地区高素质农民培育计划组织实施，健全逐级负责的管理机制。建立健全质量监管机制，强化高素质农民培育计划质量建设。加强高素质农民培育管理体系建设，开展管理人员培训，持续提升组织管理水平。指导承担培育任务的机构做好学员遴选、日常培训管理、信息动态报送、归档资料收集等工作，提升培育针对性、规范性、有效性，切实保障培育质量。</w:t>
      </w:r>
    </w:p>
    <w:p w14:paraId="4AE3C992">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（二）强化全程监管</w:t>
      </w:r>
    </w:p>
    <w:p w14:paraId="3962B067">
      <w:pPr>
        <w:spacing w:line="520" w:lineRule="exact"/>
        <w:ind w:firstLine="420" w:firstLineChars="200"/>
        <w:rPr>
          <w:rFonts w:hint="eastAsia" w:ascii="宋体" w:hAnsi="宋体" w:cs="宋体"/>
          <w:color w:val="auto"/>
          <w:szCs w:val="21"/>
          <w:highlight w:val="none"/>
          <w:lang w:eastAsia="en-US"/>
        </w:rPr>
      </w:pPr>
      <w:r>
        <w:rPr>
          <w:rFonts w:hint="eastAsia" w:ascii="宋体" w:hAnsi="宋体" w:cs="宋体"/>
          <w:color w:val="auto"/>
          <w:szCs w:val="21"/>
          <w:highlight w:val="none"/>
        </w:rPr>
        <w:t>依托农民教育培训信息系统加强信息报送和过程监管。落实农民教育培训信息管理系统在线评价、信息统计和发展情况监测，实现参训农民基本信息100%入库，培育全程可监测可追溯。及时开展学员在线评价和综合满意度测评，并将学员满意度达到90%以上作为培训合格的基本标准。同时各级农业农村业务主管部门要对培育实施情况开展随机抽查，通过电话回访、远程视频检查（通过管理系统“主管部门”与湘农科教云APP“培训机构”进行实时连线）、实地核查等方式开展常态化、全过程监督，进一步规范培训管理，确保培育规范高效。要用好农业农村部转移支付管理平台和湖南省农业农村厅资金项目监管平台，及时填报各级实施方案、项目实施情况和资金支出信息，确保真实准确。</w:t>
      </w:r>
      <w:r>
        <w:rPr>
          <w:rFonts w:hint="eastAsia" w:ascii="宋体" w:hAnsi="宋体" w:cs="宋体"/>
          <w:color w:val="auto"/>
          <w:szCs w:val="21"/>
          <w:highlight w:val="none"/>
          <w:lang w:eastAsia="en-US"/>
        </w:rPr>
        <w:t>严禁数据造假。</w:t>
      </w:r>
    </w:p>
    <w:p w14:paraId="1D2D45CD">
      <w:pPr>
        <w:spacing w:line="520" w:lineRule="exact"/>
        <w:ind w:firstLine="420" w:firstLineChars="200"/>
        <w:rPr>
          <w:rFonts w:hint="eastAsia" w:ascii="宋体" w:hAnsi="宋体" w:cs="宋体"/>
          <w:color w:val="auto"/>
          <w:szCs w:val="21"/>
          <w:highlight w:val="none"/>
          <w:lang w:eastAsia="en-US"/>
        </w:rPr>
      </w:pPr>
      <w:r>
        <w:rPr>
          <w:rFonts w:hint="eastAsia" w:ascii="宋体" w:hAnsi="宋体" w:cs="宋体"/>
          <w:color w:val="auto"/>
          <w:szCs w:val="21"/>
          <w:highlight w:val="none"/>
        </w:rPr>
        <w:t>（三）</w:t>
      </w:r>
      <w:r>
        <w:rPr>
          <w:rFonts w:hint="eastAsia" w:ascii="宋体" w:hAnsi="宋体" w:cs="宋体"/>
          <w:color w:val="auto"/>
          <w:szCs w:val="21"/>
          <w:highlight w:val="none"/>
          <w:lang w:eastAsia="en-US"/>
        </w:rPr>
        <w:t>树立示范典型</w:t>
      </w:r>
    </w:p>
    <w:p w14:paraId="5FEC2F1D">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各地区要注重选树典型，积极利用各级主流媒体或自媒体刊播综合性报道，在各级党政及农业农村部门网站等新媒体发布新闻报道，每班次进行新闻报道，宣传培育成效和学员典型。做好优秀培育机构、优秀基地、优秀师资、优秀学员等典型案例挖掘和宣传工作，并以年度为单位精选上报省厅。</w:t>
      </w:r>
    </w:p>
    <w:p w14:paraId="3BE87BF9">
      <w:pPr>
        <w:spacing w:line="500" w:lineRule="exact"/>
        <w:rPr>
          <w:rFonts w:hint="eastAsia" w:ascii="宋体" w:hAnsi="宋体" w:cs="宋体"/>
          <w:b/>
          <w:bCs/>
          <w:color w:val="auto"/>
          <w:sz w:val="32"/>
          <w:szCs w:val="32"/>
          <w:highlight w:val="none"/>
        </w:rPr>
      </w:pPr>
    </w:p>
    <w:p w14:paraId="7BABD8A3">
      <w:pPr>
        <w:widowControl/>
        <w:shd w:val="clear" w:color="auto" w:fill="FFFFFF"/>
        <w:outlineLvl w:val="2"/>
        <w:rPr>
          <w:rFonts w:hint="eastAsia" w:eastAsia="方正小标宋简体"/>
          <w:color w:val="auto"/>
          <w:sz w:val="28"/>
          <w:szCs w:val="28"/>
          <w:highlight w:val="none"/>
          <w:shd w:val="clear" w:color="auto" w:fill="FFFFFF"/>
        </w:rPr>
      </w:pPr>
    </w:p>
    <w:p w14:paraId="390A0AE5">
      <w:pPr>
        <w:widowControl/>
        <w:shd w:val="clear" w:color="auto" w:fill="FFFFFF"/>
        <w:outlineLvl w:val="2"/>
        <w:rPr>
          <w:rFonts w:hint="eastAsia" w:eastAsia="方正小标宋简体"/>
          <w:color w:val="auto"/>
          <w:sz w:val="28"/>
          <w:szCs w:val="28"/>
          <w:highlight w:val="none"/>
          <w:shd w:val="clear" w:color="auto" w:fill="FFFFFF"/>
        </w:rPr>
      </w:pPr>
    </w:p>
    <w:p w14:paraId="5E0B4588">
      <w:pPr>
        <w:widowControl/>
        <w:shd w:val="clear" w:color="auto" w:fill="FFFFFF"/>
        <w:outlineLvl w:val="2"/>
        <w:rPr>
          <w:rFonts w:hint="eastAsia" w:eastAsia="方正小标宋简体"/>
          <w:color w:val="auto"/>
          <w:sz w:val="28"/>
          <w:szCs w:val="28"/>
          <w:highlight w:val="none"/>
          <w:shd w:val="clear" w:color="auto" w:fill="FFFFFF"/>
        </w:rPr>
      </w:pPr>
    </w:p>
    <w:p w14:paraId="184A9B47">
      <w:pPr>
        <w:widowControl/>
        <w:shd w:val="clear" w:color="auto" w:fill="FFFFFF"/>
        <w:outlineLvl w:val="2"/>
        <w:rPr>
          <w:rFonts w:hint="eastAsia" w:eastAsia="方正小标宋简体"/>
          <w:color w:val="auto"/>
          <w:sz w:val="28"/>
          <w:szCs w:val="28"/>
          <w:highlight w:val="none"/>
          <w:shd w:val="clear" w:color="auto" w:fill="FFFFFF"/>
        </w:rPr>
      </w:pPr>
    </w:p>
    <w:p w14:paraId="31C6DCD7">
      <w:pPr>
        <w:widowControl/>
        <w:shd w:val="clear" w:color="auto" w:fill="FFFFFF"/>
        <w:outlineLvl w:val="2"/>
        <w:rPr>
          <w:rFonts w:hint="eastAsia" w:eastAsia="方正小标宋简体"/>
          <w:color w:val="auto"/>
          <w:sz w:val="28"/>
          <w:szCs w:val="28"/>
          <w:highlight w:val="none"/>
          <w:shd w:val="clear" w:color="auto" w:fill="FFFFFF"/>
        </w:rPr>
      </w:pPr>
    </w:p>
    <w:p w14:paraId="35631AE7">
      <w:pPr>
        <w:widowControl/>
        <w:shd w:val="clear" w:color="auto" w:fill="FFFFFF"/>
        <w:outlineLvl w:val="2"/>
        <w:rPr>
          <w:rFonts w:hint="eastAsia" w:eastAsia="方正小标宋简体"/>
          <w:color w:val="auto"/>
          <w:sz w:val="28"/>
          <w:szCs w:val="28"/>
          <w:highlight w:val="none"/>
          <w:shd w:val="clear" w:color="auto" w:fill="FFFFFF"/>
        </w:rPr>
      </w:pPr>
      <w:r>
        <w:rPr>
          <w:rFonts w:hint="eastAsia" w:eastAsia="方正小标宋简体"/>
          <w:color w:val="auto"/>
          <w:sz w:val="28"/>
          <w:szCs w:val="28"/>
          <w:highlight w:val="none"/>
          <w:shd w:val="clear" w:color="auto" w:fill="FFFFFF"/>
        </w:rPr>
        <w:br w:type="column"/>
      </w:r>
      <w:r>
        <w:rPr>
          <w:rFonts w:hint="eastAsia" w:eastAsia="方正小标宋简体"/>
          <w:color w:val="auto"/>
          <w:sz w:val="28"/>
          <w:szCs w:val="28"/>
          <w:highlight w:val="none"/>
          <w:shd w:val="clear" w:color="auto" w:fill="FFFFFF"/>
        </w:rPr>
        <w:t>附件4</w:t>
      </w:r>
    </w:p>
    <w:p w14:paraId="49C64982">
      <w:pPr>
        <w:widowControl/>
        <w:shd w:val="clear" w:color="auto" w:fill="FFFFFF"/>
        <w:ind w:firstLine="1400" w:firstLineChars="500"/>
        <w:outlineLvl w:val="2"/>
        <w:rPr>
          <w:rFonts w:eastAsia="仿宋_GB2312"/>
          <w:b/>
          <w:bCs/>
          <w:color w:val="auto"/>
          <w:sz w:val="32"/>
          <w:szCs w:val="32"/>
          <w:highlight w:val="none"/>
          <w:shd w:val="clear" w:color="auto" w:fill="FFFFFF"/>
        </w:rPr>
      </w:pPr>
      <w:bookmarkStart w:id="1323" w:name="_Toc256000042"/>
      <w:r>
        <w:rPr>
          <w:rFonts w:hint="eastAsia" w:eastAsia="方正小标宋简体"/>
          <w:color w:val="auto"/>
          <w:sz w:val="28"/>
          <w:szCs w:val="28"/>
          <w:highlight w:val="none"/>
          <w:shd w:val="clear" w:color="auto" w:fill="FFFFFF"/>
        </w:rPr>
        <w:t>新化县</w:t>
      </w:r>
      <w:r>
        <w:rPr>
          <w:rFonts w:eastAsia="方正小标宋简体"/>
          <w:color w:val="auto"/>
          <w:sz w:val="28"/>
          <w:szCs w:val="28"/>
          <w:highlight w:val="none"/>
          <w:shd w:val="clear" w:color="auto" w:fill="FFFFFF"/>
        </w:rPr>
        <w:t>202</w:t>
      </w:r>
      <w:r>
        <w:rPr>
          <w:rFonts w:hint="eastAsia" w:eastAsia="方正小标宋简体"/>
          <w:color w:val="auto"/>
          <w:sz w:val="28"/>
          <w:szCs w:val="28"/>
          <w:highlight w:val="none"/>
          <w:shd w:val="clear" w:color="auto" w:fill="FFFFFF"/>
        </w:rPr>
        <w:t>5</w:t>
      </w:r>
      <w:r>
        <w:rPr>
          <w:rFonts w:eastAsia="方正小标宋简体"/>
          <w:color w:val="auto"/>
          <w:sz w:val="28"/>
          <w:szCs w:val="28"/>
          <w:highlight w:val="none"/>
          <w:shd w:val="clear" w:color="auto" w:fill="FFFFFF"/>
        </w:rPr>
        <w:t>年</w:t>
      </w:r>
      <w:r>
        <w:rPr>
          <w:rFonts w:hint="eastAsia" w:eastAsia="方正小标宋简体"/>
          <w:color w:val="auto"/>
          <w:sz w:val="28"/>
          <w:szCs w:val="28"/>
          <w:highlight w:val="none"/>
          <w:shd w:val="clear" w:color="auto" w:fill="FFFFFF"/>
        </w:rPr>
        <w:t>度</w:t>
      </w:r>
      <w:r>
        <w:rPr>
          <w:rFonts w:eastAsia="方正小标宋简体"/>
          <w:color w:val="auto"/>
          <w:sz w:val="28"/>
          <w:szCs w:val="28"/>
          <w:highlight w:val="none"/>
          <w:shd w:val="clear" w:color="auto" w:fill="FFFFFF"/>
        </w:rPr>
        <w:t>高素质农民培育</w:t>
      </w:r>
      <w:bookmarkEnd w:id="1323"/>
      <w:bookmarkStart w:id="1324" w:name="_Toc256000043"/>
      <w:r>
        <w:rPr>
          <w:rFonts w:eastAsia="方正小标宋简体"/>
          <w:color w:val="auto"/>
          <w:sz w:val="28"/>
          <w:szCs w:val="28"/>
          <w:highlight w:val="none"/>
          <w:shd w:val="clear" w:color="auto" w:fill="FFFFFF"/>
        </w:rPr>
        <w:t>项目验收</w:t>
      </w:r>
      <w:r>
        <w:rPr>
          <w:rFonts w:hint="eastAsia" w:eastAsia="方正小标宋简体"/>
          <w:color w:val="auto"/>
          <w:sz w:val="28"/>
          <w:szCs w:val="28"/>
          <w:highlight w:val="none"/>
          <w:shd w:val="clear" w:color="auto" w:fill="FFFFFF"/>
        </w:rPr>
        <w:t>内容</w:t>
      </w:r>
      <w:bookmarkEnd w:id="1324"/>
    </w:p>
    <w:p w14:paraId="1385ABE8">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验收内容：</w:t>
      </w:r>
    </w:p>
    <w:p w14:paraId="5E64E82C">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1.计划任务完成情况：培训机构是否按照既定的计划和目标完成了培训任务，开展了相应的培训课程和实训活动。‌</w:t>
      </w:r>
    </w:p>
    <w:p w14:paraId="2C851E3E">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2.项目进度要求：项目是否按照预定的时间节点和要求完成了线下、线上的学习。这包括检查学员的出勤情况、线上学习进度以及学习任务的完成情况，确保所有学员都按要求100%完成了规定的学习内容。</w:t>
      </w:r>
    </w:p>
    <w:p w14:paraId="6DA3CB29">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项目质量要求：依据相关文件和合同规定的质量要求，对培训的教学质量、学员的学习成果以及培训后的实际应用效果进行评估。这包括检查培训机构的师资力量、教学设施、培训过程管理等方面是否达到标准，以及学员对培训的满意度和反馈情况。</w:t>
      </w:r>
    </w:p>
    <w:p w14:paraId="6E05DB30">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项目档案资料情况：按照《湖南省2025年高素质农民培育工作实施方案》等项目相关文件和合同的要求，培训机构需提供完整的档案资料。这些资料应真实齐全、整理规范、质量合格，并包含培训机构的资质、师资力量、教学设施、培训过程管理、学员满意度等多个方面，全面了解培训项目的实施情况和效果。</w:t>
      </w:r>
    </w:p>
    <w:p w14:paraId="7A52FB5B">
      <w:pPr>
        <w:widowControl/>
        <w:jc w:val="left"/>
        <w:rPr>
          <w:rFonts w:hint="eastAsia"/>
          <w:color w:val="auto"/>
          <w:highlight w:val="none"/>
        </w:rPr>
      </w:pPr>
      <w:r>
        <w:rPr>
          <w:rFonts w:hint="eastAsia" w:ascii="宋体" w:hAnsi="宋体" w:cs="宋体"/>
          <w:color w:val="auto"/>
          <w:szCs w:val="21"/>
          <w:highlight w:val="none"/>
        </w:rPr>
        <w:t>在项目完成后由中标单位提出验收申请，由新化县农业农村局乡村建设与农村社会事业促进科组织相关人员进行验收，验收合格付清余款。</w:t>
      </w:r>
    </w:p>
    <w:p w14:paraId="157A5019">
      <w:pPr>
        <w:pStyle w:val="3"/>
        <w:rPr>
          <w:color w:val="auto"/>
          <w:highlight w:val="none"/>
        </w:rPr>
      </w:pPr>
    </w:p>
    <w:p w14:paraId="580326D0">
      <w:pPr>
        <w:widowControl/>
        <w:jc w:val="left"/>
        <w:rPr>
          <w:color w:val="auto"/>
          <w:highlight w:val="none"/>
        </w:rPr>
      </w:pPr>
      <w:r>
        <w:rPr>
          <w:color w:val="auto"/>
          <w:highlight w:val="none"/>
        </w:rPr>
        <w:br w:type="page"/>
      </w:r>
    </w:p>
    <w:p w14:paraId="451C4770">
      <w:pPr>
        <w:rPr>
          <w:color w:val="auto"/>
          <w:highlight w:val="none"/>
        </w:rPr>
      </w:pPr>
    </w:p>
    <w:p w14:paraId="26F0FB89">
      <w:pPr>
        <w:spacing w:line="360" w:lineRule="auto"/>
        <w:jc w:val="center"/>
        <w:outlineLvl w:val="0"/>
        <w:rPr>
          <w:rFonts w:ascii="宋体" w:hAnsi="宋体"/>
          <w:b/>
          <w:color w:val="auto"/>
          <w:sz w:val="32"/>
          <w:szCs w:val="32"/>
          <w:highlight w:val="none"/>
        </w:rPr>
      </w:pPr>
      <w:bookmarkStart w:id="1325" w:name="_Toc166778366"/>
      <w:bookmarkStart w:id="1326" w:name="_Toc99299758"/>
      <w:bookmarkStart w:id="1327" w:name="_Toc3984"/>
      <w:bookmarkStart w:id="1328" w:name="_Toc108483428"/>
      <w:bookmarkStart w:id="1329" w:name="_Toc113350967"/>
      <w:bookmarkStart w:id="1330" w:name="_Toc4360"/>
      <w:bookmarkStart w:id="1331" w:name="_Toc1983"/>
      <w:bookmarkStart w:id="1332" w:name="_Toc193053738"/>
      <w:bookmarkStart w:id="1333" w:name="_Toc12083"/>
      <w:bookmarkStart w:id="1334" w:name="_Toc79093705"/>
      <w:bookmarkStart w:id="1335" w:name="_Toc6729"/>
      <w:bookmarkStart w:id="1336" w:name="_Toc2443"/>
      <w:bookmarkStart w:id="1337" w:name="_Toc9878"/>
      <w:bookmarkStart w:id="1338" w:name="_Toc2909"/>
      <w:bookmarkStart w:id="1339" w:name="_Toc15495"/>
      <w:bookmarkStart w:id="1340" w:name="_Toc26990"/>
      <w:bookmarkStart w:id="1341" w:name="_Toc111543588"/>
      <w:bookmarkStart w:id="1342" w:name="_Toc118209458"/>
      <w:bookmarkStart w:id="1343" w:name="_Toc103979611"/>
      <w:bookmarkStart w:id="1344" w:name="_Toc8532"/>
      <w:bookmarkStart w:id="1345" w:name="_Toc137408749"/>
      <w:bookmarkStart w:id="1346" w:name="_Toc13335"/>
      <w:bookmarkStart w:id="1347" w:name="_Toc140957901"/>
      <w:bookmarkStart w:id="1348" w:name="_Toc4224"/>
      <w:bookmarkStart w:id="1349" w:name="_Toc18722"/>
      <w:bookmarkStart w:id="1350" w:name="_Toc171282435"/>
      <w:bookmarkStart w:id="1351" w:name="_Toc21768"/>
      <w:bookmarkStart w:id="1352" w:name="_Toc189905392"/>
      <w:bookmarkStart w:id="1353" w:name="_Toc23488"/>
      <w:bookmarkStart w:id="1354" w:name="_Toc9653"/>
      <w:bookmarkStart w:id="1355" w:name="_Toc109656610"/>
      <w:r>
        <w:rPr>
          <w:rFonts w:hint="eastAsia" w:ascii="宋体" w:hAnsi="宋体"/>
          <w:b/>
          <w:color w:val="auto"/>
          <w:sz w:val="32"/>
          <w:szCs w:val="32"/>
          <w:highlight w:val="none"/>
        </w:rPr>
        <w:t>第六章 政府采购合同</w:t>
      </w:r>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14:paraId="0AAEEF30">
      <w:pPr>
        <w:pStyle w:val="3"/>
        <w:adjustRightInd w:val="0"/>
        <w:snapToGrid w:val="0"/>
        <w:jc w:val="center"/>
        <w:rPr>
          <w:rFonts w:ascii="宋体" w:hAnsi="宋体"/>
          <w:color w:val="auto"/>
          <w:sz w:val="28"/>
          <w:szCs w:val="28"/>
          <w:highlight w:val="none"/>
        </w:rPr>
      </w:pPr>
      <w:bookmarkStart w:id="1356" w:name="_Toc19903"/>
      <w:bookmarkStart w:id="1357" w:name="_Toc111543589"/>
      <w:bookmarkStart w:id="1358" w:name="_Toc10038"/>
      <w:bookmarkStart w:id="1359" w:name="_Toc193053739"/>
      <w:bookmarkStart w:id="1360" w:name="_Toc25577"/>
      <w:bookmarkStart w:id="1361" w:name="_Toc9677"/>
      <w:bookmarkStart w:id="1362" w:name="_Toc17087"/>
      <w:bookmarkStart w:id="1363" w:name="_Toc171282436"/>
      <w:bookmarkStart w:id="1364" w:name="_Toc19368"/>
      <w:bookmarkStart w:id="1365" w:name="_Toc11496"/>
      <w:bookmarkStart w:id="1366" w:name="_Toc4414"/>
      <w:bookmarkStart w:id="1367" w:name="_Toc18666"/>
      <w:bookmarkStart w:id="1368" w:name="_Toc24931"/>
      <w:bookmarkStart w:id="1369" w:name="_Toc137408750"/>
      <w:bookmarkStart w:id="1370" w:name="_Toc166778367"/>
      <w:bookmarkStart w:id="1371" w:name="_Toc14034"/>
      <w:bookmarkStart w:id="1372" w:name="_Toc103979612"/>
      <w:bookmarkStart w:id="1373" w:name="_Toc2315"/>
      <w:bookmarkStart w:id="1374" w:name="_Toc12802"/>
      <w:bookmarkStart w:id="1375" w:name="_Toc79093706"/>
      <w:bookmarkStart w:id="1376" w:name="_Toc109656611"/>
      <w:bookmarkStart w:id="1377" w:name="_Toc113350968"/>
      <w:bookmarkStart w:id="1378" w:name="_Toc21421"/>
      <w:bookmarkStart w:id="1379" w:name="_Toc189905393"/>
      <w:bookmarkStart w:id="1380" w:name="_Toc99299759"/>
      <w:bookmarkStart w:id="1381" w:name="_Toc9033"/>
      <w:bookmarkStart w:id="1382" w:name="_Toc15402"/>
      <w:bookmarkStart w:id="1383" w:name="_Toc140957902"/>
      <w:bookmarkStart w:id="1384" w:name="_Toc2618"/>
      <w:bookmarkStart w:id="1385" w:name="_Toc108483429"/>
      <w:bookmarkStart w:id="1386" w:name="_Toc118209459"/>
      <w:bookmarkStart w:id="1387" w:name="_Toc14738"/>
      <w:r>
        <w:rPr>
          <w:rFonts w:hint="eastAsia" w:ascii="宋体" w:hAnsi="宋体"/>
          <w:color w:val="auto"/>
          <w:sz w:val="28"/>
          <w:szCs w:val="28"/>
          <w:highlight w:val="none"/>
        </w:rPr>
        <w:t>第一节 政府采购合同协议书</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p>
    <w:p w14:paraId="109840AF">
      <w:pPr>
        <w:adjustRightInd w:val="0"/>
        <w:snapToGrid w:val="0"/>
        <w:spacing w:line="360" w:lineRule="auto"/>
        <w:jc w:val="center"/>
        <w:rPr>
          <w:rFonts w:ascii="宋体" w:hAnsi="宋体"/>
          <w:color w:val="auto"/>
          <w:szCs w:val="21"/>
          <w:highlight w:val="none"/>
        </w:rPr>
      </w:pPr>
    </w:p>
    <w:p w14:paraId="636EC19B">
      <w:pPr>
        <w:adjustRightInd w:val="0"/>
        <w:snapToGrid w:val="0"/>
        <w:spacing w:line="360" w:lineRule="auto"/>
        <w:ind w:firstLine="5880" w:firstLineChars="2800"/>
        <w:rPr>
          <w:rFonts w:ascii="宋体" w:hAnsi="宋体"/>
          <w:b/>
          <w:color w:val="auto"/>
          <w:szCs w:val="21"/>
          <w:highlight w:val="none"/>
        </w:rPr>
      </w:pPr>
      <w:r>
        <w:rPr>
          <w:rFonts w:hint="eastAsia" w:ascii="宋体" w:hAnsi="宋体"/>
          <w:color w:val="auto"/>
          <w:szCs w:val="21"/>
          <w:highlight w:val="none"/>
        </w:rPr>
        <w:t>采购合同编号：</w:t>
      </w:r>
    </w:p>
    <w:p w14:paraId="58CFF46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采购人（全称）：</w:t>
      </w:r>
      <w:r>
        <w:rPr>
          <w:rFonts w:hint="eastAsia" w:ascii="宋体" w:hAnsi="宋体" w:cs="宋体"/>
          <w:color w:val="auto"/>
          <w:kern w:val="0"/>
          <w:szCs w:val="21"/>
          <w:highlight w:val="none"/>
          <w:u w:val="single"/>
        </w:rPr>
        <w:t>新化县农业农村局</w:t>
      </w:r>
      <w:r>
        <w:rPr>
          <w:rFonts w:hint="eastAsia" w:ascii="宋体" w:hAnsi="宋体"/>
          <w:color w:val="auto"/>
          <w:szCs w:val="21"/>
          <w:highlight w:val="none"/>
        </w:rPr>
        <w:t>（甲方）</w:t>
      </w:r>
    </w:p>
    <w:p w14:paraId="51FE5B4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供应商（全称）：</w:t>
      </w:r>
      <w:r>
        <w:rPr>
          <w:rFonts w:hint="eastAsia" w:ascii="宋体" w:hAnsi="宋体"/>
          <w:color w:val="auto"/>
          <w:szCs w:val="21"/>
          <w:highlight w:val="none"/>
          <w:u w:val="single"/>
        </w:rPr>
        <w:t xml:space="preserve">                          </w:t>
      </w:r>
      <w:r>
        <w:rPr>
          <w:rFonts w:hint="eastAsia" w:ascii="宋体" w:hAnsi="宋体"/>
          <w:color w:val="auto"/>
          <w:szCs w:val="21"/>
          <w:highlight w:val="none"/>
        </w:rPr>
        <w:t>（乙方）</w:t>
      </w:r>
    </w:p>
    <w:p w14:paraId="02CC15A5">
      <w:pPr>
        <w:pStyle w:val="20"/>
        <w:adjustRightInd w:val="0"/>
        <w:snapToGrid w:val="0"/>
        <w:spacing w:after="0" w:line="360" w:lineRule="auto"/>
        <w:ind w:left="0" w:leftChars="0" w:firstLine="400" w:firstLineChars="200"/>
        <w:rPr>
          <w:rFonts w:ascii="宋体" w:hAnsi="宋体"/>
          <w:color w:val="auto"/>
          <w:szCs w:val="21"/>
          <w:highlight w:val="none"/>
        </w:rPr>
      </w:pPr>
    </w:p>
    <w:p w14:paraId="1F3B6EE8">
      <w:pPr>
        <w:pStyle w:val="20"/>
        <w:adjustRightInd w:val="0"/>
        <w:snapToGrid w:val="0"/>
        <w:spacing w:after="0" w:line="360" w:lineRule="auto"/>
        <w:ind w:left="0" w:leftChars="0" w:firstLine="420" w:firstLineChars="200"/>
        <w:rPr>
          <w:rFonts w:ascii="宋体" w:hAnsi="宋体"/>
          <w:color w:val="auto"/>
          <w:sz w:val="21"/>
          <w:szCs w:val="21"/>
          <w:highlight w:val="none"/>
        </w:rPr>
      </w:pPr>
      <w:r>
        <w:rPr>
          <w:rFonts w:hint="eastAsia" w:ascii="宋体" w:hAnsi="宋体"/>
          <w:color w:val="auto"/>
          <w:sz w:val="21"/>
          <w:szCs w:val="21"/>
          <w:highlight w:val="none"/>
        </w:rPr>
        <w:t>为了保护甲、乙双方合法权益，根据《中华人民共和国民法典》、《中华人民共和国政府采购法》及其他有关法律、法规、规章，双方签订本合同协议书。</w:t>
      </w:r>
    </w:p>
    <w:p w14:paraId="669D6186">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1.项目信息</w:t>
      </w:r>
    </w:p>
    <w:p w14:paraId="18FB4295">
      <w:pPr>
        <w:pStyle w:val="20"/>
        <w:adjustRightInd w:val="0"/>
        <w:snapToGrid w:val="0"/>
        <w:spacing w:after="0" w:line="360" w:lineRule="auto"/>
        <w:ind w:left="0" w:leftChars="0" w:firstLine="420" w:firstLineChars="200"/>
        <w:rPr>
          <w:rFonts w:ascii="宋体" w:hAnsi="宋体"/>
          <w:color w:val="auto"/>
          <w:sz w:val="21"/>
          <w:szCs w:val="21"/>
          <w:highlight w:val="none"/>
        </w:rPr>
      </w:pPr>
      <w:r>
        <w:rPr>
          <w:rFonts w:hint="eastAsia" w:ascii="宋体" w:hAnsi="宋体"/>
          <w:color w:val="auto"/>
          <w:sz w:val="21"/>
          <w:szCs w:val="21"/>
          <w:highlight w:val="none"/>
        </w:rPr>
        <w:t>（1）采购项目名称：</w:t>
      </w:r>
      <w:r>
        <w:rPr>
          <w:rFonts w:hint="eastAsia" w:ascii="宋体" w:hAnsi="宋体"/>
          <w:color w:val="auto"/>
          <w:kern w:val="2"/>
          <w:sz w:val="21"/>
          <w:szCs w:val="21"/>
          <w:highlight w:val="none"/>
          <w:u w:val="single"/>
        </w:rPr>
        <w:t>2026年新化县高素质农民培育项目</w:t>
      </w:r>
    </w:p>
    <w:p w14:paraId="0FFC33CC">
      <w:pPr>
        <w:pStyle w:val="20"/>
        <w:adjustRightInd w:val="0"/>
        <w:snapToGrid w:val="0"/>
        <w:spacing w:after="0" w:line="360" w:lineRule="auto"/>
        <w:ind w:left="0" w:leftChars="0" w:firstLine="420" w:firstLineChars="200"/>
        <w:rPr>
          <w:rFonts w:ascii="宋体" w:hAnsi="宋体"/>
          <w:color w:val="auto"/>
          <w:sz w:val="21"/>
          <w:szCs w:val="21"/>
          <w:highlight w:val="none"/>
        </w:rPr>
      </w:pPr>
      <w:r>
        <w:rPr>
          <w:rFonts w:hint="eastAsia" w:ascii="宋体" w:hAnsi="宋体"/>
          <w:color w:val="auto"/>
          <w:sz w:val="21"/>
          <w:szCs w:val="21"/>
          <w:highlight w:val="none"/>
        </w:rPr>
        <w:t>（2）采购计划编号：</w:t>
      </w:r>
    </w:p>
    <w:p w14:paraId="7ADC5F7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（3）项目内容：</w:t>
      </w:r>
      <w:r>
        <w:rPr>
          <w:rFonts w:hint="eastAsia" w:ascii="宋体" w:hAnsi="宋体"/>
          <w:color w:val="auto"/>
          <w:szCs w:val="21"/>
          <w:highlight w:val="none"/>
          <w:u w:val="single"/>
        </w:rPr>
        <w:t xml:space="preserve">                   ；</w:t>
      </w:r>
    </w:p>
    <w:p w14:paraId="661C58A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（4）是否分包：</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1CFB545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（5）项目负责人：</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36D493C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（6）联系电话：</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DABA9EF">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2.合同金额</w:t>
      </w:r>
    </w:p>
    <w:p w14:paraId="3B8834A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（1）合同金额小写：</w:t>
      </w:r>
    </w:p>
    <w:p w14:paraId="4A03D4BB">
      <w:pPr>
        <w:adjustRightInd w:val="0"/>
        <w:snapToGrid w:val="0"/>
        <w:spacing w:line="360" w:lineRule="auto"/>
        <w:ind w:firstLine="1785" w:firstLineChars="850"/>
        <w:rPr>
          <w:rFonts w:ascii="宋体" w:hAnsi="宋体"/>
          <w:b/>
          <w:color w:val="auto"/>
          <w:szCs w:val="21"/>
          <w:highlight w:val="none"/>
        </w:rPr>
      </w:pPr>
      <w:r>
        <w:rPr>
          <w:rFonts w:hint="eastAsia" w:ascii="宋体" w:hAnsi="宋体"/>
          <w:color w:val="auto"/>
          <w:szCs w:val="21"/>
          <w:highlight w:val="none"/>
        </w:rPr>
        <w:t>大写：</w:t>
      </w:r>
    </w:p>
    <w:p w14:paraId="35D7344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（2）具体标的见附件。</w:t>
      </w:r>
    </w:p>
    <w:p w14:paraId="347573F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（3）合同定价方式：</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固定总价 </w:t>
      </w: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固定单价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A8"/>
      </w:r>
      <w:r>
        <w:rPr>
          <w:rFonts w:hint="eastAsia" w:ascii="宋体" w:hAnsi="宋体"/>
          <w:iCs/>
          <w:color w:val="auto"/>
          <w:szCs w:val="21"/>
          <w:highlight w:val="none"/>
        </w:rPr>
        <w:t>绩效激励</w:t>
      </w:r>
    </w:p>
    <w:p w14:paraId="363B74E6">
      <w:pPr>
        <w:pStyle w:val="103"/>
        <w:spacing w:line="360" w:lineRule="auto"/>
        <w:rPr>
          <w:color w:val="auto"/>
          <w:sz w:val="21"/>
          <w:szCs w:val="21"/>
          <w:highlight w:val="none"/>
        </w:rPr>
      </w:pPr>
      <w:r>
        <w:rPr>
          <w:rFonts w:hint="eastAsia" w:ascii="宋体" w:hAnsi="宋体"/>
          <w:color w:val="auto"/>
          <w:sz w:val="21"/>
          <w:szCs w:val="21"/>
          <w:highlight w:val="none"/>
        </w:rPr>
        <w:t>（4）付款方式（按项目实际勾选填写）：</w:t>
      </w:r>
    </w:p>
    <w:p w14:paraId="265EFF67">
      <w:pPr>
        <w:adjustRightInd w:val="0"/>
        <w:snapToGrid w:val="0"/>
        <w:spacing w:line="360" w:lineRule="auto"/>
        <w:ind w:firstLine="630" w:firstLineChars="300"/>
        <w:rPr>
          <w:rFonts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全额付款：</w:t>
      </w:r>
      <w:r>
        <w:rPr>
          <w:rFonts w:hint="eastAsia" w:ascii="宋体" w:hAnsi="宋体"/>
          <w:color w:val="auto"/>
          <w:szCs w:val="21"/>
          <w:highlight w:val="none"/>
          <w:u w:val="single"/>
        </w:rPr>
        <w:t xml:space="preserve">                     ； </w:t>
      </w:r>
    </w:p>
    <w:p w14:paraId="784897F1">
      <w:pPr>
        <w:adjustRightInd w:val="0"/>
        <w:snapToGrid w:val="0"/>
        <w:spacing w:line="360" w:lineRule="auto"/>
        <w:ind w:firstLine="630" w:firstLineChars="300"/>
        <w:rPr>
          <w:rFonts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预付款：</w:t>
      </w:r>
      <w:r>
        <w:rPr>
          <w:rFonts w:hint="eastAsia" w:ascii="宋体" w:hAnsi="宋体"/>
          <w:color w:val="auto"/>
          <w:szCs w:val="21"/>
          <w:highlight w:val="none"/>
          <w:u w:val="single"/>
        </w:rPr>
        <w:t xml:space="preserve">             /           </w:t>
      </w:r>
    </w:p>
    <w:p w14:paraId="5F049027">
      <w:pPr>
        <w:adjustRightInd w:val="0"/>
        <w:snapToGrid w:val="0"/>
        <w:spacing w:line="360" w:lineRule="auto"/>
        <w:ind w:firstLine="630" w:firstLineChars="300"/>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分期付款：</w:t>
      </w:r>
      <w:r>
        <w:rPr>
          <w:rFonts w:hint="eastAsia" w:ascii="宋体" w:hAnsi="宋体"/>
          <w:color w:val="auto"/>
          <w:szCs w:val="21"/>
          <w:highlight w:val="none"/>
          <w:u w:val="single"/>
        </w:rPr>
        <w:t xml:space="preserve">          /                  </w:t>
      </w:r>
    </w:p>
    <w:p w14:paraId="0D9091AD">
      <w:pPr>
        <w:adjustRightInd w:val="0"/>
        <w:snapToGrid w:val="0"/>
        <w:spacing w:line="360" w:lineRule="auto"/>
        <w:ind w:firstLine="630" w:firstLineChars="300"/>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成本补偿：</w:t>
      </w:r>
      <w:r>
        <w:rPr>
          <w:rFonts w:hint="eastAsia" w:ascii="宋体" w:hAnsi="宋体"/>
          <w:color w:val="auto"/>
          <w:szCs w:val="21"/>
          <w:highlight w:val="none"/>
          <w:u w:val="single"/>
        </w:rPr>
        <w:t xml:space="preserve">            /               </w:t>
      </w:r>
    </w:p>
    <w:p w14:paraId="1FE2B47E">
      <w:pPr>
        <w:adjustRightInd w:val="0"/>
        <w:snapToGrid w:val="0"/>
        <w:spacing w:line="360" w:lineRule="auto"/>
        <w:ind w:firstLine="630" w:firstLineChars="300"/>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绩效激励：</w:t>
      </w:r>
      <w:r>
        <w:rPr>
          <w:rFonts w:hint="eastAsia" w:ascii="宋体" w:hAnsi="宋体"/>
          <w:color w:val="auto"/>
          <w:szCs w:val="21"/>
          <w:highlight w:val="none"/>
          <w:u w:val="single"/>
        </w:rPr>
        <w:t xml:space="preserve">            /                 </w:t>
      </w:r>
    </w:p>
    <w:p w14:paraId="5FC139D0">
      <w:pPr>
        <w:adjustRightInd w:val="0"/>
        <w:snapToGrid w:val="0"/>
        <w:spacing w:line="360" w:lineRule="auto"/>
        <w:ind w:firstLine="422" w:firstLineChars="200"/>
        <w:rPr>
          <w:rFonts w:ascii="宋体" w:hAnsi="宋体"/>
          <w:color w:val="auto"/>
          <w:szCs w:val="21"/>
          <w:highlight w:val="none"/>
          <w:u w:val="single"/>
        </w:rPr>
      </w:pPr>
      <w:r>
        <w:rPr>
          <w:rFonts w:hint="eastAsia" w:ascii="宋体" w:hAnsi="宋体"/>
          <w:b/>
          <w:color w:val="auto"/>
          <w:szCs w:val="21"/>
          <w:highlight w:val="none"/>
        </w:rPr>
        <w:t>3. 合同履行</w:t>
      </w:r>
    </w:p>
    <w:p w14:paraId="0025D9E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（1）起始日期：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日，完成日期：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日。总日历天数：</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天。</w:t>
      </w:r>
    </w:p>
    <w:p w14:paraId="6645751C">
      <w:pPr>
        <w:adjustRightInd w:val="0"/>
        <w:snapToGrid w:val="0"/>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（2）地点</w:t>
      </w:r>
      <w:r>
        <w:rPr>
          <w:rFonts w:hint="eastAsia" w:ascii="宋体" w:hAnsi="宋体"/>
          <w:b/>
          <w:color w:val="auto"/>
          <w:szCs w:val="21"/>
          <w:highlight w:val="none"/>
        </w:rPr>
        <w:t>：</w:t>
      </w:r>
      <w:r>
        <w:rPr>
          <w:rFonts w:hint="eastAsia" w:ascii="宋体" w:hAnsi="宋体"/>
          <w:bCs/>
          <w:color w:val="auto"/>
          <w:szCs w:val="21"/>
          <w:highlight w:val="none"/>
          <w:u w:val="single"/>
        </w:rPr>
        <w:t xml:space="preserve">  新化县 </w:t>
      </w:r>
    </w:p>
    <w:p w14:paraId="32876F1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（3）方式：</w:t>
      </w:r>
      <w:r>
        <w:rPr>
          <w:rFonts w:hint="eastAsia" w:ascii="宋体" w:hAnsi="宋体"/>
          <w:color w:val="auto"/>
          <w:szCs w:val="21"/>
          <w:highlight w:val="none"/>
          <w:u w:val="single"/>
        </w:rPr>
        <w:t xml:space="preserve">  /  </w:t>
      </w:r>
    </w:p>
    <w:p w14:paraId="149C2AB7">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（4）履约担保：</w:t>
      </w:r>
      <w:r>
        <w:rPr>
          <w:rFonts w:hint="eastAsia" w:ascii="宋体" w:hAnsi="宋体"/>
          <w:bCs/>
          <w:color w:val="auto"/>
          <w:szCs w:val="21"/>
          <w:highlight w:val="none"/>
          <w:u w:val="single"/>
        </w:rPr>
        <w:t xml:space="preserve">   /   </w:t>
      </w:r>
      <w:r>
        <w:rPr>
          <w:rFonts w:hint="eastAsia" w:ascii="宋体" w:hAnsi="宋体"/>
          <w:bCs/>
          <w:color w:val="auto"/>
          <w:szCs w:val="21"/>
          <w:highlight w:val="none"/>
        </w:rPr>
        <w:t>。</w:t>
      </w:r>
    </w:p>
    <w:p w14:paraId="690D719A">
      <w:pPr>
        <w:adjustRightInd w:val="0"/>
        <w:snapToGrid w:val="0"/>
        <w:spacing w:line="360" w:lineRule="auto"/>
        <w:ind w:firstLine="420" w:firstLineChars="200"/>
        <w:rPr>
          <w:rFonts w:ascii="宋体" w:hAnsi="宋体"/>
          <w:b/>
          <w:color w:val="auto"/>
          <w:szCs w:val="21"/>
          <w:highlight w:val="none"/>
        </w:rPr>
      </w:pPr>
      <w:r>
        <w:rPr>
          <w:rFonts w:hint="eastAsia" w:ascii="宋体" w:hAnsi="宋体"/>
          <w:bCs/>
          <w:color w:val="auto"/>
          <w:szCs w:val="21"/>
          <w:highlight w:val="none"/>
        </w:rPr>
        <w:t>（5）质量保证金：</w:t>
      </w:r>
      <w:r>
        <w:rPr>
          <w:rFonts w:hint="eastAsia" w:ascii="宋体" w:hAnsi="宋体"/>
          <w:bCs/>
          <w:color w:val="auto"/>
          <w:szCs w:val="21"/>
          <w:highlight w:val="none"/>
          <w:u w:val="single"/>
        </w:rPr>
        <w:t xml:space="preserve">   /   </w:t>
      </w:r>
      <w:r>
        <w:rPr>
          <w:rFonts w:hint="eastAsia" w:ascii="宋体" w:hAnsi="宋体"/>
          <w:bCs/>
          <w:color w:val="auto"/>
          <w:szCs w:val="21"/>
          <w:highlight w:val="none"/>
        </w:rPr>
        <w:t>。</w:t>
      </w:r>
    </w:p>
    <w:p w14:paraId="5B34A5D0">
      <w:pPr>
        <w:adjustRightInd w:val="0"/>
        <w:snapToGrid w:val="0"/>
        <w:spacing w:line="360" w:lineRule="auto"/>
        <w:ind w:firstLine="422" w:firstLineChars="200"/>
        <w:rPr>
          <w:rFonts w:ascii="宋体" w:hAnsi="宋体"/>
          <w:bCs/>
          <w:color w:val="auto"/>
          <w:szCs w:val="21"/>
          <w:highlight w:val="none"/>
        </w:rPr>
      </w:pPr>
      <w:r>
        <w:rPr>
          <w:rFonts w:hint="eastAsia" w:ascii="宋体" w:hAnsi="宋体"/>
          <w:b/>
          <w:color w:val="auto"/>
          <w:szCs w:val="21"/>
          <w:highlight w:val="none"/>
        </w:rPr>
        <w:t>4. 合同验收</w:t>
      </w:r>
    </w:p>
    <w:p w14:paraId="68BA2090">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（1）验收主体：</w:t>
      </w:r>
      <w:r>
        <w:rPr>
          <w:rFonts w:hint="eastAsia" w:ascii="宋体" w:hAnsi="宋体"/>
          <w:bCs/>
          <w:color w:val="auto"/>
          <w:szCs w:val="21"/>
          <w:highlight w:val="none"/>
          <w:u w:val="single"/>
        </w:rPr>
        <w:t xml:space="preserve"> 新化县农业农村局 </w:t>
      </w:r>
      <w:r>
        <w:rPr>
          <w:rFonts w:hint="eastAsia" w:ascii="宋体" w:hAnsi="宋体"/>
          <w:bCs/>
          <w:color w:val="auto"/>
          <w:szCs w:val="21"/>
          <w:highlight w:val="none"/>
        </w:rPr>
        <w:t>。</w:t>
      </w:r>
    </w:p>
    <w:p w14:paraId="5F002F0E">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（2）验收方式：</w:t>
      </w:r>
      <w:r>
        <w:rPr>
          <w:rFonts w:hint="eastAsia" w:ascii="宋体" w:hAnsi="宋体"/>
          <w:bCs/>
          <w:color w:val="auto"/>
          <w:szCs w:val="21"/>
          <w:highlight w:val="none"/>
          <w:u w:val="single"/>
        </w:rPr>
        <w:t xml:space="preserve">  采购人组织验收  </w:t>
      </w:r>
      <w:r>
        <w:rPr>
          <w:rFonts w:hint="eastAsia" w:ascii="宋体" w:hAnsi="宋体"/>
          <w:bCs/>
          <w:color w:val="auto"/>
          <w:szCs w:val="21"/>
          <w:highlight w:val="none"/>
        </w:rPr>
        <w:t>。</w:t>
      </w:r>
    </w:p>
    <w:p w14:paraId="61030068">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（3）验收标准：</w:t>
      </w:r>
      <w:r>
        <w:rPr>
          <w:rFonts w:hint="eastAsia" w:ascii="宋体" w:hAnsi="宋体"/>
          <w:bCs/>
          <w:color w:val="auto"/>
          <w:szCs w:val="21"/>
          <w:highlight w:val="none"/>
          <w:u w:val="single"/>
        </w:rPr>
        <w:t xml:space="preserve">                         </w:t>
      </w:r>
      <w:r>
        <w:rPr>
          <w:rFonts w:hint="eastAsia" w:ascii="宋体" w:hAnsi="宋体"/>
          <w:bCs/>
          <w:color w:val="auto"/>
          <w:szCs w:val="21"/>
          <w:highlight w:val="none"/>
        </w:rPr>
        <w:t>。</w:t>
      </w:r>
    </w:p>
    <w:p w14:paraId="0C071CE9">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5.组成合同的文件</w:t>
      </w:r>
    </w:p>
    <w:p w14:paraId="156D1AE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本协议书与下列文件一起构成合同文件，如下述文件之间有任何抵触、矛盾或歧义，应按以下顺序解释：</w:t>
      </w:r>
    </w:p>
    <w:p w14:paraId="1C003A5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（1）在采购或合同履行过程中乙方作出的承诺以及双方协商达成的变更或补充协议</w:t>
      </w:r>
    </w:p>
    <w:p w14:paraId="644B919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（2）本合同协议书</w:t>
      </w:r>
    </w:p>
    <w:p w14:paraId="29EBCF9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（3）中标通知书</w:t>
      </w:r>
    </w:p>
    <w:p w14:paraId="5A480B8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（4）投标文件</w:t>
      </w:r>
    </w:p>
    <w:p w14:paraId="529AE17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（5）政府采购合同专用条款</w:t>
      </w:r>
    </w:p>
    <w:p w14:paraId="27AB788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（6）政府采购合同通用条款</w:t>
      </w:r>
    </w:p>
    <w:p w14:paraId="3D8A7D0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（7）标准、规范及有关技术文件，图纸。</w:t>
      </w:r>
    </w:p>
    <w:p w14:paraId="48D88E1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（8）其他合同文件。</w:t>
      </w:r>
    </w:p>
    <w:p w14:paraId="4F56E7F1">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6.解决争议的方式</w:t>
      </w:r>
    </w:p>
    <w:p w14:paraId="68DE242A">
      <w:pPr>
        <w:adjustRightInd w:val="0"/>
        <w:snapToGrid w:val="0"/>
        <w:spacing w:line="360" w:lineRule="auto"/>
        <w:ind w:firstLine="420" w:firstLineChars="200"/>
        <w:rPr>
          <w:rFonts w:ascii="宋体" w:hAnsi="宋体"/>
          <w:b/>
          <w:color w:val="auto"/>
          <w:szCs w:val="21"/>
          <w:highlight w:val="none"/>
        </w:rPr>
      </w:pPr>
      <w:r>
        <w:rPr>
          <w:rFonts w:hint="eastAsia" w:ascii="宋体" w:hAnsi="宋体"/>
          <w:bCs/>
          <w:color w:val="auto"/>
          <w:szCs w:val="21"/>
          <w:highlight w:val="none"/>
        </w:rPr>
        <w:t>本协议执行过程中，双方若发生争议，应通过友好协商解决。协商不成的，双方同意向甲方所在地人民法院提起诉讼解决。</w:t>
      </w:r>
    </w:p>
    <w:p w14:paraId="13FE075F">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7.合同生效</w:t>
      </w:r>
    </w:p>
    <w:p w14:paraId="1E25B64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本合同自</w:t>
      </w:r>
      <w:r>
        <w:rPr>
          <w:rFonts w:hint="eastAsia" w:ascii="宋体" w:hAnsi="宋体"/>
          <w:color w:val="auto"/>
          <w:szCs w:val="21"/>
          <w:highlight w:val="none"/>
          <w:u w:val="single"/>
        </w:rPr>
        <w:t xml:space="preserve">                 </w:t>
      </w:r>
      <w:r>
        <w:rPr>
          <w:rFonts w:hint="eastAsia" w:ascii="宋体" w:hAnsi="宋体"/>
          <w:color w:val="auto"/>
          <w:szCs w:val="21"/>
          <w:highlight w:val="none"/>
        </w:rPr>
        <w:t>生效。</w:t>
      </w:r>
    </w:p>
    <w:p w14:paraId="39B5F3C0">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8.合同份数</w:t>
      </w:r>
    </w:p>
    <w:p w14:paraId="20E3DA2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本合同一式</w:t>
      </w:r>
      <w:r>
        <w:rPr>
          <w:rFonts w:hint="eastAsia" w:ascii="宋体" w:hAnsi="宋体"/>
          <w:color w:val="auto"/>
          <w:szCs w:val="21"/>
          <w:highlight w:val="none"/>
          <w:u w:val="single"/>
        </w:rPr>
        <w:t xml:space="preserve">       </w:t>
      </w:r>
      <w:r>
        <w:rPr>
          <w:rFonts w:hint="eastAsia" w:ascii="宋体" w:hAnsi="宋体"/>
          <w:color w:val="auto"/>
          <w:szCs w:val="21"/>
          <w:highlight w:val="none"/>
        </w:rPr>
        <w:t>份，采购人执</w:t>
      </w:r>
      <w:r>
        <w:rPr>
          <w:rFonts w:hint="eastAsia" w:ascii="宋体" w:hAnsi="宋体"/>
          <w:color w:val="auto"/>
          <w:szCs w:val="21"/>
          <w:highlight w:val="none"/>
          <w:u w:val="single"/>
        </w:rPr>
        <w:t xml:space="preserve">     </w:t>
      </w:r>
      <w:r>
        <w:rPr>
          <w:rFonts w:hint="eastAsia" w:ascii="宋体" w:hAnsi="宋体"/>
          <w:color w:val="auto"/>
          <w:szCs w:val="21"/>
          <w:highlight w:val="none"/>
        </w:rPr>
        <w:t>份，供应商执</w:t>
      </w:r>
      <w:r>
        <w:rPr>
          <w:rFonts w:hint="eastAsia" w:ascii="宋体" w:hAnsi="宋体"/>
          <w:color w:val="auto"/>
          <w:szCs w:val="21"/>
          <w:highlight w:val="none"/>
          <w:u w:val="single"/>
        </w:rPr>
        <w:t xml:space="preserve">     </w:t>
      </w:r>
      <w:r>
        <w:rPr>
          <w:rFonts w:hint="eastAsia" w:ascii="宋体" w:hAnsi="宋体"/>
          <w:color w:val="auto"/>
          <w:szCs w:val="21"/>
          <w:highlight w:val="none"/>
        </w:rPr>
        <w:t>份，均具有同等法律效力。</w:t>
      </w:r>
    </w:p>
    <w:p w14:paraId="67411CCA">
      <w:pPr>
        <w:adjustRightInd w:val="0"/>
        <w:snapToGrid w:val="0"/>
        <w:spacing w:line="360" w:lineRule="auto"/>
        <w:ind w:firstLine="420" w:firstLineChars="200"/>
        <w:rPr>
          <w:rFonts w:ascii="宋体" w:hAnsi="宋体"/>
          <w:color w:val="auto"/>
          <w:szCs w:val="21"/>
          <w:highlight w:val="none"/>
        </w:rPr>
      </w:pPr>
    </w:p>
    <w:p w14:paraId="27FDF71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合同订立时间：   年   月   日</w:t>
      </w:r>
    </w:p>
    <w:p w14:paraId="44FF4B6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合同订立地点：</w:t>
      </w:r>
      <w:r>
        <w:rPr>
          <w:rFonts w:hint="eastAsia" w:ascii="宋体" w:hAnsi="宋体"/>
          <w:color w:val="auto"/>
          <w:szCs w:val="21"/>
          <w:highlight w:val="none"/>
          <w:u w:val="single"/>
        </w:rPr>
        <w:t xml:space="preserve">                </w:t>
      </w:r>
    </w:p>
    <w:p w14:paraId="32C8DDC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附件：具体标的明细、分包合同等。</w:t>
      </w:r>
    </w:p>
    <w:p w14:paraId="59BA5FD8">
      <w:pPr>
        <w:adjustRightInd w:val="0"/>
        <w:snapToGrid w:val="0"/>
        <w:spacing w:line="360" w:lineRule="auto"/>
        <w:rPr>
          <w:rFonts w:ascii="宋体" w:hAnsi="宋体"/>
          <w:color w:val="auto"/>
          <w:szCs w:val="21"/>
          <w:highlight w:val="none"/>
        </w:rPr>
      </w:pPr>
    </w:p>
    <w:p w14:paraId="4E4B162F">
      <w:pPr>
        <w:pStyle w:val="103"/>
        <w:ind w:firstLine="400"/>
        <w:rPr>
          <w:color w:val="auto"/>
          <w:highlight w:val="none"/>
        </w:rPr>
      </w:pPr>
    </w:p>
    <w:p w14:paraId="712846C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甲      方：（公章）                     乙      方：（公章）</w:t>
      </w:r>
    </w:p>
    <w:p w14:paraId="44C9A06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法定代表人：                             法定代表人：</w:t>
      </w:r>
    </w:p>
    <w:p w14:paraId="36B0511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或委托代理人：                           或委托代理人：</w:t>
      </w:r>
    </w:p>
    <w:p w14:paraId="2B22135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电      话：                             电      话：</w:t>
      </w:r>
    </w:p>
    <w:p w14:paraId="00F2DBC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传      真：                             传      真：</w:t>
      </w:r>
    </w:p>
    <w:p w14:paraId="418AA0C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开 户 银 行：</w:t>
      </w:r>
    </w:p>
    <w:p w14:paraId="06EE958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帐       号：</w:t>
      </w:r>
    </w:p>
    <w:p w14:paraId="3C8627E1">
      <w:pPr>
        <w:pStyle w:val="3"/>
        <w:jc w:val="center"/>
        <w:rPr>
          <w:rFonts w:ascii="宋体" w:hAnsi="宋体"/>
          <w:color w:val="auto"/>
          <w:sz w:val="28"/>
          <w:szCs w:val="28"/>
          <w:highlight w:val="none"/>
        </w:rPr>
      </w:pPr>
      <w:r>
        <w:rPr>
          <w:rFonts w:hint="eastAsia" w:ascii="宋体" w:hAnsi="宋体"/>
          <w:color w:val="auto"/>
          <w:szCs w:val="21"/>
          <w:highlight w:val="none"/>
        </w:rPr>
        <w:t xml:space="preserve">                  </w:t>
      </w:r>
      <w:r>
        <w:rPr>
          <w:rFonts w:hint="eastAsia" w:ascii="宋体" w:hAnsi="宋体"/>
          <w:b w:val="0"/>
          <w:bCs w:val="0"/>
          <w:color w:val="auto"/>
          <w:kern w:val="2"/>
          <w:sz w:val="21"/>
          <w:szCs w:val="21"/>
          <w:highlight w:val="none"/>
        </w:rPr>
        <w:t xml:space="preserve"> </w:t>
      </w:r>
      <w:r>
        <w:rPr>
          <w:rFonts w:hint="eastAsia" w:ascii="宋体" w:hAnsi="宋体"/>
          <w:b w:val="0"/>
          <w:bCs w:val="0"/>
          <w:color w:val="auto"/>
          <w:kern w:val="2"/>
          <w:sz w:val="21"/>
          <w:szCs w:val="21"/>
          <w:highlight w:val="none"/>
        </w:rPr>
        <w:br w:type="page"/>
      </w:r>
      <w:bookmarkStart w:id="1388" w:name="_Toc19869"/>
      <w:bookmarkStart w:id="1389" w:name="_Toc29742"/>
      <w:bookmarkStart w:id="1390" w:name="_Toc23494"/>
      <w:bookmarkStart w:id="1391" w:name="_Toc15525"/>
      <w:bookmarkStart w:id="1392" w:name="_Toc26836"/>
      <w:bookmarkStart w:id="1393" w:name="_Toc79093707"/>
      <w:bookmarkStart w:id="1394" w:name="_Toc19860"/>
      <w:bookmarkStart w:id="1395" w:name="_Toc29227"/>
      <w:bookmarkStart w:id="1396" w:name="_Toc16074"/>
      <w:bookmarkStart w:id="1397" w:name="_Toc103979613"/>
      <w:bookmarkStart w:id="1398" w:name="_Toc193053740"/>
      <w:bookmarkStart w:id="1399" w:name="_Toc166778368"/>
      <w:bookmarkStart w:id="1400" w:name="_Toc6055"/>
      <w:bookmarkStart w:id="1401" w:name="_Toc13282"/>
      <w:bookmarkStart w:id="1402" w:name="_Toc118209460"/>
      <w:bookmarkStart w:id="1403" w:name="_Toc99299760"/>
      <w:bookmarkStart w:id="1404" w:name="_Toc27146"/>
      <w:bookmarkStart w:id="1405" w:name="_Toc7688"/>
      <w:bookmarkStart w:id="1406" w:name="_Toc109656612"/>
      <w:bookmarkStart w:id="1407" w:name="_Toc137408751"/>
      <w:bookmarkStart w:id="1408" w:name="_Toc27719"/>
      <w:bookmarkStart w:id="1409" w:name="_Toc25280"/>
      <w:bookmarkStart w:id="1410" w:name="_Toc108483430"/>
      <w:bookmarkStart w:id="1411" w:name="_Toc111543590"/>
      <w:bookmarkStart w:id="1412" w:name="_Toc1448"/>
      <w:bookmarkStart w:id="1413" w:name="_Toc189905394"/>
      <w:bookmarkStart w:id="1414" w:name="_Toc1200"/>
      <w:bookmarkStart w:id="1415" w:name="_Toc10934"/>
      <w:bookmarkStart w:id="1416" w:name="_Toc113350969"/>
      <w:bookmarkStart w:id="1417" w:name="_Toc171282437"/>
      <w:bookmarkStart w:id="1418" w:name="_Toc140957903"/>
      <w:r>
        <w:rPr>
          <w:rFonts w:hint="eastAsia" w:ascii="宋体" w:hAnsi="宋体"/>
          <w:color w:val="auto"/>
          <w:sz w:val="28"/>
          <w:szCs w:val="28"/>
          <w:highlight w:val="none"/>
        </w:rPr>
        <w:t xml:space="preserve">第二节 </w:t>
      </w:r>
      <w:bookmarkEnd w:id="1388"/>
      <w:bookmarkEnd w:id="1389"/>
      <w:bookmarkEnd w:id="1390"/>
      <w:bookmarkStart w:id="1419" w:name="_Toc31796"/>
      <w:bookmarkStart w:id="1420" w:name="_Toc23599"/>
      <w:r>
        <w:rPr>
          <w:rFonts w:hint="eastAsia" w:ascii="宋体" w:hAnsi="宋体"/>
          <w:color w:val="auto"/>
          <w:sz w:val="28"/>
          <w:szCs w:val="28"/>
          <w:highlight w:val="none"/>
        </w:rPr>
        <w:t xml:space="preserve"> </w:t>
      </w:r>
      <w:bookmarkEnd w:id="1391"/>
      <w:bookmarkEnd w:id="1392"/>
      <w:bookmarkEnd w:id="1393"/>
      <w:bookmarkEnd w:id="1419"/>
      <w:bookmarkEnd w:id="1420"/>
      <w:r>
        <w:rPr>
          <w:rFonts w:hint="eastAsia" w:ascii="宋体" w:hAnsi="宋体"/>
          <w:color w:val="auto"/>
          <w:sz w:val="28"/>
          <w:szCs w:val="28"/>
          <w:highlight w:val="none"/>
        </w:rPr>
        <w:t>政府采购合同专用条款</w:t>
      </w:r>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14:paraId="5B23CAB6">
      <w:pPr>
        <w:adjustRightInd w:val="0"/>
        <w:snapToGrid w:val="0"/>
        <w:jc w:val="center"/>
        <w:rPr>
          <w:rFonts w:ascii="宋体" w:hAnsi="宋体"/>
          <w:color w:val="auto"/>
          <w:sz w:val="24"/>
          <w:highlight w:val="none"/>
        </w:rPr>
      </w:pPr>
    </w:p>
    <w:p w14:paraId="5A254CF2">
      <w:pPr>
        <w:spacing w:before="240" w:after="240" w:line="360" w:lineRule="auto"/>
        <w:ind w:firstLine="420" w:firstLineChars="200"/>
        <w:jc w:val="left"/>
        <w:rPr>
          <w:rFonts w:ascii="宋体" w:hAnsi="宋体" w:cs="宋体"/>
          <w:b/>
          <w:color w:val="auto"/>
          <w:szCs w:val="21"/>
          <w:highlight w:val="none"/>
        </w:rPr>
      </w:pPr>
      <w:bookmarkStart w:id="1421" w:name="_Toc99299761"/>
      <w:bookmarkStart w:id="1422" w:name="_Toc108483431"/>
      <w:bookmarkStart w:id="1423" w:name="_Toc111543591"/>
      <w:bookmarkStart w:id="1424" w:name="_Toc118209461"/>
      <w:bookmarkStart w:id="1425" w:name="_Toc31319"/>
      <w:bookmarkStart w:id="1426" w:name="_Toc140957904"/>
      <w:bookmarkStart w:id="1427" w:name="_Toc109656613"/>
      <w:bookmarkStart w:id="1428" w:name="_Toc113350970"/>
      <w:bookmarkStart w:id="1429" w:name="_Toc137408752"/>
      <w:bookmarkStart w:id="1430" w:name="_Toc21824"/>
      <w:bookmarkStart w:id="1431" w:name="_Toc10732"/>
      <w:bookmarkStart w:id="1432" w:name="_Toc103979614"/>
      <w:bookmarkStart w:id="1433" w:name="_Toc2645"/>
      <w:bookmarkStart w:id="1434" w:name="_Toc14193"/>
      <w:r>
        <w:rPr>
          <w:rStyle w:val="99"/>
          <w:rFonts w:hAnsi="宋体"/>
          <w:color w:val="auto"/>
          <w:highlight w:val="none"/>
        </w:rPr>
        <w:t>服务类政府采购合同格式文本省级以上政府部门或行业组织有示范文本的，应按照其示范文本确定合同格式。没有示范文本的，按照《</w:t>
      </w:r>
      <w:r>
        <w:rPr>
          <w:rStyle w:val="99"/>
          <w:rFonts w:hint="eastAsia" w:hAnsi="宋体"/>
          <w:color w:val="auto"/>
          <w:highlight w:val="none"/>
        </w:rPr>
        <w:t>中华人民共和国民法典</w:t>
      </w:r>
      <w:r>
        <w:rPr>
          <w:rStyle w:val="99"/>
          <w:rFonts w:hAnsi="宋体"/>
          <w:color w:val="auto"/>
          <w:highlight w:val="none"/>
        </w:rPr>
        <w:t>》及采购项目特点自行拟定特定文本确定合同格式。服务外包，可自拟示范文本。示范文本可在中国湖南政府采购网(www.ccgp-hunan.gov.cn) 相关栏目中下载。</w:t>
      </w:r>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p>
    <w:p w14:paraId="34600FE5">
      <w:pPr>
        <w:pStyle w:val="24"/>
        <w:adjustRightInd w:val="0"/>
        <w:snapToGrid w:val="0"/>
        <w:spacing w:beforeLines="50" w:line="360" w:lineRule="auto"/>
        <w:ind w:firstLine="1044" w:firstLineChars="200"/>
        <w:jc w:val="center"/>
        <w:outlineLvl w:val="0"/>
        <w:rPr>
          <w:rFonts w:hAnsi="宋体"/>
          <w:b/>
          <w:color w:val="auto"/>
          <w:sz w:val="32"/>
          <w:szCs w:val="32"/>
          <w:highlight w:val="none"/>
        </w:rPr>
      </w:pPr>
      <w:r>
        <w:rPr>
          <w:rFonts w:hAnsi="宋体"/>
          <w:b/>
          <w:bCs/>
          <w:color w:val="auto"/>
          <w:sz w:val="52"/>
          <w:szCs w:val="30"/>
          <w:highlight w:val="none"/>
        </w:rPr>
        <w:br w:type="page"/>
      </w:r>
      <w:bookmarkStart w:id="1435" w:name="_Toc9834"/>
      <w:bookmarkStart w:id="1436" w:name="_Toc8670"/>
      <w:bookmarkStart w:id="1437" w:name="_Toc4315"/>
      <w:bookmarkStart w:id="1438" w:name="_Toc16324"/>
      <w:bookmarkStart w:id="1439" w:name="_Toc118209462"/>
      <w:bookmarkStart w:id="1440" w:name="_Toc18713"/>
      <w:bookmarkStart w:id="1441" w:name="_Toc8904"/>
      <w:bookmarkStart w:id="1442" w:name="_Toc28279"/>
      <w:bookmarkStart w:id="1443" w:name="_Toc137408753"/>
      <w:bookmarkStart w:id="1444" w:name="_Toc193053741"/>
      <w:bookmarkStart w:id="1445" w:name="_Toc103979615"/>
      <w:bookmarkStart w:id="1446" w:name="_Toc79093709"/>
      <w:bookmarkStart w:id="1447" w:name="_Toc109656614"/>
      <w:bookmarkStart w:id="1448" w:name="_Toc0"/>
      <w:bookmarkStart w:id="1449" w:name="_Toc166778369"/>
      <w:bookmarkStart w:id="1450" w:name="_Toc32133"/>
      <w:bookmarkStart w:id="1451" w:name="_Toc140957905"/>
      <w:bookmarkStart w:id="1452" w:name="_Toc22956"/>
      <w:bookmarkStart w:id="1453" w:name="_Toc13965"/>
      <w:bookmarkStart w:id="1454" w:name="_Toc99299762"/>
      <w:bookmarkStart w:id="1455" w:name="_Toc111543592"/>
      <w:bookmarkStart w:id="1456" w:name="_Toc5019"/>
      <w:bookmarkStart w:id="1457" w:name="_Toc189905395"/>
      <w:bookmarkStart w:id="1458" w:name="_Toc108483432"/>
      <w:bookmarkStart w:id="1459" w:name="_Toc113350971"/>
      <w:bookmarkStart w:id="1460" w:name="_Toc3489"/>
      <w:bookmarkStart w:id="1461" w:name="_Toc171282438"/>
      <w:bookmarkStart w:id="1462" w:name="_Toc30195"/>
      <w:bookmarkStart w:id="1463" w:name="_Toc20940"/>
      <w:bookmarkStart w:id="1464" w:name="_Toc16854"/>
      <w:bookmarkStart w:id="1465" w:name="_Toc15948"/>
      <w:bookmarkStart w:id="1466" w:name="_Toc22401"/>
      <w:r>
        <w:rPr>
          <w:rFonts w:hint="eastAsia" w:hAnsi="宋体"/>
          <w:b/>
          <w:color w:val="auto"/>
          <w:sz w:val="32"/>
          <w:szCs w:val="32"/>
          <w:highlight w:val="none"/>
        </w:rPr>
        <w:t>第七章 投标文件的组成</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p>
    <w:p w14:paraId="307959C1">
      <w:pPr>
        <w:adjustRightInd w:val="0"/>
        <w:snapToGrid w:val="0"/>
        <w:spacing w:line="360" w:lineRule="auto"/>
        <w:ind w:left="-88" w:leftChars="-42"/>
        <w:jc w:val="center"/>
        <w:rPr>
          <w:rFonts w:ascii="宋体" w:hAnsi="宋体"/>
          <w:b/>
          <w:bCs/>
          <w:color w:val="auto"/>
          <w:szCs w:val="21"/>
          <w:highlight w:val="none"/>
        </w:rPr>
      </w:pPr>
    </w:p>
    <w:p w14:paraId="24A80AE8">
      <w:pPr>
        <w:adjustRightInd w:val="0"/>
        <w:snapToGrid w:val="0"/>
        <w:spacing w:beforeLines="50" w:line="360" w:lineRule="auto"/>
        <w:jc w:val="left"/>
        <w:rPr>
          <w:rFonts w:ascii="宋体" w:hAnsi="宋体"/>
          <w:b/>
          <w:color w:val="auto"/>
          <w:szCs w:val="21"/>
          <w:highlight w:val="none"/>
        </w:rPr>
      </w:pPr>
      <w:r>
        <w:rPr>
          <w:rFonts w:hint="eastAsia" w:ascii="宋体" w:hAnsi="宋体"/>
          <w:b/>
          <w:color w:val="auto"/>
          <w:szCs w:val="21"/>
          <w:highlight w:val="none"/>
        </w:rPr>
        <w:t>第一部分 资格证明文件</w:t>
      </w:r>
    </w:p>
    <w:p w14:paraId="38B247CB">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一、开标一览表</w:t>
      </w:r>
    </w:p>
    <w:p w14:paraId="51F47360">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二、投标保证金</w:t>
      </w:r>
    </w:p>
    <w:p w14:paraId="5BB99910">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三、授权委托书</w:t>
      </w:r>
    </w:p>
    <w:p w14:paraId="2F7754AB">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四、投标人提供的资格证明文件</w:t>
      </w:r>
    </w:p>
    <w:p w14:paraId="2005AC58">
      <w:pPr>
        <w:adjustRightInd w:val="0"/>
        <w:snapToGrid w:val="0"/>
        <w:spacing w:beforeLines="50" w:line="360" w:lineRule="auto"/>
        <w:jc w:val="left"/>
        <w:rPr>
          <w:rFonts w:ascii="宋体" w:hAnsi="宋体"/>
          <w:b/>
          <w:color w:val="auto"/>
          <w:szCs w:val="21"/>
          <w:highlight w:val="none"/>
        </w:rPr>
      </w:pPr>
      <w:r>
        <w:rPr>
          <w:rFonts w:hint="eastAsia" w:ascii="宋体" w:hAnsi="宋体"/>
          <w:b/>
          <w:color w:val="auto"/>
          <w:szCs w:val="21"/>
          <w:highlight w:val="none"/>
        </w:rPr>
        <w:t>第二部分 商务技术文件</w:t>
      </w:r>
    </w:p>
    <w:p w14:paraId="31F11259">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五、投标函</w:t>
      </w:r>
    </w:p>
    <w:p w14:paraId="3A24DC41">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六、分项报价</w:t>
      </w:r>
    </w:p>
    <w:p w14:paraId="600C426F">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七、采购需求响应</w:t>
      </w:r>
    </w:p>
    <w:p w14:paraId="6AD99B94">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八、合同条款偏离表</w:t>
      </w:r>
    </w:p>
    <w:p w14:paraId="23F1E50D">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九、采购需求偏离表</w:t>
      </w:r>
    </w:p>
    <w:p w14:paraId="4D2D9F24">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十、享受政府采购政策优惠的证明资料和清单表</w:t>
      </w:r>
    </w:p>
    <w:p w14:paraId="1920E1D1">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十一、投标货物符合招标文件规定的证明文件</w:t>
      </w:r>
    </w:p>
    <w:p w14:paraId="05FECC74">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十二、投标人认为需提供的其他资料</w:t>
      </w:r>
    </w:p>
    <w:p w14:paraId="02D52F60">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注：投标人可编制资格审查索引表、符合性审查索引表、评审索引表，以便采购人及采购代理机构资格审查和评标委员会评审。</w:t>
      </w:r>
    </w:p>
    <w:p w14:paraId="449C172C">
      <w:pPr>
        <w:adjustRightInd w:val="0"/>
        <w:snapToGrid w:val="0"/>
        <w:spacing w:line="360" w:lineRule="auto"/>
        <w:jc w:val="center"/>
        <w:rPr>
          <w:rFonts w:ascii="宋体" w:hAnsi="宋体"/>
          <w:color w:val="auto"/>
          <w:szCs w:val="21"/>
          <w:highlight w:val="none"/>
        </w:rPr>
      </w:pPr>
    </w:p>
    <w:p w14:paraId="09FCDE8B">
      <w:pPr>
        <w:adjustRightInd w:val="0"/>
        <w:snapToGrid w:val="0"/>
        <w:spacing w:line="360" w:lineRule="auto"/>
        <w:jc w:val="center"/>
        <w:rPr>
          <w:rFonts w:ascii="宋体" w:hAnsi="宋体"/>
          <w:color w:val="auto"/>
          <w:sz w:val="32"/>
          <w:szCs w:val="32"/>
          <w:highlight w:val="none"/>
        </w:rPr>
      </w:pPr>
      <w:r>
        <w:rPr>
          <w:rFonts w:ascii="宋体" w:hAnsi="宋体"/>
          <w:color w:val="auto"/>
          <w:szCs w:val="21"/>
          <w:highlight w:val="none"/>
        </w:rPr>
        <w:br w:type="page"/>
      </w:r>
    </w:p>
    <w:p w14:paraId="016E65C4">
      <w:pPr>
        <w:adjustRightInd w:val="0"/>
        <w:snapToGrid w:val="0"/>
        <w:spacing w:line="360" w:lineRule="auto"/>
        <w:jc w:val="center"/>
        <w:rPr>
          <w:rFonts w:ascii="宋体" w:hAnsi="宋体"/>
          <w:color w:val="auto"/>
          <w:sz w:val="32"/>
          <w:szCs w:val="32"/>
          <w:highlight w:val="none"/>
        </w:rPr>
      </w:pPr>
    </w:p>
    <w:p w14:paraId="54DEF570">
      <w:pPr>
        <w:pStyle w:val="24"/>
        <w:adjustRightInd w:val="0"/>
        <w:snapToGrid w:val="0"/>
        <w:spacing w:line="360" w:lineRule="auto"/>
        <w:jc w:val="center"/>
        <w:rPr>
          <w:rFonts w:hAnsi="宋体"/>
          <w:b/>
          <w:bCs/>
          <w:color w:val="auto"/>
          <w:sz w:val="72"/>
          <w:szCs w:val="72"/>
          <w:highlight w:val="none"/>
        </w:rPr>
      </w:pPr>
      <w:r>
        <w:rPr>
          <w:rFonts w:hint="eastAsia" w:hAnsi="宋体"/>
          <w:b/>
          <w:bCs/>
          <w:color w:val="auto"/>
          <w:sz w:val="72"/>
          <w:szCs w:val="72"/>
          <w:highlight w:val="none"/>
        </w:rPr>
        <w:t>政府采购</w:t>
      </w:r>
    </w:p>
    <w:p w14:paraId="3E5ADECB">
      <w:pPr>
        <w:adjustRightInd w:val="0"/>
        <w:snapToGrid w:val="0"/>
        <w:spacing w:line="360" w:lineRule="auto"/>
        <w:jc w:val="center"/>
        <w:rPr>
          <w:rFonts w:ascii="宋体" w:hAnsi="宋体"/>
          <w:b/>
          <w:bCs/>
          <w:color w:val="auto"/>
          <w:sz w:val="84"/>
          <w:szCs w:val="84"/>
          <w:highlight w:val="none"/>
        </w:rPr>
      </w:pPr>
      <w:r>
        <w:rPr>
          <w:rFonts w:hint="eastAsia" w:ascii="宋体" w:hAnsi="宋体"/>
          <w:b/>
          <w:bCs/>
          <w:color w:val="auto"/>
          <w:sz w:val="84"/>
          <w:szCs w:val="84"/>
          <w:highlight w:val="none"/>
        </w:rPr>
        <w:t>投 标 文 件</w:t>
      </w:r>
    </w:p>
    <w:p w14:paraId="67702F6F">
      <w:pPr>
        <w:pStyle w:val="3"/>
        <w:adjustRightInd w:val="0"/>
        <w:snapToGrid w:val="0"/>
        <w:jc w:val="center"/>
        <w:rPr>
          <w:rFonts w:ascii="宋体" w:hAnsi="宋体"/>
          <w:color w:val="auto"/>
          <w:sz w:val="44"/>
          <w:szCs w:val="44"/>
          <w:highlight w:val="none"/>
        </w:rPr>
      </w:pPr>
      <w:bookmarkStart w:id="1467" w:name="_Toc27220"/>
      <w:bookmarkStart w:id="1468" w:name="_Toc17414"/>
      <w:bookmarkStart w:id="1469" w:name="_Toc189905396"/>
      <w:bookmarkStart w:id="1470" w:name="_Toc108483433"/>
      <w:bookmarkStart w:id="1471" w:name="_Toc28145"/>
      <w:bookmarkStart w:id="1472" w:name="_Toc111543593"/>
      <w:bookmarkStart w:id="1473" w:name="_Toc113350972"/>
      <w:bookmarkStart w:id="1474" w:name="_Toc109656615"/>
      <w:bookmarkStart w:id="1475" w:name="_Toc344"/>
      <w:bookmarkStart w:id="1476" w:name="_Toc118209463"/>
      <w:bookmarkStart w:id="1477" w:name="_Toc30253"/>
      <w:bookmarkStart w:id="1478" w:name="_Toc103979616"/>
      <w:bookmarkStart w:id="1479" w:name="_Toc166778370"/>
      <w:bookmarkStart w:id="1480" w:name="_Toc79093710"/>
      <w:bookmarkStart w:id="1481" w:name="_Toc13666"/>
      <w:bookmarkStart w:id="1482" w:name="_Toc24441"/>
      <w:bookmarkStart w:id="1483" w:name="_Toc32414"/>
      <w:bookmarkStart w:id="1484" w:name="_Toc140957906"/>
      <w:bookmarkStart w:id="1485" w:name="_Toc137408754"/>
      <w:bookmarkStart w:id="1486" w:name="_Toc99299763"/>
      <w:bookmarkStart w:id="1487" w:name="_Toc30570"/>
      <w:bookmarkStart w:id="1488" w:name="_Toc171282439"/>
      <w:bookmarkStart w:id="1489" w:name="_Toc24136"/>
      <w:bookmarkStart w:id="1490" w:name="_Toc29513"/>
      <w:bookmarkStart w:id="1491" w:name="_Toc193053742"/>
      <w:bookmarkStart w:id="1492" w:name="_Toc24612"/>
      <w:bookmarkStart w:id="1493" w:name="_Toc11329"/>
      <w:bookmarkStart w:id="1494" w:name="_Toc31903"/>
      <w:bookmarkStart w:id="1495" w:name="_Toc12788"/>
      <w:bookmarkStart w:id="1496" w:name="_Toc18739"/>
      <w:bookmarkStart w:id="1497" w:name="_Toc369"/>
      <w:bookmarkStart w:id="1498" w:name="_Toc29606"/>
      <w:r>
        <w:rPr>
          <w:rFonts w:hint="eastAsia" w:ascii="宋体" w:hAnsi="宋体"/>
          <w:color w:val="auto"/>
          <w:sz w:val="44"/>
          <w:szCs w:val="44"/>
          <w:highlight w:val="none"/>
        </w:rPr>
        <w:t>第一部分 资格证明文件</w:t>
      </w:r>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p>
    <w:p w14:paraId="6F222A3A">
      <w:pPr>
        <w:adjustRightInd w:val="0"/>
        <w:snapToGrid w:val="0"/>
        <w:spacing w:line="360" w:lineRule="auto"/>
        <w:rPr>
          <w:rFonts w:ascii="宋体" w:hAnsi="宋体"/>
          <w:b/>
          <w:color w:val="auto"/>
          <w:sz w:val="32"/>
          <w:szCs w:val="32"/>
          <w:highlight w:val="none"/>
        </w:rPr>
      </w:pPr>
    </w:p>
    <w:p w14:paraId="63A41653">
      <w:pPr>
        <w:adjustRightInd w:val="0"/>
        <w:snapToGrid w:val="0"/>
        <w:spacing w:line="360" w:lineRule="auto"/>
        <w:rPr>
          <w:rFonts w:ascii="宋体" w:hAnsi="宋体"/>
          <w:b/>
          <w:color w:val="auto"/>
          <w:sz w:val="30"/>
          <w:szCs w:val="30"/>
          <w:highlight w:val="none"/>
        </w:rPr>
      </w:pPr>
    </w:p>
    <w:p w14:paraId="63A083E9">
      <w:pPr>
        <w:pStyle w:val="24"/>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采购项目名称:</w:t>
      </w:r>
    </w:p>
    <w:p w14:paraId="3E7E023F">
      <w:pPr>
        <w:pStyle w:val="24"/>
        <w:adjustRightInd w:val="0"/>
        <w:snapToGrid w:val="0"/>
        <w:spacing w:line="360" w:lineRule="auto"/>
        <w:ind w:firstLine="1988" w:firstLineChars="660"/>
        <w:rPr>
          <w:rFonts w:hAnsi="宋体"/>
          <w:b/>
          <w:bCs/>
          <w:color w:val="auto"/>
          <w:sz w:val="30"/>
          <w:szCs w:val="30"/>
          <w:highlight w:val="none"/>
        </w:rPr>
      </w:pPr>
      <w:r>
        <w:rPr>
          <w:rFonts w:hint="eastAsia" w:hAnsi="宋体"/>
          <w:b/>
          <w:bCs/>
          <w:color w:val="auto"/>
          <w:sz w:val="30"/>
          <w:szCs w:val="30"/>
          <w:highlight w:val="none"/>
        </w:rPr>
        <w:t>采   购   人：</w:t>
      </w:r>
    </w:p>
    <w:p w14:paraId="6D263F07">
      <w:pPr>
        <w:pStyle w:val="24"/>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政府采购计划编号:</w:t>
      </w:r>
    </w:p>
    <w:p w14:paraId="5FFFD07E">
      <w:pPr>
        <w:pStyle w:val="24"/>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委托代理编号:</w:t>
      </w:r>
    </w:p>
    <w:p w14:paraId="5F1319FB">
      <w:pPr>
        <w:pStyle w:val="24"/>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采购代理机构：</w:t>
      </w:r>
    </w:p>
    <w:p w14:paraId="7DA88AB9">
      <w:pPr>
        <w:adjustRightInd w:val="0"/>
        <w:snapToGrid w:val="0"/>
        <w:spacing w:line="360" w:lineRule="auto"/>
        <w:rPr>
          <w:rFonts w:ascii="宋体" w:hAnsi="宋体"/>
          <w:color w:val="auto"/>
          <w:sz w:val="30"/>
          <w:szCs w:val="30"/>
          <w:highlight w:val="none"/>
        </w:rPr>
      </w:pPr>
    </w:p>
    <w:p w14:paraId="41F86CA8">
      <w:pPr>
        <w:adjustRightInd w:val="0"/>
        <w:snapToGrid w:val="0"/>
        <w:rPr>
          <w:rFonts w:ascii="宋体" w:hAnsi="宋体"/>
          <w:color w:val="auto"/>
          <w:sz w:val="30"/>
          <w:szCs w:val="30"/>
          <w:highlight w:val="none"/>
        </w:rPr>
      </w:pPr>
    </w:p>
    <w:p w14:paraId="5920355A">
      <w:pPr>
        <w:adjustRightInd w:val="0"/>
        <w:snapToGrid w:val="0"/>
        <w:spacing w:line="360" w:lineRule="auto"/>
        <w:rPr>
          <w:rFonts w:ascii="宋体" w:hAnsi="宋体"/>
          <w:color w:val="auto"/>
          <w:sz w:val="30"/>
          <w:szCs w:val="30"/>
          <w:highlight w:val="none"/>
        </w:rPr>
      </w:pPr>
    </w:p>
    <w:p w14:paraId="3BDE28F8">
      <w:pPr>
        <w:adjustRightInd w:val="0"/>
        <w:snapToGrid w:val="0"/>
        <w:spacing w:line="360" w:lineRule="auto"/>
        <w:rPr>
          <w:rFonts w:ascii="宋体" w:hAnsi="宋体"/>
          <w:color w:val="auto"/>
          <w:sz w:val="30"/>
          <w:szCs w:val="30"/>
          <w:highlight w:val="none"/>
        </w:rPr>
      </w:pPr>
    </w:p>
    <w:p w14:paraId="2FF0AEED">
      <w:pPr>
        <w:adjustRightInd w:val="0"/>
        <w:snapToGrid w:val="0"/>
        <w:spacing w:line="360" w:lineRule="auto"/>
        <w:ind w:firstLine="3520" w:firstLineChars="1100"/>
        <w:rPr>
          <w:rFonts w:ascii="宋体" w:hAnsi="宋体"/>
          <w:color w:val="auto"/>
          <w:sz w:val="32"/>
          <w:szCs w:val="32"/>
          <w:highlight w:val="none"/>
          <w:u w:val="single"/>
        </w:rPr>
      </w:pPr>
      <w:r>
        <w:rPr>
          <w:rFonts w:hint="eastAsia" w:ascii="宋体" w:hAnsi="宋体"/>
          <w:color w:val="auto"/>
          <w:sz w:val="32"/>
          <w:szCs w:val="32"/>
          <w:highlight w:val="none"/>
        </w:rPr>
        <w:t>投标人</w:t>
      </w:r>
    </w:p>
    <w:p w14:paraId="2E53D6E8">
      <w:pPr>
        <w:adjustRightInd w:val="0"/>
        <w:snapToGrid w:val="0"/>
        <w:jc w:val="center"/>
        <w:rPr>
          <w:rFonts w:ascii="宋体" w:hAnsi="宋体"/>
          <w:color w:val="auto"/>
          <w:szCs w:val="21"/>
          <w:highlight w:val="none"/>
        </w:rPr>
      </w:pPr>
      <w:r>
        <w:rPr>
          <w:rFonts w:hint="eastAsia" w:ascii="宋体" w:hAnsi="宋体"/>
          <w:color w:val="auto"/>
          <w:sz w:val="32"/>
          <w:szCs w:val="32"/>
          <w:highlight w:val="none"/>
        </w:rPr>
        <w:t>年  月  日</w:t>
      </w:r>
      <w:r>
        <w:rPr>
          <w:rFonts w:ascii="宋体" w:hAnsi="宋体"/>
          <w:color w:val="auto"/>
          <w:sz w:val="28"/>
          <w:szCs w:val="28"/>
          <w:highlight w:val="none"/>
        </w:rPr>
        <w:br w:type="page"/>
      </w:r>
    </w:p>
    <w:p w14:paraId="3B97E411">
      <w:pPr>
        <w:pStyle w:val="3"/>
        <w:adjustRightInd w:val="0"/>
        <w:snapToGrid w:val="0"/>
        <w:jc w:val="center"/>
        <w:rPr>
          <w:rFonts w:ascii="宋体" w:hAnsi="宋体"/>
          <w:color w:val="auto"/>
          <w:sz w:val="28"/>
          <w:szCs w:val="28"/>
          <w:highlight w:val="none"/>
        </w:rPr>
      </w:pPr>
      <w:bookmarkStart w:id="1499" w:name="_Toc108483435"/>
      <w:bookmarkStart w:id="1500" w:name="_Toc27674"/>
      <w:bookmarkStart w:id="1501" w:name="_Toc18258"/>
      <w:bookmarkStart w:id="1502" w:name="_Toc23492"/>
      <w:bookmarkStart w:id="1503" w:name="_Toc652"/>
      <w:bookmarkStart w:id="1504" w:name="_Toc15091"/>
      <w:bookmarkStart w:id="1505" w:name="_Toc883"/>
      <w:bookmarkStart w:id="1506" w:name="_Toc8450"/>
      <w:bookmarkStart w:id="1507" w:name="_Toc140957907"/>
      <w:bookmarkStart w:id="1508" w:name="_Toc113350973"/>
      <w:bookmarkStart w:id="1509" w:name="_Toc14912"/>
      <w:bookmarkStart w:id="1510" w:name="_Toc109656617"/>
      <w:bookmarkStart w:id="1511" w:name="_Toc12087"/>
      <w:bookmarkStart w:id="1512" w:name="_Toc189905397"/>
      <w:bookmarkStart w:id="1513" w:name="_Toc4543"/>
      <w:bookmarkStart w:id="1514" w:name="_Toc20651243"/>
      <w:bookmarkStart w:id="1515" w:name="_Toc11676"/>
      <w:bookmarkStart w:id="1516" w:name="_Toc7838"/>
      <w:bookmarkStart w:id="1517" w:name="_Toc10229"/>
      <w:bookmarkStart w:id="1518" w:name="_Toc171282440"/>
      <w:bookmarkStart w:id="1519" w:name="_Toc137408755"/>
      <w:bookmarkStart w:id="1520" w:name="_Toc10547"/>
      <w:bookmarkStart w:id="1521" w:name="_Toc193053743"/>
      <w:bookmarkStart w:id="1522" w:name="_Toc111543595"/>
      <w:bookmarkStart w:id="1523" w:name="_Toc12283"/>
      <w:bookmarkStart w:id="1524" w:name="_Toc79093712"/>
      <w:bookmarkStart w:id="1525" w:name="_Toc103979618"/>
      <w:bookmarkStart w:id="1526" w:name="_Toc166778371"/>
      <w:bookmarkStart w:id="1527" w:name="_Toc99299765"/>
      <w:bookmarkStart w:id="1528" w:name="_Toc23187"/>
      <w:bookmarkStart w:id="1529" w:name="_Toc26191"/>
      <w:bookmarkStart w:id="1530" w:name="_Toc118209464"/>
      <w:bookmarkStart w:id="1531" w:name="_Toc25877"/>
      <w:r>
        <w:rPr>
          <w:rFonts w:hint="eastAsia" w:ascii="宋体" w:hAnsi="宋体"/>
          <w:color w:val="auto"/>
          <w:sz w:val="28"/>
          <w:szCs w:val="28"/>
          <w:highlight w:val="none"/>
        </w:rPr>
        <w:t>一、开标一览表</w:t>
      </w:r>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p>
    <w:p w14:paraId="5DFDED9D">
      <w:pPr>
        <w:adjustRightInd w:val="0"/>
        <w:snapToGrid w:val="0"/>
        <w:spacing w:line="360" w:lineRule="auto"/>
        <w:ind w:left="-88" w:leftChars="-42"/>
        <w:jc w:val="center"/>
        <w:rPr>
          <w:rFonts w:ascii="宋体" w:hAnsi="宋体"/>
          <w:color w:val="auto"/>
          <w:sz w:val="24"/>
          <w:highlight w:val="none"/>
        </w:rPr>
      </w:pPr>
    </w:p>
    <w:p w14:paraId="35896CDD">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政府采购计划编号：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w:t>
      </w:r>
      <w:r>
        <w:rPr>
          <w:rFonts w:hint="eastAsia" w:ascii="宋体" w:hAnsi="宋体"/>
          <w:color w:val="auto"/>
          <w:szCs w:val="21"/>
          <w:highlight w:val="none"/>
          <w:u w:val="single"/>
        </w:rPr>
        <w:t xml:space="preserve">              </w:t>
      </w:r>
    </w:p>
    <w:p w14:paraId="008EC940">
      <w:pPr>
        <w:adjustRightInd w:val="0"/>
        <w:snapToGrid w:val="0"/>
        <w:spacing w:line="360" w:lineRule="auto"/>
        <w:rPr>
          <w:rFonts w:ascii="宋体" w:hAnsi="宋体"/>
          <w:b/>
          <w:color w:val="auto"/>
          <w:szCs w:val="21"/>
          <w:highlight w:val="none"/>
        </w:rPr>
      </w:pPr>
      <w:r>
        <w:rPr>
          <w:rFonts w:hint="eastAsia" w:ascii="宋体" w:hAnsi="宋体"/>
          <w:color w:val="auto"/>
          <w:szCs w:val="21"/>
          <w:highlight w:val="none"/>
        </w:rPr>
        <w:t>包号：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包名称：</w:t>
      </w:r>
      <w:r>
        <w:rPr>
          <w:rFonts w:hint="eastAsia" w:ascii="宋体" w:hAnsi="宋体"/>
          <w:color w:val="auto"/>
          <w:szCs w:val="21"/>
          <w:highlight w:val="none"/>
          <w:u w:val="single"/>
        </w:rPr>
        <w:t xml:space="preserve">                </w:t>
      </w:r>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1604DF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5670" w:type="dxa"/>
            <w:vAlign w:val="center"/>
          </w:tcPr>
          <w:p w14:paraId="5BE4D38B">
            <w:pPr>
              <w:adjustRightInd w:val="0"/>
              <w:snapToGrid w:val="0"/>
              <w:spacing w:line="360" w:lineRule="auto"/>
              <w:jc w:val="center"/>
              <w:rPr>
                <w:rFonts w:ascii="宋体" w:hAnsi="宋体"/>
                <w:b/>
                <w:color w:val="auto"/>
                <w:kern w:val="0"/>
                <w:sz w:val="20"/>
                <w:szCs w:val="21"/>
                <w:highlight w:val="none"/>
              </w:rPr>
            </w:pPr>
            <w:r>
              <w:rPr>
                <w:rFonts w:hint="eastAsia" w:ascii="宋体" w:hAnsi="宋体"/>
                <w:b/>
                <w:color w:val="auto"/>
                <w:kern w:val="0"/>
                <w:szCs w:val="21"/>
                <w:highlight w:val="none"/>
              </w:rPr>
              <w:t>投标报价</w:t>
            </w:r>
          </w:p>
        </w:tc>
        <w:tc>
          <w:tcPr>
            <w:tcW w:w="3119" w:type="dxa"/>
            <w:vAlign w:val="center"/>
          </w:tcPr>
          <w:p w14:paraId="43C8CBC0">
            <w:pPr>
              <w:adjustRightInd w:val="0"/>
              <w:snapToGrid w:val="0"/>
              <w:spacing w:line="360" w:lineRule="auto"/>
              <w:jc w:val="center"/>
              <w:rPr>
                <w:rFonts w:ascii="宋体" w:hAnsi="宋体"/>
                <w:b/>
                <w:color w:val="auto"/>
                <w:kern w:val="0"/>
                <w:szCs w:val="21"/>
                <w:highlight w:val="none"/>
              </w:rPr>
            </w:pPr>
            <w:r>
              <w:rPr>
                <w:rFonts w:hint="eastAsia" w:ascii="宋体" w:hAnsi="宋体"/>
                <w:b/>
                <w:color w:val="auto"/>
                <w:kern w:val="0"/>
                <w:szCs w:val="21"/>
                <w:highlight w:val="none"/>
              </w:rPr>
              <w:t>其他内容</w:t>
            </w:r>
          </w:p>
        </w:tc>
      </w:tr>
      <w:tr w14:paraId="373DCB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23" w:hRule="atLeast"/>
          <w:jc w:val="center"/>
        </w:trPr>
        <w:tc>
          <w:tcPr>
            <w:tcW w:w="5670" w:type="dxa"/>
            <w:vAlign w:val="center"/>
          </w:tcPr>
          <w:p w14:paraId="75FC7F89">
            <w:pP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小写金额：</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r>
              <w:rPr>
                <w:rFonts w:hint="eastAsia" w:ascii="宋体" w:hAnsi="宋体"/>
                <w:color w:val="auto"/>
                <w:kern w:val="0"/>
                <w:sz w:val="20"/>
                <w:szCs w:val="21"/>
                <w:highlight w:val="none"/>
              </w:rPr>
              <w:t>人民币元</w:t>
            </w:r>
            <w:r>
              <w:rPr>
                <w:rFonts w:hint="eastAsia" w:ascii="宋体" w:hAnsi="宋体"/>
                <w:color w:val="auto"/>
                <w:kern w:val="0"/>
                <w:szCs w:val="21"/>
                <w:highlight w:val="none"/>
              </w:rPr>
              <w:t>）</w:t>
            </w:r>
          </w:p>
          <w:p w14:paraId="41951D4B">
            <w:pP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大写金额：</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r>
              <w:rPr>
                <w:rFonts w:hint="eastAsia" w:ascii="宋体" w:hAnsi="宋体"/>
                <w:color w:val="auto"/>
                <w:kern w:val="0"/>
                <w:sz w:val="20"/>
                <w:szCs w:val="21"/>
                <w:highlight w:val="none"/>
              </w:rPr>
              <w:t>人民币元</w:t>
            </w:r>
            <w:r>
              <w:rPr>
                <w:rFonts w:hint="eastAsia" w:ascii="宋体" w:hAnsi="宋体"/>
                <w:color w:val="auto"/>
                <w:kern w:val="0"/>
                <w:szCs w:val="21"/>
                <w:highlight w:val="none"/>
              </w:rPr>
              <w:t>）</w:t>
            </w:r>
          </w:p>
          <w:p w14:paraId="5289BC3E">
            <w:pP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（大写金额与小写金额不一致时，以大写金额为准）</w:t>
            </w:r>
          </w:p>
        </w:tc>
        <w:tc>
          <w:tcPr>
            <w:tcW w:w="3119" w:type="dxa"/>
            <w:vAlign w:val="center"/>
          </w:tcPr>
          <w:p w14:paraId="7F5ED912">
            <w:pPr>
              <w:adjustRightInd w:val="0"/>
              <w:snapToGrid w:val="0"/>
              <w:spacing w:line="360" w:lineRule="exact"/>
              <w:rPr>
                <w:rFonts w:ascii="宋体" w:hAnsi="宋体"/>
                <w:color w:val="auto"/>
                <w:kern w:val="0"/>
                <w:szCs w:val="21"/>
                <w:highlight w:val="none"/>
              </w:rPr>
            </w:pPr>
            <w:r>
              <w:rPr>
                <w:rFonts w:hint="eastAsia" w:ascii="宋体" w:hAnsi="宋体"/>
                <w:color w:val="auto"/>
                <w:kern w:val="0"/>
                <w:szCs w:val="21"/>
                <w:highlight w:val="none"/>
              </w:rPr>
              <w:t>服务期限：</w:t>
            </w:r>
          </w:p>
          <w:p w14:paraId="0359CD42">
            <w:pPr>
              <w:pStyle w:val="103"/>
              <w:spacing w:line="360" w:lineRule="exact"/>
              <w:ind w:firstLine="0" w:firstLineChars="0"/>
              <w:rPr>
                <w:rFonts w:ascii="宋体" w:hAnsi="宋体"/>
                <w:color w:val="auto"/>
                <w:sz w:val="21"/>
                <w:szCs w:val="21"/>
                <w:highlight w:val="none"/>
              </w:rPr>
            </w:pPr>
          </w:p>
          <w:p w14:paraId="6EAEC83E">
            <w:pPr>
              <w:pStyle w:val="103"/>
              <w:spacing w:line="360" w:lineRule="exact"/>
              <w:ind w:firstLine="0" w:firstLineChars="0"/>
              <w:rPr>
                <w:rFonts w:ascii="宋体" w:hAnsi="宋体"/>
                <w:color w:val="auto"/>
                <w:highlight w:val="none"/>
              </w:rPr>
            </w:pPr>
            <w:r>
              <w:rPr>
                <w:rFonts w:hint="eastAsia" w:ascii="宋体" w:hAnsi="宋体"/>
                <w:color w:val="auto"/>
                <w:sz w:val="21"/>
                <w:szCs w:val="21"/>
                <w:highlight w:val="none"/>
              </w:rPr>
              <w:t>项目负责人：</w:t>
            </w:r>
          </w:p>
        </w:tc>
      </w:tr>
    </w:tbl>
    <w:p w14:paraId="0E93636D">
      <w:pPr>
        <w:adjustRightInd w:val="0"/>
        <w:snapToGrid w:val="0"/>
        <w:spacing w:line="360" w:lineRule="exact"/>
        <w:rPr>
          <w:rFonts w:ascii="宋体" w:hAnsi="宋体"/>
          <w:color w:val="auto"/>
          <w:szCs w:val="21"/>
          <w:highlight w:val="none"/>
        </w:rPr>
      </w:pPr>
      <w:r>
        <w:rPr>
          <w:rFonts w:hint="eastAsia" w:ascii="宋体" w:hAnsi="宋体"/>
          <w:b/>
          <w:color w:val="auto"/>
          <w:szCs w:val="21"/>
          <w:highlight w:val="none"/>
        </w:rPr>
        <w:t>备注：</w:t>
      </w:r>
      <w:r>
        <w:rPr>
          <w:rFonts w:hint="eastAsia" w:ascii="宋体" w:hAnsi="宋体"/>
          <w:color w:val="auto"/>
          <w:szCs w:val="21"/>
          <w:highlight w:val="none"/>
        </w:rPr>
        <w:t>（1）本表须按包填写，一个“包号”一份。</w:t>
      </w:r>
    </w:p>
    <w:p w14:paraId="14378388">
      <w:pPr>
        <w:adjustRightInd w:val="0"/>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highlight w:val="none"/>
        </w:rPr>
        <w:t>投标人对采购项目内容只允许有一个投标报价，否则其</w:t>
      </w:r>
      <w:r>
        <w:rPr>
          <w:rFonts w:hint="eastAsia" w:ascii="宋体" w:hAnsi="宋体"/>
          <w:b/>
          <w:color w:val="auto"/>
          <w:highlight w:val="none"/>
        </w:rPr>
        <w:t>投标无效</w:t>
      </w:r>
      <w:r>
        <w:rPr>
          <w:rFonts w:hint="eastAsia" w:ascii="宋体" w:hAnsi="宋体"/>
          <w:color w:val="auto"/>
          <w:szCs w:val="21"/>
          <w:highlight w:val="none"/>
        </w:rPr>
        <w:t>。</w:t>
      </w:r>
    </w:p>
    <w:p w14:paraId="02BFCD4E">
      <w:pPr>
        <w:adjustRightInd w:val="0"/>
        <w:snapToGrid w:val="0"/>
        <w:spacing w:line="360" w:lineRule="exact"/>
        <w:ind w:firstLine="420" w:firstLineChars="200"/>
        <w:jc w:val="left"/>
        <w:rPr>
          <w:rFonts w:ascii="宋体" w:hAnsi="宋体"/>
          <w:color w:val="auto"/>
          <w:highlight w:val="none"/>
        </w:rPr>
      </w:pPr>
      <w:r>
        <w:rPr>
          <w:rFonts w:hint="eastAsia" w:ascii="宋体" w:hAnsi="宋体"/>
          <w:color w:val="auto"/>
          <w:szCs w:val="21"/>
          <w:highlight w:val="none"/>
        </w:rPr>
        <w:t>（3）</w:t>
      </w:r>
      <w:r>
        <w:rPr>
          <w:rFonts w:hint="eastAsia" w:ascii="宋体" w:hAnsi="宋体"/>
          <w:color w:val="auto"/>
          <w:highlight w:val="none"/>
        </w:rPr>
        <w:t>投标人在投标截止时间前修改“开标一览表”中的投标报价的，应同时修改投标文件“分项报价明细表”“享受政府采购政策优惠的证明资料”等相关内容。</w:t>
      </w:r>
    </w:p>
    <w:p w14:paraId="15BBAE42">
      <w:pPr>
        <w:tabs>
          <w:tab w:val="left" w:pos="0"/>
        </w:tabs>
        <w:spacing w:line="360" w:lineRule="exact"/>
        <w:ind w:firstLine="480" w:firstLineChars="200"/>
        <w:rPr>
          <w:rFonts w:ascii="宋体" w:hAnsi="宋体"/>
          <w:color w:val="auto"/>
          <w:sz w:val="24"/>
          <w:highlight w:val="none"/>
        </w:rPr>
      </w:pPr>
    </w:p>
    <w:p w14:paraId="0AFA96FB">
      <w:pPr>
        <w:adjustRightInd w:val="0"/>
        <w:snapToGrid w:val="0"/>
        <w:spacing w:line="360" w:lineRule="auto"/>
        <w:ind w:firstLine="420" w:firstLineChars="200"/>
        <w:rPr>
          <w:rFonts w:ascii="宋体" w:hAnsi="宋体"/>
          <w:color w:val="auto"/>
          <w:szCs w:val="21"/>
          <w:highlight w:val="none"/>
        </w:rPr>
      </w:pPr>
    </w:p>
    <w:p w14:paraId="78618052">
      <w:pPr>
        <w:adjustRightInd w:val="0"/>
        <w:snapToGrid w:val="0"/>
        <w:spacing w:line="360" w:lineRule="auto"/>
        <w:ind w:firstLine="420" w:firstLineChars="200"/>
        <w:rPr>
          <w:rFonts w:ascii="宋体" w:hAnsi="宋体"/>
          <w:color w:val="auto"/>
          <w:szCs w:val="21"/>
          <w:highlight w:val="none"/>
        </w:rPr>
      </w:pPr>
    </w:p>
    <w:p w14:paraId="66275B1A">
      <w:pPr>
        <w:adjustRightInd w:val="0"/>
        <w:snapToGrid w:val="0"/>
        <w:spacing w:line="360" w:lineRule="auto"/>
        <w:rPr>
          <w:rFonts w:ascii="宋体" w:hAnsi="宋体"/>
          <w:color w:val="auto"/>
          <w:szCs w:val="21"/>
          <w:highlight w:val="none"/>
        </w:rPr>
      </w:pPr>
    </w:p>
    <w:p w14:paraId="2E4F64F6">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0FC0895E">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或其授权的代理人（签字或印章）：_</w:t>
      </w:r>
    </w:p>
    <w:p w14:paraId="3AF1942D">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日期：年月日</w:t>
      </w:r>
    </w:p>
    <w:p w14:paraId="25C78AB5">
      <w:pPr>
        <w:pStyle w:val="3"/>
        <w:jc w:val="center"/>
        <w:rPr>
          <w:rFonts w:ascii="宋体" w:hAnsi="宋体"/>
          <w:color w:val="auto"/>
          <w:sz w:val="28"/>
          <w:szCs w:val="28"/>
          <w:highlight w:val="none"/>
        </w:rPr>
      </w:pPr>
      <w:r>
        <w:rPr>
          <w:rFonts w:ascii="宋体" w:hAnsi="宋体"/>
          <w:color w:val="auto"/>
          <w:szCs w:val="21"/>
          <w:highlight w:val="none"/>
        </w:rPr>
        <w:br w:type="page"/>
      </w:r>
      <w:bookmarkStart w:id="1532" w:name="_Toc99299766"/>
      <w:bookmarkStart w:id="1533" w:name="_Toc113350974"/>
      <w:bookmarkStart w:id="1534" w:name="_Toc109656618"/>
      <w:bookmarkStart w:id="1535" w:name="_Toc103979619"/>
      <w:bookmarkStart w:id="1536" w:name="_Toc108483436"/>
      <w:bookmarkStart w:id="1537" w:name="_Toc111543596"/>
      <w:bookmarkStart w:id="1538" w:name="_Toc21637"/>
      <w:bookmarkStart w:id="1539" w:name="_Toc137408756"/>
      <w:bookmarkStart w:id="1540" w:name="_Toc27716"/>
      <w:bookmarkStart w:id="1541" w:name="_Toc31076"/>
      <w:bookmarkStart w:id="1542" w:name="_Toc884"/>
      <w:bookmarkStart w:id="1543" w:name="_Toc26872"/>
      <w:bookmarkStart w:id="1544" w:name="_Toc118209465"/>
      <w:bookmarkStart w:id="1545" w:name="_Toc21131"/>
      <w:bookmarkStart w:id="1546" w:name="_Toc166778372"/>
      <w:bookmarkStart w:id="1547" w:name="_Toc25517"/>
      <w:bookmarkStart w:id="1548" w:name="_Toc14247"/>
      <w:bookmarkStart w:id="1549" w:name="_Toc140957908"/>
      <w:bookmarkStart w:id="1550" w:name="_Toc18110"/>
      <w:bookmarkStart w:id="1551" w:name="_Toc19068"/>
      <w:bookmarkStart w:id="1552" w:name="_Toc10631"/>
      <w:bookmarkStart w:id="1553" w:name="_Toc10560"/>
      <w:bookmarkStart w:id="1554" w:name="_Toc22711"/>
      <w:bookmarkStart w:id="1555" w:name="_Toc79093714"/>
      <w:bookmarkStart w:id="1556" w:name="_Toc27281"/>
      <w:bookmarkStart w:id="1557" w:name="_Toc4670"/>
      <w:bookmarkStart w:id="1558" w:name="_Toc9046"/>
      <w:bookmarkStart w:id="1559" w:name="_Toc189905398"/>
      <w:bookmarkStart w:id="1560" w:name="_Toc193053744"/>
      <w:bookmarkStart w:id="1561" w:name="_Toc171282441"/>
      <w:bookmarkStart w:id="1562" w:name="_Toc25050"/>
      <w:bookmarkStart w:id="1563" w:name="_Toc30358"/>
      <w:r>
        <w:rPr>
          <w:rFonts w:hint="eastAsia" w:ascii="宋体" w:hAnsi="宋体"/>
          <w:color w:val="auto"/>
          <w:sz w:val="28"/>
          <w:szCs w:val="28"/>
          <w:highlight w:val="none"/>
        </w:rPr>
        <w:t>二、</w:t>
      </w:r>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r>
        <w:rPr>
          <w:rFonts w:hint="eastAsia" w:ascii="宋体" w:hAnsi="宋体"/>
          <w:color w:val="auto"/>
          <w:sz w:val="28"/>
          <w:szCs w:val="28"/>
          <w:highlight w:val="none"/>
        </w:rPr>
        <w:t>投标保证金</w:t>
      </w:r>
      <w:bookmarkEnd w:id="1556"/>
      <w:bookmarkEnd w:id="1557"/>
      <w:bookmarkEnd w:id="1558"/>
      <w:bookmarkEnd w:id="1559"/>
      <w:bookmarkEnd w:id="1560"/>
      <w:bookmarkEnd w:id="1561"/>
      <w:bookmarkEnd w:id="1562"/>
      <w:bookmarkEnd w:id="1563"/>
    </w:p>
    <w:p w14:paraId="52CD9336">
      <w:pPr>
        <w:tabs>
          <w:tab w:val="left" w:pos="3880"/>
        </w:tabs>
        <w:autoSpaceDE w:val="0"/>
        <w:autoSpaceDN w:val="0"/>
        <w:adjustRightInd w:val="0"/>
        <w:snapToGrid w:val="0"/>
        <w:spacing w:line="360" w:lineRule="auto"/>
        <w:ind w:left="100" w:right="-20"/>
        <w:jc w:val="left"/>
        <w:rPr>
          <w:rFonts w:ascii="宋体" w:hAnsi="宋体" w:cs="微软雅黑"/>
          <w:color w:val="auto"/>
          <w:kern w:val="0"/>
          <w:position w:val="-4"/>
          <w:szCs w:val="21"/>
          <w:highlight w:val="none"/>
        </w:rPr>
      </w:pPr>
    </w:p>
    <w:p w14:paraId="761CA598">
      <w:pPr>
        <w:adjustRightInd w:val="0"/>
        <w:snapToGrid w:val="0"/>
        <w:spacing w:line="360" w:lineRule="auto"/>
        <w:ind w:right="420"/>
        <w:jc w:val="center"/>
        <w:rPr>
          <w:rFonts w:ascii="宋体" w:hAnsi="宋体"/>
          <w:color w:val="auto"/>
          <w:sz w:val="24"/>
          <w:highlight w:val="none"/>
        </w:rPr>
      </w:pPr>
      <w:r>
        <w:rPr>
          <w:rFonts w:hint="eastAsia" w:ascii="宋体" w:hAnsi="宋体"/>
          <w:color w:val="auto"/>
          <w:sz w:val="24"/>
          <w:highlight w:val="none"/>
        </w:rPr>
        <w:t>（不作要求）</w:t>
      </w:r>
    </w:p>
    <w:p w14:paraId="4EBBE3B7">
      <w:pPr>
        <w:pStyle w:val="46"/>
        <w:ind w:firstLine="400"/>
        <w:rPr>
          <w:color w:val="auto"/>
          <w:highlight w:val="none"/>
        </w:rPr>
      </w:pPr>
    </w:p>
    <w:p w14:paraId="558AB3F4">
      <w:pPr>
        <w:pStyle w:val="3"/>
        <w:adjustRightInd w:val="0"/>
        <w:snapToGrid w:val="0"/>
        <w:spacing w:beforeLines="50"/>
        <w:jc w:val="center"/>
        <w:rPr>
          <w:rFonts w:ascii="宋体" w:hAnsi="宋体"/>
          <w:color w:val="auto"/>
          <w:sz w:val="28"/>
          <w:szCs w:val="28"/>
          <w:highlight w:val="none"/>
        </w:rPr>
      </w:pPr>
      <w:r>
        <w:rPr>
          <w:rFonts w:ascii="宋体" w:hAnsi="宋体"/>
          <w:bCs w:val="0"/>
          <w:color w:val="auto"/>
          <w:sz w:val="28"/>
          <w:szCs w:val="28"/>
          <w:highlight w:val="none"/>
        </w:rPr>
        <w:br w:type="page"/>
      </w:r>
      <w:bookmarkStart w:id="1564" w:name="_Toc23155"/>
      <w:bookmarkStart w:id="1565" w:name="_Toc10612"/>
      <w:bookmarkStart w:id="1566" w:name="_Toc113350975"/>
      <w:bookmarkStart w:id="1567" w:name="_Toc166778373"/>
      <w:bookmarkStart w:id="1568" w:name="_Toc6232"/>
      <w:bookmarkStart w:id="1569" w:name="_Toc22800"/>
      <w:bookmarkStart w:id="1570" w:name="_Toc99299767"/>
      <w:bookmarkStart w:id="1571" w:name="_Toc193053745"/>
      <w:bookmarkStart w:id="1572" w:name="_Toc13239"/>
      <w:bookmarkStart w:id="1573" w:name="_Toc118209466"/>
      <w:bookmarkStart w:id="1574" w:name="_Toc103979620"/>
      <w:bookmarkStart w:id="1575" w:name="_Toc4347"/>
      <w:bookmarkStart w:id="1576" w:name="_Toc20062"/>
      <w:bookmarkStart w:id="1577" w:name="_Toc5211"/>
      <w:bookmarkStart w:id="1578" w:name="_Toc19062"/>
      <w:bookmarkStart w:id="1579" w:name="_Toc18518"/>
      <w:bookmarkStart w:id="1580" w:name="_Toc11548"/>
      <w:bookmarkStart w:id="1581" w:name="_Toc25210"/>
      <w:bookmarkStart w:id="1582" w:name="_Toc140957909"/>
      <w:bookmarkStart w:id="1583" w:name="_Toc108483437"/>
      <w:bookmarkStart w:id="1584" w:name="_Toc25255"/>
      <w:bookmarkStart w:id="1585" w:name="_Toc189905399"/>
      <w:bookmarkStart w:id="1586" w:name="_Toc10395"/>
      <w:bookmarkStart w:id="1587" w:name="_Toc17474"/>
      <w:bookmarkStart w:id="1588" w:name="_Toc111543597"/>
      <w:bookmarkStart w:id="1589" w:name="_Toc19691"/>
      <w:bookmarkStart w:id="1590" w:name="_Toc771"/>
      <w:bookmarkStart w:id="1591" w:name="_Toc79093715"/>
      <w:bookmarkStart w:id="1592" w:name="_Toc171282442"/>
      <w:bookmarkStart w:id="1593" w:name="_Toc14586"/>
      <w:bookmarkStart w:id="1594" w:name="_Toc109656619"/>
      <w:bookmarkStart w:id="1595" w:name="_Toc137408757"/>
      <w:r>
        <w:rPr>
          <w:rFonts w:hint="eastAsia" w:ascii="宋体" w:hAnsi="宋体"/>
          <w:color w:val="auto"/>
          <w:sz w:val="28"/>
          <w:szCs w:val="28"/>
          <w:highlight w:val="none"/>
        </w:rPr>
        <w:t>三、授权委托书</w:t>
      </w:r>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p>
    <w:p w14:paraId="13C22882">
      <w:pPr>
        <w:autoSpaceDE w:val="0"/>
        <w:autoSpaceDN w:val="0"/>
        <w:adjustRightInd w:val="0"/>
        <w:snapToGrid w:val="0"/>
        <w:spacing w:line="360" w:lineRule="auto"/>
        <w:ind w:firstLine="446" w:firstLineChars="200"/>
        <w:jc w:val="left"/>
        <w:rPr>
          <w:rFonts w:ascii="宋体" w:hAnsi="宋体"/>
          <w:b/>
          <w:color w:val="auto"/>
          <w:spacing w:val="6"/>
          <w:szCs w:val="21"/>
          <w:highlight w:val="none"/>
        </w:rPr>
      </w:pPr>
    </w:p>
    <w:p w14:paraId="0D187D32">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p>
    <w:p w14:paraId="6C15BEA8">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本人（姓名、职务）系 （</w:t>
      </w:r>
      <w:r>
        <w:rPr>
          <w:rFonts w:hint="eastAsia" w:ascii="宋体" w:hAnsi="宋体"/>
          <w:color w:val="auto"/>
          <w:szCs w:val="21"/>
          <w:highlight w:val="none"/>
        </w:rPr>
        <w:t>投标人</w:t>
      </w:r>
      <w:r>
        <w:rPr>
          <w:rFonts w:hint="eastAsia" w:ascii="宋体" w:hAnsi="宋体" w:cs="宋体"/>
          <w:color w:val="auto"/>
          <w:kern w:val="0"/>
          <w:szCs w:val="21"/>
          <w:highlight w:val="none"/>
        </w:rPr>
        <w:t>名称）的法定代表人，现授权（姓名、职务）为我方代理人。代理人根据授权，以我方名义签署、澄清、说明、补正、递交、撤回、修改（项目名称</w:t>
      </w:r>
      <w:r>
        <w:rPr>
          <w:rFonts w:ascii="宋体" w:hAnsi="宋体" w:cs="宋体"/>
          <w:color w:val="auto"/>
          <w:kern w:val="0"/>
          <w:szCs w:val="21"/>
          <w:highlight w:val="none"/>
        </w:rPr>
        <w:t>）</w:t>
      </w:r>
      <w:r>
        <w:rPr>
          <w:rFonts w:hint="eastAsia" w:ascii="宋体" w:hAnsi="宋体" w:cs="宋体"/>
          <w:color w:val="auto"/>
          <w:kern w:val="0"/>
          <w:szCs w:val="21"/>
          <w:highlight w:val="none"/>
        </w:rPr>
        <w:t>（</w:t>
      </w:r>
      <w:r>
        <w:rPr>
          <w:rFonts w:hint="eastAsia" w:ascii="宋体" w:hAnsi="宋体"/>
          <w:color w:val="auto"/>
          <w:highlight w:val="none"/>
        </w:rPr>
        <w:t>政府采购计划编号</w:t>
      </w:r>
      <w:r>
        <w:rPr>
          <w:rFonts w:hint="eastAsia" w:ascii="宋体" w:hAnsi="宋体"/>
          <w:iCs/>
          <w:color w:val="auto"/>
          <w:highlight w:val="none"/>
        </w:rPr>
        <w:t>： ，</w:t>
      </w:r>
      <w:r>
        <w:rPr>
          <w:rFonts w:hint="eastAsia" w:ascii="宋体" w:hAnsi="宋体" w:cs="宋体"/>
          <w:color w:val="auto"/>
          <w:kern w:val="0"/>
          <w:szCs w:val="21"/>
          <w:highlight w:val="none"/>
        </w:rPr>
        <w:t>委托代理编号：）投标文件、签订合同和处理有关事宜，其法律后果由我方承担。</w:t>
      </w:r>
    </w:p>
    <w:p w14:paraId="41C08B95">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委托期限： 。</w:t>
      </w:r>
    </w:p>
    <w:p w14:paraId="3A415873">
      <w:pPr>
        <w:adjustRightInd w:val="0"/>
        <w:snapToGrid w:val="0"/>
        <w:spacing w:line="360" w:lineRule="auto"/>
        <w:ind w:firstLine="435"/>
        <w:rPr>
          <w:rFonts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57357B5B">
      <w:pPr>
        <w:adjustRightInd w:val="0"/>
        <w:snapToGrid w:val="0"/>
        <w:spacing w:line="360" w:lineRule="auto"/>
        <w:ind w:firstLine="435"/>
        <w:rPr>
          <w:rFonts w:ascii="宋体" w:hAnsi="宋体" w:cs="微软雅黑"/>
          <w:color w:val="auto"/>
          <w:kern w:val="0"/>
          <w:szCs w:val="21"/>
          <w:highlight w:val="none"/>
        </w:rPr>
      </w:pPr>
      <w:r>
        <w:rPr>
          <w:rFonts w:hint="eastAsia" w:ascii="宋体" w:hAnsi="宋体"/>
          <w:color w:val="auto"/>
          <w:szCs w:val="21"/>
          <w:highlight w:val="none"/>
        </w:rPr>
        <w:t>本授权书于年月日签字生效，特此声明。</w:t>
      </w:r>
    </w:p>
    <w:tbl>
      <w:tblPr>
        <w:tblStyle w:val="47"/>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776C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28ABC11F">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委托代理人身份证（正面）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c>
          <w:tcPr>
            <w:tcW w:w="3899" w:type="dxa"/>
            <w:vAlign w:val="center"/>
          </w:tcPr>
          <w:p w14:paraId="3A622122">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委托代理人身份证（反面）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r>
      <w:tr w14:paraId="2307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4650B1F6">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法定代表人身份证（正面）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c>
          <w:tcPr>
            <w:tcW w:w="3899" w:type="dxa"/>
            <w:vAlign w:val="center"/>
          </w:tcPr>
          <w:p w14:paraId="1F9F764B">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法定代表人身份证（反面）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r>
    </w:tbl>
    <w:p w14:paraId="417D6F30">
      <w:pPr>
        <w:adjustRightInd w:val="0"/>
        <w:snapToGrid w:val="0"/>
        <w:spacing w:line="360" w:lineRule="auto"/>
        <w:ind w:firstLine="420" w:firstLineChars="200"/>
        <w:rPr>
          <w:rFonts w:ascii="宋体" w:hAnsi="宋体"/>
          <w:color w:val="auto"/>
          <w:szCs w:val="21"/>
          <w:highlight w:val="none"/>
        </w:rPr>
      </w:pPr>
    </w:p>
    <w:p w14:paraId="58D3799C">
      <w:pPr>
        <w:adjustRightInd w:val="0"/>
        <w:snapToGrid w:val="0"/>
        <w:spacing w:line="360" w:lineRule="auto"/>
        <w:ind w:firstLine="420" w:firstLineChars="200"/>
        <w:rPr>
          <w:rFonts w:ascii="宋体" w:hAnsi="宋体"/>
          <w:color w:val="auto"/>
          <w:szCs w:val="21"/>
          <w:highlight w:val="none"/>
        </w:rPr>
      </w:pPr>
    </w:p>
    <w:p w14:paraId="51786D59">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注：投标人代表不是投标人的法定代表人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的提供。自然人投标的无需提供。</w:t>
      </w:r>
    </w:p>
    <w:p w14:paraId="757ADE2B">
      <w:pPr>
        <w:adjustRightInd w:val="0"/>
        <w:snapToGrid w:val="0"/>
        <w:spacing w:line="360" w:lineRule="auto"/>
        <w:ind w:firstLine="420" w:firstLineChars="200"/>
        <w:rPr>
          <w:rFonts w:ascii="宋体" w:hAnsi="宋体"/>
          <w:color w:val="auto"/>
          <w:szCs w:val="21"/>
          <w:highlight w:val="none"/>
        </w:rPr>
      </w:pPr>
    </w:p>
    <w:p w14:paraId="7EDF9CA0">
      <w:pPr>
        <w:adjustRightInd w:val="0"/>
        <w:snapToGrid w:val="0"/>
        <w:spacing w:line="360" w:lineRule="auto"/>
        <w:ind w:firstLine="420" w:firstLineChars="200"/>
        <w:rPr>
          <w:rFonts w:ascii="宋体" w:hAnsi="宋体"/>
          <w:color w:val="auto"/>
          <w:szCs w:val="21"/>
          <w:highlight w:val="none"/>
        </w:rPr>
      </w:pPr>
    </w:p>
    <w:p w14:paraId="25683D0D">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225E645D">
      <w:pPr>
        <w:adjustRightInd w:val="0"/>
        <w:snapToGrid w:val="0"/>
        <w:spacing w:line="360" w:lineRule="auto"/>
        <w:ind w:right="420"/>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（签字或印章）：</w:t>
      </w:r>
    </w:p>
    <w:p w14:paraId="7A1D2D46">
      <w:pPr>
        <w:adjustRightInd w:val="0"/>
        <w:snapToGrid w:val="0"/>
        <w:spacing w:line="360" w:lineRule="auto"/>
        <w:ind w:right="420"/>
        <w:rPr>
          <w:rFonts w:ascii="宋体" w:hAnsi="宋体"/>
          <w:color w:val="auto"/>
          <w:szCs w:val="21"/>
          <w:highlight w:val="none"/>
        </w:rPr>
      </w:pPr>
      <w:r>
        <w:rPr>
          <w:rFonts w:hint="eastAsia" w:ascii="宋体" w:hAnsi="宋体"/>
          <w:color w:val="auto"/>
          <w:szCs w:val="21"/>
          <w:highlight w:val="none"/>
        </w:rPr>
        <w:t>委托代理人（签字或印章）：</w:t>
      </w:r>
    </w:p>
    <w:p w14:paraId="692FCF7B">
      <w:pPr>
        <w:adjustRightInd w:val="0"/>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日期：</w:t>
      </w:r>
      <w:r>
        <w:rPr>
          <w:rFonts w:hint="eastAsia" w:ascii="宋体" w:hAnsi="宋体"/>
          <w:color w:val="auto"/>
          <w:szCs w:val="21"/>
          <w:highlight w:val="none"/>
        </w:rPr>
        <w:t>年月日</w:t>
      </w:r>
    </w:p>
    <w:p w14:paraId="3B83D2A2">
      <w:pPr>
        <w:pStyle w:val="103"/>
        <w:ind w:firstLine="400"/>
        <w:rPr>
          <w:rFonts w:ascii="宋体" w:hAnsi="宋体"/>
          <w:color w:val="auto"/>
          <w:highlight w:val="none"/>
        </w:rPr>
      </w:pPr>
      <w:r>
        <w:rPr>
          <w:rFonts w:ascii="宋体" w:hAnsi="宋体"/>
          <w:color w:val="auto"/>
          <w:highlight w:val="none"/>
        </w:rPr>
        <w:br w:type="page"/>
      </w:r>
    </w:p>
    <w:p w14:paraId="6B0A0291">
      <w:pPr>
        <w:pStyle w:val="3"/>
        <w:adjustRightInd w:val="0"/>
        <w:snapToGrid w:val="0"/>
        <w:jc w:val="center"/>
        <w:rPr>
          <w:rFonts w:ascii="宋体" w:hAnsi="宋体"/>
          <w:color w:val="auto"/>
          <w:sz w:val="28"/>
          <w:szCs w:val="28"/>
          <w:highlight w:val="none"/>
        </w:rPr>
      </w:pPr>
      <w:bookmarkStart w:id="1596" w:name="_Toc113350976"/>
      <w:bookmarkStart w:id="1597" w:name="_Toc15424"/>
      <w:bookmarkStart w:id="1598" w:name="_Toc7161"/>
      <w:bookmarkStart w:id="1599" w:name="_Toc13627"/>
      <w:bookmarkStart w:id="1600" w:name="_Toc137408758"/>
      <w:bookmarkStart w:id="1601" w:name="_Toc26950"/>
      <w:bookmarkStart w:id="1602" w:name="_Toc15000"/>
      <w:bookmarkStart w:id="1603" w:name="_Toc26676"/>
      <w:bookmarkStart w:id="1604" w:name="_Toc19054"/>
      <w:bookmarkStart w:id="1605" w:name="_Toc118209467"/>
      <w:bookmarkStart w:id="1606" w:name="_Toc31615"/>
      <w:bookmarkStart w:id="1607" w:name="_Toc4755"/>
      <w:bookmarkStart w:id="1608" w:name="_Toc3690"/>
      <w:bookmarkStart w:id="1609" w:name="_Toc79093716"/>
      <w:bookmarkStart w:id="1610" w:name="_Toc9744"/>
      <w:bookmarkStart w:id="1611" w:name="_Toc10480"/>
      <w:bookmarkStart w:id="1612" w:name="_Toc25395"/>
      <w:bookmarkStart w:id="1613" w:name="_Toc193053746"/>
      <w:bookmarkStart w:id="1614" w:name="_Toc189905400"/>
      <w:bookmarkStart w:id="1615" w:name="_Toc27594"/>
      <w:bookmarkStart w:id="1616" w:name="_Toc1461"/>
      <w:bookmarkStart w:id="1617" w:name="_Toc24685"/>
      <w:bookmarkStart w:id="1618" w:name="_Toc109656620"/>
      <w:bookmarkStart w:id="1619" w:name="_Toc24137"/>
      <w:bookmarkStart w:id="1620" w:name="_Toc108483438"/>
      <w:bookmarkStart w:id="1621" w:name="_Toc166778374"/>
      <w:bookmarkStart w:id="1622" w:name="_Toc103979621"/>
      <w:bookmarkStart w:id="1623" w:name="_Toc11208"/>
      <w:bookmarkStart w:id="1624" w:name="_Toc99299768"/>
      <w:bookmarkStart w:id="1625" w:name="_Toc171282443"/>
      <w:bookmarkStart w:id="1626" w:name="_Toc111543598"/>
      <w:bookmarkStart w:id="1627" w:name="_Toc140957910"/>
      <w:r>
        <w:rPr>
          <w:rFonts w:hint="eastAsia" w:ascii="宋体" w:hAnsi="宋体"/>
          <w:color w:val="auto"/>
          <w:sz w:val="28"/>
          <w:szCs w:val="28"/>
          <w:highlight w:val="none"/>
        </w:rPr>
        <w:t>四、投标人提供的资格证明文件</w:t>
      </w:r>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Start w:id="1628" w:name="_Toc294186060"/>
      <w:bookmarkStart w:id="1629" w:name="_Toc294206743"/>
    </w:p>
    <w:p w14:paraId="55505572">
      <w:pPr>
        <w:pStyle w:val="24"/>
        <w:adjustRightInd w:val="0"/>
        <w:snapToGrid w:val="0"/>
        <w:spacing w:line="360" w:lineRule="auto"/>
        <w:jc w:val="center"/>
        <w:rPr>
          <w:rFonts w:hAnsi="宋体"/>
          <w:b/>
          <w:bCs/>
          <w:color w:val="auto"/>
          <w:sz w:val="24"/>
          <w:szCs w:val="24"/>
          <w:highlight w:val="none"/>
        </w:rPr>
      </w:pPr>
    </w:p>
    <w:p w14:paraId="1DB2480C">
      <w:pPr>
        <w:pStyle w:val="24"/>
        <w:adjustRightInd w:val="0"/>
        <w:snapToGrid w:val="0"/>
        <w:spacing w:line="360" w:lineRule="auto"/>
        <w:jc w:val="center"/>
        <w:rPr>
          <w:rFonts w:hAnsi="宋体"/>
          <w:b/>
          <w:bCs/>
          <w:color w:val="auto"/>
          <w:sz w:val="28"/>
          <w:szCs w:val="28"/>
          <w:highlight w:val="none"/>
        </w:rPr>
      </w:pPr>
      <w:r>
        <w:rPr>
          <w:rFonts w:hint="eastAsia" w:hAnsi="宋体"/>
          <w:b/>
          <w:bCs/>
          <w:color w:val="auto"/>
          <w:sz w:val="28"/>
          <w:szCs w:val="28"/>
          <w:highlight w:val="none"/>
        </w:rPr>
        <w:t>须  知</w:t>
      </w:r>
    </w:p>
    <w:p w14:paraId="315F1A07">
      <w:pPr>
        <w:numPr>
          <w:ilvl w:val="0"/>
          <w:numId w:val="2"/>
        </w:numPr>
        <w:tabs>
          <w:tab w:val="left" w:pos="4725"/>
        </w:tabs>
        <w:adjustRightInd w:val="0"/>
        <w:snapToGrid w:val="0"/>
        <w:spacing w:beforeLines="50" w:line="360" w:lineRule="auto"/>
        <w:ind w:firstLine="422" w:firstLineChars="200"/>
        <w:rPr>
          <w:rFonts w:ascii="宋体" w:hAnsi="宋体"/>
          <w:b/>
          <w:bCs/>
          <w:color w:val="auto"/>
          <w:szCs w:val="21"/>
          <w:highlight w:val="none"/>
        </w:rPr>
      </w:pPr>
      <w:r>
        <w:rPr>
          <w:rFonts w:hint="eastAsia" w:ascii="宋体" w:hAnsi="宋体"/>
          <w:b/>
          <w:color w:val="auto"/>
          <w:szCs w:val="21"/>
          <w:highlight w:val="none"/>
        </w:rPr>
        <w:t>投标人</w:t>
      </w:r>
      <w:r>
        <w:rPr>
          <w:rFonts w:hint="eastAsia" w:ascii="宋体" w:hAnsi="宋体"/>
          <w:b/>
          <w:bCs/>
          <w:color w:val="auto"/>
          <w:szCs w:val="21"/>
          <w:highlight w:val="none"/>
        </w:rPr>
        <w:t>应按第二章第14.1款要求提供下列的证明材料</w:t>
      </w:r>
    </w:p>
    <w:p w14:paraId="51C22404">
      <w:pPr>
        <w:tabs>
          <w:tab w:val="left" w:pos="4725"/>
        </w:tabs>
        <w:adjustRightInd w:val="0"/>
        <w:snapToGrid w:val="0"/>
        <w:spacing w:line="360" w:lineRule="auto"/>
        <w:ind w:firstLine="735" w:firstLineChars="350"/>
        <w:rPr>
          <w:rFonts w:ascii="宋体" w:hAnsi="宋体"/>
          <w:color w:val="auto"/>
          <w:szCs w:val="21"/>
          <w:highlight w:val="none"/>
        </w:rPr>
      </w:pPr>
      <w:r>
        <w:rPr>
          <w:rFonts w:hint="eastAsia" w:ascii="宋体" w:hAnsi="宋体"/>
          <w:color w:val="auto"/>
          <w:szCs w:val="21"/>
          <w:highlight w:val="none"/>
        </w:rPr>
        <w:t>附件4-1 法人或者其他组织的营业执照等主体资格证明文件，自然人的身份证明</w:t>
      </w:r>
    </w:p>
    <w:p w14:paraId="65657452">
      <w:pPr>
        <w:tabs>
          <w:tab w:val="left" w:pos="4725"/>
        </w:tabs>
        <w:adjustRightInd w:val="0"/>
        <w:snapToGrid w:val="0"/>
        <w:spacing w:line="360" w:lineRule="auto"/>
        <w:ind w:firstLine="735" w:firstLineChars="350"/>
        <w:rPr>
          <w:rFonts w:ascii="宋体" w:hAnsi="宋体"/>
          <w:color w:val="auto"/>
          <w:szCs w:val="21"/>
          <w:highlight w:val="none"/>
        </w:rPr>
      </w:pPr>
      <w:r>
        <w:rPr>
          <w:rFonts w:hint="eastAsia" w:ascii="宋体" w:hAnsi="宋体"/>
          <w:color w:val="auto"/>
          <w:szCs w:val="21"/>
          <w:highlight w:val="none"/>
        </w:rPr>
        <w:t>附件4-2 湖南省政府采购供应商资格承诺函(格式)</w:t>
      </w:r>
    </w:p>
    <w:p w14:paraId="7C8A8C22">
      <w:pPr>
        <w:tabs>
          <w:tab w:val="left" w:pos="4725"/>
        </w:tabs>
        <w:adjustRightInd w:val="0"/>
        <w:snapToGrid w:val="0"/>
        <w:spacing w:line="360" w:lineRule="auto"/>
        <w:ind w:firstLine="735" w:firstLineChars="350"/>
        <w:rPr>
          <w:rFonts w:ascii="宋体" w:hAnsi="宋体"/>
          <w:color w:val="auto"/>
          <w:szCs w:val="21"/>
          <w:highlight w:val="none"/>
        </w:rPr>
      </w:pPr>
      <w:r>
        <w:rPr>
          <w:rFonts w:hint="eastAsia" w:ascii="宋体" w:hAnsi="宋体"/>
          <w:color w:val="auto"/>
          <w:szCs w:val="21"/>
          <w:highlight w:val="none"/>
        </w:rPr>
        <w:t>附件4-3 符合特定资格条件证明材料复印件或者情况说明</w:t>
      </w:r>
    </w:p>
    <w:p w14:paraId="69E86B54">
      <w:pPr>
        <w:tabs>
          <w:tab w:val="left" w:pos="4725"/>
        </w:tabs>
        <w:adjustRightInd w:val="0"/>
        <w:snapToGrid w:val="0"/>
        <w:spacing w:line="360" w:lineRule="auto"/>
        <w:ind w:firstLine="735" w:firstLineChars="350"/>
        <w:rPr>
          <w:rFonts w:ascii="宋体" w:hAnsi="宋体"/>
          <w:color w:val="auto"/>
          <w:szCs w:val="21"/>
          <w:highlight w:val="none"/>
        </w:rPr>
      </w:pPr>
      <w:r>
        <w:rPr>
          <w:rFonts w:hint="eastAsia" w:ascii="宋体" w:hAnsi="宋体"/>
          <w:color w:val="auto"/>
          <w:szCs w:val="21"/>
          <w:highlight w:val="none"/>
        </w:rPr>
        <w:t>附件4-4 联合体协议书（格式）（联合体形式投标的提供）</w:t>
      </w:r>
    </w:p>
    <w:p w14:paraId="66951396">
      <w:pPr>
        <w:tabs>
          <w:tab w:val="left" w:pos="4725"/>
        </w:tabs>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2、投标人以联合体形式投标的，除应提交联合协议书(本节附4-4)外，参加联合体的各方均应提交上款资格证明材料。</w:t>
      </w:r>
    </w:p>
    <w:p w14:paraId="10B699CD">
      <w:pPr>
        <w:tabs>
          <w:tab w:val="left" w:pos="4725"/>
        </w:tabs>
        <w:adjustRightInd w:val="0"/>
        <w:snapToGrid w:val="0"/>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3、附件4-5 分包承诺（执行强制分包的提供）</w:t>
      </w:r>
    </w:p>
    <w:p w14:paraId="6082FC1C">
      <w:pPr>
        <w:widowControl/>
        <w:adjustRightInd w:val="0"/>
        <w:snapToGrid w:val="0"/>
        <w:jc w:val="left"/>
        <w:rPr>
          <w:rFonts w:ascii="宋体" w:hAnsi="宋体" w:cs="宋体"/>
          <w:color w:val="auto"/>
          <w:szCs w:val="21"/>
          <w:highlight w:val="none"/>
        </w:rPr>
      </w:pPr>
      <w:r>
        <w:rPr>
          <w:rFonts w:ascii="宋体" w:hAnsi="宋体" w:cs="宋体"/>
          <w:color w:val="auto"/>
          <w:szCs w:val="21"/>
          <w:highlight w:val="none"/>
        </w:rPr>
        <w:br w:type="page"/>
      </w:r>
    </w:p>
    <w:p w14:paraId="323EE80E">
      <w:pPr>
        <w:pStyle w:val="5"/>
        <w:adjustRightInd w:val="0"/>
        <w:snapToGrid w:val="0"/>
        <w:spacing w:beforeLines="50" w:after="0" w:line="360" w:lineRule="auto"/>
        <w:rPr>
          <w:rFonts w:ascii="宋体" w:hAnsi="宋体" w:eastAsia="宋体" w:cs="宋体"/>
          <w:b w:val="0"/>
          <w:color w:val="auto"/>
          <w:sz w:val="21"/>
          <w:szCs w:val="21"/>
          <w:highlight w:val="none"/>
        </w:rPr>
      </w:pPr>
      <w:bookmarkStart w:id="1630" w:name="_Toc590"/>
      <w:r>
        <w:rPr>
          <w:rFonts w:hint="eastAsia" w:ascii="黑体" w:hAnsi="仿宋" w:cs="宋体"/>
          <w:b w:val="0"/>
          <w:color w:val="auto"/>
          <w:sz w:val="21"/>
          <w:szCs w:val="21"/>
          <w:highlight w:val="none"/>
        </w:rPr>
        <w:t>附件4-1 法人或者其他组织的营业执照等主体资格证明文件，自然人的身份证明</w:t>
      </w:r>
      <w:bookmarkEnd w:id="1630"/>
    </w:p>
    <w:p w14:paraId="7699584D">
      <w:pPr>
        <w:widowControl/>
        <w:adjustRightInd w:val="0"/>
        <w:snapToGrid w:val="0"/>
        <w:spacing w:beforeLines="50" w:line="360" w:lineRule="auto"/>
        <w:jc w:val="center"/>
        <w:outlineLvl w:val="2"/>
        <w:rPr>
          <w:rFonts w:ascii="宋体" w:hAnsi="宋体" w:cs="宋体"/>
          <w:color w:val="auto"/>
          <w:sz w:val="28"/>
          <w:szCs w:val="28"/>
          <w:highlight w:val="none"/>
        </w:rPr>
      </w:pPr>
      <w:bookmarkStart w:id="1631" w:name="_Toc5083"/>
      <w:bookmarkStart w:id="1632" w:name="_Toc166778375"/>
      <w:bookmarkStart w:id="1633" w:name="_Toc26094"/>
      <w:bookmarkStart w:id="1634" w:name="_Toc7085"/>
      <w:bookmarkStart w:id="1635" w:name="_Toc31685"/>
      <w:bookmarkStart w:id="1636" w:name="_Toc189905401"/>
      <w:bookmarkStart w:id="1637" w:name="_Toc28151"/>
      <w:bookmarkStart w:id="1638" w:name="_Toc118209468"/>
      <w:bookmarkStart w:id="1639" w:name="_Toc137408759"/>
      <w:bookmarkStart w:id="1640" w:name="_Toc171282444"/>
      <w:bookmarkStart w:id="1641" w:name="_Toc1365"/>
      <w:bookmarkStart w:id="1642" w:name="_Toc29824"/>
      <w:bookmarkStart w:id="1643" w:name="_Toc193053747"/>
      <w:bookmarkStart w:id="1644" w:name="_Toc13567"/>
      <w:bookmarkStart w:id="1645" w:name="_Toc111543599"/>
      <w:bookmarkStart w:id="1646" w:name="_Toc17951"/>
      <w:bookmarkStart w:id="1647" w:name="_Toc140957911"/>
      <w:bookmarkStart w:id="1648" w:name="_Toc29857"/>
      <w:bookmarkStart w:id="1649" w:name="_Toc113350977"/>
      <w:bookmarkStart w:id="1650" w:name="_Toc6692"/>
      <w:r>
        <w:rPr>
          <w:rFonts w:hint="eastAsia" w:ascii="黑体" w:hAnsi="仿宋" w:eastAsia="黑体" w:cs="宋体"/>
          <w:b/>
          <w:color w:val="auto"/>
          <w:sz w:val="28"/>
          <w:szCs w:val="28"/>
          <w:highlight w:val="none"/>
        </w:rPr>
        <w:t>法人或者其他组织的营业执照等主体资格证明文件，自然人的身份证明</w:t>
      </w:r>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p>
    <w:p w14:paraId="102CE104">
      <w:pPr>
        <w:adjustRightInd w:val="0"/>
        <w:snapToGrid w:val="0"/>
        <w:spacing w:beforeLines="50" w:line="360" w:lineRule="auto"/>
        <w:ind w:firstLine="420" w:firstLineChars="200"/>
        <w:rPr>
          <w:rFonts w:ascii="宋体" w:hAnsi="宋体" w:cs="宋体"/>
          <w:color w:val="auto"/>
          <w:szCs w:val="21"/>
          <w:highlight w:val="none"/>
        </w:rPr>
      </w:pPr>
    </w:p>
    <w:p w14:paraId="71C1D3CD">
      <w:pPr>
        <w:adjustRightInd w:val="0"/>
        <w:snapToGrid w:val="0"/>
        <w:spacing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注：按第二章第</w:t>
      </w:r>
      <w:r>
        <w:rPr>
          <w:rFonts w:ascii="宋体" w:hAnsi="宋体" w:cs="宋体"/>
          <w:color w:val="auto"/>
          <w:szCs w:val="21"/>
          <w:highlight w:val="none"/>
        </w:rPr>
        <w:t>1</w:t>
      </w: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（1）项要求提供。</w:t>
      </w:r>
    </w:p>
    <w:p w14:paraId="44BD9560">
      <w:pPr>
        <w:adjustRightInd w:val="0"/>
        <w:snapToGrid w:val="0"/>
        <w:spacing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（1）</w:t>
      </w:r>
      <w:r>
        <w:rPr>
          <w:rFonts w:hint="eastAsia" w:ascii="宋体" w:hAnsi="宋体"/>
          <w:color w:val="auto"/>
          <w:highlight w:val="none"/>
        </w:rPr>
        <w:t>投标人为法人的，应提交营业执照或法人登记证书的复印件；</w:t>
      </w:r>
    </w:p>
    <w:p w14:paraId="020F0073">
      <w:pPr>
        <w:adjustRightInd w:val="0"/>
        <w:snapToGrid w:val="0"/>
        <w:spacing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（2）</w:t>
      </w:r>
      <w:r>
        <w:rPr>
          <w:rFonts w:hint="eastAsia" w:ascii="宋体" w:hAnsi="宋体"/>
          <w:color w:val="auto"/>
          <w:highlight w:val="none"/>
        </w:rPr>
        <w:t>投标人为非法人组织的，应提交依法登记证书复印件；</w:t>
      </w:r>
    </w:p>
    <w:p w14:paraId="2685F898">
      <w:pPr>
        <w:adjustRightInd w:val="0"/>
        <w:snapToGrid w:val="0"/>
        <w:spacing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（3）</w:t>
      </w:r>
      <w:r>
        <w:rPr>
          <w:rFonts w:hint="eastAsia" w:ascii="宋体" w:hAnsi="宋体"/>
          <w:color w:val="auto"/>
          <w:highlight w:val="none"/>
        </w:rPr>
        <w:t>投标人为个体工商户的，应提交个体工商户营业执照复印件；</w:t>
      </w:r>
    </w:p>
    <w:p w14:paraId="111D222E">
      <w:pPr>
        <w:widowControl/>
        <w:ind w:firstLine="390"/>
        <w:jc w:val="left"/>
        <w:rPr>
          <w:rFonts w:ascii="宋体" w:hAnsi="宋体"/>
          <w:bCs/>
          <w:color w:val="auto"/>
          <w:kern w:val="0"/>
          <w:sz w:val="20"/>
          <w:highlight w:val="none"/>
        </w:rPr>
      </w:pPr>
      <w:r>
        <w:rPr>
          <w:rFonts w:hint="eastAsia" w:ascii="宋体" w:hAnsi="宋体" w:cs="宋体"/>
          <w:color w:val="auto"/>
          <w:szCs w:val="21"/>
          <w:highlight w:val="none"/>
        </w:rPr>
        <w:t>（4）</w:t>
      </w:r>
      <w:r>
        <w:rPr>
          <w:rFonts w:hint="eastAsia" w:ascii="宋体" w:hAnsi="宋体"/>
          <w:color w:val="auto"/>
          <w:highlight w:val="none"/>
        </w:rPr>
        <w:t>投标人为自然人的，应提交自然人的身份证明复印件。</w:t>
      </w:r>
      <w:r>
        <w:rPr>
          <w:rFonts w:hint="eastAsia" w:ascii="宋体" w:hAnsi="宋体"/>
          <w:bCs/>
          <w:color w:val="auto"/>
          <w:kern w:val="0"/>
          <w:sz w:val="20"/>
          <w:highlight w:val="none"/>
        </w:rPr>
        <w:br w:type="page"/>
      </w:r>
    </w:p>
    <w:p w14:paraId="49E96A15">
      <w:pPr>
        <w:pStyle w:val="5"/>
        <w:spacing w:before="0" w:line="240" w:lineRule="auto"/>
        <w:rPr>
          <w:rFonts w:ascii="宋体" w:hAnsi="宋体" w:eastAsia="宋体" w:cs="宋体"/>
          <w:b w:val="0"/>
          <w:color w:val="auto"/>
          <w:sz w:val="21"/>
          <w:szCs w:val="21"/>
          <w:highlight w:val="none"/>
        </w:rPr>
      </w:pPr>
      <w:r>
        <w:rPr>
          <w:rFonts w:hint="eastAsia" w:ascii="黑体" w:hAnsi="仿宋" w:cs="宋体"/>
          <w:b w:val="0"/>
          <w:color w:val="auto"/>
          <w:sz w:val="21"/>
          <w:szCs w:val="21"/>
          <w:highlight w:val="none"/>
        </w:rPr>
        <w:t>附件4-2 湖南省政府采购供应商资格承诺函(格式)</w:t>
      </w:r>
    </w:p>
    <w:p w14:paraId="1627F015">
      <w:pPr>
        <w:widowControl/>
        <w:adjustRightInd w:val="0"/>
        <w:snapToGrid w:val="0"/>
        <w:spacing w:beforeLines="50" w:line="360" w:lineRule="auto"/>
        <w:jc w:val="center"/>
        <w:outlineLvl w:val="2"/>
        <w:rPr>
          <w:rFonts w:ascii="宋体" w:hAnsi="宋体" w:cs="宋体"/>
          <w:color w:val="auto"/>
          <w:szCs w:val="21"/>
          <w:highlight w:val="none"/>
        </w:rPr>
      </w:pPr>
      <w:bookmarkStart w:id="1651" w:name="_Toc193053748"/>
      <w:bookmarkStart w:id="1652" w:name="_Toc118209469"/>
      <w:bookmarkStart w:id="1653" w:name="_Toc22159"/>
      <w:bookmarkStart w:id="1654" w:name="_Toc15193"/>
      <w:bookmarkStart w:id="1655" w:name="_Toc113350978"/>
      <w:bookmarkStart w:id="1656" w:name="_Toc166778376"/>
      <w:bookmarkStart w:id="1657" w:name="_Toc10208"/>
      <w:bookmarkStart w:id="1658" w:name="_Toc14018"/>
      <w:bookmarkStart w:id="1659" w:name="_Toc23913"/>
      <w:bookmarkStart w:id="1660" w:name="_Toc8453"/>
      <w:bookmarkStart w:id="1661" w:name="_Toc140957912"/>
      <w:bookmarkStart w:id="1662" w:name="_Toc189905402"/>
      <w:bookmarkStart w:id="1663" w:name="_Toc171282445"/>
      <w:bookmarkStart w:id="1664" w:name="_Toc5688"/>
      <w:bookmarkStart w:id="1665" w:name="_Toc13471"/>
      <w:bookmarkStart w:id="1666" w:name="_Toc10028"/>
      <w:bookmarkStart w:id="1667" w:name="_Toc111543600"/>
      <w:bookmarkStart w:id="1668" w:name="_Toc14670"/>
      <w:bookmarkStart w:id="1669" w:name="_Toc137408760"/>
      <w:bookmarkStart w:id="1670" w:name="_Toc22508"/>
      <w:r>
        <w:rPr>
          <w:rFonts w:hint="eastAsia" w:ascii="黑体" w:hAnsi="仿宋" w:eastAsia="黑体" w:cs="宋体"/>
          <w:b/>
          <w:color w:val="auto"/>
          <w:sz w:val="28"/>
          <w:szCs w:val="28"/>
          <w:highlight w:val="none"/>
        </w:rPr>
        <w:t>湖南省政府采购供应商资格承诺函(格式)</w:t>
      </w:r>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p>
    <w:p w14:paraId="189AB188">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1E638AAB">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按照《政府采购促进中小企业发展管理办法》(财库〔2020〕46号),本公司企业规模为: 大型口中型口小型□微型□。</w:t>
      </w:r>
    </w:p>
    <w:p w14:paraId="6B3364BB">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□本公司自愿入驻湖南省政府采购电子卖场,遵守《湖南省政府采购电子卖场管理办法》(湘财购〔2019〕27号),如违反承诺,同意金融机构将增信保证划缴国库(非电子卖场采购活动项目不需勾选)。</w:t>
      </w:r>
    </w:p>
    <w:p w14:paraId="26A00F28">
      <w:pPr>
        <w:widowControl/>
        <w:spacing w:beforeLines="50" w:line="360" w:lineRule="auto"/>
        <w:ind w:firstLine="420" w:firstLineChars="200"/>
        <w:jc w:val="left"/>
        <w:rPr>
          <w:rFonts w:ascii="宋体" w:hAnsi="宋体" w:cs="宋体"/>
          <w:color w:val="auto"/>
          <w:szCs w:val="21"/>
          <w:highlight w:val="none"/>
        </w:rPr>
      </w:pPr>
    </w:p>
    <w:p w14:paraId="1FE24CB8">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公司(单位)名称(盖章)：</w:t>
      </w:r>
    </w:p>
    <w:p w14:paraId="69387272">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机构代码、注册登记机构、日期、有效期、注册资本、地 址、经济行业、经济性质</w:t>
      </w:r>
    </w:p>
    <w:p w14:paraId="31714B61">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法定代表人(负责人)姓名(签字)、身份证号、手机号:</w:t>
      </w:r>
    </w:p>
    <w:p w14:paraId="16BD870F">
      <w:pPr>
        <w:adjustRightInd w:val="0"/>
        <w:snapToGrid w:val="0"/>
        <w:spacing w:line="360" w:lineRule="auto"/>
        <w:ind w:firstLine="420" w:firstLineChars="200"/>
        <w:rPr>
          <w:rFonts w:ascii="宋体" w:hAnsi="宋体"/>
          <w:color w:val="auto"/>
          <w:highlight w:val="none"/>
        </w:rPr>
      </w:pPr>
      <w:r>
        <w:rPr>
          <w:rFonts w:hint="eastAsia" w:ascii="宋体" w:hAnsi="宋体" w:cs="宋体"/>
          <w:color w:val="auto"/>
          <w:szCs w:val="21"/>
          <w:highlight w:val="none"/>
        </w:rPr>
        <w:t>授权代表人姓名(签字)、身份证号、手机号:</w:t>
      </w:r>
    </w:p>
    <w:p w14:paraId="0DA0DC60">
      <w:pPr>
        <w:widowControl/>
        <w:adjustRightInd w:val="0"/>
        <w:snapToGrid w:val="0"/>
        <w:spacing w:beforeLines="50" w:line="360" w:lineRule="auto"/>
        <w:ind w:firstLine="422" w:firstLineChars="200"/>
        <w:jc w:val="left"/>
        <w:rPr>
          <w:rFonts w:ascii="宋体" w:hAnsi="宋体"/>
          <w:b/>
          <w:color w:val="auto"/>
          <w:highlight w:val="none"/>
        </w:rPr>
      </w:pPr>
    </w:p>
    <w:p w14:paraId="46C82832">
      <w:pPr>
        <w:widowControl/>
        <w:adjustRightInd w:val="0"/>
        <w:snapToGrid w:val="0"/>
        <w:spacing w:beforeLines="50" w:line="360" w:lineRule="auto"/>
        <w:ind w:firstLine="420" w:firstLineChars="200"/>
        <w:jc w:val="left"/>
        <w:rPr>
          <w:rFonts w:ascii="宋体" w:hAnsi="宋体" w:cs="宋体"/>
          <w:color w:val="auto"/>
          <w:szCs w:val="21"/>
          <w:highlight w:val="none"/>
        </w:rPr>
      </w:pPr>
    </w:p>
    <w:p w14:paraId="5F09DAAE">
      <w:pPr>
        <w:widowControl/>
        <w:jc w:val="left"/>
        <w:rPr>
          <w:rFonts w:ascii="宋体" w:hAnsi="宋体" w:cs="宋体"/>
          <w:color w:val="auto"/>
          <w:szCs w:val="21"/>
          <w:highlight w:val="none"/>
        </w:rPr>
      </w:pPr>
      <w:r>
        <w:rPr>
          <w:rFonts w:ascii="宋体" w:hAnsi="宋体" w:cs="宋体"/>
          <w:color w:val="auto"/>
          <w:szCs w:val="21"/>
          <w:highlight w:val="none"/>
        </w:rPr>
        <w:br w:type="page"/>
      </w:r>
    </w:p>
    <w:p w14:paraId="501391F4">
      <w:pPr>
        <w:pStyle w:val="5"/>
        <w:spacing w:before="0" w:line="240" w:lineRule="auto"/>
        <w:rPr>
          <w:rFonts w:ascii="宋体" w:hAnsi="宋体" w:eastAsia="宋体" w:cs="宋体"/>
          <w:b w:val="0"/>
          <w:color w:val="auto"/>
          <w:sz w:val="21"/>
          <w:szCs w:val="21"/>
          <w:highlight w:val="none"/>
        </w:rPr>
      </w:pPr>
      <w:bookmarkStart w:id="1671" w:name="_Toc13891"/>
      <w:r>
        <w:rPr>
          <w:rFonts w:hint="eastAsia" w:ascii="黑体" w:hAnsi="仿宋" w:cs="宋体"/>
          <w:b w:val="0"/>
          <w:color w:val="auto"/>
          <w:sz w:val="21"/>
          <w:szCs w:val="21"/>
          <w:highlight w:val="none"/>
        </w:rPr>
        <w:t>附件4-3 符合特定资格条件证明材料复印件或者情况说明</w:t>
      </w:r>
      <w:bookmarkEnd w:id="1671"/>
    </w:p>
    <w:p w14:paraId="04BC85E1">
      <w:pPr>
        <w:widowControl/>
        <w:adjustRightInd w:val="0"/>
        <w:snapToGrid w:val="0"/>
        <w:spacing w:line="360" w:lineRule="auto"/>
        <w:jc w:val="center"/>
        <w:outlineLvl w:val="2"/>
        <w:rPr>
          <w:rFonts w:ascii="宋体" w:hAnsi="宋体" w:cs="宋体"/>
          <w:b/>
          <w:color w:val="auto"/>
          <w:sz w:val="28"/>
          <w:szCs w:val="28"/>
          <w:highlight w:val="none"/>
        </w:rPr>
      </w:pPr>
      <w:bookmarkStart w:id="1672" w:name="_Toc22638"/>
      <w:bookmarkStart w:id="1673" w:name="_Toc5172"/>
      <w:bookmarkStart w:id="1674" w:name="_Toc19680"/>
      <w:bookmarkStart w:id="1675" w:name="_Toc7117"/>
      <w:bookmarkStart w:id="1676" w:name="_Toc22471"/>
      <w:bookmarkStart w:id="1677" w:name="_Toc118209470"/>
      <w:bookmarkStart w:id="1678" w:name="_Toc28352"/>
      <w:bookmarkStart w:id="1679" w:name="_Toc14347"/>
      <w:bookmarkStart w:id="1680" w:name="_Toc30185"/>
      <w:bookmarkStart w:id="1681" w:name="_Toc4250"/>
      <w:bookmarkStart w:id="1682" w:name="_Toc171282446"/>
      <w:bookmarkStart w:id="1683" w:name="_Toc189905403"/>
      <w:bookmarkStart w:id="1684" w:name="_Toc137408761"/>
      <w:bookmarkStart w:id="1685" w:name="_Toc140957913"/>
      <w:bookmarkStart w:id="1686" w:name="_Toc23745"/>
      <w:bookmarkStart w:id="1687" w:name="_Toc111543601"/>
      <w:bookmarkStart w:id="1688" w:name="_Toc166778377"/>
      <w:bookmarkStart w:id="1689" w:name="_Toc193053749"/>
      <w:bookmarkStart w:id="1690" w:name="_Toc113350979"/>
      <w:bookmarkStart w:id="1691" w:name="_Toc7488"/>
      <w:r>
        <w:rPr>
          <w:rFonts w:hint="eastAsia" w:ascii="黑体" w:hAnsi="仿宋" w:eastAsia="黑体" w:cs="宋体"/>
          <w:b/>
          <w:color w:val="auto"/>
          <w:sz w:val="28"/>
          <w:szCs w:val="28"/>
          <w:highlight w:val="none"/>
        </w:rPr>
        <w:t>符合特定资格条件证明材料复印件或者情况说明</w:t>
      </w:r>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p>
    <w:p w14:paraId="2CCF2304">
      <w:pPr>
        <w:widowControl/>
        <w:adjustRightInd w:val="0"/>
        <w:snapToGrid w:val="0"/>
        <w:spacing w:line="360" w:lineRule="auto"/>
        <w:ind w:firstLine="420" w:firstLineChars="200"/>
        <w:jc w:val="left"/>
        <w:rPr>
          <w:rFonts w:ascii="宋体" w:hAnsi="宋体" w:cs="宋体"/>
          <w:color w:val="auto"/>
          <w:szCs w:val="21"/>
          <w:highlight w:val="none"/>
        </w:rPr>
      </w:pPr>
    </w:p>
    <w:p w14:paraId="3BAC2874">
      <w:pPr>
        <w:widowControl/>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注：按第二章第</w:t>
      </w:r>
      <w:r>
        <w:rPr>
          <w:rFonts w:ascii="宋体" w:hAnsi="宋体" w:cs="宋体"/>
          <w:color w:val="auto"/>
          <w:szCs w:val="21"/>
          <w:highlight w:val="none"/>
        </w:rPr>
        <w:t>14.1</w:t>
      </w:r>
      <w:r>
        <w:rPr>
          <w:rFonts w:hint="eastAsia" w:ascii="宋体" w:hAnsi="宋体" w:cs="宋体"/>
          <w:color w:val="auto"/>
          <w:szCs w:val="21"/>
          <w:highlight w:val="none"/>
        </w:rPr>
        <w:t>项要求提供。</w:t>
      </w:r>
    </w:p>
    <w:p w14:paraId="47D6B28E">
      <w:pPr>
        <w:widowControl/>
        <w:jc w:val="left"/>
        <w:rPr>
          <w:rFonts w:ascii="宋体" w:hAnsi="宋体" w:cs="宋体"/>
          <w:color w:val="auto"/>
          <w:szCs w:val="21"/>
          <w:highlight w:val="none"/>
        </w:rPr>
      </w:pPr>
      <w:r>
        <w:rPr>
          <w:rFonts w:ascii="宋体" w:hAnsi="宋体" w:cs="宋体"/>
          <w:color w:val="auto"/>
          <w:szCs w:val="21"/>
          <w:highlight w:val="none"/>
        </w:rPr>
        <w:br w:type="page"/>
      </w:r>
    </w:p>
    <w:p w14:paraId="0E36D169">
      <w:pPr>
        <w:pStyle w:val="5"/>
        <w:spacing w:before="0" w:line="240" w:lineRule="auto"/>
        <w:rPr>
          <w:rFonts w:ascii="宋体" w:hAnsi="宋体" w:eastAsia="宋体" w:cs="宋体"/>
          <w:b w:val="0"/>
          <w:color w:val="auto"/>
          <w:sz w:val="21"/>
          <w:szCs w:val="21"/>
          <w:highlight w:val="none"/>
        </w:rPr>
      </w:pPr>
      <w:bookmarkStart w:id="1692" w:name="_Toc11547"/>
      <w:r>
        <w:rPr>
          <w:rFonts w:hint="eastAsia" w:ascii="黑体" w:hAnsi="仿宋" w:cs="宋体"/>
          <w:b w:val="0"/>
          <w:color w:val="auto"/>
          <w:sz w:val="21"/>
          <w:szCs w:val="21"/>
          <w:highlight w:val="none"/>
        </w:rPr>
        <w:t>附件4-4 联合体协议书（本项目不适用）</w:t>
      </w:r>
      <w:bookmarkEnd w:id="1692"/>
    </w:p>
    <w:p w14:paraId="5BE84856">
      <w:pPr>
        <w:adjustRightInd w:val="0"/>
        <w:snapToGrid w:val="0"/>
        <w:spacing w:line="360" w:lineRule="auto"/>
        <w:jc w:val="center"/>
        <w:outlineLvl w:val="2"/>
        <w:rPr>
          <w:rFonts w:ascii="宋体" w:hAnsi="宋体"/>
          <w:b/>
          <w:color w:val="auto"/>
          <w:szCs w:val="21"/>
          <w:highlight w:val="none"/>
        </w:rPr>
      </w:pPr>
      <w:bookmarkStart w:id="1693" w:name="_Toc113350980"/>
      <w:bookmarkStart w:id="1694" w:name="_Toc189905404"/>
      <w:bookmarkStart w:id="1695" w:name="_Toc30788"/>
      <w:bookmarkStart w:id="1696" w:name="_Toc171282447"/>
      <w:bookmarkStart w:id="1697" w:name="_Toc26708"/>
      <w:bookmarkStart w:id="1698" w:name="_Toc140957914"/>
      <w:bookmarkStart w:id="1699" w:name="_Toc18448"/>
      <w:bookmarkStart w:id="1700" w:name="_Toc118209471"/>
      <w:bookmarkStart w:id="1701" w:name="_Toc24732"/>
      <w:bookmarkStart w:id="1702" w:name="_Toc2956"/>
      <w:bookmarkStart w:id="1703" w:name="_Toc193053750"/>
      <w:bookmarkStart w:id="1704" w:name="_Toc166778378"/>
      <w:bookmarkStart w:id="1705" w:name="_Toc111543602"/>
      <w:bookmarkStart w:id="1706" w:name="_Toc32757"/>
      <w:bookmarkStart w:id="1707" w:name="_Toc25229"/>
      <w:bookmarkStart w:id="1708" w:name="_Toc28570"/>
      <w:bookmarkStart w:id="1709" w:name="_Toc3460"/>
      <w:bookmarkStart w:id="1710" w:name="_Toc7215"/>
      <w:bookmarkStart w:id="1711" w:name="_Toc17097"/>
      <w:bookmarkStart w:id="1712" w:name="_Toc137408762"/>
      <w:r>
        <w:rPr>
          <w:rFonts w:hint="eastAsia" w:ascii="黑体" w:hAnsi="仿宋" w:eastAsia="黑体" w:cs="宋体"/>
          <w:b/>
          <w:color w:val="auto"/>
          <w:sz w:val="28"/>
          <w:szCs w:val="28"/>
          <w:highlight w:val="none"/>
        </w:rPr>
        <w:t>联合体协议书（格式）</w:t>
      </w:r>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p>
    <w:p w14:paraId="146FEC46">
      <w:pPr>
        <w:adjustRightInd w:val="0"/>
        <w:snapToGrid w:val="0"/>
        <w:spacing w:line="360" w:lineRule="auto"/>
        <w:rPr>
          <w:rFonts w:ascii="宋体" w:hAnsi="宋体"/>
          <w:color w:val="auto"/>
          <w:szCs w:val="21"/>
          <w:highlight w:val="none"/>
        </w:rPr>
      </w:pPr>
    </w:p>
    <w:bookmarkEnd w:id="1628"/>
    <w:bookmarkEnd w:id="1629"/>
    <w:p w14:paraId="1196EE7D">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rPr>
        <w:t>（采购人、采购代理机构）：</w:t>
      </w:r>
    </w:p>
    <w:p w14:paraId="1170011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经研究，我们决定自愿组成联合体共同参加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w:t>
      </w:r>
      <w:r>
        <w:rPr>
          <w:rFonts w:ascii="宋体" w:hAnsi="宋体"/>
          <w:color w:val="auto"/>
          <w:szCs w:val="21"/>
          <w:highlight w:val="none"/>
        </w:rPr>
        <w:t>）</w:t>
      </w:r>
      <w:r>
        <w:rPr>
          <w:rFonts w:hint="eastAsia" w:ascii="宋体" w:hAnsi="宋体"/>
          <w:color w:val="auto"/>
          <w:szCs w:val="21"/>
          <w:highlight w:val="none"/>
        </w:rPr>
        <w:t>（政府采购计划编号：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）项目的投标。现就联合体投标事宜订立如下协议：</w:t>
      </w:r>
    </w:p>
    <w:p w14:paraId="3A23BCF7">
      <w:pPr>
        <w:adjustRightInd w:val="0"/>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一、联合体基本信息：</w:t>
      </w:r>
      <w:r>
        <w:rPr>
          <w:rFonts w:hint="eastAsia" w:ascii="宋体" w:hAnsi="宋体"/>
          <w:color w:val="auto"/>
          <w:szCs w:val="21"/>
          <w:highlight w:val="none"/>
          <w:u w:val="single"/>
        </w:rPr>
        <w:t xml:space="preserve">                </w:t>
      </w:r>
      <w:r>
        <w:rPr>
          <w:rFonts w:hint="eastAsia" w:ascii="宋体" w:hAnsi="宋体"/>
          <w:color w:val="auto"/>
          <w:szCs w:val="21"/>
          <w:highlight w:val="none"/>
        </w:rPr>
        <w:t>（各方公司名称、地址、注册资金、营业执照、</w:t>
      </w: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姓名）</w:t>
      </w:r>
    </w:p>
    <w:p w14:paraId="696649C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w:t>
      </w:r>
      <w:r>
        <w:rPr>
          <w:rFonts w:hint="eastAsia" w:ascii="宋体" w:hAnsi="宋体"/>
          <w:color w:val="auto"/>
          <w:szCs w:val="21"/>
          <w:highlight w:val="none"/>
          <w:u w:val="single"/>
        </w:rPr>
        <w:t xml:space="preserve">       </w:t>
      </w:r>
      <w:r>
        <w:rPr>
          <w:rFonts w:hint="eastAsia" w:ascii="宋体" w:hAnsi="宋体"/>
          <w:color w:val="auto"/>
          <w:szCs w:val="21"/>
          <w:highlight w:val="none"/>
        </w:rPr>
        <w:t>（某成员单位名称）为</w:t>
      </w:r>
      <w:r>
        <w:rPr>
          <w:rFonts w:hint="eastAsia" w:ascii="宋体" w:hAnsi="宋体"/>
          <w:color w:val="auto"/>
          <w:szCs w:val="21"/>
          <w:highlight w:val="none"/>
          <w:u w:val="single"/>
        </w:rPr>
        <w:t xml:space="preserve">        </w:t>
      </w:r>
      <w:r>
        <w:rPr>
          <w:rFonts w:hint="eastAsia" w:ascii="宋体" w:hAnsi="宋体"/>
          <w:color w:val="auto"/>
          <w:szCs w:val="21"/>
          <w:highlight w:val="none"/>
        </w:rPr>
        <w:t>（联合体名称）牵头人。</w:t>
      </w:r>
    </w:p>
    <w:p w14:paraId="68DF423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6B9C070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四．联合体将严格按照招标文件的各项要求，递交投标文件，参加投标，履行中标义务和中标后的合同，并向采购人承担连带责任。</w:t>
      </w:r>
    </w:p>
    <w:p w14:paraId="353F3DD2">
      <w:pPr>
        <w:adjustRightInd w:val="0"/>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五、联合体各成员单位内部的职责分工如下：</w:t>
      </w:r>
      <w:r>
        <w:rPr>
          <w:rFonts w:hint="eastAsia" w:ascii="宋体" w:hAnsi="宋体"/>
          <w:color w:val="auto"/>
          <w:szCs w:val="21"/>
          <w:highlight w:val="none"/>
          <w:u w:val="single"/>
        </w:rPr>
        <w:t xml:space="preserve">             </w:t>
      </w:r>
      <w:r>
        <w:rPr>
          <w:rFonts w:hint="eastAsia" w:ascii="宋体" w:hAnsi="宋体"/>
          <w:color w:val="auto"/>
          <w:szCs w:val="21"/>
          <w:highlight w:val="none"/>
        </w:rPr>
        <w:t>。按照本条上述分工，联合体各成员的协议合同金额占联合体协议合同总金额比例如下：</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2AA341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六、本协议书自签署之日起生效，合同履行完毕后自动失效。</w:t>
      </w:r>
    </w:p>
    <w:p w14:paraId="1F6686F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七、本协议书一式</w:t>
      </w:r>
      <w:r>
        <w:rPr>
          <w:rFonts w:hint="eastAsia" w:ascii="宋体" w:hAnsi="宋体"/>
          <w:color w:val="auto"/>
          <w:szCs w:val="21"/>
          <w:highlight w:val="none"/>
          <w:u w:val="single"/>
        </w:rPr>
        <w:t xml:space="preserve">    </w:t>
      </w:r>
      <w:r>
        <w:rPr>
          <w:rFonts w:hint="eastAsia" w:ascii="宋体" w:hAnsi="宋体"/>
          <w:color w:val="auto"/>
          <w:szCs w:val="21"/>
          <w:highlight w:val="none"/>
        </w:rPr>
        <w:t>份，联合体成员和采购人各执一份。</w:t>
      </w:r>
    </w:p>
    <w:p w14:paraId="353E2446">
      <w:pPr>
        <w:adjustRightInd w:val="0"/>
        <w:snapToGrid w:val="0"/>
        <w:spacing w:line="360" w:lineRule="auto"/>
        <w:rPr>
          <w:rFonts w:ascii="宋体" w:hAnsi="宋体"/>
          <w:color w:val="auto"/>
          <w:szCs w:val="21"/>
          <w:highlight w:val="none"/>
        </w:rPr>
      </w:pPr>
    </w:p>
    <w:p w14:paraId="6BB3257C">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牵头人名称（盖单位章）：</w:t>
      </w:r>
    </w:p>
    <w:p w14:paraId="449AEBC3">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6E590EE0">
      <w:pPr>
        <w:adjustRightInd w:val="0"/>
        <w:snapToGrid w:val="0"/>
        <w:spacing w:line="360" w:lineRule="auto"/>
        <w:rPr>
          <w:rFonts w:ascii="宋体" w:hAnsi="宋体"/>
          <w:color w:val="auto"/>
          <w:szCs w:val="21"/>
          <w:highlight w:val="none"/>
        </w:rPr>
      </w:pPr>
    </w:p>
    <w:p w14:paraId="0796E1B3">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成员1名称（盖单位章）：</w:t>
      </w:r>
    </w:p>
    <w:p w14:paraId="139698CD">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7B13E7A1">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成员2名称（盖单位章）：</w:t>
      </w:r>
    </w:p>
    <w:p w14:paraId="4D01829A">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422D065F">
      <w:pPr>
        <w:adjustRightInd w:val="0"/>
        <w:snapToGrid w:val="0"/>
        <w:spacing w:line="360" w:lineRule="auto"/>
        <w:rPr>
          <w:rFonts w:ascii="宋体" w:hAnsi="宋体"/>
          <w:color w:val="auto"/>
          <w:szCs w:val="21"/>
          <w:highlight w:val="none"/>
        </w:rPr>
      </w:pPr>
      <w:r>
        <w:rPr>
          <w:rFonts w:ascii="宋体" w:hAnsi="宋体"/>
          <w:color w:val="auto"/>
          <w:szCs w:val="21"/>
          <w:highlight w:val="none"/>
        </w:rPr>
        <w:t>…</w:t>
      </w:r>
    </w:p>
    <w:p w14:paraId="4D8CA6CC">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36C1C726">
      <w:pPr>
        <w:widowControl/>
        <w:adjustRightInd w:val="0"/>
        <w:snapToGrid w:val="0"/>
        <w:spacing w:line="360" w:lineRule="auto"/>
        <w:ind w:firstLine="420" w:firstLineChars="200"/>
        <w:jc w:val="left"/>
        <w:rPr>
          <w:rFonts w:ascii="宋体" w:hAnsi="宋体"/>
          <w:color w:val="auto"/>
          <w:szCs w:val="21"/>
          <w:highlight w:val="none"/>
        </w:rPr>
      </w:pPr>
      <w:r>
        <w:rPr>
          <w:rFonts w:hint="eastAsia" w:ascii="宋体" w:hAnsi="宋体"/>
          <w:bCs/>
          <w:color w:val="auto"/>
          <w:szCs w:val="21"/>
          <w:highlight w:val="none"/>
        </w:rPr>
        <w:t>注：1.</w:t>
      </w:r>
      <w:r>
        <w:rPr>
          <w:rFonts w:hint="eastAsia" w:ascii="宋体" w:hAnsi="宋体"/>
          <w:color w:val="auto"/>
          <w:szCs w:val="21"/>
          <w:highlight w:val="none"/>
        </w:rPr>
        <w:t>本协议书由委托代理人签字的，应附授权委托书。</w:t>
      </w:r>
    </w:p>
    <w:p w14:paraId="70A30DAB">
      <w:pPr>
        <w:widowControl/>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2.投标人在提交投标文件的截止时间前修改“开标一览表”中的投标报价，影响本协议书第五条的，应同时修改本协议书第五条。否则，评审时价格评审优惠不予以考虑。</w:t>
      </w:r>
    </w:p>
    <w:p w14:paraId="096F1938">
      <w:pPr>
        <w:pStyle w:val="103"/>
        <w:ind w:firstLine="400"/>
        <w:rPr>
          <w:color w:val="auto"/>
          <w:highlight w:val="none"/>
        </w:rPr>
      </w:pPr>
      <w:r>
        <w:rPr>
          <w:color w:val="auto"/>
          <w:highlight w:val="none"/>
        </w:rPr>
        <w:br w:type="page"/>
      </w:r>
      <w:bookmarkStart w:id="1713" w:name="_Toc17581"/>
    </w:p>
    <w:bookmarkEnd w:id="1713"/>
    <w:p w14:paraId="60BD7F37">
      <w:pPr>
        <w:pStyle w:val="103"/>
        <w:rPr>
          <w:rFonts w:ascii="黑体" w:hAnsi="仿宋" w:eastAsia="黑体" w:cs="宋体"/>
          <w:bCs/>
          <w:color w:val="auto"/>
          <w:sz w:val="21"/>
          <w:szCs w:val="21"/>
          <w:highlight w:val="none"/>
        </w:rPr>
      </w:pPr>
      <w:r>
        <w:rPr>
          <w:rFonts w:hint="eastAsia" w:ascii="黑体" w:hAnsi="仿宋" w:eastAsia="黑体" w:cs="宋体"/>
          <w:bCs/>
          <w:color w:val="auto"/>
          <w:sz w:val="21"/>
          <w:szCs w:val="21"/>
          <w:highlight w:val="none"/>
        </w:rPr>
        <w:t>附件4-5 分包承诺（本项目不适用）</w:t>
      </w:r>
    </w:p>
    <w:p w14:paraId="74FFFCBF">
      <w:pPr>
        <w:pStyle w:val="103"/>
        <w:rPr>
          <w:rFonts w:ascii="黑体" w:hAnsi="仿宋" w:cs="宋体"/>
          <w:color w:val="auto"/>
          <w:sz w:val="21"/>
          <w:szCs w:val="21"/>
          <w:highlight w:val="none"/>
        </w:rPr>
      </w:pPr>
    </w:p>
    <w:p w14:paraId="7CD91AA0">
      <w:pPr>
        <w:pStyle w:val="103"/>
        <w:rPr>
          <w:rFonts w:ascii="宋体" w:hAnsi="宋体"/>
          <w:color w:val="auto"/>
          <w:sz w:val="21"/>
          <w:szCs w:val="21"/>
          <w:highlight w:val="none"/>
        </w:rPr>
      </w:pPr>
      <w:r>
        <w:rPr>
          <w:rFonts w:hint="eastAsia" w:ascii="宋体" w:hAnsi="宋体"/>
          <w:color w:val="auto"/>
          <w:sz w:val="21"/>
          <w:szCs w:val="21"/>
          <w:highlight w:val="none"/>
        </w:rPr>
        <w:t>注：采购项目或者采购包属于“预留采购份额”，且要求合同分包的，投标人应当按照招标文件第一章第三条第2款规定提供《分包承诺》，格式自拟。</w:t>
      </w:r>
      <w:r>
        <w:rPr>
          <w:rFonts w:ascii="宋体" w:hAnsi="宋体"/>
          <w:color w:val="auto"/>
          <w:sz w:val="21"/>
          <w:szCs w:val="21"/>
          <w:highlight w:val="none"/>
        </w:rPr>
        <w:br w:type="page"/>
      </w:r>
    </w:p>
    <w:p w14:paraId="5948130D">
      <w:pPr>
        <w:adjustRightInd w:val="0"/>
        <w:snapToGrid w:val="0"/>
        <w:spacing w:line="360" w:lineRule="auto"/>
        <w:jc w:val="center"/>
        <w:rPr>
          <w:rFonts w:ascii="宋体" w:hAnsi="宋体"/>
          <w:color w:val="auto"/>
          <w:sz w:val="32"/>
          <w:szCs w:val="32"/>
          <w:highlight w:val="none"/>
        </w:rPr>
      </w:pPr>
    </w:p>
    <w:p w14:paraId="38565657">
      <w:pPr>
        <w:pStyle w:val="24"/>
        <w:adjustRightInd w:val="0"/>
        <w:snapToGrid w:val="0"/>
        <w:spacing w:line="360" w:lineRule="auto"/>
        <w:jc w:val="center"/>
        <w:rPr>
          <w:rFonts w:hAnsi="宋体"/>
          <w:bCs/>
          <w:color w:val="auto"/>
          <w:sz w:val="72"/>
          <w:szCs w:val="72"/>
          <w:highlight w:val="none"/>
        </w:rPr>
      </w:pPr>
      <w:r>
        <w:rPr>
          <w:rFonts w:hint="eastAsia" w:hAnsi="宋体"/>
          <w:bCs/>
          <w:color w:val="auto"/>
          <w:sz w:val="72"/>
          <w:szCs w:val="72"/>
          <w:highlight w:val="none"/>
        </w:rPr>
        <w:t>政府采购</w:t>
      </w:r>
    </w:p>
    <w:p w14:paraId="2E7528B9">
      <w:pPr>
        <w:adjustRightInd w:val="0"/>
        <w:snapToGrid w:val="0"/>
        <w:spacing w:line="360" w:lineRule="auto"/>
        <w:jc w:val="center"/>
        <w:rPr>
          <w:rFonts w:ascii="宋体" w:hAnsi="宋体"/>
          <w:b/>
          <w:bCs/>
          <w:color w:val="auto"/>
          <w:sz w:val="84"/>
          <w:szCs w:val="84"/>
          <w:highlight w:val="none"/>
        </w:rPr>
      </w:pPr>
      <w:r>
        <w:rPr>
          <w:rFonts w:hint="eastAsia" w:ascii="宋体" w:hAnsi="宋体"/>
          <w:b/>
          <w:bCs/>
          <w:color w:val="auto"/>
          <w:sz w:val="84"/>
          <w:szCs w:val="84"/>
          <w:highlight w:val="none"/>
        </w:rPr>
        <w:t>投 标 文 件</w:t>
      </w:r>
    </w:p>
    <w:p w14:paraId="165ADE43">
      <w:pPr>
        <w:pStyle w:val="3"/>
        <w:adjustRightInd w:val="0"/>
        <w:snapToGrid w:val="0"/>
        <w:jc w:val="center"/>
        <w:rPr>
          <w:rFonts w:ascii="宋体" w:hAnsi="宋体"/>
          <w:color w:val="auto"/>
          <w:sz w:val="44"/>
          <w:szCs w:val="44"/>
          <w:highlight w:val="none"/>
        </w:rPr>
      </w:pPr>
      <w:bookmarkStart w:id="1714" w:name="_Toc111543603"/>
      <w:bookmarkStart w:id="1715" w:name="_Toc99299773"/>
      <w:bookmarkStart w:id="1716" w:name="_Toc103979626"/>
      <w:bookmarkStart w:id="1717" w:name="_Toc137408763"/>
      <w:bookmarkStart w:id="1718" w:name="_Toc6133"/>
      <w:bookmarkStart w:id="1719" w:name="_Toc17350"/>
      <w:bookmarkStart w:id="1720" w:name="_Toc5630"/>
      <w:bookmarkStart w:id="1721" w:name="_Toc118209472"/>
      <w:bookmarkStart w:id="1722" w:name="_Toc16132"/>
      <w:bookmarkStart w:id="1723" w:name="_Toc31044"/>
      <w:bookmarkStart w:id="1724" w:name="_Toc140957915"/>
      <w:bookmarkStart w:id="1725" w:name="_Toc21099"/>
      <w:bookmarkStart w:id="1726" w:name="_Toc17017"/>
      <w:bookmarkStart w:id="1727" w:name="_Toc166778379"/>
      <w:bookmarkStart w:id="1728" w:name="_Toc23677"/>
      <w:bookmarkStart w:id="1729" w:name="_Toc4606"/>
      <w:bookmarkStart w:id="1730" w:name="_Toc16446"/>
      <w:bookmarkStart w:id="1731" w:name="_Toc2550"/>
      <w:bookmarkStart w:id="1732" w:name="_Toc109656625"/>
      <w:bookmarkStart w:id="1733" w:name="_Toc4861"/>
      <w:bookmarkStart w:id="1734" w:name="_Toc22182"/>
      <w:bookmarkStart w:id="1735" w:name="_Toc11315"/>
      <w:bookmarkStart w:id="1736" w:name="_Toc10761"/>
      <w:bookmarkStart w:id="1737" w:name="_Toc9239"/>
      <w:bookmarkStart w:id="1738" w:name="_Toc7726"/>
      <w:bookmarkStart w:id="1739" w:name="_Toc171282448"/>
      <w:bookmarkStart w:id="1740" w:name="_Toc189905405"/>
      <w:bookmarkStart w:id="1741" w:name="_Toc79093721"/>
      <w:bookmarkStart w:id="1742" w:name="_Toc24173"/>
      <w:bookmarkStart w:id="1743" w:name="_Toc113350981"/>
      <w:bookmarkStart w:id="1744" w:name="_Toc108483443"/>
      <w:bookmarkStart w:id="1745" w:name="_Toc193053751"/>
      <w:r>
        <w:rPr>
          <w:rFonts w:hint="eastAsia" w:ascii="宋体" w:hAnsi="宋体"/>
          <w:color w:val="auto"/>
          <w:sz w:val="44"/>
          <w:szCs w:val="44"/>
          <w:highlight w:val="none"/>
        </w:rPr>
        <w:t>第二部分 商务技术文件</w:t>
      </w:r>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p>
    <w:p w14:paraId="5EFCE4D5">
      <w:pPr>
        <w:adjustRightInd w:val="0"/>
        <w:snapToGrid w:val="0"/>
        <w:spacing w:line="360" w:lineRule="auto"/>
        <w:rPr>
          <w:rFonts w:ascii="宋体" w:hAnsi="宋体"/>
          <w:color w:val="auto"/>
          <w:sz w:val="32"/>
          <w:szCs w:val="32"/>
          <w:highlight w:val="none"/>
        </w:rPr>
      </w:pPr>
    </w:p>
    <w:p w14:paraId="1A03AEB5">
      <w:pPr>
        <w:pStyle w:val="24"/>
        <w:adjustRightInd w:val="0"/>
        <w:snapToGrid w:val="0"/>
        <w:spacing w:line="360" w:lineRule="auto"/>
        <w:ind w:firstLine="1988" w:firstLineChars="660"/>
        <w:rPr>
          <w:rFonts w:hAnsi="宋体"/>
          <w:b/>
          <w:bCs/>
          <w:color w:val="auto"/>
          <w:sz w:val="30"/>
          <w:szCs w:val="30"/>
          <w:highlight w:val="none"/>
        </w:rPr>
      </w:pPr>
    </w:p>
    <w:p w14:paraId="44E92C57">
      <w:pPr>
        <w:pStyle w:val="24"/>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采购项目名称:</w:t>
      </w:r>
    </w:p>
    <w:p w14:paraId="4C7D57CF">
      <w:pPr>
        <w:pStyle w:val="24"/>
        <w:adjustRightInd w:val="0"/>
        <w:snapToGrid w:val="0"/>
        <w:spacing w:line="360" w:lineRule="auto"/>
        <w:ind w:firstLine="1988" w:firstLineChars="660"/>
        <w:rPr>
          <w:rFonts w:hAnsi="宋体"/>
          <w:b/>
          <w:bCs/>
          <w:color w:val="auto"/>
          <w:sz w:val="30"/>
          <w:szCs w:val="30"/>
          <w:highlight w:val="none"/>
        </w:rPr>
      </w:pPr>
      <w:r>
        <w:rPr>
          <w:rFonts w:hint="eastAsia" w:hAnsi="宋体"/>
          <w:b/>
          <w:bCs/>
          <w:color w:val="auto"/>
          <w:sz w:val="30"/>
          <w:szCs w:val="30"/>
          <w:highlight w:val="none"/>
        </w:rPr>
        <w:t>采   购   人：</w:t>
      </w:r>
    </w:p>
    <w:p w14:paraId="3D901494">
      <w:pPr>
        <w:pStyle w:val="24"/>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政府采购计划编号:</w:t>
      </w:r>
    </w:p>
    <w:p w14:paraId="1E9E9BED">
      <w:pPr>
        <w:pStyle w:val="24"/>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委托代理编号:</w:t>
      </w:r>
    </w:p>
    <w:p w14:paraId="30E039B2">
      <w:pPr>
        <w:pStyle w:val="24"/>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采购代理机构：</w:t>
      </w:r>
    </w:p>
    <w:p w14:paraId="2AEB2EC3">
      <w:pPr>
        <w:adjustRightInd w:val="0"/>
        <w:snapToGrid w:val="0"/>
        <w:spacing w:line="360" w:lineRule="auto"/>
        <w:rPr>
          <w:rFonts w:ascii="宋体" w:hAnsi="宋体"/>
          <w:color w:val="auto"/>
          <w:sz w:val="30"/>
          <w:szCs w:val="30"/>
          <w:highlight w:val="none"/>
        </w:rPr>
      </w:pPr>
    </w:p>
    <w:p w14:paraId="329906E1">
      <w:pPr>
        <w:adjustRightInd w:val="0"/>
        <w:snapToGrid w:val="0"/>
        <w:spacing w:line="360" w:lineRule="auto"/>
        <w:rPr>
          <w:rFonts w:ascii="宋体" w:hAnsi="宋体"/>
          <w:color w:val="auto"/>
          <w:sz w:val="30"/>
          <w:szCs w:val="30"/>
          <w:highlight w:val="none"/>
        </w:rPr>
      </w:pPr>
    </w:p>
    <w:p w14:paraId="3AD3DF24">
      <w:pPr>
        <w:adjustRightInd w:val="0"/>
        <w:snapToGrid w:val="0"/>
        <w:spacing w:line="360" w:lineRule="auto"/>
        <w:rPr>
          <w:rFonts w:ascii="宋体" w:hAnsi="宋体"/>
          <w:color w:val="auto"/>
          <w:sz w:val="30"/>
          <w:szCs w:val="30"/>
          <w:highlight w:val="none"/>
        </w:rPr>
      </w:pPr>
    </w:p>
    <w:p w14:paraId="70F1E9DE">
      <w:pPr>
        <w:adjustRightInd w:val="0"/>
        <w:snapToGrid w:val="0"/>
        <w:spacing w:line="360" w:lineRule="auto"/>
        <w:rPr>
          <w:rFonts w:ascii="宋体" w:hAnsi="宋体"/>
          <w:color w:val="auto"/>
          <w:sz w:val="30"/>
          <w:szCs w:val="30"/>
          <w:highlight w:val="none"/>
        </w:rPr>
      </w:pPr>
    </w:p>
    <w:p w14:paraId="11D1429F">
      <w:pPr>
        <w:adjustRightInd w:val="0"/>
        <w:snapToGrid w:val="0"/>
        <w:spacing w:line="360" w:lineRule="auto"/>
        <w:ind w:left="1273" w:leftChars="606" w:firstLine="2"/>
        <w:rPr>
          <w:rFonts w:ascii="宋体" w:hAnsi="宋体"/>
          <w:color w:val="auto"/>
          <w:sz w:val="32"/>
          <w:szCs w:val="32"/>
          <w:highlight w:val="none"/>
          <w:u w:val="single"/>
        </w:rPr>
      </w:pPr>
      <w:r>
        <w:rPr>
          <w:rFonts w:hint="eastAsia" w:ascii="宋体" w:hAnsi="宋体"/>
          <w:color w:val="auto"/>
          <w:sz w:val="32"/>
          <w:szCs w:val="32"/>
          <w:highlight w:val="none"/>
        </w:rPr>
        <w:t>投标人</w:t>
      </w:r>
    </w:p>
    <w:p w14:paraId="4008730D">
      <w:pPr>
        <w:adjustRightInd w:val="0"/>
        <w:snapToGrid w:val="0"/>
        <w:spacing w:line="360" w:lineRule="auto"/>
        <w:jc w:val="center"/>
        <w:rPr>
          <w:rFonts w:ascii="宋体" w:hAnsi="宋体"/>
          <w:color w:val="auto"/>
          <w:sz w:val="32"/>
          <w:szCs w:val="32"/>
          <w:highlight w:val="none"/>
        </w:rPr>
      </w:pPr>
      <w:r>
        <w:rPr>
          <w:rFonts w:hint="eastAsia" w:ascii="宋体" w:hAnsi="宋体"/>
          <w:color w:val="auto"/>
          <w:sz w:val="32"/>
          <w:szCs w:val="32"/>
          <w:highlight w:val="none"/>
        </w:rPr>
        <w:t>年  月  日</w:t>
      </w:r>
    </w:p>
    <w:p w14:paraId="6A09BDB5">
      <w:pPr>
        <w:pStyle w:val="5"/>
        <w:adjustRightInd w:val="0"/>
        <w:spacing w:beforeLines="50" w:after="0" w:line="240" w:lineRule="auto"/>
        <w:jc w:val="left"/>
        <w:rPr>
          <w:rFonts w:ascii="宋体" w:hAnsi="宋体"/>
          <w:b w:val="0"/>
          <w:bCs w:val="0"/>
          <w:color w:val="auto"/>
          <w:sz w:val="21"/>
          <w:szCs w:val="21"/>
          <w:highlight w:val="none"/>
        </w:rPr>
      </w:pPr>
      <w:r>
        <w:rPr>
          <w:rFonts w:ascii="宋体" w:hAnsi="宋体" w:eastAsia="宋体"/>
          <w:color w:val="auto"/>
          <w:highlight w:val="none"/>
          <w:u w:val="single"/>
        </w:rPr>
        <w:br w:type="page"/>
      </w:r>
    </w:p>
    <w:p w14:paraId="1C3F0804">
      <w:pPr>
        <w:pStyle w:val="3"/>
        <w:adjustRightInd w:val="0"/>
        <w:snapToGrid w:val="0"/>
        <w:jc w:val="center"/>
        <w:rPr>
          <w:rFonts w:ascii="宋体" w:hAnsi="宋体"/>
          <w:color w:val="auto"/>
          <w:sz w:val="28"/>
          <w:szCs w:val="28"/>
          <w:highlight w:val="none"/>
        </w:rPr>
      </w:pPr>
      <w:bookmarkStart w:id="1746" w:name="_Toc193053752"/>
      <w:bookmarkStart w:id="1747" w:name="_Toc22326"/>
      <w:bookmarkStart w:id="1748" w:name="_Toc30765"/>
      <w:bookmarkStart w:id="1749" w:name="_Toc9585"/>
      <w:bookmarkStart w:id="1750" w:name="_Toc15187"/>
      <w:bookmarkStart w:id="1751" w:name="_Toc20362"/>
      <w:bookmarkStart w:id="1752" w:name="_Toc25165"/>
      <w:bookmarkStart w:id="1753" w:name="_Toc27802"/>
      <w:bookmarkStart w:id="1754" w:name="_Toc140957916"/>
      <w:bookmarkStart w:id="1755" w:name="_Toc103979629"/>
      <w:bookmarkStart w:id="1756" w:name="_Toc189905406"/>
      <w:bookmarkStart w:id="1757" w:name="_Toc4451"/>
      <w:bookmarkStart w:id="1758" w:name="_Toc113350982"/>
      <w:bookmarkStart w:id="1759" w:name="_Toc30007"/>
      <w:bookmarkStart w:id="1760" w:name="_Toc30333"/>
      <w:bookmarkStart w:id="1761" w:name="_Toc7562"/>
      <w:bookmarkStart w:id="1762" w:name="_Toc79093724"/>
      <w:bookmarkStart w:id="1763" w:name="_Toc283"/>
      <w:bookmarkStart w:id="1764" w:name="_Toc166778380"/>
      <w:bookmarkStart w:id="1765" w:name="_Toc109656628"/>
      <w:bookmarkStart w:id="1766" w:name="_Toc171282449"/>
      <w:bookmarkStart w:id="1767" w:name="_Toc137408764"/>
      <w:bookmarkStart w:id="1768" w:name="_Toc108483446"/>
      <w:bookmarkStart w:id="1769" w:name="_Toc22878"/>
      <w:bookmarkStart w:id="1770" w:name="_Toc10626"/>
      <w:bookmarkStart w:id="1771" w:name="_Toc10992"/>
      <w:bookmarkStart w:id="1772" w:name="_Toc99299776"/>
      <w:bookmarkStart w:id="1773" w:name="_Toc118209473"/>
      <w:bookmarkStart w:id="1774" w:name="_Toc111543606"/>
      <w:bookmarkStart w:id="1775" w:name="_Toc4912"/>
      <w:bookmarkStart w:id="1776" w:name="_Toc20074"/>
      <w:bookmarkStart w:id="1777" w:name="_Toc14851"/>
      <w:r>
        <w:rPr>
          <w:rFonts w:hint="eastAsia" w:ascii="宋体" w:hAnsi="宋体"/>
          <w:color w:val="auto"/>
          <w:sz w:val="28"/>
          <w:szCs w:val="28"/>
          <w:highlight w:val="none"/>
        </w:rPr>
        <w:t>五</w:t>
      </w:r>
      <w:r>
        <w:rPr>
          <w:rFonts w:ascii="宋体" w:hAnsi="宋体"/>
          <w:color w:val="auto"/>
          <w:sz w:val="28"/>
          <w:szCs w:val="28"/>
          <w:highlight w:val="none"/>
        </w:rPr>
        <w:t>、</w:t>
      </w:r>
      <w:r>
        <w:rPr>
          <w:rFonts w:hint="eastAsia" w:ascii="宋体" w:hAnsi="宋体"/>
          <w:color w:val="auto"/>
          <w:sz w:val="28"/>
          <w:szCs w:val="28"/>
          <w:highlight w:val="none"/>
        </w:rPr>
        <w:t>投标函</w:t>
      </w:r>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p>
    <w:p w14:paraId="6BDF2158">
      <w:pPr>
        <w:adjustRightInd w:val="0"/>
        <w:snapToGrid w:val="0"/>
        <w:spacing w:beforeLines="50" w:line="360" w:lineRule="auto"/>
        <w:rPr>
          <w:rFonts w:ascii="宋体" w:hAnsi="宋体"/>
          <w:color w:val="auto"/>
          <w:szCs w:val="21"/>
          <w:highlight w:val="none"/>
        </w:rPr>
      </w:pPr>
      <w:r>
        <w:rPr>
          <w:rFonts w:hint="eastAsia" w:ascii="宋体" w:hAnsi="宋体"/>
          <w:color w:val="auto"/>
          <w:szCs w:val="21"/>
          <w:highlight w:val="none"/>
        </w:rPr>
        <w:t>致：（采购人、采购代理机构）：</w:t>
      </w:r>
    </w:p>
    <w:p w14:paraId="66F0853B">
      <w:pPr>
        <w:adjustRightInd w:val="0"/>
        <w:snapToGrid w:val="0"/>
        <w:spacing w:beforeLines="50" w:line="360" w:lineRule="auto"/>
        <w:ind w:firstLine="435"/>
        <w:rPr>
          <w:rFonts w:ascii="宋体" w:hAnsi="宋体"/>
          <w:color w:val="auto"/>
          <w:szCs w:val="21"/>
          <w:highlight w:val="none"/>
        </w:rPr>
      </w:pPr>
      <w:r>
        <w:rPr>
          <w:rFonts w:hint="eastAsia" w:ascii="宋体" w:hAnsi="宋体"/>
          <w:color w:val="auto"/>
          <w:szCs w:val="21"/>
          <w:highlight w:val="none"/>
        </w:rPr>
        <w:t>根据贵方为（项目名称）的投标邀请（</w:t>
      </w:r>
      <w:r>
        <w:rPr>
          <w:rFonts w:hint="eastAsia" w:ascii="宋体" w:hAnsi="宋体"/>
          <w:color w:val="auto"/>
          <w:highlight w:val="none"/>
        </w:rPr>
        <w:t>政府采购计划编号</w:t>
      </w:r>
      <w:r>
        <w:rPr>
          <w:rFonts w:hint="eastAsia" w:ascii="宋体" w:hAnsi="宋体"/>
          <w:iCs/>
          <w:color w:val="auto"/>
          <w:highlight w:val="none"/>
        </w:rPr>
        <w:t>： ，</w:t>
      </w:r>
      <w:r>
        <w:rPr>
          <w:rFonts w:hint="eastAsia" w:ascii="宋体" w:hAnsi="宋体"/>
          <w:color w:val="auto"/>
          <w:szCs w:val="21"/>
          <w:highlight w:val="none"/>
        </w:rPr>
        <w:t>委托代理编号：），签字代表 （姓名、职务）经正式授权并代表投标人 （投标人名称）提交下述电子投标文件一份,参加采购项目第</w:t>
      </w:r>
      <w:r>
        <w:rPr>
          <w:rFonts w:hint="eastAsia" w:ascii="宋体" w:hAnsi="宋体"/>
          <w:color w:val="auto"/>
          <w:szCs w:val="21"/>
          <w:highlight w:val="none"/>
          <w:u w:val="single"/>
        </w:rPr>
        <w:t xml:space="preserve">     </w:t>
      </w:r>
      <w:r>
        <w:rPr>
          <w:rFonts w:hint="eastAsia" w:ascii="宋体" w:hAnsi="宋体"/>
          <w:color w:val="auto"/>
          <w:szCs w:val="21"/>
          <w:highlight w:val="none"/>
        </w:rPr>
        <w:t>包投标，并在此声明，所递交的投标文件内容完整、真实。</w:t>
      </w:r>
    </w:p>
    <w:p w14:paraId="11CBDE14">
      <w:pPr>
        <w:adjustRightInd w:val="0"/>
        <w:snapToGrid w:val="0"/>
        <w:spacing w:beforeLines="50" w:line="360" w:lineRule="auto"/>
        <w:ind w:firstLine="422" w:firstLineChars="200"/>
        <w:rPr>
          <w:rFonts w:ascii="宋体" w:hAnsi="宋体"/>
          <w:b/>
          <w:color w:val="auto"/>
          <w:szCs w:val="21"/>
          <w:highlight w:val="none"/>
        </w:rPr>
      </w:pPr>
      <w:r>
        <w:rPr>
          <w:rFonts w:hint="eastAsia" w:ascii="宋体" w:hAnsi="宋体"/>
          <w:b/>
          <w:color w:val="auto"/>
          <w:szCs w:val="21"/>
          <w:highlight w:val="none"/>
        </w:rPr>
        <w:t>第一部分 资格证明文件</w:t>
      </w:r>
    </w:p>
    <w:p w14:paraId="1C38A450">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一、开标一览表</w:t>
      </w:r>
    </w:p>
    <w:p w14:paraId="15B22750">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二、投标保证金</w:t>
      </w:r>
    </w:p>
    <w:p w14:paraId="325CAF03">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三、授权委托书</w:t>
      </w:r>
    </w:p>
    <w:p w14:paraId="5DFFCCA0">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四、投标人提供的资格证明文件</w:t>
      </w:r>
    </w:p>
    <w:p w14:paraId="794E6165">
      <w:pPr>
        <w:adjustRightInd w:val="0"/>
        <w:snapToGrid w:val="0"/>
        <w:spacing w:beforeLines="50" w:line="360" w:lineRule="auto"/>
        <w:ind w:firstLine="422" w:firstLineChars="200"/>
        <w:rPr>
          <w:rFonts w:ascii="宋体" w:hAnsi="宋体"/>
          <w:b/>
          <w:color w:val="auto"/>
          <w:szCs w:val="21"/>
          <w:highlight w:val="none"/>
        </w:rPr>
      </w:pPr>
      <w:r>
        <w:rPr>
          <w:rFonts w:hint="eastAsia" w:ascii="宋体" w:hAnsi="宋体"/>
          <w:b/>
          <w:color w:val="auto"/>
          <w:szCs w:val="21"/>
          <w:highlight w:val="none"/>
        </w:rPr>
        <w:t>第二部分 商务技术文件</w:t>
      </w:r>
    </w:p>
    <w:p w14:paraId="61CECA24">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五、投标函</w:t>
      </w:r>
    </w:p>
    <w:p w14:paraId="74F5A4BF">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六、分项报价</w:t>
      </w:r>
    </w:p>
    <w:p w14:paraId="2EBC64B4">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七、采购需求响应</w:t>
      </w:r>
    </w:p>
    <w:p w14:paraId="6AF8BFB7">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八、合同条款偏离表</w:t>
      </w:r>
    </w:p>
    <w:p w14:paraId="3BA5AA32">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九、采购需求偏离表</w:t>
      </w:r>
    </w:p>
    <w:p w14:paraId="20F67FC8">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十、享受政府采购政策优惠的证明资料</w:t>
      </w:r>
    </w:p>
    <w:p w14:paraId="4EC1F2C5">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十一、投标货物符合招标文件规定的证明文件</w:t>
      </w:r>
    </w:p>
    <w:p w14:paraId="6746466E">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十二、投标人认为需提供的其他资料</w:t>
      </w:r>
    </w:p>
    <w:p w14:paraId="0DCCF559">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在此，签字代表宣布同意如下：</w:t>
      </w:r>
    </w:p>
    <w:p w14:paraId="7427782F">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1、投标人严格按照招标文件的规定报价，见《开标一览表》。</w:t>
      </w:r>
    </w:p>
    <w:p w14:paraId="1F1C4DC9">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2、投标人将按招标文件的规定履行合同责任和义务。</w:t>
      </w:r>
    </w:p>
    <w:p w14:paraId="4A2B52D1">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3、投标人已详细审查招标文件。我们完全理解并同意放弃对这方面有不明及误解的权力。</w:t>
      </w:r>
    </w:p>
    <w:p w14:paraId="393CF9DF">
      <w:pPr>
        <w:adjustRightInd w:val="0"/>
        <w:snapToGrid w:val="0"/>
        <w:spacing w:beforeLines="50" w:line="360" w:lineRule="auto"/>
        <w:ind w:firstLine="420" w:firstLineChars="200"/>
        <w:rPr>
          <w:rFonts w:ascii="宋体" w:hAnsi="宋体"/>
          <w:color w:val="auto"/>
          <w:highlight w:val="none"/>
        </w:rPr>
      </w:pPr>
      <w:r>
        <w:rPr>
          <w:rFonts w:hint="eastAsia" w:ascii="宋体" w:hAnsi="宋体"/>
          <w:color w:val="auto"/>
          <w:szCs w:val="21"/>
          <w:highlight w:val="none"/>
        </w:rPr>
        <w:t>4、本投标有效期为自招标文件规定的提交投标文件截止之日起</w:t>
      </w:r>
      <w:r>
        <w:rPr>
          <w:rFonts w:hint="eastAsia" w:ascii="宋体" w:hAnsi="宋体"/>
          <w:color w:val="auto"/>
          <w:szCs w:val="21"/>
          <w:highlight w:val="none"/>
          <w:u w:val="single"/>
        </w:rPr>
        <w:t xml:space="preserve"> 90 </w:t>
      </w:r>
      <w:r>
        <w:rPr>
          <w:rFonts w:hint="eastAsia" w:ascii="宋体" w:hAnsi="宋体"/>
          <w:color w:val="auto"/>
          <w:szCs w:val="21"/>
          <w:highlight w:val="none"/>
        </w:rPr>
        <w:t>个日历日。在投标有效期内，</w:t>
      </w:r>
      <w:r>
        <w:rPr>
          <w:rFonts w:hint="eastAsia" w:ascii="宋体" w:hAnsi="宋体"/>
          <w:color w:val="auto"/>
          <w:highlight w:val="none"/>
        </w:rPr>
        <w:t>投标人同意遵守本</w:t>
      </w:r>
      <w:r>
        <w:rPr>
          <w:rFonts w:hint="eastAsia" w:ascii="宋体" w:hAnsi="宋体"/>
          <w:color w:val="auto"/>
          <w:szCs w:val="21"/>
          <w:highlight w:val="none"/>
        </w:rPr>
        <w:t>投标</w:t>
      </w:r>
      <w:r>
        <w:rPr>
          <w:rFonts w:hint="eastAsia" w:ascii="宋体" w:hAnsi="宋体"/>
          <w:color w:val="auto"/>
          <w:highlight w:val="none"/>
        </w:rPr>
        <w:t>文件中的承诺且在此期限期满之前</w:t>
      </w:r>
      <w:r>
        <w:rPr>
          <w:rFonts w:hint="eastAsia" w:ascii="宋体" w:hAnsi="宋体"/>
          <w:color w:val="auto"/>
          <w:szCs w:val="21"/>
          <w:highlight w:val="none"/>
        </w:rPr>
        <w:t>投标</w:t>
      </w:r>
      <w:r>
        <w:rPr>
          <w:rFonts w:hint="eastAsia" w:ascii="宋体" w:hAnsi="宋体"/>
          <w:color w:val="auto"/>
          <w:highlight w:val="none"/>
        </w:rPr>
        <w:t>文件</w:t>
      </w:r>
      <w:r>
        <w:rPr>
          <w:rFonts w:hint="eastAsia" w:ascii="宋体" w:hAnsi="宋体"/>
          <w:color w:val="auto"/>
          <w:szCs w:val="21"/>
          <w:highlight w:val="none"/>
        </w:rPr>
        <w:t>对我方具有法律约束力</w:t>
      </w:r>
      <w:r>
        <w:rPr>
          <w:rFonts w:hint="eastAsia" w:ascii="宋体" w:hAnsi="宋体"/>
          <w:color w:val="auto"/>
          <w:highlight w:val="none"/>
        </w:rPr>
        <w:t>。</w:t>
      </w:r>
    </w:p>
    <w:p w14:paraId="3D390012">
      <w:pPr>
        <w:adjustRightInd w:val="0"/>
        <w:snapToGrid w:val="0"/>
        <w:spacing w:beforeLines="50" w:line="360" w:lineRule="auto"/>
        <w:ind w:firstLine="420" w:firstLineChars="200"/>
        <w:rPr>
          <w:rFonts w:ascii="宋体" w:hAnsi="宋体"/>
          <w:color w:val="auto"/>
          <w:highlight w:val="none"/>
        </w:rPr>
      </w:pPr>
      <w:r>
        <w:rPr>
          <w:rFonts w:hint="eastAsia" w:ascii="宋体" w:hAnsi="宋体"/>
          <w:color w:val="auto"/>
          <w:highlight w:val="none"/>
        </w:rPr>
        <w:t>5、</w:t>
      </w:r>
      <w:r>
        <w:rPr>
          <w:rFonts w:hint="eastAsia" w:ascii="宋体" w:hAnsi="宋体"/>
          <w:color w:val="auto"/>
          <w:szCs w:val="21"/>
          <w:highlight w:val="none"/>
        </w:rPr>
        <w:t>同意提供贵方可能要求的与其投标有关的一切数据或资料。</w:t>
      </w:r>
    </w:p>
    <w:p w14:paraId="402BD555">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6、与本投标有关的一切正式往来信函请寄：</w:t>
      </w:r>
    </w:p>
    <w:p w14:paraId="16534CBC">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地址：；邮编： ；电话：；电子邮箱： 。</w:t>
      </w:r>
    </w:p>
    <w:p w14:paraId="255BC72E">
      <w:pPr>
        <w:adjustRightInd w:val="0"/>
        <w:snapToGrid w:val="0"/>
        <w:spacing w:beforeLines="50" w:line="360" w:lineRule="auto"/>
        <w:ind w:firstLine="420" w:firstLineChars="200"/>
        <w:rPr>
          <w:rFonts w:ascii="宋体" w:hAnsi="宋体"/>
          <w:color w:val="auto"/>
          <w:szCs w:val="21"/>
          <w:highlight w:val="none"/>
        </w:rPr>
      </w:pPr>
    </w:p>
    <w:p w14:paraId="1F69DF97">
      <w:pPr>
        <w:pStyle w:val="24"/>
        <w:adjustRightInd w:val="0"/>
        <w:snapToGrid w:val="0"/>
        <w:spacing w:beforeLines="50" w:line="360" w:lineRule="auto"/>
        <w:rPr>
          <w:rFonts w:hAnsi="宋体"/>
          <w:color w:val="auto"/>
          <w:sz w:val="21"/>
          <w:highlight w:val="none"/>
        </w:rPr>
      </w:pPr>
    </w:p>
    <w:p w14:paraId="79CB8155">
      <w:pPr>
        <w:pStyle w:val="24"/>
        <w:adjustRightInd w:val="0"/>
        <w:snapToGrid w:val="0"/>
        <w:spacing w:beforeLines="50" w:line="360" w:lineRule="auto"/>
        <w:rPr>
          <w:rFonts w:hAnsi="宋体"/>
          <w:color w:val="auto"/>
          <w:highlight w:val="none"/>
        </w:rPr>
      </w:pPr>
      <w:r>
        <w:rPr>
          <w:rFonts w:hint="eastAsia" w:hAnsi="宋体"/>
          <w:color w:val="auto"/>
          <w:sz w:val="21"/>
          <w:highlight w:val="none"/>
        </w:rPr>
        <w:t xml:space="preserve">投标人名称（盖单位章）：               </w:t>
      </w:r>
      <w:r>
        <w:rPr>
          <w:rFonts w:hint="eastAsia" w:hAnsi="宋体"/>
          <w:color w:val="auto"/>
          <w:highlight w:val="none"/>
        </w:rPr>
        <w:t xml:space="preserve">        </w:t>
      </w:r>
    </w:p>
    <w:p w14:paraId="60137268">
      <w:pPr>
        <w:adjustRightInd w:val="0"/>
        <w:snapToGrid w:val="0"/>
        <w:spacing w:beforeLines="50" w:line="360" w:lineRule="auto"/>
        <w:rPr>
          <w:rFonts w:ascii="宋体" w:hAnsi="宋体"/>
          <w:color w:val="auto"/>
          <w:szCs w:val="21"/>
          <w:highlight w:val="none"/>
          <w:u w:val="singl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2E5D3C44">
      <w:pPr>
        <w:adjustRightInd w:val="0"/>
        <w:snapToGrid w:val="0"/>
        <w:rPr>
          <w:rFonts w:ascii="宋体" w:hAnsi="宋体"/>
          <w:color w:val="auto"/>
          <w:szCs w:val="21"/>
          <w:highlight w:val="none"/>
        </w:rPr>
      </w:pPr>
      <w:r>
        <w:rPr>
          <w:rFonts w:hint="eastAsia" w:ascii="宋体" w:hAnsi="宋体"/>
          <w:color w:val="auto"/>
          <w:szCs w:val="21"/>
          <w:highlight w:val="none"/>
        </w:rPr>
        <w:t>日期：年月日</w:t>
      </w:r>
    </w:p>
    <w:p w14:paraId="288E3922">
      <w:pPr>
        <w:adjustRightInd w:val="0"/>
        <w:snapToGrid w:val="0"/>
        <w:jc w:val="center"/>
        <w:outlineLvl w:val="1"/>
        <w:rPr>
          <w:rFonts w:ascii="宋体" w:hAnsi="宋体"/>
          <w:color w:val="auto"/>
          <w:sz w:val="28"/>
          <w:szCs w:val="28"/>
          <w:highlight w:val="none"/>
        </w:rPr>
      </w:pPr>
      <w:r>
        <w:rPr>
          <w:rFonts w:ascii="宋体" w:hAnsi="宋体"/>
          <w:b/>
          <w:bCs/>
          <w:color w:val="auto"/>
          <w:sz w:val="28"/>
          <w:szCs w:val="28"/>
          <w:highlight w:val="none"/>
        </w:rPr>
        <w:br w:type="page"/>
      </w:r>
      <w:bookmarkStart w:id="1778" w:name="_Toc108483447"/>
      <w:bookmarkStart w:id="1779" w:name="_Toc140957917"/>
      <w:bookmarkStart w:id="1780" w:name="_Toc113350983"/>
      <w:bookmarkStart w:id="1781" w:name="_Toc23279"/>
      <w:bookmarkStart w:id="1782" w:name="_Toc79093725"/>
      <w:bookmarkStart w:id="1783" w:name="_Toc99299777"/>
      <w:bookmarkStart w:id="1784" w:name="_Toc137408765"/>
      <w:bookmarkStart w:id="1785" w:name="_Toc10890"/>
      <w:bookmarkStart w:id="1786" w:name="_Toc28848"/>
      <w:bookmarkStart w:id="1787" w:name="_Toc118209474"/>
      <w:bookmarkStart w:id="1788" w:name="_Toc29022"/>
      <w:bookmarkStart w:id="1789" w:name="_Toc138"/>
      <w:bookmarkStart w:id="1790" w:name="_Toc111543607"/>
      <w:bookmarkStart w:id="1791" w:name="_Toc26544"/>
      <w:bookmarkStart w:id="1792" w:name="_Toc189905407"/>
      <w:bookmarkStart w:id="1793" w:name="_Toc10281"/>
      <w:bookmarkStart w:id="1794" w:name="_Toc1984"/>
      <w:bookmarkStart w:id="1795" w:name="_Toc171282450"/>
      <w:bookmarkStart w:id="1796" w:name="_Toc10004"/>
      <w:bookmarkStart w:id="1797" w:name="_Toc25019"/>
      <w:bookmarkStart w:id="1798" w:name="_Toc13707"/>
      <w:bookmarkStart w:id="1799" w:name="_Toc109656629"/>
      <w:bookmarkStart w:id="1800" w:name="_Toc30820"/>
      <w:bookmarkStart w:id="1801" w:name="_Toc9104"/>
      <w:bookmarkStart w:id="1802" w:name="_Toc193053753"/>
      <w:bookmarkStart w:id="1803" w:name="_Toc28172"/>
      <w:bookmarkStart w:id="1804" w:name="_Toc103979630"/>
      <w:bookmarkStart w:id="1805" w:name="_Toc30582"/>
      <w:bookmarkStart w:id="1806" w:name="_Toc7680"/>
      <w:r>
        <w:rPr>
          <w:rFonts w:hint="eastAsia" w:ascii="宋体" w:hAnsi="宋体"/>
          <w:b/>
          <w:bCs/>
          <w:color w:val="auto"/>
          <w:sz w:val="28"/>
          <w:szCs w:val="28"/>
          <w:highlight w:val="none"/>
        </w:rPr>
        <w:t>六、分项报价</w:t>
      </w:r>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p>
    <w:p w14:paraId="4DE8413C">
      <w:pPr>
        <w:pStyle w:val="5"/>
        <w:spacing w:before="120" w:line="377" w:lineRule="auto"/>
        <w:jc w:val="left"/>
        <w:rPr>
          <w:rFonts w:ascii="宋体" w:hAnsi="宋体" w:eastAsia="宋体" w:cs="微软雅黑"/>
          <w:b w:val="0"/>
          <w:color w:val="auto"/>
          <w:sz w:val="21"/>
          <w:szCs w:val="21"/>
          <w:highlight w:val="none"/>
        </w:rPr>
      </w:pPr>
      <w:bookmarkStart w:id="1807" w:name="_Toc29173"/>
      <w:r>
        <w:rPr>
          <w:rFonts w:hint="eastAsia" w:ascii="宋体" w:hAnsi="宋体" w:eastAsia="宋体" w:cs="宋体"/>
          <w:b w:val="0"/>
          <w:bCs w:val="0"/>
          <w:color w:val="auto"/>
          <w:spacing w:val="6"/>
          <w:sz w:val="21"/>
          <w:szCs w:val="21"/>
          <w:highlight w:val="none"/>
        </w:rPr>
        <w:t xml:space="preserve">附件6-1 </w:t>
      </w:r>
      <w:r>
        <w:rPr>
          <w:rFonts w:hint="eastAsia" w:ascii="宋体" w:hAnsi="宋体" w:eastAsia="宋体" w:cs="微软雅黑"/>
          <w:b w:val="0"/>
          <w:color w:val="auto"/>
          <w:spacing w:val="-2"/>
          <w:sz w:val="21"/>
          <w:szCs w:val="21"/>
          <w:highlight w:val="none"/>
        </w:rPr>
        <w:t>分</w:t>
      </w:r>
      <w:r>
        <w:rPr>
          <w:rFonts w:hint="eastAsia" w:ascii="宋体" w:hAnsi="宋体" w:eastAsia="宋体" w:cs="微软雅黑"/>
          <w:b w:val="0"/>
          <w:color w:val="auto"/>
          <w:sz w:val="21"/>
          <w:szCs w:val="21"/>
          <w:highlight w:val="none"/>
        </w:rPr>
        <w:t>项</w:t>
      </w:r>
      <w:r>
        <w:rPr>
          <w:rFonts w:hint="eastAsia" w:ascii="宋体" w:hAnsi="宋体" w:eastAsia="宋体" w:cs="微软雅黑"/>
          <w:b w:val="0"/>
          <w:color w:val="auto"/>
          <w:spacing w:val="-2"/>
          <w:sz w:val="21"/>
          <w:szCs w:val="21"/>
          <w:highlight w:val="none"/>
        </w:rPr>
        <w:t>报</w:t>
      </w:r>
      <w:r>
        <w:rPr>
          <w:rFonts w:hint="eastAsia" w:ascii="宋体" w:hAnsi="宋体" w:eastAsia="宋体" w:cs="微软雅黑"/>
          <w:b w:val="0"/>
          <w:color w:val="auto"/>
          <w:sz w:val="21"/>
          <w:szCs w:val="21"/>
          <w:highlight w:val="none"/>
        </w:rPr>
        <w:t>价说明</w:t>
      </w:r>
      <w:bookmarkEnd w:id="1807"/>
    </w:p>
    <w:p w14:paraId="412AE31A">
      <w:pPr>
        <w:autoSpaceDE w:val="0"/>
        <w:autoSpaceDN w:val="0"/>
        <w:adjustRightInd w:val="0"/>
        <w:snapToGrid w:val="0"/>
        <w:spacing w:line="360" w:lineRule="auto"/>
        <w:jc w:val="center"/>
        <w:outlineLvl w:val="2"/>
        <w:rPr>
          <w:rFonts w:ascii="宋体" w:hAnsi="宋体" w:cs="微软雅黑"/>
          <w:b/>
          <w:color w:val="auto"/>
          <w:kern w:val="0"/>
          <w:sz w:val="28"/>
          <w:szCs w:val="28"/>
          <w:highlight w:val="none"/>
        </w:rPr>
      </w:pPr>
      <w:bookmarkStart w:id="1808" w:name="_Toc29984"/>
      <w:bookmarkStart w:id="1809" w:name="_Toc109656630"/>
      <w:bookmarkStart w:id="1810" w:name="_Toc3818"/>
      <w:bookmarkStart w:id="1811" w:name="_Toc13886"/>
      <w:bookmarkStart w:id="1812" w:name="_Toc5357"/>
      <w:bookmarkStart w:id="1813" w:name="_Toc113350984"/>
      <w:bookmarkStart w:id="1814" w:name="_Toc9758"/>
      <w:bookmarkStart w:id="1815" w:name="_Toc26776"/>
      <w:bookmarkStart w:id="1816" w:name="_Toc108483448"/>
      <w:bookmarkStart w:id="1817" w:name="_Toc118209475"/>
      <w:bookmarkStart w:id="1818" w:name="_Toc99299778"/>
      <w:bookmarkStart w:id="1819" w:name="_Toc14557"/>
      <w:bookmarkStart w:id="1820" w:name="_Toc1267"/>
      <w:bookmarkStart w:id="1821" w:name="_Toc22685"/>
      <w:bookmarkStart w:id="1822" w:name="_Toc79093726"/>
      <w:bookmarkStart w:id="1823" w:name="_Toc103979631"/>
      <w:bookmarkStart w:id="1824" w:name="_Toc6378"/>
      <w:bookmarkStart w:id="1825" w:name="_Toc111543608"/>
      <w:r>
        <w:rPr>
          <w:rFonts w:hint="eastAsia" w:ascii="宋体" w:hAnsi="宋体" w:cs="微软雅黑"/>
          <w:b/>
          <w:color w:val="auto"/>
          <w:spacing w:val="-2"/>
          <w:kern w:val="0"/>
          <w:sz w:val="28"/>
          <w:szCs w:val="28"/>
          <w:highlight w:val="none"/>
        </w:rPr>
        <w:t>分</w:t>
      </w:r>
      <w:r>
        <w:rPr>
          <w:rFonts w:hint="eastAsia" w:ascii="宋体" w:hAnsi="宋体" w:cs="微软雅黑"/>
          <w:b/>
          <w:color w:val="auto"/>
          <w:kern w:val="0"/>
          <w:sz w:val="28"/>
          <w:szCs w:val="28"/>
          <w:highlight w:val="none"/>
        </w:rPr>
        <w:t>项</w:t>
      </w:r>
      <w:r>
        <w:rPr>
          <w:rFonts w:hint="eastAsia" w:ascii="宋体" w:hAnsi="宋体" w:cs="微软雅黑"/>
          <w:b/>
          <w:color w:val="auto"/>
          <w:spacing w:val="-2"/>
          <w:kern w:val="0"/>
          <w:sz w:val="28"/>
          <w:szCs w:val="28"/>
          <w:highlight w:val="none"/>
        </w:rPr>
        <w:t>报</w:t>
      </w:r>
      <w:r>
        <w:rPr>
          <w:rFonts w:hint="eastAsia" w:ascii="宋体" w:hAnsi="宋体" w:cs="微软雅黑"/>
          <w:b/>
          <w:color w:val="auto"/>
          <w:kern w:val="0"/>
          <w:sz w:val="28"/>
          <w:szCs w:val="28"/>
          <w:highlight w:val="none"/>
        </w:rPr>
        <w:t>价说明</w:t>
      </w:r>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p>
    <w:p w14:paraId="68BFCA62">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（格式自拟）</w:t>
      </w:r>
    </w:p>
    <w:p w14:paraId="6674C13E">
      <w:pPr>
        <w:pStyle w:val="135"/>
        <w:ind w:firstLine="414"/>
        <w:rPr>
          <w:rFonts w:ascii="宋体" w:hAnsi="宋体"/>
          <w:color w:val="auto"/>
          <w:highlight w:val="none"/>
        </w:rPr>
      </w:pPr>
    </w:p>
    <w:p w14:paraId="5C482491">
      <w:pPr>
        <w:pStyle w:val="135"/>
        <w:ind w:firstLine="414"/>
        <w:rPr>
          <w:rFonts w:ascii="宋体" w:hAnsi="宋体"/>
          <w:color w:val="auto"/>
          <w:highlight w:val="none"/>
        </w:rPr>
      </w:pPr>
    </w:p>
    <w:p w14:paraId="5024E657">
      <w:pPr>
        <w:pStyle w:val="135"/>
        <w:ind w:firstLine="414"/>
        <w:rPr>
          <w:rFonts w:ascii="宋体" w:hAnsi="宋体"/>
          <w:color w:val="auto"/>
          <w:highlight w:val="none"/>
        </w:rPr>
      </w:pPr>
    </w:p>
    <w:p w14:paraId="13E40CE9">
      <w:pPr>
        <w:pStyle w:val="135"/>
        <w:ind w:firstLine="414"/>
        <w:rPr>
          <w:rFonts w:ascii="宋体" w:hAnsi="宋体"/>
          <w:color w:val="auto"/>
          <w:highlight w:val="none"/>
        </w:rPr>
      </w:pPr>
    </w:p>
    <w:p w14:paraId="164E55CA">
      <w:pPr>
        <w:pStyle w:val="5"/>
        <w:spacing w:before="120" w:line="377" w:lineRule="auto"/>
        <w:jc w:val="left"/>
        <w:rPr>
          <w:rFonts w:ascii="宋体" w:hAnsi="宋体" w:eastAsia="宋体" w:cs="微软雅黑"/>
          <w:b w:val="0"/>
          <w:color w:val="auto"/>
          <w:sz w:val="21"/>
          <w:szCs w:val="21"/>
          <w:highlight w:val="none"/>
        </w:rPr>
      </w:pPr>
      <w:bookmarkStart w:id="1826" w:name="_Toc1491"/>
      <w:r>
        <w:rPr>
          <w:rFonts w:hint="eastAsia" w:ascii="宋体" w:hAnsi="宋体" w:eastAsia="宋体" w:cs="宋体"/>
          <w:b w:val="0"/>
          <w:bCs w:val="0"/>
          <w:color w:val="auto"/>
          <w:spacing w:val="6"/>
          <w:sz w:val="21"/>
          <w:szCs w:val="21"/>
          <w:highlight w:val="none"/>
        </w:rPr>
        <w:t xml:space="preserve">附件6-2 </w:t>
      </w:r>
      <w:r>
        <w:rPr>
          <w:rFonts w:hint="eastAsia" w:ascii="宋体" w:hAnsi="宋体" w:eastAsia="宋体" w:cs="微软雅黑"/>
          <w:b w:val="0"/>
          <w:color w:val="auto"/>
          <w:spacing w:val="-2"/>
          <w:position w:val="-3"/>
          <w:sz w:val="21"/>
          <w:szCs w:val="21"/>
          <w:highlight w:val="none"/>
        </w:rPr>
        <w:t>分</w:t>
      </w:r>
      <w:r>
        <w:rPr>
          <w:rFonts w:hint="eastAsia" w:ascii="宋体" w:hAnsi="宋体" w:eastAsia="宋体" w:cs="微软雅黑"/>
          <w:b w:val="0"/>
          <w:color w:val="auto"/>
          <w:position w:val="-3"/>
          <w:sz w:val="21"/>
          <w:szCs w:val="21"/>
          <w:highlight w:val="none"/>
        </w:rPr>
        <w:t>项</w:t>
      </w:r>
      <w:r>
        <w:rPr>
          <w:rFonts w:hint="eastAsia" w:ascii="宋体" w:hAnsi="宋体" w:eastAsia="宋体" w:cs="微软雅黑"/>
          <w:b w:val="0"/>
          <w:color w:val="auto"/>
          <w:spacing w:val="-2"/>
          <w:position w:val="-3"/>
          <w:sz w:val="21"/>
          <w:szCs w:val="21"/>
          <w:highlight w:val="none"/>
        </w:rPr>
        <w:t>报</w:t>
      </w:r>
      <w:r>
        <w:rPr>
          <w:rFonts w:hint="eastAsia" w:ascii="宋体" w:hAnsi="宋体" w:eastAsia="宋体" w:cs="微软雅黑"/>
          <w:b w:val="0"/>
          <w:color w:val="auto"/>
          <w:position w:val="-3"/>
          <w:sz w:val="21"/>
          <w:szCs w:val="21"/>
          <w:highlight w:val="none"/>
        </w:rPr>
        <w:t>价明细表</w:t>
      </w:r>
      <w:bookmarkEnd w:id="1826"/>
    </w:p>
    <w:p w14:paraId="50BA7D43">
      <w:pPr>
        <w:adjustRightInd w:val="0"/>
        <w:snapToGrid w:val="0"/>
        <w:spacing w:line="360" w:lineRule="auto"/>
        <w:jc w:val="center"/>
        <w:outlineLvl w:val="2"/>
        <w:rPr>
          <w:rFonts w:ascii="宋体" w:hAnsi="宋体" w:cs="微软雅黑"/>
          <w:b/>
          <w:color w:val="auto"/>
          <w:kern w:val="0"/>
          <w:position w:val="-3"/>
          <w:sz w:val="28"/>
          <w:szCs w:val="28"/>
          <w:highlight w:val="none"/>
        </w:rPr>
      </w:pPr>
      <w:bookmarkStart w:id="1827" w:name="_Toc118209476"/>
      <w:bookmarkStart w:id="1828" w:name="_Toc20105"/>
      <w:bookmarkStart w:id="1829" w:name="_Toc21291"/>
      <w:bookmarkStart w:id="1830" w:name="_Toc18536"/>
      <w:bookmarkStart w:id="1831" w:name="_Toc189905409"/>
      <w:bookmarkStart w:id="1832" w:name="_Toc193053755"/>
      <w:bookmarkStart w:id="1833" w:name="_Toc109656631"/>
      <w:bookmarkStart w:id="1834" w:name="_Toc22449"/>
      <w:bookmarkStart w:id="1835" w:name="_Toc27046"/>
      <w:bookmarkStart w:id="1836" w:name="_Toc140957919"/>
      <w:bookmarkStart w:id="1837" w:name="_Toc113350985"/>
      <w:bookmarkStart w:id="1838" w:name="_Toc15612"/>
      <w:bookmarkStart w:id="1839" w:name="_Toc103979632"/>
      <w:bookmarkStart w:id="1840" w:name="_Toc79093727"/>
      <w:bookmarkStart w:id="1841" w:name="_Toc111543609"/>
      <w:bookmarkStart w:id="1842" w:name="_Toc171282452"/>
      <w:bookmarkStart w:id="1843" w:name="_Toc20298"/>
      <w:bookmarkStart w:id="1844" w:name="_Toc166778382"/>
      <w:bookmarkStart w:id="1845" w:name="_Toc20772"/>
      <w:bookmarkStart w:id="1846" w:name="_Toc12903"/>
      <w:bookmarkStart w:id="1847" w:name="_Toc23034"/>
      <w:bookmarkStart w:id="1848" w:name="_Toc7525"/>
      <w:bookmarkStart w:id="1849" w:name="_Toc137408767"/>
      <w:bookmarkStart w:id="1850" w:name="_Toc9796"/>
      <w:bookmarkStart w:id="1851" w:name="_Toc28831"/>
      <w:bookmarkStart w:id="1852" w:name="_Toc32206"/>
      <w:bookmarkStart w:id="1853" w:name="_Toc13633"/>
      <w:bookmarkStart w:id="1854" w:name="_Toc32226"/>
      <w:bookmarkStart w:id="1855" w:name="_Toc108483449"/>
      <w:bookmarkStart w:id="1856" w:name="_Toc99299779"/>
      <w:bookmarkStart w:id="1857" w:name="_Toc26155"/>
      <w:r>
        <w:rPr>
          <w:rFonts w:hint="eastAsia" w:ascii="宋体" w:hAnsi="宋体" w:cs="微软雅黑"/>
          <w:b/>
          <w:color w:val="auto"/>
          <w:spacing w:val="-2"/>
          <w:kern w:val="0"/>
          <w:position w:val="-3"/>
          <w:sz w:val="28"/>
          <w:szCs w:val="28"/>
          <w:highlight w:val="none"/>
        </w:rPr>
        <w:t>分</w:t>
      </w:r>
      <w:r>
        <w:rPr>
          <w:rFonts w:hint="eastAsia" w:ascii="宋体" w:hAnsi="宋体" w:cs="微软雅黑"/>
          <w:b/>
          <w:color w:val="auto"/>
          <w:kern w:val="0"/>
          <w:position w:val="-3"/>
          <w:sz w:val="28"/>
          <w:szCs w:val="28"/>
          <w:highlight w:val="none"/>
        </w:rPr>
        <w:t>项</w:t>
      </w:r>
      <w:r>
        <w:rPr>
          <w:rFonts w:hint="eastAsia" w:ascii="宋体" w:hAnsi="宋体" w:cs="微软雅黑"/>
          <w:b/>
          <w:color w:val="auto"/>
          <w:spacing w:val="-2"/>
          <w:kern w:val="0"/>
          <w:position w:val="-3"/>
          <w:sz w:val="28"/>
          <w:szCs w:val="28"/>
          <w:highlight w:val="none"/>
        </w:rPr>
        <w:t>报</w:t>
      </w:r>
      <w:r>
        <w:rPr>
          <w:rFonts w:hint="eastAsia" w:ascii="宋体" w:hAnsi="宋体" w:cs="微软雅黑"/>
          <w:b/>
          <w:color w:val="auto"/>
          <w:kern w:val="0"/>
          <w:position w:val="-3"/>
          <w:sz w:val="28"/>
          <w:szCs w:val="28"/>
          <w:highlight w:val="none"/>
        </w:rPr>
        <w:t>价明细表</w:t>
      </w:r>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p>
    <w:p w14:paraId="58E78D47">
      <w:pPr>
        <w:adjustRightInd w:val="0"/>
        <w:snapToGrid w:val="0"/>
        <w:spacing w:line="360" w:lineRule="auto"/>
        <w:rPr>
          <w:rFonts w:ascii="宋体" w:hAnsi="宋体"/>
          <w:color w:val="auto"/>
          <w:szCs w:val="21"/>
          <w:highlight w:val="none"/>
        </w:rPr>
      </w:pPr>
    </w:p>
    <w:p w14:paraId="12B7D073">
      <w:pPr>
        <w:adjustRightInd w:val="0"/>
        <w:snapToGrid w:val="0"/>
        <w:spacing w:line="360" w:lineRule="auto"/>
        <w:rPr>
          <w:rFonts w:ascii="宋体" w:hAnsi="宋体"/>
          <w:color w:val="auto"/>
          <w:szCs w:val="21"/>
          <w:highlight w:val="none"/>
        </w:rPr>
      </w:pPr>
    </w:p>
    <w:p w14:paraId="37C2E300">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（格式自拟）</w:t>
      </w:r>
    </w:p>
    <w:p w14:paraId="6DD080F6">
      <w:pPr>
        <w:adjustRightInd w:val="0"/>
        <w:snapToGrid w:val="0"/>
        <w:spacing w:line="360" w:lineRule="auto"/>
        <w:rPr>
          <w:rFonts w:ascii="宋体" w:hAnsi="宋体"/>
          <w:color w:val="auto"/>
          <w:szCs w:val="21"/>
          <w:highlight w:val="none"/>
        </w:rPr>
      </w:pPr>
    </w:p>
    <w:p w14:paraId="65381FEB">
      <w:pPr>
        <w:adjustRightInd w:val="0"/>
        <w:snapToGrid w:val="0"/>
        <w:spacing w:line="360" w:lineRule="auto"/>
        <w:rPr>
          <w:rFonts w:ascii="宋体" w:hAnsi="宋体"/>
          <w:color w:val="auto"/>
          <w:szCs w:val="21"/>
          <w:highlight w:val="none"/>
        </w:rPr>
      </w:pPr>
    </w:p>
    <w:p w14:paraId="37B12A44">
      <w:pPr>
        <w:adjustRightInd w:val="0"/>
        <w:snapToGrid w:val="0"/>
        <w:spacing w:line="360" w:lineRule="auto"/>
        <w:rPr>
          <w:rFonts w:ascii="宋体" w:hAnsi="宋体"/>
          <w:color w:val="auto"/>
          <w:szCs w:val="21"/>
          <w:highlight w:val="none"/>
        </w:rPr>
      </w:pPr>
    </w:p>
    <w:p w14:paraId="7F76F7E8">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备注：1.</w:t>
      </w:r>
      <w:r>
        <w:rPr>
          <w:rFonts w:hint="eastAsia" w:ascii="宋体" w:hAnsi="宋体"/>
          <w:b/>
          <w:color w:val="auto"/>
          <w:szCs w:val="21"/>
          <w:highlight w:val="none"/>
        </w:rPr>
        <w:t>本表应对应</w:t>
      </w:r>
      <w:r>
        <w:rPr>
          <w:rFonts w:hint="eastAsia" w:ascii="宋体" w:hAnsi="宋体"/>
          <w:color w:val="auto"/>
          <w:szCs w:val="21"/>
          <w:highlight w:val="none"/>
        </w:rPr>
        <w:t>“</w:t>
      </w:r>
      <w:r>
        <w:rPr>
          <w:rFonts w:hint="eastAsia" w:ascii="宋体" w:hAnsi="宋体"/>
          <w:b/>
          <w:color w:val="auto"/>
          <w:szCs w:val="21"/>
          <w:highlight w:val="none"/>
        </w:rPr>
        <w:t>开标一览表</w:t>
      </w:r>
      <w:r>
        <w:rPr>
          <w:rFonts w:hint="eastAsia" w:ascii="宋体" w:hAnsi="宋体"/>
          <w:color w:val="auto"/>
          <w:szCs w:val="21"/>
          <w:highlight w:val="none"/>
        </w:rPr>
        <w:t>”</w:t>
      </w:r>
      <w:r>
        <w:rPr>
          <w:rFonts w:hint="eastAsia" w:ascii="宋体" w:hAnsi="宋体"/>
          <w:b/>
          <w:color w:val="auto"/>
          <w:szCs w:val="21"/>
          <w:highlight w:val="none"/>
        </w:rPr>
        <w:t>，按包填写</w:t>
      </w:r>
      <w:r>
        <w:rPr>
          <w:rFonts w:hint="eastAsia" w:ascii="宋体" w:hAnsi="宋体"/>
          <w:color w:val="auto"/>
          <w:szCs w:val="21"/>
          <w:highlight w:val="none"/>
        </w:rPr>
        <w:t>。</w:t>
      </w:r>
    </w:p>
    <w:p w14:paraId="3FC19A9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2.不得填写“免费”或“赠予”，也不得进行“零”报价，否则</w:t>
      </w:r>
      <w:r>
        <w:rPr>
          <w:rFonts w:hint="eastAsia" w:ascii="宋体" w:hAnsi="宋体"/>
          <w:b/>
          <w:color w:val="auto"/>
          <w:szCs w:val="21"/>
          <w:highlight w:val="none"/>
        </w:rPr>
        <w:t>投标无效</w:t>
      </w:r>
      <w:r>
        <w:rPr>
          <w:rFonts w:hint="eastAsia" w:ascii="宋体" w:hAnsi="宋体"/>
          <w:color w:val="auto"/>
          <w:szCs w:val="21"/>
          <w:highlight w:val="none"/>
        </w:rPr>
        <w:t>。</w:t>
      </w:r>
    </w:p>
    <w:p w14:paraId="5706BC4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3.如果开标一览表内容与本表内容不一致的，以开标一览表内容为准。</w:t>
      </w:r>
    </w:p>
    <w:p w14:paraId="6C22F7F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w:t>
      </w:r>
      <w:r>
        <w:rPr>
          <w:rFonts w:hint="eastAsia" w:ascii="宋体" w:hAnsi="宋体"/>
          <w:bCs/>
          <w:color w:val="auto"/>
          <w:szCs w:val="21"/>
          <w:highlight w:val="none"/>
        </w:rPr>
        <w:t>投标人在投标截止时间前修改“开标一览表”中的投标报价的，应按第二章第13.7款规定修改本表相应内容。否则，</w:t>
      </w:r>
      <w:r>
        <w:rPr>
          <w:rFonts w:hint="eastAsia" w:ascii="宋体" w:hAnsi="宋体"/>
          <w:color w:val="auto"/>
          <w:szCs w:val="21"/>
          <w:highlight w:val="none"/>
        </w:rPr>
        <w:t>本表相应内容按投标报价修改的相同比例进行调整。</w:t>
      </w:r>
    </w:p>
    <w:p w14:paraId="13F0190D">
      <w:pPr>
        <w:adjustRightInd w:val="0"/>
        <w:snapToGrid w:val="0"/>
        <w:spacing w:line="360" w:lineRule="auto"/>
        <w:rPr>
          <w:rFonts w:ascii="宋体" w:hAnsi="宋体"/>
          <w:color w:val="auto"/>
          <w:szCs w:val="21"/>
          <w:highlight w:val="none"/>
        </w:rPr>
      </w:pPr>
    </w:p>
    <w:p w14:paraId="3742C2FE">
      <w:pPr>
        <w:pStyle w:val="135"/>
        <w:ind w:firstLine="414"/>
        <w:rPr>
          <w:rFonts w:ascii="宋体" w:hAnsi="宋体"/>
          <w:color w:val="auto"/>
          <w:szCs w:val="21"/>
          <w:highlight w:val="none"/>
        </w:rPr>
      </w:pPr>
    </w:p>
    <w:p w14:paraId="6F73C450">
      <w:pPr>
        <w:pStyle w:val="135"/>
        <w:ind w:firstLine="414"/>
        <w:rPr>
          <w:rFonts w:ascii="宋体" w:hAnsi="宋体"/>
          <w:color w:val="auto"/>
          <w:szCs w:val="21"/>
          <w:highlight w:val="none"/>
        </w:rPr>
      </w:pPr>
    </w:p>
    <w:p w14:paraId="4BA7CF5C">
      <w:pPr>
        <w:pStyle w:val="135"/>
        <w:ind w:firstLine="414"/>
        <w:rPr>
          <w:rFonts w:ascii="宋体" w:hAnsi="宋体"/>
          <w:color w:val="auto"/>
          <w:szCs w:val="21"/>
          <w:highlight w:val="none"/>
        </w:rPr>
      </w:pPr>
    </w:p>
    <w:p w14:paraId="3FFFB520">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1F7F5813">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50CA4EA9">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日期：年月日</w:t>
      </w:r>
    </w:p>
    <w:p w14:paraId="52CDD827">
      <w:pPr>
        <w:pStyle w:val="4"/>
        <w:adjustRightInd w:val="0"/>
        <w:snapToGrid w:val="0"/>
        <w:spacing w:before="0" w:after="0" w:line="240" w:lineRule="auto"/>
        <w:jc w:val="center"/>
        <w:rPr>
          <w:rFonts w:ascii="宋体" w:hAnsi="宋体"/>
          <w:color w:val="auto"/>
          <w:sz w:val="21"/>
          <w:szCs w:val="21"/>
          <w:highlight w:val="none"/>
        </w:rPr>
      </w:pPr>
      <w:r>
        <w:rPr>
          <w:rFonts w:ascii="宋体" w:hAnsi="宋体"/>
          <w:color w:val="auto"/>
          <w:sz w:val="21"/>
          <w:szCs w:val="21"/>
          <w:highlight w:val="none"/>
        </w:rPr>
        <w:br w:type="page"/>
      </w:r>
    </w:p>
    <w:p w14:paraId="53EA9495">
      <w:pPr>
        <w:pStyle w:val="3"/>
        <w:adjustRightInd w:val="0"/>
        <w:snapToGrid w:val="0"/>
        <w:jc w:val="center"/>
        <w:rPr>
          <w:rFonts w:ascii="宋体" w:hAnsi="宋体"/>
          <w:color w:val="auto"/>
          <w:sz w:val="28"/>
          <w:szCs w:val="28"/>
          <w:highlight w:val="none"/>
        </w:rPr>
      </w:pPr>
      <w:bookmarkStart w:id="1858" w:name="_Toc23281"/>
      <w:bookmarkStart w:id="1859" w:name="_Toc171282453"/>
      <w:bookmarkStart w:id="1860" w:name="_Toc16943"/>
      <w:bookmarkStart w:id="1861" w:name="_Toc137408768"/>
      <w:bookmarkStart w:id="1862" w:name="_Toc109656632"/>
      <w:bookmarkStart w:id="1863" w:name="_Toc3421"/>
      <w:bookmarkStart w:id="1864" w:name="_Toc113350986"/>
      <w:bookmarkStart w:id="1865" w:name="_Toc5715"/>
      <w:bookmarkStart w:id="1866" w:name="_Toc21664"/>
      <w:bookmarkStart w:id="1867" w:name="_Toc22399"/>
      <w:bookmarkStart w:id="1868" w:name="_Toc12393"/>
      <w:bookmarkStart w:id="1869" w:name="_Toc4948"/>
      <w:bookmarkStart w:id="1870" w:name="_Toc166778383"/>
      <w:bookmarkStart w:id="1871" w:name="_Toc22929"/>
      <w:bookmarkStart w:id="1872" w:name="_Toc79093728"/>
      <w:bookmarkStart w:id="1873" w:name="_Toc99299780"/>
      <w:bookmarkStart w:id="1874" w:name="_Toc111543610"/>
      <w:bookmarkStart w:id="1875" w:name="_Toc12932"/>
      <w:bookmarkStart w:id="1876" w:name="_Toc118209477"/>
      <w:bookmarkStart w:id="1877" w:name="_Toc29301"/>
      <w:bookmarkStart w:id="1878" w:name="_Toc189905410"/>
      <w:bookmarkStart w:id="1879" w:name="_Toc23989"/>
      <w:bookmarkStart w:id="1880" w:name="_Toc11367"/>
      <w:bookmarkStart w:id="1881" w:name="_Toc108483450"/>
      <w:bookmarkStart w:id="1882" w:name="_Toc12431"/>
      <w:bookmarkStart w:id="1883" w:name="_Toc140957920"/>
      <w:bookmarkStart w:id="1884" w:name="_Toc25284"/>
      <w:bookmarkStart w:id="1885" w:name="_Toc14223"/>
      <w:bookmarkStart w:id="1886" w:name="_Toc103979633"/>
      <w:bookmarkStart w:id="1887" w:name="_Toc193053756"/>
      <w:bookmarkStart w:id="1888" w:name="_Toc14893"/>
      <w:bookmarkStart w:id="1889" w:name="_Toc32097"/>
      <w:r>
        <w:rPr>
          <w:rFonts w:hint="eastAsia" w:ascii="宋体" w:hAnsi="宋体"/>
          <w:color w:val="auto"/>
          <w:sz w:val="28"/>
          <w:szCs w:val="28"/>
          <w:highlight w:val="none"/>
        </w:rPr>
        <w:t>七、采购需求响应</w:t>
      </w:r>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p>
    <w:p w14:paraId="223D150A">
      <w:pPr>
        <w:adjustRightInd w:val="0"/>
        <w:snapToGrid w:val="0"/>
        <w:spacing w:line="360" w:lineRule="auto"/>
        <w:rPr>
          <w:rFonts w:ascii="宋体" w:hAnsi="宋体"/>
          <w:b/>
          <w:color w:val="auto"/>
          <w:szCs w:val="21"/>
          <w:highlight w:val="none"/>
        </w:rPr>
      </w:pPr>
    </w:p>
    <w:p w14:paraId="0D62BA5B">
      <w:pPr>
        <w:adjustRightInd w:val="0"/>
        <w:snapToGrid w:val="0"/>
        <w:spacing w:line="360" w:lineRule="auto"/>
        <w:rPr>
          <w:rFonts w:ascii="宋体" w:hAnsi="宋体"/>
          <w:b/>
          <w:color w:val="auto"/>
          <w:highlight w:val="none"/>
        </w:rPr>
      </w:pPr>
      <w:r>
        <w:rPr>
          <w:rFonts w:hint="eastAsia" w:ascii="宋体" w:hAnsi="宋体"/>
          <w:b/>
          <w:color w:val="auto"/>
          <w:szCs w:val="21"/>
          <w:highlight w:val="none"/>
        </w:rPr>
        <w:t>备注</w:t>
      </w:r>
      <w:r>
        <w:rPr>
          <w:rFonts w:hint="eastAsia" w:ascii="宋体" w:hAnsi="宋体"/>
          <w:bCs/>
          <w:color w:val="auto"/>
          <w:szCs w:val="21"/>
          <w:highlight w:val="none"/>
        </w:rPr>
        <w:t>：</w:t>
      </w:r>
      <w:r>
        <w:rPr>
          <w:rFonts w:hint="eastAsia" w:ascii="宋体" w:hAnsi="宋体"/>
          <w:b/>
          <w:color w:val="auto"/>
          <w:highlight w:val="none"/>
        </w:rPr>
        <w:t>投标人应按招标文件中评分标准和第五章采购需求自行编写采购需求响应文件（格式自拟）。</w:t>
      </w:r>
    </w:p>
    <w:p w14:paraId="6ECB0914">
      <w:pPr>
        <w:pStyle w:val="26"/>
        <w:adjustRightInd w:val="0"/>
        <w:snapToGrid w:val="0"/>
        <w:spacing w:line="360" w:lineRule="auto"/>
        <w:ind w:left="-88" w:leftChars="-42"/>
        <w:rPr>
          <w:rFonts w:ascii="宋体" w:hAnsi="宋体"/>
          <w:bCs/>
          <w:color w:val="auto"/>
          <w:sz w:val="21"/>
          <w:szCs w:val="21"/>
          <w:highlight w:val="none"/>
        </w:rPr>
      </w:pPr>
    </w:p>
    <w:p w14:paraId="238CA9A4">
      <w:pPr>
        <w:rPr>
          <w:rFonts w:ascii="宋体" w:hAnsi="宋体"/>
          <w:color w:val="auto"/>
          <w:highlight w:val="none"/>
        </w:rPr>
      </w:pPr>
    </w:p>
    <w:p w14:paraId="78F973EE">
      <w:pPr>
        <w:rPr>
          <w:rFonts w:ascii="宋体" w:hAnsi="宋体"/>
          <w:color w:val="auto"/>
          <w:highlight w:val="none"/>
        </w:rPr>
      </w:pPr>
    </w:p>
    <w:p w14:paraId="03178651">
      <w:pPr>
        <w:rPr>
          <w:rFonts w:ascii="宋体" w:hAnsi="宋体"/>
          <w:color w:val="auto"/>
          <w:highlight w:val="none"/>
        </w:rPr>
      </w:pPr>
    </w:p>
    <w:p w14:paraId="06B0181C">
      <w:pPr>
        <w:adjustRightInd w:val="0"/>
        <w:snapToGrid w:val="0"/>
        <w:spacing w:line="360" w:lineRule="auto"/>
        <w:rPr>
          <w:rFonts w:ascii="宋体" w:hAnsi="宋体"/>
          <w:color w:val="auto"/>
          <w:szCs w:val="21"/>
          <w:highlight w:val="none"/>
        </w:rPr>
      </w:pPr>
    </w:p>
    <w:p w14:paraId="56D80F43">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4AF5EA56">
      <w:pPr>
        <w:adjustRightInd w:val="0"/>
        <w:snapToGrid w:val="0"/>
        <w:spacing w:line="360" w:lineRule="auto"/>
        <w:rPr>
          <w:rFonts w:ascii="宋体" w:hAnsi="宋体"/>
          <w:color w:val="auto"/>
          <w:szCs w:val="21"/>
          <w:highlight w:val="none"/>
          <w:u w:val="single"/>
        </w:rPr>
      </w:pPr>
      <w:r>
        <w:rPr>
          <w:rFonts w:hint="eastAsia" w:ascii="宋体" w:hAnsi="宋体"/>
          <w:color w:val="auto"/>
          <w:szCs w:val="21"/>
          <w:highlight w:val="none"/>
        </w:rPr>
        <w:t>法定代表人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519F1851">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    年    月    日</w:t>
      </w:r>
    </w:p>
    <w:p w14:paraId="445FD84C">
      <w:pPr>
        <w:rPr>
          <w:rFonts w:ascii="宋体" w:hAnsi="宋体"/>
          <w:color w:val="auto"/>
          <w:highlight w:val="none"/>
        </w:rPr>
      </w:pPr>
    </w:p>
    <w:p w14:paraId="07F4F993">
      <w:pPr>
        <w:pStyle w:val="103"/>
        <w:ind w:firstLine="400"/>
        <w:rPr>
          <w:rFonts w:ascii="宋体" w:hAnsi="宋体"/>
          <w:color w:val="auto"/>
          <w:highlight w:val="none"/>
        </w:rPr>
      </w:pPr>
    </w:p>
    <w:p w14:paraId="5AB24FC7">
      <w:pPr>
        <w:pStyle w:val="103"/>
        <w:ind w:firstLine="400"/>
        <w:rPr>
          <w:rFonts w:ascii="宋体" w:hAnsi="宋体"/>
          <w:color w:val="auto"/>
          <w:highlight w:val="none"/>
        </w:rPr>
      </w:pPr>
    </w:p>
    <w:p w14:paraId="5D7DC289">
      <w:pPr>
        <w:pStyle w:val="103"/>
        <w:ind w:firstLine="400"/>
        <w:rPr>
          <w:rFonts w:ascii="宋体" w:hAnsi="宋体"/>
          <w:color w:val="auto"/>
          <w:highlight w:val="none"/>
        </w:rPr>
      </w:pPr>
    </w:p>
    <w:p w14:paraId="1BA14EA7">
      <w:pPr>
        <w:pStyle w:val="5"/>
        <w:adjustRightInd w:val="0"/>
        <w:snapToGrid w:val="0"/>
        <w:spacing w:beforeLines="50" w:after="0" w:line="360" w:lineRule="auto"/>
        <w:rPr>
          <w:rFonts w:ascii="宋体" w:hAnsi="宋体" w:eastAsia="宋体"/>
          <w:b w:val="0"/>
          <w:color w:val="auto"/>
          <w:sz w:val="21"/>
          <w:szCs w:val="21"/>
          <w:highlight w:val="none"/>
        </w:rPr>
      </w:pPr>
      <w:bookmarkStart w:id="1890" w:name="_Toc30897"/>
      <w:r>
        <w:rPr>
          <w:rFonts w:hint="eastAsia" w:ascii="宋体" w:hAnsi="宋体" w:eastAsia="宋体" w:cs="宋体"/>
          <w:b w:val="0"/>
          <w:color w:val="auto"/>
          <w:spacing w:val="6"/>
          <w:sz w:val="21"/>
          <w:szCs w:val="21"/>
          <w:highlight w:val="none"/>
        </w:rPr>
        <w:t>附件7-1 拟投入的主要人员简历表</w:t>
      </w:r>
      <w:bookmarkEnd w:id="1890"/>
    </w:p>
    <w:p w14:paraId="30B314CF">
      <w:pPr>
        <w:pStyle w:val="4"/>
        <w:jc w:val="center"/>
        <w:rPr>
          <w:rFonts w:ascii="宋体" w:hAnsi="宋体"/>
          <w:b w:val="0"/>
          <w:bCs w:val="0"/>
          <w:color w:val="auto"/>
          <w:sz w:val="30"/>
          <w:szCs w:val="30"/>
          <w:highlight w:val="none"/>
        </w:rPr>
      </w:pPr>
      <w:bookmarkStart w:id="1891" w:name="_Toc109656633"/>
      <w:bookmarkStart w:id="1892" w:name="_Toc12555"/>
      <w:bookmarkStart w:id="1893" w:name="_Toc26331"/>
      <w:bookmarkStart w:id="1894" w:name="_Toc3786"/>
      <w:bookmarkStart w:id="1895" w:name="_Toc79093729"/>
      <w:bookmarkStart w:id="1896" w:name="_Toc6095"/>
      <w:bookmarkStart w:id="1897" w:name="_Toc118209478"/>
      <w:bookmarkStart w:id="1898" w:name="_Toc24631"/>
      <w:bookmarkStart w:id="1899" w:name="_Toc18045"/>
      <w:bookmarkStart w:id="1900" w:name="_Toc7627"/>
      <w:bookmarkStart w:id="1901" w:name="_Toc28918"/>
      <w:bookmarkStart w:id="1902" w:name="_Toc113350987"/>
      <w:bookmarkStart w:id="1903" w:name="_Toc6874"/>
      <w:bookmarkStart w:id="1904" w:name="_Toc12721"/>
      <w:bookmarkStart w:id="1905" w:name="_Toc17073"/>
      <w:bookmarkStart w:id="1906" w:name="_Toc31355"/>
      <w:bookmarkStart w:id="1907" w:name="_Toc21692"/>
      <w:bookmarkStart w:id="1908" w:name="_Toc189905411"/>
      <w:bookmarkStart w:id="1909" w:name="_Toc9041"/>
      <w:bookmarkStart w:id="1910" w:name="_Toc193053757"/>
      <w:bookmarkStart w:id="1911" w:name="_Toc103979634"/>
      <w:bookmarkStart w:id="1912" w:name="_Toc23546"/>
      <w:bookmarkStart w:id="1913" w:name="_Toc166778384"/>
      <w:bookmarkStart w:id="1914" w:name="_Toc171282454"/>
      <w:bookmarkStart w:id="1915" w:name="_Toc28671"/>
      <w:bookmarkStart w:id="1916" w:name="_Toc140957921"/>
      <w:bookmarkStart w:id="1917" w:name="_Toc12912"/>
      <w:bookmarkStart w:id="1918" w:name="_Toc137408769"/>
      <w:bookmarkStart w:id="1919" w:name="_Toc26650"/>
      <w:bookmarkStart w:id="1920" w:name="_Toc108483451"/>
      <w:bookmarkStart w:id="1921" w:name="_Toc99299781"/>
      <w:bookmarkStart w:id="1922" w:name="_Toc111543611"/>
      <w:r>
        <w:rPr>
          <w:rFonts w:hint="eastAsia" w:ascii="宋体" w:hAnsi="宋体" w:cs="Calibri"/>
          <w:color w:val="auto"/>
          <w:sz w:val="30"/>
          <w:szCs w:val="30"/>
          <w:highlight w:val="none"/>
        </w:rPr>
        <w:t>拟投入的主要人员简历表</w:t>
      </w:r>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1810"/>
        <w:gridCol w:w="665"/>
        <w:gridCol w:w="1145"/>
        <w:gridCol w:w="1065"/>
        <w:gridCol w:w="992"/>
        <w:gridCol w:w="2060"/>
      </w:tblGrid>
      <w:tr w14:paraId="6F53B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835" w:type="dxa"/>
            <w:tcBorders>
              <w:top w:val="single" w:color="auto" w:sz="12" w:space="0"/>
              <w:left w:val="single" w:color="auto" w:sz="12" w:space="0"/>
            </w:tcBorders>
            <w:vAlign w:val="center"/>
          </w:tcPr>
          <w:p w14:paraId="1D4C1DD8">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810" w:type="dxa"/>
            <w:tcBorders>
              <w:top w:val="single" w:color="auto" w:sz="12" w:space="0"/>
            </w:tcBorders>
            <w:vAlign w:val="center"/>
          </w:tcPr>
          <w:p w14:paraId="74D260E7">
            <w:pPr>
              <w:jc w:val="center"/>
              <w:rPr>
                <w:rFonts w:ascii="宋体" w:hAnsi="宋体" w:cs="宋体"/>
                <w:color w:val="auto"/>
                <w:szCs w:val="21"/>
                <w:highlight w:val="none"/>
              </w:rPr>
            </w:pPr>
            <w:r>
              <w:rPr>
                <w:rFonts w:hint="eastAsia" w:ascii="宋体" w:hAnsi="宋体" w:cs="宋体"/>
                <w:color w:val="auto"/>
                <w:szCs w:val="21"/>
                <w:highlight w:val="none"/>
              </w:rPr>
              <w:t>姓    名</w:t>
            </w:r>
          </w:p>
        </w:tc>
        <w:tc>
          <w:tcPr>
            <w:tcW w:w="665" w:type="dxa"/>
            <w:tcBorders>
              <w:top w:val="single" w:color="auto" w:sz="12" w:space="0"/>
            </w:tcBorders>
            <w:vAlign w:val="center"/>
          </w:tcPr>
          <w:p w14:paraId="44794573">
            <w:pPr>
              <w:jc w:val="center"/>
              <w:rPr>
                <w:rFonts w:ascii="宋体" w:hAnsi="宋体" w:cs="宋体"/>
                <w:color w:val="auto"/>
                <w:szCs w:val="21"/>
                <w:highlight w:val="none"/>
              </w:rPr>
            </w:pPr>
            <w:r>
              <w:rPr>
                <w:rFonts w:hint="eastAsia" w:ascii="宋体" w:hAnsi="宋体" w:cs="宋体"/>
                <w:color w:val="auto"/>
                <w:szCs w:val="21"/>
                <w:highlight w:val="none"/>
              </w:rPr>
              <w:t>性别</w:t>
            </w:r>
          </w:p>
        </w:tc>
        <w:tc>
          <w:tcPr>
            <w:tcW w:w="1145" w:type="dxa"/>
            <w:tcBorders>
              <w:top w:val="single" w:color="auto" w:sz="12" w:space="0"/>
            </w:tcBorders>
            <w:vAlign w:val="center"/>
          </w:tcPr>
          <w:p w14:paraId="15AE70C3">
            <w:pPr>
              <w:jc w:val="center"/>
              <w:rPr>
                <w:rFonts w:ascii="宋体" w:hAnsi="宋体" w:cs="宋体"/>
                <w:color w:val="auto"/>
                <w:szCs w:val="21"/>
                <w:highlight w:val="none"/>
              </w:rPr>
            </w:pPr>
            <w:r>
              <w:rPr>
                <w:rFonts w:hint="eastAsia" w:ascii="宋体" w:hAnsi="宋体" w:cs="宋体"/>
                <w:color w:val="auto"/>
                <w:szCs w:val="21"/>
                <w:highlight w:val="none"/>
              </w:rPr>
              <w:t>出生日期</w:t>
            </w:r>
          </w:p>
        </w:tc>
        <w:tc>
          <w:tcPr>
            <w:tcW w:w="1065" w:type="dxa"/>
            <w:tcBorders>
              <w:top w:val="single" w:color="auto" w:sz="12" w:space="0"/>
            </w:tcBorders>
            <w:vAlign w:val="center"/>
          </w:tcPr>
          <w:p w14:paraId="0AE0A42F">
            <w:pPr>
              <w:jc w:val="center"/>
              <w:rPr>
                <w:rFonts w:ascii="宋体" w:hAnsi="宋体" w:cs="宋体"/>
                <w:color w:val="auto"/>
                <w:szCs w:val="21"/>
                <w:highlight w:val="none"/>
              </w:rPr>
            </w:pPr>
            <w:r>
              <w:rPr>
                <w:rFonts w:hint="eastAsia" w:ascii="宋体" w:hAnsi="宋体" w:cs="宋体"/>
                <w:color w:val="auto"/>
                <w:szCs w:val="21"/>
                <w:highlight w:val="none"/>
              </w:rPr>
              <w:t>学 历</w:t>
            </w:r>
          </w:p>
        </w:tc>
        <w:tc>
          <w:tcPr>
            <w:tcW w:w="992" w:type="dxa"/>
            <w:tcBorders>
              <w:top w:val="single" w:color="auto" w:sz="12" w:space="0"/>
            </w:tcBorders>
            <w:vAlign w:val="center"/>
          </w:tcPr>
          <w:p w14:paraId="649873DC">
            <w:pPr>
              <w:jc w:val="center"/>
              <w:rPr>
                <w:rFonts w:ascii="宋体" w:hAnsi="宋体" w:cs="宋体"/>
                <w:color w:val="auto"/>
                <w:szCs w:val="21"/>
                <w:highlight w:val="none"/>
              </w:rPr>
            </w:pPr>
            <w:r>
              <w:rPr>
                <w:rFonts w:hint="eastAsia" w:ascii="宋体" w:hAnsi="宋体" w:cs="宋体"/>
                <w:color w:val="auto"/>
                <w:szCs w:val="21"/>
                <w:highlight w:val="none"/>
              </w:rPr>
              <w:t>专 业</w:t>
            </w:r>
          </w:p>
        </w:tc>
        <w:tc>
          <w:tcPr>
            <w:tcW w:w="2060" w:type="dxa"/>
            <w:tcBorders>
              <w:top w:val="single" w:color="auto" w:sz="12" w:space="0"/>
              <w:right w:val="single" w:color="auto" w:sz="12" w:space="0"/>
            </w:tcBorders>
            <w:vAlign w:val="center"/>
          </w:tcPr>
          <w:p w14:paraId="4B595026">
            <w:pPr>
              <w:jc w:val="center"/>
              <w:rPr>
                <w:rFonts w:ascii="宋体" w:hAnsi="宋体" w:cs="宋体"/>
                <w:color w:val="auto"/>
                <w:szCs w:val="21"/>
                <w:highlight w:val="none"/>
              </w:rPr>
            </w:pPr>
            <w:r>
              <w:rPr>
                <w:rFonts w:hint="eastAsia" w:ascii="宋体" w:hAnsi="宋体" w:cs="宋体"/>
                <w:color w:val="auto"/>
                <w:szCs w:val="21"/>
                <w:highlight w:val="none"/>
              </w:rPr>
              <w:t>在本项目拟任职务</w:t>
            </w:r>
          </w:p>
        </w:tc>
      </w:tr>
      <w:tr w14:paraId="6F4F3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5" w:type="dxa"/>
            <w:tcBorders>
              <w:left w:val="single" w:color="auto" w:sz="12" w:space="0"/>
            </w:tcBorders>
            <w:vAlign w:val="center"/>
          </w:tcPr>
          <w:p w14:paraId="733B18A1">
            <w:pPr>
              <w:jc w:val="center"/>
              <w:rPr>
                <w:rFonts w:ascii="宋体" w:hAnsi="宋体" w:cs="宋体"/>
                <w:color w:val="auto"/>
                <w:szCs w:val="21"/>
                <w:highlight w:val="none"/>
              </w:rPr>
            </w:pPr>
          </w:p>
        </w:tc>
        <w:tc>
          <w:tcPr>
            <w:tcW w:w="1810" w:type="dxa"/>
            <w:vAlign w:val="center"/>
          </w:tcPr>
          <w:p w14:paraId="533403A7">
            <w:pPr>
              <w:jc w:val="center"/>
              <w:rPr>
                <w:rFonts w:ascii="宋体" w:hAnsi="宋体" w:cs="宋体"/>
                <w:color w:val="auto"/>
                <w:szCs w:val="21"/>
                <w:highlight w:val="none"/>
              </w:rPr>
            </w:pPr>
          </w:p>
        </w:tc>
        <w:tc>
          <w:tcPr>
            <w:tcW w:w="665" w:type="dxa"/>
            <w:vAlign w:val="center"/>
          </w:tcPr>
          <w:p w14:paraId="05D2EB58">
            <w:pPr>
              <w:jc w:val="center"/>
              <w:rPr>
                <w:rFonts w:ascii="宋体" w:hAnsi="宋体" w:cs="宋体"/>
                <w:color w:val="auto"/>
                <w:szCs w:val="21"/>
                <w:highlight w:val="none"/>
              </w:rPr>
            </w:pPr>
          </w:p>
        </w:tc>
        <w:tc>
          <w:tcPr>
            <w:tcW w:w="1145" w:type="dxa"/>
            <w:vAlign w:val="center"/>
          </w:tcPr>
          <w:p w14:paraId="74A51402">
            <w:pPr>
              <w:jc w:val="center"/>
              <w:rPr>
                <w:rFonts w:ascii="宋体" w:hAnsi="宋体" w:cs="宋体"/>
                <w:color w:val="auto"/>
                <w:szCs w:val="21"/>
                <w:highlight w:val="none"/>
              </w:rPr>
            </w:pPr>
          </w:p>
        </w:tc>
        <w:tc>
          <w:tcPr>
            <w:tcW w:w="1065" w:type="dxa"/>
            <w:vAlign w:val="center"/>
          </w:tcPr>
          <w:p w14:paraId="0988FCD5">
            <w:pPr>
              <w:jc w:val="center"/>
              <w:rPr>
                <w:rFonts w:ascii="宋体" w:hAnsi="宋体" w:cs="宋体"/>
                <w:color w:val="auto"/>
                <w:szCs w:val="21"/>
                <w:highlight w:val="none"/>
              </w:rPr>
            </w:pPr>
          </w:p>
        </w:tc>
        <w:tc>
          <w:tcPr>
            <w:tcW w:w="992" w:type="dxa"/>
            <w:vAlign w:val="center"/>
          </w:tcPr>
          <w:p w14:paraId="1DC9BF01">
            <w:pPr>
              <w:jc w:val="center"/>
              <w:rPr>
                <w:rFonts w:ascii="宋体" w:hAnsi="宋体" w:cs="宋体"/>
                <w:color w:val="auto"/>
                <w:szCs w:val="21"/>
                <w:highlight w:val="none"/>
              </w:rPr>
            </w:pPr>
          </w:p>
        </w:tc>
        <w:tc>
          <w:tcPr>
            <w:tcW w:w="2060" w:type="dxa"/>
            <w:tcBorders>
              <w:right w:val="single" w:color="auto" w:sz="12" w:space="0"/>
            </w:tcBorders>
            <w:vAlign w:val="center"/>
          </w:tcPr>
          <w:p w14:paraId="494040D0">
            <w:pPr>
              <w:jc w:val="center"/>
              <w:rPr>
                <w:rFonts w:ascii="宋体" w:hAnsi="宋体" w:cs="宋体"/>
                <w:color w:val="auto"/>
                <w:szCs w:val="21"/>
                <w:highlight w:val="none"/>
              </w:rPr>
            </w:pPr>
          </w:p>
        </w:tc>
      </w:tr>
      <w:tr w14:paraId="74BA1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5" w:type="dxa"/>
            <w:tcBorders>
              <w:left w:val="single" w:color="auto" w:sz="12" w:space="0"/>
            </w:tcBorders>
            <w:vAlign w:val="center"/>
          </w:tcPr>
          <w:p w14:paraId="6FA2F995">
            <w:pPr>
              <w:jc w:val="center"/>
              <w:rPr>
                <w:rFonts w:ascii="宋体" w:hAnsi="宋体" w:cs="宋体"/>
                <w:color w:val="auto"/>
                <w:szCs w:val="21"/>
                <w:highlight w:val="none"/>
              </w:rPr>
            </w:pPr>
          </w:p>
        </w:tc>
        <w:tc>
          <w:tcPr>
            <w:tcW w:w="1810" w:type="dxa"/>
            <w:vAlign w:val="center"/>
          </w:tcPr>
          <w:p w14:paraId="4285F64F">
            <w:pPr>
              <w:jc w:val="center"/>
              <w:rPr>
                <w:rFonts w:ascii="宋体" w:hAnsi="宋体" w:cs="宋体"/>
                <w:color w:val="auto"/>
                <w:szCs w:val="21"/>
                <w:highlight w:val="none"/>
              </w:rPr>
            </w:pPr>
          </w:p>
        </w:tc>
        <w:tc>
          <w:tcPr>
            <w:tcW w:w="665" w:type="dxa"/>
            <w:vAlign w:val="center"/>
          </w:tcPr>
          <w:p w14:paraId="110A47FD">
            <w:pPr>
              <w:jc w:val="center"/>
              <w:rPr>
                <w:rFonts w:ascii="宋体" w:hAnsi="宋体" w:cs="宋体"/>
                <w:color w:val="auto"/>
                <w:szCs w:val="21"/>
                <w:highlight w:val="none"/>
              </w:rPr>
            </w:pPr>
          </w:p>
        </w:tc>
        <w:tc>
          <w:tcPr>
            <w:tcW w:w="1145" w:type="dxa"/>
            <w:vAlign w:val="center"/>
          </w:tcPr>
          <w:p w14:paraId="2DAC56E3">
            <w:pPr>
              <w:jc w:val="center"/>
              <w:rPr>
                <w:rFonts w:ascii="宋体" w:hAnsi="宋体" w:cs="宋体"/>
                <w:color w:val="auto"/>
                <w:szCs w:val="21"/>
                <w:highlight w:val="none"/>
              </w:rPr>
            </w:pPr>
          </w:p>
        </w:tc>
        <w:tc>
          <w:tcPr>
            <w:tcW w:w="1065" w:type="dxa"/>
            <w:vAlign w:val="center"/>
          </w:tcPr>
          <w:p w14:paraId="5F37E3DE">
            <w:pPr>
              <w:jc w:val="center"/>
              <w:rPr>
                <w:rFonts w:ascii="宋体" w:hAnsi="宋体" w:cs="宋体"/>
                <w:color w:val="auto"/>
                <w:szCs w:val="21"/>
                <w:highlight w:val="none"/>
              </w:rPr>
            </w:pPr>
          </w:p>
        </w:tc>
        <w:tc>
          <w:tcPr>
            <w:tcW w:w="992" w:type="dxa"/>
            <w:vAlign w:val="center"/>
          </w:tcPr>
          <w:p w14:paraId="694D9545">
            <w:pPr>
              <w:jc w:val="center"/>
              <w:rPr>
                <w:rFonts w:ascii="宋体" w:hAnsi="宋体" w:cs="宋体"/>
                <w:color w:val="auto"/>
                <w:szCs w:val="21"/>
                <w:highlight w:val="none"/>
              </w:rPr>
            </w:pPr>
          </w:p>
        </w:tc>
        <w:tc>
          <w:tcPr>
            <w:tcW w:w="2060" w:type="dxa"/>
            <w:tcBorders>
              <w:right w:val="single" w:color="auto" w:sz="12" w:space="0"/>
            </w:tcBorders>
            <w:vAlign w:val="center"/>
          </w:tcPr>
          <w:p w14:paraId="284EF4EE">
            <w:pPr>
              <w:jc w:val="center"/>
              <w:rPr>
                <w:rFonts w:ascii="宋体" w:hAnsi="宋体" w:cs="宋体"/>
                <w:color w:val="auto"/>
                <w:szCs w:val="21"/>
                <w:highlight w:val="none"/>
              </w:rPr>
            </w:pPr>
          </w:p>
        </w:tc>
      </w:tr>
      <w:tr w14:paraId="6915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5" w:type="dxa"/>
            <w:tcBorders>
              <w:left w:val="single" w:color="auto" w:sz="12" w:space="0"/>
            </w:tcBorders>
            <w:vAlign w:val="center"/>
          </w:tcPr>
          <w:p w14:paraId="0D13EE78">
            <w:pPr>
              <w:jc w:val="center"/>
              <w:rPr>
                <w:rFonts w:ascii="宋体" w:hAnsi="宋体" w:cs="宋体"/>
                <w:color w:val="auto"/>
                <w:szCs w:val="21"/>
                <w:highlight w:val="none"/>
              </w:rPr>
            </w:pPr>
          </w:p>
        </w:tc>
        <w:tc>
          <w:tcPr>
            <w:tcW w:w="1810" w:type="dxa"/>
            <w:vAlign w:val="center"/>
          </w:tcPr>
          <w:p w14:paraId="364523E9">
            <w:pPr>
              <w:jc w:val="center"/>
              <w:rPr>
                <w:rFonts w:ascii="宋体" w:hAnsi="宋体" w:cs="宋体"/>
                <w:color w:val="auto"/>
                <w:szCs w:val="21"/>
                <w:highlight w:val="none"/>
              </w:rPr>
            </w:pPr>
          </w:p>
        </w:tc>
        <w:tc>
          <w:tcPr>
            <w:tcW w:w="665" w:type="dxa"/>
            <w:vAlign w:val="center"/>
          </w:tcPr>
          <w:p w14:paraId="7DF98E09">
            <w:pPr>
              <w:jc w:val="center"/>
              <w:rPr>
                <w:rFonts w:ascii="宋体" w:hAnsi="宋体" w:cs="宋体"/>
                <w:color w:val="auto"/>
                <w:szCs w:val="21"/>
                <w:highlight w:val="none"/>
              </w:rPr>
            </w:pPr>
          </w:p>
        </w:tc>
        <w:tc>
          <w:tcPr>
            <w:tcW w:w="1145" w:type="dxa"/>
            <w:vAlign w:val="center"/>
          </w:tcPr>
          <w:p w14:paraId="150902C8">
            <w:pPr>
              <w:jc w:val="center"/>
              <w:rPr>
                <w:rFonts w:ascii="宋体" w:hAnsi="宋体" w:cs="宋体"/>
                <w:color w:val="auto"/>
                <w:szCs w:val="21"/>
                <w:highlight w:val="none"/>
              </w:rPr>
            </w:pPr>
          </w:p>
        </w:tc>
        <w:tc>
          <w:tcPr>
            <w:tcW w:w="1065" w:type="dxa"/>
            <w:vAlign w:val="center"/>
          </w:tcPr>
          <w:p w14:paraId="518457C9">
            <w:pPr>
              <w:jc w:val="center"/>
              <w:rPr>
                <w:rFonts w:ascii="宋体" w:hAnsi="宋体" w:cs="宋体"/>
                <w:color w:val="auto"/>
                <w:szCs w:val="21"/>
                <w:highlight w:val="none"/>
              </w:rPr>
            </w:pPr>
          </w:p>
        </w:tc>
        <w:tc>
          <w:tcPr>
            <w:tcW w:w="992" w:type="dxa"/>
            <w:vAlign w:val="center"/>
          </w:tcPr>
          <w:p w14:paraId="08FB7053">
            <w:pPr>
              <w:jc w:val="center"/>
              <w:rPr>
                <w:rFonts w:ascii="宋体" w:hAnsi="宋体" w:cs="宋体"/>
                <w:color w:val="auto"/>
                <w:szCs w:val="21"/>
                <w:highlight w:val="none"/>
              </w:rPr>
            </w:pPr>
          </w:p>
        </w:tc>
        <w:tc>
          <w:tcPr>
            <w:tcW w:w="2060" w:type="dxa"/>
            <w:tcBorders>
              <w:right w:val="single" w:color="auto" w:sz="12" w:space="0"/>
            </w:tcBorders>
            <w:vAlign w:val="center"/>
          </w:tcPr>
          <w:p w14:paraId="24734A10">
            <w:pPr>
              <w:jc w:val="center"/>
              <w:rPr>
                <w:rFonts w:ascii="宋体" w:hAnsi="宋体" w:cs="宋体"/>
                <w:color w:val="auto"/>
                <w:szCs w:val="21"/>
                <w:highlight w:val="none"/>
              </w:rPr>
            </w:pPr>
          </w:p>
        </w:tc>
      </w:tr>
      <w:tr w14:paraId="52115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5" w:type="dxa"/>
            <w:tcBorders>
              <w:left w:val="single" w:color="auto" w:sz="12" w:space="0"/>
            </w:tcBorders>
            <w:vAlign w:val="center"/>
          </w:tcPr>
          <w:p w14:paraId="27014DE4">
            <w:pPr>
              <w:jc w:val="center"/>
              <w:rPr>
                <w:rFonts w:ascii="宋体" w:hAnsi="宋体" w:cs="宋体"/>
                <w:color w:val="auto"/>
                <w:szCs w:val="21"/>
                <w:highlight w:val="none"/>
              </w:rPr>
            </w:pPr>
          </w:p>
        </w:tc>
        <w:tc>
          <w:tcPr>
            <w:tcW w:w="1810" w:type="dxa"/>
            <w:vAlign w:val="center"/>
          </w:tcPr>
          <w:p w14:paraId="7A40E537">
            <w:pPr>
              <w:jc w:val="center"/>
              <w:rPr>
                <w:rFonts w:ascii="宋体" w:hAnsi="宋体" w:cs="宋体"/>
                <w:color w:val="auto"/>
                <w:szCs w:val="21"/>
                <w:highlight w:val="none"/>
              </w:rPr>
            </w:pPr>
          </w:p>
        </w:tc>
        <w:tc>
          <w:tcPr>
            <w:tcW w:w="665" w:type="dxa"/>
            <w:vAlign w:val="center"/>
          </w:tcPr>
          <w:p w14:paraId="68FBA065">
            <w:pPr>
              <w:jc w:val="center"/>
              <w:rPr>
                <w:rFonts w:ascii="宋体" w:hAnsi="宋体" w:cs="宋体"/>
                <w:color w:val="auto"/>
                <w:szCs w:val="21"/>
                <w:highlight w:val="none"/>
              </w:rPr>
            </w:pPr>
          </w:p>
        </w:tc>
        <w:tc>
          <w:tcPr>
            <w:tcW w:w="1145" w:type="dxa"/>
            <w:vAlign w:val="center"/>
          </w:tcPr>
          <w:p w14:paraId="71D47928">
            <w:pPr>
              <w:jc w:val="center"/>
              <w:rPr>
                <w:rFonts w:ascii="宋体" w:hAnsi="宋体" w:cs="宋体"/>
                <w:color w:val="auto"/>
                <w:szCs w:val="21"/>
                <w:highlight w:val="none"/>
              </w:rPr>
            </w:pPr>
          </w:p>
        </w:tc>
        <w:tc>
          <w:tcPr>
            <w:tcW w:w="1065" w:type="dxa"/>
            <w:vAlign w:val="center"/>
          </w:tcPr>
          <w:p w14:paraId="07688220">
            <w:pPr>
              <w:jc w:val="center"/>
              <w:rPr>
                <w:rFonts w:ascii="宋体" w:hAnsi="宋体" w:cs="宋体"/>
                <w:color w:val="auto"/>
                <w:szCs w:val="21"/>
                <w:highlight w:val="none"/>
              </w:rPr>
            </w:pPr>
          </w:p>
        </w:tc>
        <w:tc>
          <w:tcPr>
            <w:tcW w:w="992" w:type="dxa"/>
            <w:vAlign w:val="center"/>
          </w:tcPr>
          <w:p w14:paraId="1D742049">
            <w:pPr>
              <w:jc w:val="center"/>
              <w:rPr>
                <w:rFonts w:ascii="宋体" w:hAnsi="宋体" w:cs="宋体"/>
                <w:color w:val="auto"/>
                <w:szCs w:val="21"/>
                <w:highlight w:val="none"/>
              </w:rPr>
            </w:pPr>
          </w:p>
        </w:tc>
        <w:tc>
          <w:tcPr>
            <w:tcW w:w="2060" w:type="dxa"/>
            <w:tcBorders>
              <w:right w:val="single" w:color="auto" w:sz="12" w:space="0"/>
            </w:tcBorders>
            <w:vAlign w:val="center"/>
          </w:tcPr>
          <w:p w14:paraId="49EF73D1">
            <w:pPr>
              <w:jc w:val="center"/>
              <w:rPr>
                <w:rFonts w:ascii="宋体" w:hAnsi="宋体" w:cs="宋体"/>
                <w:color w:val="auto"/>
                <w:szCs w:val="21"/>
                <w:highlight w:val="none"/>
              </w:rPr>
            </w:pPr>
          </w:p>
        </w:tc>
      </w:tr>
      <w:tr w14:paraId="79E4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5" w:type="dxa"/>
            <w:tcBorders>
              <w:left w:val="single" w:color="auto" w:sz="12" w:space="0"/>
            </w:tcBorders>
            <w:vAlign w:val="center"/>
          </w:tcPr>
          <w:p w14:paraId="5D115764">
            <w:pPr>
              <w:jc w:val="center"/>
              <w:rPr>
                <w:rFonts w:ascii="宋体" w:hAnsi="宋体" w:cs="宋体"/>
                <w:color w:val="auto"/>
                <w:szCs w:val="21"/>
                <w:highlight w:val="none"/>
              </w:rPr>
            </w:pPr>
          </w:p>
        </w:tc>
        <w:tc>
          <w:tcPr>
            <w:tcW w:w="1810" w:type="dxa"/>
            <w:vAlign w:val="center"/>
          </w:tcPr>
          <w:p w14:paraId="205B6B08">
            <w:pPr>
              <w:jc w:val="center"/>
              <w:rPr>
                <w:rFonts w:ascii="宋体" w:hAnsi="宋体" w:cs="宋体"/>
                <w:color w:val="auto"/>
                <w:szCs w:val="21"/>
                <w:highlight w:val="none"/>
              </w:rPr>
            </w:pPr>
          </w:p>
        </w:tc>
        <w:tc>
          <w:tcPr>
            <w:tcW w:w="665" w:type="dxa"/>
            <w:vAlign w:val="center"/>
          </w:tcPr>
          <w:p w14:paraId="1C46CD12">
            <w:pPr>
              <w:jc w:val="center"/>
              <w:rPr>
                <w:rFonts w:ascii="宋体" w:hAnsi="宋体" w:cs="宋体"/>
                <w:color w:val="auto"/>
                <w:szCs w:val="21"/>
                <w:highlight w:val="none"/>
              </w:rPr>
            </w:pPr>
          </w:p>
        </w:tc>
        <w:tc>
          <w:tcPr>
            <w:tcW w:w="1145" w:type="dxa"/>
            <w:vAlign w:val="center"/>
          </w:tcPr>
          <w:p w14:paraId="747F0B1B">
            <w:pPr>
              <w:jc w:val="center"/>
              <w:rPr>
                <w:rFonts w:ascii="宋体" w:hAnsi="宋体" w:cs="宋体"/>
                <w:color w:val="auto"/>
                <w:szCs w:val="21"/>
                <w:highlight w:val="none"/>
              </w:rPr>
            </w:pPr>
          </w:p>
        </w:tc>
        <w:tc>
          <w:tcPr>
            <w:tcW w:w="1065" w:type="dxa"/>
            <w:vAlign w:val="center"/>
          </w:tcPr>
          <w:p w14:paraId="5B301F74">
            <w:pPr>
              <w:jc w:val="center"/>
              <w:rPr>
                <w:rFonts w:ascii="宋体" w:hAnsi="宋体" w:cs="宋体"/>
                <w:color w:val="auto"/>
                <w:szCs w:val="21"/>
                <w:highlight w:val="none"/>
              </w:rPr>
            </w:pPr>
          </w:p>
        </w:tc>
        <w:tc>
          <w:tcPr>
            <w:tcW w:w="992" w:type="dxa"/>
            <w:vAlign w:val="center"/>
          </w:tcPr>
          <w:p w14:paraId="6FDB1366">
            <w:pPr>
              <w:jc w:val="center"/>
              <w:rPr>
                <w:rFonts w:ascii="宋体" w:hAnsi="宋体" w:cs="宋体"/>
                <w:color w:val="auto"/>
                <w:szCs w:val="21"/>
                <w:highlight w:val="none"/>
              </w:rPr>
            </w:pPr>
          </w:p>
        </w:tc>
        <w:tc>
          <w:tcPr>
            <w:tcW w:w="2060" w:type="dxa"/>
            <w:tcBorders>
              <w:right w:val="single" w:color="auto" w:sz="12" w:space="0"/>
            </w:tcBorders>
            <w:vAlign w:val="center"/>
          </w:tcPr>
          <w:p w14:paraId="0A4A4149">
            <w:pPr>
              <w:jc w:val="center"/>
              <w:rPr>
                <w:rFonts w:ascii="宋体" w:hAnsi="宋体" w:cs="宋体"/>
                <w:color w:val="auto"/>
                <w:szCs w:val="21"/>
                <w:highlight w:val="none"/>
              </w:rPr>
            </w:pPr>
          </w:p>
        </w:tc>
      </w:tr>
      <w:tr w14:paraId="0BCB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5" w:type="dxa"/>
            <w:tcBorders>
              <w:left w:val="single" w:color="auto" w:sz="12" w:space="0"/>
            </w:tcBorders>
            <w:vAlign w:val="center"/>
          </w:tcPr>
          <w:p w14:paraId="373AD8CD">
            <w:pPr>
              <w:jc w:val="center"/>
              <w:rPr>
                <w:rFonts w:ascii="宋体" w:hAnsi="宋体" w:cs="宋体"/>
                <w:color w:val="auto"/>
                <w:szCs w:val="21"/>
                <w:highlight w:val="none"/>
              </w:rPr>
            </w:pPr>
          </w:p>
        </w:tc>
        <w:tc>
          <w:tcPr>
            <w:tcW w:w="1810" w:type="dxa"/>
            <w:vAlign w:val="center"/>
          </w:tcPr>
          <w:p w14:paraId="6B331410">
            <w:pPr>
              <w:jc w:val="center"/>
              <w:rPr>
                <w:rFonts w:ascii="宋体" w:hAnsi="宋体" w:cs="宋体"/>
                <w:color w:val="auto"/>
                <w:szCs w:val="21"/>
                <w:highlight w:val="none"/>
              </w:rPr>
            </w:pPr>
          </w:p>
        </w:tc>
        <w:tc>
          <w:tcPr>
            <w:tcW w:w="665" w:type="dxa"/>
            <w:vAlign w:val="center"/>
          </w:tcPr>
          <w:p w14:paraId="42B16731">
            <w:pPr>
              <w:jc w:val="center"/>
              <w:rPr>
                <w:rFonts w:ascii="宋体" w:hAnsi="宋体" w:cs="宋体"/>
                <w:color w:val="auto"/>
                <w:szCs w:val="21"/>
                <w:highlight w:val="none"/>
              </w:rPr>
            </w:pPr>
          </w:p>
        </w:tc>
        <w:tc>
          <w:tcPr>
            <w:tcW w:w="1145" w:type="dxa"/>
            <w:vAlign w:val="center"/>
          </w:tcPr>
          <w:p w14:paraId="04484724">
            <w:pPr>
              <w:jc w:val="center"/>
              <w:rPr>
                <w:rFonts w:ascii="宋体" w:hAnsi="宋体" w:cs="宋体"/>
                <w:color w:val="auto"/>
                <w:szCs w:val="21"/>
                <w:highlight w:val="none"/>
              </w:rPr>
            </w:pPr>
          </w:p>
        </w:tc>
        <w:tc>
          <w:tcPr>
            <w:tcW w:w="1065" w:type="dxa"/>
            <w:vAlign w:val="center"/>
          </w:tcPr>
          <w:p w14:paraId="4BAB38E3">
            <w:pPr>
              <w:jc w:val="center"/>
              <w:rPr>
                <w:rFonts w:ascii="宋体" w:hAnsi="宋体" w:cs="宋体"/>
                <w:color w:val="auto"/>
                <w:szCs w:val="21"/>
                <w:highlight w:val="none"/>
              </w:rPr>
            </w:pPr>
          </w:p>
        </w:tc>
        <w:tc>
          <w:tcPr>
            <w:tcW w:w="992" w:type="dxa"/>
            <w:vAlign w:val="center"/>
          </w:tcPr>
          <w:p w14:paraId="16968016">
            <w:pPr>
              <w:jc w:val="center"/>
              <w:rPr>
                <w:rFonts w:ascii="宋体" w:hAnsi="宋体" w:cs="宋体"/>
                <w:color w:val="auto"/>
                <w:szCs w:val="21"/>
                <w:highlight w:val="none"/>
              </w:rPr>
            </w:pPr>
          </w:p>
        </w:tc>
        <w:tc>
          <w:tcPr>
            <w:tcW w:w="2060" w:type="dxa"/>
            <w:tcBorders>
              <w:right w:val="single" w:color="auto" w:sz="12" w:space="0"/>
            </w:tcBorders>
            <w:vAlign w:val="center"/>
          </w:tcPr>
          <w:p w14:paraId="08E73ED4">
            <w:pPr>
              <w:jc w:val="center"/>
              <w:rPr>
                <w:rFonts w:ascii="宋体" w:hAnsi="宋体" w:cs="宋体"/>
                <w:color w:val="auto"/>
                <w:szCs w:val="21"/>
                <w:highlight w:val="none"/>
              </w:rPr>
            </w:pPr>
          </w:p>
        </w:tc>
      </w:tr>
      <w:tr w14:paraId="4EAF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5" w:type="dxa"/>
            <w:tcBorders>
              <w:left w:val="single" w:color="auto" w:sz="12" w:space="0"/>
              <w:bottom w:val="single" w:color="auto" w:sz="12" w:space="0"/>
            </w:tcBorders>
            <w:vAlign w:val="center"/>
          </w:tcPr>
          <w:p w14:paraId="3B67A1D8">
            <w:pPr>
              <w:jc w:val="center"/>
              <w:rPr>
                <w:rFonts w:ascii="宋体" w:hAnsi="宋体" w:cs="宋体"/>
                <w:color w:val="auto"/>
                <w:szCs w:val="21"/>
                <w:highlight w:val="none"/>
              </w:rPr>
            </w:pPr>
          </w:p>
        </w:tc>
        <w:tc>
          <w:tcPr>
            <w:tcW w:w="1810" w:type="dxa"/>
            <w:tcBorders>
              <w:bottom w:val="single" w:color="auto" w:sz="12" w:space="0"/>
            </w:tcBorders>
            <w:vAlign w:val="center"/>
          </w:tcPr>
          <w:p w14:paraId="7FCC97A1">
            <w:pPr>
              <w:jc w:val="center"/>
              <w:rPr>
                <w:rFonts w:ascii="宋体" w:hAnsi="宋体" w:cs="宋体"/>
                <w:color w:val="auto"/>
                <w:szCs w:val="21"/>
                <w:highlight w:val="none"/>
              </w:rPr>
            </w:pPr>
          </w:p>
        </w:tc>
        <w:tc>
          <w:tcPr>
            <w:tcW w:w="665" w:type="dxa"/>
            <w:tcBorders>
              <w:bottom w:val="single" w:color="auto" w:sz="12" w:space="0"/>
            </w:tcBorders>
            <w:vAlign w:val="center"/>
          </w:tcPr>
          <w:p w14:paraId="266D5813">
            <w:pPr>
              <w:jc w:val="center"/>
              <w:rPr>
                <w:rFonts w:ascii="宋体" w:hAnsi="宋体" w:cs="宋体"/>
                <w:color w:val="auto"/>
                <w:szCs w:val="21"/>
                <w:highlight w:val="none"/>
              </w:rPr>
            </w:pPr>
          </w:p>
        </w:tc>
        <w:tc>
          <w:tcPr>
            <w:tcW w:w="1145" w:type="dxa"/>
            <w:tcBorders>
              <w:bottom w:val="single" w:color="auto" w:sz="12" w:space="0"/>
            </w:tcBorders>
            <w:vAlign w:val="center"/>
          </w:tcPr>
          <w:p w14:paraId="02BEAA91">
            <w:pPr>
              <w:jc w:val="center"/>
              <w:rPr>
                <w:rFonts w:ascii="宋体" w:hAnsi="宋体" w:cs="宋体"/>
                <w:color w:val="auto"/>
                <w:szCs w:val="21"/>
                <w:highlight w:val="none"/>
              </w:rPr>
            </w:pPr>
          </w:p>
        </w:tc>
        <w:tc>
          <w:tcPr>
            <w:tcW w:w="1065" w:type="dxa"/>
            <w:tcBorders>
              <w:bottom w:val="single" w:color="auto" w:sz="12" w:space="0"/>
            </w:tcBorders>
            <w:vAlign w:val="center"/>
          </w:tcPr>
          <w:p w14:paraId="4564ECB6">
            <w:pPr>
              <w:jc w:val="center"/>
              <w:rPr>
                <w:rFonts w:ascii="宋体" w:hAnsi="宋体" w:cs="宋体"/>
                <w:color w:val="auto"/>
                <w:szCs w:val="21"/>
                <w:highlight w:val="none"/>
              </w:rPr>
            </w:pPr>
          </w:p>
        </w:tc>
        <w:tc>
          <w:tcPr>
            <w:tcW w:w="992" w:type="dxa"/>
            <w:tcBorders>
              <w:bottom w:val="single" w:color="auto" w:sz="12" w:space="0"/>
            </w:tcBorders>
            <w:vAlign w:val="center"/>
          </w:tcPr>
          <w:p w14:paraId="1373DAE9">
            <w:pPr>
              <w:jc w:val="center"/>
              <w:rPr>
                <w:rFonts w:ascii="宋体" w:hAnsi="宋体" w:cs="宋体"/>
                <w:color w:val="auto"/>
                <w:szCs w:val="21"/>
                <w:highlight w:val="none"/>
              </w:rPr>
            </w:pPr>
          </w:p>
        </w:tc>
        <w:tc>
          <w:tcPr>
            <w:tcW w:w="2060" w:type="dxa"/>
            <w:tcBorders>
              <w:bottom w:val="single" w:color="auto" w:sz="12" w:space="0"/>
              <w:right w:val="single" w:color="auto" w:sz="12" w:space="0"/>
            </w:tcBorders>
            <w:vAlign w:val="center"/>
          </w:tcPr>
          <w:p w14:paraId="1C9AA45E">
            <w:pPr>
              <w:jc w:val="center"/>
              <w:rPr>
                <w:rFonts w:ascii="宋体" w:hAnsi="宋体" w:cs="宋体"/>
                <w:color w:val="auto"/>
                <w:szCs w:val="21"/>
                <w:highlight w:val="none"/>
              </w:rPr>
            </w:pPr>
          </w:p>
        </w:tc>
      </w:tr>
    </w:tbl>
    <w:p w14:paraId="109E76D3">
      <w:pPr>
        <w:adjustRightInd w:val="0"/>
        <w:snapToGrid w:val="0"/>
        <w:spacing w:line="360" w:lineRule="auto"/>
        <w:rPr>
          <w:rFonts w:ascii="宋体" w:hAnsi="宋体"/>
          <w:color w:val="auto"/>
          <w:szCs w:val="21"/>
          <w:highlight w:val="none"/>
        </w:rPr>
      </w:pPr>
    </w:p>
    <w:p w14:paraId="1CE5D8FC">
      <w:pPr>
        <w:pStyle w:val="3"/>
        <w:jc w:val="center"/>
        <w:rPr>
          <w:rFonts w:ascii="宋体" w:hAnsi="宋体"/>
          <w:color w:val="auto"/>
          <w:sz w:val="28"/>
          <w:szCs w:val="28"/>
          <w:highlight w:val="none"/>
        </w:rPr>
      </w:pPr>
      <w:r>
        <w:rPr>
          <w:rFonts w:ascii="宋体" w:hAnsi="宋体"/>
          <w:color w:val="auto"/>
          <w:szCs w:val="21"/>
          <w:highlight w:val="none"/>
        </w:rPr>
        <w:br w:type="page"/>
      </w:r>
      <w:bookmarkStart w:id="1923" w:name="_Toc14091"/>
      <w:bookmarkStart w:id="1924" w:name="_Toc3511"/>
      <w:bookmarkStart w:id="1925" w:name="_Toc109656634"/>
      <w:bookmarkStart w:id="1926" w:name="_Toc140957922"/>
      <w:bookmarkStart w:id="1927" w:name="_Toc189905412"/>
      <w:bookmarkStart w:id="1928" w:name="_Toc11451"/>
      <w:bookmarkStart w:id="1929" w:name="_Toc23191"/>
      <w:bookmarkStart w:id="1930" w:name="_Toc171282455"/>
      <w:bookmarkStart w:id="1931" w:name="_Toc2524"/>
      <w:bookmarkStart w:id="1932" w:name="_Toc19675"/>
      <w:bookmarkStart w:id="1933" w:name="_Toc193053758"/>
      <w:bookmarkStart w:id="1934" w:name="_Toc13514"/>
      <w:bookmarkStart w:id="1935" w:name="_Toc32196"/>
      <w:bookmarkStart w:id="1936" w:name="_Toc12109"/>
      <w:bookmarkStart w:id="1937" w:name="_Toc20538"/>
      <w:bookmarkStart w:id="1938" w:name="_Toc20655"/>
      <w:bookmarkStart w:id="1939" w:name="_Toc137408770"/>
      <w:bookmarkStart w:id="1940" w:name="_Toc108483452"/>
      <w:bookmarkStart w:id="1941" w:name="_Toc99299782"/>
      <w:bookmarkStart w:id="1942" w:name="_Toc118209479"/>
      <w:bookmarkStart w:id="1943" w:name="_Toc111543612"/>
      <w:bookmarkStart w:id="1944" w:name="_Toc166778385"/>
      <w:bookmarkStart w:id="1945" w:name="_Toc113350988"/>
      <w:bookmarkStart w:id="1946" w:name="_Toc16966"/>
      <w:bookmarkStart w:id="1947" w:name="_Toc26389"/>
      <w:bookmarkStart w:id="1948" w:name="_Toc5181"/>
      <w:bookmarkStart w:id="1949" w:name="_Toc8175"/>
      <w:bookmarkStart w:id="1950" w:name="_Toc8141"/>
      <w:bookmarkStart w:id="1951" w:name="_Toc8873"/>
      <w:bookmarkStart w:id="1952" w:name="_Toc79093730"/>
      <w:bookmarkStart w:id="1953" w:name="_Toc24858"/>
      <w:bookmarkStart w:id="1954" w:name="_Toc103979635"/>
      <w:r>
        <w:rPr>
          <w:rFonts w:hint="eastAsia" w:ascii="宋体" w:hAnsi="宋体"/>
          <w:color w:val="auto"/>
          <w:sz w:val="28"/>
          <w:szCs w:val="28"/>
          <w:highlight w:val="none"/>
        </w:rPr>
        <w:t>八、合同条款偏离表</w:t>
      </w:r>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p>
    <w:p w14:paraId="4F61F23D">
      <w:pPr>
        <w:adjustRightInd w:val="0"/>
        <w:snapToGrid w:val="0"/>
        <w:spacing w:line="360" w:lineRule="auto"/>
        <w:rPr>
          <w:rFonts w:ascii="宋体" w:hAnsi="宋体"/>
          <w:color w:val="auto"/>
          <w:szCs w:val="21"/>
          <w:highlight w:val="none"/>
        </w:rPr>
      </w:pPr>
    </w:p>
    <w:p w14:paraId="0DAF6152">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政府采购计划编号：                       项目名称：</w:t>
      </w:r>
    </w:p>
    <w:p w14:paraId="6AD0BF6A">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包号：                                   包名称： </w:t>
      </w:r>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569"/>
      </w:tblGrid>
      <w:tr w14:paraId="4AD878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5CE55046">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bCs/>
                <w:color w:val="auto"/>
                <w:szCs w:val="21"/>
                <w:highlight w:val="none"/>
              </w:rPr>
              <w:t>序</w:t>
            </w:r>
            <w:r>
              <w:rPr>
                <w:rFonts w:hint="eastAsia" w:ascii="宋体" w:hAnsi="宋体"/>
                <w:color w:val="auto"/>
                <w:szCs w:val="21"/>
                <w:highlight w:val="none"/>
              </w:rPr>
              <w:t>号</w:t>
            </w:r>
          </w:p>
        </w:tc>
        <w:tc>
          <w:tcPr>
            <w:tcW w:w="2410" w:type="dxa"/>
            <w:vAlign w:val="center"/>
          </w:tcPr>
          <w:p w14:paraId="2DC3F16C">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招标文件章节</w:t>
            </w:r>
            <w:r>
              <w:rPr>
                <w:rFonts w:hint="eastAsia" w:ascii="宋体" w:hAnsi="宋体"/>
                <w:bCs/>
                <w:color w:val="auto"/>
                <w:szCs w:val="21"/>
                <w:highlight w:val="none"/>
              </w:rPr>
              <w:t>条</w:t>
            </w:r>
            <w:r>
              <w:rPr>
                <w:rFonts w:hint="eastAsia" w:ascii="宋体" w:hAnsi="宋体"/>
                <w:color w:val="auto"/>
                <w:szCs w:val="21"/>
                <w:highlight w:val="none"/>
              </w:rPr>
              <w:t>款号</w:t>
            </w:r>
          </w:p>
        </w:tc>
        <w:tc>
          <w:tcPr>
            <w:tcW w:w="1985" w:type="dxa"/>
            <w:vAlign w:val="center"/>
          </w:tcPr>
          <w:p w14:paraId="25DFB57F">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highlight w:val="none"/>
              </w:rPr>
              <w:t>招标文件要求</w:t>
            </w:r>
          </w:p>
        </w:tc>
        <w:tc>
          <w:tcPr>
            <w:tcW w:w="2082" w:type="dxa"/>
            <w:tcBorders>
              <w:right w:val="single" w:color="auto" w:sz="4" w:space="0"/>
            </w:tcBorders>
            <w:vAlign w:val="center"/>
          </w:tcPr>
          <w:p w14:paraId="4D8A7EC3">
            <w:pPr>
              <w:adjustRightInd w:val="0"/>
              <w:snapToGrid w:val="0"/>
              <w:spacing w:before="50" w:line="360" w:lineRule="auto"/>
              <w:jc w:val="center"/>
              <w:rPr>
                <w:rFonts w:ascii="宋体" w:hAnsi="宋体"/>
                <w:color w:val="auto"/>
                <w:szCs w:val="21"/>
                <w:highlight w:val="none"/>
              </w:rPr>
            </w:pPr>
            <w:r>
              <w:rPr>
                <w:rFonts w:hint="eastAsia" w:ascii="宋体" w:hAnsi="宋体"/>
                <w:color w:val="auto"/>
                <w:highlight w:val="none"/>
              </w:rPr>
              <w:t>投标文件的应答</w:t>
            </w:r>
          </w:p>
        </w:tc>
        <w:tc>
          <w:tcPr>
            <w:tcW w:w="1569" w:type="dxa"/>
            <w:tcBorders>
              <w:left w:val="single" w:color="auto" w:sz="4" w:space="0"/>
            </w:tcBorders>
            <w:vAlign w:val="center"/>
          </w:tcPr>
          <w:p w14:paraId="0CB8A780">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偏离说明</w:t>
            </w:r>
          </w:p>
        </w:tc>
      </w:tr>
      <w:tr w14:paraId="2A97E7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926A309">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622F0D7B">
            <w:pPr>
              <w:adjustRightInd w:val="0"/>
              <w:snapToGrid w:val="0"/>
              <w:spacing w:before="50" w:line="360" w:lineRule="auto"/>
              <w:ind w:left="-88" w:leftChars="-42"/>
              <w:jc w:val="center"/>
              <w:rPr>
                <w:rFonts w:ascii="宋体" w:hAnsi="宋体"/>
                <w:color w:val="auto"/>
                <w:szCs w:val="21"/>
                <w:highlight w:val="none"/>
              </w:rPr>
            </w:pPr>
          </w:p>
        </w:tc>
        <w:tc>
          <w:tcPr>
            <w:tcW w:w="1985" w:type="dxa"/>
          </w:tcPr>
          <w:p w14:paraId="1FB7368A">
            <w:pPr>
              <w:adjustRightInd w:val="0"/>
              <w:snapToGrid w:val="0"/>
              <w:spacing w:before="50" w:line="360" w:lineRule="auto"/>
              <w:rPr>
                <w:rFonts w:ascii="宋体" w:hAnsi="宋体"/>
                <w:color w:val="auto"/>
                <w:highlight w:val="none"/>
              </w:rPr>
            </w:pPr>
          </w:p>
        </w:tc>
        <w:tc>
          <w:tcPr>
            <w:tcW w:w="2082" w:type="dxa"/>
            <w:tcBorders>
              <w:right w:val="single" w:color="auto" w:sz="4" w:space="0"/>
            </w:tcBorders>
          </w:tcPr>
          <w:p w14:paraId="625CD9CA">
            <w:pPr>
              <w:adjustRightInd w:val="0"/>
              <w:snapToGrid w:val="0"/>
              <w:spacing w:before="50" w:line="360" w:lineRule="auto"/>
              <w:rPr>
                <w:rFonts w:ascii="宋体" w:hAnsi="宋体"/>
                <w:color w:val="auto"/>
                <w:highlight w:val="none"/>
              </w:rPr>
            </w:pPr>
          </w:p>
        </w:tc>
        <w:tc>
          <w:tcPr>
            <w:tcW w:w="1569" w:type="dxa"/>
            <w:tcBorders>
              <w:left w:val="single" w:color="auto" w:sz="4" w:space="0"/>
            </w:tcBorders>
          </w:tcPr>
          <w:p w14:paraId="474C4FA5">
            <w:pPr>
              <w:adjustRightInd w:val="0"/>
              <w:snapToGrid w:val="0"/>
              <w:spacing w:before="50" w:line="360" w:lineRule="auto"/>
              <w:ind w:left="-88" w:leftChars="-42"/>
              <w:jc w:val="center"/>
              <w:rPr>
                <w:rFonts w:ascii="宋体" w:hAnsi="宋体"/>
                <w:color w:val="auto"/>
                <w:szCs w:val="21"/>
                <w:highlight w:val="none"/>
              </w:rPr>
            </w:pPr>
          </w:p>
        </w:tc>
      </w:tr>
      <w:tr w14:paraId="41184E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4577F5C">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4672204C">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4240B97B">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3924ADBE">
            <w:pPr>
              <w:adjustRightInd w:val="0"/>
              <w:snapToGrid w:val="0"/>
              <w:spacing w:before="50" w:line="360" w:lineRule="auto"/>
              <w:ind w:left="-88" w:leftChars="-42"/>
              <w:jc w:val="center"/>
              <w:rPr>
                <w:rFonts w:ascii="宋体" w:hAnsi="宋体"/>
                <w:color w:val="auto"/>
                <w:szCs w:val="21"/>
                <w:highlight w:val="none"/>
              </w:rPr>
            </w:pPr>
          </w:p>
        </w:tc>
        <w:tc>
          <w:tcPr>
            <w:tcW w:w="1569" w:type="dxa"/>
            <w:tcBorders>
              <w:left w:val="single" w:color="auto" w:sz="4" w:space="0"/>
            </w:tcBorders>
            <w:vAlign w:val="center"/>
          </w:tcPr>
          <w:p w14:paraId="4188E820">
            <w:pPr>
              <w:adjustRightInd w:val="0"/>
              <w:snapToGrid w:val="0"/>
              <w:spacing w:before="50" w:line="360" w:lineRule="auto"/>
              <w:ind w:left="-88" w:leftChars="-42"/>
              <w:jc w:val="center"/>
              <w:rPr>
                <w:rFonts w:ascii="宋体" w:hAnsi="宋体"/>
                <w:color w:val="auto"/>
                <w:szCs w:val="21"/>
                <w:highlight w:val="none"/>
              </w:rPr>
            </w:pPr>
          </w:p>
        </w:tc>
      </w:tr>
      <w:tr w14:paraId="07030B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4BD7A86">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FAAEFD3">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0230A2F4">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6E06D3BC">
            <w:pPr>
              <w:adjustRightInd w:val="0"/>
              <w:snapToGrid w:val="0"/>
              <w:spacing w:before="50" w:line="360" w:lineRule="auto"/>
              <w:ind w:left="-88" w:leftChars="-42"/>
              <w:jc w:val="center"/>
              <w:rPr>
                <w:rFonts w:ascii="宋体" w:hAnsi="宋体"/>
                <w:color w:val="auto"/>
                <w:szCs w:val="21"/>
                <w:highlight w:val="none"/>
              </w:rPr>
            </w:pPr>
          </w:p>
        </w:tc>
        <w:tc>
          <w:tcPr>
            <w:tcW w:w="1569" w:type="dxa"/>
            <w:tcBorders>
              <w:left w:val="single" w:color="auto" w:sz="4" w:space="0"/>
            </w:tcBorders>
            <w:vAlign w:val="center"/>
          </w:tcPr>
          <w:p w14:paraId="1FDB9000">
            <w:pPr>
              <w:adjustRightInd w:val="0"/>
              <w:snapToGrid w:val="0"/>
              <w:spacing w:before="50" w:line="360" w:lineRule="auto"/>
              <w:ind w:left="-88" w:leftChars="-42"/>
              <w:jc w:val="center"/>
              <w:rPr>
                <w:rFonts w:ascii="宋体" w:hAnsi="宋体"/>
                <w:color w:val="auto"/>
                <w:szCs w:val="21"/>
                <w:highlight w:val="none"/>
              </w:rPr>
            </w:pPr>
          </w:p>
        </w:tc>
      </w:tr>
      <w:tr w14:paraId="10B469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3AD7E40">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162783D9">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6D1F29D2">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68BFEF65">
            <w:pPr>
              <w:adjustRightInd w:val="0"/>
              <w:snapToGrid w:val="0"/>
              <w:spacing w:before="50" w:line="360" w:lineRule="auto"/>
              <w:ind w:left="-88" w:leftChars="-42"/>
              <w:jc w:val="center"/>
              <w:rPr>
                <w:rFonts w:ascii="宋体" w:hAnsi="宋体"/>
                <w:color w:val="auto"/>
                <w:szCs w:val="21"/>
                <w:highlight w:val="none"/>
              </w:rPr>
            </w:pPr>
          </w:p>
        </w:tc>
        <w:tc>
          <w:tcPr>
            <w:tcW w:w="1569" w:type="dxa"/>
            <w:tcBorders>
              <w:left w:val="single" w:color="auto" w:sz="4" w:space="0"/>
            </w:tcBorders>
            <w:vAlign w:val="center"/>
          </w:tcPr>
          <w:p w14:paraId="6064DCC4">
            <w:pPr>
              <w:adjustRightInd w:val="0"/>
              <w:snapToGrid w:val="0"/>
              <w:spacing w:before="50" w:line="360" w:lineRule="auto"/>
              <w:ind w:left="-88" w:leftChars="-42"/>
              <w:jc w:val="center"/>
              <w:rPr>
                <w:rFonts w:ascii="宋体" w:hAnsi="宋体"/>
                <w:color w:val="auto"/>
                <w:szCs w:val="21"/>
                <w:highlight w:val="none"/>
              </w:rPr>
            </w:pPr>
          </w:p>
        </w:tc>
      </w:tr>
      <w:tr w14:paraId="2CA1F3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1707C46">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7DB60C13">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61E89C42">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4D57BE83">
            <w:pPr>
              <w:adjustRightInd w:val="0"/>
              <w:snapToGrid w:val="0"/>
              <w:spacing w:before="50" w:line="360" w:lineRule="auto"/>
              <w:ind w:left="-88" w:leftChars="-42"/>
              <w:jc w:val="center"/>
              <w:rPr>
                <w:rFonts w:ascii="宋体" w:hAnsi="宋体"/>
                <w:color w:val="auto"/>
                <w:szCs w:val="21"/>
                <w:highlight w:val="none"/>
              </w:rPr>
            </w:pPr>
          </w:p>
        </w:tc>
        <w:tc>
          <w:tcPr>
            <w:tcW w:w="1569" w:type="dxa"/>
            <w:tcBorders>
              <w:left w:val="single" w:color="auto" w:sz="4" w:space="0"/>
            </w:tcBorders>
            <w:vAlign w:val="center"/>
          </w:tcPr>
          <w:p w14:paraId="69E05236">
            <w:pPr>
              <w:adjustRightInd w:val="0"/>
              <w:snapToGrid w:val="0"/>
              <w:spacing w:before="50" w:line="360" w:lineRule="auto"/>
              <w:ind w:left="-88" w:leftChars="-42"/>
              <w:jc w:val="center"/>
              <w:rPr>
                <w:rFonts w:ascii="宋体" w:hAnsi="宋体"/>
                <w:color w:val="auto"/>
                <w:szCs w:val="21"/>
                <w:highlight w:val="none"/>
              </w:rPr>
            </w:pPr>
          </w:p>
        </w:tc>
      </w:tr>
      <w:tr w14:paraId="5D339F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0504C5B">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6105ABB7">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61A1414F">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22196263">
            <w:pPr>
              <w:adjustRightInd w:val="0"/>
              <w:snapToGrid w:val="0"/>
              <w:spacing w:before="50" w:line="360" w:lineRule="auto"/>
              <w:ind w:left="-88" w:leftChars="-42"/>
              <w:jc w:val="center"/>
              <w:rPr>
                <w:rFonts w:ascii="宋体" w:hAnsi="宋体"/>
                <w:color w:val="auto"/>
                <w:szCs w:val="21"/>
                <w:highlight w:val="none"/>
              </w:rPr>
            </w:pPr>
          </w:p>
        </w:tc>
        <w:tc>
          <w:tcPr>
            <w:tcW w:w="1569" w:type="dxa"/>
            <w:tcBorders>
              <w:left w:val="single" w:color="auto" w:sz="4" w:space="0"/>
            </w:tcBorders>
            <w:vAlign w:val="center"/>
          </w:tcPr>
          <w:p w14:paraId="29D562AC">
            <w:pPr>
              <w:adjustRightInd w:val="0"/>
              <w:snapToGrid w:val="0"/>
              <w:spacing w:before="50" w:line="360" w:lineRule="auto"/>
              <w:ind w:left="-88" w:leftChars="-42"/>
              <w:jc w:val="center"/>
              <w:rPr>
                <w:rFonts w:ascii="宋体" w:hAnsi="宋体"/>
                <w:color w:val="auto"/>
                <w:szCs w:val="21"/>
                <w:highlight w:val="none"/>
              </w:rPr>
            </w:pPr>
          </w:p>
        </w:tc>
      </w:tr>
      <w:tr w14:paraId="49BE79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B585B1A">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4CA5BB66">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20A1C704">
            <w:pPr>
              <w:adjustRightInd w:val="0"/>
              <w:snapToGrid w:val="0"/>
              <w:spacing w:before="50" w:line="360" w:lineRule="auto"/>
              <w:ind w:left="-88" w:leftChars="-42"/>
              <w:jc w:val="center"/>
              <w:rPr>
                <w:rFonts w:ascii="宋体" w:hAnsi="宋体"/>
                <w:color w:val="auto"/>
                <w:szCs w:val="21"/>
                <w:highlight w:val="none"/>
              </w:rPr>
            </w:pPr>
          </w:p>
        </w:tc>
        <w:tc>
          <w:tcPr>
            <w:tcW w:w="3651" w:type="dxa"/>
            <w:gridSpan w:val="2"/>
            <w:vAlign w:val="center"/>
          </w:tcPr>
          <w:p w14:paraId="0574D9D7">
            <w:pPr>
              <w:adjustRightInd w:val="0"/>
              <w:snapToGrid w:val="0"/>
              <w:spacing w:before="50"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投标人保证：除本合同条款偏离表列出的偏离外，我单位对招标文件的其他商务、合同条款完全响应，无偏离。</w:t>
            </w:r>
          </w:p>
        </w:tc>
      </w:tr>
    </w:tbl>
    <w:p w14:paraId="57E9DEC4">
      <w:pPr>
        <w:adjustRightInd w:val="0"/>
        <w:snapToGrid w:val="0"/>
        <w:spacing w:line="360" w:lineRule="auto"/>
        <w:rPr>
          <w:rFonts w:ascii="宋体" w:hAnsi="宋体"/>
          <w:color w:val="auto"/>
          <w:szCs w:val="21"/>
          <w:highlight w:val="none"/>
        </w:rPr>
      </w:pPr>
      <w:r>
        <w:rPr>
          <w:rFonts w:hint="eastAsia" w:ascii="宋体" w:hAnsi="宋体"/>
          <w:b/>
          <w:color w:val="auto"/>
          <w:szCs w:val="21"/>
          <w:highlight w:val="none"/>
        </w:rPr>
        <w:t>备注</w:t>
      </w:r>
      <w:r>
        <w:rPr>
          <w:rFonts w:hint="eastAsia" w:ascii="宋体" w:hAnsi="宋体"/>
          <w:color w:val="auto"/>
          <w:szCs w:val="21"/>
          <w:highlight w:val="none"/>
        </w:rPr>
        <w:t>：（1）投标人应根据招标文件第六章“政府采购合同”填写本表；</w:t>
      </w:r>
    </w:p>
    <w:p w14:paraId="6A67C72D">
      <w:p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投标人如果对招标文件第六章“政府采购合同”的响应有偏离，应将偏离条款逐条如实应答，并作出说明；如没有偏离，则注明无偏离即可；</w:t>
      </w:r>
    </w:p>
    <w:p w14:paraId="721A2F1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（3）如不提供此表，则视为投标人不满足招标文件第六章的所有条款要求，其</w:t>
      </w:r>
      <w:r>
        <w:rPr>
          <w:rFonts w:hint="eastAsia" w:ascii="宋体" w:hAnsi="宋体"/>
          <w:b/>
          <w:color w:val="auto"/>
          <w:szCs w:val="21"/>
          <w:highlight w:val="none"/>
        </w:rPr>
        <w:t>投标无效</w:t>
      </w:r>
      <w:r>
        <w:rPr>
          <w:rFonts w:hint="eastAsia" w:ascii="宋体" w:hAnsi="宋体"/>
          <w:color w:val="auto"/>
          <w:szCs w:val="21"/>
          <w:highlight w:val="none"/>
        </w:rPr>
        <w:t>。</w:t>
      </w:r>
    </w:p>
    <w:p w14:paraId="41ED0E0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0B5FC71E">
      <w:pPr>
        <w:adjustRightInd w:val="0"/>
        <w:snapToGrid w:val="0"/>
        <w:spacing w:before="50" w:line="360" w:lineRule="auto"/>
        <w:rPr>
          <w:rFonts w:ascii="宋体" w:hAnsi="宋体"/>
          <w:color w:val="auto"/>
          <w:szCs w:val="21"/>
          <w:highlight w:val="none"/>
        </w:rPr>
      </w:pPr>
    </w:p>
    <w:p w14:paraId="738892AF">
      <w:pPr>
        <w:adjustRightInd w:val="0"/>
        <w:snapToGrid w:val="0"/>
        <w:spacing w:before="50" w:line="360" w:lineRule="auto"/>
        <w:rPr>
          <w:rFonts w:ascii="宋体" w:hAnsi="宋体"/>
          <w:color w:val="auto"/>
          <w:szCs w:val="21"/>
          <w:highlight w:val="none"/>
        </w:rPr>
      </w:pPr>
    </w:p>
    <w:p w14:paraId="4A49BACF">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5EFF6F9C">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3A2CC814">
      <w:pPr>
        <w:adjustRightInd w:val="0"/>
        <w:snapToGrid w:val="0"/>
        <w:rPr>
          <w:rFonts w:ascii="宋体" w:hAnsi="宋体"/>
          <w:color w:val="auto"/>
          <w:szCs w:val="21"/>
          <w:highlight w:val="none"/>
        </w:rPr>
      </w:pPr>
      <w:r>
        <w:rPr>
          <w:rFonts w:hint="eastAsia" w:ascii="宋体" w:hAnsi="宋体"/>
          <w:color w:val="auto"/>
          <w:szCs w:val="21"/>
          <w:highlight w:val="none"/>
        </w:rPr>
        <w:t>日       期：年月_日</w:t>
      </w:r>
      <w:r>
        <w:rPr>
          <w:rFonts w:ascii="宋体" w:hAnsi="宋体"/>
          <w:color w:val="auto"/>
          <w:sz w:val="28"/>
          <w:szCs w:val="28"/>
          <w:highlight w:val="none"/>
        </w:rPr>
        <w:br w:type="page"/>
      </w:r>
    </w:p>
    <w:p w14:paraId="1F8B70DE">
      <w:pPr>
        <w:adjustRightInd w:val="0"/>
        <w:snapToGrid w:val="0"/>
        <w:spacing w:beforeLines="50" w:line="360" w:lineRule="auto"/>
        <w:jc w:val="center"/>
        <w:outlineLvl w:val="1"/>
        <w:rPr>
          <w:rFonts w:ascii="宋体" w:hAnsi="宋体"/>
          <w:color w:val="auto"/>
          <w:sz w:val="28"/>
          <w:szCs w:val="28"/>
          <w:highlight w:val="none"/>
        </w:rPr>
      </w:pPr>
      <w:bookmarkStart w:id="1955" w:name="_Toc99299783"/>
      <w:bookmarkStart w:id="1956" w:name="_Toc31825"/>
      <w:bookmarkStart w:id="1957" w:name="_Toc30602"/>
      <w:bookmarkStart w:id="1958" w:name="_Toc111543613"/>
      <w:bookmarkStart w:id="1959" w:name="_Toc23311"/>
      <w:bookmarkStart w:id="1960" w:name="_Toc15742"/>
      <w:bookmarkStart w:id="1961" w:name="_Toc1877"/>
      <w:bookmarkStart w:id="1962" w:name="_Toc103979636"/>
      <w:bookmarkStart w:id="1963" w:name="_Toc109656635"/>
      <w:bookmarkStart w:id="1964" w:name="_Toc16231"/>
      <w:bookmarkStart w:id="1965" w:name="_Toc140957923"/>
      <w:bookmarkStart w:id="1966" w:name="_Toc14192"/>
      <w:bookmarkStart w:id="1967" w:name="_Toc108483453"/>
      <w:bookmarkStart w:id="1968" w:name="_Toc4990"/>
      <w:bookmarkStart w:id="1969" w:name="_Toc22481"/>
      <w:bookmarkStart w:id="1970" w:name="_Toc166778386"/>
      <w:bookmarkStart w:id="1971" w:name="_Toc9121"/>
      <w:bookmarkStart w:id="1972" w:name="_Toc8003"/>
      <w:bookmarkStart w:id="1973" w:name="_Toc79093731"/>
      <w:bookmarkStart w:id="1974" w:name="_Toc14870"/>
      <w:bookmarkStart w:id="1975" w:name="_Toc189905413"/>
      <w:bookmarkStart w:id="1976" w:name="_Toc13025"/>
      <w:bookmarkStart w:id="1977" w:name="_Toc5052"/>
      <w:bookmarkStart w:id="1978" w:name="_Toc171282456"/>
      <w:bookmarkStart w:id="1979" w:name="_Toc31741"/>
      <w:bookmarkStart w:id="1980" w:name="_Toc193053759"/>
      <w:bookmarkStart w:id="1981" w:name="_Toc3250"/>
      <w:bookmarkStart w:id="1982" w:name="_Toc16829"/>
      <w:bookmarkStart w:id="1983" w:name="_Toc113350989"/>
      <w:bookmarkStart w:id="1984" w:name="_Toc118209480"/>
      <w:bookmarkStart w:id="1985" w:name="_Toc137408771"/>
      <w:r>
        <w:rPr>
          <w:rFonts w:hint="eastAsia" w:ascii="宋体" w:hAnsi="宋体"/>
          <w:color w:val="auto"/>
          <w:sz w:val="28"/>
          <w:szCs w:val="28"/>
          <w:highlight w:val="none"/>
        </w:rPr>
        <w:t>九、采购需求偏离表</w:t>
      </w:r>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p>
    <w:p w14:paraId="06BAFC45">
      <w:pPr>
        <w:adjustRightInd w:val="0"/>
        <w:snapToGrid w:val="0"/>
        <w:spacing w:line="360" w:lineRule="auto"/>
        <w:rPr>
          <w:rFonts w:ascii="宋体" w:hAnsi="宋体"/>
          <w:color w:val="auto"/>
          <w:szCs w:val="21"/>
          <w:highlight w:val="none"/>
        </w:rPr>
      </w:pPr>
    </w:p>
    <w:p w14:paraId="1D25273A">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政府采购计划编号：                       项目名称：</w:t>
      </w:r>
    </w:p>
    <w:p w14:paraId="1223C7DC">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包号：                                   包名称： </w:t>
      </w:r>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312"/>
      </w:tblGrid>
      <w:tr w14:paraId="2750A8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46060FC5">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bCs/>
                <w:color w:val="auto"/>
                <w:szCs w:val="21"/>
                <w:highlight w:val="none"/>
              </w:rPr>
              <w:t>序</w:t>
            </w:r>
            <w:r>
              <w:rPr>
                <w:rFonts w:hint="eastAsia" w:ascii="宋体" w:hAnsi="宋体"/>
                <w:color w:val="auto"/>
                <w:szCs w:val="21"/>
                <w:highlight w:val="none"/>
              </w:rPr>
              <w:t>号</w:t>
            </w:r>
          </w:p>
        </w:tc>
        <w:tc>
          <w:tcPr>
            <w:tcW w:w="2410" w:type="dxa"/>
            <w:vAlign w:val="center"/>
          </w:tcPr>
          <w:p w14:paraId="1BBEEC60">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招标文件章节</w:t>
            </w:r>
            <w:r>
              <w:rPr>
                <w:rFonts w:hint="eastAsia" w:ascii="宋体" w:hAnsi="宋体"/>
                <w:bCs/>
                <w:color w:val="auto"/>
                <w:szCs w:val="21"/>
                <w:highlight w:val="none"/>
              </w:rPr>
              <w:t>条</w:t>
            </w:r>
            <w:r>
              <w:rPr>
                <w:rFonts w:hint="eastAsia" w:ascii="宋体" w:hAnsi="宋体"/>
                <w:color w:val="auto"/>
                <w:szCs w:val="21"/>
                <w:highlight w:val="none"/>
              </w:rPr>
              <w:t>款号</w:t>
            </w:r>
          </w:p>
        </w:tc>
        <w:tc>
          <w:tcPr>
            <w:tcW w:w="1985" w:type="dxa"/>
            <w:tcBorders>
              <w:right w:val="single" w:color="auto" w:sz="4" w:space="0"/>
            </w:tcBorders>
          </w:tcPr>
          <w:p w14:paraId="74898B5C">
            <w:pPr>
              <w:adjustRightInd w:val="0"/>
              <w:snapToGrid w:val="0"/>
              <w:spacing w:before="50" w:line="360" w:lineRule="auto"/>
              <w:jc w:val="center"/>
              <w:rPr>
                <w:rFonts w:ascii="宋体" w:hAnsi="宋体"/>
                <w:color w:val="auto"/>
                <w:highlight w:val="none"/>
              </w:rPr>
            </w:pPr>
            <w:r>
              <w:rPr>
                <w:rFonts w:hint="eastAsia" w:ascii="宋体" w:hAnsi="宋体"/>
                <w:color w:val="auto"/>
                <w:highlight w:val="none"/>
              </w:rPr>
              <w:t>招标文件要求</w:t>
            </w:r>
          </w:p>
        </w:tc>
        <w:tc>
          <w:tcPr>
            <w:tcW w:w="2126" w:type="dxa"/>
            <w:tcBorders>
              <w:left w:val="single" w:color="auto" w:sz="4" w:space="0"/>
            </w:tcBorders>
          </w:tcPr>
          <w:p w14:paraId="777421FD">
            <w:pPr>
              <w:adjustRightInd w:val="0"/>
              <w:snapToGrid w:val="0"/>
              <w:spacing w:before="50" w:line="360" w:lineRule="auto"/>
              <w:jc w:val="center"/>
              <w:rPr>
                <w:rFonts w:ascii="宋体" w:hAnsi="宋体"/>
                <w:color w:val="auto"/>
                <w:highlight w:val="none"/>
              </w:rPr>
            </w:pPr>
            <w:r>
              <w:rPr>
                <w:rFonts w:hint="eastAsia" w:ascii="宋体" w:hAnsi="宋体"/>
                <w:color w:val="auto"/>
                <w:highlight w:val="none"/>
              </w:rPr>
              <w:t>投标文件应答</w:t>
            </w:r>
          </w:p>
        </w:tc>
        <w:tc>
          <w:tcPr>
            <w:tcW w:w="1312" w:type="dxa"/>
            <w:vAlign w:val="center"/>
          </w:tcPr>
          <w:p w14:paraId="11AEF9FD">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偏离说明</w:t>
            </w:r>
          </w:p>
        </w:tc>
      </w:tr>
      <w:tr w14:paraId="5A0CC3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014C2DC">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7C7EAF1D">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3BF9BEC0">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27463C1B">
            <w:pPr>
              <w:adjustRightInd w:val="0"/>
              <w:snapToGrid w:val="0"/>
              <w:spacing w:before="50" w:line="360" w:lineRule="auto"/>
              <w:ind w:left="-88" w:leftChars="-42"/>
              <w:jc w:val="center"/>
              <w:rPr>
                <w:rFonts w:ascii="宋体" w:hAnsi="宋体"/>
                <w:color w:val="auto"/>
                <w:szCs w:val="21"/>
                <w:highlight w:val="none"/>
              </w:rPr>
            </w:pPr>
          </w:p>
        </w:tc>
        <w:tc>
          <w:tcPr>
            <w:tcW w:w="1312" w:type="dxa"/>
            <w:vAlign w:val="center"/>
          </w:tcPr>
          <w:p w14:paraId="20940AC9">
            <w:pPr>
              <w:adjustRightInd w:val="0"/>
              <w:snapToGrid w:val="0"/>
              <w:spacing w:before="50" w:line="360" w:lineRule="auto"/>
              <w:ind w:left="-88" w:leftChars="-42"/>
              <w:jc w:val="center"/>
              <w:rPr>
                <w:rFonts w:ascii="宋体" w:hAnsi="宋体"/>
                <w:color w:val="auto"/>
                <w:szCs w:val="21"/>
                <w:highlight w:val="none"/>
              </w:rPr>
            </w:pPr>
          </w:p>
        </w:tc>
      </w:tr>
      <w:tr w14:paraId="768854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B59CFE1">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56167F9">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75E3CDAF">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3009D6F3">
            <w:pPr>
              <w:adjustRightInd w:val="0"/>
              <w:snapToGrid w:val="0"/>
              <w:spacing w:before="50" w:line="360" w:lineRule="auto"/>
              <w:ind w:left="-88" w:leftChars="-42"/>
              <w:jc w:val="center"/>
              <w:rPr>
                <w:rFonts w:ascii="宋体" w:hAnsi="宋体"/>
                <w:color w:val="auto"/>
                <w:szCs w:val="21"/>
                <w:highlight w:val="none"/>
              </w:rPr>
            </w:pPr>
          </w:p>
        </w:tc>
        <w:tc>
          <w:tcPr>
            <w:tcW w:w="1312" w:type="dxa"/>
            <w:vAlign w:val="center"/>
          </w:tcPr>
          <w:p w14:paraId="44D86B94">
            <w:pPr>
              <w:adjustRightInd w:val="0"/>
              <w:snapToGrid w:val="0"/>
              <w:spacing w:before="50" w:line="360" w:lineRule="auto"/>
              <w:ind w:left="-88" w:leftChars="-42"/>
              <w:jc w:val="center"/>
              <w:rPr>
                <w:rFonts w:ascii="宋体" w:hAnsi="宋体"/>
                <w:color w:val="auto"/>
                <w:szCs w:val="21"/>
                <w:highlight w:val="none"/>
              </w:rPr>
            </w:pPr>
          </w:p>
        </w:tc>
      </w:tr>
      <w:tr w14:paraId="767B83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9962EF4">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C7DA372">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11077DA1">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1A5C0EDD">
            <w:pPr>
              <w:adjustRightInd w:val="0"/>
              <w:snapToGrid w:val="0"/>
              <w:spacing w:before="50" w:line="360" w:lineRule="auto"/>
              <w:ind w:left="-88" w:leftChars="-42"/>
              <w:jc w:val="center"/>
              <w:rPr>
                <w:rFonts w:ascii="宋体" w:hAnsi="宋体"/>
                <w:color w:val="auto"/>
                <w:szCs w:val="21"/>
                <w:highlight w:val="none"/>
              </w:rPr>
            </w:pPr>
          </w:p>
        </w:tc>
        <w:tc>
          <w:tcPr>
            <w:tcW w:w="1312" w:type="dxa"/>
            <w:vAlign w:val="center"/>
          </w:tcPr>
          <w:p w14:paraId="6648C73E">
            <w:pPr>
              <w:adjustRightInd w:val="0"/>
              <w:snapToGrid w:val="0"/>
              <w:spacing w:before="50" w:line="360" w:lineRule="auto"/>
              <w:ind w:left="-88" w:leftChars="-42"/>
              <w:jc w:val="center"/>
              <w:rPr>
                <w:rFonts w:ascii="宋体" w:hAnsi="宋体"/>
                <w:color w:val="auto"/>
                <w:szCs w:val="21"/>
                <w:highlight w:val="none"/>
              </w:rPr>
            </w:pPr>
          </w:p>
        </w:tc>
      </w:tr>
      <w:tr w14:paraId="789891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44F287C">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78A82F61">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01C13248">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5D5F9E83">
            <w:pPr>
              <w:adjustRightInd w:val="0"/>
              <w:snapToGrid w:val="0"/>
              <w:spacing w:before="50" w:line="360" w:lineRule="auto"/>
              <w:ind w:left="-88" w:leftChars="-42"/>
              <w:jc w:val="center"/>
              <w:rPr>
                <w:rFonts w:ascii="宋体" w:hAnsi="宋体"/>
                <w:color w:val="auto"/>
                <w:szCs w:val="21"/>
                <w:highlight w:val="none"/>
              </w:rPr>
            </w:pPr>
          </w:p>
        </w:tc>
        <w:tc>
          <w:tcPr>
            <w:tcW w:w="1312" w:type="dxa"/>
            <w:vAlign w:val="center"/>
          </w:tcPr>
          <w:p w14:paraId="02EADA4E">
            <w:pPr>
              <w:adjustRightInd w:val="0"/>
              <w:snapToGrid w:val="0"/>
              <w:spacing w:before="50" w:line="360" w:lineRule="auto"/>
              <w:ind w:left="-88" w:leftChars="-42"/>
              <w:jc w:val="center"/>
              <w:rPr>
                <w:rFonts w:ascii="宋体" w:hAnsi="宋体"/>
                <w:color w:val="auto"/>
                <w:szCs w:val="21"/>
                <w:highlight w:val="none"/>
              </w:rPr>
            </w:pPr>
          </w:p>
        </w:tc>
      </w:tr>
      <w:tr w14:paraId="702C49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5290DC0">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55599ADA">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53C2DF72">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5D058E1D">
            <w:pPr>
              <w:adjustRightInd w:val="0"/>
              <w:snapToGrid w:val="0"/>
              <w:spacing w:before="50" w:line="360" w:lineRule="auto"/>
              <w:ind w:left="-88" w:leftChars="-42"/>
              <w:jc w:val="center"/>
              <w:rPr>
                <w:rFonts w:ascii="宋体" w:hAnsi="宋体"/>
                <w:color w:val="auto"/>
                <w:szCs w:val="21"/>
                <w:highlight w:val="none"/>
              </w:rPr>
            </w:pPr>
          </w:p>
        </w:tc>
        <w:tc>
          <w:tcPr>
            <w:tcW w:w="1312" w:type="dxa"/>
            <w:vAlign w:val="center"/>
          </w:tcPr>
          <w:p w14:paraId="5811AE34">
            <w:pPr>
              <w:adjustRightInd w:val="0"/>
              <w:snapToGrid w:val="0"/>
              <w:spacing w:before="50" w:line="360" w:lineRule="auto"/>
              <w:ind w:left="-88" w:leftChars="-42"/>
              <w:jc w:val="center"/>
              <w:rPr>
                <w:rFonts w:ascii="宋体" w:hAnsi="宋体"/>
                <w:color w:val="auto"/>
                <w:szCs w:val="21"/>
                <w:highlight w:val="none"/>
              </w:rPr>
            </w:pPr>
          </w:p>
        </w:tc>
      </w:tr>
      <w:tr w14:paraId="085611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E9AD090">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1825E423">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73A7C088">
            <w:pPr>
              <w:adjustRightInd w:val="0"/>
              <w:snapToGrid w:val="0"/>
              <w:spacing w:before="50" w:line="360" w:lineRule="auto"/>
              <w:ind w:left="-88" w:leftChars="-42"/>
              <w:jc w:val="center"/>
              <w:rPr>
                <w:rFonts w:ascii="宋体" w:hAnsi="宋体"/>
                <w:color w:val="auto"/>
                <w:szCs w:val="21"/>
                <w:highlight w:val="none"/>
              </w:rPr>
            </w:pPr>
          </w:p>
        </w:tc>
        <w:tc>
          <w:tcPr>
            <w:tcW w:w="3438" w:type="dxa"/>
            <w:gridSpan w:val="2"/>
            <w:tcBorders>
              <w:left w:val="single" w:color="auto" w:sz="4" w:space="0"/>
            </w:tcBorders>
            <w:vAlign w:val="center"/>
          </w:tcPr>
          <w:p w14:paraId="56F5EA59">
            <w:pPr>
              <w:adjustRightInd w:val="0"/>
              <w:snapToGrid w:val="0"/>
              <w:spacing w:before="50" w:line="360" w:lineRule="auto"/>
              <w:ind w:firstLine="422" w:firstLineChars="200"/>
              <w:rPr>
                <w:rFonts w:ascii="宋体" w:hAnsi="宋体"/>
                <w:color w:val="auto"/>
                <w:szCs w:val="21"/>
                <w:highlight w:val="none"/>
              </w:rPr>
            </w:pPr>
            <w:r>
              <w:rPr>
                <w:rFonts w:hint="eastAsia" w:ascii="宋体" w:hAnsi="宋体"/>
                <w:b/>
                <w:color w:val="auto"/>
                <w:szCs w:val="21"/>
                <w:highlight w:val="none"/>
              </w:rPr>
              <w:t>投标人保证：除本采购需求偏离表列出的偏离外，我单位对招标文件的其他采购需求条款完全响应，无偏离。</w:t>
            </w:r>
          </w:p>
        </w:tc>
      </w:tr>
    </w:tbl>
    <w:p w14:paraId="46C0EE12">
      <w:pPr>
        <w:adjustRightInd w:val="0"/>
        <w:snapToGrid w:val="0"/>
        <w:spacing w:line="360" w:lineRule="auto"/>
        <w:rPr>
          <w:rFonts w:ascii="宋体" w:hAnsi="宋体"/>
          <w:color w:val="auto"/>
          <w:szCs w:val="21"/>
          <w:highlight w:val="none"/>
        </w:rPr>
      </w:pPr>
      <w:r>
        <w:rPr>
          <w:rFonts w:hint="eastAsia" w:ascii="宋体" w:hAnsi="宋体"/>
          <w:b/>
          <w:color w:val="auto"/>
          <w:szCs w:val="21"/>
          <w:highlight w:val="none"/>
        </w:rPr>
        <w:t>备注</w:t>
      </w:r>
      <w:r>
        <w:rPr>
          <w:rFonts w:hint="eastAsia" w:ascii="宋体" w:hAnsi="宋体"/>
          <w:color w:val="auto"/>
          <w:szCs w:val="21"/>
          <w:highlight w:val="none"/>
        </w:rPr>
        <w:t>：（1）投标人应根据招标文件第五章“采购需求”填写本表；</w:t>
      </w:r>
    </w:p>
    <w:p w14:paraId="41F2C31F">
      <w:p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投标人如果对招标文件第五章“采购需求”的响应有偏离，应将偏离条款逐条如实应答，并作出说明；如没有偏离，则注明无偏离即可；</w:t>
      </w:r>
    </w:p>
    <w:p w14:paraId="025BD94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（3）如不提供此表，则视为投标人不满足招标文件第五章的所有条款要求，其</w:t>
      </w:r>
      <w:r>
        <w:rPr>
          <w:rFonts w:hint="eastAsia" w:ascii="宋体" w:hAnsi="宋体"/>
          <w:b/>
          <w:color w:val="auto"/>
          <w:szCs w:val="21"/>
          <w:highlight w:val="none"/>
        </w:rPr>
        <w:t>投标无效</w:t>
      </w:r>
      <w:r>
        <w:rPr>
          <w:rFonts w:hint="eastAsia" w:ascii="宋体" w:hAnsi="宋体"/>
          <w:color w:val="auto"/>
          <w:szCs w:val="21"/>
          <w:highlight w:val="none"/>
        </w:rPr>
        <w:t>。</w:t>
      </w:r>
    </w:p>
    <w:p w14:paraId="2430315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6EC14A7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（5）本表偏离表与本章第七节“采购需求响应”不一致时，以“采购需求响应”为准。</w:t>
      </w:r>
    </w:p>
    <w:p w14:paraId="54515473">
      <w:pPr>
        <w:adjustRightInd w:val="0"/>
        <w:snapToGrid w:val="0"/>
        <w:spacing w:before="50" w:line="360" w:lineRule="auto"/>
        <w:rPr>
          <w:rFonts w:ascii="宋体" w:hAnsi="宋体"/>
          <w:color w:val="auto"/>
          <w:szCs w:val="21"/>
          <w:highlight w:val="none"/>
        </w:rPr>
      </w:pPr>
    </w:p>
    <w:p w14:paraId="77412131">
      <w:pPr>
        <w:adjustRightInd w:val="0"/>
        <w:snapToGrid w:val="0"/>
        <w:spacing w:before="50" w:line="360" w:lineRule="auto"/>
        <w:rPr>
          <w:rFonts w:ascii="宋体" w:hAnsi="宋体"/>
          <w:color w:val="auto"/>
          <w:szCs w:val="21"/>
          <w:highlight w:val="none"/>
        </w:rPr>
      </w:pPr>
    </w:p>
    <w:p w14:paraId="11E29A11">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04B24A56">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3D290FAD">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日      期：年月_日</w:t>
      </w:r>
    </w:p>
    <w:p w14:paraId="5002A9CA">
      <w:pPr>
        <w:pStyle w:val="4"/>
        <w:adjustRightInd w:val="0"/>
        <w:snapToGrid w:val="0"/>
        <w:spacing w:before="0" w:after="0" w:line="240" w:lineRule="auto"/>
        <w:jc w:val="center"/>
        <w:rPr>
          <w:rFonts w:ascii="宋体" w:hAnsi="宋体"/>
          <w:color w:val="auto"/>
          <w:sz w:val="28"/>
          <w:szCs w:val="28"/>
          <w:highlight w:val="none"/>
        </w:rPr>
      </w:pPr>
      <w:r>
        <w:rPr>
          <w:rFonts w:ascii="宋体" w:hAnsi="宋体"/>
          <w:color w:val="auto"/>
          <w:szCs w:val="21"/>
          <w:highlight w:val="none"/>
        </w:rPr>
        <w:br w:type="page"/>
      </w:r>
      <w:bookmarkStart w:id="1986" w:name="_Toc118209481"/>
      <w:bookmarkStart w:id="1987" w:name="_Toc9966"/>
      <w:bookmarkStart w:id="1988" w:name="_Toc111543614"/>
      <w:bookmarkStart w:id="1989" w:name="_Toc7414"/>
      <w:bookmarkStart w:id="1990" w:name="_Toc109656636"/>
      <w:bookmarkStart w:id="1991" w:name="_Toc6387"/>
      <w:bookmarkStart w:id="1992" w:name="_Toc79093732"/>
      <w:bookmarkStart w:id="1993" w:name="_Toc140957924"/>
      <w:bookmarkStart w:id="1994" w:name="_Toc171282457"/>
      <w:bookmarkStart w:id="1995" w:name="_Toc3315"/>
      <w:bookmarkStart w:id="1996" w:name="_Toc31042"/>
      <w:bookmarkStart w:id="1997" w:name="_Toc189905414"/>
      <w:bookmarkStart w:id="1998" w:name="_Toc32545"/>
      <w:bookmarkStart w:id="1999" w:name="_Toc108483454"/>
      <w:bookmarkStart w:id="2000" w:name="_Toc32489"/>
      <w:bookmarkStart w:id="2001" w:name="_Toc4461"/>
      <w:bookmarkStart w:id="2002" w:name="_Toc193053760"/>
      <w:bookmarkStart w:id="2003" w:name="_Toc15081"/>
      <w:bookmarkStart w:id="2004" w:name="_Toc22144"/>
      <w:bookmarkStart w:id="2005" w:name="_Toc166778387"/>
      <w:bookmarkStart w:id="2006" w:name="_Toc16411"/>
      <w:bookmarkStart w:id="2007" w:name="_Toc5274"/>
      <w:bookmarkStart w:id="2008" w:name="_Toc103979637"/>
      <w:bookmarkStart w:id="2009" w:name="_Toc137408772"/>
      <w:bookmarkStart w:id="2010" w:name="_Toc31884"/>
      <w:bookmarkStart w:id="2011" w:name="_Toc9238"/>
      <w:bookmarkStart w:id="2012" w:name="_Toc99299784"/>
      <w:bookmarkStart w:id="2013" w:name="_Toc17281"/>
      <w:bookmarkStart w:id="2014" w:name="_Toc13811"/>
      <w:bookmarkStart w:id="2015" w:name="_Toc11045"/>
      <w:bookmarkStart w:id="2016" w:name="_Toc9500"/>
      <w:bookmarkStart w:id="2017" w:name="_Toc113350990"/>
      <w:r>
        <w:rPr>
          <w:rFonts w:hint="eastAsia" w:ascii="宋体" w:hAnsi="宋体"/>
          <w:color w:val="auto"/>
          <w:szCs w:val="21"/>
          <w:highlight w:val="none"/>
        </w:rPr>
        <w:t>十</w:t>
      </w:r>
      <w:r>
        <w:rPr>
          <w:rFonts w:hint="eastAsia" w:ascii="宋体" w:hAnsi="宋体"/>
          <w:color w:val="auto"/>
          <w:sz w:val="28"/>
          <w:szCs w:val="28"/>
          <w:highlight w:val="none"/>
        </w:rPr>
        <w:t>、享受政府采购政策优惠的证明资料</w:t>
      </w:r>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p>
    <w:p w14:paraId="12754772">
      <w:pPr>
        <w:adjustRightInd w:val="0"/>
        <w:snapToGrid w:val="0"/>
        <w:spacing w:line="360" w:lineRule="auto"/>
        <w:rPr>
          <w:rFonts w:ascii="宋体" w:hAnsi="宋体" w:cs="宋体"/>
          <w:bCs/>
          <w:color w:val="auto"/>
          <w:spacing w:val="6"/>
          <w:kern w:val="0"/>
          <w:szCs w:val="21"/>
          <w:highlight w:val="none"/>
        </w:rPr>
      </w:pPr>
    </w:p>
    <w:p w14:paraId="747788D6">
      <w:pPr>
        <w:adjustRightInd w:val="0"/>
        <w:snapToGrid w:val="0"/>
        <w:spacing w:line="360" w:lineRule="auto"/>
        <w:ind w:firstLine="444" w:firstLineChars="200"/>
        <w:rPr>
          <w:rFonts w:ascii="宋体" w:hAnsi="宋体" w:cs="宋体"/>
          <w:bCs/>
          <w:color w:val="auto"/>
          <w:spacing w:val="6"/>
          <w:kern w:val="0"/>
          <w:szCs w:val="21"/>
          <w:highlight w:val="none"/>
        </w:rPr>
      </w:pPr>
      <w:r>
        <w:rPr>
          <w:rFonts w:hint="eastAsia" w:ascii="宋体" w:hAnsi="宋体" w:cs="宋体"/>
          <w:bCs/>
          <w:color w:val="auto"/>
          <w:spacing w:val="6"/>
          <w:kern w:val="0"/>
          <w:szCs w:val="21"/>
          <w:highlight w:val="none"/>
        </w:rPr>
        <w:t>投标人符合第二章第33.6条要求的，应提供下列证明资料，并填写相关数据。否则，评审时不予以考虑。</w:t>
      </w:r>
    </w:p>
    <w:p w14:paraId="06313BA6">
      <w:pPr>
        <w:pStyle w:val="135"/>
        <w:ind w:firstLine="414"/>
        <w:rPr>
          <w:rFonts w:ascii="宋体" w:hAnsi="宋体"/>
          <w:color w:val="auto"/>
          <w:highlight w:val="none"/>
        </w:rPr>
      </w:pPr>
    </w:p>
    <w:p w14:paraId="12EA0189">
      <w:pPr>
        <w:pStyle w:val="5"/>
        <w:rPr>
          <w:rFonts w:ascii="宋体" w:hAnsi="宋体" w:eastAsia="宋体" w:cs="宋体"/>
          <w:b w:val="0"/>
          <w:bCs w:val="0"/>
          <w:color w:val="auto"/>
          <w:spacing w:val="6"/>
          <w:sz w:val="21"/>
          <w:szCs w:val="21"/>
          <w:highlight w:val="none"/>
        </w:rPr>
      </w:pPr>
      <w:bookmarkStart w:id="2018" w:name="_Toc12397"/>
      <w:r>
        <w:rPr>
          <w:rFonts w:hint="eastAsia" w:ascii="宋体" w:hAnsi="宋体" w:eastAsia="宋体" w:cs="宋体"/>
          <w:b w:val="0"/>
          <w:bCs w:val="0"/>
          <w:color w:val="auto"/>
          <w:spacing w:val="6"/>
          <w:sz w:val="21"/>
          <w:szCs w:val="21"/>
          <w:highlight w:val="none"/>
        </w:rPr>
        <w:t>附件10-1中小企业声明函</w:t>
      </w:r>
      <w:bookmarkEnd w:id="2018"/>
    </w:p>
    <w:p w14:paraId="4EA129F5">
      <w:pPr>
        <w:widowControl/>
        <w:adjustRightInd w:val="0"/>
        <w:snapToGrid w:val="0"/>
        <w:spacing w:beforeLines="50" w:line="360" w:lineRule="auto"/>
        <w:jc w:val="center"/>
        <w:outlineLvl w:val="2"/>
        <w:rPr>
          <w:rFonts w:ascii="宋体" w:hAnsi="宋体" w:cs="宋体"/>
          <w:color w:val="auto"/>
          <w:szCs w:val="21"/>
          <w:highlight w:val="none"/>
        </w:rPr>
      </w:pPr>
      <w:bookmarkStart w:id="2019" w:name="_Toc14262"/>
      <w:bookmarkStart w:id="2020" w:name="_Toc171282458"/>
      <w:bookmarkStart w:id="2021" w:name="_Toc27739"/>
      <w:bookmarkStart w:id="2022" w:name="_Toc25190"/>
      <w:bookmarkStart w:id="2023" w:name="_Toc31707"/>
      <w:bookmarkStart w:id="2024" w:name="_Toc5575"/>
      <w:bookmarkStart w:id="2025" w:name="_Toc189905415"/>
      <w:r>
        <w:rPr>
          <w:rFonts w:hint="eastAsia" w:ascii="黑体" w:hAnsi="仿宋" w:eastAsia="黑体" w:cs="宋体"/>
          <w:b/>
          <w:color w:val="auto"/>
          <w:sz w:val="28"/>
          <w:szCs w:val="28"/>
          <w:highlight w:val="none"/>
        </w:rPr>
        <w:t>湖南省政府采购供应商资格承诺函(格式)</w:t>
      </w:r>
      <w:bookmarkEnd w:id="2019"/>
      <w:bookmarkEnd w:id="2020"/>
      <w:bookmarkEnd w:id="2021"/>
      <w:bookmarkEnd w:id="2022"/>
      <w:bookmarkEnd w:id="2023"/>
      <w:bookmarkEnd w:id="2024"/>
      <w:bookmarkEnd w:id="2025"/>
    </w:p>
    <w:p w14:paraId="061C1BB2">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74C4634F">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按照《政府采购促进中小企业发展管理办法》(财库〔2020〕46号),本公司企业规模为: 大型口中型口小型□微型□。</w:t>
      </w:r>
    </w:p>
    <w:p w14:paraId="650CA1C6">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□本公司自愿入驻湖南省政府采购电子卖场,遵守《湖南省政府采购电子卖场管理办法》(湘财购〔2019〕27号),如违反承诺,同意金融机构将增信保证划缴国库(非电子卖场采购活动项目不需勾选)。</w:t>
      </w:r>
    </w:p>
    <w:p w14:paraId="4BA18750">
      <w:pPr>
        <w:widowControl/>
        <w:spacing w:beforeLines="50" w:line="360" w:lineRule="auto"/>
        <w:ind w:firstLine="420" w:firstLineChars="200"/>
        <w:jc w:val="left"/>
        <w:rPr>
          <w:rFonts w:ascii="宋体" w:hAnsi="宋体" w:cs="宋体"/>
          <w:color w:val="auto"/>
          <w:szCs w:val="21"/>
          <w:highlight w:val="none"/>
        </w:rPr>
      </w:pPr>
    </w:p>
    <w:p w14:paraId="4F894B41">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公司(单位)名称(盖章)：</w:t>
      </w:r>
    </w:p>
    <w:p w14:paraId="3B9D8511">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机构代码、注册登记机构、日期、有效期、注册资本、地 址、经济行业、经济性质</w:t>
      </w:r>
    </w:p>
    <w:p w14:paraId="616C2EB6">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法定代表人(负责人)姓名(签字)、身份证号、手机号:</w:t>
      </w:r>
    </w:p>
    <w:p w14:paraId="1F404AC6">
      <w:pPr>
        <w:widowControl/>
        <w:spacing w:beforeLines="50" w:line="360" w:lineRule="auto"/>
        <w:ind w:firstLine="420" w:firstLineChars="200"/>
        <w:jc w:val="left"/>
        <w:rPr>
          <w:rFonts w:ascii="宋体" w:hAnsi="宋体"/>
          <w:color w:val="auto"/>
          <w:highlight w:val="none"/>
        </w:rPr>
      </w:pPr>
      <w:r>
        <w:rPr>
          <w:rFonts w:hint="eastAsia" w:ascii="宋体" w:hAnsi="宋体" w:cs="宋体"/>
          <w:color w:val="auto"/>
          <w:szCs w:val="21"/>
          <w:highlight w:val="none"/>
        </w:rPr>
        <w:t>授权代表人姓名(签字)、身份证号、手机号：</w:t>
      </w:r>
    </w:p>
    <w:p w14:paraId="06D4BF54">
      <w:pPr>
        <w:widowControl/>
        <w:spacing w:beforeLines="50" w:line="360" w:lineRule="auto"/>
        <w:ind w:firstLine="420" w:firstLineChars="200"/>
        <w:jc w:val="left"/>
        <w:rPr>
          <w:rFonts w:ascii="宋体" w:hAnsi="宋体"/>
          <w:color w:val="auto"/>
          <w:highlight w:val="none"/>
        </w:rPr>
      </w:pPr>
    </w:p>
    <w:p w14:paraId="6CA4738A">
      <w:pPr>
        <w:rPr>
          <w:rFonts w:ascii="宋体" w:hAnsi="宋体"/>
          <w:color w:val="auto"/>
          <w:sz w:val="28"/>
          <w:szCs w:val="28"/>
          <w:highlight w:val="none"/>
        </w:rPr>
      </w:pPr>
      <w:bookmarkStart w:id="2026" w:name="_Toc103979639"/>
      <w:bookmarkStart w:id="2027" w:name="_Toc9071"/>
      <w:bookmarkStart w:id="2028" w:name="_Toc166778388"/>
      <w:bookmarkStart w:id="2029" w:name="_Toc193053762"/>
      <w:bookmarkStart w:id="2030" w:name="_Toc14897"/>
      <w:bookmarkStart w:id="2031" w:name="_Toc5491"/>
      <w:bookmarkStart w:id="2032" w:name="_Toc24241"/>
      <w:bookmarkStart w:id="2033" w:name="_Toc118209482"/>
      <w:bookmarkStart w:id="2034" w:name="_Toc99299786"/>
      <w:bookmarkStart w:id="2035" w:name="_Toc30657"/>
      <w:bookmarkStart w:id="2036" w:name="_Toc20386"/>
      <w:bookmarkStart w:id="2037" w:name="_Toc79093734"/>
      <w:bookmarkStart w:id="2038" w:name="_Toc18940"/>
      <w:bookmarkStart w:id="2039" w:name="_Toc113350991"/>
      <w:bookmarkStart w:id="2040" w:name="_Toc20230"/>
      <w:bookmarkStart w:id="2041" w:name="_Toc208"/>
      <w:bookmarkStart w:id="2042" w:name="_Toc171282459"/>
      <w:bookmarkStart w:id="2043" w:name="_Toc24449"/>
      <w:bookmarkStart w:id="2044" w:name="_Toc137408773"/>
      <w:bookmarkStart w:id="2045" w:name="_Toc32287"/>
      <w:bookmarkStart w:id="2046" w:name="_Toc21156"/>
      <w:bookmarkStart w:id="2047" w:name="_Toc27966"/>
      <w:bookmarkStart w:id="2048" w:name="_Toc189905416"/>
      <w:bookmarkStart w:id="2049" w:name="_Toc109656638"/>
      <w:bookmarkStart w:id="2050" w:name="_Toc25046"/>
      <w:bookmarkStart w:id="2051" w:name="_Toc111543615"/>
      <w:bookmarkStart w:id="2052" w:name="_Toc3653"/>
      <w:bookmarkStart w:id="2053" w:name="_Toc140957925"/>
      <w:bookmarkStart w:id="2054" w:name="_Toc108483456"/>
      <w:r>
        <w:rPr>
          <w:rFonts w:hint="eastAsia" w:ascii="宋体" w:hAnsi="宋体"/>
          <w:color w:val="auto"/>
          <w:sz w:val="28"/>
          <w:szCs w:val="28"/>
          <w:highlight w:val="none"/>
        </w:rPr>
        <w:br w:type="page"/>
      </w:r>
    </w:p>
    <w:p w14:paraId="410CF0FA">
      <w:pPr>
        <w:pStyle w:val="3"/>
        <w:adjustRightInd w:val="0"/>
        <w:snapToGrid w:val="0"/>
        <w:jc w:val="center"/>
        <w:rPr>
          <w:rFonts w:ascii="宋体" w:hAnsi="宋体"/>
          <w:color w:val="auto"/>
          <w:sz w:val="28"/>
          <w:szCs w:val="28"/>
          <w:highlight w:val="none"/>
        </w:rPr>
      </w:pPr>
      <w:bookmarkStart w:id="2055" w:name="_Toc28813"/>
      <w:bookmarkStart w:id="2056" w:name="_Toc14638"/>
      <w:bookmarkStart w:id="2057" w:name="_Toc27950"/>
      <w:r>
        <w:rPr>
          <w:rFonts w:hint="eastAsia" w:ascii="宋体" w:hAnsi="宋体"/>
          <w:color w:val="auto"/>
          <w:sz w:val="28"/>
          <w:szCs w:val="28"/>
          <w:highlight w:val="none"/>
        </w:rPr>
        <w:t>十一、投标货物符合招标文件规定的证明文件</w:t>
      </w:r>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p>
    <w:p w14:paraId="7961652A">
      <w:pPr>
        <w:adjustRightInd w:val="0"/>
        <w:snapToGrid w:val="0"/>
        <w:spacing w:line="360" w:lineRule="auto"/>
        <w:rPr>
          <w:rFonts w:ascii="宋体" w:hAnsi="宋体"/>
          <w:color w:val="auto"/>
          <w:szCs w:val="21"/>
          <w:highlight w:val="none"/>
        </w:rPr>
      </w:pPr>
    </w:p>
    <w:p w14:paraId="4B300DBB">
      <w:pPr>
        <w:adjustRightInd w:val="0"/>
        <w:snapToGrid w:val="0"/>
        <w:spacing w:line="360" w:lineRule="auto"/>
        <w:rPr>
          <w:rFonts w:ascii="宋体" w:hAnsi="宋体"/>
          <w:color w:val="auto"/>
          <w:highlight w:val="none"/>
        </w:rPr>
      </w:pPr>
      <w:r>
        <w:rPr>
          <w:rFonts w:hint="eastAsia" w:ascii="宋体" w:hAnsi="宋体"/>
          <w:color w:val="auto"/>
          <w:szCs w:val="21"/>
          <w:highlight w:val="none"/>
        </w:rPr>
        <w:t>备注：提供第五章规定的证明材料复印件。</w:t>
      </w:r>
    </w:p>
    <w:p w14:paraId="7FF466F4">
      <w:pPr>
        <w:widowControl/>
        <w:ind w:firstLine="562" w:firstLineChars="200"/>
        <w:jc w:val="left"/>
        <w:rPr>
          <w:rFonts w:ascii="宋体" w:hAnsi="宋体"/>
          <w:color w:val="auto"/>
          <w:szCs w:val="21"/>
          <w:highlight w:val="none"/>
        </w:rPr>
      </w:pPr>
      <w:r>
        <w:rPr>
          <w:rFonts w:ascii="宋体" w:hAnsi="宋体"/>
          <w:b/>
          <w:bCs/>
          <w:color w:val="auto"/>
          <w:sz w:val="28"/>
          <w:szCs w:val="28"/>
          <w:highlight w:val="none"/>
        </w:rPr>
        <w:br w:type="page"/>
      </w:r>
    </w:p>
    <w:p w14:paraId="7793940F">
      <w:pPr>
        <w:pStyle w:val="3"/>
        <w:adjustRightInd w:val="0"/>
        <w:snapToGrid w:val="0"/>
        <w:jc w:val="center"/>
        <w:rPr>
          <w:rFonts w:ascii="宋体" w:hAnsi="宋体"/>
          <w:color w:val="auto"/>
          <w:sz w:val="28"/>
          <w:szCs w:val="28"/>
          <w:highlight w:val="none"/>
        </w:rPr>
      </w:pPr>
      <w:bookmarkStart w:id="2058" w:name="_Toc137408774"/>
      <w:bookmarkStart w:id="2059" w:name="_Toc109656639"/>
      <w:bookmarkStart w:id="2060" w:name="_Toc79093735"/>
      <w:bookmarkStart w:id="2061" w:name="_Toc15950"/>
      <w:bookmarkStart w:id="2062" w:name="_Toc193053763"/>
      <w:bookmarkStart w:id="2063" w:name="_Toc18744"/>
      <w:bookmarkStart w:id="2064" w:name="_Toc2755"/>
      <w:bookmarkStart w:id="2065" w:name="_Toc29217"/>
      <w:bookmarkStart w:id="2066" w:name="_Toc16623"/>
      <w:bookmarkStart w:id="2067" w:name="_Toc9477"/>
      <w:bookmarkStart w:id="2068" w:name="_Toc166778389"/>
      <w:bookmarkStart w:id="2069" w:name="_Toc14729"/>
      <w:bookmarkStart w:id="2070" w:name="_Toc99299787"/>
      <w:bookmarkStart w:id="2071" w:name="_Toc18591"/>
      <w:bookmarkStart w:id="2072" w:name="_Toc8258"/>
      <w:bookmarkStart w:id="2073" w:name="_Toc118209483"/>
      <w:bookmarkStart w:id="2074" w:name="_Toc113350992"/>
      <w:bookmarkStart w:id="2075" w:name="_Toc171282460"/>
      <w:bookmarkStart w:id="2076" w:name="_Toc11900"/>
      <w:bookmarkStart w:id="2077" w:name="_Toc2185"/>
      <w:bookmarkStart w:id="2078" w:name="_Toc4438"/>
      <w:bookmarkStart w:id="2079" w:name="_Toc103979640"/>
      <w:bookmarkStart w:id="2080" w:name="_Toc31430"/>
      <w:bookmarkStart w:id="2081" w:name="_Toc2517"/>
      <w:bookmarkStart w:id="2082" w:name="_Toc15535"/>
      <w:bookmarkStart w:id="2083" w:name="_Toc111543616"/>
      <w:bookmarkStart w:id="2084" w:name="_Toc140957926"/>
      <w:bookmarkStart w:id="2085" w:name="_Toc6473"/>
      <w:bookmarkStart w:id="2086" w:name="_Toc189905417"/>
      <w:bookmarkStart w:id="2087" w:name="_Toc2156"/>
      <w:bookmarkStart w:id="2088" w:name="_Toc3656"/>
      <w:bookmarkStart w:id="2089" w:name="_Toc108483457"/>
      <w:r>
        <w:rPr>
          <w:rFonts w:hint="eastAsia" w:ascii="宋体" w:hAnsi="宋体"/>
          <w:color w:val="auto"/>
          <w:sz w:val="28"/>
          <w:szCs w:val="28"/>
          <w:highlight w:val="none"/>
        </w:rPr>
        <w:t>十二、投标人认为需提供的其他资料</w:t>
      </w:r>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p>
    <w:p w14:paraId="5EE23364">
      <w:pPr>
        <w:adjustRightInd w:val="0"/>
        <w:snapToGrid w:val="0"/>
        <w:spacing w:beforeLines="50" w:line="360" w:lineRule="auto"/>
        <w:rPr>
          <w:rFonts w:ascii="宋体" w:hAnsi="宋体"/>
          <w:color w:val="auto"/>
          <w:highlight w:val="none"/>
        </w:rPr>
      </w:pPr>
    </w:p>
    <w:p w14:paraId="0A016283">
      <w:pPr>
        <w:adjustRightInd w:val="0"/>
        <w:snapToGrid w:val="0"/>
        <w:spacing w:beforeLines="50" w:line="360" w:lineRule="auto"/>
        <w:rPr>
          <w:rFonts w:ascii="宋体" w:hAnsi="宋体"/>
          <w:color w:val="auto"/>
          <w:highlight w:val="none"/>
        </w:rPr>
      </w:pPr>
      <w:r>
        <w:rPr>
          <w:rFonts w:hint="eastAsia" w:ascii="宋体" w:hAnsi="宋体"/>
          <w:color w:val="auto"/>
          <w:highlight w:val="none"/>
        </w:rPr>
        <w:t>备注：投标人认为需提供的其他资料包括：</w:t>
      </w:r>
    </w:p>
    <w:p w14:paraId="4541406A">
      <w:pPr>
        <w:adjustRightInd w:val="0"/>
        <w:snapToGrid w:val="0"/>
        <w:spacing w:beforeLines="50" w:line="360" w:lineRule="auto"/>
        <w:ind w:firstLine="420" w:firstLineChars="200"/>
        <w:rPr>
          <w:rFonts w:ascii="宋体" w:hAnsi="宋体"/>
          <w:color w:val="auto"/>
          <w:highlight w:val="none"/>
        </w:rPr>
      </w:pPr>
      <w:r>
        <w:rPr>
          <w:rFonts w:hint="eastAsia" w:ascii="宋体" w:hAnsi="宋体"/>
          <w:color w:val="auto"/>
          <w:highlight w:val="none"/>
        </w:rPr>
        <w:t>（1）招标文件第四章评标方法及标准要求的其他相关资料；</w:t>
      </w:r>
    </w:p>
    <w:p w14:paraId="1F99258F">
      <w:pPr>
        <w:adjustRightInd w:val="0"/>
        <w:snapToGrid w:val="0"/>
        <w:spacing w:beforeLines="50" w:line="360" w:lineRule="auto"/>
        <w:ind w:firstLine="420" w:firstLineChars="200"/>
        <w:rPr>
          <w:rFonts w:ascii="宋体" w:hAnsi="宋体"/>
          <w:color w:val="auto"/>
          <w:highlight w:val="none"/>
        </w:rPr>
      </w:pPr>
      <w:r>
        <w:rPr>
          <w:rFonts w:hint="eastAsia" w:ascii="宋体" w:hAnsi="宋体"/>
          <w:color w:val="auto"/>
          <w:highlight w:val="none"/>
        </w:rPr>
        <w:t>（2）招标文件第五章采购需求要求的其他资料。</w:t>
      </w:r>
    </w:p>
    <w:p w14:paraId="47A09E15">
      <w:pPr>
        <w:pStyle w:val="135"/>
        <w:spacing w:after="0" w:line="360" w:lineRule="auto"/>
        <w:ind w:left="0" w:leftChars="0" w:firstLine="420"/>
        <w:rPr>
          <w:rFonts w:ascii="宋体" w:hAnsi="宋体"/>
          <w:b w:val="0"/>
          <w:color w:val="auto"/>
          <w:spacing w:val="0"/>
          <w:highlight w:val="none"/>
        </w:rPr>
      </w:pPr>
    </w:p>
    <w:p w14:paraId="2EDECF0F">
      <w:pPr>
        <w:adjustRightInd w:val="0"/>
        <w:snapToGrid w:val="0"/>
        <w:spacing w:beforeLines="50" w:line="360" w:lineRule="auto"/>
        <w:rPr>
          <w:rFonts w:ascii="宋体" w:hAnsi="宋体"/>
          <w:color w:val="auto"/>
          <w:highlight w:val="none"/>
        </w:rPr>
      </w:pPr>
    </w:p>
    <w:p w14:paraId="5FDEC820">
      <w:pPr>
        <w:rPr>
          <w:rFonts w:ascii="宋体" w:hAnsi="宋体"/>
          <w:color w:val="auto"/>
          <w:highlight w:val="none"/>
        </w:rPr>
      </w:pPr>
    </w:p>
    <w:p w14:paraId="6C1B3487">
      <w:pPr>
        <w:widowControl/>
        <w:jc w:val="left"/>
        <w:rPr>
          <w:rFonts w:ascii="宋体" w:hAnsi="宋体"/>
          <w:color w:val="auto"/>
          <w:szCs w:val="21"/>
          <w:highlight w:val="none"/>
        </w:rPr>
      </w:pPr>
    </w:p>
    <w:sectPr>
      <w:headerReference r:id="rId11" w:type="default"/>
      <w:footerReference r:id="rId12" w:type="default"/>
      <w:pgSz w:w="11906" w:h="16838"/>
      <w:pgMar w:top="1440" w:right="1800" w:bottom="1440" w:left="180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Noto Sans Mono CJK HK">
    <w:altName w:val="Arial"/>
    <w:panose1 w:val="00000000000000000000"/>
    <w:charset w:val="00"/>
    <w:family w:val="swiss"/>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瀹嬩綋">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91DF8">
    <w:pPr>
      <w:pStyle w:val="2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832DF7B">
                          <w:pPr>
                            <w:pStyle w:val="29"/>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FgtEFdABAACqAwAADgAAAAAAAAABACAAAAAeAQAAZHJz&#10;L2Uyb0RvYy54bWxQSwUGAAAAAAYABgBZAQAAYAUAAAAA&#10;">
              <v:fill on="f" focussize="0,0"/>
              <v:stroke on="f"/>
              <v:imagedata o:title=""/>
              <o:lock v:ext="edit" aspectratio="f"/>
              <v:textbox inset="0mm,0mm,0mm,0mm" style="mso-fit-shape-to-text:t;">
                <w:txbxContent>
                  <w:p w14:paraId="7832DF7B">
                    <w:pPr>
                      <w:pStyle w:val="29"/>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A5C1A5F"/>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fvyfQzwEAAKoDAAAOAAAAAAAAAAEAIAAAAB4BAABkcnMv&#10;ZTJvRG9jLnhtbFBLBQYAAAAABgAGAFkBAABfBQAAAAA=&#10;">
              <v:fill on="f" focussize="0,0"/>
              <v:stroke on="f"/>
              <v:imagedata o:title=""/>
              <o:lock v:ext="edit" aspectratio="f"/>
              <v:textbox inset="0mm,0mm,0mm,0mm" style="mso-fit-shape-to-text:t;">
                <w:txbxContent>
                  <w:p w14:paraId="7A5C1A5F"/>
                </w:txbxContent>
              </v:textbox>
            </v:shape>
          </w:pict>
        </mc:Fallback>
      </mc:AlternateContent>
    </w:r>
  </w:p>
  <w:p w14:paraId="249640E4">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DFE72">
    <w:pPr>
      <w:pStyle w:val="29"/>
      <w:ind w:right="900"/>
      <w:rPr>
        <w:rFonts w:eastAsia="楷体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F5594D7">
                          <w:pPr>
                            <w:pStyle w:val="29"/>
                          </w:pPr>
                          <w:r>
                            <w:fldChar w:fldCharType="begin"/>
                          </w:r>
                          <w:r>
                            <w:instrText xml:space="preserve"> PAGE  \* MERGEFORMAT </w:instrText>
                          </w:r>
                          <w:r>
                            <w:fldChar w:fldCharType="separate"/>
                          </w:r>
                          <w:r>
                            <w:t>4</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tCQ2P9ABAACqAwAADgAAAAAAAAABACAAAAAeAQAAZHJz&#10;L2Uyb0RvYy54bWxQSwUGAAAAAAYABgBZAQAAYAUAAAAA&#10;">
              <v:fill on="f" focussize="0,0"/>
              <v:stroke on="f"/>
              <v:imagedata o:title=""/>
              <o:lock v:ext="edit" aspectratio="f"/>
              <v:textbox inset="0mm,0mm,0mm,0mm" style="mso-fit-shape-to-text:t;">
                <w:txbxContent>
                  <w:p w14:paraId="2F5594D7">
                    <w:pPr>
                      <w:pStyle w:val="29"/>
                    </w:pPr>
                    <w:r>
                      <w:fldChar w:fldCharType="begin"/>
                    </w:r>
                    <w:r>
                      <w:instrText xml:space="preserve"> PAGE  \* MERGEFORMAT </w:instrText>
                    </w:r>
                    <w:r>
                      <w:fldChar w:fldCharType="separate"/>
                    </w:r>
                    <w:r>
                      <w:t>4</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233D6A6">
                          <w:pPr>
                            <w:pStyle w:val="29"/>
                          </w:pPr>
                        </w:p>
                      </w:txbxContent>
                    </wps:txbx>
                    <wps:bodyPr wrap="none" lIns="0" tIns="0" rIns="0" bIns="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zKuwGdABAACqAwAADgAAAAAAAAABACAAAAAeAQAAZHJz&#10;L2Uyb0RvYy54bWxQSwUGAAAAAAYABgBZAQAAYAUAAAAA&#10;">
              <v:fill on="f" focussize="0,0"/>
              <v:stroke on="f"/>
              <v:imagedata o:title=""/>
              <o:lock v:ext="edit" aspectratio="f"/>
              <v:textbox inset="0mm,0mm,0mm,0mm" style="mso-fit-shape-to-text:t;">
                <w:txbxContent>
                  <w:p w14:paraId="2233D6A6">
                    <w:pPr>
                      <w:pStyle w:val="29"/>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8ACC4">
    <w:pPr>
      <w:spacing w:line="172" w:lineRule="auto"/>
      <w:rPr>
        <w:rFonts w:eastAsia="Times New Roman"/>
        <w:sz w:val="14"/>
        <w:szCs w:val="14"/>
      </w:rPr>
    </w:pPr>
    <w:r>
      <w:rPr>
        <w:sz w:val="1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11AA458">
                          <w:pPr>
                            <w:pStyle w:val="29"/>
                          </w:pPr>
                          <w:r>
                            <w:fldChar w:fldCharType="begin"/>
                          </w:r>
                          <w:r>
                            <w:instrText xml:space="preserve"> PAGE  \* MERGEFORMAT </w:instrText>
                          </w:r>
                          <w:r>
                            <w:fldChar w:fldCharType="separate"/>
                          </w:r>
                          <w:r>
                            <w:t>42</w:t>
                          </w:r>
                          <w:r>
                            <w:fldChar w:fldCharType="end"/>
                          </w:r>
                        </w:p>
                      </w:txbxContent>
                    </wps:txbx>
                    <wps:bodyPr wrap="none" lIns="0" tIns="0" rIns="0" bIns="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FX9qd7OAQAAqAMAAA4AAAAAAAAAAQAgAAAAHgEAAGRycy9l&#10;Mm9Eb2MueG1sUEsFBgAAAAAGAAYAWQEAAF4FAAAAAA==&#10;">
              <v:fill on="f" focussize="0,0"/>
              <v:stroke on="f"/>
              <v:imagedata o:title=""/>
              <o:lock v:ext="edit" aspectratio="f"/>
              <v:textbox inset="0mm,0mm,0mm,0mm" style="mso-fit-shape-to-text:t;">
                <w:txbxContent>
                  <w:p w14:paraId="611AA458">
                    <w:pPr>
                      <w:pStyle w:val="2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A2CC2">
    <w:pPr>
      <w:pStyle w:val="29"/>
      <w:ind w:right="960"/>
      <w:rPr>
        <w:rFonts w:eastAsia="楷体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337185" cy="175895"/>
              <wp:effectExtent l="0" t="0" r="0" b="0"/>
              <wp:wrapNone/>
              <wp:docPr id="5" name="文本框 1031"/>
              <wp:cNvGraphicFramePr/>
              <a:graphic xmlns:a="http://schemas.openxmlformats.org/drawingml/2006/main">
                <a:graphicData uri="http://schemas.microsoft.com/office/word/2010/wordprocessingShape">
                  <wps:wsp>
                    <wps:cNvSpPr txBox="1"/>
                    <wps:spPr>
                      <a:xfrm>
                        <a:off x="0" y="0"/>
                        <a:ext cx="337185" cy="175895"/>
                      </a:xfrm>
                      <a:prstGeom prst="rect">
                        <a:avLst/>
                      </a:prstGeom>
                      <a:noFill/>
                      <a:ln>
                        <a:noFill/>
                      </a:ln>
                      <a:effectLst/>
                    </wps:spPr>
                    <wps:txbx>
                      <w:txbxContent>
                        <w:p w14:paraId="24AEAF67">
                          <w:pPr>
                            <w:pStyle w:val="29"/>
                          </w:pPr>
                          <w:r>
                            <w:fldChar w:fldCharType="begin"/>
                          </w:r>
                          <w:r>
                            <w:instrText xml:space="preserve"> PAGE  \* MERGEFORMAT </w:instrText>
                          </w:r>
                          <w:r>
                            <w:fldChar w:fldCharType="separate"/>
                          </w:r>
                          <w:r>
                            <w:t>83</w:t>
                          </w:r>
                          <w:r>
                            <w:fldChar w:fldCharType="end"/>
                          </w:r>
                        </w:p>
                      </w:txbxContent>
                    </wps:txbx>
                    <wps:bodyPr lIns="0" tIns="0" rIns="0" bIns="0" upright="1"/>
                  </wps:wsp>
                </a:graphicData>
              </a:graphic>
            </wp:anchor>
          </w:drawing>
        </mc:Choice>
        <mc:Fallback>
          <w:pict>
            <v:shape id="文本框 1031" o:spid="_x0000_s1026" o:spt="202" type="#_x0000_t202" style="position:absolute;left:0pt;margin-top:0pt;height:13.85pt;width:26.55pt;mso-position-horizontal:center;mso-position-horizontal-relative:margin;z-index:251661312;mso-width-relative:page;mso-height-relative:page;" filled="f" stroked="f" coordsize="21600,21600" o:gfxdata="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SklyHUAAAAAwEAAA8AAAAAAAAAAQAgAAAAIgAAAGRycy9kb3ducmV2LnhtbFBL&#10;AQIUABQAAAAIAIdO4kCu/k7wwQEAAIIDAAAOAAAAAAAAAAEAIAAAACMBAABkcnMvZTJvRG9jLnht&#10;bFBLBQYAAAAABgAGAFkBAABWBQAAAAA=&#10;">
              <v:fill on="f" focussize="0,0"/>
              <v:stroke on="f"/>
              <v:imagedata o:title=""/>
              <o:lock v:ext="edit" aspectratio="f"/>
              <v:textbox inset="0mm,0mm,0mm,0mm">
                <w:txbxContent>
                  <w:p w14:paraId="24AEAF67">
                    <w:pPr>
                      <w:pStyle w:val="29"/>
                    </w:pPr>
                    <w:r>
                      <w:fldChar w:fldCharType="begin"/>
                    </w:r>
                    <w:r>
                      <w:instrText xml:space="preserve"> PAGE  \* MERGEFORMAT </w:instrText>
                    </w:r>
                    <w:r>
                      <w:fldChar w:fldCharType="separate"/>
                    </w:r>
                    <w:r>
                      <w:t>83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1BE89">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B557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B63AB">
    <w:pPr>
      <w:pStyle w:val="3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C1EEA">
    <w:pPr>
      <w:pStyle w:val="3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A1210">
    <w:pPr>
      <w:spacing w:before="48" w:line="221" w:lineRule="auto"/>
      <w:ind w:left="483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6E126">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8CF6CF"/>
    <w:multiLevelType w:val="singleLevel"/>
    <w:tmpl w:val="D78CF6CF"/>
    <w:lvl w:ilvl="0" w:tentative="0">
      <w:start w:val="1"/>
      <w:numFmt w:val="decimal"/>
      <w:suff w:val="nothing"/>
      <w:lvlText w:val="%1、"/>
      <w:lvlJc w:val="left"/>
    </w:lvl>
  </w:abstractNum>
  <w:abstractNum w:abstractNumId="1">
    <w:nsid w:val="00000001"/>
    <w:multiLevelType w:val="singleLevel"/>
    <w:tmpl w:val="00000001"/>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9"/>
  <w:doNotShadeFormData w:val="1"/>
  <w:noPunctuationKerning w:val="1"/>
  <w:characterSpacingControl w:val="compressPunctuation"/>
  <w:doNotValidateAgainstSchema/>
  <w:doNotDemarcateInvalidXml/>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mMDY2ZDg2YTg3ZjY2NDBlOTg3NDM2MDgxMWIxMWYifQ=="/>
  </w:docVars>
  <w:rsids>
    <w:rsidRoot w:val="00172A27"/>
    <w:rsid w:val="0000000C"/>
    <w:rsid w:val="00001DFB"/>
    <w:rsid w:val="0000208C"/>
    <w:rsid w:val="0000301F"/>
    <w:rsid w:val="00003F39"/>
    <w:rsid w:val="00010750"/>
    <w:rsid w:val="0001148D"/>
    <w:rsid w:val="00013A69"/>
    <w:rsid w:val="000232F3"/>
    <w:rsid w:val="00025E45"/>
    <w:rsid w:val="00035961"/>
    <w:rsid w:val="00035990"/>
    <w:rsid w:val="00037393"/>
    <w:rsid w:val="000401C7"/>
    <w:rsid w:val="00041843"/>
    <w:rsid w:val="00046CA0"/>
    <w:rsid w:val="00050EEC"/>
    <w:rsid w:val="00057222"/>
    <w:rsid w:val="00057984"/>
    <w:rsid w:val="000619DE"/>
    <w:rsid w:val="00061DC6"/>
    <w:rsid w:val="00063961"/>
    <w:rsid w:val="00066565"/>
    <w:rsid w:val="00066734"/>
    <w:rsid w:val="000707BD"/>
    <w:rsid w:val="00070847"/>
    <w:rsid w:val="00070A36"/>
    <w:rsid w:val="000717AF"/>
    <w:rsid w:val="000731BE"/>
    <w:rsid w:val="00076DFF"/>
    <w:rsid w:val="000801C7"/>
    <w:rsid w:val="00081183"/>
    <w:rsid w:val="00081B0D"/>
    <w:rsid w:val="00082971"/>
    <w:rsid w:val="000842B8"/>
    <w:rsid w:val="00085B1B"/>
    <w:rsid w:val="00087601"/>
    <w:rsid w:val="00093DED"/>
    <w:rsid w:val="00096117"/>
    <w:rsid w:val="000961D1"/>
    <w:rsid w:val="000969AD"/>
    <w:rsid w:val="00096EAD"/>
    <w:rsid w:val="00097089"/>
    <w:rsid w:val="0009771B"/>
    <w:rsid w:val="000A0237"/>
    <w:rsid w:val="000A2325"/>
    <w:rsid w:val="000A43F6"/>
    <w:rsid w:val="000B1532"/>
    <w:rsid w:val="000B373A"/>
    <w:rsid w:val="000C228C"/>
    <w:rsid w:val="000C51B5"/>
    <w:rsid w:val="000C620C"/>
    <w:rsid w:val="000D1830"/>
    <w:rsid w:val="000D38A7"/>
    <w:rsid w:val="000D4459"/>
    <w:rsid w:val="000D6C22"/>
    <w:rsid w:val="000E29C4"/>
    <w:rsid w:val="000E2A6B"/>
    <w:rsid w:val="000E6035"/>
    <w:rsid w:val="000F01B1"/>
    <w:rsid w:val="000F3140"/>
    <w:rsid w:val="000F6532"/>
    <w:rsid w:val="00101CEC"/>
    <w:rsid w:val="00105B2A"/>
    <w:rsid w:val="00107187"/>
    <w:rsid w:val="00113E79"/>
    <w:rsid w:val="00115978"/>
    <w:rsid w:val="0012076C"/>
    <w:rsid w:val="00122417"/>
    <w:rsid w:val="001231BA"/>
    <w:rsid w:val="00123EEF"/>
    <w:rsid w:val="0012463C"/>
    <w:rsid w:val="00125070"/>
    <w:rsid w:val="00125EF3"/>
    <w:rsid w:val="001272D0"/>
    <w:rsid w:val="00127D48"/>
    <w:rsid w:val="00130C26"/>
    <w:rsid w:val="00131B89"/>
    <w:rsid w:val="00141FFD"/>
    <w:rsid w:val="00142277"/>
    <w:rsid w:val="00144067"/>
    <w:rsid w:val="0015519B"/>
    <w:rsid w:val="00161561"/>
    <w:rsid w:val="00161A8B"/>
    <w:rsid w:val="00161EA5"/>
    <w:rsid w:val="0016229B"/>
    <w:rsid w:val="0016283A"/>
    <w:rsid w:val="001656DA"/>
    <w:rsid w:val="00170ECC"/>
    <w:rsid w:val="00172A27"/>
    <w:rsid w:val="00173B7C"/>
    <w:rsid w:val="0017525D"/>
    <w:rsid w:val="001760FC"/>
    <w:rsid w:val="00176F5F"/>
    <w:rsid w:val="00182B69"/>
    <w:rsid w:val="00184A15"/>
    <w:rsid w:val="00186352"/>
    <w:rsid w:val="00187838"/>
    <w:rsid w:val="0019624A"/>
    <w:rsid w:val="0019686F"/>
    <w:rsid w:val="001A24A8"/>
    <w:rsid w:val="001A35EA"/>
    <w:rsid w:val="001A5707"/>
    <w:rsid w:val="001A6B25"/>
    <w:rsid w:val="001B0D45"/>
    <w:rsid w:val="001B7912"/>
    <w:rsid w:val="001C6974"/>
    <w:rsid w:val="001D0B14"/>
    <w:rsid w:val="001D1EEC"/>
    <w:rsid w:val="001D2332"/>
    <w:rsid w:val="001D408D"/>
    <w:rsid w:val="001D4F8A"/>
    <w:rsid w:val="001D5943"/>
    <w:rsid w:val="001D7370"/>
    <w:rsid w:val="001D77F8"/>
    <w:rsid w:val="001E04BA"/>
    <w:rsid w:val="001E6075"/>
    <w:rsid w:val="001E68DA"/>
    <w:rsid w:val="001E7C7D"/>
    <w:rsid w:val="001F0129"/>
    <w:rsid w:val="0020733D"/>
    <w:rsid w:val="00210685"/>
    <w:rsid w:val="0021146A"/>
    <w:rsid w:val="00212E28"/>
    <w:rsid w:val="002137D8"/>
    <w:rsid w:val="00215037"/>
    <w:rsid w:val="00222469"/>
    <w:rsid w:val="0023286F"/>
    <w:rsid w:val="002338FF"/>
    <w:rsid w:val="00234171"/>
    <w:rsid w:val="00236C4F"/>
    <w:rsid w:val="00242889"/>
    <w:rsid w:val="00244AA0"/>
    <w:rsid w:val="00246F98"/>
    <w:rsid w:val="00251EC4"/>
    <w:rsid w:val="00254FAC"/>
    <w:rsid w:val="0025600F"/>
    <w:rsid w:val="00257812"/>
    <w:rsid w:val="0026026F"/>
    <w:rsid w:val="002609C3"/>
    <w:rsid w:val="002630F4"/>
    <w:rsid w:val="002640C4"/>
    <w:rsid w:val="00264897"/>
    <w:rsid w:val="00266AD0"/>
    <w:rsid w:val="00270F8F"/>
    <w:rsid w:val="00272B0D"/>
    <w:rsid w:val="00274771"/>
    <w:rsid w:val="00274F2A"/>
    <w:rsid w:val="00276CF1"/>
    <w:rsid w:val="002802EB"/>
    <w:rsid w:val="00282DE4"/>
    <w:rsid w:val="00283753"/>
    <w:rsid w:val="00297004"/>
    <w:rsid w:val="002A6176"/>
    <w:rsid w:val="002A66CE"/>
    <w:rsid w:val="002B1D9F"/>
    <w:rsid w:val="002B2981"/>
    <w:rsid w:val="002B452B"/>
    <w:rsid w:val="002C1E44"/>
    <w:rsid w:val="002C22ED"/>
    <w:rsid w:val="002C2E26"/>
    <w:rsid w:val="002C381A"/>
    <w:rsid w:val="002C4CB2"/>
    <w:rsid w:val="002D02D8"/>
    <w:rsid w:val="002D4A22"/>
    <w:rsid w:val="002D53FE"/>
    <w:rsid w:val="002D68B1"/>
    <w:rsid w:val="002D72F9"/>
    <w:rsid w:val="002D774D"/>
    <w:rsid w:val="002E0363"/>
    <w:rsid w:val="002E3B3B"/>
    <w:rsid w:val="002E4CF9"/>
    <w:rsid w:val="002E7BEB"/>
    <w:rsid w:val="002F07F2"/>
    <w:rsid w:val="002F1320"/>
    <w:rsid w:val="002F7F91"/>
    <w:rsid w:val="0030216E"/>
    <w:rsid w:val="00303064"/>
    <w:rsid w:val="00303A05"/>
    <w:rsid w:val="00307EB9"/>
    <w:rsid w:val="00310D97"/>
    <w:rsid w:val="00312EE6"/>
    <w:rsid w:val="00331647"/>
    <w:rsid w:val="003334ED"/>
    <w:rsid w:val="00335023"/>
    <w:rsid w:val="003354D7"/>
    <w:rsid w:val="00335773"/>
    <w:rsid w:val="0033593A"/>
    <w:rsid w:val="00335C59"/>
    <w:rsid w:val="00336804"/>
    <w:rsid w:val="00337745"/>
    <w:rsid w:val="00337BD7"/>
    <w:rsid w:val="00341094"/>
    <w:rsid w:val="003462CA"/>
    <w:rsid w:val="00350864"/>
    <w:rsid w:val="00351820"/>
    <w:rsid w:val="003551D0"/>
    <w:rsid w:val="0035568C"/>
    <w:rsid w:val="003579EF"/>
    <w:rsid w:val="00360387"/>
    <w:rsid w:val="00360977"/>
    <w:rsid w:val="00362C04"/>
    <w:rsid w:val="00364662"/>
    <w:rsid w:val="003669F6"/>
    <w:rsid w:val="00366DB1"/>
    <w:rsid w:val="00372965"/>
    <w:rsid w:val="003809BB"/>
    <w:rsid w:val="00380F84"/>
    <w:rsid w:val="003860E6"/>
    <w:rsid w:val="00387DA5"/>
    <w:rsid w:val="00390D56"/>
    <w:rsid w:val="00394F78"/>
    <w:rsid w:val="00396797"/>
    <w:rsid w:val="00396840"/>
    <w:rsid w:val="003A643A"/>
    <w:rsid w:val="003B0AED"/>
    <w:rsid w:val="003B0CFC"/>
    <w:rsid w:val="003B2981"/>
    <w:rsid w:val="003B7BD1"/>
    <w:rsid w:val="003C214B"/>
    <w:rsid w:val="003C6106"/>
    <w:rsid w:val="003C656F"/>
    <w:rsid w:val="003C76BA"/>
    <w:rsid w:val="003D5945"/>
    <w:rsid w:val="003D5A18"/>
    <w:rsid w:val="003D6F34"/>
    <w:rsid w:val="003D78D3"/>
    <w:rsid w:val="003E1539"/>
    <w:rsid w:val="003E2B97"/>
    <w:rsid w:val="003E3912"/>
    <w:rsid w:val="003E599D"/>
    <w:rsid w:val="003E716B"/>
    <w:rsid w:val="003F1710"/>
    <w:rsid w:val="003F19FC"/>
    <w:rsid w:val="003F2FEA"/>
    <w:rsid w:val="003F5635"/>
    <w:rsid w:val="003F6930"/>
    <w:rsid w:val="00403CF8"/>
    <w:rsid w:val="00404C82"/>
    <w:rsid w:val="004075B2"/>
    <w:rsid w:val="00413290"/>
    <w:rsid w:val="004171EB"/>
    <w:rsid w:val="00426035"/>
    <w:rsid w:val="004305AD"/>
    <w:rsid w:val="00431DB8"/>
    <w:rsid w:val="004371B6"/>
    <w:rsid w:val="00437E96"/>
    <w:rsid w:val="00444E1E"/>
    <w:rsid w:val="00451D93"/>
    <w:rsid w:val="00452000"/>
    <w:rsid w:val="0045201E"/>
    <w:rsid w:val="00454353"/>
    <w:rsid w:val="004572C9"/>
    <w:rsid w:val="0045794F"/>
    <w:rsid w:val="00457C63"/>
    <w:rsid w:val="00463690"/>
    <w:rsid w:val="004677F1"/>
    <w:rsid w:val="004700BB"/>
    <w:rsid w:val="004710BA"/>
    <w:rsid w:val="00471513"/>
    <w:rsid w:val="0047263B"/>
    <w:rsid w:val="00473824"/>
    <w:rsid w:val="00473E26"/>
    <w:rsid w:val="00477D63"/>
    <w:rsid w:val="00480583"/>
    <w:rsid w:val="00480E3F"/>
    <w:rsid w:val="00481C86"/>
    <w:rsid w:val="00485F05"/>
    <w:rsid w:val="004875D9"/>
    <w:rsid w:val="00491BDE"/>
    <w:rsid w:val="0049392E"/>
    <w:rsid w:val="004A3180"/>
    <w:rsid w:val="004A5264"/>
    <w:rsid w:val="004A5295"/>
    <w:rsid w:val="004A72E5"/>
    <w:rsid w:val="004B1729"/>
    <w:rsid w:val="004B1E6A"/>
    <w:rsid w:val="004B28C9"/>
    <w:rsid w:val="004B4550"/>
    <w:rsid w:val="004B461E"/>
    <w:rsid w:val="004B66ED"/>
    <w:rsid w:val="004B7006"/>
    <w:rsid w:val="004D2938"/>
    <w:rsid w:val="004D3465"/>
    <w:rsid w:val="004D415F"/>
    <w:rsid w:val="004D5B53"/>
    <w:rsid w:val="004E04CE"/>
    <w:rsid w:val="004E05D6"/>
    <w:rsid w:val="004E08D2"/>
    <w:rsid w:val="004E4D48"/>
    <w:rsid w:val="004E583F"/>
    <w:rsid w:val="004E6BBE"/>
    <w:rsid w:val="004F0F04"/>
    <w:rsid w:val="004F20AB"/>
    <w:rsid w:val="004F6C35"/>
    <w:rsid w:val="004F7A9D"/>
    <w:rsid w:val="00500B3E"/>
    <w:rsid w:val="00501457"/>
    <w:rsid w:val="0050153F"/>
    <w:rsid w:val="005020E2"/>
    <w:rsid w:val="00502838"/>
    <w:rsid w:val="00503FA5"/>
    <w:rsid w:val="00505182"/>
    <w:rsid w:val="005062A7"/>
    <w:rsid w:val="00506D59"/>
    <w:rsid w:val="005125FB"/>
    <w:rsid w:val="005157CE"/>
    <w:rsid w:val="0051766F"/>
    <w:rsid w:val="00517EE3"/>
    <w:rsid w:val="00521496"/>
    <w:rsid w:val="0052155E"/>
    <w:rsid w:val="005254CA"/>
    <w:rsid w:val="005324F4"/>
    <w:rsid w:val="005327D1"/>
    <w:rsid w:val="00537D1A"/>
    <w:rsid w:val="005429F1"/>
    <w:rsid w:val="005466AA"/>
    <w:rsid w:val="00551936"/>
    <w:rsid w:val="00551DEA"/>
    <w:rsid w:val="00552E7C"/>
    <w:rsid w:val="00554C90"/>
    <w:rsid w:val="00556020"/>
    <w:rsid w:val="005578AD"/>
    <w:rsid w:val="00565714"/>
    <w:rsid w:val="00566664"/>
    <w:rsid w:val="00571B63"/>
    <w:rsid w:val="00577863"/>
    <w:rsid w:val="00577E0E"/>
    <w:rsid w:val="00584DB0"/>
    <w:rsid w:val="00586587"/>
    <w:rsid w:val="005915F6"/>
    <w:rsid w:val="00592256"/>
    <w:rsid w:val="00595C11"/>
    <w:rsid w:val="005971B3"/>
    <w:rsid w:val="00597AD8"/>
    <w:rsid w:val="005A4373"/>
    <w:rsid w:val="005A5268"/>
    <w:rsid w:val="005A5EEA"/>
    <w:rsid w:val="005A6323"/>
    <w:rsid w:val="005A7453"/>
    <w:rsid w:val="005B1DC3"/>
    <w:rsid w:val="005B2EEE"/>
    <w:rsid w:val="005B48A5"/>
    <w:rsid w:val="005B4EC4"/>
    <w:rsid w:val="005C1B93"/>
    <w:rsid w:val="005C1CFB"/>
    <w:rsid w:val="005C1D41"/>
    <w:rsid w:val="005C32DF"/>
    <w:rsid w:val="005D2CA0"/>
    <w:rsid w:val="005D3597"/>
    <w:rsid w:val="005D6125"/>
    <w:rsid w:val="005D6D3F"/>
    <w:rsid w:val="005E0D35"/>
    <w:rsid w:val="005E3755"/>
    <w:rsid w:val="005E4D29"/>
    <w:rsid w:val="005E7CA5"/>
    <w:rsid w:val="005F3E3E"/>
    <w:rsid w:val="00603E74"/>
    <w:rsid w:val="0060438D"/>
    <w:rsid w:val="00607EFB"/>
    <w:rsid w:val="006118F9"/>
    <w:rsid w:val="00613055"/>
    <w:rsid w:val="00616187"/>
    <w:rsid w:val="00617BF3"/>
    <w:rsid w:val="00622D2B"/>
    <w:rsid w:val="00622E9E"/>
    <w:rsid w:val="0062368B"/>
    <w:rsid w:val="006248C2"/>
    <w:rsid w:val="00634B21"/>
    <w:rsid w:val="0064071B"/>
    <w:rsid w:val="00641F78"/>
    <w:rsid w:val="00643290"/>
    <w:rsid w:val="00643C89"/>
    <w:rsid w:val="00652E9C"/>
    <w:rsid w:val="00652F8B"/>
    <w:rsid w:val="006532CE"/>
    <w:rsid w:val="00654413"/>
    <w:rsid w:val="00654C1A"/>
    <w:rsid w:val="0065583B"/>
    <w:rsid w:val="00660524"/>
    <w:rsid w:val="006613F3"/>
    <w:rsid w:val="00662A99"/>
    <w:rsid w:val="006648A2"/>
    <w:rsid w:val="00671DF7"/>
    <w:rsid w:val="00672A8F"/>
    <w:rsid w:val="00681169"/>
    <w:rsid w:val="00683BA4"/>
    <w:rsid w:val="0068416D"/>
    <w:rsid w:val="00684C44"/>
    <w:rsid w:val="006875D3"/>
    <w:rsid w:val="00687D01"/>
    <w:rsid w:val="006975BA"/>
    <w:rsid w:val="006A0A3E"/>
    <w:rsid w:val="006A5912"/>
    <w:rsid w:val="006B2691"/>
    <w:rsid w:val="006B4C01"/>
    <w:rsid w:val="006C1CE3"/>
    <w:rsid w:val="006C2BD9"/>
    <w:rsid w:val="006D1075"/>
    <w:rsid w:val="006D2F2D"/>
    <w:rsid w:val="006D42F1"/>
    <w:rsid w:val="006D6BC4"/>
    <w:rsid w:val="006D72B9"/>
    <w:rsid w:val="006E2192"/>
    <w:rsid w:val="006E3091"/>
    <w:rsid w:val="006E462A"/>
    <w:rsid w:val="006E5DD3"/>
    <w:rsid w:val="006F258F"/>
    <w:rsid w:val="006F2707"/>
    <w:rsid w:val="006F3FDF"/>
    <w:rsid w:val="006F4000"/>
    <w:rsid w:val="006F7E45"/>
    <w:rsid w:val="007004EE"/>
    <w:rsid w:val="00706925"/>
    <w:rsid w:val="00706B06"/>
    <w:rsid w:val="00710EFE"/>
    <w:rsid w:val="007148B4"/>
    <w:rsid w:val="00714E51"/>
    <w:rsid w:val="00717262"/>
    <w:rsid w:val="00721A59"/>
    <w:rsid w:val="00722976"/>
    <w:rsid w:val="0072737A"/>
    <w:rsid w:val="00730CE0"/>
    <w:rsid w:val="0073129A"/>
    <w:rsid w:val="00731EBE"/>
    <w:rsid w:val="00732E79"/>
    <w:rsid w:val="0073432F"/>
    <w:rsid w:val="00734D97"/>
    <w:rsid w:val="00735F6C"/>
    <w:rsid w:val="007367D8"/>
    <w:rsid w:val="0074112B"/>
    <w:rsid w:val="0074353F"/>
    <w:rsid w:val="00743683"/>
    <w:rsid w:val="007443CC"/>
    <w:rsid w:val="0074611A"/>
    <w:rsid w:val="0074673E"/>
    <w:rsid w:val="00747244"/>
    <w:rsid w:val="00750624"/>
    <w:rsid w:val="00750EBA"/>
    <w:rsid w:val="00753470"/>
    <w:rsid w:val="00753F54"/>
    <w:rsid w:val="007541EF"/>
    <w:rsid w:val="007554A0"/>
    <w:rsid w:val="00756DFC"/>
    <w:rsid w:val="007606CB"/>
    <w:rsid w:val="00762981"/>
    <w:rsid w:val="0076328B"/>
    <w:rsid w:val="00763A73"/>
    <w:rsid w:val="007640DA"/>
    <w:rsid w:val="00773EA7"/>
    <w:rsid w:val="00781A22"/>
    <w:rsid w:val="00784ABE"/>
    <w:rsid w:val="00784C19"/>
    <w:rsid w:val="00785319"/>
    <w:rsid w:val="007864B4"/>
    <w:rsid w:val="00787D2A"/>
    <w:rsid w:val="00792C79"/>
    <w:rsid w:val="007938E7"/>
    <w:rsid w:val="00794504"/>
    <w:rsid w:val="007965CD"/>
    <w:rsid w:val="007967B5"/>
    <w:rsid w:val="007B726C"/>
    <w:rsid w:val="007B7850"/>
    <w:rsid w:val="007C0773"/>
    <w:rsid w:val="007C321C"/>
    <w:rsid w:val="007C43ED"/>
    <w:rsid w:val="007C4D1C"/>
    <w:rsid w:val="007C6E5E"/>
    <w:rsid w:val="007C7051"/>
    <w:rsid w:val="007D092C"/>
    <w:rsid w:val="007D192A"/>
    <w:rsid w:val="007D1AB2"/>
    <w:rsid w:val="007D41BF"/>
    <w:rsid w:val="007D49A9"/>
    <w:rsid w:val="007D52B8"/>
    <w:rsid w:val="007D65C7"/>
    <w:rsid w:val="007E5791"/>
    <w:rsid w:val="007E615D"/>
    <w:rsid w:val="007E79F7"/>
    <w:rsid w:val="007F3FB9"/>
    <w:rsid w:val="007F4198"/>
    <w:rsid w:val="007F42CB"/>
    <w:rsid w:val="007F55B8"/>
    <w:rsid w:val="007F5690"/>
    <w:rsid w:val="0080006F"/>
    <w:rsid w:val="008016FC"/>
    <w:rsid w:val="008028C2"/>
    <w:rsid w:val="00805137"/>
    <w:rsid w:val="00805D50"/>
    <w:rsid w:val="0080749C"/>
    <w:rsid w:val="00811D18"/>
    <w:rsid w:val="008151D5"/>
    <w:rsid w:val="00816AA9"/>
    <w:rsid w:val="00816BCE"/>
    <w:rsid w:val="0082166B"/>
    <w:rsid w:val="00823CF7"/>
    <w:rsid w:val="008252C7"/>
    <w:rsid w:val="00825520"/>
    <w:rsid w:val="008321D7"/>
    <w:rsid w:val="008334EF"/>
    <w:rsid w:val="00835FC8"/>
    <w:rsid w:val="0083685D"/>
    <w:rsid w:val="00836BDC"/>
    <w:rsid w:val="008403A7"/>
    <w:rsid w:val="00844285"/>
    <w:rsid w:val="008479B0"/>
    <w:rsid w:val="008544A2"/>
    <w:rsid w:val="0086059C"/>
    <w:rsid w:val="00860BCE"/>
    <w:rsid w:val="00860CA6"/>
    <w:rsid w:val="00862D6D"/>
    <w:rsid w:val="008669CF"/>
    <w:rsid w:val="00871AD9"/>
    <w:rsid w:val="00872378"/>
    <w:rsid w:val="0087547E"/>
    <w:rsid w:val="008755BD"/>
    <w:rsid w:val="00876E1F"/>
    <w:rsid w:val="00880A0A"/>
    <w:rsid w:val="0088794D"/>
    <w:rsid w:val="00891EF5"/>
    <w:rsid w:val="00892267"/>
    <w:rsid w:val="008A0115"/>
    <w:rsid w:val="008A18BA"/>
    <w:rsid w:val="008A1C7C"/>
    <w:rsid w:val="008A1E1D"/>
    <w:rsid w:val="008A1F6A"/>
    <w:rsid w:val="008B0361"/>
    <w:rsid w:val="008B0E7D"/>
    <w:rsid w:val="008B1B44"/>
    <w:rsid w:val="008B1F6C"/>
    <w:rsid w:val="008B3FCB"/>
    <w:rsid w:val="008B776E"/>
    <w:rsid w:val="008C1F83"/>
    <w:rsid w:val="008C44EF"/>
    <w:rsid w:val="008D104E"/>
    <w:rsid w:val="008D14A8"/>
    <w:rsid w:val="008D65E3"/>
    <w:rsid w:val="008E321A"/>
    <w:rsid w:val="008E4927"/>
    <w:rsid w:val="008E52CF"/>
    <w:rsid w:val="008E6280"/>
    <w:rsid w:val="008F02DF"/>
    <w:rsid w:val="008F0D91"/>
    <w:rsid w:val="008F14CE"/>
    <w:rsid w:val="00903367"/>
    <w:rsid w:val="00904D23"/>
    <w:rsid w:val="009057F5"/>
    <w:rsid w:val="00905F37"/>
    <w:rsid w:val="009070A7"/>
    <w:rsid w:val="0090745E"/>
    <w:rsid w:val="0091169B"/>
    <w:rsid w:val="00912181"/>
    <w:rsid w:val="0091740E"/>
    <w:rsid w:val="0092598A"/>
    <w:rsid w:val="009275BE"/>
    <w:rsid w:val="00927BE3"/>
    <w:rsid w:val="00931E47"/>
    <w:rsid w:val="00932D82"/>
    <w:rsid w:val="009330F1"/>
    <w:rsid w:val="00935EF6"/>
    <w:rsid w:val="009360F6"/>
    <w:rsid w:val="009365E0"/>
    <w:rsid w:val="00936B34"/>
    <w:rsid w:val="00937E36"/>
    <w:rsid w:val="00942F8D"/>
    <w:rsid w:val="00946D8A"/>
    <w:rsid w:val="00950B55"/>
    <w:rsid w:val="009536BD"/>
    <w:rsid w:val="0095400B"/>
    <w:rsid w:val="00954C2A"/>
    <w:rsid w:val="00962A70"/>
    <w:rsid w:val="009654D8"/>
    <w:rsid w:val="009714DE"/>
    <w:rsid w:val="0097476A"/>
    <w:rsid w:val="00975BDE"/>
    <w:rsid w:val="00976311"/>
    <w:rsid w:val="00976894"/>
    <w:rsid w:val="00985449"/>
    <w:rsid w:val="00987EE7"/>
    <w:rsid w:val="009954CA"/>
    <w:rsid w:val="00996503"/>
    <w:rsid w:val="0099730D"/>
    <w:rsid w:val="009975A7"/>
    <w:rsid w:val="00997BFC"/>
    <w:rsid w:val="009A07B3"/>
    <w:rsid w:val="009A343C"/>
    <w:rsid w:val="009A4487"/>
    <w:rsid w:val="009A464E"/>
    <w:rsid w:val="009A49AB"/>
    <w:rsid w:val="009A6748"/>
    <w:rsid w:val="009B261F"/>
    <w:rsid w:val="009C6F6F"/>
    <w:rsid w:val="009D1105"/>
    <w:rsid w:val="009D1E71"/>
    <w:rsid w:val="009D350C"/>
    <w:rsid w:val="009E006F"/>
    <w:rsid w:val="009E2DBF"/>
    <w:rsid w:val="009E2FCC"/>
    <w:rsid w:val="009E460F"/>
    <w:rsid w:val="009E552A"/>
    <w:rsid w:val="009F0F99"/>
    <w:rsid w:val="009F138A"/>
    <w:rsid w:val="009F56BE"/>
    <w:rsid w:val="009F656E"/>
    <w:rsid w:val="00A018B2"/>
    <w:rsid w:val="00A03D69"/>
    <w:rsid w:val="00A04A7E"/>
    <w:rsid w:val="00A1725D"/>
    <w:rsid w:val="00A173E0"/>
    <w:rsid w:val="00A23715"/>
    <w:rsid w:val="00A265D1"/>
    <w:rsid w:val="00A276A7"/>
    <w:rsid w:val="00A35C6F"/>
    <w:rsid w:val="00A40CDF"/>
    <w:rsid w:val="00A41A61"/>
    <w:rsid w:val="00A42294"/>
    <w:rsid w:val="00A42956"/>
    <w:rsid w:val="00A439E2"/>
    <w:rsid w:val="00A43C26"/>
    <w:rsid w:val="00A46173"/>
    <w:rsid w:val="00A51177"/>
    <w:rsid w:val="00A53E7F"/>
    <w:rsid w:val="00A548E5"/>
    <w:rsid w:val="00A57BA6"/>
    <w:rsid w:val="00A57ED8"/>
    <w:rsid w:val="00A60505"/>
    <w:rsid w:val="00A6270D"/>
    <w:rsid w:val="00A62F40"/>
    <w:rsid w:val="00A63081"/>
    <w:rsid w:val="00A64A15"/>
    <w:rsid w:val="00A706DC"/>
    <w:rsid w:val="00A70CEE"/>
    <w:rsid w:val="00A7328D"/>
    <w:rsid w:val="00A73664"/>
    <w:rsid w:val="00A76F52"/>
    <w:rsid w:val="00A8022F"/>
    <w:rsid w:val="00A84DB9"/>
    <w:rsid w:val="00A86975"/>
    <w:rsid w:val="00A92C73"/>
    <w:rsid w:val="00A92F04"/>
    <w:rsid w:val="00A9585F"/>
    <w:rsid w:val="00A978B3"/>
    <w:rsid w:val="00AA174A"/>
    <w:rsid w:val="00AA4FA1"/>
    <w:rsid w:val="00AA5D2A"/>
    <w:rsid w:val="00AB24F2"/>
    <w:rsid w:val="00AB4604"/>
    <w:rsid w:val="00AB5500"/>
    <w:rsid w:val="00AC7036"/>
    <w:rsid w:val="00AD1922"/>
    <w:rsid w:val="00AE6204"/>
    <w:rsid w:val="00AF23C8"/>
    <w:rsid w:val="00AF3310"/>
    <w:rsid w:val="00AF58F7"/>
    <w:rsid w:val="00B0403A"/>
    <w:rsid w:val="00B11B11"/>
    <w:rsid w:val="00B1317F"/>
    <w:rsid w:val="00B20685"/>
    <w:rsid w:val="00B27CAA"/>
    <w:rsid w:val="00B31EC6"/>
    <w:rsid w:val="00B354FA"/>
    <w:rsid w:val="00B4510A"/>
    <w:rsid w:val="00B4614D"/>
    <w:rsid w:val="00B5159B"/>
    <w:rsid w:val="00B54DA8"/>
    <w:rsid w:val="00B55535"/>
    <w:rsid w:val="00B56201"/>
    <w:rsid w:val="00B574B9"/>
    <w:rsid w:val="00B61C30"/>
    <w:rsid w:val="00B621D3"/>
    <w:rsid w:val="00B62947"/>
    <w:rsid w:val="00B62BFD"/>
    <w:rsid w:val="00B63F2F"/>
    <w:rsid w:val="00B64C8A"/>
    <w:rsid w:val="00B7171F"/>
    <w:rsid w:val="00B72399"/>
    <w:rsid w:val="00B72604"/>
    <w:rsid w:val="00B728F5"/>
    <w:rsid w:val="00B74A84"/>
    <w:rsid w:val="00B7713F"/>
    <w:rsid w:val="00B77C5B"/>
    <w:rsid w:val="00B77DE2"/>
    <w:rsid w:val="00B837C0"/>
    <w:rsid w:val="00B84A4B"/>
    <w:rsid w:val="00B85C3A"/>
    <w:rsid w:val="00B937F5"/>
    <w:rsid w:val="00B93F5B"/>
    <w:rsid w:val="00B942BE"/>
    <w:rsid w:val="00B94A0A"/>
    <w:rsid w:val="00B96761"/>
    <w:rsid w:val="00B96A8D"/>
    <w:rsid w:val="00B96F5E"/>
    <w:rsid w:val="00BA3DB9"/>
    <w:rsid w:val="00BB4598"/>
    <w:rsid w:val="00BB6A99"/>
    <w:rsid w:val="00BC1207"/>
    <w:rsid w:val="00BC184D"/>
    <w:rsid w:val="00BD3409"/>
    <w:rsid w:val="00BD4068"/>
    <w:rsid w:val="00BD74C2"/>
    <w:rsid w:val="00BE0536"/>
    <w:rsid w:val="00BE056D"/>
    <w:rsid w:val="00BE086F"/>
    <w:rsid w:val="00BE3775"/>
    <w:rsid w:val="00BE51B1"/>
    <w:rsid w:val="00BE581A"/>
    <w:rsid w:val="00BF1E9C"/>
    <w:rsid w:val="00BF7B5C"/>
    <w:rsid w:val="00C01F60"/>
    <w:rsid w:val="00C020C9"/>
    <w:rsid w:val="00C026CB"/>
    <w:rsid w:val="00C035FA"/>
    <w:rsid w:val="00C0419D"/>
    <w:rsid w:val="00C13269"/>
    <w:rsid w:val="00C1355C"/>
    <w:rsid w:val="00C160A6"/>
    <w:rsid w:val="00C21D77"/>
    <w:rsid w:val="00C225A4"/>
    <w:rsid w:val="00C233E3"/>
    <w:rsid w:val="00C25DBA"/>
    <w:rsid w:val="00C27FD4"/>
    <w:rsid w:val="00C31E4D"/>
    <w:rsid w:val="00C34732"/>
    <w:rsid w:val="00C37233"/>
    <w:rsid w:val="00C4174F"/>
    <w:rsid w:val="00C423F8"/>
    <w:rsid w:val="00C42DB3"/>
    <w:rsid w:val="00C4487A"/>
    <w:rsid w:val="00C46749"/>
    <w:rsid w:val="00C46814"/>
    <w:rsid w:val="00C46D1E"/>
    <w:rsid w:val="00C4721C"/>
    <w:rsid w:val="00C50DD5"/>
    <w:rsid w:val="00C57EC3"/>
    <w:rsid w:val="00C663D8"/>
    <w:rsid w:val="00C73DF2"/>
    <w:rsid w:val="00C820C7"/>
    <w:rsid w:val="00C82CC5"/>
    <w:rsid w:val="00C86317"/>
    <w:rsid w:val="00C86BEE"/>
    <w:rsid w:val="00C90446"/>
    <w:rsid w:val="00C905E6"/>
    <w:rsid w:val="00C95339"/>
    <w:rsid w:val="00C96474"/>
    <w:rsid w:val="00CA10BF"/>
    <w:rsid w:val="00CA140A"/>
    <w:rsid w:val="00CA288C"/>
    <w:rsid w:val="00CA2A1E"/>
    <w:rsid w:val="00CA472D"/>
    <w:rsid w:val="00CB2494"/>
    <w:rsid w:val="00CB4847"/>
    <w:rsid w:val="00CC134E"/>
    <w:rsid w:val="00CC2573"/>
    <w:rsid w:val="00CC50B5"/>
    <w:rsid w:val="00CC5CB2"/>
    <w:rsid w:val="00CD3A1D"/>
    <w:rsid w:val="00CD4E8E"/>
    <w:rsid w:val="00CE036A"/>
    <w:rsid w:val="00CE419D"/>
    <w:rsid w:val="00CE4FB0"/>
    <w:rsid w:val="00CE5BD8"/>
    <w:rsid w:val="00CE78E3"/>
    <w:rsid w:val="00CF306F"/>
    <w:rsid w:val="00CF7C85"/>
    <w:rsid w:val="00CF7CC2"/>
    <w:rsid w:val="00D0637A"/>
    <w:rsid w:val="00D1088B"/>
    <w:rsid w:val="00D11115"/>
    <w:rsid w:val="00D126E8"/>
    <w:rsid w:val="00D129BA"/>
    <w:rsid w:val="00D16B49"/>
    <w:rsid w:val="00D201EF"/>
    <w:rsid w:val="00D20DB9"/>
    <w:rsid w:val="00D20FC9"/>
    <w:rsid w:val="00D21D3D"/>
    <w:rsid w:val="00D22C4A"/>
    <w:rsid w:val="00D23242"/>
    <w:rsid w:val="00D34453"/>
    <w:rsid w:val="00D3451C"/>
    <w:rsid w:val="00D34629"/>
    <w:rsid w:val="00D3701A"/>
    <w:rsid w:val="00D3784B"/>
    <w:rsid w:val="00D44D67"/>
    <w:rsid w:val="00D46638"/>
    <w:rsid w:val="00D52D3A"/>
    <w:rsid w:val="00D534B4"/>
    <w:rsid w:val="00D54F0F"/>
    <w:rsid w:val="00D716B1"/>
    <w:rsid w:val="00D73AE1"/>
    <w:rsid w:val="00D74D52"/>
    <w:rsid w:val="00D754FA"/>
    <w:rsid w:val="00D82B29"/>
    <w:rsid w:val="00D83673"/>
    <w:rsid w:val="00D83EC1"/>
    <w:rsid w:val="00D905A3"/>
    <w:rsid w:val="00D9245B"/>
    <w:rsid w:val="00DA023E"/>
    <w:rsid w:val="00DA05E6"/>
    <w:rsid w:val="00DA0933"/>
    <w:rsid w:val="00DA4FA1"/>
    <w:rsid w:val="00DA64B9"/>
    <w:rsid w:val="00DB2681"/>
    <w:rsid w:val="00DB30DF"/>
    <w:rsid w:val="00DB4792"/>
    <w:rsid w:val="00DB5B77"/>
    <w:rsid w:val="00DC1217"/>
    <w:rsid w:val="00DC17E5"/>
    <w:rsid w:val="00DC1F5D"/>
    <w:rsid w:val="00DC2CC3"/>
    <w:rsid w:val="00DC341C"/>
    <w:rsid w:val="00DC7248"/>
    <w:rsid w:val="00DD0722"/>
    <w:rsid w:val="00DD177A"/>
    <w:rsid w:val="00DD3FC9"/>
    <w:rsid w:val="00DD4D58"/>
    <w:rsid w:val="00DD518A"/>
    <w:rsid w:val="00DD6CCF"/>
    <w:rsid w:val="00DD7F49"/>
    <w:rsid w:val="00DE09F6"/>
    <w:rsid w:val="00DF1C52"/>
    <w:rsid w:val="00DF1D75"/>
    <w:rsid w:val="00DF1DF6"/>
    <w:rsid w:val="00DF7447"/>
    <w:rsid w:val="00DF7EFA"/>
    <w:rsid w:val="00E00D67"/>
    <w:rsid w:val="00E016F1"/>
    <w:rsid w:val="00E02800"/>
    <w:rsid w:val="00E03C23"/>
    <w:rsid w:val="00E05618"/>
    <w:rsid w:val="00E10BB5"/>
    <w:rsid w:val="00E1169F"/>
    <w:rsid w:val="00E12223"/>
    <w:rsid w:val="00E166C0"/>
    <w:rsid w:val="00E17AF4"/>
    <w:rsid w:val="00E23194"/>
    <w:rsid w:val="00E23C01"/>
    <w:rsid w:val="00E27566"/>
    <w:rsid w:val="00E27F19"/>
    <w:rsid w:val="00E31759"/>
    <w:rsid w:val="00E31CAC"/>
    <w:rsid w:val="00E325FA"/>
    <w:rsid w:val="00E327D8"/>
    <w:rsid w:val="00E32984"/>
    <w:rsid w:val="00E329CE"/>
    <w:rsid w:val="00E33F44"/>
    <w:rsid w:val="00E345C7"/>
    <w:rsid w:val="00E40D56"/>
    <w:rsid w:val="00E41244"/>
    <w:rsid w:val="00E50075"/>
    <w:rsid w:val="00E50335"/>
    <w:rsid w:val="00E52392"/>
    <w:rsid w:val="00E60B43"/>
    <w:rsid w:val="00E62404"/>
    <w:rsid w:val="00E626D4"/>
    <w:rsid w:val="00E62889"/>
    <w:rsid w:val="00E62EC4"/>
    <w:rsid w:val="00E64E85"/>
    <w:rsid w:val="00E65D4C"/>
    <w:rsid w:val="00E754B5"/>
    <w:rsid w:val="00E8085E"/>
    <w:rsid w:val="00E82C77"/>
    <w:rsid w:val="00E927AA"/>
    <w:rsid w:val="00E96BBD"/>
    <w:rsid w:val="00EA72F3"/>
    <w:rsid w:val="00EB08D8"/>
    <w:rsid w:val="00EB6794"/>
    <w:rsid w:val="00EB794C"/>
    <w:rsid w:val="00EC2641"/>
    <w:rsid w:val="00EC2B77"/>
    <w:rsid w:val="00ED2BBB"/>
    <w:rsid w:val="00ED72E0"/>
    <w:rsid w:val="00EE0B1B"/>
    <w:rsid w:val="00EF3BC3"/>
    <w:rsid w:val="00EF3C01"/>
    <w:rsid w:val="00F007D0"/>
    <w:rsid w:val="00F01958"/>
    <w:rsid w:val="00F11820"/>
    <w:rsid w:val="00F12C27"/>
    <w:rsid w:val="00F12F57"/>
    <w:rsid w:val="00F14E3C"/>
    <w:rsid w:val="00F15F4A"/>
    <w:rsid w:val="00F16956"/>
    <w:rsid w:val="00F259DE"/>
    <w:rsid w:val="00F27738"/>
    <w:rsid w:val="00F30793"/>
    <w:rsid w:val="00F33943"/>
    <w:rsid w:val="00F37D0E"/>
    <w:rsid w:val="00F410B1"/>
    <w:rsid w:val="00F454B7"/>
    <w:rsid w:val="00F61554"/>
    <w:rsid w:val="00F621CC"/>
    <w:rsid w:val="00F645EE"/>
    <w:rsid w:val="00F64C4A"/>
    <w:rsid w:val="00F714C5"/>
    <w:rsid w:val="00F87E3A"/>
    <w:rsid w:val="00F93FE2"/>
    <w:rsid w:val="00F964FF"/>
    <w:rsid w:val="00FA1C91"/>
    <w:rsid w:val="00FA6549"/>
    <w:rsid w:val="00FA7386"/>
    <w:rsid w:val="00FB32D2"/>
    <w:rsid w:val="00FB76EF"/>
    <w:rsid w:val="00FC2985"/>
    <w:rsid w:val="00FC38C3"/>
    <w:rsid w:val="00FD1D1F"/>
    <w:rsid w:val="00FD34C9"/>
    <w:rsid w:val="00FE00F6"/>
    <w:rsid w:val="00FE3909"/>
    <w:rsid w:val="00FE5F7F"/>
    <w:rsid w:val="00FF1686"/>
    <w:rsid w:val="00FF203C"/>
    <w:rsid w:val="00FF4053"/>
    <w:rsid w:val="00FF460F"/>
    <w:rsid w:val="00FF645C"/>
    <w:rsid w:val="010D7DD7"/>
    <w:rsid w:val="015974C0"/>
    <w:rsid w:val="01695955"/>
    <w:rsid w:val="01710365"/>
    <w:rsid w:val="018C1643"/>
    <w:rsid w:val="019F4E64"/>
    <w:rsid w:val="01B34E22"/>
    <w:rsid w:val="01DE5F18"/>
    <w:rsid w:val="01E62BB6"/>
    <w:rsid w:val="01E70533"/>
    <w:rsid w:val="02664AA4"/>
    <w:rsid w:val="0273635F"/>
    <w:rsid w:val="03192A63"/>
    <w:rsid w:val="0346428E"/>
    <w:rsid w:val="03475E56"/>
    <w:rsid w:val="034938A8"/>
    <w:rsid w:val="03A07B05"/>
    <w:rsid w:val="03AA5DB1"/>
    <w:rsid w:val="03D472D2"/>
    <w:rsid w:val="03D6740D"/>
    <w:rsid w:val="03DE3414"/>
    <w:rsid w:val="041B637C"/>
    <w:rsid w:val="04477AA3"/>
    <w:rsid w:val="04504BAA"/>
    <w:rsid w:val="04656DEC"/>
    <w:rsid w:val="04950B5A"/>
    <w:rsid w:val="04EE6309"/>
    <w:rsid w:val="052D4EF4"/>
    <w:rsid w:val="05614B95"/>
    <w:rsid w:val="057235EC"/>
    <w:rsid w:val="05D709B3"/>
    <w:rsid w:val="05DF7D69"/>
    <w:rsid w:val="05EC445F"/>
    <w:rsid w:val="063E118E"/>
    <w:rsid w:val="066B5CCB"/>
    <w:rsid w:val="067745FE"/>
    <w:rsid w:val="067803E8"/>
    <w:rsid w:val="068B46ED"/>
    <w:rsid w:val="07464042"/>
    <w:rsid w:val="07612A84"/>
    <w:rsid w:val="078F4FC4"/>
    <w:rsid w:val="07914150"/>
    <w:rsid w:val="07BF7A34"/>
    <w:rsid w:val="07CC39F4"/>
    <w:rsid w:val="08043FB5"/>
    <w:rsid w:val="084E7652"/>
    <w:rsid w:val="086A79A2"/>
    <w:rsid w:val="087105C1"/>
    <w:rsid w:val="08842C00"/>
    <w:rsid w:val="08A7157D"/>
    <w:rsid w:val="08AA23AF"/>
    <w:rsid w:val="08F04266"/>
    <w:rsid w:val="08F4189D"/>
    <w:rsid w:val="090E6DE2"/>
    <w:rsid w:val="094E5251"/>
    <w:rsid w:val="095011A8"/>
    <w:rsid w:val="095C7B4D"/>
    <w:rsid w:val="09622E82"/>
    <w:rsid w:val="09D94626"/>
    <w:rsid w:val="0A187F18"/>
    <w:rsid w:val="0A255CC4"/>
    <w:rsid w:val="0A781607"/>
    <w:rsid w:val="0A9357F1"/>
    <w:rsid w:val="0A9D03F6"/>
    <w:rsid w:val="0AB771C3"/>
    <w:rsid w:val="0ADC2637"/>
    <w:rsid w:val="0ADF4C24"/>
    <w:rsid w:val="0AE2298C"/>
    <w:rsid w:val="0B8165D9"/>
    <w:rsid w:val="0BB51137"/>
    <w:rsid w:val="0BC47C2C"/>
    <w:rsid w:val="0BC83278"/>
    <w:rsid w:val="0BD4422D"/>
    <w:rsid w:val="0BD71D09"/>
    <w:rsid w:val="0BFA6CCB"/>
    <w:rsid w:val="0C3A18AE"/>
    <w:rsid w:val="0C405504"/>
    <w:rsid w:val="0C58239B"/>
    <w:rsid w:val="0C5E30EA"/>
    <w:rsid w:val="0C727688"/>
    <w:rsid w:val="0C871385"/>
    <w:rsid w:val="0D984DF0"/>
    <w:rsid w:val="0D9B3E2D"/>
    <w:rsid w:val="0DBC0BBA"/>
    <w:rsid w:val="0DBF6178"/>
    <w:rsid w:val="0DC7731B"/>
    <w:rsid w:val="0DFB78BF"/>
    <w:rsid w:val="0E061B04"/>
    <w:rsid w:val="0E163D64"/>
    <w:rsid w:val="0E85644A"/>
    <w:rsid w:val="0EB8244E"/>
    <w:rsid w:val="0F3F7763"/>
    <w:rsid w:val="0F4E1CE6"/>
    <w:rsid w:val="0F5B2655"/>
    <w:rsid w:val="0F66158F"/>
    <w:rsid w:val="0F766D71"/>
    <w:rsid w:val="0F854936"/>
    <w:rsid w:val="0FC151E5"/>
    <w:rsid w:val="10036F74"/>
    <w:rsid w:val="10196798"/>
    <w:rsid w:val="106F147B"/>
    <w:rsid w:val="10DD5A17"/>
    <w:rsid w:val="10E36DA6"/>
    <w:rsid w:val="116243C5"/>
    <w:rsid w:val="118063A3"/>
    <w:rsid w:val="11936FD1"/>
    <w:rsid w:val="11A97279"/>
    <w:rsid w:val="12B81780"/>
    <w:rsid w:val="12BB1017"/>
    <w:rsid w:val="12EF1689"/>
    <w:rsid w:val="12F206F6"/>
    <w:rsid w:val="130F48A2"/>
    <w:rsid w:val="13255D62"/>
    <w:rsid w:val="133A789D"/>
    <w:rsid w:val="13B80669"/>
    <w:rsid w:val="13C0517C"/>
    <w:rsid w:val="13C833DE"/>
    <w:rsid w:val="13DD140C"/>
    <w:rsid w:val="13E21DE7"/>
    <w:rsid w:val="140603E8"/>
    <w:rsid w:val="141C7B32"/>
    <w:rsid w:val="145E48FC"/>
    <w:rsid w:val="146B020F"/>
    <w:rsid w:val="146B6E96"/>
    <w:rsid w:val="14942349"/>
    <w:rsid w:val="14A448DD"/>
    <w:rsid w:val="14AB1B49"/>
    <w:rsid w:val="14B164ED"/>
    <w:rsid w:val="15162E3C"/>
    <w:rsid w:val="154D47EE"/>
    <w:rsid w:val="15631108"/>
    <w:rsid w:val="157F6B8A"/>
    <w:rsid w:val="15842905"/>
    <w:rsid w:val="15890EB6"/>
    <w:rsid w:val="158E10A8"/>
    <w:rsid w:val="15D74B6F"/>
    <w:rsid w:val="15F15AC1"/>
    <w:rsid w:val="15F5735F"/>
    <w:rsid w:val="16123749"/>
    <w:rsid w:val="163A6DE3"/>
    <w:rsid w:val="164979B3"/>
    <w:rsid w:val="16B04D8F"/>
    <w:rsid w:val="16C15493"/>
    <w:rsid w:val="174C1B02"/>
    <w:rsid w:val="176B15B5"/>
    <w:rsid w:val="176D5F0F"/>
    <w:rsid w:val="178D5C56"/>
    <w:rsid w:val="179000DC"/>
    <w:rsid w:val="17902F36"/>
    <w:rsid w:val="179249C9"/>
    <w:rsid w:val="17BA2A25"/>
    <w:rsid w:val="17C5096F"/>
    <w:rsid w:val="17E551B2"/>
    <w:rsid w:val="17F65AD7"/>
    <w:rsid w:val="186935AD"/>
    <w:rsid w:val="187A1D9E"/>
    <w:rsid w:val="18BF02E9"/>
    <w:rsid w:val="18D45FD9"/>
    <w:rsid w:val="18DE232D"/>
    <w:rsid w:val="1947297F"/>
    <w:rsid w:val="19C032EE"/>
    <w:rsid w:val="19D24ED9"/>
    <w:rsid w:val="19F14713"/>
    <w:rsid w:val="1A390616"/>
    <w:rsid w:val="1A4E34E2"/>
    <w:rsid w:val="1ABB7950"/>
    <w:rsid w:val="1B1417D7"/>
    <w:rsid w:val="1B273276"/>
    <w:rsid w:val="1B414DF5"/>
    <w:rsid w:val="1B7477DC"/>
    <w:rsid w:val="1B895F5F"/>
    <w:rsid w:val="1B947E23"/>
    <w:rsid w:val="1BA3160C"/>
    <w:rsid w:val="1BBA3BF3"/>
    <w:rsid w:val="1C2269D4"/>
    <w:rsid w:val="1C566F53"/>
    <w:rsid w:val="1D335585"/>
    <w:rsid w:val="1D3D339A"/>
    <w:rsid w:val="1D462446"/>
    <w:rsid w:val="1D4B6EC8"/>
    <w:rsid w:val="1D707C3B"/>
    <w:rsid w:val="1D7B74B9"/>
    <w:rsid w:val="1DBE272D"/>
    <w:rsid w:val="1E131243"/>
    <w:rsid w:val="1E205195"/>
    <w:rsid w:val="1E5D600F"/>
    <w:rsid w:val="1E7055E1"/>
    <w:rsid w:val="1E7718F6"/>
    <w:rsid w:val="1E851F2F"/>
    <w:rsid w:val="1E950D72"/>
    <w:rsid w:val="1EA51DEC"/>
    <w:rsid w:val="1EAF2075"/>
    <w:rsid w:val="1EC74CD0"/>
    <w:rsid w:val="1EF1119A"/>
    <w:rsid w:val="1EF8113E"/>
    <w:rsid w:val="1F3709E9"/>
    <w:rsid w:val="1F5B27CF"/>
    <w:rsid w:val="1F9572C5"/>
    <w:rsid w:val="1FEB532F"/>
    <w:rsid w:val="1FF2320C"/>
    <w:rsid w:val="1FF468DA"/>
    <w:rsid w:val="20146634"/>
    <w:rsid w:val="20166850"/>
    <w:rsid w:val="204C4020"/>
    <w:rsid w:val="204D1B46"/>
    <w:rsid w:val="205E4DE9"/>
    <w:rsid w:val="206406B0"/>
    <w:rsid w:val="21154D5A"/>
    <w:rsid w:val="215C64E4"/>
    <w:rsid w:val="21747CD2"/>
    <w:rsid w:val="21BA02A4"/>
    <w:rsid w:val="21D841C9"/>
    <w:rsid w:val="22087A8C"/>
    <w:rsid w:val="22137BA5"/>
    <w:rsid w:val="2240793E"/>
    <w:rsid w:val="228D26CE"/>
    <w:rsid w:val="22AB4DEF"/>
    <w:rsid w:val="22D22940"/>
    <w:rsid w:val="22D85F5F"/>
    <w:rsid w:val="22F15352"/>
    <w:rsid w:val="23137CB2"/>
    <w:rsid w:val="23571659"/>
    <w:rsid w:val="237817AE"/>
    <w:rsid w:val="23922691"/>
    <w:rsid w:val="23ED3D6C"/>
    <w:rsid w:val="2412694B"/>
    <w:rsid w:val="242F7EE0"/>
    <w:rsid w:val="24914929"/>
    <w:rsid w:val="249D7540"/>
    <w:rsid w:val="24BB1774"/>
    <w:rsid w:val="24D67C0B"/>
    <w:rsid w:val="24D97E4C"/>
    <w:rsid w:val="24E328D6"/>
    <w:rsid w:val="2515317F"/>
    <w:rsid w:val="253E5CA2"/>
    <w:rsid w:val="25511A8E"/>
    <w:rsid w:val="256242E5"/>
    <w:rsid w:val="25C74149"/>
    <w:rsid w:val="25DA347D"/>
    <w:rsid w:val="25FF7D86"/>
    <w:rsid w:val="26034493"/>
    <w:rsid w:val="2620272E"/>
    <w:rsid w:val="26336F25"/>
    <w:rsid w:val="26B65C7E"/>
    <w:rsid w:val="26D9078F"/>
    <w:rsid w:val="26E730C6"/>
    <w:rsid w:val="26E8081A"/>
    <w:rsid w:val="27084A19"/>
    <w:rsid w:val="271E5FE8"/>
    <w:rsid w:val="27463AD2"/>
    <w:rsid w:val="27A21FBD"/>
    <w:rsid w:val="27DB0122"/>
    <w:rsid w:val="28693BE5"/>
    <w:rsid w:val="28C11DAA"/>
    <w:rsid w:val="28C1759B"/>
    <w:rsid w:val="290541A2"/>
    <w:rsid w:val="29096D87"/>
    <w:rsid w:val="29104BDF"/>
    <w:rsid w:val="293B10D5"/>
    <w:rsid w:val="295C19C0"/>
    <w:rsid w:val="29752839"/>
    <w:rsid w:val="297E41CC"/>
    <w:rsid w:val="299C3779"/>
    <w:rsid w:val="29A21154"/>
    <w:rsid w:val="2A314286"/>
    <w:rsid w:val="2A4443CB"/>
    <w:rsid w:val="2A5A37DD"/>
    <w:rsid w:val="2A7665EC"/>
    <w:rsid w:val="2A9115AB"/>
    <w:rsid w:val="2AC375D4"/>
    <w:rsid w:val="2AEA6FF8"/>
    <w:rsid w:val="2AF27C42"/>
    <w:rsid w:val="2BA50A88"/>
    <w:rsid w:val="2BC10DEE"/>
    <w:rsid w:val="2C743DDE"/>
    <w:rsid w:val="2CBF5B79"/>
    <w:rsid w:val="2D142369"/>
    <w:rsid w:val="2D4D257A"/>
    <w:rsid w:val="2D6B2D40"/>
    <w:rsid w:val="2DE006D0"/>
    <w:rsid w:val="2DE42B57"/>
    <w:rsid w:val="2E0423DE"/>
    <w:rsid w:val="2E3B7DDD"/>
    <w:rsid w:val="2EBC4A66"/>
    <w:rsid w:val="2EC83FA4"/>
    <w:rsid w:val="2ED20D19"/>
    <w:rsid w:val="2EED18C2"/>
    <w:rsid w:val="2EF1054D"/>
    <w:rsid w:val="2EF375E8"/>
    <w:rsid w:val="2F0A3A24"/>
    <w:rsid w:val="2F2D51F5"/>
    <w:rsid w:val="2F2E09CB"/>
    <w:rsid w:val="2F713AA3"/>
    <w:rsid w:val="2F837332"/>
    <w:rsid w:val="2F893255"/>
    <w:rsid w:val="30275F10"/>
    <w:rsid w:val="305807BF"/>
    <w:rsid w:val="308C6001"/>
    <w:rsid w:val="30CB2CA5"/>
    <w:rsid w:val="30E3277E"/>
    <w:rsid w:val="310E0E7D"/>
    <w:rsid w:val="31266EA7"/>
    <w:rsid w:val="3140437B"/>
    <w:rsid w:val="31441F89"/>
    <w:rsid w:val="314618B9"/>
    <w:rsid w:val="31464F1C"/>
    <w:rsid w:val="315B3A2B"/>
    <w:rsid w:val="31801028"/>
    <w:rsid w:val="319142F1"/>
    <w:rsid w:val="3195334D"/>
    <w:rsid w:val="31DD5420"/>
    <w:rsid w:val="31F07456"/>
    <w:rsid w:val="31F82F20"/>
    <w:rsid w:val="320C5CBB"/>
    <w:rsid w:val="321444C7"/>
    <w:rsid w:val="321F2C5E"/>
    <w:rsid w:val="32485353"/>
    <w:rsid w:val="325F576F"/>
    <w:rsid w:val="32617BB0"/>
    <w:rsid w:val="32B819E9"/>
    <w:rsid w:val="32BD53EF"/>
    <w:rsid w:val="32C7388D"/>
    <w:rsid w:val="33C9718C"/>
    <w:rsid w:val="33E67E90"/>
    <w:rsid w:val="347D5423"/>
    <w:rsid w:val="34BB2515"/>
    <w:rsid w:val="34BC1539"/>
    <w:rsid w:val="34F96F68"/>
    <w:rsid w:val="351078BA"/>
    <w:rsid w:val="3524723A"/>
    <w:rsid w:val="356149EA"/>
    <w:rsid w:val="356E2833"/>
    <w:rsid w:val="357065AB"/>
    <w:rsid w:val="358E6A43"/>
    <w:rsid w:val="35B13DBF"/>
    <w:rsid w:val="35BA15D4"/>
    <w:rsid w:val="35D95EFE"/>
    <w:rsid w:val="35EF127D"/>
    <w:rsid w:val="36140CE4"/>
    <w:rsid w:val="36201D7F"/>
    <w:rsid w:val="3659694A"/>
    <w:rsid w:val="36AE738B"/>
    <w:rsid w:val="36E6103A"/>
    <w:rsid w:val="3701395E"/>
    <w:rsid w:val="370B2517"/>
    <w:rsid w:val="37172E09"/>
    <w:rsid w:val="37292272"/>
    <w:rsid w:val="372B09DB"/>
    <w:rsid w:val="373E3013"/>
    <w:rsid w:val="374D6BA3"/>
    <w:rsid w:val="37517319"/>
    <w:rsid w:val="375A4E1C"/>
    <w:rsid w:val="376B1E9F"/>
    <w:rsid w:val="377063EE"/>
    <w:rsid w:val="37812674"/>
    <w:rsid w:val="378C0630"/>
    <w:rsid w:val="3790242C"/>
    <w:rsid w:val="37B22EAA"/>
    <w:rsid w:val="37EF1A09"/>
    <w:rsid w:val="38073496"/>
    <w:rsid w:val="38237904"/>
    <w:rsid w:val="38276E1B"/>
    <w:rsid w:val="38352865"/>
    <w:rsid w:val="385348AF"/>
    <w:rsid w:val="385E26EA"/>
    <w:rsid w:val="388713CB"/>
    <w:rsid w:val="38A36D2D"/>
    <w:rsid w:val="38D64977"/>
    <w:rsid w:val="38D76A59"/>
    <w:rsid w:val="393135DA"/>
    <w:rsid w:val="3A1268ED"/>
    <w:rsid w:val="3A2E46AB"/>
    <w:rsid w:val="3A396F6B"/>
    <w:rsid w:val="3A637A19"/>
    <w:rsid w:val="3AEF7F72"/>
    <w:rsid w:val="3AF27EBD"/>
    <w:rsid w:val="3AFE01B5"/>
    <w:rsid w:val="3B3737DA"/>
    <w:rsid w:val="3B386CC7"/>
    <w:rsid w:val="3B6F4C0F"/>
    <w:rsid w:val="3B806F16"/>
    <w:rsid w:val="3B8E778B"/>
    <w:rsid w:val="3C2F0D84"/>
    <w:rsid w:val="3C404B8B"/>
    <w:rsid w:val="3C50507C"/>
    <w:rsid w:val="3CB749A8"/>
    <w:rsid w:val="3CF967CC"/>
    <w:rsid w:val="3D1D0DC6"/>
    <w:rsid w:val="3D4F6AA6"/>
    <w:rsid w:val="3D887FA6"/>
    <w:rsid w:val="3D9D237D"/>
    <w:rsid w:val="3E307D17"/>
    <w:rsid w:val="3E3E55C1"/>
    <w:rsid w:val="3E854F1E"/>
    <w:rsid w:val="3E9B4698"/>
    <w:rsid w:val="3EA51073"/>
    <w:rsid w:val="3EDA4893"/>
    <w:rsid w:val="3EFB7757"/>
    <w:rsid w:val="3EFE4FA9"/>
    <w:rsid w:val="3F28741A"/>
    <w:rsid w:val="3F4168C2"/>
    <w:rsid w:val="3F5E65E7"/>
    <w:rsid w:val="3F696545"/>
    <w:rsid w:val="3F7469DD"/>
    <w:rsid w:val="3FD562ED"/>
    <w:rsid w:val="401069C0"/>
    <w:rsid w:val="40835C11"/>
    <w:rsid w:val="4093314D"/>
    <w:rsid w:val="409A77E4"/>
    <w:rsid w:val="409B0C37"/>
    <w:rsid w:val="409D6081"/>
    <w:rsid w:val="40A204B4"/>
    <w:rsid w:val="40D668C2"/>
    <w:rsid w:val="40F262E9"/>
    <w:rsid w:val="412070D7"/>
    <w:rsid w:val="413761CE"/>
    <w:rsid w:val="41A82C28"/>
    <w:rsid w:val="41AA2E44"/>
    <w:rsid w:val="41E8488F"/>
    <w:rsid w:val="41EC68FD"/>
    <w:rsid w:val="42470693"/>
    <w:rsid w:val="425E4754"/>
    <w:rsid w:val="429239A8"/>
    <w:rsid w:val="429513FF"/>
    <w:rsid w:val="429531AD"/>
    <w:rsid w:val="42A36130"/>
    <w:rsid w:val="42F06635"/>
    <w:rsid w:val="42FC322C"/>
    <w:rsid w:val="430D1DCC"/>
    <w:rsid w:val="431C352D"/>
    <w:rsid w:val="437A1711"/>
    <w:rsid w:val="43BA2247"/>
    <w:rsid w:val="43E72261"/>
    <w:rsid w:val="44050DB2"/>
    <w:rsid w:val="44172659"/>
    <w:rsid w:val="442C3BB8"/>
    <w:rsid w:val="443469F5"/>
    <w:rsid w:val="446906D7"/>
    <w:rsid w:val="44B71E8B"/>
    <w:rsid w:val="44BC0EC5"/>
    <w:rsid w:val="44DD155D"/>
    <w:rsid w:val="45153DF9"/>
    <w:rsid w:val="454D01C7"/>
    <w:rsid w:val="4585074F"/>
    <w:rsid w:val="45B20178"/>
    <w:rsid w:val="46314434"/>
    <w:rsid w:val="46780E1B"/>
    <w:rsid w:val="47170634"/>
    <w:rsid w:val="47694C08"/>
    <w:rsid w:val="4777325F"/>
    <w:rsid w:val="47DE55F6"/>
    <w:rsid w:val="47FC782A"/>
    <w:rsid w:val="48384D06"/>
    <w:rsid w:val="48881C23"/>
    <w:rsid w:val="489F436E"/>
    <w:rsid w:val="48C97EF9"/>
    <w:rsid w:val="48CE3221"/>
    <w:rsid w:val="490715C7"/>
    <w:rsid w:val="491D5CAA"/>
    <w:rsid w:val="49285E0F"/>
    <w:rsid w:val="49300BA2"/>
    <w:rsid w:val="496B2EB9"/>
    <w:rsid w:val="49C25EAC"/>
    <w:rsid w:val="4A021DA3"/>
    <w:rsid w:val="4A08512B"/>
    <w:rsid w:val="4A0B1FA6"/>
    <w:rsid w:val="4A111CB3"/>
    <w:rsid w:val="4A443E36"/>
    <w:rsid w:val="4A8C3F46"/>
    <w:rsid w:val="4AB95164"/>
    <w:rsid w:val="4AFA74D5"/>
    <w:rsid w:val="4B773B46"/>
    <w:rsid w:val="4B7E6135"/>
    <w:rsid w:val="4B873F51"/>
    <w:rsid w:val="4B8777FF"/>
    <w:rsid w:val="4B9009B5"/>
    <w:rsid w:val="4BB51858"/>
    <w:rsid w:val="4BBF3268"/>
    <w:rsid w:val="4BD425A0"/>
    <w:rsid w:val="4C2A117B"/>
    <w:rsid w:val="4C4C1C0D"/>
    <w:rsid w:val="4C5145E8"/>
    <w:rsid w:val="4C820C46"/>
    <w:rsid w:val="4D53256B"/>
    <w:rsid w:val="4DB90697"/>
    <w:rsid w:val="4E1048AA"/>
    <w:rsid w:val="4E284ADA"/>
    <w:rsid w:val="4E2C36D6"/>
    <w:rsid w:val="4E543A85"/>
    <w:rsid w:val="4E9904C8"/>
    <w:rsid w:val="4EA529C9"/>
    <w:rsid w:val="4EAC1FAA"/>
    <w:rsid w:val="4EC1755F"/>
    <w:rsid w:val="4EEC17EF"/>
    <w:rsid w:val="4F0600F4"/>
    <w:rsid w:val="4F3241C2"/>
    <w:rsid w:val="4F68029B"/>
    <w:rsid w:val="4F732AC8"/>
    <w:rsid w:val="4F895E47"/>
    <w:rsid w:val="4F8E493C"/>
    <w:rsid w:val="4F9B4257"/>
    <w:rsid w:val="4F9D18F3"/>
    <w:rsid w:val="4F9F38BD"/>
    <w:rsid w:val="4FBA39FD"/>
    <w:rsid w:val="4FC41575"/>
    <w:rsid w:val="4FDE2637"/>
    <w:rsid w:val="4FE237A9"/>
    <w:rsid w:val="4FF0236A"/>
    <w:rsid w:val="50CF3D2E"/>
    <w:rsid w:val="50DE6667"/>
    <w:rsid w:val="50FA0EA6"/>
    <w:rsid w:val="50FD2021"/>
    <w:rsid w:val="51022A31"/>
    <w:rsid w:val="51200A2D"/>
    <w:rsid w:val="51497F84"/>
    <w:rsid w:val="51606891"/>
    <w:rsid w:val="518745CF"/>
    <w:rsid w:val="5196484B"/>
    <w:rsid w:val="520A30CD"/>
    <w:rsid w:val="526037D7"/>
    <w:rsid w:val="528214FE"/>
    <w:rsid w:val="5379225F"/>
    <w:rsid w:val="53B51C0D"/>
    <w:rsid w:val="53CE651E"/>
    <w:rsid w:val="54225064"/>
    <w:rsid w:val="54232D0E"/>
    <w:rsid w:val="54696247"/>
    <w:rsid w:val="5474356A"/>
    <w:rsid w:val="54A8352F"/>
    <w:rsid w:val="54DF6509"/>
    <w:rsid w:val="54E31282"/>
    <w:rsid w:val="54EF2BF0"/>
    <w:rsid w:val="54F63F7F"/>
    <w:rsid w:val="5539315B"/>
    <w:rsid w:val="553B1CCF"/>
    <w:rsid w:val="553D4B2B"/>
    <w:rsid w:val="5545234B"/>
    <w:rsid w:val="55482300"/>
    <w:rsid w:val="556233C2"/>
    <w:rsid w:val="55690BF5"/>
    <w:rsid w:val="55E90969"/>
    <w:rsid w:val="567A298E"/>
    <w:rsid w:val="56C65BD3"/>
    <w:rsid w:val="56ED7603"/>
    <w:rsid w:val="570707F2"/>
    <w:rsid w:val="571E156B"/>
    <w:rsid w:val="57210F11"/>
    <w:rsid w:val="573436AF"/>
    <w:rsid w:val="57480A98"/>
    <w:rsid w:val="576F0018"/>
    <w:rsid w:val="57727B09"/>
    <w:rsid w:val="57BF0D10"/>
    <w:rsid w:val="57EF3BD4"/>
    <w:rsid w:val="57FB1233"/>
    <w:rsid w:val="582B01B6"/>
    <w:rsid w:val="5889510A"/>
    <w:rsid w:val="59375164"/>
    <w:rsid w:val="596661E1"/>
    <w:rsid w:val="59BF1DC7"/>
    <w:rsid w:val="59E22D24"/>
    <w:rsid w:val="59F44805"/>
    <w:rsid w:val="5A441899"/>
    <w:rsid w:val="5A7B71DC"/>
    <w:rsid w:val="5AA35019"/>
    <w:rsid w:val="5AE20B01"/>
    <w:rsid w:val="5AE31D84"/>
    <w:rsid w:val="5B136F0D"/>
    <w:rsid w:val="5B721297"/>
    <w:rsid w:val="5BA04C44"/>
    <w:rsid w:val="5BAC35E9"/>
    <w:rsid w:val="5BB22BCA"/>
    <w:rsid w:val="5BB71679"/>
    <w:rsid w:val="5C0C052C"/>
    <w:rsid w:val="5CB07652"/>
    <w:rsid w:val="5CDF179C"/>
    <w:rsid w:val="5CFD0A1E"/>
    <w:rsid w:val="5DC9637B"/>
    <w:rsid w:val="5DE7392B"/>
    <w:rsid w:val="5DEE322E"/>
    <w:rsid w:val="5E14191A"/>
    <w:rsid w:val="5E3D4631"/>
    <w:rsid w:val="5E6F048B"/>
    <w:rsid w:val="5F061262"/>
    <w:rsid w:val="5F166FCB"/>
    <w:rsid w:val="5F191971"/>
    <w:rsid w:val="5F724B4A"/>
    <w:rsid w:val="5F9F5213"/>
    <w:rsid w:val="5FA03CFD"/>
    <w:rsid w:val="5FA40241"/>
    <w:rsid w:val="5FBC4017"/>
    <w:rsid w:val="5FC4513D"/>
    <w:rsid w:val="5FCA6734"/>
    <w:rsid w:val="60804763"/>
    <w:rsid w:val="60A15F5C"/>
    <w:rsid w:val="60C008BB"/>
    <w:rsid w:val="60C21F44"/>
    <w:rsid w:val="60D158A0"/>
    <w:rsid w:val="61252DAF"/>
    <w:rsid w:val="615179ED"/>
    <w:rsid w:val="6158685F"/>
    <w:rsid w:val="617C1CB0"/>
    <w:rsid w:val="61891CD7"/>
    <w:rsid w:val="61C05A85"/>
    <w:rsid w:val="61C231AB"/>
    <w:rsid w:val="61C947C9"/>
    <w:rsid w:val="61D07906"/>
    <w:rsid w:val="61D7005B"/>
    <w:rsid w:val="62195750"/>
    <w:rsid w:val="622740D7"/>
    <w:rsid w:val="62A74C33"/>
    <w:rsid w:val="62B41814"/>
    <w:rsid w:val="632B573B"/>
    <w:rsid w:val="638906B4"/>
    <w:rsid w:val="638D4CA5"/>
    <w:rsid w:val="639405A8"/>
    <w:rsid w:val="63AC2D44"/>
    <w:rsid w:val="63F773CC"/>
    <w:rsid w:val="64117A06"/>
    <w:rsid w:val="64835103"/>
    <w:rsid w:val="64855063"/>
    <w:rsid w:val="648B3FB8"/>
    <w:rsid w:val="64B33C3A"/>
    <w:rsid w:val="64DE2339"/>
    <w:rsid w:val="65031DA0"/>
    <w:rsid w:val="65341A31"/>
    <w:rsid w:val="65363F24"/>
    <w:rsid w:val="65494739"/>
    <w:rsid w:val="6582081C"/>
    <w:rsid w:val="65B15D2A"/>
    <w:rsid w:val="65C92FEA"/>
    <w:rsid w:val="65D75478"/>
    <w:rsid w:val="65F8742B"/>
    <w:rsid w:val="660432F0"/>
    <w:rsid w:val="665B144F"/>
    <w:rsid w:val="66D9725C"/>
    <w:rsid w:val="66E16111"/>
    <w:rsid w:val="66F422E8"/>
    <w:rsid w:val="674912D0"/>
    <w:rsid w:val="67C938CC"/>
    <w:rsid w:val="67D65298"/>
    <w:rsid w:val="67D67CBE"/>
    <w:rsid w:val="67EB36EB"/>
    <w:rsid w:val="68275DC9"/>
    <w:rsid w:val="68815DFE"/>
    <w:rsid w:val="689478DF"/>
    <w:rsid w:val="68C229BD"/>
    <w:rsid w:val="68C32814"/>
    <w:rsid w:val="68C73398"/>
    <w:rsid w:val="690600B1"/>
    <w:rsid w:val="695D66EF"/>
    <w:rsid w:val="69881B48"/>
    <w:rsid w:val="6988602B"/>
    <w:rsid w:val="69AB0181"/>
    <w:rsid w:val="69B37266"/>
    <w:rsid w:val="69CC4E56"/>
    <w:rsid w:val="69D33990"/>
    <w:rsid w:val="69EC61E7"/>
    <w:rsid w:val="69F326F3"/>
    <w:rsid w:val="69F53FB0"/>
    <w:rsid w:val="6A1C4030"/>
    <w:rsid w:val="6A6B28C1"/>
    <w:rsid w:val="6A8C4DB6"/>
    <w:rsid w:val="6A930946"/>
    <w:rsid w:val="6A9C009D"/>
    <w:rsid w:val="6B804BCD"/>
    <w:rsid w:val="6B992D86"/>
    <w:rsid w:val="6B9D6AAA"/>
    <w:rsid w:val="6BA733DE"/>
    <w:rsid w:val="6BB17028"/>
    <w:rsid w:val="6BE94C15"/>
    <w:rsid w:val="6BF37226"/>
    <w:rsid w:val="6C456256"/>
    <w:rsid w:val="6CA469EF"/>
    <w:rsid w:val="6CC07F24"/>
    <w:rsid w:val="6CD275D6"/>
    <w:rsid w:val="6CFC1EF7"/>
    <w:rsid w:val="6CFD7CAA"/>
    <w:rsid w:val="6D157166"/>
    <w:rsid w:val="6D2075F4"/>
    <w:rsid w:val="6D463866"/>
    <w:rsid w:val="6D57712D"/>
    <w:rsid w:val="6D60076F"/>
    <w:rsid w:val="6D6441C2"/>
    <w:rsid w:val="6D6D44EB"/>
    <w:rsid w:val="6D9602F6"/>
    <w:rsid w:val="6DB87176"/>
    <w:rsid w:val="6DB97DE8"/>
    <w:rsid w:val="6DFB0400"/>
    <w:rsid w:val="6E02423D"/>
    <w:rsid w:val="6E292877"/>
    <w:rsid w:val="6E3D27C7"/>
    <w:rsid w:val="6E922B12"/>
    <w:rsid w:val="6E9B13CA"/>
    <w:rsid w:val="6EB643DC"/>
    <w:rsid w:val="6EBF142E"/>
    <w:rsid w:val="6EDA6267"/>
    <w:rsid w:val="6F0830DB"/>
    <w:rsid w:val="6F646BC8"/>
    <w:rsid w:val="6F69067C"/>
    <w:rsid w:val="6FAD3C38"/>
    <w:rsid w:val="6FF11ABB"/>
    <w:rsid w:val="701900CD"/>
    <w:rsid w:val="705A6236"/>
    <w:rsid w:val="708244C1"/>
    <w:rsid w:val="70C5576E"/>
    <w:rsid w:val="70E923A1"/>
    <w:rsid w:val="7150636D"/>
    <w:rsid w:val="715C7408"/>
    <w:rsid w:val="71924BD7"/>
    <w:rsid w:val="71982011"/>
    <w:rsid w:val="71AA5D93"/>
    <w:rsid w:val="71F57794"/>
    <w:rsid w:val="72217B85"/>
    <w:rsid w:val="72A252EE"/>
    <w:rsid w:val="72A73776"/>
    <w:rsid w:val="72E15E16"/>
    <w:rsid w:val="72E27499"/>
    <w:rsid w:val="72F53670"/>
    <w:rsid w:val="73005B71"/>
    <w:rsid w:val="730B0F8E"/>
    <w:rsid w:val="730B2E93"/>
    <w:rsid w:val="73435273"/>
    <w:rsid w:val="73A475FC"/>
    <w:rsid w:val="73B02970"/>
    <w:rsid w:val="73D96AEE"/>
    <w:rsid w:val="740D6797"/>
    <w:rsid w:val="74121C76"/>
    <w:rsid w:val="74F6722B"/>
    <w:rsid w:val="751E27E1"/>
    <w:rsid w:val="754B57C9"/>
    <w:rsid w:val="755A5A0C"/>
    <w:rsid w:val="75792163"/>
    <w:rsid w:val="759848F7"/>
    <w:rsid w:val="75C127BF"/>
    <w:rsid w:val="75CE30D2"/>
    <w:rsid w:val="75E06541"/>
    <w:rsid w:val="75EA4801"/>
    <w:rsid w:val="7621477C"/>
    <w:rsid w:val="76483F0F"/>
    <w:rsid w:val="767D5CFE"/>
    <w:rsid w:val="77032FE2"/>
    <w:rsid w:val="770B4242"/>
    <w:rsid w:val="771F6BDC"/>
    <w:rsid w:val="77510E81"/>
    <w:rsid w:val="7762586D"/>
    <w:rsid w:val="777F5BFE"/>
    <w:rsid w:val="77AD62C7"/>
    <w:rsid w:val="77B147D4"/>
    <w:rsid w:val="77BB3D79"/>
    <w:rsid w:val="77E35EA0"/>
    <w:rsid w:val="77EF3F12"/>
    <w:rsid w:val="78153E6C"/>
    <w:rsid w:val="7827149A"/>
    <w:rsid w:val="7890573D"/>
    <w:rsid w:val="78D877F5"/>
    <w:rsid w:val="78DB1CC3"/>
    <w:rsid w:val="798F01A7"/>
    <w:rsid w:val="79AF1377"/>
    <w:rsid w:val="79C83D34"/>
    <w:rsid w:val="79EA4190"/>
    <w:rsid w:val="7A571783"/>
    <w:rsid w:val="7AA03EC1"/>
    <w:rsid w:val="7AAB023A"/>
    <w:rsid w:val="7AC71BE0"/>
    <w:rsid w:val="7ACF47A6"/>
    <w:rsid w:val="7B2274AD"/>
    <w:rsid w:val="7B2F4C29"/>
    <w:rsid w:val="7B31627C"/>
    <w:rsid w:val="7B690757"/>
    <w:rsid w:val="7B743161"/>
    <w:rsid w:val="7B8C08E9"/>
    <w:rsid w:val="7B937ECA"/>
    <w:rsid w:val="7B945FC9"/>
    <w:rsid w:val="7BE129F0"/>
    <w:rsid w:val="7BE75B20"/>
    <w:rsid w:val="7C4D1E27"/>
    <w:rsid w:val="7CEB2801"/>
    <w:rsid w:val="7CF179A7"/>
    <w:rsid w:val="7D3C46D8"/>
    <w:rsid w:val="7D4572FE"/>
    <w:rsid w:val="7D702AFF"/>
    <w:rsid w:val="7DBF3345"/>
    <w:rsid w:val="7E002EC9"/>
    <w:rsid w:val="7E307C52"/>
    <w:rsid w:val="7E4B4A8C"/>
    <w:rsid w:val="7E584AB3"/>
    <w:rsid w:val="7E683C3A"/>
    <w:rsid w:val="7E8F0BC3"/>
    <w:rsid w:val="7E96489B"/>
    <w:rsid w:val="7EB72EE7"/>
    <w:rsid w:val="7F4A6AF1"/>
    <w:rsid w:val="7F6027EB"/>
    <w:rsid w:val="7F6F0306"/>
    <w:rsid w:val="7FA12DB2"/>
    <w:rsid w:val="7FBC4D3E"/>
    <w:rsid w:val="7FC56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99"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99" w:semiHidden="0" w:name="caption"/>
    <w:lsdException w:qFormat="1" w:unhideWhenUsed="0" w:uiPriority="0" w:semiHidden="0"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99"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4"/>
    <w:qFormat/>
    <w:uiPriority w:val="0"/>
    <w:pPr>
      <w:keepNext/>
      <w:jc w:val="center"/>
      <w:outlineLvl w:val="0"/>
    </w:pPr>
    <w:rPr>
      <w:b/>
      <w:bCs/>
      <w:kern w:val="0"/>
      <w:sz w:val="24"/>
      <w:szCs w:val="20"/>
    </w:rPr>
  </w:style>
  <w:style w:type="paragraph" w:styleId="3">
    <w:name w:val="heading 2"/>
    <w:basedOn w:val="1"/>
    <w:next w:val="1"/>
    <w:link w:val="63"/>
    <w:qFormat/>
    <w:uiPriority w:val="99"/>
    <w:pPr>
      <w:keepNext/>
      <w:keepLines/>
      <w:spacing w:line="360" w:lineRule="auto"/>
      <w:outlineLvl w:val="1"/>
    </w:pPr>
    <w:rPr>
      <w:rFonts w:ascii="Arial" w:hAnsi="Arial"/>
      <w:b/>
      <w:bCs/>
      <w:kern w:val="0"/>
      <w:sz w:val="24"/>
      <w:szCs w:val="32"/>
    </w:rPr>
  </w:style>
  <w:style w:type="paragraph" w:styleId="4">
    <w:name w:val="heading 3"/>
    <w:basedOn w:val="1"/>
    <w:next w:val="1"/>
    <w:link w:val="62"/>
    <w:qFormat/>
    <w:uiPriority w:val="9"/>
    <w:pPr>
      <w:keepNext/>
      <w:keepLines/>
      <w:spacing w:before="260" w:after="260" w:line="416" w:lineRule="auto"/>
      <w:outlineLvl w:val="2"/>
    </w:pPr>
    <w:rPr>
      <w:b/>
      <w:bCs/>
      <w:kern w:val="0"/>
      <w:sz w:val="32"/>
      <w:szCs w:val="32"/>
    </w:rPr>
  </w:style>
  <w:style w:type="paragraph" w:styleId="5">
    <w:name w:val="heading 4"/>
    <w:basedOn w:val="1"/>
    <w:next w:val="1"/>
    <w:link w:val="65"/>
    <w:qFormat/>
    <w:uiPriority w:val="0"/>
    <w:pPr>
      <w:keepNext/>
      <w:keepLines/>
      <w:spacing w:before="280" w:after="290" w:line="376" w:lineRule="auto"/>
      <w:outlineLvl w:val="3"/>
    </w:pPr>
    <w:rPr>
      <w:rFonts w:ascii="Arial" w:hAnsi="Arial" w:eastAsia="黑体"/>
      <w:b/>
      <w:bCs/>
      <w:kern w:val="0"/>
      <w:sz w:val="28"/>
      <w:szCs w:val="28"/>
    </w:rPr>
  </w:style>
  <w:style w:type="paragraph" w:styleId="6">
    <w:name w:val="heading 5"/>
    <w:basedOn w:val="1"/>
    <w:next w:val="1"/>
    <w:link w:val="67"/>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68"/>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69"/>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0"/>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1"/>
    <w:qFormat/>
    <w:uiPriority w:val="0"/>
    <w:pPr>
      <w:keepNext/>
      <w:keepLines/>
      <w:adjustRightInd w:val="0"/>
      <w:spacing w:before="240" w:after="64" w:line="320" w:lineRule="atLeast"/>
      <w:jc w:val="left"/>
      <w:textAlignment w:val="baseline"/>
      <w:outlineLvl w:val="8"/>
    </w:pPr>
    <w:rPr>
      <w:rFonts w:ascii="Arial" w:hAnsi="Arial" w:eastAsia="黑体"/>
      <w:kern w:val="0"/>
      <w:sz w:val="2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cs="黑体"/>
      <w:szCs w:val="22"/>
    </w:rPr>
  </w:style>
  <w:style w:type="paragraph" w:styleId="12">
    <w:name w:val="Normal Indent"/>
    <w:basedOn w:val="1"/>
    <w:next w:val="13"/>
    <w:qFormat/>
    <w:uiPriority w:val="99"/>
    <w:pPr>
      <w:widowControl/>
      <w:ind w:firstLine="420"/>
      <w:jc w:val="left"/>
    </w:pPr>
    <w:rPr>
      <w:kern w:val="0"/>
      <w:sz w:val="20"/>
      <w:szCs w:val="20"/>
    </w:rPr>
  </w:style>
  <w:style w:type="paragraph" w:customStyle="1" w:styleId="13">
    <w:name w:val="Default"/>
    <w:qFormat/>
    <w:uiPriority w:val="99"/>
    <w:pPr>
      <w:widowControl w:val="0"/>
      <w:autoSpaceDE w:val="0"/>
      <w:autoSpaceDN w:val="0"/>
      <w:adjustRightInd w:val="0"/>
    </w:pPr>
    <w:rPr>
      <w:rFonts w:ascii="黑体" w:hAnsi="Times New Roman" w:eastAsia="黑体" w:cs="Times New Roman"/>
      <w:lang w:val="en-US" w:eastAsia="zh-CN" w:bidi="ar-SA"/>
    </w:rPr>
  </w:style>
  <w:style w:type="paragraph" w:styleId="14">
    <w:name w:val="caption"/>
    <w:basedOn w:val="1"/>
    <w:next w:val="1"/>
    <w:qFormat/>
    <w:uiPriority w:val="99"/>
    <w:pPr>
      <w:spacing w:line="360" w:lineRule="auto"/>
      <w:jc w:val="center"/>
    </w:pPr>
    <w:rPr>
      <w:rFonts w:ascii="Calibri" w:hAnsi="Calibri" w:eastAsia="黑体"/>
    </w:rPr>
  </w:style>
  <w:style w:type="paragraph" w:styleId="15">
    <w:name w:val="Document Map"/>
    <w:basedOn w:val="1"/>
    <w:link w:val="72"/>
    <w:qFormat/>
    <w:uiPriority w:val="99"/>
    <w:pPr>
      <w:shd w:val="clear" w:color="auto" w:fill="000080"/>
    </w:pPr>
    <w:rPr>
      <w:kern w:val="0"/>
      <w:sz w:val="20"/>
    </w:rPr>
  </w:style>
  <w:style w:type="paragraph" w:styleId="16">
    <w:name w:val="toa heading"/>
    <w:basedOn w:val="1"/>
    <w:next w:val="1"/>
    <w:qFormat/>
    <w:uiPriority w:val="0"/>
    <w:rPr>
      <w:rFonts w:ascii="Arial" w:hAnsi="Arial"/>
      <w:sz w:val="24"/>
    </w:rPr>
  </w:style>
  <w:style w:type="paragraph" w:styleId="17">
    <w:name w:val="annotation text"/>
    <w:basedOn w:val="1"/>
    <w:link w:val="73"/>
    <w:qFormat/>
    <w:uiPriority w:val="0"/>
    <w:pPr>
      <w:jc w:val="left"/>
    </w:pPr>
    <w:rPr>
      <w:kern w:val="0"/>
      <w:sz w:val="20"/>
    </w:rPr>
  </w:style>
  <w:style w:type="paragraph" w:styleId="18">
    <w:name w:val="Salutation"/>
    <w:basedOn w:val="1"/>
    <w:next w:val="1"/>
    <w:link w:val="74"/>
    <w:qFormat/>
    <w:uiPriority w:val="0"/>
    <w:rPr>
      <w:rFonts w:ascii="仿宋_GB2312" w:eastAsia="仿宋_GB2312"/>
      <w:kern w:val="0"/>
      <w:sz w:val="24"/>
    </w:rPr>
  </w:style>
  <w:style w:type="paragraph" w:styleId="19">
    <w:name w:val="Body Text"/>
    <w:basedOn w:val="1"/>
    <w:next w:val="1"/>
    <w:link w:val="66"/>
    <w:qFormat/>
    <w:uiPriority w:val="99"/>
    <w:pPr>
      <w:spacing w:after="120"/>
    </w:pPr>
    <w:rPr>
      <w:kern w:val="0"/>
      <w:sz w:val="20"/>
    </w:rPr>
  </w:style>
  <w:style w:type="paragraph" w:styleId="20">
    <w:name w:val="Body Text Indent"/>
    <w:basedOn w:val="1"/>
    <w:next w:val="1"/>
    <w:link w:val="75"/>
    <w:qFormat/>
    <w:uiPriority w:val="99"/>
    <w:pPr>
      <w:spacing w:after="120"/>
      <w:ind w:left="420" w:leftChars="200"/>
    </w:pPr>
    <w:rPr>
      <w:kern w:val="0"/>
      <w:sz w:val="20"/>
    </w:rPr>
  </w:style>
  <w:style w:type="paragraph" w:styleId="21">
    <w:name w:val="Block Text"/>
    <w:basedOn w:val="1"/>
    <w:qFormat/>
    <w:uiPriority w:val="0"/>
    <w:pPr>
      <w:ind w:left="1171" w:right="91" w:hanging="1080"/>
    </w:pPr>
    <w:rPr>
      <w:rFonts w:eastAsia="楷体_GB2312"/>
      <w:szCs w:val="20"/>
    </w:rPr>
  </w:style>
  <w:style w:type="paragraph" w:styleId="22">
    <w:name w:val="toc 5"/>
    <w:basedOn w:val="1"/>
    <w:next w:val="1"/>
    <w:qFormat/>
    <w:uiPriority w:val="0"/>
    <w:pPr>
      <w:ind w:left="1680" w:leftChars="800"/>
    </w:pPr>
    <w:rPr>
      <w:rFonts w:ascii="Calibri" w:hAnsi="Calibri" w:cs="黑体"/>
      <w:szCs w:val="22"/>
    </w:rPr>
  </w:style>
  <w:style w:type="paragraph" w:styleId="23">
    <w:name w:val="toc 3"/>
    <w:basedOn w:val="1"/>
    <w:next w:val="1"/>
    <w:qFormat/>
    <w:uiPriority w:val="39"/>
    <w:pPr>
      <w:adjustRightInd w:val="0"/>
      <w:snapToGrid w:val="0"/>
      <w:spacing w:line="360" w:lineRule="auto"/>
      <w:ind w:left="400" w:leftChars="400"/>
    </w:pPr>
    <w:rPr>
      <w:b/>
    </w:rPr>
  </w:style>
  <w:style w:type="paragraph" w:styleId="24">
    <w:name w:val="Plain Text"/>
    <w:basedOn w:val="1"/>
    <w:link w:val="76"/>
    <w:qFormat/>
    <w:uiPriority w:val="0"/>
    <w:rPr>
      <w:rFonts w:ascii="宋体" w:hAnsi="Courier New"/>
      <w:kern w:val="0"/>
      <w:sz w:val="20"/>
      <w:szCs w:val="21"/>
    </w:rPr>
  </w:style>
  <w:style w:type="paragraph" w:styleId="25">
    <w:name w:val="toc 8"/>
    <w:basedOn w:val="1"/>
    <w:next w:val="1"/>
    <w:qFormat/>
    <w:uiPriority w:val="0"/>
    <w:pPr>
      <w:ind w:left="2940" w:leftChars="1400"/>
    </w:pPr>
    <w:rPr>
      <w:rFonts w:ascii="Calibri" w:hAnsi="Calibri" w:cs="黑体"/>
      <w:szCs w:val="22"/>
    </w:rPr>
  </w:style>
  <w:style w:type="paragraph" w:styleId="26">
    <w:name w:val="Date"/>
    <w:basedOn w:val="1"/>
    <w:next w:val="1"/>
    <w:link w:val="77"/>
    <w:qFormat/>
    <w:uiPriority w:val="0"/>
    <w:rPr>
      <w:kern w:val="0"/>
      <w:sz w:val="24"/>
      <w:szCs w:val="20"/>
    </w:rPr>
  </w:style>
  <w:style w:type="paragraph" w:styleId="27">
    <w:name w:val="Body Text Indent 2"/>
    <w:basedOn w:val="1"/>
    <w:link w:val="78"/>
    <w:qFormat/>
    <w:uiPriority w:val="0"/>
    <w:pPr>
      <w:spacing w:after="120" w:line="480" w:lineRule="auto"/>
      <w:ind w:left="420" w:leftChars="200"/>
    </w:pPr>
    <w:rPr>
      <w:kern w:val="0"/>
      <w:sz w:val="20"/>
    </w:rPr>
  </w:style>
  <w:style w:type="paragraph" w:styleId="28">
    <w:name w:val="Balloon Text"/>
    <w:basedOn w:val="1"/>
    <w:link w:val="79"/>
    <w:qFormat/>
    <w:uiPriority w:val="0"/>
    <w:rPr>
      <w:kern w:val="0"/>
      <w:sz w:val="18"/>
      <w:szCs w:val="18"/>
    </w:rPr>
  </w:style>
  <w:style w:type="paragraph" w:styleId="29">
    <w:name w:val="footer"/>
    <w:basedOn w:val="1"/>
    <w:link w:val="80"/>
    <w:qFormat/>
    <w:uiPriority w:val="0"/>
    <w:pPr>
      <w:tabs>
        <w:tab w:val="center" w:pos="4153"/>
        <w:tab w:val="right" w:pos="8306"/>
      </w:tabs>
      <w:snapToGrid w:val="0"/>
      <w:jc w:val="left"/>
    </w:pPr>
    <w:rPr>
      <w:kern w:val="0"/>
      <w:sz w:val="18"/>
      <w:szCs w:val="18"/>
    </w:rPr>
  </w:style>
  <w:style w:type="paragraph" w:styleId="30">
    <w:name w:val="envelope return"/>
    <w:basedOn w:val="1"/>
    <w:qFormat/>
    <w:uiPriority w:val="0"/>
    <w:pPr>
      <w:snapToGrid w:val="0"/>
    </w:pPr>
    <w:rPr>
      <w:rFonts w:ascii="Arial" w:hAnsi="Arial"/>
    </w:rPr>
  </w:style>
  <w:style w:type="paragraph" w:styleId="31">
    <w:name w:val="header"/>
    <w:basedOn w:val="1"/>
    <w:link w:val="81"/>
    <w:qFormat/>
    <w:uiPriority w:val="0"/>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qFormat/>
    <w:uiPriority w:val="39"/>
    <w:pPr>
      <w:spacing w:line="360" w:lineRule="auto"/>
    </w:pPr>
    <w:rPr>
      <w:rFonts w:ascii="宋体" w:hAnsi="宋体"/>
      <w:b/>
      <w:sz w:val="24"/>
      <w:szCs w:val="21"/>
    </w:rPr>
  </w:style>
  <w:style w:type="paragraph" w:styleId="33">
    <w:name w:val="toc 4"/>
    <w:basedOn w:val="1"/>
    <w:next w:val="1"/>
    <w:qFormat/>
    <w:uiPriority w:val="0"/>
    <w:pPr>
      <w:adjustRightInd w:val="0"/>
      <w:snapToGrid w:val="0"/>
      <w:spacing w:line="360" w:lineRule="auto"/>
      <w:ind w:left="600" w:leftChars="600"/>
    </w:pPr>
    <w:rPr>
      <w:rFonts w:ascii="Calibri" w:hAnsi="Calibri" w:cs="黑体"/>
      <w:b/>
      <w:szCs w:val="22"/>
    </w:rPr>
  </w:style>
  <w:style w:type="paragraph" w:styleId="34">
    <w:name w:val="toc 6"/>
    <w:basedOn w:val="1"/>
    <w:next w:val="1"/>
    <w:qFormat/>
    <w:uiPriority w:val="0"/>
    <w:pPr>
      <w:ind w:left="2100"/>
    </w:pPr>
    <w:rPr>
      <w:szCs w:val="20"/>
    </w:rPr>
  </w:style>
  <w:style w:type="paragraph" w:styleId="35">
    <w:name w:val="Body Text Indent 3"/>
    <w:basedOn w:val="1"/>
    <w:next w:val="1"/>
    <w:link w:val="82"/>
    <w:qFormat/>
    <w:uiPriority w:val="0"/>
    <w:pPr>
      <w:spacing w:after="120"/>
      <w:ind w:left="420" w:leftChars="200"/>
    </w:pPr>
    <w:rPr>
      <w:kern w:val="0"/>
      <w:sz w:val="16"/>
      <w:szCs w:val="16"/>
    </w:rPr>
  </w:style>
  <w:style w:type="paragraph" w:styleId="36">
    <w:name w:val="table of figures"/>
    <w:basedOn w:val="1"/>
    <w:next w:val="1"/>
    <w:qFormat/>
    <w:uiPriority w:val="0"/>
    <w:pPr>
      <w:ind w:left="200" w:leftChars="200" w:hanging="200" w:hangingChars="200"/>
    </w:pPr>
  </w:style>
  <w:style w:type="paragraph" w:styleId="37">
    <w:name w:val="toc 2"/>
    <w:basedOn w:val="1"/>
    <w:next w:val="1"/>
    <w:qFormat/>
    <w:uiPriority w:val="39"/>
    <w:pPr>
      <w:spacing w:line="360" w:lineRule="auto"/>
      <w:ind w:left="200" w:leftChars="200"/>
    </w:pPr>
    <w:rPr>
      <w:b/>
    </w:rPr>
  </w:style>
  <w:style w:type="paragraph" w:styleId="38">
    <w:name w:val="toc 9"/>
    <w:basedOn w:val="1"/>
    <w:next w:val="1"/>
    <w:qFormat/>
    <w:uiPriority w:val="0"/>
    <w:pPr>
      <w:ind w:left="3360" w:leftChars="1600"/>
    </w:pPr>
    <w:rPr>
      <w:rFonts w:ascii="Calibri" w:hAnsi="Calibri" w:cs="黑体"/>
      <w:szCs w:val="22"/>
    </w:rPr>
  </w:style>
  <w:style w:type="paragraph" w:styleId="39">
    <w:name w:val="Body Text 2"/>
    <w:basedOn w:val="1"/>
    <w:link w:val="83"/>
    <w:qFormat/>
    <w:uiPriority w:val="0"/>
    <w:pPr>
      <w:spacing w:after="120" w:line="480" w:lineRule="auto"/>
    </w:pPr>
    <w:rPr>
      <w:kern w:val="0"/>
      <w:sz w:val="20"/>
    </w:rPr>
  </w:style>
  <w:style w:type="paragraph" w:styleId="40">
    <w:name w:val="HTML Preformatted"/>
    <w:basedOn w:val="1"/>
    <w:link w:val="8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eastAsia="仿宋_GB2312"/>
      <w:szCs w:val="20"/>
    </w:rPr>
  </w:style>
  <w:style w:type="paragraph" w:styleId="43">
    <w:name w:val="Title"/>
    <w:basedOn w:val="1"/>
    <w:link w:val="85"/>
    <w:qFormat/>
    <w:uiPriority w:val="0"/>
    <w:pPr>
      <w:jc w:val="center"/>
      <w:outlineLvl w:val="0"/>
    </w:pPr>
    <w:rPr>
      <w:b/>
      <w:kern w:val="0"/>
      <w:sz w:val="32"/>
      <w:szCs w:val="20"/>
    </w:rPr>
  </w:style>
  <w:style w:type="paragraph" w:styleId="44">
    <w:name w:val="annotation subject"/>
    <w:basedOn w:val="17"/>
    <w:next w:val="17"/>
    <w:link w:val="86"/>
    <w:qFormat/>
    <w:uiPriority w:val="0"/>
    <w:rPr>
      <w:b/>
      <w:bCs/>
    </w:rPr>
  </w:style>
  <w:style w:type="paragraph" w:styleId="45">
    <w:name w:val="Body Text First Indent"/>
    <w:basedOn w:val="19"/>
    <w:link w:val="87"/>
    <w:qFormat/>
    <w:uiPriority w:val="0"/>
    <w:pPr>
      <w:ind w:firstLine="420" w:firstLineChars="100"/>
    </w:pPr>
    <w:rPr>
      <w:kern w:val="2"/>
      <w:sz w:val="21"/>
      <w:szCs w:val="20"/>
    </w:rPr>
  </w:style>
  <w:style w:type="paragraph" w:styleId="46">
    <w:name w:val="Body Text First Indent 2"/>
    <w:basedOn w:val="20"/>
    <w:next w:val="1"/>
    <w:link w:val="88"/>
    <w:qFormat/>
    <w:uiPriority w:val="0"/>
    <w:pPr>
      <w:ind w:firstLine="420" w:firstLineChars="200"/>
    </w:pPr>
  </w:style>
  <w:style w:type="table" w:styleId="48">
    <w:name w:val="Table Grid"/>
    <w:basedOn w:val="4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0"/>
    <w:rPr>
      <w:rFonts w:ascii="Times New Roman" w:hAnsi="Times New Roman" w:eastAsia="宋体" w:cs="Times New Roman"/>
      <w:b/>
      <w:bCs/>
    </w:rPr>
  </w:style>
  <w:style w:type="character" w:styleId="51">
    <w:name w:val="page number"/>
    <w:qFormat/>
    <w:uiPriority w:val="0"/>
    <w:rPr>
      <w:rFonts w:ascii="Times New Roman" w:hAnsi="Times New Roman" w:eastAsia="宋体" w:cs="Times New Roman"/>
    </w:rPr>
  </w:style>
  <w:style w:type="character" w:styleId="52">
    <w:name w:val="FollowedHyperlink"/>
    <w:qFormat/>
    <w:uiPriority w:val="0"/>
    <w:rPr>
      <w:rFonts w:ascii="Times New Roman" w:hAnsi="Times New Roman" w:eastAsia="宋体" w:cs="Times New Roman"/>
      <w:color w:val="333333"/>
      <w:u w:val="none"/>
    </w:rPr>
  </w:style>
  <w:style w:type="character" w:styleId="53">
    <w:name w:val="Emphasis"/>
    <w:basedOn w:val="49"/>
    <w:qFormat/>
    <w:uiPriority w:val="0"/>
    <w:rPr>
      <w:rFonts w:ascii="Times New Roman" w:hAnsi="Times New Roman" w:eastAsia="宋体" w:cs="Times New Roman"/>
      <w:kern w:val="2"/>
      <w:sz w:val="21"/>
      <w:szCs w:val="24"/>
      <w:lang w:val="en-US" w:eastAsia="zh-CN" w:bidi="ar-SA"/>
    </w:rPr>
  </w:style>
  <w:style w:type="character" w:styleId="54">
    <w:name w:val="HTML Definition"/>
    <w:qFormat/>
    <w:uiPriority w:val="0"/>
    <w:rPr>
      <w:rFonts w:ascii="Times New Roman" w:hAnsi="Times New Roman" w:eastAsia="宋体" w:cs="Times New Roman"/>
    </w:rPr>
  </w:style>
  <w:style w:type="character" w:styleId="55">
    <w:name w:val="HTML Variable"/>
    <w:qFormat/>
    <w:uiPriority w:val="0"/>
    <w:rPr>
      <w:rFonts w:ascii="Times New Roman" w:hAnsi="Times New Roman" w:eastAsia="宋体" w:cs="Times New Roman"/>
      <w:sz w:val="19"/>
      <w:szCs w:val="19"/>
    </w:rPr>
  </w:style>
  <w:style w:type="character" w:styleId="56">
    <w:name w:val="Hyperlink"/>
    <w:qFormat/>
    <w:uiPriority w:val="99"/>
    <w:rPr>
      <w:rFonts w:ascii="Times New Roman" w:hAnsi="Times New Roman" w:eastAsia="宋体" w:cs="Times New Roman"/>
      <w:color w:val="136EC2"/>
      <w:u w:val="single"/>
    </w:rPr>
  </w:style>
  <w:style w:type="character" w:styleId="57">
    <w:name w:val="HTML Code"/>
    <w:qFormat/>
    <w:uiPriority w:val="0"/>
    <w:rPr>
      <w:rFonts w:hint="default" w:ascii="Consolas" w:hAnsi="Consolas" w:eastAsia="Consolas" w:cs="Consolas"/>
      <w:color w:val="C7254E"/>
      <w:sz w:val="21"/>
      <w:szCs w:val="21"/>
      <w:shd w:val="clear" w:color="auto" w:fill="F9F2F4"/>
    </w:rPr>
  </w:style>
  <w:style w:type="character" w:styleId="58">
    <w:name w:val="annotation reference"/>
    <w:qFormat/>
    <w:uiPriority w:val="0"/>
    <w:rPr>
      <w:rFonts w:ascii="Times New Roman" w:hAnsi="Times New Roman" w:eastAsia="宋体" w:cs="Times New Roman"/>
      <w:sz w:val="21"/>
      <w:szCs w:val="21"/>
    </w:rPr>
  </w:style>
  <w:style w:type="character" w:styleId="59">
    <w:name w:val="HTML Cite"/>
    <w:qFormat/>
    <w:uiPriority w:val="0"/>
    <w:rPr>
      <w:rFonts w:ascii="Times New Roman" w:hAnsi="Times New Roman" w:eastAsia="宋体" w:cs="Times New Roman"/>
    </w:rPr>
  </w:style>
  <w:style w:type="character" w:styleId="60">
    <w:name w:val="HTML Keyboard"/>
    <w:qFormat/>
    <w:uiPriority w:val="0"/>
    <w:rPr>
      <w:rFonts w:ascii="Consolas" w:hAnsi="Consolas" w:eastAsia="Consolas" w:cs="Consolas"/>
      <w:color w:val="FFFFFF"/>
      <w:sz w:val="21"/>
      <w:szCs w:val="21"/>
      <w:shd w:val="clear" w:color="auto" w:fill="333333"/>
    </w:rPr>
  </w:style>
  <w:style w:type="character" w:styleId="61">
    <w:name w:val="HTML Sample"/>
    <w:qFormat/>
    <w:uiPriority w:val="0"/>
    <w:rPr>
      <w:rFonts w:hint="default" w:ascii="Consolas" w:hAnsi="Consolas" w:eastAsia="Consolas" w:cs="Consolas"/>
      <w:sz w:val="21"/>
      <w:szCs w:val="21"/>
    </w:rPr>
  </w:style>
  <w:style w:type="character" w:customStyle="1" w:styleId="62">
    <w:name w:val="标题 3 Char"/>
    <w:link w:val="4"/>
    <w:qFormat/>
    <w:uiPriority w:val="9"/>
    <w:rPr>
      <w:rFonts w:ascii="Times New Roman" w:hAnsi="Times New Roman" w:eastAsia="宋体" w:cs="Times New Roman"/>
      <w:b/>
      <w:bCs/>
      <w:sz w:val="32"/>
      <w:szCs w:val="32"/>
    </w:rPr>
  </w:style>
  <w:style w:type="character" w:customStyle="1" w:styleId="63">
    <w:name w:val="标题 2 Char"/>
    <w:link w:val="3"/>
    <w:qFormat/>
    <w:uiPriority w:val="99"/>
    <w:rPr>
      <w:rFonts w:ascii="Arial" w:hAnsi="Arial" w:eastAsia="宋体" w:cs="Times New Roman"/>
      <w:b/>
      <w:bCs/>
      <w:sz w:val="24"/>
      <w:szCs w:val="32"/>
    </w:rPr>
  </w:style>
  <w:style w:type="character" w:customStyle="1" w:styleId="64">
    <w:name w:val="标题 1 Char"/>
    <w:link w:val="2"/>
    <w:qFormat/>
    <w:uiPriority w:val="0"/>
    <w:rPr>
      <w:rFonts w:ascii="Times New Roman" w:hAnsi="Times New Roman" w:eastAsia="宋体" w:cs="Times New Roman"/>
      <w:b/>
      <w:bCs/>
      <w:sz w:val="24"/>
      <w:szCs w:val="20"/>
    </w:rPr>
  </w:style>
  <w:style w:type="character" w:customStyle="1" w:styleId="65">
    <w:name w:val="标题 4 Char"/>
    <w:link w:val="5"/>
    <w:qFormat/>
    <w:uiPriority w:val="0"/>
    <w:rPr>
      <w:rFonts w:ascii="Arial" w:hAnsi="Arial" w:eastAsia="黑体" w:cs="Times New Roman"/>
      <w:b/>
      <w:bCs/>
      <w:sz w:val="28"/>
      <w:szCs w:val="28"/>
    </w:rPr>
  </w:style>
  <w:style w:type="character" w:customStyle="1" w:styleId="66">
    <w:name w:val="正文文本 Char"/>
    <w:link w:val="19"/>
    <w:qFormat/>
    <w:uiPriority w:val="99"/>
    <w:rPr>
      <w:rFonts w:ascii="Times New Roman" w:hAnsi="Times New Roman" w:eastAsia="宋体" w:cs="Times New Roman"/>
      <w:szCs w:val="24"/>
    </w:rPr>
  </w:style>
  <w:style w:type="character" w:customStyle="1" w:styleId="67">
    <w:name w:val="标题 5 Char"/>
    <w:link w:val="6"/>
    <w:qFormat/>
    <w:uiPriority w:val="0"/>
    <w:rPr>
      <w:rFonts w:ascii="Times New Roman" w:hAnsi="Times New Roman" w:eastAsia="宋体" w:cs="Times New Roman"/>
      <w:b/>
      <w:bCs/>
      <w:kern w:val="0"/>
      <w:sz w:val="28"/>
      <w:szCs w:val="28"/>
    </w:rPr>
  </w:style>
  <w:style w:type="character" w:customStyle="1" w:styleId="68">
    <w:name w:val="标题 6 Char"/>
    <w:link w:val="7"/>
    <w:qFormat/>
    <w:uiPriority w:val="0"/>
    <w:rPr>
      <w:rFonts w:ascii="Arial" w:hAnsi="Arial" w:eastAsia="黑体" w:cs="Times New Roman"/>
      <w:b/>
      <w:bCs/>
      <w:kern w:val="0"/>
      <w:sz w:val="24"/>
      <w:szCs w:val="24"/>
    </w:rPr>
  </w:style>
  <w:style w:type="character" w:customStyle="1" w:styleId="69">
    <w:name w:val="标题 7 Char"/>
    <w:link w:val="8"/>
    <w:qFormat/>
    <w:uiPriority w:val="0"/>
    <w:rPr>
      <w:rFonts w:ascii="Times New Roman" w:hAnsi="Times New Roman" w:eastAsia="宋体" w:cs="Times New Roman"/>
      <w:b/>
      <w:bCs/>
      <w:kern w:val="0"/>
      <w:sz w:val="24"/>
      <w:szCs w:val="24"/>
    </w:rPr>
  </w:style>
  <w:style w:type="character" w:customStyle="1" w:styleId="70">
    <w:name w:val="标题 8 Char"/>
    <w:link w:val="9"/>
    <w:qFormat/>
    <w:uiPriority w:val="0"/>
    <w:rPr>
      <w:rFonts w:ascii="Arial" w:hAnsi="Arial" w:eastAsia="黑体" w:cs="Times New Roman"/>
      <w:kern w:val="0"/>
      <w:sz w:val="24"/>
      <w:szCs w:val="24"/>
    </w:rPr>
  </w:style>
  <w:style w:type="character" w:customStyle="1" w:styleId="71">
    <w:name w:val="标题 9 Char"/>
    <w:link w:val="10"/>
    <w:qFormat/>
    <w:uiPriority w:val="0"/>
    <w:rPr>
      <w:rFonts w:ascii="Arial" w:hAnsi="Arial" w:eastAsia="黑体" w:cs="Times New Roman"/>
      <w:kern w:val="0"/>
      <w:szCs w:val="21"/>
    </w:rPr>
  </w:style>
  <w:style w:type="character" w:customStyle="1" w:styleId="72">
    <w:name w:val="文档结构图 Char"/>
    <w:link w:val="15"/>
    <w:qFormat/>
    <w:uiPriority w:val="99"/>
    <w:rPr>
      <w:rFonts w:ascii="Times New Roman" w:hAnsi="Times New Roman" w:eastAsia="宋体" w:cs="Times New Roman"/>
      <w:szCs w:val="24"/>
      <w:shd w:val="clear" w:color="auto" w:fill="000080"/>
    </w:rPr>
  </w:style>
  <w:style w:type="character" w:customStyle="1" w:styleId="73">
    <w:name w:val="批注文字 Char1"/>
    <w:link w:val="17"/>
    <w:qFormat/>
    <w:uiPriority w:val="0"/>
    <w:rPr>
      <w:rFonts w:ascii="Times New Roman" w:hAnsi="Times New Roman" w:eastAsia="宋体" w:cs="Times New Roman"/>
      <w:szCs w:val="24"/>
    </w:rPr>
  </w:style>
  <w:style w:type="character" w:customStyle="1" w:styleId="74">
    <w:name w:val="称呼 Char"/>
    <w:link w:val="18"/>
    <w:qFormat/>
    <w:uiPriority w:val="0"/>
    <w:rPr>
      <w:rFonts w:ascii="仿宋_GB2312" w:hAnsi="Times New Roman" w:eastAsia="仿宋_GB2312" w:cs="Times New Roman"/>
      <w:sz w:val="24"/>
      <w:szCs w:val="24"/>
    </w:rPr>
  </w:style>
  <w:style w:type="character" w:customStyle="1" w:styleId="75">
    <w:name w:val="正文文本缩进 Char"/>
    <w:link w:val="20"/>
    <w:qFormat/>
    <w:uiPriority w:val="99"/>
    <w:rPr>
      <w:rFonts w:ascii="Times New Roman" w:hAnsi="Times New Roman" w:eastAsia="宋体" w:cs="Times New Roman"/>
      <w:szCs w:val="24"/>
    </w:rPr>
  </w:style>
  <w:style w:type="character" w:customStyle="1" w:styleId="76">
    <w:name w:val="纯文本 Char"/>
    <w:link w:val="24"/>
    <w:qFormat/>
    <w:uiPriority w:val="0"/>
    <w:rPr>
      <w:rFonts w:ascii="宋体" w:hAnsi="Courier New" w:eastAsia="宋体" w:cs="Courier New"/>
      <w:szCs w:val="21"/>
    </w:rPr>
  </w:style>
  <w:style w:type="character" w:customStyle="1" w:styleId="77">
    <w:name w:val="日期 Char"/>
    <w:link w:val="26"/>
    <w:qFormat/>
    <w:uiPriority w:val="0"/>
    <w:rPr>
      <w:rFonts w:ascii="Times New Roman" w:hAnsi="Times New Roman" w:eastAsia="宋体" w:cs="Times New Roman"/>
      <w:sz w:val="24"/>
      <w:szCs w:val="20"/>
    </w:rPr>
  </w:style>
  <w:style w:type="character" w:customStyle="1" w:styleId="78">
    <w:name w:val="正文文本缩进 2 Char"/>
    <w:link w:val="27"/>
    <w:qFormat/>
    <w:uiPriority w:val="0"/>
    <w:rPr>
      <w:rFonts w:ascii="Times New Roman" w:hAnsi="Times New Roman" w:eastAsia="宋体" w:cs="Times New Roman"/>
      <w:szCs w:val="24"/>
    </w:rPr>
  </w:style>
  <w:style w:type="character" w:customStyle="1" w:styleId="79">
    <w:name w:val="批注框文本 Char"/>
    <w:link w:val="28"/>
    <w:qFormat/>
    <w:uiPriority w:val="0"/>
    <w:rPr>
      <w:rFonts w:ascii="Times New Roman" w:hAnsi="Times New Roman" w:eastAsia="宋体" w:cs="Times New Roman"/>
      <w:sz w:val="18"/>
      <w:szCs w:val="18"/>
    </w:rPr>
  </w:style>
  <w:style w:type="character" w:customStyle="1" w:styleId="80">
    <w:name w:val="页脚 Char"/>
    <w:link w:val="29"/>
    <w:qFormat/>
    <w:uiPriority w:val="0"/>
    <w:rPr>
      <w:rFonts w:ascii="Times New Roman" w:hAnsi="Times New Roman" w:eastAsia="宋体" w:cs="Times New Roman"/>
      <w:sz w:val="18"/>
      <w:szCs w:val="18"/>
    </w:rPr>
  </w:style>
  <w:style w:type="character" w:customStyle="1" w:styleId="81">
    <w:name w:val="页眉 Char"/>
    <w:link w:val="31"/>
    <w:qFormat/>
    <w:uiPriority w:val="0"/>
    <w:rPr>
      <w:rFonts w:ascii="Times New Roman" w:hAnsi="Times New Roman" w:eastAsia="宋体" w:cs="Times New Roman"/>
      <w:sz w:val="18"/>
      <w:szCs w:val="18"/>
    </w:rPr>
  </w:style>
  <w:style w:type="character" w:customStyle="1" w:styleId="82">
    <w:name w:val="正文文本缩进 3 Char"/>
    <w:link w:val="35"/>
    <w:qFormat/>
    <w:uiPriority w:val="0"/>
    <w:rPr>
      <w:rFonts w:ascii="Times New Roman" w:hAnsi="Times New Roman" w:eastAsia="宋体" w:cs="Times New Roman"/>
      <w:sz w:val="16"/>
      <w:szCs w:val="16"/>
    </w:rPr>
  </w:style>
  <w:style w:type="character" w:customStyle="1" w:styleId="83">
    <w:name w:val="正文文本 2 Char"/>
    <w:link w:val="39"/>
    <w:qFormat/>
    <w:uiPriority w:val="0"/>
    <w:rPr>
      <w:rFonts w:ascii="Times New Roman" w:hAnsi="Times New Roman" w:eastAsia="宋体" w:cs="Times New Roman"/>
      <w:szCs w:val="24"/>
    </w:rPr>
  </w:style>
  <w:style w:type="character" w:customStyle="1" w:styleId="84">
    <w:name w:val="HTML 预设格式 Char"/>
    <w:link w:val="40"/>
    <w:qFormat/>
    <w:uiPriority w:val="0"/>
    <w:rPr>
      <w:rFonts w:ascii="Arial" w:hAnsi="Arial" w:eastAsia="宋体" w:cs="Arial"/>
      <w:kern w:val="0"/>
      <w:sz w:val="24"/>
      <w:szCs w:val="24"/>
    </w:rPr>
  </w:style>
  <w:style w:type="character" w:customStyle="1" w:styleId="85">
    <w:name w:val="标题 Char"/>
    <w:link w:val="43"/>
    <w:qFormat/>
    <w:uiPriority w:val="0"/>
    <w:rPr>
      <w:rFonts w:ascii="Times New Roman" w:hAnsi="Times New Roman" w:eastAsia="宋体" w:cs="Times New Roman"/>
      <w:b/>
      <w:sz w:val="32"/>
    </w:rPr>
  </w:style>
  <w:style w:type="character" w:customStyle="1" w:styleId="86">
    <w:name w:val="批注主题 Char"/>
    <w:link w:val="44"/>
    <w:qFormat/>
    <w:uiPriority w:val="0"/>
    <w:rPr>
      <w:rFonts w:ascii="Times New Roman" w:hAnsi="Times New Roman" w:eastAsia="宋体" w:cs="Times New Roman"/>
      <w:b/>
      <w:bCs/>
      <w:szCs w:val="24"/>
    </w:rPr>
  </w:style>
  <w:style w:type="character" w:customStyle="1" w:styleId="87">
    <w:name w:val="正文首行缩进 Char"/>
    <w:link w:val="45"/>
    <w:qFormat/>
    <w:uiPriority w:val="0"/>
    <w:rPr>
      <w:rFonts w:ascii="Times New Roman" w:hAnsi="Times New Roman" w:eastAsia="宋体" w:cs="Times New Roman"/>
      <w:kern w:val="2"/>
      <w:sz w:val="21"/>
    </w:rPr>
  </w:style>
  <w:style w:type="character" w:customStyle="1" w:styleId="88">
    <w:name w:val="正文首行缩进 2 Char"/>
    <w:link w:val="46"/>
    <w:qFormat/>
    <w:uiPriority w:val="0"/>
  </w:style>
  <w:style w:type="paragraph" w:customStyle="1" w:styleId="89">
    <w:name w:val="_Style 4"/>
    <w:basedOn w:val="1"/>
    <w:next w:val="1"/>
    <w:qFormat/>
    <w:uiPriority w:val="99"/>
    <w:pPr>
      <w:widowControl/>
      <w:wordWrap w:val="0"/>
      <w:spacing w:before="200" w:after="160"/>
      <w:ind w:left="864" w:right="864"/>
      <w:jc w:val="center"/>
    </w:pPr>
    <w:rPr>
      <w:i/>
      <w:color w:val="404040"/>
    </w:rPr>
  </w:style>
  <w:style w:type="paragraph" w:customStyle="1" w:styleId="90">
    <w:name w:val="无间隔1"/>
    <w:qFormat/>
    <w:uiPriority w:val="1"/>
    <w:pPr>
      <w:widowControl w:val="0"/>
      <w:jc w:val="both"/>
    </w:pPr>
    <w:rPr>
      <w:rFonts w:ascii="Calibri" w:hAnsi="Calibri" w:eastAsia="宋体" w:cs="Calibri"/>
      <w:kern w:val="2"/>
      <w:sz w:val="21"/>
      <w:szCs w:val="21"/>
      <w:lang w:val="en-US" w:eastAsia="zh-CN" w:bidi="ar-SA"/>
    </w:rPr>
  </w:style>
  <w:style w:type="character" w:customStyle="1" w:styleId="91">
    <w:name w:val="font161"/>
    <w:qFormat/>
    <w:uiPriority w:val="0"/>
    <w:rPr>
      <w:rFonts w:hint="eastAsia" w:ascii="等线" w:hAnsi="等线" w:eastAsia="等线" w:cs="等线"/>
      <w:color w:val="000000"/>
      <w:sz w:val="24"/>
      <w:szCs w:val="24"/>
      <w:u w:val="none"/>
    </w:rPr>
  </w:style>
  <w:style w:type="character" w:customStyle="1" w:styleId="92">
    <w:name w:val="font21"/>
    <w:qFormat/>
    <w:uiPriority w:val="0"/>
    <w:rPr>
      <w:rFonts w:hint="eastAsia" w:ascii="宋体" w:hAnsi="宋体" w:eastAsia="宋体" w:cs="宋体"/>
      <w:color w:val="000000"/>
      <w:sz w:val="22"/>
      <w:szCs w:val="22"/>
      <w:u w:val="none"/>
    </w:rPr>
  </w:style>
  <w:style w:type="character" w:customStyle="1" w:styleId="93">
    <w:name w:val="font121"/>
    <w:qFormat/>
    <w:uiPriority w:val="0"/>
    <w:rPr>
      <w:rFonts w:hint="eastAsia" w:ascii="等线" w:hAnsi="等线" w:eastAsia="等线" w:cs="等线"/>
      <w:b/>
      <w:color w:val="000000"/>
      <w:sz w:val="24"/>
      <w:szCs w:val="24"/>
      <w:u w:val="none"/>
    </w:rPr>
  </w:style>
  <w:style w:type="character" w:customStyle="1" w:styleId="94">
    <w:name w:val="fontstyle01"/>
    <w:qFormat/>
    <w:uiPriority w:val="0"/>
    <w:rPr>
      <w:rFonts w:hint="eastAsia" w:ascii="宋体" w:hAnsi="宋体" w:eastAsia="宋体" w:cs="Times New Roman"/>
      <w:color w:val="000000"/>
      <w:sz w:val="24"/>
      <w:szCs w:val="24"/>
    </w:rPr>
  </w:style>
  <w:style w:type="character" w:customStyle="1" w:styleId="95">
    <w:name w:val="UserStyle_52"/>
    <w:qFormat/>
    <w:uiPriority w:val="0"/>
    <w:rPr>
      <w:rFonts w:ascii="Times New Roman" w:hAnsi="Times New Roman" w:eastAsia="宋体" w:cs="Times New Roman"/>
      <w:kern w:val="2"/>
      <w:sz w:val="21"/>
      <w:szCs w:val="24"/>
      <w:lang w:val="en-US" w:eastAsia="zh-CN" w:bidi="ar-SA"/>
    </w:rPr>
  </w:style>
  <w:style w:type="character" w:customStyle="1" w:styleId="96">
    <w:name w:val="页脚 字符"/>
    <w:qFormat/>
    <w:uiPriority w:val="0"/>
    <w:rPr>
      <w:rFonts w:ascii="Times New Roman" w:hAnsi="Times New Roman" w:eastAsia="宋体" w:cs="Times New Roman"/>
    </w:rPr>
  </w:style>
  <w:style w:type="character" w:customStyle="1" w:styleId="97">
    <w:name w:val="段 Char Char"/>
    <w:link w:val="98"/>
    <w:qFormat/>
    <w:uiPriority w:val="0"/>
    <w:rPr>
      <w:rFonts w:ascii="宋体"/>
      <w:sz w:val="21"/>
      <w:lang w:val="en-US" w:eastAsia="zh-CN" w:bidi="ar-SA"/>
    </w:rPr>
  </w:style>
  <w:style w:type="paragraph" w:customStyle="1" w:styleId="98">
    <w:name w:val="段"/>
    <w:next w:val="1"/>
    <w:link w:val="9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99">
    <w:name w:val="NormalCharacter"/>
    <w:qFormat/>
    <w:uiPriority w:val="0"/>
    <w:rPr>
      <w:rFonts w:ascii="Times New Roman" w:hAnsi="Times New Roman" w:eastAsia="宋体" w:cs="Times New Roman"/>
    </w:rPr>
  </w:style>
  <w:style w:type="character" w:customStyle="1" w:styleId="100">
    <w:name w:val="font131"/>
    <w:qFormat/>
    <w:uiPriority w:val="0"/>
    <w:rPr>
      <w:rFonts w:hint="eastAsia" w:ascii="宋体" w:hAnsi="宋体" w:eastAsia="宋体" w:cs="宋体"/>
      <w:b/>
      <w:color w:val="000000"/>
      <w:sz w:val="24"/>
      <w:szCs w:val="24"/>
      <w:u w:val="none"/>
    </w:rPr>
  </w:style>
  <w:style w:type="character" w:customStyle="1" w:styleId="101">
    <w:name w:val="font151"/>
    <w:qFormat/>
    <w:uiPriority w:val="0"/>
    <w:rPr>
      <w:rFonts w:hint="default" w:ascii="Times New Roman" w:hAnsi="Times New Roman" w:eastAsia="宋体" w:cs="Times New Roman"/>
      <w:color w:val="000000"/>
      <w:sz w:val="14"/>
      <w:szCs w:val="14"/>
      <w:u w:val="none"/>
    </w:rPr>
  </w:style>
  <w:style w:type="character" w:customStyle="1" w:styleId="102">
    <w:name w:val="列出段落 Char"/>
    <w:link w:val="103"/>
    <w:qFormat/>
    <w:uiPriority w:val="0"/>
    <w:rPr>
      <w:rFonts w:ascii="Times New Roman" w:hAnsi="Times New Roman" w:eastAsia="宋体" w:cs="Times New Roman"/>
      <w:szCs w:val="24"/>
    </w:rPr>
  </w:style>
  <w:style w:type="paragraph" w:customStyle="1" w:styleId="103">
    <w:name w:val="列出段落1"/>
    <w:basedOn w:val="1"/>
    <w:link w:val="102"/>
    <w:qFormat/>
    <w:uiPriority w:val="0"/>
    <w:pPr>
      <w:ind w:firstLine="420" w:firstLineChars="200"/>
    </w:pPr>
    <w:rPr>
      <w:kern w:val="0"/>
      <w:sz w:val="20"/>
    </w:rPr>
  </w:style>
  <w:style w:type="character" w:customStyle="1" w:styleId="104">
    <w:name w:val="fontstyle21"/>
    <w:qFormat/>
    <w:uiPriority w:val="0"/>
    <w:rPr>
      <w:rFonts w:hint="eastAsia" w:ascii="宋体" w:hAnsi="宋体" w:eastAsia="宋体" w:cs="Times New Roman"/>
      <w:color w:val="993300"/>
      <w:sz w:val="24"/>
      <w:szCs w:val="24"/>
    </w:rPr>
  </w:style>
  <w:style w:type="character" w:customStyle="1" w:styleId="105">
    <w:name w:val="标题 Char1"/>
    <w:qFormat/>
    <w:uiPriority w:val="0"/>
    <w:rPr>
      <w:rFonts w:ascii="Cambria" w:hAnsi="Cambria" w:eastAsia="宋体" w:cs="黑体"/>
      <w:b/>
      <w:bCs/>
      <w:sz w:val="32"/>
      <w:szCs w:val="32"/>
    </w:rPr>
  </w:style>
  <w:style w:type="character" w:customStyle="1" w:styleId="106">
    <w:name w:val="批注文字 Char"/>
    <w:qFormat/>
    <w:uiPriority w:val="0"/>
    <w:rPr>
      <w:rFonts w:ascii="Times New Roman" w:hAnsi="Times New Roman" w:eastAsia="宋体" w:cs="Times New Roman"/>
      <w:szCs w:val="24"/>
    </w:rPr>
  </w:style>
  <w:style w:type="character" w:customStyle="1" w:styleId="107">
    <w:name w:val="样式1 Char Char"/>
    <w:link w:val="108"/>
    <w:qFormat/>
    <w:uiPriority w:val="0"/>
    <w:rPr>
      <w:rFonts w:ascii="宋体" w:hAnsi="宋体" w:eastAsia="宋体" w:cs="Times New Roman"/>
      <w:kern w:val="0"/>
      <w:szCs w:val="21"/>
    </w:rPr>
  </w:style>
  <w:style w:type="paragraph" w:customStyle="1" w:styleId="108">
    <w:name w:val="样式1"/>
    <w:basedOn w:val="1"/>
    <w:link w:val="107"/>
    <w:qFormat/>
    <w:uiPriority w:val="0"/>
    <w:pPr>
      <w:tabs>
        <w:tab w:val="left" w:pos="360"/>
      </w:tabs>
      <w:adjustRightInd w:val="0"/>
      <w:ind w:left="360" w:hanging="360"/>
      <w:textAlignment w:val="baseline"/>
    </w:pPr>
    <w:rPr>
      <w:rFonts w:ascii="宋体" w:hAnsi="宋体"/>
      <w:kern w:val="0"/>
      <w:sz w:val="20"/>
      <w:szCs w:val="21"/>
    </w:rPr>
  </w:style>
  <w:style w:type="character" w:customStyle="1" w:styleId="109">
    <w:name w:val="fontstyle11"/>
    <w:qFormat/>
    <w:uiPriority w:val="0"/>
    <w:rPr>
      <w:rFonts w:hint="default" w:ascii="TimesNewRomanPSMT" w:hAnsi="TimesNewRomanPSMT" w:eastAsia="宋体" w:cs="Times New Roman"/>
      <w:color w:val="000000"/>
      <w:sz w:val="24"/>
      <w:szCs w:val="24"/>
    </w:rPr>
  </w:style>
  <w:style w:type="character" w:customStyle="1" w:styleId="110">
    <w:name w:val="font41"/>
    <w:qFormat/>
    <w:uiPriority w:val="0"/>
    <w:rPr>
      <w:rFonts w:hint="eastAsia" w:ascii="宋体" w:hAnsi="宋体" w:eastAsia="宋体" w:cs="宋体"/>
      <w:color w:val="000000"/>
      <w:sz w:val="24"/>
      <w:szCs w:val="24"/>
      <w:u w:val="none"/>
    </w:rPr>
  </w:style>
  <w:style w:type="character" w:customStyle="1" w:styleId="111">
    <w:name w:val="font01"/>
    <w:qFormat/>
    <w:uiPriority w:val="0"/>
    <w:rPr>
      <w:rFonts w:ascii="宋体" w:hAnsi="宋体" w:eastAsia="宋体" w:cs="宋体"/>
      <w:color w:val="000000"/>
      <w:sz w:val="20"/>
      <w:szCs w:val="20"/>
      <w:u w:val="none"/>
    </w:rPr>
  </w:style>
  <w:style w:type="character" w:customStyle="1" w:styleId="112">
    <w:name w:val="正文文本 宋体 四号 行距: 固定值 23 磅 Char"/>
    <w:link w:val="113"/>
    <w:qFormat/>
    <w:uiPriority w:val="0"/>
    <w:rPr>
      <w:rFonts w:ascii="宋体" w:hAnsi="宋体" w:eastAsia="宋体" w:cs="Times New Roman"/>
      <w:snapToGrid w:val="0"/>
    </w:rPr>
  </w:style>
  <w:style w:type="paragraph" w:customStyle="1" w:styleId="113">
    <w:name w:val="正文文本 宋体 四号 行距: 固定值 23 磅"/>
    <w:basedOn w:val="1"/>
    <w:link w:val="112"/>
    <w:qFormat/>
    <w:uiPriority w:val="0"/>
    <w:pPr>
      <w:spacing w:before="120" w:after="120" w:line="460" w:lineRule="exact"/>
      <w:ind w:firstLine="562" w:firstLineChars="200"/>
    </w:pPr>
    <w:rPr>
      <w:rFonts w:ascii="宋体" w:hAnsi="宋体"/>
      <w:snapToGrid w:val="0"/>
      <w:kern w:val="0"/>
      <w:sz w:val="20"/>
      <w:szCs w:val="20"/>
    </w:rPr>
  </w:style>
  <w:style w:type="character" w:customStyle="1" w:styleId="114">
    <w:name w:val="DMT-正文样式1 字符"/>
    <w:link w:val="115"/>
    <w:qFormat/>
    <w:uiPriority w:val="0"/>
    <w:rPr>
      <w:rFonts w:ascii="Times New Roman" w:hAnsi="Times New Roman" w:eastAsia="宋体" w:cs="Times New Roman"/>
      <w:sz w:val="28"/>
    </w:rPr>
  </w:style>
  <w:style w:type="paragraph" w:customStyle="1" w:styleId="115">
    <w:name w:val="DMT-正文样式1"/>
    <w:basedOn w:val="1"/>
    <w:link w:val="114"/>
    <w:qFormat/>
    <w:uiPriority w:val="0"/>
    <w:pPr>
      <w:spacing w:beforeLines="50" w:afterLines="50" w:line="360" w:lineRule="auto"/>
      <w:ind w:firstLine="200" w:firstLineChars="200"/>
    </w:pPr>
    <w:rPr>
      <w:kern w:val="0"/>
      <w:sz w:val="28"/>
      <w:szCs w:val="20"/>
    </w:rPr>
  </w:style>
  <w:style w:type="character" w:customStyle="1" w:styleId="116">
    <w:name w:val="p0 Char"/>
    <w:link w:val="117"/>
    <w:qFormat/>
    <w:uiPriority w:val="0"/>
    <w:rPr>
      <w:rFonts w:ascii="Times New Roman" w:hAnsi="Times New Roman" w:eastAsia="宋体" w:cs="Times New Roman"/>
      <w:szCs w:val="21"/>
    </w:rPr>
  </w:style>
  <w:style w:type="paragraph" w:customStyle="1" w:styleId="117">
    <w:name w:val="p0"/>
    <w:basedOn w:val="1"/>
    <w:link w:val="116"/>
    <w:qFormat/>
    <w:uiPriority w:val="0"/>
    <w:pPr>
      <w:widowControl/>
    </w:pPr>
    <w:rPr>
      <w:kern w:val="0"/>
      <w:sz w:val="20"/>
      <w:szCs w:val="21"/>
    </w:rPr>
  </w:style>
  <w:style w:type="character" w:customStyle="1" w:styleId="118">
    <w:name w:val="fontstyle31"/>
    <w:qFormat/>
    <w:uiPriority w:val="0"/>
    <w:rPr>
      <w:rFonts w:hint="default" w:ascii="Arial" w:hAnsi="Arial" w:eastAsia="宋体" w:cs="Arial"/>
      <w:color w:val="993300"/>
      <w:sz w:val="24"/>
      <w:szCs w:val="24"/>
    </w:rPr>
  </w:style>
  <w:style w:type="character" w:customStyle="1" w:styleId="119">
    <w:name w:val="btn-print1"/>
    <w:qFormat/>
    <w:uiPriority w:val="0"/>
    <w:rPr>
      <w:rFonts w:ascii="微软雅黑" w:hAnsi="微软雅黑" w:eastAsia="微软雅黑" w:cs="微软雅黑"/>
      <w:color w:val="3A3A3A"/>
      <w:sz w:val="19"/>
      <w:szCs w:val="19"/>
      <w:bdr w:val="outset" w:color="FFFFFF" w:sz="6" w:space="0"/>
      <w:shd w:val="clear" w:color="auto" w:fill="FFFFFF"/>
    </w:rPr>
  </w:style>
  <w:style w:type="paragraph" w:customStyle="1" w:styleId="120">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21">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22">
    <w:name w:val="xl86"/>
    <w:basedOn w:val="1"/>
    <w:qFormat/>
    <w:uiPriority w:val="0"/>
    <w:pPr>
      <w:widowControl/>
      <w:pBdr>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123">
    <w:name w:val="正文 A"/>
    <w:qFormat/>
    <w:uiPriority w:val="0"/>
    <w:pPr>
      <w:spacing w:after="200" w:line="251" w:lineRule="auto"/>
    </w:pPr>
    <w:rPr>
      <w:rFonts w:ascii="Cambria" w:hAnsi="Cambria" w:eastAsia="Cambria" w:cs="Cambria"/>
      <w:color w:val="000000"/>
      <w:sz w:val="22"/>
      <w:szCs w:val="22"/>
      <w:u w:color="000000"/>
      <w:lang w:val="en-US" w:eastAsia="zh-CN" w:bidi="ar-SA"/>
    </w:rPr>
  </w:style>
  <w:style w:type="paragraph" w:customStyle="1" w:styleId="124">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2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26">
    <w:name w:val="标题 1 +"/>
    <w:basedOn w:val="2"/>
    <w:next w:val="1"/>
    <w:qFormat/>
    <w:uiPriority w:val="0"/>
    <w:pPr>
      <w:keepLines/>
      <w:spacing w:line="600" w:lineRule="auto"/>
    </w:pPr>
    <w:rPr>
      <w:rFonts w:eastAsia="黑体"/>
      <w:sz w:val="32"/>
      <w:szCs w:val="32"/>
    </w:rPr>
  </w:style>
  <w:style w:type="paragraph" w:customStyle="1" w:styleId="12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28">
    <w:name w:val="正文无缩进"/>
    <w:basedOn w:val="1"/>
    <w:qFormat/>
    <w:uiPriority w:val="0"/>
    <w:pPr>
      <w:snapToGrid w:val="0"/>
      <w:spacing w:before="120" w:line="300" w:lineRule="auto"/>
    </w:pPr>
    <w:rPr>
      <w:sz w:val="24"/>
      <w:szCs w:val="20"/>
    </w:rPr>
  </w:style>
  <w:style w:type="paragraph" w:customStyle="1" w:styleId="129">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30">
    <w:name w:val="xl83"/>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131">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2">
    <w:name w:val="font8"/>
    <w:basedOn w:val="1"/>
    <w:qFormat/>
    <w:uiPriority w:val="0"/>
    <w:pPr>
      <w:widowControl/>
      <w:spacing w:before="100" w:beforeAutospacing="1" w:after="100" w:afterAutospacing="1"/>
      <w:jc w:val="left"/>
    </w:pPr>
    <w:rPr>
      <w:color w:val="000000"/>
      <w:kern w:val="0"/>
      <w:sz w:val="20"/>
      <w:szCs w:val="20"/>
    </w:rPr>
  </w:style>
  <w:style w:type="paragraph" w:customStyle="1" w:styleId="133">
    <w:name w:val="font10"/>
    <w:basedOn w:val="1"/>
    <w:qFormat/>
    <w:uiPriority w:val="0"/>
    <w:pPr>
      <w:widowControl/>
      <w:spacing w:before="100" w:beforeAutospacing="1" w:after="100" w:afterAutospacing="1"/>
      <w:jc w:val="left"/>
    </w:pPr>
    <w:rPr>
      <w:rFonts w:ascii="Arial" w:hAnsi="Arial" w:cs="Arial"/>
      <w:color w:val="000000"/>
      <w:kern w:val="0"/>
      <w:sz w:val="18"/>
      <w:szCs w:val="18"/>
    </w:rPr>
  </w:style>
  <w:style w:type="paragraph" w:customStyle="1" w:styleId="134">
    <w:name w:val="p16"/>
    <w:basedOn w:val="1"/>
    <w:qFormat/>
    <w:uiPriority w:val="0"/>
    <w:pPr>
      <w:widowControl/>
      <w:jc w:val="left"/>
    </w:pPr>
    <w:rPr>
      <w:kern w:val="0"/>
      <w:szCs w:val="21"/>
    </w:rPr>
  </w:style>
  <w:style w:type="paragraph" w:customStyle="1" w:styleId="135">
    <w:name w:val="BodyText1I2"/>
    <w:basedOn w:val="136"/>
    <w:qFormat/>
    <w:uiPriority w:val="0"/>
    <w:pPr>
      <w:spacing w:after="120"/>
      <w:ind w:left="420" w:leftChars="200" w:firstLine="482" w:firstLineChars="200"/>
    </w:pPr>
    <w:rPr>
      <w:rFonts w:ascii="Calibri" w:hAnsi="Calibri"/>
      <w:b/>
    </w:rPr>
  </w:style>
  <w:style w:type="paragraph" w:customStyle="1" w:styleId="136">
    <w:name w:val="BodyTextIndent"/>
    <w:basedOn w:val="1"/>
    <w:next w:val="1"/>
    <w:qFormat/>
    <w:uiPriority w:val="0"/>
    <w:pPr>
      <w:spacing w:line="320" w:lineRule="exact"/>
      <w:ind w:firstLine="210"/>
    </w:pPr>
    <w:rPr>
      <w:rFonts w:ascii="宋体"/>
      <w:spacing w:val="-2"/>
    </w:rPr>
  </w:style>
  <w:style w:type="paragraph" w:customStyle="1" w:styleId="137">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8">
    <w:name w:val="xl90"/>
    <w:basedOn w:val="1"/>
    <w:qFormat/>
    <w:uiPriority w:val="0"/>
    <w:pPr>
      <w:widowControl/>
      <w:pBdr>
        <w:bottom w:val="single" w:color="auto" w:sz="4" w:space="0"/>
        <w:right w:val="single" w:color="auto" w:sz="4" w:space="0"/>
      </w:pBdr>
      <w:spacing w:before="100" w:beforeAutospacing="1" w:after="100" w:afterAutospacing="1"/>
      <w:jc w:val="center"/>
    </w:pPr>
    <w:rPr>
      <w:rFonts w:ascii="黑体" w:hAnsi="黑体" w:eastAsia="黑体" w:cs="宋体"/>
      <w:color w:val="000000"/>
      <w:kern w:val="0"/>
      <w:sz w:val="20"/>
      <w:szCs w:val="20"/>
    </w:rPr>
  </w:style>
  <w:style w:type="paragraph" w:customStyle="1" w:styleId="139">
    <w:name w:val="font6"/>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140">
    <w:name w:val="xl85"/>
    <w:basedOn w:val="1"/>
    <w:qFormat/>
    <w:uiPriority w:val="0"/>
    <w:pPr>
      <w:widowControl/>
      <w:pBdr>
        <w:bottom w:val="single" w:color="auto" w:sz="4" w:space="0"/>
        <w:right w:val="single" w:color="auto" w:sz="4" w:space="0"/>
      </w:pBdr>
      <w:spacing w:before="100" w:beforeAutospacing="1" w:after="100" w:afterAutospacing="1"/>
    </w:pPr>
    <w:rPr>
      <w:rFonts w:ascii="宋体" w:hAnsi="宋体" w:cs="宋体"/>
      <w:color w:val="000000"/>
      <w:kern w:val="0"/>
      <w:sz w:val="18"/>
      <w:szCs w:val="18"/>
    </w:rPr>
  </w:style>
  <w:style w:type="paragraph" w:customStyle="1" w:styleId="141">
    <w:name w:val="xl94"/>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14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43">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44">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145">
    <w:name w:val="Style68"/>
    <w:basedOn w:val="1"/>
    <w:qFormat/>
    <w:uiPriority w:val="0"/>
    <w:pPr>
      <w:spacing w:line="547" w:lineRule="exact"/>
    </w:pPr>
  </w:style>
  <w:style w:type="paragraph" w:customStyle="1" w:styleId="146">
    <w:name w:val="font11"/>
    <w:basedOn w:val="1"/>
    <w:qFormat/>
    <w:uiPriority w:val="0"/>
    <w:pPr>
      <w:widowControl/>
      <w:spacing w:before="100" w:beforeAutospacing="1" w:after="100" w:afterAutospacing="1"/>
      <w:jc w:val="left"/>
    </w:pPr>
    <w:rPr>
      <w:rFonts w:ascii="Arial" w:hAnsi="Arial" w:cs="Arial"/>
      <w:color w:val="000000"/>
      <w:kern w:val="0"/>
      <w:sz w:val="20"/>
      <w:szCs w:val="20"/>
    </w:rPr>
  </w:style>
  <w:style w:type="paragraph" w:customStyle="1" w:styleId="147">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48">
    <w:name w:val="font7"/>
    <w:basedOn w:val="1"/>
    <w:qFormat/>
    <w:uiPriority w:val="0"/>
    <w:pPr>
      <w:widowControl/>
      <w:spacing w:before="100" w:beforeAutospacing="1" w:after="100" w:afterAutospacing="1"/>
      <w:jc w:val="left"/>
    </w:pPr>
    <w:rPr>
      <w:kern w:val="0"/>
      <w:sz w:val="20"/>
      <w:szCs w:val="20"/>
    </w:rPr>
  </w:style>
  <w:style w:type="paragraph" w:customStyle="1" w:styleId="149">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150">
    <w:name w:val="Char1 Char Char Char 字元 Char Char 字元 Char 字元 Char1 Char Char Char"/>
    <w:basedOn w:val="1"/>
    <w:qFormat/>
    <w:uiPriority w:val="0"/>
    <w:rPr>
      <w:szCs w:val="20"/>
    </w:rPr>
  </w:style>
  <w:style w:type="paragraph" w:customStyle="1" w:styleId="151">
    <w:name w:val="xl68"/>
    <w:basedOn w:val="1"/>
    <w:qFormat/>
    <w:uiPriority w:val="0"/>
    <w:pPr>
      <w:widowControl/>
      <w:spacing w:before="100" w:beforeAutospacing="1" w:after="100" w:afterAutospacing="1"/>
      <w:jc w:val="left"/>
      <w:textAlignment w:val="bottom"/>
    </w:pPr>
    <w:rPr>
      <w:rFonts w:ascii="宋体" w:hAnsi="宋体" w:cs="宋体"/>
      <w:kern w:val="0"/>
      <w:sz w:val="24"/>
    </w:rPr>
  </w:style>
  <w:style w:type="paragraph" w:customStyle="1" w:styleId="15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154">
    <w:name w:val="Char Char Char"/>
    <w:basedOn w:val="1"/>
    <w:qFormat/>
    <w:uiPriority w:val="0"/>
    <w:rPr>
      <w:rFonts w:ascii="宋体" w:hAnsi="宋体"/>
      <w:b/>
      <w:sz w:val="28"/>
      <w:szCs w:val="28"/>
    </w:rPr>
  </w:style>
  <w:style w:type="paragraph" w:customStyle="1" w:styleId="155">
    <w:name w:val="xl8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color w:val="000000"/>
      <w:kern w:val="0"/>
      <w:sz w:val="20"/>
      <w:szCs w:val="20"/>
    </w:rPr>
  </w:style>
  <w:style w:type="paragraph" w:customStyle="1" w:styleId="156">
    <w:name w:val="font5"/>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57">
    <w:name w:val="Normal_8"/>
    <w:qFormat/>
    <w:uiPriority w:val="0"/>
    <w:rPr>
      <w:rFonts w:ascii="Times New Roman" w:hAnsi="Times New Roman" w:eastAsia="Times New Roman" w:cs="Times New Roman"/>
      <w:sz w:val="24"/>
      <w:szCs w:val="24"/>
      <w:lang w:val="en-US" w:eastAsia="zh-CN" w:bidi="ar-SA"/>
    </w:rPr>
  </w:style>
  <w:style w:type="paragraph" w:customStyle="1" w:styleId="15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b/>
      <w:bCs/>
      <w:color w:val="000000"/>
      <w:kern w:val="0"/>
      <w:sz w:val="20"/>
      <w:szCs w:val="20"/>
    </w:rPr>
  </w:style>
  <w:style w:type="paragraph" w:customStyle="1" w:styleId="159">
    <w:name w:val="TOC 标题1"/>
    <w:basedOn w:val="2"/>
    <w:next w:val="1"/>
    <w:qFormat/>
    <w:uiPriority w:val="0"/>
    <w:pPr>
      <w:keepLines/>
      <w:widowControl/>
      <w:spacing w:before="480" w:line="276" w:lineRule="auto"/>
      <w:jc w:val="left"/>
      <w:outlineLvl w:val="9"/>
    </w:pPr>
    <w:rPr>
      <w:rFonts w:ascii="Cambria" w:hAnsi="Cambria" w:cs="黑体"/>
      <w:color w:val="365F90"/>
      <w:sz w:val="28"/>
      <w:szCs w:val="28"/>
    </w:rPr>
  </w:style>
  <w:style w:type="paragraph" w:customStyle="1" w:styleId="16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61">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6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黑体" w:hAnsi="黑体" w:eastAsia="黑体" w:cs="宋体"/>
      <w:kern w:val="0"/>
      <w:sz w:val="20"/>
      <w:szCs w:val="20"/>
    </w:rPr>
  </w:style>
  <w:style w:type="paragraph" w:customStyle="1" w:styleId="163">
    <w:name w:val="xl69"/>
    <w:basedOn w:val="1"/>
    <w:qFormat/>
    <w:uiPriority w:val="0"/>
    <w:pPr>
      <w:widowControl/>
      <w:spacing w:before="100" w:beforeAutospacing="1" w:after="100" w:afterAutospacing="1"/>
      <w:jc w:val="left"/>
      <w:textAlignment w:val="bottom"/>
    </w:pPr>
    <w:rPr>
      <w:rFonts w:ascii="宋体" w:hAnsi="宋体" w:cs="宋体"/>
      <w:kern w:val="0"/>
      <w:sz w:val="24"/>
    </w:rPr>
  </w:style>
  <w:style w:type="paragraph" w:customStyle="1" w:styleId="16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165">
    <w:name w:val="xl9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6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67">
    <w:name w:val="列表段落1"/>
    <w:basedOn w:val="1"/>
    <w:qFormat/>
    <w:uiPriority w:val="0"/>
    <w:pPr>
      <w:ind w:firstLine="420" w:firstLineChars="200"/>
    </w:pPr>
    <w:rPr>
      <w:rFonts w:ascii="Calibri" w:hAnsi="Calibri"/>
      <w:szCs w:val="21"/>
    </w:rPr>
  </w:style>
  <w:style w:type="paragraph" w:customStyle="1" w:styleId="168">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69">
    <w:name w:val="font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0">
    <w:name w:val="xl84"/>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17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2">
    <w:name w:val="xl93"/>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173">
    <w:name w:val="xl87"/>
    <w:basedOn w:val="1"/>
    <w:qFormat/>
    <w:uiPriority w:val="0"/>
    <w:pPr>
      <w:widowControl/>
      <w:pBdr>
        <w:bottom w:val="single" w:color="auto" w:sz="4" w:space="0"/>
        <w:right w:val="single" w:color="auto" w:sz="4" w:space="0"/>
      </w:pBdr>
      <w:spacing w:before="100" w:beforeAutospacing="1" w:after="100" w:afterAutospacing="1"/>
      <w:jc w:val="center"/>
    </w:pPr>
    <w:rPr>
      <w:rFonts w:ascii="黑体" w:hAnsi="黑体" w:eastAsia="黑体" w:cs="宋体"/>
      <w:b/>
      <w:bCs/>
      <w:color w:val="000000"/>
      <w:kern w:val="0"/>
      <w:sz w:val="20"/>
      <w:szCs w:val="20"/>
    </w:rPr>
  </w:style>
  <w:style w:type="paragraph" w:customStyle="1" w:styleId="174">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5">
    <w:name w:val="xl66"/>
    <w:basedOn w:val="1"/>
    <w:qFormat/>
    <w:uiPriority w:val="0"/>
    <w:pPr>
      <w:widowControl/>
      <w:spacing w:before="100" w:beforeAutospacing="1" w:after="100" w:afterAutospacing="1"/>
      <w:jc w:val="left"/>
      <w:textAlignment w:val="bottom"/>
    </w:pPr>
    <w:rPr>
      <w:rFonts w:ascii="宋体" w:hAnsi="宋体" w:cs="宋体"/>
      <w:kern w:val="0"/>
      <w:sz w:val="24"/>
    </w:rPr>
  </w:style>
  <w:style w:type="paragraph" w:customStyle="1" w:styleId="176">
    <w:name w:val="1"/>
    <w:basedOn w:val="1"/>
    <w:qFormat/>
    <w:uiPriority w:val="0"/>
    <w:pPr>
      <w:spacing w:afterLines="50" w:line="360" w:lineRule="auto"/>
    </w:pPr>
    <w:rPr>
      <w:rFonts w:ascii="宋体" w:hAnsi="宋体"/>
      <w:b/>
      <w:sz w:val="30"/>
      <w:szCs w:val="21"/>
    </w:rPr>
  </w:style>
  <w:style w:type="paragraph" w:customStyle="1" w:styleId="177">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78">
    <w:name w:val="Normal_0_1"/>
    <w:qFormat/>
    <w:uiPriority w:val="0"/>
    <w:rPr>
      <w:rFonts w:ascii="Times New Roman" w:hAnsi="Times New Roman" w:eastAsia="Times New Roman" w:cs="Times New Roman"/>
      <w:sz w:val="24"/>
      <w:szCs w:val="24"/>
      <w:lang w:val="en-US" w:eastAsia="zh-CN" w:bidi="ar-SA"/>
    </w:rPr>
  </w:style>
  <w:style w:type="paragraph" w:styleId="179">
    <w:name w:val="List Paragraph"/>
    <w:basedOn w:val="1"/>
    <w:qFormat/>
    <w:uiPriority w:val="99"/>
    <w:pPr>
      <w:ind w:firstLine="420" w:firstLineChars="200"/>
    </w:pPr>
    <w:rPr>
      <w:rFonts w:ascii="Arial" w:hAnsi="Arial" w:eastAsia="微软雅黑"/>
      <w:szCs w:val="22"/>
    </w:rPr>
  </w:style>
  <w:style w:type="paragraph" w:customStyle="1" w:styleId="18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szCs w:val="20"/>
    </w:rPr>
  </w:style>
  <w:style w:type="paragraph" w:customStyle="1" w:styleId="181">
    <w:name w:val="样式 标题 1正文一级标题H1L1 Heading 1h11st levelh111st level1headi..."/>
    <w:basedOn w:val="2"/>
    <w:qFormat/>
    <w:uiPriority w:val="0"/>
    <w:pPr>
      <w:keepLines/>
      <w:spacing w:before="340" w:after="330" w:line="360" w:lineRule="auto"/>
      <w:jc w:val="both"/>
    </w:pPr>
    <w:rPr>
      <w:rFonts w:eastAsia="黑体" w:cs="宋体"/>
      <w:kern w:val="44"/>
      <w:sz w:val="44"/>
    </w:rPr>
  </w:style>
  <w:style w:type="paragraph" w:customStyle="1" w:styleId="182">
    <w:name w:val="xl91"/>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183">
    <w:name w:val="Char"/>
    <w:basedOn w:val="1"/>
    <w:qFormat/>
    <w:uiPriority w:val="0"/>
    <w:pPr>
      <w:tabs>
        <w:tab w:val="left" w:pos="360"/>
      </w:tabs>
      <w:ind w:left="360" w:hanging="360" w:hangingChars="200"/>
    </w:pPr>
    <w:rPr>
      <w:sz w:val="24"/>
    </w:rPr>
  </w:style>
  <w:style w:type="paragraph" w:customStyle="1" w:styleId="184">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185">
    <w:name w:val="Char Char1 Char Char Char Char Char1 Char Char Char Char"/>
    <w:basedOn w:val="15"/>
    <w:qFormat/>
    <w:uiPriority w:val="0"/>
    <w:rPr>
      <w:rFonts w:ascii="Tahoma" w:hAnsi="Tahoma"/>
    </w:rPr>
  </w:style>
  <w:style w:type="paragraph" w:customStyle="1" w:styleId="186">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sz w:val="21"/>
      <w:szCs w:val="20"/>
    </w:rPr>
  </w:style>
  <w:style w:type="paragraph" w:customStyle="1" w:styleId="187">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188">
    <w:name w:val="表格内容"/>
    <w:basedOn w:val="19"/>
    <w:qFormat/>
    <w:uiPriority w:val="0"/>
    <w:pPr>
      <w:suppressLineNumbers/>
      <w:suppressAutoHyphens/>
      <w:jc w:val="left"/>
    </w:pPr>
    <w:rPr>
      <w:rFonts w:cs="Tahoma"/>
      <w:sz w:val="24"/>
    </w:rPr>
  </w:style>
  <w:style w:type="paragraph" w:customStyle="1" w:styleId="189">
    <w:name w:val="xl67"/>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character" w:customStyle="1" w:styleId="190">
    <w:name w:val="UserStyle_16"/>
    <w:semiHidden/>
    <w:qFormat/>
    <w:uiPriority w:val="0"/>
  </w:style>
  <w:style w:type="character" w:customStyle="1" w:styleId="191">
    <w:name w:val="btn-print"/>
    <w:qFormat/>
    <w:uiPriority w:val="0"/>
    <w:rPr>
      <w:rFonts w:ascii="微软雅黑" w:hAnsi="微软雅黑" w:eastAsia="微软雅黑" w:cs="微软雅黑"/>
      <w:color w:val="3A3A3A"/>
      <w:sz w:val="19"/>
      <w:szCs w:val="19"/>
      <w:bdr w:val="outset" w:color="FFFFFF" w:sz="6" w:space="0"/>
      <w:shd w:val="clear" w:color="auto" w:fill="FFFFFF"/>
    </w:rPr>
  </w:style>
  <w:style w:type="paragraph" w:customStyle="1" w:styleId="192">
    <w:name w:val="2"/>
    <w:basedOn w:val="1"/>
    <w:qFormat/>
    <w:uiPriority w:val="0"/>
    <w:pPr>
      <w:ind w:firstLine="640" w:firstLineChars="200"/>
      <w:jc w:val="left"/>
    </w:pPr>
    <w:rPr>
      <w:rFonts w:eastAsia="仿宋_GB2312"/>
      <w:sz w:val="32"/>
      <w:szCs w:val="32"/>
    </w:rPr>
  </w:style>
  <w:style w:type="character" w:customStyle="1" w:styleId="193">
    <w:name w:val="UserStyle_48"/>
    <w:qFormat/>
    <w:uiPriority w:val="0"/>
    <w:rPr>
      <w:rFonts w:ascii="Times New Roman" w:hAnsi="Times New Roman" w:eastAsia="Times New Roman"/>
      <w:sz w:val="28"/>
    </w:rPr>
  </w:style>
  <w:style w:type="paragraph" w:customStyle="1" w:styleId="194">
    <w:name w:val="_正文"/>
    <w:basedOn w:val="1"/>
    <w:qFormat/>
    <w:uiPriority w:val="0"/>
    <w:pPr>
      <w:spacing w:line="360" w:lineRule="auto"/>
    </w:pPr>
    <w:rPr>
      <w:rFonts w:ascii="Calibri" w:hAnsi="Calibri" w:cs="Calibri"/>
      <w:bCs/>
      <w:sz w:val="28"/>
    </w:rPr>
  </w:style>
  <w:style w:type="paragraph" w:customStyle="1" w:styleId="195">
    <w:name w:val="样式 样式 左侧:  2 字符 + 左侧:  0.85 厘米 首行缩进:  2 字符1"/>
    <w:basedOn w:val="1"/>
    <w:qFormat/>
    <w:uiPriority w:val="0"/>
    <w:pPr>
      <w:ind w:left="482" w:firstLine="200" w:firstLineChars="200"/>
    </w:pPr>
    <w:rPr>
      <w:rFonts w:ascii="Calibri" w:hAnsi="Calibri"/>
    </w:rPr>
  </w:style>
  <w:style w:type="paragraph" w:customStyle="1" w:styleId="196">
    <w:name w:val="_Style 1"/>
    <w:basedOn w:val="1"/>
    <w:qFormat/>
    <w:uiPriority w:val="34"/>
    <w:pPr>
      <w:ind w:firstLine="420" w:firstLineChars="200"/>
    </w:pPr>
    <w:rPr>
      <w:rFonts w:ascii="Calibri" w:hAnsi="Calibri"/>
    </w:rPr>
  </w:style>
  <w:style w:type="paragraph" w:customStyle="1" w:styleId="197">
    <w:name w:val="正文_7"/>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
    <w:name w:val="正文_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
    <w:name w:val="正文_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
    <w:name w:val="正文_8"/>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
    <w:name w:val="正文_9"/>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正文_1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
    <w:name w:val="正文_1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
    <w:name w:val="正文_1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
    <w:name w:val="正文_13"/>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
    <w:name w:val="正文_14"/>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
    <w:name w:val="正文_1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
    <w:name w:val="正文_1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
    <w:name w:val="正文_17"/>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
    <w:name w:val="正文_18"/>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
    <w:name w:val="正文_19"/>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
    <w:name w:val="正文_2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
    <w:name w:val="正文_2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
    <w:name w:val="正文_23"/>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
    <w:name w:val="正文_3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
    <w:name w:val="正文_43"/>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
    <w:name w:val="正文_4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
    <w:name w:val="正文_4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
    <w:name w:val="正文_47"/>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
    <w:name w:val="正文_48"/>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
    <w:name w:val="正文_5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
    <w:name w:val="Table Paragraph"/>
    <w:basedOn w:val="1"/>
    <w:qFormat/>
    <w:uiPriority w:val="1"/>
    <w:rPr>
      <w:rFonts w:ascii="Noto Sans Mono CJK HK" w:hAnsi="Noto Sans Mono CJK HK" w:eastAsia="Noto Sans Mono CJK HK" w:cs="Noto Sans Mono CJK HK"/>
    </w:rPr>
  </w:style>
  <w:style w:type="table" w:customStyle="1" w:styleId="223">
    <w:name w:val="Table Normal"/>
    <w:unhideWhenUsed/>
    <w:qFormat/>
    <w:uiPriority w:val="0"/>
    <w:tblPr>
      <w:tblCellMar>
        <w:top w:w="0" w:type="dxa"/>
        <w:left w:w="0" w:type="dxa"/>
        <w:bottom w:w="0" w:type="dxa"/>
        <w:right w:w="0" w:type="dxa"/>
      </w:tblCellMar>
    </w:tblPr>
  </w:style>
  <w:style w:type="paragraph" w:customStyle="1" w:styleId="224">
    <w:name w:val="Table Text"/>
    <w:basedOn w:val="1"/>
    <w:semiHidden/>
    <w:qFormat/>
    <w:uiPriority w:val="0"/>
    <w:rPr>
      <w:rFonts w:ascii="宋体" w:hAnsi="宋体" w:cs="宋体"/>
      <w:sz w:val="28"/>
      <w:szCs w:val="28"/>
      <w:lang w:eastAsia="en-US"/>
    </w:rPr>
  </w:style>
  <w:style w:type="character" w:customStyle="1" w:styleId="225">
    <w:name w:val="font51"/>
    <w:basedOn w:val="49"/>
    <w:qFormat/>
    <w:uiPriority w:val="0"/>
    <w:rPr>
      <w:rFonts w:hint="default" w:ascii="Times New Roman" w:hAnsi="Times New Roman" w:eastAsia="宋体" w:cs="Times New Roman"/>
      <w:color w:val="000000"/>
      <w:sz w:val="24"/>
      <w:szCs w:val="24"/>
      <w:u w:val="none"/>
    </w:rPr>
  </w:style>
  <w:style w:type="paragraph" w:customStyle="1" w:styleId="226">
    <w:name w:val="Char2"/>
    <w:basedOn w:val="1"/>
    <w:qFormat/>
    <w:uiPriority w:val="0"/>
    <w:pPr>
      <w:spacing w:after="160" w:line="240" w:lineRule="exact"/>
    </w:pPr>
  </w:style>
  <w:style w:type="character" w:customStyle="1" w:styleId="227">
    <w:name w:val="font31"/>
    <w:basedOn w:val="49"/>
    <w:qFormat/>
    <w:uiPriority w:val="0"/>
    <w:rPr>
      <w:rFonts w:hint="eastAsia" w:ascii="宋体" w:hAnsi="宋体" w:eastAsia="宋体" w:cs="宋体"/>
      <w:color w:val="000000"/>
      <w:sz w:val="24"/>
      <w:szCs w:val="24"/>
      <w:u w:val="none"/>
    </w:rPr>
  </w:style>
  <w:style w:type="paragraph" w:customStyle="1" w:styleId="228">
    <w:name w:val="正文_0"/>
    <w:qFormat/>
    <w:uiPriority w:val="0"/>
    <w:pPr>
      <w:widowControl w:val="0"/>
      <w:jc w:val="both"/>
    </w:pPr>
    <w:rPr>
      <w:rFonts w:ascii="Calibri" w:hAnsi="Calibri" w:eastAsia="宋体" w:cs="Times New Roman"/>
      <w:kern w:val="2"/>
      <w:sz w:val="21"/>
      <w:szCs w:val="22"/>
      <w:lang w:val="en-US" w:eastAsia="zh-CN" w:bidi="ar-SA"/>
    </w:rPr>
  </w:style>
  <w:style w:type="table" w:customStyle="1" w:styleId="229">
    <w:name w:val="网格型1"/>
    <w:basedOn w:val="4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wmf"/><Relationship Id="rId16" Type="http://schemas.openxmlformats.org/officeDocument/2006/relationships/control" Target="activeX/activeX2.xml"/><Relationship Id="rId15" Type="http://schemas.openxmlformats.org/officeDocument/2006/relationships/image" Target="media/image1.wmf"/><Relationship Id="rId14" Type="http://schemas.openxmlformats.org/officeDocument/2006/relationships/control" Target="activeX/activeX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footer" Target="footer3.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r:id="rId1" ax:persistence="persistStorage"/>
</file>

<file path=word/activeX/activeX2.xml><?xml version="1.0" encoding="utf-8"?>
<ax:ocx xmlns:ax="http://schemas.microsoft.com/office/2006/activeX" xmlns:r="http://schemas.openxmlformats.org/officeDocument/2006/relationships" ax:classid="{8BD21D40-EC42-11CE-9E0D-00AA006002F3}"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87</Pages>
  <Words>23090</Words>
  <Characters>24513</Characters>
  <Lines>75</Lines>
  <Paragraphs>99</Paragraphs>
  <TotalTime>905</TotalTime>
  <ScaleCrop>false</ScaleCrop>
  <LinksUpToDate>false</LinksUpToDate>
  <CharactersWithSpaces>25003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2026-08-18T01:47:00Z</dcterms:created>
  <dc:creator>微软用户</dc:creator>
  <cp:lastModifiedBy>LENOVO</cp:lastModifiedBy>
  <cp:lastPrinted>2026-08-25T09:29:00Z</cp:lastPrinted>
  <dcterms:modified xsi:type="dcterms:W3CDTF">2026-08-28T06:51:16Z</dcterms:modified>
  <dc:title>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E17368209F984BECAF1AE7096534D440_13</vt:lpwstr>
  </property>
  <property fmtid="{D5CDD505-2E9C-101B-9397-08002B2CF9AE}" pid="4" name="KSOTemplateDocerSaveRecord">
    <vt:lpwstr>eyJoZGlkIjoiZDM0NmZlNjczZmU2MWM0YmE0MzY1OTM4Njc3YWUwMTYiLCJ1c2VySWQiOiIzNDQwMTA1MDgifQ==</vt:lpwstr>
  </property>
</Properties>
</file>