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7656C">
      <w:pPr>
        <w:pStyle w:val="9"/>
        <w:keepNext w:val="0"/>
        <w:adjustRightInd w:val="0"/>
        <w:snapToGrid w:val="0"/>
        <w:spacing w:before="156" w:beforeLines="50" w:line="360" w:lineRule="auto"/>
        <w:rPr>
          <w:rFonts w:ascii="黑体" w:hAnsi="华文中宋" w:eastAsia="黑体"/>
          <w:color w:val="auto"/>
          <w:sz w:val="32"/>
          <w:szCs w:val="32"/>
          <w:highlight w:val="none"/>
        </w:rPr>
      </w:pPr>
      <w:bookmarkStart w:id="0" w:name="_Toc12574"/>
      <w:r>
        <w:rPr>
          <w:rFonts w:hint="eastAsia" w:ascii="黑体" w:hAnsi="华文中宋" w:eastAsia="黑体"/>
          <w:color w:val="auto"/>
          <w:sz w:val="32"/>
          <w:szCs w:val="32"/>
          <w:highlight w:val="none"/>
        </w:rPr>
        <w:t>第五章 采购需求</w:t>
      </w:r>
      <w:bookmarkEnd w:id="0"/>
    </w:p>
    <w:p w14:paraId="6429539E">
      <w:pPr>
        <w:pStyle w:val="10"/>
        <w:adjustRightInd w:val="0"/>
        <w:snapToGrid w:val="0"/>
        <w:spacing w:before="156" w:beforeLines="50"/>
        <w:jc w:val="center"/>
        <w:rPr>
          <w:rFonts w:ascii="黑体" w:hAnsi="黑体" w:eastAsia="黑体"/>
          <w:color w:val="auto"/>
          <w:sz w:val="28"/>
          <w:szCs w:val="28"/>
          <w:highlight w:val="none"/>
        </w:rPr>
      </w:pPr>
      <w:bookmarkStart w:id="1" w:name="_Toc27822"/>
      <w:r>
        <w:rPr>
          <w:rFonts w:hint="eastAsia" w:ascii="黑体" w:hAnsi="黑体" w:eastAsia="黑体"/>
          <w:color w:val="auto"/>
          <w:sz w:val="28"/>
          <w:szCs w:val="28"/>
          <w:highlight w:val="none"/>
        </w:rPr>
        <w:t>第一节 采购清单一览表</w:t>
      </w:r>
      <w:bookmarkEnd w:id="1"/>
    </w:p>
    <w:tbl>
      <w:tblPr>
        <w:tblStyle w:val="12"/>
        <w:tblW w:w="917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6"/>
        <w:gridCol w:w="2071"/>
        <w:gridCol w:w="2016"/>
        <w:gridCol w:w="1668"/>
        <w:gridCol w:w="730"/>
        <w:gridCol w:w="927"/>
        <w:gridCol w:w="989"/>
      </w:tblGrid>
      <w:tr w14:paraId="48F69B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4" w:hRule="atLeast"/>
        </w:trPr>
        <w:tc>
          <w:tcPr>
            <w:tcW w:w="776" w:type="dxa"/>
            <w:vAlign w:val="center"/>
          </w:tcPr>
          <w:p w14:paraId="215E91C4">
            <w:pPr>
              <w:adjustRightInd w:val="0"/>
              <w:snapToGrid w:val="0"/>
              <w:jc w:val="center"/>
              <w:rPr>
                <w:color w:val="auto"/>
                <w:szCs w:val="21"/>
                <w:highlight w:val="none"/>
              </w:rPr>
            </w:pPr>
            <w:r>
              <w:rPr>
                <w:rFonts w:hint="eastAsia"/>
                <w:color w:val="auto"/>
                <w:szCs w:val="21"/>
                <w:highlight w:val="none"/>
              </w:rPr>
              <w:t xml:space="preserve">包号 </w:t>
            </w:r>
          </w:p>
        </w:tc>
        <w:tc>
          <w:tcPr>
            <w:tcW w:w="2071" w:type="dxa"/>
            <w:vAlign w:val="center"/>
          </w:tcPr>
          <w:p w14:paraId="2F8321EF">
            <w:pPr>
              <w:adjustRightInd w:val="0"/>
              <w:snapToGrid w:val="0"/>
              <w:jc w:val="center"/>
              <w:rPr>
                <w:color w:val="auto"/>
                <w:szCs w:val="21"/>
                <w:highlight w:val="none"/>
              </w:rPr>
            </w:pPr>
            <w:r>
              <w:rPr>
                <w:rFonts w:hint="eastAsia"/>
                <w:color w:val="auto"/>
                <w:szCs w:val="21"/>
                <w:highlight w:val="none"/>
              </w:rPr>
              <w:t>包名称</w:t>
            </w:r>
          </w:p>
        </w:tc>
        <w:tc>
          <w:tcPr>
            <w:tcW w:w="2016" w:type="dxa"/>
            <w:vAlign w:val="center"/>
          </w:tcPr>
          <w:p w14:paraId="1B131ABE">
            <w:pPr>
              <w:adjustRightInd w:val="0"/>
              <w:snapToGrid w:val="0"/>
              <w:jc w:val="center"/>
              <w:rPr>
                <w:color w:val="auto"/>
                <w:szCs w:val="21"/>
                <w:highlight w:val="none"/>
              </w:rPr>
            </w:pPr>
            <w:r>
              <w:rPr>
                <w:rFonts w:hint="eastAsia"/>
                <w:color w:val="auto"/>
                <w:szCs w:val="21"/>
                <w:highlight w:val="none"/>
              </w:rPr>
              <w:t>标的名称</w:t>
            </w:r>
          </w:p>
        </w:tc>
        <w:tc>
          <w:tcPr>
            <w:tcW w:w="1668" w:type="dxa"/>
            <w:tcBorders>
              <w:left w:val="single" w:color="auto" w:sz="4" w:space="0"/>
            </w:tcBorders>
            <w:vAlign w:val="center"/>
          </w:tcPr>
          <w:p w14:paraId="2B8D58C0">
            <w:pPr>
              <w:adjustRightInd w:val="0"/>
              <w:snapToGrid w:val="0"/>
              <w:jc w:val="center"/>
              <w:rPr>
                <w:color w:val="auto"/>
                <w:szCs w:val="21"/>
                <w:highlight w:val="none"/>
              </w:rPr>
            </w:pPr>
            <w:r>
              <w:rPr>
                <w:rFonts w:hint="eastAsia"/>
                <w:color w:val="auto"/>
                <w:szCs w:val="21"/>
                <w:highlight w:val="none"/>
              </w:rPr>
              <w:t>简要技术要求</w:t>
            </w:r>
          </w:p>
        </w:tc>
        <w:tc>
          <w:tcPr>
            <w:tcW w:w="730" w:type="dxa"/>
            <w:tcBorders>
              <w:left w:val="single" w:color="auto" w:sz="4" w:space="0"/>
            </w:tcBorders>
            <w:vAlign w:val="center"/>
          </w:tcPr>
          <w:p w14:paraId="29BECD02">
            <w:pPr>
              <w:adjustRightInd w:val="0"/>
              <w:snapToGrid w:val="0"/>
              <w:jc w:val="center"/>
              <w:rPr>
                <w:rFonts w:ascii="宋体" w:hAnsi="宋体" w:cs="宋体"/>
                <w:color w:val="auto"/>
                <w:kern w:val="0"/>
                <w:szCs w:val="21"/>
                <w:highlight w:val="none"/>
              </w:rPr>
            </w:pPr>
            <w:r>
              <w:rPr>
                <w:rFonts w:hint="eastAsia"/>
                <w:color w:val="auto"/>
                <w:szCs w:val="21"/>
                <w:highlight w:val="none"/>
              </w:rPr>
              <w:t>数量</w:t>
            </w:r>
          </w:p>
        </w:tc>
        <w:tc>
          <w:tcPr>
            <w:tcW w:w="927" w:type="dxa"/>
            <w:vAlign w:val="center"/>
          </w:tcPr>
          <w:p w14:paraId="02EA4CFA">
            <w:pPr>
              <w:adjustRightInd w:val="0"/>
              <w:snapToGrid w:val="0"/>
              <w:jc w:val="center"/>
              <w:rPr>
                <w:color w:val="auto"/>
                <w:szCs w:val="21"/>
                <w:highlight w:val="none"/>
              </w:rPr>
            </w:pPr>
            <w:r>
              <w:rPr>
                <w:rFonts w:hint="eastAsia"/>
                <w:color w:val="auto"/>
                <w:szCs w:val="21"/>
                <w:highlight w:val="none"/>
              </w:rPr>
              <w:t>节能</w:t>
            </w:r>
          </w:p>
          <w:p w14:paraId="001452C5">
            <w:pPr>
              <w:adjustRightInd w:val="0"/>
              <w:snapToGrid w:val="0"/>
              <w:jc w:val="center"/>
              <w:rPr>
                <w:color w:val="auto"/>
                <w:szCs w:val="21"/>
                <w:highlight w:val="none"/>
              </w:rPr>
            </w:pPr>
            <w:r>
              <w:rPr>
                <w:rFonts w:hint="eastAsia"/>
                <w:color w:val="auto"/>
                <w:szCs w:val="21"/>
                <w:highlight w:val="none"/>
              </w:rPr>
              <w:t>产品</w:t>
            </w:r>
          </w:p>
        </w:tc>
        <w:tc>
          <w:tcPr>
            <w:tcW w:w="989" w:type="dxa"/>
            <w:vAlign w:val="center"/>
          </w:tcPr>
          <w:p w14:paraId="698CEFB6">
            <w:pPr>
              <w:adjustRightInd w:val="0"/>
              <w:snapToGrid w:val="0"/>
              <w:jc w:val="center"/>
              <w:rPr>
                <w:color w:val="auto"/>
                <w:szCs w:val="21"/>
                <w:highlight w:val="none"/>
              </w:rPr>
            </w:pPr>
            <w:r>
              <w:rPr>
                <w:rFonts w:hint="eastAsia"/>
                <w:color w:val="auto"/>
                <w:szCs w:val="21"/>
                <w:highlight w:val="none"/>
              </w:rPr>
              <w:t>进口</w:t>
            </w:r>
          </w:p>
          <w:p w14:paraId="31991E20">
            <w:pPr>
              <w:adjustRightInd w:val="0"/>
              <w:snapToGrid w:val="0"/>
              <w:jc w:val="center"/>
              <w:rPr>
                <w:color w:val="auto"/>
                <w:szCs w:val="21"/>
                <w:highlight w:val="none"/>
              </w:rPr>
            </w:pPr>
            <w:r>
              <w:rPr>
                <w:rFonts w:hint="eastAsia"/>
                <w:color w:val="auto"/>
                <w:szCs w:val="21"/>
                <w:highlight w:val="none"/>
              </w:rPr>
              <w:t>产品</w:t>
            </w:r>
          </w:p>
        </w:tc>
      </w:tr>
      <w:tr w14:paraId="69B03D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776" w:type="dxa"/>
            <w:vAlign w:val="center"/>
          </w:tcPr>
          <w:p w14:paraId="5D2FBE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color w:val="auto"/>
                <w:szCs w:val="21"/>
                <w:highlight w:val="none"/>
              </w:rPr>
              <w:t>1</w:t>
            </w:r>
          </w:p>
        </w:tc>
        <w:tc>
          <w:tcPr>
            <w:tcW w:w="2071" w:type="dxa"/>
            <w:vAlign w:val="center"/>
          </w:tcPr>
          <w:p w14:paraId="773ABF9C">
            <w:pPr>
              <w:adjustRightInd w:val="0"/>
              <w:snapToGrid w:val="0"/>
              <w:spacing w:before="156" w:beforeLines="50"/>
              <w:jc w:val="center"/>
              <w:rPr>
                <w:rFonts w:hint="eastAsia" w:ascii="Times New Roman" w:hAnsi="Times New Roman" w:eastAsia="宋体" w:cs="Times New Roman"/>
                <w:color w:val="auto"/>
                <w:szCs w:val="21"/>
                <w:highlight w:val="none"/>
              </w:rPr>
            </w:pPr>
            <w:r>
              <w:rPr>
                <w:rFonts w:hint="eastAsia"/>
                <w:color w:val="auto"/>
                <w:szCs w:val="21"/>
                <w:highlight w:val="none"/>
                <w:lang w:val="en-US" w:eastAsia="zh-CN"/>
              </w:rPr>
              <w:t>测序检测相关仪器设备</w:t>
            </w:r>
          </w:p>
        </w:tc>
        <w:tc>
          <w:tcPr>
            <w:tcW w:w="2016" w:type="dxa"/>
            <w:vAlign w:val="center"/>
          </w:tcPr>
          <w:p w14:paraId="05D71574">
            <w:pPr>
              <w:adjustRightInd w:val="0"/>
              <w:snapToGrid w:val="0"/>
              <w:spacing w:before="156" w:beforeLines="50"/>
              <w:jc w:val="center"/>
              <w:rPr>
                <w:rFonts w:hint="eastAsia" w:ascii="Times New Roman" w:hAnsi="Times New Roman" w:eastAsia="宋体" w:cs="Times New Roman"/>
                <w:color w:val="auto"/>
                <w:szCs w:val="21"/>
                <w:highlight w:val="none"/>
              </w:rPr>
            </w:pPr>
            <w:r>
              <w:rPr>
                <w:rFonts w:hint="eastAsia"/>
                <w:color w:val="auto"/>
                <w:szCs w:val="21"/>
                <w:highlight w:val="none"/>
                <w:lang w:val="en-US" w:eastAsia="zh-CN"/>
              </w:rPr>
              <w:t>测序检测相关仪器设备</w:t>
            </w:r>
          </w:p>
        </w:tc>
        <w:tc>
          <w:tcPr>
            <w:tcW w:w="1668" w:type="dxa"/>
            <w:tcBorders>
              <w:left w:val="single" w:color="auto" w:sz="4" w:space="0"/>
            </w:tcBorders>
            <w:vAlign w:val="center"/>
          </w:tcPr>
          <w:p w14:paraId="486A43A4">
            <w:pPr>
              <w:adjustRightInd w:val="0"/>
              <w:snapToGrid w:val="0"/>
              <w:spacing w:before="156" w:beforeLines="50"/>
              <w:jc w:val="center"/>
              <w:rPr>
                <w:color w:val="auto"/>
                <w:szCs w:val="21"/>
                <w:highlight w:val="none"/>
              </w:rPr>
            </w:pPr>
            <w:r>
              <w:rPr>
                <w:rFonts w:hint="eastAsia"/>
                <w:color w:val="auto"/>
                <w:szCs w:val="21"/>
                <w:highlight w:val="none"/>
              </w:rPr>
              <w:t>详见采购需求</w:t>
            </w:r>
          </w:p>
        </w:tc>
        <w:tc>
          <w:tcPr>
            <w:tcW w:w="730" w:type="dxa"/>
            <w:tcBorders>
              <w:left w:val="single" w:color="auto" w:sz="4" w:space="0"/>
            </w:tcBorders>
            <w:vAlign w:val="center"/>
          </w:tcPr>
          <w:p w14:paraId="59173970">
            <w:pPr>
              <w:adjustRightInd w:val="0"/>
              <w:snapToGrid w:val="0"/>
              <w:spacing w:before="156" w:beforeLines="50"/>
              <w:jc w:val="center"/>
              <w:rPr>
                <w:rFonts w:hint="eastAsia" w:eastAsia="宋体"/>
                <w:color w:val="auto"/>
                <w:szCs w:val="21"/>
                <w:highlight w:val="none"/>
                <w:lang w:val="en-US" w:eastAsia="zh-CN"/>
              </w:rPr>
            </w:pPr>
            <w:r>
              <w:rPr>
                <w:rFonts w:hint="eastAsia"/>
                <w:color w:val="auto"/>
                <w:szCs w:val="21"/>
                <w:highlight w:val="none"/>
              </w:rPr>
              <w:t>1</w:t>
            </w:r>
            <w:r>
              <w:rPr>
                <w:rFonts w:hint="eastAsia"/>
                <w:color w:val="auto"/>
                <w:szCs w:val="21"/>
                <w:highlight w:val="none"/>
                <w:lang w:val="en-US" w:eastAsia="zh-CN"/>
              </w:rPr>
              <w:t>批</w:t>
            </w:r>
          </w:p>
        </w:tc>
        <w:tc>
          <w:tcPr>
            <w:tcW w:w="927" w:type="dxa"/>
            <w:vAlign w:val="center"/>
          </w:tcPr>
          <w:p w14:paraId="0B75A0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c>
          <w:tcPr>
            <w:tcW w:w="989" w:type="dxa"/>
            <w:vAlign w:val="center"/>
          </w:tcPr>
          <w:p w14:paraId="46F1F8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r>
      <w:tr w14:paraId="18B05A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776" w:type="dxa"/>
            <w:vAlign w:val="center"/>
          </w:tcPr>
          <w:p w14:paraId="76EC2D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color w:val="auto"/>
                <w:szCs w:val="21"/>
                <w:highlight w:val="none"/>
              </w:rPr>
              <w:t>2</w:t>
            </w:r>
          </w:p>
        </w:tc>
        <w:tc>
          <w:tcPr>
            <w:tcW w:w="2071" w:type="dxa"/>
            <w:vAlign w:val="center"/>
          </w:tcPr>
          <w:p w14:paraId="5632C42F">
            <w:pPr>
              <w:adjustRightInd w:val="0"/>
              <w:snapToGrid w:val="0"/>
              <w:spacing w:before="156" w:beforeLines="50"/>
              <w:jc w:val="center"/>
              <w:rPr>
                <w:rFonts w:hint="eastAsia" w:ascii="Times New Roman" w:hAnsi="Times New Roman" w:eastAsia="宋体" w:cs="Times New Roman"/>
                <w:color w:val="auto"/>
                <w:szCs w:val="21"/>
                <w:highlight w:val="none"/>
                <w:lang w:eastAsia="zh-CN"/>
              </w:rPr>
            </w:pPr>
            <w:r>
              <w:rPr>
                <w:rFonts w:hint="eastAsia"/>
                <w:color w:val="auto"/>
                <w:szCs w:val="21"/>
                <w:highlight w:val="none"/>
                <w:lang w:val="en-US" w:eastAsia="zh-CN"/>
              </w:rPr>
              <w:t>传染病检测相关仪器设备</w:t>
            </w:r>
          </w:p>
        </w:tc>
        <w:tc>
          <w:tcPr>
            <w:tcW w:w="2016" w:type="dxa"/>
            <w:vAlign w:val="center"/>
          </w:tcPr>
          <w:p w14:paraId="43B51DE4">
            <w:pPr>
              <w:adjustRightInd w:val="0"/>
              <w:snapToGrid w:val="0"/>
              <w:spacing w:before="156" w:beforeLines="50"/>
              <w:jc w:val="center"/>
              <w:rPr>
                <w:rFonts w:hint="eastAsia" w:ascii="Times New Roman" w:hAnsi="Times New Roman" w:eastAsia="宋体" w:cs="Times New Roman"/>
                <w:color w:val="auto"/>
                <w:szCs w:val="21"/>
                <w:highlight w:val="none"/>
                <w:lang w:eastAsia="zh-CN"/>
              </w:rPr>
            </w:pPr>
            <w:r>
              <w:rPr>
                <w:rFonts w:hint="eastAsia"/>
                <w:color w:val="auto"/>
                <w:szCs w:val="21"/>
                <w:highlight w:val="none"/>
                <w:lang w:val="en-US" w:eastAsia="zh-CN"/>
              </w:rPr>
              <w:t>传染病检测相关仪器设备</w:t>
            </w:r>
          </w:p>
        </w:tc>
        <w:tc>
          <w:tcPr>
            <w:tcW w:w="1668" w:type="dxa"/>
            <w:tcBorders>
              <w:left w:val="single" w:color="auto" w:sz="4" w:space="0"/>
            </w:tcBorders>
            <w:vAlign w:val="center"/>
          </w:tcPr>
          <w:p w14:paraId="3F00B79B">
            <w:pPr>
              <w:adjustRightInd w:val="0"/>
              <w:snapToGrid w:val="0"/>
              <w:spacing w:before="156" w:beforeLines="50"/>
              <w:jc w:val="center"/>
              <w:rPr>
                <w:color w:val="auto"/>
                <w:szCs w:val="21"/>
                <w:highlight w:val="none"/>
              </w:rPr>
            </w:pPr>
            <w:r>
              <w:rPr>
                <w:rFonts w:hint="eastAsia"/>
                <w:color w:val="auto"/>
                <w:szCs w:val="21"/>
                <w:highlight w:val="none"/>
              </w:rPr>
              <w:t>详见采购需求</w:t>
            </w:r>
          </w:p>
        </w:tc>
        <w:tc>
          <w:tcPr>
            <w:tcW w:w="730" w:type="dxa"/>
            <w:tcBorders>
              <w:left w:val="single" w:color="auto" w:sz="4" w:space="0"/>
            </w:tcBorders>
            <w:vAlign w:val="center"/>
          </w:tcPr>
          <w:p w14:paraId="01D5E1FB">
            <w:pPr>
              <w:adjustRightInd w:val="0"/>
              <w:snapToGrid w:val="0"/>
              <w:spacing w:before="156" w:beforeLines="50"/>
              <w:jc w:val="center"/>
              <w:rPr>
                <w:rFonts w:hint="eastAsia" w:eastAsia="宋体"/>
                <w:color w:val="auto"/>
                <w:szCs w:val="21"/>
                <w:highlight w:val="none"/>
                <w:lang w:val="en-US" w:eastAsia="zh-CN"/>
              </w:rPr>
            </w:pPr>
            <w:r>
              <w:rPr>
                <w:rFonts w:hint="eastAsia"/>
                <w:color w:val="auto"/>
                <w:szCs w:val="21"/>
                <w:highlight w:val="none"/>
              </w:rPr>
              <w:t>1</w:t>
            </w:r>
            <w:r>
              <w:rPr>
                <w:rFonts w:hint="eastAsia"/>
                <w:color w:val="auto"/>
                <w:szCs w:val="21"/>
                <w:highlight w:val="none"/>
                <w:lang w:val="en-US" w:eastAsia="zh-CN"/>
              </w:rPr>
              <w:t>批</w:t>
            </w:r>
          </w:p>
        </w:tc>
        <w:tc>
          <w:tcPr>
            <w:tcW w:w="927" w:type="dxa"/>
            <w:vAlign w:val="center"/>
          </w:tcPr>
          <w:p w14:paraId="18F2B6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c>
          <w:tcPr>
            <w:tcW w:w="989" w:type="dxa"/>
            <w:vAlign w:val="center"/>
          </w:tcPr>
          <w:p w14:paraId="143366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r>
    </w:tbl>
    <w:p w14:paraId="6730A8C0">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注：1.“包”为最小合同单位（最小投标单位）。每“包”内容应细化到具体标的。</w:t>
      </w:r>
    </w:p>
    <w:p w14:paraId="29CC3021">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2.投标人必须对一个完整、独立的包进行投标，不得仅对一个包中的部分标的投标，否则</w:t>
      </w:r>
      <w:r>
        <w:rPr>
          <w:rFonts w:hint="eastAsia" w:ascii="宋体" w:hAnsi="宋体"/>
          <w:b/>
          <w:color w:val="auto"/>
          <w:szCs w:val="21"/>
          <w:highlight w:val="none"/>
        </w:rPr>
        <w:t>投标无效。</w:t>
      </w:r>
    </w:p>
    <w:p w14:paraId="08006BBB">
      <w:pPr>
        <w:adjustRightInd w:val="0"/>
        <w:snapToGrid w:val="0"/>
        <w:spacing w:before="156" w:beforeLines="50"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3.货物的主要技术参数或规格：</w:t>
      </w:r>
      <w:r>
        <w:rPr>
          <w:rFonts w:ascii="宋体" w:hAnsi="宋体" w:cs="宋体"/>
          <w:color w:val="auto"/>
          <w:kern w:val="0"/>
          <w:szCs w:val="21"/>
          <w:highlight w:val="none"/>
        </w:rPr>
        <w:t>详见“技术要求”中的具体技术参数</w:t>
      </w:r>
      <w:r>
        <w:rPr>
          <w:rFonts w:hint="eastAsia" w:ascii="宋体" w:hAnsi="宋体" w:cs="宋体"/>
          <w:color w:val="auto"/>
          <w:kern w:val="0"/>
          <w:szCs w:val="21"/>
          <w:highlight w:val="none"/>
        </w:rPr>
        <w:t>。</w:t>
      </w:r>
    </w:p>
    <w:p w14:paraId="0C8A1CFA">
      <w:pPr>
        <w:adjustRightInd w:val="0"/>
        <w:snapToGrid w:val="0"/>
        <w:spacing w:before="156" w:beforeLines="50" w:line="360" w:lineRule="auto"/>
        <w:ind w:firstLine="420" w:firstLineChars="200"/>
        <w:rPr>
          <w:rFonts w:ascii="宋体" w:hAnsi="宋体" w:cs="宋体"/>
          <w:color w:val="auto"/>
          <w:kern w:val="0"/>
          <w:szCs w:val="21"/>
          <w:highlight w:val="none"/>
        </w:rPr>
      </w:pPr>
      <w:r>
        <w:rPr>
          <w:rFonts w:hint="eastAsia" w:ascii="宋体" w:hAnsi="宋体" w:cs="宋体"/>
          <w:bCs/>
          <w:color w:val="auto"/>
          <w:kern w:val="0"/>
          <w:szCs w:val="21"/>
          <w:highlight w:val="none"/>
        </w:rPr>
        <w:t>4.投标人应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标的名称</w:t>
      </w:r>
      <w:r>
        <w:rPr>
          <w:rFonts w:hint="eastAsia" w:ascii="宋体" w:hAnsi="宋体" w:cs="宋体"/>
          <w:color w:val="auto"/>
          <w:kern w:val="0"/>
          <w:szCs w:val="21"/>
          <w:highlight w:val="none"/>
        </w:rPr>
        <w:t>顺序逐项填写，且每个标的中的条目均需按招标文件规定报价。如有缺项、漏项，其</w:t>
      </w:r>
      <w:r>
        <w:rPr>
          <w:rFonts w:hint="eastAsia" w:ascii="宋体" w:hAnsi="宋体" w:cs="宋体"/>
          <w:b/>
          <w:color w:val="auto"/>
          <w:kern w:val="0"/>
          <w:szCs w:val="21"/>
          <w:highlight w:val="none"/>
        </w:rPr>
        <w:t>投标无效</w:t>
      </w:r>
      <w:r>
        <w:rPr>
          <w:rFonts w:hint="eastAsia" w:ascii="宋体" w:hAnsi="宋体" w:cs="宋体"/>
          <w:color w:val="auto"/>
          <w:kern w:val="0"/>
          <w:szCs w:val="21"/>
          <w:highlight w:val="none"/>
        </w:rPr>
        <w:t>。</w:t>
      </w:r>
    </w:p>
    <w:p w14:paraId="1D37AF0E">
      <w:pPr>
        <w:pStyle w:val="2"/>
        <w:rPr>
          <w:rFonts w:ascii="宋体" w:hAnsi="宋体" w:cs="宋体"/>
          <w:color w:val="auto"/>
          <w:kern w:val="0"/>
          <w:highlight w:val="none"/>
        </w:rPr>
      </w:pPr>
    </w:p>
    <w:p w14:paraId="50D17C25">
      <w:pPr>
        <w:pStyle w:val="2"/>
        <w:rPr>
          <w:rFonts w:ascii="宋体" w:hAnsi="宋体" w:cs="宋体"/>
          <w:color w:val="auto"/>
          <w:kern w:val="0"/>
          <w:highlight w:val="none"/>
        </w:rPr>
      </w:pPr>
    </w:p>
    <w:p w14:paraId="6DF442AD">
      <w:pPr>
        <w:pStyle w:val="2"/>
        <w:rPr>
          <w:rFonts w:ascii="宋体" w:hAnsi="宋体" w:cs="宋体"/>
          <w:color w:val="auto"/>
          <w:kern w:val="0"/>
          <w:highlight w:val="none"/>
        </w:rPr>
      </w:pPr>
    </w:p>
    <w:p w14:paraId="551458D8">
      <w:pPr>
        <w:pStyle w:val="2"/>
        <w:rPr>
          <w:rFonts w:ascii="宋体" w:hAnsi="宋体" w:cs="宋体"/>
          <w:color w:val="auto"/>
          <w:kern w:val="0"/>
          <w:highlight w:val="none"/>
        </w:rPr>
      </w:pPr>
    </w:p>
    <w:p w14:paraId="4C480958">
      <w:pPr>
        <w:pStyle w:val="2"/>
        <w:rPr>
          <w:rFonts w:ascii="宋体" w:hAnsi="宋体" w:cs="宋体"/>
          <w:color w:val="auto"/>
          <w:kern w:val="0"/>
          <w:highlight w:val="none"/>
        </w:rPr>
      </w:pPr>
    </w:p>
    <w:p w14:paraId="7E594223">
      <w:pPr>
        <w:pStyle w:val="2"/>
        <w:rPr>
          <w:rFonts w:ascii="宋体" w:hAnsi="宋体" w:cs="宋体"/>
          <w:color w:val="auto"/>
          <w:kern w:val="0"/>
          <w:highlight w:val="none"/>
        </w:rPr>
      </w:pPr>
    </w:p>
    <w:p w14:paraId="67907A11">
      <w:pPr>
        <w:pStyle w:val="2"/>
        <w:rPr>
          <w:rFonts w:ascii="宋体" w:hAnsi="宋体" w:cs="宋体"/>
          <w:color w:val="auto"/>
          <w:kern w:val="0"/>
          <w:highlight w:val="none"/>
        </w:rPr>
      </w:pPr>
    </w:p>
    <w:p w14:paraId="76B804EA">
      <w:pPr>
        <w:pStyle w:val="2"/>
        <w:rPr>
          <w:rFonts w:ascii="宋体" w:hAnsi="宋体" w:cs="宋体"/>
          <w:color w:val="auto"/>
          <w:kern w:val="0"/>
          <w:highlight w:val="none"/>
        </w:rPr>
      </w:pPr>
    </w:p>
    <w:p w14:paraId="5FEF23E5">
      <w:pPr>
        <w:pStyle w:val="2"/>
        <w:rPr>
          <w:rFonts w:ascii="宋体" w:hAnsi="宋体" w:cs="宋体"/>
          <w:color w:val="auto"/>
          <w:kern w:val="0"/>
          <w:highlight w:val="none"/>
        </w:rPr>
      </w:pPr>
    </w:p>
    <w:p w14:paraId="30E7DA19">
      <w:pPr>
        <w:pStyle w:val="2"/>
        <w:rPr>
          <w:rFonts w:ascii="宋体" w:hAnsi="宋体" w:cs="宋体"/>
          <w:color w:val="auto"/>
          <w:kern w:val="0"/>
          <w:highlight w:val="none"/>
        </w:rPr>
      </w:pPr>
    </w:p>
    <w:p w14:paraId="228A3177">
      <w:pPr>
        <w:pStyle w:val="2"/>
        <w:rPr>
          <w:rFonts w:ascii="宋体" w:hAnsi="宋体" w:cs="宋体"/>
          <w:color w:val="auto"/>
          <w:kern w:val="0"/>
          <w:highlight w:val="none"/>
        </w:rPr>
      </w:pPr>
    </w:p>
    <w:p w14:paraId="0970BA7B">
      <w:pPr>
        <w:pStyle w:val="2"/>
        <w:rPr>
          <w:rFonts w:ascii="宋体" w:hAnsi="宋体" w:cs="宋体"/>
          <w:color w:val="auto"/>
          <w:kern w:val="0"/>
          <w:highlight w:val="none"/>
        </w:rPr>
      </w:pPr>
    </w:p>
    <w:p w14:paraId="0173FA5E">
      <w:pPr>
        <w:pStyle w:val="2"/>
        <w:rPr>
          <w:rFonts w:ascii="宋体" w:hAnsi="宋体" w:cs="宋体"/>
          <w:color w:val="auto"/>
          <w:kern w:val="0"/>
          <w:highlight w:val="none"/>
        </w:rPr>
      </w:pPr>
    </w:p>
    <w:p w14:paraId="069ED02A">
      <w:pPr>
        <w:pStyle w:val="2"/>
        <w:rPr>
          <w:rFonts w:ascii="宋体" w:hAnsi="宋体" w:cs="宋体"/>
          <w:color w:val="auto"/>
          <w:kern w:val="0"/>
          <w:highlight w:val="none"/>
        </w:rPr>
      </w:pPr>
    </w:p>
    <w:p w14:paraId="3745DBB7">
      <w:pPr>
        <w:pStyle w:val="2"/>
        <w:rPr>
          <w:rFonts w:ascii="宋体" w:hAnsi="宋体" w:cs="宋体"/>
          <w:color w:val="auto"/>
          <w:kern w:val="0"/>
          <w:highlight w:val="none"/>
        </w:rPr>
      </w:pPr>
    </w:p>
    <w:p w14:paraId="3DC95BB1">
      <w:pPr>
        <w:pStyle w:val="2"/>
        <w:rPr>
          <w:rFonts w:ascii="宋体" w:hAnsi="宋体" w:cs="宋体"/>
          <w:color w:val="auto"/>
          <w:kern w:val="0"/>
          <w:highlight w:val="none"/>
        </w:rPr>
      </w:pPr>
    </w:p>
    <w:p w14:paraId="7D2F417E">
      <w:pPr>
        <w:pStyle w:val="2"/>
        <w:rPr>
          <w:rFonts w:ascii="宋体" w:hAnsi="宋体" w:cs="宋体"/>
          <w:color w:val="auto"/>
          <w:kern w:val="0"/>
          <w:highlight w:val="none"/>
        </w:rPr>
      </w:pPr>
    </w:p>
    <w:p w14:paraId="28412927">
      <w:pPr>
        <w:pStyle w:val="2"/>
        <w:rPr>
          <w:rFonts w:ascii="宋体" w:hAnsi="宋体" w:cs="宋体"/>
          <w:color w:val="auto"/>
          <w:kern w:val="0"/>
          <w:highlight w:val="none"/>
        </w:rPr>
      </w:pPr>
    </w:p>
    <w:p w14:paraId="7A62CFEF">
      <w:pPr>
        <w:pStyle w:val="2"/>
        <w:rPr>
          <w:rFonts w:ascii="宋体" w:hAnsi="宋体" w:cs="宋体"/>
          <w:color w:val="auto"/>
          <w:kern w:val="0"/>
          <w:highlight w:val="none"/>
        </w:rPr>
      </w:pPr>
    </w:p>
    <w:p w14:paraId="1761AE38">
      <w:pPr>
        <w:pStyle w:val="2"/>
        <w:rPr>
          <w:rFonts w:ascii="宋体" w:hAnsi="宋体" w:cs="宋体"/>
          <w:color w:val="auto"/>
          <w:kern w:val="0"/>
          <w:highlight w:val="none"/>
        </w:rPr>
      </w:pPr>
    </w:p>
    <w:p w14:paraId="5573E782">
      <w:pPr>
        <w:pStyle w:val="2"/>
        <w:rPr>
          <w:rFonts w:ascii="宋体" w:hAnsi="宋体" w:cs="宋体"/>
          <w:color w:val="auto"/>
          <w:kern w:val="0"/>
          <w:highlight w:val="none"/>
        </w:rPr>
      </w:pPr>
    </w:p>
    <w:p w14:paraId="5C70CCEF">
      <w:pPr>
        <w:pStyle w:val="2"/>
        <w:rPr>
          <w:rFonts w:ascii="宋体" w:hAnsi="宋体" w:cs="宋体"/>
          <w:color w:val="auto"/>
          <w:kern w:val="0"/>
          <w:highlight w:val="none"/>
        </w:rPr>
      </w:pPr>
    </w:p>
    <w:p w14:paraId="56B63094">
      <w:pPr>
        <w:pStyle w:val="10"/>
        <w:adjustRightInd w:val="0"/>
        <w:snapToGrid w:val="0"/>
        <w:spacing w:before="156" w:beforeLines="50"/>
        <w:jc w:val="center"/>
        <w:rPr>
          <w:rFonts w:ascii="黑体" w:hAnsi="黑体" w:eastAsia="黑体"/>
          <w:color w:val="auto"/>
          <w:sz w:val="28"/>
          <w:szCs w:val="28"/>
          <w:highlight w:val="none"/>
        </w:rPr>
      </w:pPr>
      <w:bookmarkStart w:id="2" w:name="_Toc8803"/>
      <w:r>
        <w:rPr>
          <w:rFonts w:hint="eastAsia" w:ascii="黑体" w:hAnsi="黑体" w:eastAsia="黑体"/>
          <w:color w:val="auto"/>
          <w:sz w:val="28"/>
          <w:szCs w:val="28"/>
          <w:highlight w:val="none"/>
        </w:rPr>
        <w:t xml:space="preserve">第二节 </w:t>
      </w:r>
      <w:r>
        <w:rPr>
          <w:rFonts w:ascii="黑体" w:hAnsi="黑体" w:eastAsia="黑体"/>
          <w:color w:val="auto"/>
          <w:sz w:val="28"/>
          <w:szCs w:val="28"/>
          <w:highlight w:val="none"/>
        </w:rPr>
        <w:t>技术要求</w:t>
      </w:r>
      <w:bookmarkEnd w:id="2"/>
    </w:p>
    <w:p w14:paraId="15EB119F">
      <w:pPr>
        <w:numPr>
          <w:ilvl w:val="0"/>
          <w:numId w:val="0"/>
        </w:numPr>
        <w:jc w:val="center"/>
        <w:rPr>
          <w:rFonts w:hint="eastAsia" w:ascii="仿宋" w:hAnsi="仿宋" w:eastAsia="仿宋"/>
          <w:b/>
          <w:bCs/>
          <w:sz w:val="28"/>
          <w:szCs w:val="28"/>
          <w:lang w:val="en-US" w:eastAsia="zh-CN"/>
        </w:rPr>
      </w:pPr>
      <w:r>
        <w:rPr>
          <w:rFonts w:hint="eastAsia" w:ascii="宋体" w:hAnsi="宋体" w:eastAsia="宋体" w:cs="宋体"/>
          <w:b/>
          <w:bCs/>
          <w:sz w:val="28"/>
          <w:szCs w:val="28"/>
          <w:lang w:val="en-US" w:eastAsia="zh-CN"/>
        </w:rPr>
        <w:t>包1：测序检测相关仪器设备</w:t>
      </w:r>
    </w:p>
    <w:p w14:paraId="46ADA482">
      <w:pPr>
        <w:keepNext w:val="0"/>
        <w:keepLines w:val="0"/>
        <w:pageBreakBefore w:val="0"/>
        <w:widowControl w:val="0"/>
        <w:numPr>
          <w:ilvl w:val="0"/>
          <w:numId w:val="0"/>
        </w:numPr>
        <w:kinsoku/>
        <w:wordWrap/>
        <w:overflowPunct/>
        <w:topLinePunct w:val="0"/>
        <w:bidi w:val="0"/>
        <w:spacing w:line="360" w:lineRule="auto"/>
        <w:ind w:left="0"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一、高通量测序仪（核心产品）</w:t>
      </w:r>
    </w:p>
    <w:p w14:paraId="7BEA7A29">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适用范围：该产品采用可逆末端终止测序法，用于对来源于人体样本中的脱氧核糖核酸（DNA）进行测序，以获批的医疗器械注册证的适用范围为准。（提供医疗器械注册证佐证）</w:t>
      </w:r>
    </w:p>
    <w:p w14:paraId="3BE429FA">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信号放大方式：采用芯片表面扩增。 </w:t>
      </w:r>
    </w:p>
    <w:p w14:paraId="710C9DB6">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即用型测序试剂，即放即用，单端测序和双端测序均无需按压或额外试剂配制。 </w:t>
      </w:r>
    </w:p>
    <w:p w14:paraId="4D94AD98">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支持单端测序（SE）和双端测序（PE）；支持读长模式为SE50，SE75，SE100，PE75，PE150。</w:t>
      </w:r>
    </w:p>
    <w:p w14:paraId="49FCA8BD">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支持≥2种芯片规格，最高通量测序单张芯片规格≥400M reads，芯片规格以产品制造商官网公布为准。（提供产品制造商官网相关技术参数截图佐证）</w:t>
      </w:r>
    </w:p>
    <w:p w14:paraId="1C49BD18">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通量：在PE150测序模式下，单次芯片最高数据通量≥120G。 </w:t>
      </w:r>
    </w:p>
    <w:p w14:paraId="7417406C">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读长PE150，标准文库下机数据Q30≥85%。</w:t>
      </w:r>
    </w:p>
    <w:p w14:paraId="564D0935">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光学系统：拥有四通道光路识别四色荧光信号，非双色通道，对文库碱基不平衡的兼容性更高。（提供</w:t>
      </w:r>
      <w:r>
        <w:rPr>
          <w:rFonts w:hint="eastAsia" w:ascii="宋体" w:hAnsi="宋体" w:cs="宋体"/>
          <w:b w:val="0"/>
          <w:bCs w:val="0"/>
          <w:color w:val="auto"/>
          <w:sz w:val="24"/>
          <w:szCs w:val="24"/>
          <w:lang w:val="en-US" w:eastAsia="zh-CN"/>
        </w:rPr>
        <w:t>产品</w:t>
      </w:r>
      <w:r>
        <w:rPr>
          <w:rFonts w:hint="eastAsia" w:ascii="宋体" w:hAnsi="宋体" w:eastAsia="宋体" w:cs="宋体"/>
          <w:b w:val="0"/>
          <w:bCs w:val="0"/>
          <w:color w:val="auto"/>
          <w:sz w:val="24"/>
          <w:szCs w:val="24"/>
          <w:lang w:val="en-US" w:eastAsia="zh-CN"/>
        </w:rPr>
        <w:t xml:space="preserve">制造商公开发布的产品彩页佐证） </w:t>
      </w:r>
    </w:p>
    <w:p w14:paraId="121F6838">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信号放大和测序均在测序仪中进行，信号放大不需要借助PCR仪等额外扩增设备。 </w:t>
      </w:r>
    </w:p>
    <w:p w14:paraId="1F9C50FF">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芯片固定方式：采用压合板机械固定方式，可有效规避真空吸附固定方式受压强波动影响而产生测序故障，保障测序稳定性。（提供产品说明书和产品实物照片佐证）</w:t>
      </w:r>
    </w:p>
    <w:p w14:paraId="58A41ED8">
      <w:pPr>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lang w:val="en-US" w:eastAsia="zh-CN"/>
        </w:rPr>
        <w:t>11</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单张芯片≥4流道（lane）</w:t>
      </w:r>
    </w:p>
    <w:p w14:paraId="3DDAC75F">
      <w:pPr>
        <w:keepNext w:val="0"/>
        <w:keepLines w:val="0"/>
        <w:pageBreakBefore w:val="0"/>
        <w:widowControl w:val="0"/>
        <w:numPr>
          <w:ilvl w:val="0"/>
          <w:numId w:val="0"/>
        </w:numPr>
        <w:kinsoku/>
        <w:wordWrap/>
        <w:overflowPunct/>
        <w:topLinePunct w:val="0"/>
        <w:bidi w:val="0"/>
        <w:spacing w:line="360" w:lineRule="auto"/>
        <w:ind w:left="0" w:firstLine="482" w:firstLineChars="200"/>
        <w:jc w:val="left"/>
        <w:textAlignment w:val="auto"/>
        <w:rPr>
          <w:rFonts w:hint="eastAsia" w:ascii="宋体" w:hAnsi="宋体" w:eastAsia="宋体" w:cs="宋体"/>
          <w:b/>
          <w:bCs/>
          <w:color w:val="auto"/>
          <w:sz w:val="24"/>
          <w:szCs w:val="24"/>
          <w:lang w:val="en-US" w:eastAsia="zh-CN"/>
        </w:rPr>
      </w:pPr>
    </w:p>
    <w:p w14:paraId="244C930F">
      <w:pPr>
        <w:keepNext w:val="0"/>
        <w:keepLines w:val="0"/>
        <w:pageBreakBefore w:val="0"/>
        <w:widowControl w:val="0"/>
        <w:kinsoku/>
        <w:wordWrap/>
        <w:overflowPunct/>
        <w:topLinePunct w:val="0"/>
        <w:bidi w:val="0"/>
        <w:spacing w:line="360" w:lineRule="auto"/>
        <w:ind w:left="0" w:firstLine="482" w:firstLineChars="200"/>
        <w:jc w:val="left"/>
        <w:textAlignment w:val="auto"/>
        <w:rPr>
          <w:rFonts w:hint="eastAsia" w:ascii="宋体" w:hAnsi="宋体" w:eastAsia="宋体" w:cs="宋体"/>
          <w:bCs/>
          <w:sz w:val="24"/>
          <w:szCs w:val="24"/>
          <w:lang w:val="nb-NO"/>
        </w:rPr>
      </w:pPr>
      <w:r>
        <w:rPr>
          <w:rFonts w:hint="eastAsia" w:ascii="宋体" w:hAnsi="宋体" w:eastAsia="宋体" w:cs="宋体"/>
          <w:b/>
          <w:bCs w:val="0"/>
          <w:color w:val="auto"/>
          <w:sz w:val="24"/>
          <w:szCs w:val="24"/>
          <w:lang w:val="en-US" w:eastAsia="zh-CN"/>
        </w:rPr>
        <w:t>二、</w:t>
      </w:r>
      <w:r>
        <w:rPr>
          <w:rFonts w:hint="eastAsia" w:ascii="宋体" w:hAnsi="宋体" w:eastAsia="宋体" w:cs="宋体"/>
          <w:b/>
          <w:sz w:val="24"/>
          <w:szCs w:val="24"/>
          <w:lang w:val="nb-NO"/>
        </w:rPr>
        <w:t>全自动核酸提取仪</w:t>
      </w:r>
    </w:p>
    <w:p w14:paraId="631CC5A5">
      <w:pPr>
        <w:keepNext w:val="0"/>
        <w:keepLines w:val="0"/>
        <w:pageBreakBefore w:val="0"/>
        <w:widowControl w:val="0"/>
        <w:kinsoku/>
        <w:wordWrap/>
        <w:overflowPunct/>
        <w:topLinePunct w:val="0"/>
        <w:bidi w:val="0"/>
        <w:spacing w:line="360" w:lineRule="auto"/>
        <w:ind w:left="0" w:firstLine="482" w:firstLineChars="200"/>
        <w:textAlignment w:val="auto"/>
        <w:rPr>
          <w:rFonts w:hint="eastAsia" w:ascii="宋体" w:hAnsi="宋体" w:eastAsia="宋体" w:cs="宋体"/>
          <w:bCs/>
          <w:sz w:val="24"/>
          <w:szCs w:val="24"/>
        </w:rPr>
      </w:pPr>
      <w:r>
        <w:rPr>
          <w:rFonts w:hint="eastAsia" w:ascii="宋体" w:hAnsi="宋体" w:eastAsia="宋体" w:cs="宋体"/>
          <w:b/>
          <w:sz w:val="24"/>
          <w:szCs w:val="24"/>
          <w:lang w:val="nb-NO"/>
        </w:rPr>
        <w:t>1</w:t>
      </w:r>
      <w:r>
        <w:rPr>
          <w:rFonts w:hint="eastAsia" w:ascii="宋体" w:hAnsi="宋体" w:eastAsia="宋体" w:cs="宋体"/>
          <w:b/>
          <w:sz w:val="24"/>
          <w:szCs w:val="24"/>
          <w:lang w:val="en-US" w:eastAsia="zh-CN"/>
        </w:rPr>
        <w:t>.</w:t>
      </w:r>
      <w:r>
        <w:rPr>
          <w:rFonts w:hint="eastAsia" w:ascii="宋体" w:hAnsi="宋体" w:eastAsia="宋体" w:cs="宋体"/>
          <w:b/>
          <w:sz w:val="24"/>
          <w:szCs w:val="24"/>
        </w:rPr>
        <w:t>设备用途</w:t>
      </w:r>
      <w:r>
        <w:rPr>
          <w:rFonts w:hint="eastAsia" w:ascii="宋体" w:hAnsi="宋体" w:eastAsia="宋体" w:cs="宋体"/>
          <w:b/>
          <w:sz w:val="24"/>
          <w:szCs w:val="24"/>
          <w:lang w:eastAsia="zh-CN"/>
        </w:rPr>
        <w:t>：</w:t>
      </w:r>
      <w:r>
        <w:rPr>
          <w:rFonts w:hint="eastAsia" w:ascii="宋体" w:hAnsi="宋体" w:eastAsia="宋体" w:cs="宋体"/>
          <w:bCs/>
          <w:sz w:val="24"/>
          <w:szCs w:val="24"/>
        </w:rPr>
        <w:t>抽提纯化微生物中的DNA和RNA；抽提纯化植物组织中的DNA、RNA；抽提纯化动物组织中的DNA、RNA；microRNA纯化；质粒DNA纯化；纯化全血或体液的基因组DNA；纯化E.coli或真核细胞的6×His-tagged蛋白；去除血清或血浆高丰度蛋白；DNA和RNA的纯化回收。</w:t>
      </w:r>
    </w:p>
    <w:p w14:paraId="6323A406">
      <w:pPr>
        <w:pStyle w:val="14"/>
        <w:keepNext w:val="0"/>
        <w:keepLines w:val="0"/>
        <w:pageBreakBefore w:val="0"/>
        <w:widowControl w:val="0"/>
        <w:kinsoku/>
        <w:wordWrap/>
        <w:overflowPunct/>
        <w:topLinePunct w:val="0"/>
        <w:bidi w:val="0"/>
        <w:spacing w:line="360" w:lineRule="auto"/>
        <w:ind w:left="0" w:firstLine="482" w:firstLineChars="200"/>
        <w:textAlignment w:val="auto"/>
        <w:rPr>
          <w:rFonts w:hint="eastAsia" w:ascii="宋体" w:hAnsi="宋体" w:eastAsia="宋体" w:cs="宋体"/>
          <w:bCs/>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w:t>
      </w:r>
      <w:r>
        <w:rPr>
          <w:rFonts w:hint="eastAsia" w:ascii="宋体" w:hAnsi="宋体" w:eastAsia="宋体" w:cs="宋体"/>
          <w:bCs/>
          <w:sz w:val="24"/>
          <w:szCs w:val="24"/>
        </w:rPr>
        <w:t>工作电压 ：100–240 V AC, 50/60 Hz, 650 VA</w:t>
      </w:r>
    </w:p>
    <w:p w14:paraId="51DA0CE5">
      <w:pPr>
        <w:pStyle w:val="11"/>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3.</w:t>
      </w:r>
      <w:r>
        <w:rPr>
          <w:rFonts w:hint="eastAsia" w:ascii="宋体" w:hAnsi="宋体" w:eastAsia="宋体" w:cs="宋体"/>
          <w:bCs/>
          <w:sz w:val="24"/>
          <w:szCs w:val="24"/>
        </w:rPr>
        <w:t>工作温度：18-28℃；湿度：10-90%</w:t>
      </w:r>
    </w:p>
    <w:p w14:paraId="4ADFED9E">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w:t>
      </w:r>
      <w:r>
        <w:rPr>
          <w:rFonts w:hint="eastAsia" w:ascii="宋体" w:hAnsi="宋体" w:eastAsia="宋体" w:cs="宋体"/>
          <w:bCs/>
          <w:sz w:val="24"/>
          <w:szCs w:val="24"/>
          <w:lang w:val="en-US" w:eastAsia="zh-CN"/>
        </w:rPr>
        <w:t>4.</w:t>
      </w:r>
      <w:r>
        <w:rPr>
          <w:rFonts w:hint="eastAsia" w:ascii="宋体" w:hAnsi="宋体" w:eastAsia="宋体" w:cs="宋体"/>
          <w:bCs/>
          <w:sz w:val="24"/>
          <w:szCs w:val="24"/>
        </w:rPr>
        <w:t>纯化原理：基于硅胶膜离心柱法，可实现样品</w:t>
      </w:r>
      <w:r>
        <w:rPr>
          <w:rFonts w:hint="eastAsia" w:ascii="宋体" w:hAnsi="宋体" w:eastAsia="宋体" w:cs="宋体"/>
          <w:bCs/>
          <w:sz w:val="24"/>
          <w:szCs w:val="24"/>
          <w:lang w:val="en-US" w:eastAsia="zh-CN"/>
        </w:rPr>
        <w:t>机内加热</w:t>
      </w:r>
      <w:r>
        <w:rPr>
          <w:rFonts w:hint="eastAsia" w:ascii="宋体" w:hAnsi="宋体" w:eastAsia="宋体" w:cs="宋体"/>
          <w:bCs/>
          <w:sz w:val="24"/>
          <w:szCs w:val="24"/>
        </w:rPr>
        <w:t>裂解、裂解液转移、</w:t>
      </w:r>
      <w:r>
        <w:rPr>
          <w:rFonts w:hint="eastAsia" w:ascii="宋体" w:hAnsi="宋体" w:eastAsia="宋体" w:cs="宋体"/>
          <w:bCs/>
          <w:sz w:val="24"/>
          <w:szCs w:val="24"/>
          <w:lang w:val="en-US" w:eastAsia="zh-CN"/>
        </w:rPr>
        <w:t>自动化离心、</w:t>
      </w:r>
      <w:r>
        <w:rPr>
          <w:rFonts w:hint="eastAsia" w:ascii="宋体" w:hAnsi="宋体" w:eastAsia="宋体" w:cs="宋体"/>
          <w:bCs/>
          <w:sz w:val="24"/>
          <w:szCs w:val="24"/>
        </w:rPr>
        <w:t>柱</w:t>
      </w:r>
      <w:r>
        <w:rPr>
          <w:rFonts w:hint="eastAsia" w:ascii="宋体" w:hAnsi="宋体" w:eastAsia="宋体" w:cs="宋体"/>
          <w:bCs/>
          <w:sz w:val="24"/>
          <w:szCs w:val="24"/>
          <w:lang w:val="en-US" w:eastAsia="zh-CN"/>
        </w:rPr>
        <w:t>膜</w:t>
      </w:r>
      <w:r>
        <w:rPr>
          <w:rFonts w:hint="eastAsia" w:ascii="宋体" w:hAnsi="宋体" w:eastAsia="宋体" w:cs="宋体"/>
          <w:bCs/>
          <w:sz w:val="24"/>
          <w:szCs w:val="24"/>
        </w:rPr>
        <w:t>清洗、洗脱液回收等实验步骤的全自动操作，无需人工介入；</w:t>
      </w:r>
    </w:p>
    <w:p w14:paraId="3799E88A">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5.</w:t>
      </w:r>
      <w:r>
        <w:rPr>
          <w:rFonts w:hint="eastAsia" w:ascii="宋体" w:hAnsi="宋体" w:eastAsia="宋体" w:cs="宋体"/>
          <w:bCs/>
          <w:sz w:val="24"/>
          <w:szCs w:val="24"/>
        </w:rPr>
        <w:t>样品通量：至少兼容1~12个样品灵活上机；</w:t>
      </w:r>
    </w:p>
    <w:p w14:paraId="02E51A9A">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lang w:val="en-US" w:eastAsia="zh-CN"/>
        </w:rPr>
        <w:t>6.</w:t>
      </w:r>
      <w:r>
        <w:rPr>
          <w:rFonts w:hint="eastAsia" w:ascii="宋体" w:hAnsi="宋体" w:eastAsia="宋体" w:cs="宋体"/>
          <w:bCs/>
          <w:sz w:val="24"/>
          <w:szCs w:val="24"/>
        </w:rPr>
        <w:t xml:space="preserve"> 试剂盒手工和机器通用</w:t>
      </w:r>
      <w:r>
        <w:rPr>
          <w:rFonts w:hint="eastAsia" w:ascii="宋体" w:hAnsi="宋体" w:eastAsia="宋体" w:cs="宋体"/>
          <w:bCs/>
          <w:sz w:val="24"/>
          <w:szCs w:val="24"/>
          <w:lang w:eastAsia="zh-CN"/>
        </w:rPr>
        <w:t>，</w:t>
      </w:r>
      <w:r>
        <w:rPr>
          <w:rFonts w:hint="eastAsia" w:ascii="宋体" w:hAnsi="宋体" w:eastAsia="宋体" w:cs="宋体"/>
          <w:bCs/>
          <w:sz w:val="24"/>
          <w:szCs w:val="24"/>
        </w:rPr>
        <w:t>可配套原厂试剂盒种类</w:t>
      </w:r>
      <w:bookmarkStart w:id="3" w:name="OLE_LINK1"/>
      <w:r>
        <w:rPr>
          <w:rFonts w:hint="eastAsia" w:ascii="宋体" w:hAnsi="宋体" w:eastAsia="宋体" w:cs="宋体"/>
          <w:bCs/>
          <w:sz w:val="24"/>
          <w:szCs w:val="24"/>
        </w:rPr>
        <w:t>≥</w:t>
      </w:r>
      <w:bookmarkEnd w:id="3"/>
      <w:r>
        <w:rPr>
          <w:rFonts w:hint="eastAsia" w:ascii="宋体" w:hAnsi="宋体" w:eastAsia="宋体" w:cs="宋体"/>
          <w:bCs/>
          <w:sz w:val="24"/>
          <w:szCs w:val="24"/>
        </w:rPr>
        <w:t xml:space="preserve">80种，≥300个程序可选择； </w:t>
      </w:r>
    </w:p>
    <w:p w14:paraId="641B0528">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7.</w:t>
      </w:r>
      <w:r>
        <w:rPr>
          <w:rFonts w:hint="eastAsia" w:ascii="宋体" w:hAnsi="宋体" w:eastAsia="宋体" w:cs="宋体"/>
          <w:bCs/>
          <w:sz w:val="24"/>
          <w:szCs w:val="24"/>
        </w:rPr>
        <w:t>可自动化实现多种类型样本尤其是环境、土壤、粪便等疑难样本中DNA、RNA、蛋白纯化以及回收等功能；</w:t>
      </w:r>
    </w:p>
    <w:p w14:paraId="7D88E5E8">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kern w:val="0"/>
          <w:sz w:val="24"/>
          <w:szCs w:val="24"/>
          <w:lang w:eastAsia="zh-CN"/>
        </w:rPr>
      </w:pPr>
      <w:r>
        <w:rPr>
          <w:rFonts w:hint="eastAsia" w:ascii="宋体" w:hAnsi="宋体" w:eastAsia="宋体" w:cs="宋体"/>
          <w:sz w:val="24"/>
          <w:szCs w:val="24"/>
        </w:rPr>
        <w:t>▲</w:t>
      </w:r>
      <w:r>
        <w:rPr>
          <w:rFonts w:hint="eastAsia" w:ascii="宋体" w:hAnsi="宋体" w:eastAsia="宋体" w:cs="宋体"/>
          <w:bCs/>
          <w:sz w:val="24"/>
          <w:szCs w:val="24"/>
          <w:lang w:val="en-US" w:eastAsia="zh-CN"/>
        </w:rPr>
        <w:t>8.</w:t>
      </w:r>
      <w:r>
        <w:rPr>
          <w:rFonts w:hint="eastAsia" w:ascii="宋体" w:hAnsi="宋体" w:eastAsia="宋体" w:cs="宋体"/>
          <w:bCs/>
          <w:sz w:val="24"/>
          <w:szCs w:val="24"/>
        </w:rPr>
        <w:t>仪器内整合离心机和加热震荡模块，</w:t>
      </w:r>
      <w:r>
        <w:rPr>
          <w:rFonts w:hint="eastAsia" w:ascii="宋体" w:hAnsi="宋体" w:eastAsia="宋体" w:cs="宋体"/>
          <w:bCs/>
          <w:sz w:val="24"/>
          <w:szCs w:val="24"/>
          <w:lang w:val="en-US" w:eastAsia="zh-CN"/>
        </w:rPr>
        <w:t>且</w:t>
      </w:r>
      <w:r>
        <w:rPr>
          <w:rFonts w:hint="eastAsia" w:ascii="宋体" w:hAnsi="宋体" w:eastAsia="宋体" w:cs="宋体"/>
          <w:bCs/>
          <w:sz w:val="24"/>
          <w:szCs w:val="24"/>
        </w:rPr>
        <w:t>离心机及加热振荡模块均可单独使用；</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提供机内部件图片证明</w:t>
      </w:r>
      <w:r>
        <w:rPr>
          <w:rFonts w:hint="eastAsia" w:ascii="宋体" w:hAnsi="宋体" w:eastAsia="宋体" w:cs="宋体"/>
          <w:bCs/>
          <w:sz w:val="24"/>
          <w:szCs w:val="24"/>
          <w:lang w:eastAsia="zh-CN"/>
        </w:rPr>
        <w:t>）</w:t>
      </w:r>
    </w:p>
    <w:p w14:paraId="5D1BAAFF">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lang w:eastAsia="zh-CN"/>
        </w:rPr>
      </w:pPr>
      <w:r>
        <w:rPr>
          <w:rFonts w:hint="eastAsia" w:ascii="宋体" w:hAnsi="宋体" w:eastAsia="宋体" w:cs="宋体"/>
          <w:bCs/>
          <w:kern w:val="0"/>
          <w:sz w:val="24"/>
          <w:szCs w:val="24"/>
          <w:lang w:val="en-US" w:eastAsia="zh-CN"/>
        </w:rPr>
        <w:t>9.</w:t>
      </w:r>
      <w:r>
        <w:rPr>
          <w:rFonts w:hint="eastAsia" w:ascii="宋体" w:hAnsi="宋体" w:eastAsia="宋体" w:cs="宋体"/>
          <w:bCs/>
          <w:sz w:val="24"/>
          <w:szCs w:val="24"/>
        </w:rPr>
        <w:t>配备光学感应器和超声液面探测器，能够自动感应检查样品数量、试剂与耗材的类型和数量，防止人为摆放错误；</w:t>
      </w:r>
    </w:p>
    <w:p w14:paraId="18A9600F">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10.</w:t>
      </w:r>
      <w:r>
        <w:rPr>
          <w:rFonts w:hint="eastAsia" w:ascii="宋体" w:hAnsi="宋体" w:eastAsia="宋体" w:cs="宋体"/>
          <w:bCs/>
          <w:sz w:val="24"/>
          <w:szCs w:val="24"/>
        </w:rPr>
        <w:t>内置试剂耗材模块，至少支持≥3个枪头架位，额外匹配≥3个辅助试剂位，可放置生物酶等辅助试剂，用于疑难样本的前处理；</w:t>
      </w:r>
    </w:p>
    <w:p w14:paraId="49224517">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eastAsia="宋体" w:cs="宋体"/>
          <w:bCs/>
          <w:sz w:val="24"/>
          <w:szCs w:val="24"/>
        </w:rPr>
        <w:t xml:space="preserve"> 配备紫外灯灭菌及工作台照明灯，使用一次性带滤芯枪头，防止样品交叉污染；</w:t>
      </w:r>
    </w:p>
    <w:p w14:paraId="27074B4F">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12.</w:t>
      </w:r>
      <w:r>
        <w:rPr>
          <w:rFonts w:hint="eastAsia" w:ascii="宋体" w:hAnsi="宋体" w:eastAsia="宋体" w:cs="宋体"/>
          <w:bCs/>
          <w:sz w:val="24"/>
          <w:szCs w:val="24"/>
        </w:rPr>
        <w:t>配备手持式扫描枪，智能二维码扫描，可自动识别试剂盒类型并自动匹配应用程序，无需手工设置；</w:t>
      </w:r>
    </w:p>
    <w:p w14:paraId="281619DB">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13.</w:t>
      </w:r>
      <w:r>
        <w:rPr>
          <w:rFonts w:hint="eastAsia" w:ascii="宋体" w:hAnsi="宋体" w:eastAsia="宋体" w:cs="宋体"/>
          <w:bCs/>
          <w:sz w:val="24"/>
          <w:szCs w:val="24"/>
        </w:rPr>
        <w:t>配备≥10</w:t>
      </w:r>
      <w:r>
        <w:rPr>
          <w:rFonts w:hint="eastAsia" w:ascii="宋体" w:hAnsi="宋体" w:eastAsia="宋体" w:cs="宋体"/>
          <w:bCs/>
          <w:sz w:val="24"/>
          <w:szCs w:val="24"/>
          <w:lang w:val="en-US" w:eastAsia="zh-CN"/>
        </w:rPr>
        <w:t>英</w:t>
      </w:r>
      <w:r>
        <w:rPr>
          <w:rFonts w:hint="eastAsia" w:ascii="宋体" w:hAnsi="宋体" w:eastAsia="宋体" w:cs="宋体"/>
          <w:bCs/>
          <w:sz w:val="24"/>
          <w:szCs w:val="24"/>
        </w:rPr>
        <w:t>寸LED触摸操作屏，通过触摸屏操作，无需外接电脑，且操作程序预置，且可定制，无需人工编程；</w:t>
      </w:r>
    </w:p>
    <w:p w14:paraId="19D0220A">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w:t>
      </w:r>
      <w:r>
        <w:rPr>
          <w:rFonts w:hint="eastAsia" w:ascii="宋体" w:hAnsi="宋体" w:eastAsia="宋体" w:cs="宋体"/>
          <w:bCs/>
          <w:sz w:val="24"/>
          <w:szCs w:val="24"/>
          <w:lang w:val="en-US" w:eastAsia="zh-CN"/>
        </w:rPr>
        <w:t>4.</w:t>
      </w:r>
      <w:r>
        <w:rPr>
          <w:rFonts w:hint="eastAsia" w:ascii="宋体" w:hAnsi="宋体" w:eastAsia="宋体" w:cs="宋体"/>
          <w:bCs/>
          <w:sz w:val="24"/>
          <w:szCs w:val="24"/>
        </w:rPr>
        <w:t>适配USB2.0，可配置APP实现远程程序设置、过程监控及运行报告打印等功能。</w:t>
      </w:r>
    </w:p>
    <w:p w14:paraId="134F3032">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w:t>
      </w:r>
      <w:r>
        <w:rPr>
          <w:rFonts w:hint="eastAsia" w:ascii="宋体" w:hAnsi="宋体" w:eastAsia="宋体" w:cs="宋体"/>
          <w:bCs/>
          <w:sz w:val="24"/>
          <w:szCs w:val="24"/>
          <w:lang w:val="en-US" w:eastAsia="zh-CN"/>
        </w:rPr>
        <w:t>5.</w:t>
      </w:r>
      <w:r>
        <w:rPr>
          <w:rFonts w:hint="eastAsia" w:ascii="宋体" w:hAnsi="宋体" w:eastAsia="宋体" w:cs="宋体"/>
          <w:bCs/>
          <w:sz w:val="24"/>
          <w:szCs w:val="24"/>
        </w:rPr>
        <w:t>带有安全保护门，全封闭运行，防止样品污染及保护人身安全。</w:t>
      </w:r>
    </w:p>
    <w:p w14:paraId="707E9E53">
      <w:pPr>
        <w:keepNext w:val="0"/>
        <w:keepLines w:val="0"/>
        <w:pageBreakBefore w:val="0"/>
        <w:widowControl w:val="0"/>
        <w:kinsoku/>
        <w:wordWrap/>
        <w:overflowPunct/>
        <w:topLinePunct w:val="0"/>
        <w:bidi w:val="0"/>
        <w:spacing w:line="360" w:lineRule="auto"/>
        <w:ind w:left="0" w:firstLine="482" w:firstLineChars="200"/>
        <w:textAlignment w:val="auto"/>
        <w:rPr>
          <w:rFonts w:hint="eastAsia" w:ascii="宋体" w:hAnsi="宋体" w:eastAsia="宋体" w:cs="宋体"/>
          <w:bCs/>
          <w:color w:val="auto"/>
          <w:sz w:val="24"/>
          <w:szCs w:val="24"/>
        </w:rPr>
      </w:pPr>
      <w:r>
        <w:rPr>
          <w:rFonts w:hint="eastAsia" w:ascii="宋体" w:hAnsi="宋体" w:eastAsia="宋体" w:cs="宋体"/>
          <w:b/>
          <w:sz w:val="24"/>
          <w:szCs w:val="24"/>
          <w:lang w:val="en-US" w:eastAsia="zh-CN"/>
        </w:rPr>
        <w:t>16.</w:t>
      </w:r>
      <w:r>
        <w:rPr>
          <w:rFonts w:hint="eastAsia" w:ascii="宋体" w:hAnsi="宋体" w:eastAsia="宋体" w:cs="宋体"/>
          <w:b/>
          <w:sz w:val="24"/>
          <w:szCs w:val="24"/>
        </w:rPr>
        <w:t>基本配置</w:t>
      </w:r>
      <w:r>
        <w:rPr>
          <w:rFonts w:hint="eastAsia" w:ascii="宋体" w:hAnsi="宋体" w:eastAsia="宋体" w:cs="宋体"/>
          <w:b/>
          <w:sz w:val="24"/>
          <w:szCs w:val="24"/>
          <w:lang w:eastAsia="zh-CN"/>
        </w:rPr>
        <w:t>：</w:t>
      </w:r>
      <w:r>
        <w:rPr>
          <w:rFonts w:hint="eastAsia" w:ascii="宋体" w:hAnsi="宋体" w:eastAsia="宋体" w:cs="宋体"/>
          <w:bCs/>
          <w:sz w:val="24"/>
          <w:szCs w:val="24"/>
        </w:rPr>
        <w:t xml:space="preserve"> 主机一台</w:t>
      </w:r>
      <w:r>
        <w:rPr>
          <w:rFonts w:hint="eastAsia" w:ascii="宋体" w:hAnsi="宋体" w:eastAsia="宋体" w:cs="宋体"/>
          <w:bCs/>
          <w:sz w:val="24"/>
          <w:szCs w:val="24"/>
          <w:lang w:eastAsia="zh-CN"/>
        </w:rPr>
        <w:t>、</w:t>
      </w:r>
      <w:r>
        <w:rPr>
          <w:rFonts w:hint="eastAsia" w:ascii="宋体" w:hAnsi="宋体" w:eastAsia="宋体" w:cs="宋体"/>
          <w:bCs/>
          <w:sz w:val="24"/>
          <w:szCs w:val="24"/>
        </w:rPr>
        <w:t xml:space="preserve"> 起始装机包一套</w:t>
      </w:r>
    </w:p>
    <w:p w14:paraId="44DD482D">
      <w:pPr>
        <w:keepNext w:val="0"/>
        <w:keepLines w:val="0"/>
        <w:pageBreakBefore w:val="0"/>
        <w:widowControl w:val="0"/>
        <w:numPr>
          <w:ilvl w:val="0"/>
          <w:numId w:val="0"/>
        </w:numPr>
        <w:kinsoku/>
        <w:wordWrap/>
        <w:overflowPunct/>
        <w:topLinePunct w:val="0"/>
        <w:bidi w:val="0"/>
        <w:spacing w:line="360" w:lineRule="auto"/>
        <w:ind w:left="0" w:firstLine="480" w:firstLineChars="200"/>
        <w:textAlignment w:val="auto"/>
        <w:rPr>
          <w:rFonts w:hint="eastAsia" w:ascii="宋体" w:hAnsi="宋体" w:eastAsia="宋体" w:cs="宋体"/>
          <w:color w:val="auto"/>
          <w:sz w:val="24"/>
          <w:szCs w:val="24"/>
        </w:rPr>
      </w:pPr>
    </w:p>
    <w:p w14:paraId="3B1202C4">
      <w:pPr>
        <w:keepNext w:val="0"/>
        <w:keepLines w:val="0"/>
        <w:pageBreakBefore w:val="0"/>
        <w:widowControl w:val="0"/>
        <w:numPr>
          <w:ilvl w:val="0"/>
          <w:numId w:val="0"/>
        </w:numPr>
        <w:kinsoku/>
        <w:wordWrap/>
        <w:overflowPunct/>
        <w:topLinePunct w:val="0"/>
        <w:bidi w:val="0"/>
        <w:spacing w:line="360" w:lineRule="auto"/>
        <w:ind w:left="0" w:firstLine="482"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三、实时荧光PCR仪</w:t>
      </w:r>
    </w:p>
    <w:p w14:paraId="75ED793D">
      <w:pPr>
        <w:pStyle w:val="15"/>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w:t>
      </w:r>
      <w:r>
        <w:rPr>
          <w:rFonts w:hint="eastAsia" w:ascii="宋体" w:hAnsi="宋体" w:eastAsia="宋体" w:cs="宋体"/>
          <w:bCs/>
          <w:color w:val="auto"/>
          <w:sz w:val="24"/>
          <w:szCs w:val="24"/>
        </w:rPr>
        <w:t>主要功能：能够完成绝对定量、相对定量、基于 MGB 探针的高成功率 SNP 分析和熔解曲线分析；</w:t>
      </w:r>
    </w:p>
    <w:p w14:paraId="31BC9107">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w:t>
      </w:r>
      <w:r>
        <w:rPr>
          <w:rFonts w:hint="eastAsia" w:ascii="宋体" w:hAnsi="宋体" w:eastAsia="宋体" w:cs="宋体"/>
          <w:bCs/>
          <w:color w:val="auto"/>
          <w:sz w:val="24"/>
          <w:szCs w:val="24"/>
        </w:rPr>
        <w:t>热循环采用帕尔贴效应系统，加热冷却方式为半导体；</w:t>
      </w:r>
    </w:p>
    <w:p w14:paraId="2F151B3B">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3.</w:t>
      </w:r>
      <w:r>
        <w:rPr>
          <w:rFonts w:hint="eastAsia" w:ascii="宋体" w:hAnsi="宋体" w:eastAsia="宋体" w:cs="宋体"/>
          <w:bCs/>
          <w:color w:val="auto"/>
          <w:sz w:val="24"/>
          <w:szCs w:val="24"/>
        </w:rPr>
        <w:t>温度控制范围：4–99.9℃；</w:t>
      </w:r>
    </w:p>
    <w:p w14:paraId="6BB3B118">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4.</w:t>
      </w:r>
      <w:r>
        <w:rPr>
          <w:rFonts w:hint="eastAsia" w:ascii="宋体" w:hAnsi="宋体" w:eastAsia="宋体" w:cs="宋体"/>
          <w:bCs/>
          <w:color w:val="auto"/>
          <w:sz w:val="24"/>
          <w:szCs w:val="24"/>
        </w:rPr>
        <w:t>三种加热模块可选：0.2ml ×96孔模块，反应体积：10-100ul ；0.1ml ×96孔模块，反应体积：10-30ul；384孔模块，反应体积：5–20 u</w:t>
      </w:r>
      <w:r>
        <w:rPr>
          <w:rFonts w:hint="eastAsia" w:ascii="宋体" w:hAnsi="宋体" w:eastAsia="宋体" w:cs="宋体"/>
          <w:bCs/>
          <w:color w:val="auto"/>
          <w:sz w:val="24"/>
          <w:szCs w:val="24"/>
        </w:rPr>
        <w:softHyphen/>
      </w:r>
      <w:r>
        <w:rPr>
          <w:rFonts w:hint="eastAsia" w:ascii="宋体" w:hAnsi="宋体" w:eastAsia="宋体" w:cs="宋体"/>
          <w:bCs/>
          <w:color w:val="auto"/>
          <w:sz w:val="24"/>
          <w:szCs w:val="24"/>
        </w:rPr>
        <w:t>L；</w:t>
      </w:r>
    </w:p>
    <w:p w14:paraId="5B6AF573">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5.</w:t>
      </w:r>
      <w:r>
        <w:rPr>
          <w:rFonts w:hint="eastAsia" w:ascii="宋体" w:hAnsi="宋体" w:eastAsia="宋体" w:cs="宋体"/>
          <w:bCs/>
          <w:color w:val="auto"/>
          <w:sz w:val="24"/>
          <w:szCs w:val="24"/>
        </w:rPr>
        <w:t xml:space="preserve">96孔模块具有温度梯度功能：由≥6个独立控温区组成，可分别设定温度参数，可同时进行≥6个不同样品的不同温度梯度实验； </w:t>
      </w:r>
    </w:p>
    <w:p w14:paraId="7D7F1527">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6.</w:t>
      </w:r>
      <w:r>
        <w:rPr>
          <w:rFonts w:hint="eastAsia" w:ascii="宋体" w:hAnsi="宋体" w:eastAsia="宋体" w:cs="宋体"/>
          <w:bCs/>
          <w:color w:val="auto"/>
          <w:sz w:val="24"/>
          <w:szCs w:val="24"/>
        </w:rPr>
        <w:t>相邻温控区温度差异≥5℃，最大温度差异为25℃；</w:t>
      </w:r>
    </w:p>
    <w:p w14:paraId="26E555EC">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7.</w:t>
      </w:r>
      <w:r>
        <w:rPr>
          <w:rFonts w:hint="eastAsia" w:ascii="宋体" w:hAnsi="宋体" w:eastAsia="宋体" w:cs="宋体"/>
          <w:bCs/>
          <w:color w:val="auto"/>
          <w:sz w:val="24"/>
          <w:szCs w:val="24"/>
        </w:rPr>
        <w:t>激发光源为高亮度白光半导体光源，工作寿命≥50000小时；</w:t>
      </w:r>
    </w:p>
    <w:p w14:paraId="5AAEB824">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8.</w:t>
      </w:r>
      <w:r>
        <w:rPr>
          <w:rFonts w:hint="eastAsia" w:ascii="宋体" w:hAnsi="宋体" w:eastAsia="宋体" w:cs="宋体"/>
          <w:bCs/>
          <w:color w:val="auto"/>
          <w:sz w:val="24"/>
          <w:szCs w:val="24"/>
        </w:rPr>
        <w:t>检测系统：低温</w:t>
      </w:r>
      <w:r>
        <w:rPr>
          <w:rFonts w:hint="eastAsia" w:ascii="宋体" w:hAnsi="宋体" w:eastAsia="宋体" w:cs="宋体"/>
          <w:color w:val="auto"/>
          <w:sz w:val="24"/>
          <w:szCs w:val="24"/>
        </w:rPr>
        <w:t>高分辨CMOS</w:t>
      </w:r>
      <w:r>
        <w:rPr>
          <w:rFonts w:hint="eastAsia" w:ascii="宋体" w:hAnsi="宋体" w:eastAsia="宋体" w:cs="宋体"/>
          <w:bCs/>
          <w:color w:val="auto"/>
          <w:sz w:val="24"/>
          <w:szCs w:val="24"/>
        </w:rPr>
        <w:t xml:space="preserve">，所有反应孔同时采集荧光数据，不同孔之间不存在扫描时间差，无需通过光纤传导以避免信号衰减； </w:t>
      </w:r>
    </w:p>
    <w:p w14:paraId="0300165F">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9.</w:t>
      </w:r>
      <w:r>
        <w:rPr>
          <w:rFonts w:hint="eastAsia" w:ascii="宋体" w:hAnsi="宋体" w:eastAsia="宋体" w:cs="宋体"/>
          <w:bCs/>
          <w:color w:val="auto"/>
          <w:sz w:val="24"/>
          <w:szCs w:val="24"/>
        </w:rPr>
        <w:t xml:space="preserve">荧光通道数：≥6个荧光激发通道，≥6个荧光检测通道，可以同时进行≥6重定量； </w:t>
      </w:r>
    </w:p>
    <w:p w14:paraId="53A390EC">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10.</w:t>
      </w:r>
      <w:r>
        <w:rPr>
          <w:rFonts w:hint="eastAsia" w:ascii="宋体" w:hAnsi="宋体" w:eastAsia="宋体" w:cs="宋体"/>
          <w:bCs/>
          <w:color w:val="auto"/>
          <w:sz w:val="24"/>
          <w:szCs w:val="24"/>
        </w:rPr>
        <w:t>能同时检测并区分VIC荧光和TAMRA荧光，以用于基因拷贝数(CNV)检测；</w:t>
      </w:r>
    </w:p>
    <w:p w14:paraId="5EBB11B4">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11.</w:t>
      </w:r>
      <w:r>
        <w:rPr>
          <w:rFonts w:hint="eastAsia" w:ascii="宋体" w:hAnsi="宋体" w:eastAsia="宋体" w:cs="宋体"/>
          <w:bCs/>
          <w:color w:val="auto"/>
          <w:sz w:val="24"/>
          <w:szCs w:val="24"/>
        </w:rPr>
        <w:t>光学激发检测范围：450–680 nm/500–730 nm</w:t>
      </w:r>
    </w:p>
    <w:p w14:paraId="3B5F2011">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12.</w:t>
      </w:r>
      <w:r>
        <w:rPr>
          <w:rFonts w:hint="eastAsia" w:ascii="宋体" w:hAnsi="宋体" w:eastAsia="宋体" w:cs="宋体"/>
          <w:bCs/>
          <w:color w:val="auto"/>
          <w:sz w:val="24"/>
          <w:szCs w:val="24"/>
        </w:rPr>
        <w:t>配备校正实验物理误差的方案：利用参比荧光染料（包括但不限于ROX、Mustang Purple等）进行内参比荧光校正，同时校正加样误差和孔板耗材透光性差异</w:t>
      </w:r>
    </w:p>
    <w:p w14:paraId="38D286AD">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13.</w:t>
      </w:r>
      <w:r>
        <w:rPr>
          <w:rFonts w:hint="eastAsia" w:ascii="宋体" w:hAnsi="宋体" w:eastAsia="宋体" w:cs="宋体"/>
          <w:bCs/>
          <w:color w:val="auto"/>
          <w:sz w:val="24"/>
          <w:szCs w:val="24"/>
        </w:rPr>
        <w:t>安装时已校准染料：通道一：FAM, SYBR Green I；通道二：VIC；通道三：NED, ABY, TAMRA；通道四：JUN, ROX；通道五Mustang Purple, Cy5；</w:t>
      </w:r>
    </w:p>
    <w:p w14:paraId="20E0D418">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14.</w:t>
      </w:r>
      <w:r>
        <w:rPr>
          <w:rFonts w:hint="eastAsia" w:ascii="宋体" w:hAnsi="宋体" w:eastAsia="宋体" w:cs="宋体"/>
          <w:bCs/>
          <w:color w:val="auto"/>
          <w:sz w:val="24"/>
          <w:szCs w:val="24"/>
        </w:rPr>
        <w:t>温度均一性：0.4°C</w:t>
      </w:r>
    </w:p>
    <w:p w14:paraId="463047DA">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15.</w:t>
      </w:r>
      <w:r>
        <w:rPr>
          <w:rFonts w:hint="eastAsia" w:ascii="宋体" w:hAnsi="宋体" w:eastAsia="宋体" w:cs="宋体"/>
          <w:bCs/>
          <w:color w:val="auto"/>
          <w:sz w:val="24"/>
          <w:szCs w:val="24"/>
        </w:rPr>
        <w:t>温度准确性：0.25°C</w:t>
      </w:r>
    </w:p>
    <w:p w14:paraId="13EEFDBC">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16.</w:t>
      </w:r>
      <w:r>
        <w:rPr>
          <w:rFonts w:hint="eastAsia" w:ascii="宋体" w:hAnsi="宋体" w:eastAsia="宋体" w:cs="宋体"/>
          <w:bCs/>
          <w:color w:val="auto"/>
          <w:sz w:val="24"/>
          <w:szCs w:val="24"/>
        </w:rPr>
        <w:t>模块升降温速率≥6.5℃/秒；</w:t>
      </w:r>
    </w:p>
    <w:p w14:paraId="6A427626">
      <w:pPr>
        <w:pStyle w:val="15"/>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17.</w:t>
      </w:r>
      <w:r>
        <w:rPr>
          <w:rFonts w:hint="eastAsia" w:ascii="宋体" w:hAnsi="宋体" w:eastAsia="宋体" w:cs="宋体"/>
          <w:bCs/>
          <w:color w:val="auto"/>
          <w:sz w:val="24"/>
          <w:szCs w:val="24"/>
        </w:rPr>
        <w:t>反应模式：标准模式内40个循环≤2小时；快速模式40个循环≤30分钟；</w:t>
      </w:r>
    </w:p>
    <w:p w14:paraId="266F32D8">
      <w:pPr>
        <w:pStyle w:val="15"/>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18.</w:t>
      </w:r>
      <w:r>
        <w:rPr>
          <w:rFonts w:hint="eastAsia" w:ascii="宋体" w:hAnsi="宋体" w:eastAsia="宋体" w:cs="宋体"/>
          <w:bCs/>
          <w:color w:val="auto"/>
          <w:sz w:val="24"/>
          <w:szCs w:val="24"/>
        </w:rPr>
        <w:t>检测灵敏度：≤1个拷贝；</w:t>
      </w:r>
    </w:p>
    <w:p w14:paraId="17703F14">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19.</w:t>
      </w:r>
      <w:r>
        <w:rPr>
          <w:rFonts w:hint="eastAsia" w:ascii="宋体" w:hAnsi="宋体" w:eastAsia="宋体" w:cs="宋体"/>
          <w:bCs/>
          <w:color w:val="auto"/>
          <w:sz w:val="24"/>
          <w:szCs w:val="24"/>
        </w:rPr>
        <w:t>检测精密度：≤1.5倍拷贝数差异；</w:t>
      </w:r>
    </w:p>
    <w:p w14:paraId="015EE398">
      <w:pPr>
        <w:pStyle w:val="15"/>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20.</w:t>
      </w:r>
      <w:r>
        <w:rPr>
          <w:rFonts w:hint="eastAsia" w:ascii="宋体" w:hAnsi="宋体" w:eastAsia="宋体" w:cs="宋体"/>
          <w:bCs/>
          <w:color w:val="auto"/>
          <w:sz w:val="24"/>
          <w:szCs w:val="24"/>
        </w:rPr>
        <w:t>动态范围：≥10个数量级；</w:t>
      </w:r>
    </w:p>
    <w:p w14:paraId="5BDCBC57">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21.</w:t>
      </w:r>
      <w:r>
        <w:rPr>
          <w:rFonts w:hint="eastAsia" w:ascii="宋体" w:hAnsi="宋体" w:eastAsia="宋体" w:cs="宋体"/>
          <w:bCs/>
          <w:color w:val="auto"/>
          <w:sz w:val="24"/>
          <w:szCs w:val="24"/>
        </w:rPr>
        <w:t>可选高分辨率熔解曲线 HRM分析功能，分辨率最小至 0.015°C；</w:t>
      </w:r>
    </w:p>
    <w:p w14:paraId="78D1BC47">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22.</w:t>
      </w:r>
      <w:r>
        <w:rPr>
          <w:rFonts w:hint="eastAsia" w:ascii="宋体" w:hAnsi="宋体" w:eastAsia="宋体" w:cs="宋体"/>
          <w:bCs/>
          <w:color w:val="auto"/>
          <w:sz w:val="24"/>
          <w:szCs w:val="24"/>
        </w:rPr>
        <w:t>内置≥</w:t>
      </w:r>
      <w:bookmarkStart w:id="4" w:name="_Hlk118454269"/>
      <w:r>
        <w:rPr>
          <w:rFonts w:hint="eastAsia" w:ascii="宋体" w:hAnsi="宋体" w:eastAsia="宋体" w:cs="宋体"/>
          <w:bCs/>
          <w:color w:val="auto"/>
          <w:sz w:val="24"/>
          <w:szCs w:val="24"/>
        </w:rPr>
        <w:t>8.5英寸</w:t>
      </w:r>
      <w:bookmarkEnd w:id="4"/>
      <w:r>
        <w:rPr>
          <w:rFonts w:hint="eastAsia" w:ascii="宋体" w:hAnsi="宋体" w:eastAsia="宋体" w:cs="宋体"/>
          <w:bCs/>
          <w:color w:val="auto"/>
          <w:sz w:val="24"/>
          <w:szCs w:val="24"/>
        </w:rPr>
        <w:t>触摸屏，触摸板并可查看实时荧光定量PCR实验；</w:t>
      </w:r>
    </w:p>
    <w:p w14:paraId="6B2DBCB1">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23.</w:t>
      </w:r>
      <w:r>
        <w:rPr>
          <w:rFonts w:hint="eastAsia" w:ascii="宋体" w:hAnsi="宋体" w:eastAsia="宋体" w:cs="宋体"/>
          <w:bCs/>
          <w:color w:val="auto"/>
          <w:sz w:val="24"/>
          <w:szCs w:val="24"/>
        </w:rPr>
        <w:t>仪器自带存储空间≥10GB,可储存2000-2500次实验数据；</w:t>
      </w:r>
    </w:p>
    <w:p w14:paraId="1CA8C667">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24.</w:t>
      </w:r>
      <w:r>
        <w:rPr>
          <w:rFonts w:hint="eastAsia" w:ascii="宋体" w:hAnsi="宋体" w:eastAsia="宋体" w:cs="宋体"/>
          <w:bCs/>
          <w:color w:val="auto"/>
          <w:sz w:val="24"/>
          <w:szCs w:val="24"/>
        </w:rPr>
        <w:t>仪器具有断电后一小时之内恢复来电实验自动恢复的功能；</w:t>
      </w:r>
    </w:p>
    <w:p w14:paraId="3DAF5A9A">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25.</w:t>
      </w:r>
      <w:r>
        <w:rPr>
          <w:rFonts w:hint="eastAsia" w:ascii="宋体" w:hAnsi="宋体" w:eastAsia="宋体" w:cs="宋体"/>
          <w:bCs/>
          <w:color w:val="auto"/>
          <w:sz w:val="24"/>
          <w:szCs w:val="24"/>
        </w:rPr>
        <w:t>开放的应用程序界面（API）允许整合第三方系统，如LIMS（实验室综合管理系统）或定制的自动化平台。软件自带原厂配套的符合21 CFR Part 11要求的标准SAE功能，以便数据的审查记录；</w:t>
      </w:r>
    </w:p>
    <w:p w14:paraId="7889B700">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26.</w:t>
      </w:r>
      <w:r>
        <w:rPr>
          <w:rFonts w:hint="eastAsia" w:ascii="宋体" w:hAnsi="宋体" w:eastAsia="宋体" w:cs="宋体"/>
          <w:bCs/>
          <w:color w:val="auto"/>
          <w:sz w:val="24"/>
          <w:szCs w:val="24"/>
        </w:rPr>
        <w:t xml:space="preserve">仪器的耗材和试剂盒均为开放式；用户可选择原厂同品牌多款耗材和试剂，也可选择市场上其他厂家的耗材和试剂： </w:t>
      </w:r>
    </w:p>
    <w:p w14:paraId="13BBC9AC">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27.</w:t>
      </w:r>
      <w:r>
        <w:rPr>
          <w:rFonts w:hint="eastAsia" w:ascii="宋体" w:hAnsi="宋体" w:eastAsia="宋体" w:cs="宋体"/>
          <w:bCs/>
          <w:color w:val="auto"/>
          <w:sz w:val="24"/>
          <w:szCs w:val="24"/>
        </w:rPr>
        <w:t>配置：荧光定量PCR主机一台，仪器控制分析系统一套；数据采集和分析软件一套；引物和探针设计软件一套；安装试剂盒一套；</w:t>
      </w:r>
    </w:p>
    <w:p w14:paraId="312F13D9">
      <w:pPr>
        <w:keepNext w:val="0"/>
        <w:keepLines w:val="0"/>
        <w:pageBreakBefore w:val="0"/>
        <w:widowControl w:val="0"/>
        <w:numPr>
          <w:ilvl w:val="0"/>
          <w:numId w:val="0"/>
        </w:numPr>
        <w:kinsoku/>
        <w:wordWrap/>
        <w:overflowPunct/>
        <w:topLinePunct w:val="0"/>
        <w:bidi w:val="0"/>
        <w:spacing w:line="360" w:lineRule="auto"/>
        <w:ind w:left="0" w:firstLine="482" w:firstLineChars="200"/>
        <w:textAlignment w:val="auto"/>
        <w:rPr>
          <w:rFonts w:hint="eastAsia" w:ascii="宋体" w:hAnsi="宋体" w:eastAsia="宋体" w:cs="宋体"/>
          <w:b/>
          <w:bCs/>
          <w:color w:val="auto"/>
          <w:sz w:val="24"/>
          <w:szCs w:val="24"/>
          <w:lang w:val="en-US" w:eastAsia="zh-CN"/>
        </w:rPr>
      </w:pPr>
    </w:p>
    <w:p w14:paraId="19E9B5B7">
      <w:pPr>
        <w:keepNext w:val="0"/>
        <w:keepLines w:val="0"/>
        <w:pageBreakBefore w:val="0"/>
        <w:widowControl w:val="0"/>
        <w:kinsoku/>
        <w:wordWrap/>
        <w:overflowPunct/>
        <w:topLinePunct w:val="0"/>
        <w:bidi w:val="0"/>
        <w:spacing w:line="360" w:lineRule="auto"/>
        <w:ind w:left="0"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实时荧光定量PCR分析仪</w:t>
      </w:r>
    </w:p>
    <w:p w14:paraId="62302AB9">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1</w:t>
      </w:r>
      <w:r>
        <w:rPr>
          <w:rFonts w:hint="eastAsia" w:ascii="宋体" w:hAnsi="宋体" w:eastAsia="宋体" w:cs="宋体"/>
          <w:bCs/>
          <w:sz w:val="24"/>
          <w:szCs w:val="24"/>
        </w:rPr>
        <w:t>.光源: 免维护 LED</w:t>
      </w:r>
    </w:p>
    <w:p w14:paraId="3496829B">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2.检测器: 光电二极管</w:t>
      </w:r>
    </w:p>
    <w:p w14:paraId="0E137B84">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color w:val="auto"/>
          <w:sz w:val="24"/>
          <w:szCs w:val="24"/>
        </w:rPr>
        <w:t>▲</w:t>
      </w:r>
      <w:r>
        <w:rPr>
          <w:rFonts w:hint="eastAsia" w:ascii="宋体" w:hAnsi="宋体" w:cs="宋体"/>
          <w:bCs/>
          <w:color w:val="auto"/>
          <w:sz w:val="24"/>
          <w:szCs w:val="24"/>
          <w:lang w:val="en-US" w:eastAsia="zh-CN"/>
        </w:rPr>
        <w:t>3</w:t>
      </w:r>
      <w:r>
        <w:rPr>
          <w:rFonts w:hint="eastAsia" w:ascii="宋体" w:hAnsi="宋体" w:eastAsia="宋体" w:cs="宋体"/>
          <w:bCs/>
          <w:sz w:val="24"/>
          <w:szCs w:val="24"/>
        </w:rPr>
        <w:t>.样本容量：≥96孔</w:t>
      </w:r>
    </w:p>
    <w:p w14:paraId="16B32A30">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color w:val="auto"/>
          <w:sz w:val="24"/>
          <w:szCs w:val="24"/>
        </w:rPr>
        <w:t>▲</w:t>
      </w:r>
      <w:r>
        <w:rPr>
          <w:rFonts w:hint="eastAsia" w:ascii="宋体" w:hAnsi="宋体" w:cs="宋体"/>
          <w:bCs/>
          <w:color w:val="auto"/>
          <w:sz w:val="24"/>
          <w:szCs w:val="24"/>
          <w:lang w:val="en-US" w:eastAsia="zh-CN"/>
        </w:rPr>
        <w:t>4</w:t>
      </w:r>
      <w:r>
        <w:rPr>
          <w:rFonts w:hint="eastAsia" w:ascii="宋体" w:hAnsi="宋体" w:eastAsia="宋体" w:cs="宋体"/>
          <w:bCs/>
          <w:sz w:val="24"/>
          <w:szCs w:val="24"/>
        </w:rPr>
        <w:t>.荧光检测波长:≥</w:t>
      </w:r>
      <w:r>
        <w:rPr>
          <w:rFonts w:hint="eastAsia" w:ascii="宋体" w:hAnsi="宋体" w:cs="宋体"/>
          <w:bCs/>
          <w:sz w:val="24"/>
          <w:szCs w:val="24"/>
          <w:lang w:val="en-US" w:eastAsia="zh-CN"/>
        </w:rPr>
        <w:t>8</w:t>
      </w:r>
      <w:r>
        <w:rPr>
          <w:rFonts w:hint="eastAsia" w:ascii="宋体" w:hAnsi="宋体" w:eastAsia="宋体" w:cs="宋体"/>
          <w:bCs/>
          <w:sz w:val="24"/>
          <w:szCs w:val="24"/>
        </w:rPr>
        <w:t>通道</w:t>
      </w:r>
    </w:p>
    <w:p w14:paraId="26E7D530">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5</w:t>
      </w:r>
      <w:r>
        <w:rPr>
          <w:rFonts w:hint="eastAsia" w:ascii="宋体" w:hAnsi="宋体" w:eastAsia="宋体" w:cs="宋体"/>
          <w:bCs/>
          <w:sz w:val="24"/>
          <w:szCs w:val="24"/>
        </w:rPr>
        <w:t>.法规使用年限: ≥7年</w:t>
      </w:r>
    </w:p>
    <w:p w14:paraId="40223684">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6</w:t>
      </w:r>
      <w:r>
        <w:rPr>
          <w:rFonts w:hint="eastAsia" w:ascii="宋体" w:hAnsi="宋体" w:eastAsia="宋体" w:cs="宋体"/>
          <w:bCs/>
          <w:sz w:val="24"/>
          <w:szCs w:val="24"/>
        </w:rPr>
        <w:t>.运行控制: 一台电脑可连多台仪器，控制运行</w:t>
      </w:r>
    </w:p>
    <w:p w14:paraId="795251DB">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eastAsia="zh-CN"/>
        </w:rPr>
        <w:t>7</w:t>
      </w:r>
      <w:r>
        <w:rPr>
          <w:rFonts w:hint="eastAsia" w:ascii="宋体" w:hAnsi="宋体" w:eastAsia="宋体" w:cs="宋体"/>
          <w:bCs/>
          <w:sz w:val="24"/>
          <w:szCs w:val="24"/>
        </w:rPr>
        <w:t>.模块温度范围: 4℃-99℃</w:t>
      </w:r>
    </w:p>
    <w:p w14:paraId="7B4D3578">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eastAsia="zh-CN"/>
        </w:rPr>
        <w:t>8</w:t>
      </w:r>
      <w:r>
        <w:rPr>
          <w:rFonts w:hint="eastAsia" w:ascii="宋体" w:hAnsi="宋体" w:eastAsia="宋体" w:cs="宋体"/>
          <w:bCs/>
          <w:sz w:val="24"/>
          <w:szCs w:val="24"/>
        </w:rPr>
        <w:t>.检测动力学范围: 10</w:t>
      </w:r>
      <w:r>
        <w:rPr>
          <w:rFonts w:hint="eastAsia" w:ascii="宋体" w:hAnsi="宋体" w:eastAsia="宋体" w:cs="宋体"/>
          <w:bCs/>
          <w:sz w:val="24"/>
          <w:szCs w:val="24"/>
          <w:vertAlign w:val="superscript"/>
        </w:rPr>
        <w:t>0</w:t>
      </w:r>
      <w:r>
        <w:rPr>
          <w:rFonts w:hint="eastAsia" w:ascii="宋体" w:hAnsi="宋体" w:eastAsia="宋体" w:cs="宋体"/>
          <w:bCs/>
          <w:sz w:val="24"/>
          <w:szCs w:val="24"/>
        </w:rPr>
        <w:softHyphen/>
      </w:r>
      <w:r>
        <w:rPr>
          <w:rFonts w:hint="eastAsia" w:ascii="宋体" w:hAnsi="宋体" w:eastAsia="宋体" w:cs="宋体"/>
          <w:bCs/>
          <w:sz w:val="24"/>
          <w:szCs w:val="24"/>
        </w:rPr>
        <w:t>-10</w:t>
      </w:r>
      <w:r>
        <w:rPr>
          <w:rFonts w:hint="eastAsia" w:ascii="宋体" w:hAnsi="宋体" w:eastAsia="宋体" w:cs="宋体"/>
          <w:bCs/>
          <w:sz w:val="24"/>
          <w:szCs w:val="24"/>
          <w:vertAlign w:val="superscript"/>
        </w:rPr>
        <w:t>10</w:t>
      </w:r>
    </w:p>
    <w:p w14:paraId="6742D8EA">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eastAsia="zh-CN"/>
        </w:rPr>
        <w:t>9</w:t>
      </w:r>
      <w:r>
        <w:rPr>
          <w:rFonts w:hint="eastAsia" w:ascii="宋体" w:hAnsi="宋体" w:eastAsia="宋体" w:cs="宋体"/>
          <w:bCs/>
          <w:sz w:val="24"/>
          <w:szCs w:val="24"/>
        </w:rPr>
        <w:t>.最小检测模板: 单个拷贝</w:t>
      </w:r>
    </w:p>
    <w:p w14:paraId="06C211EC">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10</w:t>
      </w:r>
      <w:r>
        <w:rPr>
          <w:rFonts w:hint="eastAsia" w:ascii="宋体" w:hAnsi="宋体" w:eastAsia="宋体" w:cs="宋体"/>
          <w:bCs/>
          <w:sz w:val="24"/>
          <w:szCs w:val="24"/>
        </w:rPr>
        <w:t>.控温模式: 标准控温/快速控温</w:t>
      </w:r>
    </w:p>
    <w:p w14:paraId="33B55B13">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bCs/>
          <w:sz w:val="24"/>
          <w:szCs w:val="24"/>
          <w:lang w:val="en-US" w:eastAsia="zh-CN"/>
        </w:rPr>
        <w:t>11</w:t>
      </w:r>
      <w:r>
        <w:rPr>
          <w:rFonts w:hint="eastAsia" w:ascii="宋体" w:hAnsi="宋体" w:eastAsia="宋体" w:cs="宋体"/>
          <w:bCs/>
          <w:sz w:val="24"/>
          <w:szCs w:val="24"/>
        </w:rPr>
        <w:t>.断电保护: 有断电保护功能</w:t>
      </w:r>
    </w:p>
    <w:p w14:paraId="06E60DBC">
      <w:pPr>
        <w:pStyle w:val="2"/>
        <w:ind w:left="0" w:leftChars="0" w:firstLine="0" w:firstLineChars="0"/>
        <w:rPr>
          <w:rFonts w:hint="eastAsia" w:ascii="宋体" w:hAnsi="宋体" w:eastAsia="宋体" w:cs="宋体"/>
          <w:sz w:val="24"/>
          <w:szCs w:val="24"/>
          <w:lang w:val="en-US" w:eastAsia="zh-CN"/>
        </w:rPr>
      </w:pPr>
    </w:p>
    <w:p w14:paraId="3B95EDD3">
      <w:pPr>
        <w:pStyle w:val="2"/>
        <w:ind w:left="0" w:leftChars="0" w:firstLine="0" w:firstLineChars="0"/>
        <w:rPr>
          <w:rFonts w:hint="eastAsia" w:ascii="仿宋" w:hAnsi="仿宋" w:eastAsia="仿宋" w:cs="仿宋"/>
          <w:sz w:val="28"/>
          <w:szCs w:val="28"/>
          <w:lang w:val="en-US" w:eastAsia="zh-CN"/>
        </w:rPr>
      </w:pPr>
    </w:p>
    <w:p w14:paraId="4F98D622">
      <w:pPr>
        <w:pStyle w:val="2"/>
        <w:ind w:left="0" w:leftChars="0" w:firstLine="0" w:firstLineChars="0"/>
        <w:rPr>
          <w:rFonts w:hint="eastAsia" w:ascii="仿宋" w:hAnsi="仿宋" w:eastAsia="仿宋" w:cs="仿宋"/>
          <w:sz w:val="28"/>
          <w:szCs w:val="28"/>
          <w:lang w:val="en-US" w:eastAsia="zh-CN"/>
        </w:rPr>
      </w:pPr>
    </w:p>
    <w:p w14:paraId="01F8C0EA">
      <w:pPr>
        <w:pStyle w:val="2"/>
        <w:ind w:left="0" w:leftChars="0" w:firstLine="0" w:firstLineChars="0"/>
        <w:rPr>
          <w:rFonts w:hint="eastAsia" w:ascii="仿宋" w:hAnsi="仿宋" w:eastAsia="仿宋" w:cs="仿宋"/>
          <w:sz w:val="28"/>
          <w:szCs w:val="28"/>
          <w:lang w:val="en-US" w:eastAsia="zh-CN"/>
        </w:rPr>
      </w:pPr>
    </w:p>
    <w:p w14:paraId="01EAC8DE">
      <w:pPr>
        <w:pStyle w:val="2"/>
        <w:ind w:left="0" w:leftChars="0" w:firstLine="0" w:firstLineChars="0"/>
        <w:rPr>
          <w:rFonts w:hint="eastAsia" w:ascii="仿宋" w:hAnsi="仿宋" w:eastAsia="仿宋" w:cs="仿宋"/>
          <w:sz w:val="28"/>
          <w:szCs w:val="28"/>
          <w:lang w:val="en-US" w:eastAsia="zh-CN"/>
        </w:rPr>
      </w:pPr>
    </w:p>
    <w:p w14:paraId="330E6B77">
      <w:pPr>
        <w:pStyle w:val="2"/>
        <w:ind w:left="0" w:leftChars="0" w:firstLine="0" w:firstLineChars="0"/>
        <w:rPr>
          <w:rFonts w:hint="eastAsia" w:ascii="仿宋" w:hAnsi="仿宋" w:eastAsia="仿宋" w:cs="仿宋"/>
          <w:sz w:val="28"/>
          <w:szCs w:val="28"/>
          <w:lang w:val="en-US" w:eastAsia="zh-CN"/>
        </w:rPr>
      </w:pPr>
    </w:p>
    <w:p w14:paraId="5E084C65">
      <w:pPr>
        <w:pStyle w:val="2"/>
        <w:ind w:left="0" w:leftChars="0" w:firstLine="0" w:firstLineChars="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包2：传染病检测相关仪器设备</w:t>
      </w:r>
    </w:p>
    <w:p w14:paraId="10EAD7A3">
      <w:pPr>
        <w:jc w:val="left"/>
        <w:rPr>
          <w:rFonts w:hint="eastAsia" w:ascii="宋体" w:hAnsi="宋体" w:eastAsia="宋体" w:cs="宋体"/>
          <w:b/>
          <w:bCs/>
          <w:sz w:val="21"/>
          <w:szCs w:val="21"/>
          <w:lang w:val="en-US" w:eastAsia="zh-CN"/>
        </w:rPr>
      </w:pPr>
    </w:p>
    <w:p w14:paraId="41AEF00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两虫检测自动识别系统</w:t>
      </w:r>
      <w:r>
        <w:rPr>
          <w:rFonts w:hint="eastAsia" w:ascii="宋体" w:hAnsi="宋体" w:eastAsia="宋体" w:cs="宋体"/>
          <w:b/>
          <w:bCs/>
          <w:color w:val="auto"/>
          <w:sz w:val="24"/>
          <w:szCs w:val="24"/>
          <w:lang w:val="en-US" w:eastAsia="zh-CN"/>
        </w:rPr>
        <w:t>（核心产品）</w:t>
      </w:r>
    </w:p>
    <w:p w14:paraId="4F183A0B">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1.技术规格、参数与要求</w:t>
      </w:r>
    </w:p>
    <w:p w14:paraId="06281C37">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sz w:val="24"/>
          <w:szCs w:val="24"/>
        </w:rPr>
      </w:pPr>
      <w:bookmarkStart w:id="5" w:name="_Hlk203462451"/>
      <w:r>
        <w:rPr>
          <w:rFonts w:hint="eastAsia"/>
          <w:b w:val="0"/>
          <w:color w:val="000000"/>
          <w:sz w:val="24"/>
          <w:szCs w:val="24"/>
          <w:lang w:val="en-US" w:bidi="ar-SA"/>
        </w:rPr>
        <w:t>仪器用途：主要用于生活饮用水中贾第鞭毛虫和隐孢子虫的检验检测工作。检测方法满足《生活饮用水标准检验方法微生物指标》（GB/T5750.12-2023）中的8.2滤膜浓缩/密度梯度分离荧光抗体法</w:t>
      </w:r>
      <w:bookmarkEnd w:id="5"/>
      <w:r>
        <w:rPr>
          <w:rFonts w:hint="eastAsia"/>
          <w:b w:val="0"/>
          <w:color w:val="000000"/>
          <w:sz w:val="24"/>
          <w:szCs w:val="24"/>
          <w:lang w:val="en-US" w:eastAsia="zh-CN" w:bidi="ar-SA"/>
        </w:rPr>
        <w:t>。</w:t>
      </w:r>
    </w:p>
    <w:p w14:paraId="3B693C7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2"/>
          <w:sz w:val="24"/>
          <w:szCs w:val="24"/>
          <w:lang w:val="en-US" w:eastAsia="zh-CN" w:bidi="ar-SA"/>
        </w:rPr>
      </w:pPr>
      <w:bookmarkStart w:id="6" w:name="_Hlk203462484"/>
      <w:r>
        <w:rPr>
          <w:rFonts w:hint="eastAsia" w:ascii="宋体" w:hAnsi="宋体" w:eastAsia="宋体" w:cs="宋体"/>
          <w:b/>
          <w:bCs/>
          <w:kern w:val="2"/>
          <w:sz w:val="24"/>
          <w:szCs w:val="24"/>
          <w:lang w:val="en-US" w:eastAsia="zh-CN" w:bidi="ar-SA"/>
        </w:rPr>
        <w:t>1.1全自动两虫样品富集前处理装置</w:t>
      </w:r>
    </w:p>
    <w:p w14:paraId="6A041373">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 xml:space="preserve">★1. </w:t>
      </w:r>
      <w:bookmarkStart w:id="7" w:name="_Hlk203587411"/>
      <w:r>
        <w:rPr>
          <w:rFonts w:hint="eastAsia" w:ascii="宋体" w:hAnsi="宋体" w:eastAsia="宋体" w:cs="宋体"/>
          <w:b w:val="0"/>
          <w:color w:val="000000"/>
          <w:sz w:val="24"/>
          <w:szCs w:val="24"/>
          <w:lang w:val="en-US" w:bidi="ar-SA"/>
        </w:rPr>
        <w:t>一台主机同时包含微孔滤膜过滤法和碳酸钙沉淀法双重通路，实现一机双用</w:t>
      </w:r>
      <w:bookmarkEnd w:id="7"/>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（提供实物照片</w:t>
      </w:r>
      <w:r>
        <w:rPr>
          <w:rFonts w:hint="eastAsia" w:cs="宋体"/>
          <w:b w:val="0"/>
          <w:color w:val="000000"/>
          <w:sz w:val="24"/>
          <w:szCs w:val="24"/>
          <w:lang w:val="en-US" w:eastAsia="zh-CN" w:bidi="ar-SA"/>
        </w:rPr>
        <w:t>予以佐证</w:t>
      </w:r>
      <w:r>
        <w:rPr>
          <w:rFonts w:hint="eastAsia" w:ascii="宋体" w:hAnsi="宋体" w:eastAsia="宋体" w:cs="宋体"/>
          <w:b w:val="0"/>
          <w:color w:val="000000"/>
          <w:sz w:val="24"/>
          <w:szCs w:val="24"/>
          <w:lang w:val="en-US" w:bidi="ar-SA"/>
        </w:rPr>
        <w:t>）</w:t>
      </w:r>
    </w:p>
    <w:p w14:paraId="4615AD07">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2.屏幕：≥7寸触摸屏</w:t>
      </w:r>
      <w:r>
        <w:rPr>
          <w:rFonts w:hint="eastAsia" w:ascii="宋体" w:hAnsi="宋体" w:eastAsia="宋体" w:cs="宋体"/>
          <w:b w:val="0"/>
          <w:color w:val="000000"/>
          <w:sz w:val="24"/>
          <w:szCs w:val="24"/>
          <w:lang w:val="en-US" w:eastAsia="zh-CN" w:bidi="ar-SA"/>
        </w:rPr>
        <w:t>；</w:t>
      </w:r>
    </w:p>
    <w:p w14:paraId="73C2AF43">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bookmarkStart w:id="8" w:name="OLE_LINK133"/>
      <w:bookmarkStart w:id="9" w:name="OLE_LINK132"/>
      <w:r>
        <w:rPr>
          <w:rFonts w:hint="eastAsia" w:ascii="宋体" w:hAnsi="宋体" w:eastAsia="宋体" w:cs="宋体"/>
          <w:b w:val="0"/>
          <w:color w:val="000000"/>
          <w:sz w:val="24"/>
          <w:szCs w:val="24"/>
          <w:lang w:val="en-US" w:bidi="ar-SA"/>
        </w:rPr>
        <w:t>▲3.使用滤膜法，</w:t>
      </w:r>
      <w:bookmarkEnd w:id="8"/>
      <w:bookmarkEnd w:id="9"/>
      <w:r>
        <w:rPr>
          <w:rFonts w:hint="eastAsia" w:ascii="宋体" w:hAnsi="宋体" w:eastAsia="宋体" w:cs="宋体"/>
          <w:b w:val="0"/>
          <w:color w:val="000000"/>
          <w:sz w:val="24"/>
          <w:szCs w:val="24"/>
          <w:lang w:val="en-US" w:bidi="ar-SA"/>
        </w:rPr>
        <w:t>支持用户自行设置处理样品体积，到达设定阈值后，设备实时提醒并自动停止</w:t>
      </w:r>
      <w:r>
        <w:rPr>
          <w:rFonts w:hint="eastAsia" w:ascii="宋体" w:hAnsi="宋体" w:eastAsia="宋体" w:cs="宋体"/>
          <w:b w:val="0"/>
          <w:color w:val="000000"/>
          <w:sz w:val="24"/>
          <w:szCs w:val="24"/>
          <w:lang w:val="en-US" w:eastAsia="zh-CN" w:bidi="ar-SA"/>
        </w:rPr>
        <w:t>；</w:t>
      </w:r>
    </w:p>
    <w:p w14:paraId="1086FF10">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▲4.过滤器圆盘采用316L不锈钢，T型螺母固定，适用各种压力环境，无需泄压</w:t>
      </w:r>
      <w:r>
        <w:rPr>
          <w:rFonts w:hint="eastAsia" w:ascii="宋体" w:hAnsi="宋体" w:eastAsia="宋体" w:cs="宋体"/>
          <w:b w:val="0"/>
          <w:color w:val="000000"/>
          <w:sz w:val="24"/>
          <w:szCs w:val="24"/>
          <w:lang w:val="en-US" w:eastAsia="zh-CN" w:bidi="ar-SA"/>
        </w:rPr>
        <w:t>；</w:t>
      </w:r>
    </w:p>
    <w:p w14:paraId="12B1A568">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5.滤膜法样品处理量设置范围：0-9999L</w:t>
      </w:r>
      <w:r>
        <w:rPr>
          <w:rFonts w:hint="eastAsia" w:ascii="宋体" w:hAnsi="宋体" w:eastAsia="宋体" w:cs="宋体"/>
          <w:b w:val="0"/>
          <w:color w:val="000000"/>
          <w:sz w:val="24"/>
          <w:szCs w:val="24"/>
          <w:lang w:val="en-US" w:eastAsia="zh-CN" w:bidi="ar-SA"/>
        </w:rPr>
        <w:t>；</w:t>
      </w:r>
    </w:p>
    <w:p w14:paraId="29302355">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6.滤膜法样品流速范围：0-2 L/min，流量可设定</w:t>
      </w:r>
      <w:r>
        <w:rPr>
          <w:rFonts w:hint="eastAsia" w:ascii="宋体" w:hAnsi="宋体" w:eastAsia="宋体" w:cs="宋体"/>
          <w:b w:val="0"/>
          <w:color w:val="000000"/>
          <w:sz w:val="24"/>
          <w:szCs w:val="24"/>
          <w:lang w:val="en-US" w:eastAsia="zh-CN" w:bidi="ar-SA"/>
        </w:rPr>
        <w:t>；</w:t>
      </w:r>
    </w:p>
    <w:p w14:paraId="35E42F79">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7.设备支持过滤法和沉淀法同时处理水样</w:t>
      </w:r>
      <w:r>
        <w:rPr>
          <w:rFonts w:hint="eastAsia" w:ascii="宋体" w:hAnsi="宋体" w:eastAsia="宋体" w:cs="宋体"/>
          <w:b w:val="0"/>
          <w:color w:val="000000"/>
          <w:sz w:val="24"/>
          <w:szCs w:val="24"/>
          <w:lang w:val="en-US" w:eastAsia="zh-CN" w:bidi="ar-SA"/>
        </w:rPr>
        <w:t>；</w:t>
      </w:r>
    </w:p>
    <w:p w14:paraId="58350195">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8.沉淀法一个样品处理时间（除静置时间）≤15min</w:t>
      </w:r>
      <w:r>
        <w:rPr>
          <w:rFonts w:hint="eastAsia" w:ascii="宋体" w:hAnsi="宋体" w:eastAsia="宋体" w:cs="宋体"/>
          <w:b w:val="0"/>
          <w:color w:val="000000"/>
          <w:sz w:val="24"/>
          <w:szCs w:val="24"/>
          <w:lang w:val="en-US" w:eastAsia="zh-CN" w:bidi="ar-SA"/>
        </w:rPr>
        <w:t>；</w:t>
      </w:r>
    </w:p>
    <w:p w14:paraId="3DAA56C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9.传感器量程：压力0-1.6MPa；pH传感器0-14</w:t>
      </w:r>
      <w:r>
        <w:rPr>
          <w:rFonts w:hint="eastAsia" w:ascii="宋体" w:hAnsi="宋体" w:eastAsia="宋体" w:cs="宋体"/>
          <w:b w:val="0"/>
          <w:color w:val="000000"/>
          <w:sz w:val="24"/>
          <w:szCs w:val="24"/>
          <w:lang w:val="en-US" w:eastAsia="zh-CN" w:bidi="ar-SA"/>
        </w:rPr>
        <w:t>；</w:t>
      </w:r>
    </w:p>
    <w:p w14:paraId="566E0892">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10.使用沉淀法，设备自动富集样品，自动加药，内置磁力搅拌器，自动搅拌</w:t>
      </w:r>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内置蠕动泵，自动去除上清液，自动清洗流路，无需人员现场值守</w:t>
      </w:r>
      <w:r>
        <w:rPr>
          <w:rFonts w:hint="eastAsia" w:ascii="宋体" w:hAnsi="宋体" w:eastAsia="宋体" w:cs="宋体"/>
          <w:b w:val="0"/>
          <w:color w:val="000000"/>
          <w:sz w:val="24"/>
          <w:szCs w:val="24"/>
          <w:lang w:val="en-US" w:eastAsia="zh-CN" w:bidi="ar-SA"/>
        </w:rPr>
        <w:t>；</w:t>
      </w:r>
    </w:p>
    <w:p w14:paraId="52A93B65">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1</w:t>
      </w:r>
      <w:r>
        <w:rPr>
          <w:rFonts w:hint="eastAsia" w:ascii="宋体" w:hAnsi="宋体" w:eastAsia="宋体" w:cs="宋体"/>
          <w:b w:val="0"/>
          <w:color w:val="000000"/>
          <w:sz w:val="24"/>
          <w:szCs w:val="24"/>
          <w:lang w:val="en-US" w:bidi="ar-SA"/>
        </w:rPr>
        <w:t>.贾第鞭毛虫综合回收率≥30%，需提供省级及以上国家法定计量检定机构出具的测试报告的复印件</w:t>
      </w:r>
      <w:r>
        <w:rPr>
          <w:rFonts w:hint="eastAsia" w:ascii="宋体" w:hAnsi="宋体" w:eastAsia="宋体" w:cs="宋体"/>
          <w:b w:val="0"/>
          <w:color w:val="000000"/>
          <w:sz w:val="24"/>
          <w:szCs w:val="24"/>
          <w:lang w:val="en-US" w:eastAsia="zh-CN" w:bidi="ar-SA"/>
        </w:rPr>
        <w:t>；</w:t>
      </w:r>
    </w:p>
    <w:p w14:paraId="177774F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cs="宋体"/>
          <w:b w:val="0"/>
          <w:color w:val="000000"/>
          <w:sz w:val="24"/>
          <w:szCs w:val="24"/>
          <w:lang w:val="en-US" w:eastAsia="zh-CN" w:bidi="ar-SA"/>
        </w:rPr>
        <w:t>2</w:t>
      </w:r>
      <w:r>
        <w:rPr>
          <w:rFonts w:hint="eastAsia" w:ascii="宋体" w:hAnsi="宋体" w:eastAsia="宋体" w:cs="宋体"/>
          <w:b w:val="0"/>
          <w:color w:val="000000"/>
          <w:sz w:val="24"/>
          <w:szCs w:val="24"/>
          <w:lang w:val="en-US" w:bidi="ar-SA"/>
        </w:rPr>
        <w:t>.隐孢子虫综合回收率≥30%，需提供省级及以上国家法定计量检定机构出具的测试报告的复印件</w:t>
      </w:r>
      <w:r>
        <w:rPr>
          <w:rFonts w:hint="eastAsia" w:cs="宋体"/>
          <w:b w:val="0"/>
          <w:color w:val="000000"/>
          <w:sz w:val="24"/>
          <w:szCs w:val="24"/>
          <w:lang w:val="en-US" w:eastAsia="zh-CN" w:bidi="ar-SA"/>
        </w:rPr>
        <w:t>。</w:t>
      </w:r>
    </w:p>
    <w:p w14:paraId="1AA1276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1.2两虫自动识别系统（人工智能）</w:t>
      </w:r>
    </w:p>
    <w:p w14:paraId="35DC4417">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w:t>
      </w:r>
      <w:r>
        <w:rPr>
          <w:rFonts w:hint="eastAsia" w:ascii="宋体" w:hAnsi="宋体" w:eastAsia="宋体" w:cs="宋体"/>
          <w:b w:val="0"/>
          <w:color w:val="000000"/>
          <w:sz w:val="24"/>
          <w:szCs w:val="24"/>
          <w:lang w:val="en-US" w:bidi="ar-SA"/>
        </w:rPr>
        <w:t>光学系统：无限远光学系统，齐焦距离≥60mm，在呈现高对比度及最小杂光的清晰图像的同时，使得工作距离更长。配备明场、荧光、微分干涉观察方法</w:t>
      </w:r>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具备FITC、DAPI、DIC三种光源观察方式</w:t>
      </w:r>
      <w:r>
        <w:rPr>
          <w:rFonts w:hint="eastAsia" w:ascii="宋体" w:hAnsi="宋体" w:eastAsia="宋体" w:cs="宋体"/>
          <w:b w:val="0"/>
          <w:color w:val="000000"/>
          <w:sz w:val="24"/>
          <w:szCs w:val="24"/>
          <w:lang w:val="en-US" w:eastAsia="zh-CN" w:bidi="ar-SA"/>
        </w:rPr>
        <w:t>；</w:t>
      </w:r>
    </w:p>
    <w:p w14:paraId="2E34A241">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2</w:t>
      </w:r>
      <w:r>
        <w:rPr>
          <w:rFonts w:hint="eastAsia" w:ascii="宋体" w:hAnsi="宋体" w:eastAsia="宋体" w:cs="宋体"/>
          <w:b w:val="0"/>
          <w:color w:val="000000"/>
          <w:sz w:val="24"/>
          <w:szCs w:val="24"/>
          <w:lang w:val="en-US" w:bidi="ar-SA"/>
        </w:rPr>
        <w:t>. 显微镜系统需具备DIC转盘万能聚光镜及模块、电动移动载物台、电动转换器、触摸屏控制器、图像传感器，操作平台配备摇杆手柄</w:t>
      </w:r>
      <w:r>
        <w:rPr>
          <w:rFonts w:hint="eastAsia" w:ascii="宋体" w:hAnsi="宋体" w:eastAsia="宋体" w:cs="宋体"/>
          <w:b w:val="0"/>
          <w:color w:val="000000"/>
          <w:sz w:val="24"/>
          <w:szCs w:val="24"/>
          <w:lang w:val="en-US" w:eastAsia="zh-CN" w:bidi="ar-SA"/>
        </w:rPr>
        <w:t>；</w:t>
      </w:r>
    </w:p>
    <w:p w14:paraId="204FF53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w:t>
      </w:r>
      <w:r>
        <w:rPr>
          <w:rFonts w:hint="eastAsia" w:ascii="宋体" w:hAnsi="宋体" w:eastAsia="宋体" w:cs="宋体"/>
          <w:b w:val="0"/>
          <w:color w:val="000000"/>
          <w:sz w:val="24"/>
          <w:szCs w:val="24"/>
          <w:lang w:val="en-US" w:eastAsia="zh-CN" w:bidi="ar-SA"/>
        </w:rPr>
        <w:t>3</w:t>
      </w:r>
      <w:r>
        <w:rPr>
          <w:rFonts w:hint="eastAsia" w:ascii="宋体" w:hAnsi="宋体" w:eastAsia="宋体" w:cs="宋体"/>
          <w:b w:val="0"/>
          <w:color w:val="000000"/>
          <w:sz w:val="24"/>
          <w:szCs w:val="24"/>
          <w:lang w:val="en-US" w:bidi="ar-SA"/>
        </w:rPr>
        <w:t>. 电动载物台可同时放置四张载玻片（必须提供实物照片）</w:t>
      </w:r>
      <w:r>
        <w:rPr>
          <w:rFonts w:hint="eastAsia" w:ascii="宋体" w:hAnsi="宋体" w:eastAsia="宋体" w:cs="宋体"/>
          <w:b w:val="0"/>
          <w:color w:val="000000"/>
          <w:sz w:val="24"/>
          <w:szCs w:val="24"/>
          <w:lang w:val="en-US" w:eastAsia="zh-CN" w:bidi="ar-SA"/>
        </w:rPr>
        <w:t>；</w:t>
      </w:r>
    </w:p>
    <w:p w14:paraId="53BE9AE1">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4</w:t>
      </w:r>
      <w:r>
        <w:rPr>
          <w:rFonts w:hint="eastAsia" w:ascii="宋体" w:hAnsi="宋体" w:eastAsia="宋体" w:cs="宋体"/>
          <w:b w:val="0"/>
          <w:color w:val="000000"/>
          <w:sz w:val="24"/>
          <w:szCs w:val="24"/>
          <w:lang w:val="en-US" w:bidi="ar-SA"/>
        </w:rPr>
        <w:t>. 调焦系统：低手位同轴调焦机构（带上限位及松紧调节环），符合人机工程学设计；调焦范围</w:t>
      </w:r>
      <w:r>
        <w:rPr>
          <w:rFonts w:hint="eastAsia" w:cs="宋体"/>
          <w:b w:val="0"/>
          <w:color w:val="000000"/>
          <w:sz w:val="24"/>
          <w:szCs w:val="24"/>
          <w:lang w:val="en-US" w:eastAsia="zh-CN" w:bidi="ar-SA"/>
        </w:rPr>
        <w:t>≤</w:t>
      </w:r>
      <w:r>
        <w:rPr>
          <w:rFonts w:hint="eastAsia" w:ascii="宋体" w:hAnsi="宋体" w:eastAsia="宋体" w:cs="宋体"/>
          <w:b w:val="0"/>
          <w:color w:val="000000"/>
          <w:sz w:val="24"/>
          <w:szCs w:val="24"/>
          <w:lang w:val="en-US" w:bidi="ar-SA"/>
        </w:rPr>
        <w:t>35mm，微调格值</w:t>
      </w:r>
      <w:r>
        <w:rPr>
          <w:rFonts w:hint="eastAsia" w:cs="宋体"/>
          <w:b w:val="0"/>
          <w:color w:val="000000"/>
          <w:sz w:val="24"/>
          <w:szCs w:val="24"/>
          <w:lang w:val="en-US" w:eastAsia="zh-CN" w:bidi="ar-SA"/>
        </w:rPr>
        <w:t>≤</w:t>
      </w:r>
      <w:r>
        <w:rPr>
          <w:rFonts w:hint="eastAsia" w:ascii="宋体" w:hAnsi="宋体" w:eastAsia="宋体" w:cs="宋体"/>
          <w:b w:val="0"/>
          <w:color w:val="000000"/>
          <w:sz w:val="24"/>
          <w:szCs w:val="24"/>
          <w:lang w:val="en-US" w:bidi="ar-SA"/>
        </w:rPr>
        <w:t>1μm</w:t>
      </w:r>
      <w:r>
        <w:rPr>
          <w:rFonts w:hint="eastAsia" w:ascii="宋体" w:hAnsi="宋体" w:eastAsia="宋体" w:cs="宋体"/>
          <w:b w:val="0"/>
          <w:color w:val="000000"/>
          <w:sz w:val="24"/>
          <w:szCs w:val="24"/>
          <w:lang w:val="en-US" w:eastAsia="zh-CN" w:bidi="ar-SA"/>
        </w:rPr>
        <w:t>；</w:t>
      </w:r>
    </w:p>
    <w:p w14:paraId="7AA2C469">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5</w:t>
      </w:r>
      <w:r>
        <w:rPr>
          <w:rFonts w:hint="eastAsia" w:ascii="宋体" w:hAnsi="宋体" w:eastAsia="宋体" w:cs="宋体"/>
          <w:b w:val="0"/>
          <w:color w:val="000000"/>
          <w:sz w:val="24"/>
          <w:szCs w:val="24"/>
          <w:lang w:val="en-US" w:bidi="ar-SA"/>
        </w:rPr>
        <w:t>. 显微镜运动控制程序：定义扫描区域，控制电动载物台三轴运动，切换物镜，控制相机拍照，记录目标物坐标和镜头信息，能自动还原记录状态辅助人工复核</w:t>
      </w:r>
      <w:r>
        <w:rPr>
          <w:rFonts w:hint="eastAsia" w:ascii="宋体" w:hAnsi="宋体" w:eastAsia="宋体" w:cs="宋体"/>
          <w:b w:val="0"/>
          <w:color w:val="000000"/>
          <w:sz w:val="24"/>
          <w:szCs w:val="24"/>
          <w:lang w:val="en-US" w:eastAsia="zh-CN" w:bidi="ar-SA"/>
        </w:rPr>
        <w:t>；</w:t>
      </w:r>
    </w:p>
    <w:p w14:paraId="7F2F60D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6</w:t>
      </w:r>
      <w:r>
        <w:rPr>
          <w:rFonts w:hint="eastAsia" w:ascii="宋体" w:hAnsi="宋体" w:eastAsia="宋体" w:cs="宋体"/>
          <w:b w:val="0"/>
          <w:color w:val="000000"/>
          <w:sz w:val="24"/>
          <w:szCs w:val="24"/>
          <w:lang w:val="en-US" w:bidi="ar-SA"/>
        </w:rPr>
        <w:t>.终端实时显示扫描进程，包括扫描视野范围和对焦次数，可根据需求自定义控制扫描启停</w:t>
      </w:r>
      <w:r>
        <w:rPr>
          <w:rFonts w:hint="eastAsia" w:ascii="宋体" w:hAnsi="宋体" w:eastAsia="宋体" w:cs="宋体"/>
          <w:b w:val="0"/>
          <w:color w:val="000000"/>
          <w:sz w:val="24"/>
          <w:szCs w:val="24"/>
          <w:lang w:val="en-US" w:eastAsia="zh-CN" w:bidi="ar-SA"/>
        </w:rPr>
        <w:t>；</w:t>
      </w:r>
    </w:p>
    <w:p w14:paraId="1C4E9B5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7</w:t>
      </w:r>
      <w:r>
        <w:rPr>
          <w:rFonts w:hint="eastAsia" w:ascii="宋体" w:hAnsi="宋体" w:eastAsia="宋体" w:cs="宋体"/>
          <w:b w:val="0"/>
          <w:color w:val="000000"/>
          <w:sz w:val="24"/>
          <w:szCs w:val="24"/>
          <w:lang w:val="en-US" w:bidi="ar-SA"/>
        </w:rPr>
        <w:t>. 两虫图像识别系统：采用嵌套循环逐像素扫描识别图片，采用DBSCAN聚类技术实现两虫标记，基于大数据利用积卷神经网络技术识别两虫类别</w:t>
      </w:r>
      <w:r>
        <w:rPr>
          <w:rFonts w:hint="eastAsia" w:ascii="宋体" w:hAnsi="宋体" w:eastAsia="宋体" w:cs="宋体"/>
          <w:b w:val="0"/>
          <w:color w:val="000000"/>
          <w:sz w:val="24"/>
          <w:szCs w:val="24"/>
          <w:lang w:val="en-US" w:eastAsia="zh-CN" w:bidi="ar-SA"/>
        </w:rPr>
        <w:t>；</w:t>
      </w:r>
    </w:p>
    <w:p w14:paraId="3603FF07">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8</w:t>
      </w:r>
      <w:r>
        <w:rPr>
          <w:rFonts w:hint="eastAsia" w:ascii="宋体" w:hAnsi="宋体" w:eastAsia="宋体" w:cs="宋体"/>
          <w:b w:val="0"/>
          <w:color w:val="000000"/>
          <w:sz w:val="24"/>
          <w:szCs w:val="24"/>
          <w:lang w:val="en-US" w:bidi="ar-SA"/>
        </w:rPr>
        <w:t>. 识别率超过80%</w:t>
      </w:r>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放大倍数10X-1000X</w:t>
      </w:r>
      <w:r>
        <w:rPr>
          <w:rFonts w:hint="eastAsia" w:ascii="宋体" w:hAnsi="宋体" w:eastAsia="宋体" w:cs="宋体"/>
          <w:b w:val="0"/>
          <w:color w:val="000000"/>
          <w:sz w:val="24"/>
          <w:szCs w:val="24"/>
          <w:lang w:val="en-US" w:eastAsia="zh-CN" w:bidi="ar-SA"/>
        </w:rPr>
        <w:t>；</w:t>
      </w:r>
    </w:p>
    <w:p w14:paraId="3BDB2256">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9</w:t>
      </w:r>
      <w:r>
        <w:rPr>
          <w:rFonts w:hint="eastAsia" w:ascii="宋体" w:hAnsi="宋体" w:eastAsia="宋体" w:cs="宋体"/>
          <w:b w:val="0"/>
          <w:color w:val="000000"/>
          <w:sz w:val="24"/>
          <w:szCs w:val="24"/>
          <w:lang w:val="en-US" w:bidi="ar-SA"/>
        </w:rPr>
        <w:t>.扫描过程中支持对同一个视野进行多次对焦操作，对焦次数可调</w:t>
      </w:r>
      <w:r>
        <w:rPr>
          <w:rFonts w:hint="eastAsia" w:ascii="宋体" w:hAnsi="宋体" w:eastAsia="宋体" w:cs="宋体"/>
          <w:b w:val="0"/>
          <w:color w:val="000000"/>
          <w:sz w:val="24"/>
          <w:szCs w:val="24"/>
          <w:lang w:val="en-US" w:eastAsia="zh-CN" w:bidi="ar-SA"/>
        </w:rPr>
        <w:t>；</w:t>
      </w:r>
    </w:p>
    <w:p w14:paraId="50AF87F2">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0</w:t>
      </w:r>
      <w:r>
        <w:rPr>
          <w:rFonts w:hint="eastAsia" w:ascii="宋体" w:hAnsi="宋体" w:eastAsia="宋体" w:cs="宋体"/>
          <w:b w:val="0"/>
          <w:color w:val="000000"/>
          <w:sz w:val="24"/>
          <w:szCs w:val="24"/>
          <w:lang w:val="en-US" w:bidi="ar-SA"/>
        </w:rPr>
        <w:t>.内置先进的对焦清晰度评价算法，对多次对焦获取的图像进行分析对比，每个视野自动选取最清晰的一张图像作为输出结果</w:t>
      </w:r>
      <w:r>
        <w:rPr>
          <w:rFonts w:hint="eastAsia" w:ascii="宋体" w:hAnsi="宋体" w:eastAsia="宋体" w:cs="宋体"/>
          <w:b w:val="0"/>
          <w:color w:val="000000"/>
          <w:sz w:val="24"/>
          <w:szCs w:val="24"/>
          <w:lang w:val="en-US" w:eastAsia="zh-CN" w:bidi="ar-SA"/>
        </w:rPr>
        <w:t>；</w:t>
      </w:r>
    </w:p>
    <w:p w14:paraId="36AC18FF">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1</w:t>
      </w:r>
      <w:r>
        <w:rPr>
          <w:rFonts w:hint="eastAsia" w:ascii="宋体" w:hAnsi="宋体" w:eastAsia="宋体" w:cs="宋体"/>
          <w:b w:val="0"/>
          <w:color w:val="000000"/>
          <w:sz w:val="24"/>
          <w:szCs w:val="24"/>
          <w:lang w:val="en-US" w:bidi="ar-SA"/>
        </w:rPr>
        <w:t>. 发现两虫存在，系统自动拍照并记录坐标并进行数据库存档，自动出具检测结果</w:t>
      </w:r>
      <w:r>
        <w:rPr>
          <w:rFonts w:hint="eastAsia" w:ascii="宋体" w:hAnsi="宋体" w:eastAsia="宋体" w:cs="宋体"/>
          <w:b w:val="0"/>
          <w:color w:val="000000"/>
          <w:sz w:val="24"/>
          <w:szCs w:val="24"/>
          <w:lang w:val="en-US" w:eastAsia="zh-CN" w:bidi="ar-SA"/>
        </w:rPr>
        <w:t>；</w:t>
      </w:r>
    </w:p>
    <w:p w14:paraId="3E77CB4B">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12.</w:t>
      </w:r>
      <w:r>
        <w:rPr>
          <w:rFonts w:hint="eastAsia" w:ascii="宋体" w:hAnsi="宋体" w:eastAsia="宋体" w:cs="宋体"/>
          <w:b w:val="0"/>
          <w:color w:val="000000"/>
          <w:sz w:val="24"/>
          <w:szCs w:val="24"/>
          <w:lang w:val="en-US" w:bidi="ar-SA"/>
        </w:rPr>
        <w:t xml:space="preserve"> 支持人工验证，点击系统发现两虫坐标点，显微镜自动移动到该坐标点并自动配置观察倍数和观察模式</w:t>
      </w:r>
      <w:r>
        <w:rPr>
          <w:rFonts w:hint="eastAsia" w:ascii="宋体" w:hAnsi="宋体" w:eastAsia="宋体" w:cs="宋体"/>
          <w:b w:val="0"/>
          <w:color w:val="000000"/>
          <w:sz w:val="24"/>
          <w:szCs w:val="24"/>
          <w:lang w:val="en-US" w:eastAsia="zh-CN" w:bidi="ar-SA"/>
        </w:rPr>
        <w:t>；</w:t>
      </w:r>
    </w:p>
    <w:p w14:paraId="11E340BC">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3</w:t>
      </w:r>
      <w:r>
        <w:rPr>
          <w:rFonts w:hint="eastAsia" w:ascii="宋体" w:hAnsi="宋体" w:eastAsia="宋体" w:cs="宋体"/>
          <w:b w:val="0"/>
          <w:color w:val="000000"/>
          <w:sz w:val="24"/>
          <w:szCs w:val="24"/>
          <w:lang w:val="en-US" w:bidi="ar-SA"/>
        </w:rPr>
        <w:t>.支持将处理后的结果，包括图像、坐标等，导出为 Excel 表格格式</w:t>
      </w:r>
      <w:r>
        <w:rPr>
          <w:rFonts w:hint="eastAsia" w:ascii="宋体" w:hAnsi="宋体" w:eastAsia="宋体" w:cs="宋体"/>
          <w:b w:val="0"/>
          <w:color w:val="000000"/>
          <w:sz w:val="24"/>
          <w:szCs w:val="24"/>
          <w:lang w:val="en-US" w:eastAsia="zh-CN" w:bidi="ar-SA"/>
        </w:rPr>
        <w:t>；</w:t>
      </w:r>
    </w:p>
    <w:p w14:paraId="58CD34E2">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4</w:t>
      </w:r>
      <w:r>
        <w:rPr>
          <w:rFonts w:hint="eastAsia" w:ascii="宋体" w:hAnsi="宋体" w:eastAsia="宋体" w:cs="宋体"/>
          <w:b w:val="0"/>
          <w:color w:val="000000"/>
          <w:sz w:val="24"/>
          <w:szCs w:val="24"/>
          <w:lang w:val="en-US" w:bidi="ar-SA"/>
        </w:rPr>
        <w:t>.观察护目屏：具备防紫外挡板</w:t>
      </w:r>
      <w:r>
        <w:rPr>
          <w:rFonts w:hint="eastAsia" w:ascii="宋体" w:hAnsi="宋体" w:eastAsia="宋体" w:cs="宋体"/>
          <w:b w:val="0"/>
          <w:color w:val="000000"/>
          <w:sz w:val="24"/>
          <w:szCs w:val="24"/>
          <w:lang w:val="en-US" w:eastAsia="zh-CN" w:bidi="ar-SA"/>
        </w:rPr>
        <w:t>；</w:t>
      </w:r>
    </w:p>
    <w:p w14:paraId="6DA66E3F">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5</w:t>
      </w:r>
      <w:r>
        <w:rPr>
          <w:rFonts w:hint="eastAsia" w:ascii="宋体" w:hAnsi="宋体" w:eastAsia="宋体" w:cs="宋体"/>
          <w:b w:val="0"/>
          <w:color w:val="000000"/>
          <w:sz w:val="24"/>
          <w:szCs w:val="24"/>
          <w:lang w:val="en-US" w:bidi="ar-SA"/>
        </w:rPr>
        <w:t>. ECO照明系统：220VAC，亮度可调；内置透射光滤色镜（LBD、ND6、ND25），内置抽拉式设计，避免灰尘进入；具备人走灯灭功能</w:t>
      </w:r>
      <w:r>
        <w:rPr>
          <w:rFonts w:hint="eastAsia" w:ascii="宋体" w:hAnsi="宋体" w:eastAsia="宋体" w:cs="宋体"/>
          <w:b w:val="0"/>
          <w:color w:val="000000"/>
          <w:sz w:val="24"/>
          <w:szCs w:val="24"/>
          <w:lang w:val="en-US" w:eastAsia="zh-CN" w:bidi="ar-SA"/>
        </w:rPr>
        <w:t>；</w:t>
      </w:r>
    </w:p>
    <w:p w14:paraId="3B005D7B">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6</w:t>
      </w:r>
      <w:r>
        <w:rPr>
          <w:rFonts w:hint="eastAsia" w:ascii="宋体" w:hAnsi="宋体" w:eastAsia="宋体" w:cs="宋体"/>
          <w:b w:val="0"/>
          <w:color w:val="000000"/>
          <w:sz w:val="24"/>
          <w:szCs w:val="24"/>
          <w:lang w:val="en-US" w:bidi="ar-SA"/>
        </w:rPr>
        <w:t>. 荧光光源：LED光源</w:t>
      </w:r>
      <w:r>
        <w:rPr>
          <w:rFonts w:hint="eastAsia" w:ascii="宋体" w:hAnsi="宋体" w:eastAsia="宋体" w:cs="宋体"/>
          <w:b w:val="0"/>
          <w:color w:val="000000"/>
          <w:sz w:val="24"/>
          <w:szCs w:val="24"/>
          <w:lang w:val="en-US" w:eastAsia="zh-CN" w:bidi="ar-SA"/>
        </w:rPr>
        <w:t>；</w:t>
      </w:r>
    </w:p>
    <w:p w14:paraId="7AD953F1">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17</w:t>
      </w:r>
      <w:r>
        <w:rPr>
          <w:rFonts w:hint="eastAsia" w:ascii="宋体" w:hAnsi="宋体" w:eastAsia="宋体" w:cs="宋体"/>
          <w:b w:val="0"/>
          <w:color w:val="000000"/>
          <w:sz w:val="24"/>
          <w:szCs w:val="24"/>
          <w:lang w:val="en-US" w:bidi="ar-SA"/>
        </w:rPr>
        <w:t>. 显微镜逐行扫描，可扩展暗视野、相差、偏光光观察，可扩展多人共览装置</w:t>
      </w:r>
      <w:r>
        <w:rPr>
          <w:rFonts w:hint="eastAsia" w:ascii="宋体" w:hAnsi="宋体" w:eastAsia="宋体" w:cs="宋体"/>
          <w:b w:val="0"/>
          <w:color w:val="000000"/>
          <w:sz w:val="24"/>
          <w:szCs w:val="24"/>
          <w:lang w:val="en-US" w:eastAsia="zh-CN" w:bidi="ar-SA"/>
        </w:rPr>
        <w:t>；</w:t>
      </w:r>
    </w:p>
    <w:p w14:paraId="309B4EE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18</w:t>
      </w:r>
      <w:r>
        <w:rPr>
          <w:rFonts w:hint="eastAsia" w:ascii="宋体" w:hAnsi="宋体" w:eastAsia="宋体" w:cs="宋体"/>
          <w:b w:val="0"/>
          <w:color w:val="000000"/>
          <w:sz w:val="24"/>
          <w:szCs w:val="24"/>
          <w:lang w:val="en-US" w:bidi="ar-SA"/>
        </w:rPr>
        <w:t>. 图像拼接：全景图像拼接X-Y（非常适合大标本的全景拍摄）及实时景深扩展</w:t>
      </w:r>
      <w:r>
        <w:rPr>
          <w:rFonts w:hint="eastAsia" w:ascii="宋体" w:hAnsi="宋体" w:eastAsia="宋体" w:cs="宋体"/>
          <w:b w:val="0"/>
          <w:color w:val="000000"/>
          <w:sz w:val="24"/>
          <w:szCs w:val="24"/>
          <w:lang w:val="en-US" w:eastAsia="zh-CN" w:bidi="ar-SA"/>
        </w:rPr>
        <w:t>；</w:t>
      </w:r>
    </w:p>
    <w:p w14:paraId="57D89248">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ascii="Times New Roman" w:hAnsi="Times New Roman" w:eastAsia="宋体" w:cs="Times New Roman"/>
          <w:color w:val="000000"/>
          <w:sz w:val="24"/>
          <w:szCs w:val="24"/>
        </w:rPr>
      </w:pPr>
      <w:r>
        <w:rPr>
          <w:rFonts w:hint="eastAsia" w:ascii="宋体" w:hAnsi="宋体" w:eastAsia="宋体" w:cs="宋体"/>
          <w:b w:val="0"/>
          <w:color w:val="000000"/>
          <w:sz w:val="24"/>
          <w:szCs w:val="24"/>
          <w:lang w:val="en-US" w:bidi="ar-SA"/>
        </w:rPr>
        <w:t>24. 3D成像功能</w:t>
      </w:r>
      <w:r>
        <w:rPr>
          <w:rFonts w:hint="eastAsia" w:ascii="宋体" w:hAnsi="宋体" w:eastAsia="宋体" w:cs="宋体"/>
          <w:b w:val="0"/>
          <w:color w:val="000000"/>
          <w:sz w:val="24"/>
          <w:szCs w:val="24"/>
          <w:lang w:val="en-US" w:eastAsia="zh-CN" w:bidi="ar-SA"/>
        </w:rPr>
        <w:t>；</w:t>
      </w:r>
    </w:p>
    <w:p w14:paraId="2DFB936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2、配置清单</w:t>
      </w:r>
    </w:p>
    <w:tbl>
      <w:tblPr>
        <w:tblStyle w:val="17"/>
        <w:tblpPr w:leftFromText="180" w:rightFromText="180" w:vertAnchor="text" w:tblpX="106" w:tblpY="159"/>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5035"/>
        <w:gridCol w:w="1256"/>
        <w:gridCol w:w="1569"/>
      </w:tblGrid>
      <w:tr w14:paraId="12AE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924" w:type="dxa"/>
            <w:noWrap w:val="0"/>
            <w:vAlign w:val="top"/>
          </w:tcPr>
          <w:p w14:paraId="4717246D">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序号</w:t>
            </w:r>
          </w:p>
        </w:tc>
        <w:tc>
          <w:tcPr>
            <w:tcW w:w="5035" w:type="dxa"/>
            <w:noWrap w:val="0"/>
            <w:vAlign w:val="top"/>
          </w:tcPr>
          <w:p w14:paraId="0DAF5AA9">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设备名称</w:t>
            </w:r>
          </w:p>
        </w:tc>
        <w:tc>
          <w:tcPr>
            <w:tcW w:w="1256" w:type="dxa"/>
            <w:noWrap w:val="0"/>
            <w:vAlign w:val="top"/>
          </w:tcPr>
          <w:p w14:paraId="47805207">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数量</w:t>
            </w:r>
          </w:p>
        </w:tc>
        <w:tc>
          <w:tcPr>
            <w:tcW w:w="1569" w:type="dxa"/>
            <w:noWrap w:val="0"/>
            <w:vAlign w:val="top"/>
          </w:tcPr>
          <w:p w14:paraId="157800B2">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单位</w:t>
            </w:r>
          </w:p>
        </w:tc>
      </w:tr>
      <w:tr w14:paraId="47C1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78440BFB">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5035" w:type="dxa"/>
            <w:noWrap w:val="0"/>
            <w:vAlign w:val="center"/>
          </w:tcPr>
          <w:p w14:paraId="4BA1785D">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全自动两虫样品富集前处理装置</w:t>
            </w:r>
          </w:p>
        </w:tc>
        <w:tc>
          <w:tcPr>
            <w:tcW w:w="1256" w:type="dxa"/>
            <w:noWrap w:val="0"/>
            <w:vAlign w:val="center"/>
          </w:tcPr>
          <w:p w14:paraId="7D6FC26D">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0D318FA0">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15C8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66322F7C">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w:t>
            </w:r>
          </w:p>
        </w:tc>
        <w:tc>
          <w:tcPr>
            <w:tcW w:w="5035" w:type="dxa"/>
            <w:noWrap w:val="0"/>
            <w:vAlign w:val="center"/>
          </w:tcPr>
          <w:p w14:paraId="0364A5B2">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两虫人工智能识别系统</w:t>
            </w:r>
          </w:p>
        </w:tc>
        <w:tc>
          <w:tcPr>
            <w:tcW w:w="1256" w:type="dxa"/>
            <w:noWrap w:val="0"/>
            <w:vAlign w:val="center"/>
          </w:tcPr>
          <w:p w14:paraId="0E7CFD3D">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6CAC2B04">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套</w:t>
            </w:r>
          </w:p>
        </w:tc>
      </w:tr>
      <w:tr w14:paraId="3DD4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7BA62EAF">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3</w:t>
            </w:r>
          </w:p>
        </w:tc>
        <w:tc>
          <w:tcPr>
            <w:tcW w:w="5035" w:type="dxa"/>
            <w:noWrap w:val="0"/>
            <w:vAlign w:val="center"/>
          </w:tcPr>
          <w:p w14:paraId="7A0D5DFB">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两虫专用离心机</w:t>
            </w:r>
          </w:p>
        </w:tc>
        <w:tc>
          <w:tcPr>
            <w:tcW w:w="1256" w:type="dxa"/>
            <w:noWrap w:val="0"/>
            <w:vAlign w:val="center"/>
          </w:tcPr>
          <w:p w14:paraId="274E20F3">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44EA061F">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1B22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0352D021">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4</w:t>
            </w:r>
          </w:p>
        </w:tc>
        <w:tc>
          <w:tcPr>
            <w:tcW w:w="5035" w:type="dxa"/>
            <w:noWrap w:val="0"/>
            <w:vAlign w:val="center"/>
          </w:tcPr>
          <w:p w14:paraId="4C60A94C">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涡旋振荡器</w:t>
            </w:r>
          </w:p>
        </w:tc>
        <w:tc>
          <w:tcPr>
            <w:tcW w:w="1256" w:type="dxa"/>
            <w:noWrap w:val="0"/>
            <w:vAlign w:val="center"/>
          </w:tcPr>
          <w:p w14:paraId="376E91BE">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6AE51B8A">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2196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58B6365E">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5</w:t>
            </w:r>
          </w:p>
        </w:tc>
        <w:tc>
          <w:tcPr>
            <w:tcW w:w="5035" w:type="dxa"/>
            <w:noWrap w:val="0"/>
            <w:vAlign w:val="center"/>
          </w:tcPr>
          <w:p w14:paraId="10609045">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真空抽滤装置</w:t>
            </w:r>
          </w:p>
        </w:tc>
        <w:tc>
          <w:tcPr>
            <w:tcW w:w="1256" w:type="dxa"/>
            <w:noWrap w:val="0"/>
            <w:vAlign w:val="center"/>
          </w:tcPr>
          <w:p w14:paraId="01F61F25">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7E3F59D0">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套</w:t>
            </w:r>
          </w:p>
        </w:tc>
      </w:tr>
      <w:tr w14:paraId="685C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29F2ACCA">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6</w:t>
            </w:r>
          </w:p>
        </w:tc>
        <w:tc>
          <w:tcPr>
            <w:tcW w:w="5035" w:type="dxa"/>
            <w:noWrap w:val="0"/>
            <w:vAlign w:val="center"/>
          </w:tcPr>
          <w:p w14:paraId="51040176">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电子天平</w:t>
            </w:r>
          </w:p>
        </w:tc>
        <w:tc>
          <w:tcPr>
            <w:tcW w:w="1256" w:type="dxa"/>
            <w:noWrap w:val="0"/>
            <w:vAlign w:val="center"/>
          </w:tcPr>
          <w:p w14:paraId="6F105420">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7066951B">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4C8C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44024914">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7</w:t>
            </w:r>
          </w:p>
        </w:tc>
        <w:tc>
          <w:tcPr>
            <w:tcW w:w="5035" w:type="dxa"/>
            <w:noWrap w:val="0"/>
            <w:vAlign w:val="center"/>
          </w:tcPr>
          <w:p w14:paraId="4BC8AFFB">
            <w:pPr>
              <w:widowControl/>
              <w:jc w:val="left"/>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试剂耗材包</w:t>
            </w:r>
          </w:p>
        </w:tc>
        <w:tc>
          <w:tcPr>
            <w:tcW w:w="1256" w:type="dxa"/>
            <w:noWrap w:val="0"/>
            <w:vAlign w:val="center"/>
          </w:tcPr>
          <w:p w14:paraId="66DB91D2">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0FB194F0">
            <w:pPr>
              <w:pStyle w:val="16"/>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套</w:t>
            </w:r>
          </w:p>
        </w:tc>
      </w:tr>
    </w:tbl>
    <w:p w14:paraId="0CDBD7A7">
      <w:pPr>
        <w:rPr>
          <w:rFonts w:hint="eastAsia" w:ascii="宋体" w:hAnsi="宋体" w:eastAsia="宋体" w:cs="宋体"/>
          <w:b/>
          <w:bCs/>
          <w:kern w:val="2"/>
          <w:sz w:val="24"/>
          <w:szCs w:val="24"/>
          <w:lang w:val="en-US" w:eastAsia="zh-CN" w:bidi="ar-SA"/>
        </w:rPr>
      </w:pPr>
    </w:p>
    <w:p w14:paraId="39EFB75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2.1配套设备</w:t>
      </w:r>
    </w:p>
    <w:p w14:paraId="7FDA151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2.1.1两虫专用离心机</w:t>
      </w:r>
    </w:p>
    <w:p w14:paraId="64507E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1.具备水平转子500mL、50mL、15mL锥底适配器</w:t>
      </w:r>
    </w:p>
    <w:p w14:paraId="6F714D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2.离心力能够达到2000g</w:t>
      </w:r>
    </w:p>
    <w:p w14:paraId="18118E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3.不使用刹车档，减速度为零</w:t>
      </w:r>
    </w:p>
    <w:p w14:paraId="7E5EAA4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2.1.2涡旋振荡器</w:t>
      </w:r>
    </w:p>
    <w:p w14:paraId="312999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1.硅质底座，外型小巧，防震，适合高速工作</w:t>
      </w:r>
    </w:p>
    <w:p w14:paraId="2CAB4E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2.无极调速，可达2500rpm</w:t>
      </w:r>
    </w:p>
    <w:p w14:paraId="3940FE1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2.1.3电子天平</w:t>
      </w:r>
    </w:p>
    <w:p w14:paraId="28A5A4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1.最大称量：1000g</w:t>
      </w:r>
    </w:p>
    <w:p w14:paraId="0E827A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2.可读性：0.1g</w:t>
      </w:r>
    </w:p>
    <w:p w14:paraId="7163DF1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bookmarkStart w:id="10" w:name="OLE_LINK2"/>
      <w:r>
        <w:rPr>
          <w:rFonts w:hint="eastAsia" w:ascii="宋体" w:hAnsi="宋体" w:eastAsia="宋体" w:cs="宋体"/>
          <w:b/>
          <w:bCs/>
          <w:kern w:val="2"/>
          <w:sz w:val="24"/>
          <w:szCs w:val="24"/>
          <w:lang w:val="en-US" w:eastAsia="zh-CN" w:bidi="ar-SA"/>
        </w:rPr>
        <w:t>2.1.4真空抽滤装置</w:t>
      </w:r>
    </w:p>
    <w:p w14:paraId="23307B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1.真空压力：0.75mpa</w:t>
      </w:r>
    </w:p>
    <w:bookmarkEnd w:id="10"/>
    <w:p w14:paraId="416CA4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2.溶剂过滤器耐酸碱、耐高温、密闭性好、安装方便、过滤快速</w:t>
      </w:r>
    </w:p>
    <w:p w14:paraId="2337CD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3.溶剂过滤器接收瓶容积</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1000mL，砂芯直径</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40mm，砂芯孔径</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10μm</w:t>
      </w:r>
      <w:bookmarkEnd w:id="6"/>
    </w:p>
    <w:p w14:paraId="5D7D89A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2.1.5试剂耗材包</w:t>
      </w:r>
    </w:p>
    <w:p w14:paraId="7BA6C4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 xml:space="preserve">1.滤膜浓缩/密度梯度分离荧光抗体法检测试剂盒（含醋酸纤维滤膜、定制化混合纤维素酯微孔滤膜、细胞分离液 Percoll、即用型试剂等密度梯度法专用耗材） 10 次/盒 1 盒 </w:t>
      </w:r>
    </w:p>
    <w:p w14:paraId="3D3D3D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 xml:space="preserve">2.两虫染色试剂盒 10 次/盒 1 盒 </w:t>
      </w:r>
    </w:p>
    <w:p w14:paraId="6F6D61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3.载玻片 20 片/盒 1 盒</w:t>
      </w:r>
    </w:p>
    <w:p w14:paraId="2306C1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4.盖玻片 20 片/盒 1 盒</w:t>
      </w:r>
    </w:p>
    <w:p w14:paraId="5B9AC77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p>
    <w:p w14:paraId="47B1510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二、微生物鉴定及药敏分析系统</w:t>
      </w:r>
    </w:p>
    <w:p w14:paraId="29515A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1、用途：用于细菌、真菌的鉴定和药敏试验。</w:t>
      </w:r>
    </w:p>
    <w:p w14:paraId="7AE975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鉴定菌种：鉴定菌种数量&gt;550种，包括：革兰氏阴性杆菌150种以上(含大肠杆菌O157及非发酵菌)、革兰氏阳性菌120种以上（含猪链球菌1型、2型和7种李斯特菌）、酵母菌50种以上、需氧芽胞杆菌40种以上（含炭疽芽孢杆菌）、奈瑟菌、嗜血杆菌、棒状杆菌、弯曲菌90种以上、厌氧菌（含专性厌氧菌）60种以上，提供与仪器型号一</w:t>
      </w:r>
      <w:r>
        <w:rPr>
          <w:rFonts w:hint="eastAsia" w:ascii="宋体" w:hAnsi="宋体" w:cs="宋体"/>
          <w:b w:val="0"/>
          <w:bCs/>
          <w:color w:val="000000"/>
          <w:kern w:val="2"/>
          <w:sz w:val="24"/>
          <w:szCs w:val="24"/>
          <w:lang w:val="en-US" w:eastAsia="zh-CN" w:bidi="ar-SA"/>
        </w:rPr>
        <w:t>致</w:t>
      </w:r>
      <w:r>
        <w:rPr>
          <w:rFonts w:hint="eastAsia" w:ascii="宋体" w:hAnsi="宋体" w:eastAsia="宋体" w:cs="宋体"/>
          <w:b w:val="0"/>
          <w:bCs/>
          <w:color w:val="000000"/>
          <w:kern w:val="2"/>
          <w:sz w:val="24"/>
          <w:szCs w:val="24"/>
          <w:lang w:val="en-US" w:eastAsia="zh-CN" w:bidi="ar-SA"/>
        </w:rPr>
        <w:t>的配套鉴定菌库。(提供彩页或说明书等证明材料)</w:t>
      </w:r>
    </w:p>
    <w:p w14:paraId="17A02B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3、检测原理：采用比色法或比浊动态分析法，24小时连续自动检测，实时出具检测报告。</w:t>
      </w:r>
    </w:p>
    <w:p w14:paraId="428F5F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4、鉴定时间：革兰阴性菌≤10小时，革兰阳性菌≤8小时。</w:t>
      </w:r>
    </w:p>
    <w:p w14:paraId="1E91C5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5、卡片安全性：卡片生物安全性 卡片全密封，任何时间翻转不会泄露菌液。</w:t>
      </w:r>
    </w:p>
    <w:p w14:paraId="7E6729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▲6、药敏测试范围和时间：药敏测试范围和时间 仪器可以完成革兰阴性杆菌、革兰阳性球菌、链球菌及酵母样真菌的快速药敏试验(细菌平均检测时间为8-10小时；真菌药敏平均报告时间&lt;16小时)（提供彩页或说明书等证明材料)</w:t>
      </w:r>
    </w:p>
    <w:p w14:paraId="136D5F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7、药敏MIC检测范围：可提供5~7个MIC浓度报告范围，完全覆盖CLSI、EUCAST的折点。</w:t>
      </w:r>
    </w:p>
    <w:p w14:paraId="7C4AC2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8、药敏关键测试药物：对于革兰阴性菌，可以提供头孢他啶/阿维巴坦、美罗培南、氨苄西林/舒巴坦、替加环素等药物的药敏检测；对于革兰阳性球菌可以提供苯唑西林、万古霉素、达托霉素、替考拉宁等药物的药敏检测；对于链球菌，可以提供青霉素、头孢噻肟、莫西沙星、万古霉素等药物的药敏检测。（提供彩页或说明书等证明材料）。</w:t>
      </w:r>
    </w:p>
    <w:p w14:paraId="0BF0ED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9、药敏可检测耐药机制：可检测可覆盖革兰氏阴性菌、阳性菌、链球菌、真菌药敏检测，包括ESBL，CRE，MRSA，VRE，高水平氨基糖苷类耐药，可诱导克林霉素耐药、头孢西丁耐药等多种耐药机制，可检测并提示少见/罕见耐药表型。</w:t>
      </w:r>
    </w:p>
    <w:p w14:paraId="08ADEF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仪器性能</w:t>
      </w:r>
    </w:p>
    <w:p w14:paraId="0C21B2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★10、上样方式：</w:t>
      </w:r>
      <w:r>
        <w:rPr>
          <w:rFonts w:hint="eastAsia" w:ascii="宋体" w:hAnsi="宋体" w:cs="宋体"/>
          <w:b w:val="0"/>
          <w:bCs/>
          <w:color w:val="000000"/>
          <w:kern w:val="2"/>
          <w:sz w:val="24"/>
          <w:szCs w:val="24"/>
          <w:lang w:val="en-US" w:eastAsia="zh-CN" w:bidi="ar-SA"/>
        </w:rPr>
        <w:t>仪器内置自动</w:t>
      </w:r>
      <w:r>
        <w:rPr>
          <w:rFonts w:hint="eastAsia" w:ascii="宋体" w:hAnsi="宋体" w:eastAsia="宋体" w:cs="宋体"/>
          <w:b w:val="0"/>
          <w:bCs/>
          <w:color w:val="000000"/>
          <w:kern w:val="2"/>
          <w:sz w:val="24"/>
          <w:szCs w:val="24"/>
          <w:lang w:val="en-US" w:eastAsia="zh-CN" w:bidi="ar-SA"/>
        </w:rPr>
        <w:t>真空填充</w:t>
      </w:r>
      <w:r>
        <w:rPr>
          <w:rFonts w:hint="eastAsia" w:ascii="宋体" w:hAnsi="宋体" w:cs="宋体"/>
          <w:b w:val="0"/>
          <w:bCs/>
          <w:color w:val="000000"/>
          <w:kern w:val="2"/>
          <w:sz w:val="24"/>
          <w:szCs w:val="24"/>
          <w:lang w:val="en-US" w:eastAsia="zh-CN" w:bidi="ar-SA"/>
        </w:rPr>
        <w:t>模块</w:t>
      </w:r>
      <w:r>
        <w:rPr>
          <w:rFonts w:hint="eastAsia" w:ascii="宋体" w:hAnsi="宋体" w:eastAsia="宋体" w:cs="宋体"/>
          <w:b w:val="0"/>
          <w:bCs/>
          <w:color w:val="000000"/>
          <w:kern w:val="2"/>
          <w:sz w:val="24"/>
          <w:szCs w:val="24"/>
          <w:lang w:val="en-US" w:eastAsia="zh-CN" w:bidi="ar-SA"/>
        </w:rPr>
        <w:t>，</w:t>
      </w:r>
      <w:r>
        <w:rPr>
          <w:rFonts w:hint="eastAsia" w:ascii="宋体" w:hAnsi="宋体" w:cs="宋体"/>
          <w:b w:val="0"/>
          <w:bCs/>
          <w:color w:val="000000"/>
          <w:kern w:val="2"/>
          <w:sz w:val="24"/>
          <w:szCs w:val="24"/>
          <w:lang w:val="en-US" w:eastAsia="zh-CN" w:bidi="ar-SA"/>
        </w:rPr>
        <w:t>无需外置加样系统，</w:t>
      </w:r>
      <w:r>
        <w:rPr>
          <w:rFonts w:hint="eastAsia" w:ascii="宋体" w:hAnsi="宋体" w:eastAsia="宋体" w:cs="宋体"/>
          <w:b w:val="0"/>
          <w:bCs/>
          <w:color w:val="000000"/>
          <w:kern w:val="2"/>
          <w:sz w:val="24"/>
          <w:szCs w:val="24"/>
          <w:lang w:val="en-US" w:eastAsia="zh-CN" w:bidi="ar-SA"/>
        </w:rPr>
        <w:t>确保生物安全。（提供彩页或说明书等证明材料）</w:t>
      </w:r>
    </w:p>
    <w:p w14:paraId="03DE31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11、卡片自动化装/卸载：仪器高度自动化，可实现自动加样、自动上卡、自动孵育、自动判读、自动评价药敏结果，自动卸载卡片，搭配LIS实时发送报告，全过程无需人工干预</w:t>
      </w:r>
      <w:r>
        <w:rPr>
          <w:rFonts w:hint="eastAsia" w:ascii="宋体" w:hAnsi="宋体" w:cs="宋体"/>
          <w:b w:val="0"/>
          <w:bCs/>
          <w:color w:val="000000"/>
          <w:kern w:val="2"/>
          <w:sz w:val="24"/>
          <w:szCs w:val="24"/>
          <w:lang w:val="en-US" w:eastAsia="zh-CN" w:bidi="ar-SA"/>
        </w:rPr>
        <w:t>。</w:t>
      </w:r>
    </w:p>
    <w:p w14:paraId="4D8DCD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12、可视化操作流程：配备中文可视化触摸操作屏和LED指示灯系统，通过动态图示引导样本上机、故障排除、仪器维护等操作流程，并通过指示灯颜色变化提示仪器运行状态，设备操作友好性高</w:t>
      </w:r>
      <w:r>
        <w:rPr>
          <w:rFonts w:hint="eastAsia" w:ascii="宋体" w:hAnsi="宋体" w:cs="宋体"/>
          <w:b w:val="0"/>
          <w:bCs/>
          <w:color w:val="000000"/>
          <w:kern w:val="2"/>
          <w:sz w:val="24"/>
          <w:szCs w:val="24"/>
          <w:lang w:val="en-US" w:eastAsia="zh-CN" w:bidi="ar-SA"/>
        </w:rPr>
        <w:t>。</w:t>
      </w:r>
    </w:p>
    <w:p w14:paraId="3A06F9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13、鉴定药敏卡片：配备单独的鉴定卡和药敏卡，灵活适配鉴定和药敏单独检测的应用场景</w:t>
      </w:r>
      <w:r>
        <w:rPr>
          <w:rFonts w:hint="eastAsia" w:ascii="宋体" w:hAnsi="宋体" w:cs="宋体"/>
          <w:b w:val="0"/>
          <w:bCs/>
          <w:color w:val="000000"/>
          <w:kern w:val="2"/>
          <w:sz w:val="24"/>
          <w:szCs w:val="24"/>
          <w:lang w:val="en-US" w:eastAsia="zh-CN" w:bidi="ar-SA"/>
        </w:rPr>
        <w:t>。</w:t>
      </w:r>
    </w:p>
    <w:p w14:paraId="6A09DE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14、卡片封闭性：独立的鉴定/药敏测试卡，全密封微孔板设计，无需额外添加附加试剂</w:t>
      </w:r>
      <w:r>
        <w:rPr>
          <w:rFonts w:hint="eastAsia" w:ascii="宋体" w:hAnsi="宋体" w:cs="宋体"/>
          <w:b w:val="0"/>
          <w:bCs/>
          <w:color w:val="000000"/>
          <w:kern w:val="2"/>
          <w:sz w:val="24"/>
          <w:szCs w:val="24"/>
          <w:lang w:val="en-US" w:eastAsia="zh-CN" w:bidi="ar-SA"/>
        </w:rPr>
        <w:t>。</w:t>
      </w:r>
    </w:p>
    <w:p w14:paraId="78269D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15、比浊仪：提供可与鉴定药敏系统连接的比浊仪，自动将配制的菌悬液浊度传输到仪器中储存，确保药敏结果直接溯源到菌液浊度。标准浊度管永久有效，保证比浊仪校准和药敏结果的可靠性。（提供彩页或说明书等证明材料）</w:t>
      </w:r>
    </w:p>
    <w:p w14:paraId="37E53B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软件与专家系统：</w:t>
      </w:r>
    </w:p>
    <w:p w14:paraId="490D37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▲16、可检测耐药表型：软件内置高级专家系统，储存有超过 50,000 张MIC分布图谱，并可推导分析＞3,000种以上的耐药表型＞100种耐药机制，专家系统可根据耐药表型推导潜在耐药机制（提供彩页或说明书等证明材料）</w:t>
      </w:r>
    </w:p>
    <w:p w14:paraId="063179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17、软件：软件可以储存≥30000个测试结果</w:t>
      </w:r>
    </w:p>
    <w:p w14:paraId="4E082F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18、质量控制模块：软件中具有专用的质控模块，可以对整体流程进行质量控制，可以发布鉴定/药敏质控报告。</w:t>
      </w:r>
    </w:p>
    <w:p w14:paraId="6B2EDB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19、罕见耐药表型报警功能：通过中间软件实现万古霉素非敏感的金黄色葡萄球菌、利奈唑胺非敏感的金黄色葡萄球菌、黏菌素/多粘菌素耐药的肠杆菌目等12种罕见耐药菌实现监测预警，避免错误报告。</w:t>
      </w:r>
    </w:p>
    <w:p w14:paraId="77E3B3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20、自建库：支持用户自建菌库功能，并具有电子签名功能（具有追踪及溯源功能）。</w:t>
      </w:r>
    </w:p>
    <w:p w14:paraId="2F0347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21、实验室连接功能：LIS连接 可实现和LIS系统的单向或双向通讯Whonet连接 可实现WHONET文件格式导出 Excel数据导出 可实现数据Excel批量导出。</w:t>
      </w:r>
    </w:p>
    <w:p w14:paraId="6A7AF8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w:t>
      </w:r>
      <w:r>
        <w:rPr>
          <w:rFonts w:hint="eastAsia" w:ascii="宋体" w:hAnsi="宋体" w:cs="宋体"/>
          <w:b w:val="0"/>
          <w:bCs/>
          <w:color w:val="000000"/>
          <w:kern w:val="2"/>
          <w:sz w:val="24"/>
          <w:szCs w:val="24"/>
          <w:lang w:val="en-US" w:eastAsia="zh-CN" w:bidi="ar-SA"/>
        </w:rPr>
        <w:t>22、投标产品取得国家药监部门颁发的三类医疗器械产品注册证，提供注册证复印件。</w:t>
      </w:r>
    </w:p>
    <w:p w14:paraId="47F9C5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w:t>
      </w:r>
      <w:r>
        <w:rPr>
          <w:rFonts w:hint="eastAsia" w:ascii="宋体" w:hAnsi="宋体" w:cs="宋体"/>
          <w:b w:val="0"/>
          <w:bCs/>
          <w:color w:val="000000"/>
          <w:kern w:val="2"/>
          <w:sz w:val="24"/>
          <w:szCs w:val="24"/>
          <w:lang w:val="en-US" w:eastAsia="zh-CN" w:bidi="ar-SA"/>
        </w:rPr>
        <w:t>3</w:t>
      </w:r>
      <w:r>
        <w:rPr>
          <w:rFonts w:hint="eastAsia" w:ascii="宋体" w:hAnsi="宋体" w:eastAsia="宋体" w:cs="宋体"/>
          <w:b w:val="0"/>
          <w:bCs/>
          <w:color w:val="000000"/>
          <w:kern w:val="2"/>
          <w:sz w:val="24"/>
          <w:szCs w:val="24"/>
          <w:lang w:val="en-US" w:eastAsia="zh-CN" w:bidi="ar-SA"/>
        </w:rPr>
        <w:t>、配置：</w:t>
      </w:r>
    </w:p>
    <w:p w14:paraId="62137B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符合参数的主机 1台</w:t>
      </w:r>
    </w:p>
    <w:p w14:paraId="48625F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具有无线功能的比浊仪 1台</w:t>
      </w:r>
    </w:p>
    <w:p w14:paraId="419806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分析软件  1套</w:t>
      </w:r>
    </w:p>
    <w:p w14:paraId="4A5529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数据线 1套</w:t>
      </w:r>
    </w:p>
    <w:p w14:paraId="4A9FB1EC">
      <w:pPr>
        <w:rPr>
          <w:rFonts w:hint="eastAsia" w:ascii="黑体" w:hAnsi="黑体" w:eastAsia="黑体"/>
          <w:color w:val="auto"/>
          <w:sz w:val="28"/>
          <w:szCs w:val="28"/>
          <w:highlight w:val="none"/>
        </w:rPr>
      </w:pPr>
      <w:bookmarkStart w:id="11" w:name="_Toc3145"/>
      <w:r>
        <w:rPr>
          <w:rFonts w:hint="eastAsia" w:ascii="黑体" w:hAnsi="黑体" w:eastAsia="黑体"/>
          <w:color w:val="auto"/>
          <w:sz w:val="28"/>
          <w:szCs w:val="28"/>
          <w:highlight w:val="none"/>
        </w:rPr>
        <w:br w:type="page"/>
      </w:r>
    </w:p>
    <w:p w14:paraId="7B28641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ascii="黑体" w:hAnsi="黑体" w:eastAsia="黑体"/>
          <w:color w:val="auto"/>
          <w:highlight w:val="none"/>
        </w:rPr>
      </w:pPr>
      <w:r>
        <w:rPr>
          <w:rFonts w:hint="eastAsia" w:ascii="黑体" w:hAnsi="黑体" w:eastAsia="黑体"/>
          <w:color w:val="auto"/>
          <w:sz w:val="28"/>
          <w:szCs w:val="28"/>
          <w:highlight w:val="none"/>
        </w:rPr>
        <w:t>第三节 商务</w:t>
      </w:r>
      <w:r>
        <w:rPr>
          <w:rFonts w:ascii="黑体" w:hAnsi="黑体" w:eastAsia="黑体"/>
          <w:color w:val="auto"/>
          <w:sz w:val="28"/>
          <w:szCs w:val="28"/>
          <w:highlight w:val="none"/>
        </w:rPr>
        <w:t>要求</w:t>
      </w:r>
      <w:bookmarkEnd w:id="11"/>
    </w:p>
    <w:p w14:paraId="702444DA">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一</w:t>
      </w:r>
      <w:r>
        <w:rPr>
          <w:rFonts w:hint="eastAsia" w:ascii="宋体" w:hAnsi="宋体" w:eastAsia="宋体" w:cs="宋体"/>
          <w:b w:val="0"/>
          <w:bCs w:val="0"/>
          <w:color w:val="auto"/>
          <w:sz w:val="24"/>
          <w:szCs w:val="24"/>
          <w:highlight w:val="none"/>
        </w:rPr>
        <w:t>、供货、验收、付款及售后服务</w:t>
      </w:r>
    </w:p>
    <w:p w14:paraId="40E9AB7D">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1、供货及运输</w:t>
      </w:r>
    </w:p>
    <w:p w14:paraId="4E426A25">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1.1 供货时间：</w:t>
      </w:r>
    </w:p>
    <w:p w14:paraId="47DF30DA">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包1：</w:t>
      </w:r>
      <w:r>
        <w:rPr>
          <w:rFonts w:hint="eastAsia" w:ascii="宋体" w:hAnsi="宋体" w:eastAsia="宋体" w:cs="宋体"/>
          <w:b w:val="0"/>
          <w:bCs w:val="0"/>
          <w:color w:val="auto"/>
          <w:sz w:val="24"/>
          <w:szCs w:val="24"/>
          <w:highlight w:val="none"/>
        </w:rPr>
        <w:t>合同签订后</w:t>
      </w:r>
      <w:r>
        <w:rPr>
          <w:rFonts w:hint="eastAsia" w:ascii="宋体" w:hAnsi="宋体" w:cs="宋体"/>
          <w:b w:val="0"/>
          <w:bCs w:val="0"/>
          <w:color w:val="auto"/>
          <w:sz w:val="24"/>
          <w:szCs w:val="24"/>
          <w:highlight w:val="none"/>
          <w:lang w:val="en-US" w:eastAsia="zh-CN"/>
        </w:rPr>
        <w:t>30天内</w:t>
      </w:r>
      <w:r>
        <w:rPr>
          <w:rFonts w:hint="eastAsia" w:ascii="宋体" w:hAnsi="宋体" w:eastAsia="宋体" w:cs="宋体"/>
          <w:b w:val="0"/>
          <w:bCs w:val="0"/>
          <w:color w:val="auto"/>
          <w:sz w:val="24"/>
          <w:szCs w:val="24"/>
          <w:highlight w:val="none"/>
        </w:rPr>
        <w:t>完成全部供货，并经采购人验收合格。</w:t>
      </w:r>
    </w:p>
    <w:p w14:paraId="7D048981">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包2：</w:t>
      </w:r>
      <w:r>
        <w:rPr>
          <w:rFonts w:hint="eastAsia" w:ascii="宋体" w:hAnsi="宋体" w:eastAsia="宋体" w:cs="宋体"/>
          <w:b w:val="0"/>
          <w:bCs w:val="0"/>
          <w:color w:val="auto"/>
          <w:sz w:val="24"/>
          <w:szCs w:val="24"/>
          <w:highlight w:val="none"/>
        </w:rPr>
        <w:t>合同签订后</w:t>
      </w:r>
      <w:r>
        <w:rPr>
          <w:rFonts w:hint="eastAsia" w:ascii="宋体" w:hAnsi="宋体" w:cs="宋体"/>
          <w:b w:val="0"/>
          <w:bCs w:val="0"/>
          <w:color w:val="auto"/>
          <w:sz w:val="24"/>
          <w:szCs w:val="24"/>
          <w:highlight w:val="none"/>
          <w:lang w:val="en-US" w:eastAsia="zh-CN"/>
        </w:rPr>
        <w:t>30天内</w:t>
      </w:r>
      <w:r>
        <w:rPr>
          <w:rFonts w:hint="eastAsia" w:ascii="宋体" w:hAnsi="宋体" w:eastAsia="宋体" w:cs="宋体"/>
          <w:b w:val="0"/>
          <w:bCs w:val="0"/>
          <w:color w:val="auto"/>
          <w:sz w:val="24"/>
          <w:szCs w:val="24"/>
          <w:highlight w:val="none"/>
        </w:rPr>
        <w:t>完成全部供货，并经采购人验收合格。</w:t>
      </w:r>
    </w:p>
    <w:p w14:paraId="2AAD6EC1">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 供货地点：采购人指定地点。</w:t>
      </w:r>
    </w:p>
    <w:p w14:paraId="1518976A">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 中标单位负责产品到交货地点的全部运输，包括装卸、现场运送等。</w:t>
      </w:r>
    </w:p>
    <w:p w14:paraId="57945645">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2、验收要求</w:t>
      </w:r>
    </w:p>
    <w:p w14:paraId="28D3FF25">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 货物配送时</w:t>
      </w:r>
      <w:r>
        <w:rPr>
          <w:rFonts w:hint="eastAsia" w:ascii="宋体" w:hAnsi="宋体" w:cs="宋体"/>
          <w:b w:val="0"/>
          <w:bCs w:val="0"/>
          <w:color w:val="auto"/>
          <w:sz w:val="24"/>
          <w:szCs w:val="24"/>
          <w:highlight w:val="none"/>
          <w:lang w:val="en-US" w:eastAsia="zh-CN"/>
        </w:rPr>
        <w:t>需根据货物品类</w:t>
      </w:r>
      <w:r>
        <w:rPr>
          <w:rFonts w:hint="eastAsia" w:ascii="宋体" w:hAnsi="宋体" w:eastAsia="宋体" w:cs="宋体"/>
          <w:b w:val="0"/>
          <w:bCs w:val="0"/>
          <w:color w:val="auto"/>
          <w:sz w:val="24"/>
          <w:szCs w:val="24"/>
          <w:highlight w:val="none"/>
        </w:rPr>
        <w:t>按国家及行业要求提供《产品合格证明》和《医疗器械生产企业许可证》复印件等产品质量及来源证明材料，否则，采购人可拒绝接收全部货物。</w:t>
      </w:r>
    </w:p>
    <w:p w14:paraId="42F9A9E3">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 所投产品必须保证符合储藏、运输条件。</w:t>
      </w:r>
    </w:p>
    <w:p w14:paraId="47BBD7DD">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 经</w:t>
      </w:r>
      <w:r>
        <w:rPr>
          <w:rFonts w:hint="default" w:ascii="宋体" w:hAnsi="宋体" w:cs="宋体"/>
          <w:b w:val="0"/>
          <w:bCs w:val="0"/>
          <w:color w:val="auto"/>
          <w:sz w:val="24"/>
          <w:szCs w:val="24"/>
          <w:highlight w:val="none"/>
          <w:lang w:val="en-US"/>
        </w:rPr>
        <w:t>株洲市疾病预防控制中心（株洲市卫生综合监督执法局）</w:t>
      </w:r>
      <w:r>
        <w:rPr>
          <w:rFonts w:hint="eastAsia" w:ascii="宋体" w:hAnsi="宋体" w:eastAsia="宋体" w:cs="宋体"/>
          <w:b w:val="0"/>
          <w:bCs w:val="0"/>
          <w:color w:val="auto"/>
          <w:sz w:val="24"/>
          <w:szCs w:val="24"/>
          <w:highlight w:val="none"/>
        </w:rPr>
        <w:t>实验室相关专业人员验收合格。</w:t>
      </w:r>
    </w:p>
    <w:p w14:paraId="180C38AA">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2.4 如有产品验收未通过的，中标人须及时更换合格产品，连续两次验收不合格的，中标人</w:t>
      </w:r>
    </w:p>
    <w:p w14:paraId="5337BBAE">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可单方面终止采购合同，对采购人造成损失的，中标人同时须承担相应责任。</w:t>
      </w:r>
    </w:p>
    <w:p w14:paraId="06040FE4">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2.5 验收方式：本项目验收方式为采购人自行组织验收，合同履约及验收相关程序按照《株洲市政府采购项目履约验收管理暂行办法》的要求执行。</w:t>
      </w:r>
    </w:p>
    <w:p w14:paraId="40AAF401">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p>
    <w:p w14:paraId="2573C995">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3、付款方式</w:t>
      </w:r>
    </w:p>
    <w:p w14:paraId="649484B4">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3.1</w:t>
      </w:r>
      <w:r>
        <w:rPr>
          <w:rFonts w:hint="eastAsia" w:ascii="宋体" w:hAnsi="宋体" w:cs="宋体"/>
          <w:b w:val="0"/>
          <w:bCs w:val="0"/>
          <w:snapToGrid w:val="0"/>
          <w:color w:val="auto"/>
          <w:kern w:val="0"/>
          <w:sz w:val="24"/>
          <w:szCs w:val="24"/>
          <w:highlight w:val="none"/>
        </w:rPr>
        <w:t>货物送达采购人指定地点并经验收合格后支付合同价款97%；合同总价3%作为质量保证金，</w:t>
      </w:r>
      <w:r>
        <w:rPr>
          <w:rFonts w:hint="eastAsia" w:ascii="宋体" w:hAnsi="宋体" w:cs="宋体"/>
          <w:b w:val="0"/>
          <w:bCs w:val="0"/>
          <w:snapToGrid w:val="0"/>
          <w:color w:val="auto"/>
          <w:kern w:val="0"/>
          <w:sz w:val="24"/>
          <w:szCs w:val="24"/>
          <w:highlight w:val="none"/>
          <w:lang w:eastAsia="zh-CN"/>
        </w:rPr>
        <w:t>自质保起算日届满 12 个月且无质量问题的，采购人将无息全额支付质量保证金；质量保证金支付后，中标人仍需完整履行剩余 1 年质保服务义务（具体以合同签订为准）。</w:t>
      </w:r>
    </w:p>
    <w:p w14:paraId="5E1349B0">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 付款凭正式的税务发票办理，发票由中标单位开具。</w:t>
      </w:r>
    </w:p>
    <w:p w14:paraId="1CB53CF6">
      <w:pPr>
        <w:pStyle w:val="4"/>
        <w:rPr>
          <w:rFonts w:hint="eastAsia"/>
          <w:color w:val="auto"/>
          <w:highlight w:val="none"/>
        </w:rPr>
      </w:pPr>
    </w:p>
    <w:p w14:paraId="6C39F021">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4、质量保证及售后服务</w:t>
      </w:r>
    </w:p>
    <w:p w14:paraId="4CBD7AAE">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4.1 所有货物应是符合国家及国际相关标准的合格产品，纳入国家医疗器械管理的主要产品生产厂家须具备《医疗器械生产企业许可证》，并提供产品合格证。</w:t>
      </w:r>
    </w:p>
    <w:p w14:paraId="5E537120">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4.2 产品出厂具备检验报告的应在投标文件中提供相应的检测报告，验收时，采购人有要求的，应出具检验报告原件。</w:t>
      </w:r>
    </w:p>
    <w:p w14:paraId="50423E5E">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4.3 </w:t>
      </w:r>
      <w:r>
        <w:rPr>
          <w:rFonts w:hint="eastAsia" w:ascii="宋体" w:hAnsi="宋体" w:cs="宋体"/>
          <w:b w:val="0"/>
          <w:bCs w:val="0"/>
          <w:color w:val="auto"/>
          <w:sz w:val="24"/>
          <w:szCs w:val="24"/>
          <w:highlight w:val="none"/>
          <w:lang w:val="en-US" w:eastAsia="zh-CN"/>
        </w:rPr>
        <w:t>本项目整体质保期2年，</w:t>
      </w:r>
      <w:r>
        <w:rPr>
          <w:rFonts w:hint="eastAsia" w:ascii="宋体" w:hAnsi="宋体" w:eastAsia="宋体" w:cs="宋体"/>
          <w:b w:val="0"/>
          <w:bCs w:val="0"/>
          <w:color w:val="auto"/>
          <w:sz w:val="24"/>
          <w:szCs w:val="24"/>
          <w:highlight w:val="none"/>
        </w:rPr>
        <w:t>所有产品按国家及行业标准执行质量保障，投标人应在投标时明确相应的质保期限。</w:t>
      </w:r>
    </w:p>
    <w:p w14:paraId="02B4AB9D">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4.4 针对采购人的问题反馈等，中标人须积极配合采购人的工作，产品存在瑕疵或质量问题的，应及时免费更换合格产品。</w:t>
      </w:r>
    </w:p>
    <w:p w14:paraId="4B9389DF">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sz w:val="24"/>
          <w:szCs w:val="24"/>
        </w:rPr>
        <w:t>★</w:t>
      </w:r>
      <w:r>
        <w:rPr>
          <w:rFonts w:hint="eastAsia" w:ascii="宋体" w:hAnsi="宋体" w:eastAsia="宋体" w:cs="宋体"/>
          <w:b w:val="0"/>
          <w:bCs w:val="0"/>
          <w:color w:val="auto"/>
          <w:sz w:val="24"/>
          <w:szCs w:val="24"/>
          <w:highlight w:val="none"/>
        </w:rPr>
        <w:t>4.</w:t>
      </w:r>
      <w:r>
        <w:rPr>
          <w:rFonts w:hint="eastAsia" w:ascii="宋体" w:hAnsi="宋体" w:eastAsia="宋体" w:cs="宋体"/>
          <w:b w:val="0"/>
          <w:bCs w:val="0"/>
          <w:color w:val="auto"/>
          <w:sz w:val="24"/>
          <w:szCs w:val="24"/>
          <w:highlight w:val="none"/>
          <w:lang w:val="en-US" w:eastAsia="zh-CN"/>
        </w:rPr>
        <w:t>5本项目所投全部设备的生产日期须为 2026 年 1 月 1 日（含）之后。</w:t>
      </w:r>
    </w:p>
    <w:p w14:paraId="0D52560A">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rPr>
        <w:t>4.</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bCs/>
          <w:color w:val="auto"/>
          <w:sz w:val="24"/>
          <w:szCs w:val="24"/>
          <w:highlight w:val="none"/>
          <w:lang w:eastAsia="zh-CN"/>
        </w:rPr>
        <w:t>、投标人须</w:t>
      </w:r>
      <w:r>
        <w:rPr>
          <w:rFonts w:hint="eastAsia" w:ascii="宋体" w:hAnsi="宋体" w:eastAsia="宋体" w:cs="宋体"/>
          <w:b/>
          <w:bCs/>
          <w:color w:val="auto"/>
          <w:sz w:val="24"/>
          <w:szCs w:val="24"/>
          <w:highlight w:val="none"/>
          <w:lang w:val="en-US" w:eastAsia="zh-CN"/>
        </w:rPr>
        <w:t>在投标文件中单独</w:t>
      </w:r>
      <w:r>
        <w:rPr>
          <w:rFonts w:hint="eastAsia" w:ascii="宋体" w:hAnsi="宋体" w:eastAsia="宋体" w:cs="宋体"/>
          <w:b/>
          <w:bCs/>
          <w:color w:val="auto"/>
          <w:sz w:val="24"/>
          <w:szCs w:val="24"/>
          <w:highlight w:val="none"/>
          <w:lang w:eastAsia="zh-CN"/>
        </w:rPr>
        <w:t>提供书面承诺：中标后须在中标通知书发出之日起七个工作日内提供投标产品制造商针对本项目出具的售后服务承诺书原件，否则视为提供虚假材料谋取中标。</w:t>
      </w:r>
    </w:p>
    <w:p w14:paraId="580EB0C6">
      <w:pPr>
        <w:pStyle w:val="18"/>
        <w:rPr>
          <w:rFonts w:hint="eastAsia"/>
          <w:lang w:val="en-US" w:eastAsia="zh-CN"/>
        </w:rPr>
      </w:pPr>
    </w:p>
    <w:p w14:paraId="7F4E1F1B">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p>
    <w:p w14:paraId="3BD8DA04">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、重要说明</w:t>
      </w:r>
    </w:p>
    <w:p w14:paraId="53B9F670">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1、本项目不统一组织现场踏勘，投标人必须自行前往采购单位对项目需求及采购人现有设备、仪器进行详细了解，以保证投标人提供的试剂及耗材能与相关设备配套使用，且不影响检测实验的准确度。</w:t>
      </w:r>
    </w:p>
    <w:p w14:paraId="4E15A351">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eastAsia="zh-CN"/>
        </w:rPr>
        <w:t>投标人应保证其投标产品是符合国家相关标准的合格产品，如在采购人使用过程中发现投标产品质量或效果无法达到标准（因采购人实验人员操作不当除外），采购人有权要求中标人在同等价位的基础上更换相关产品，如更换后仍然不达标的，由中标人向采购人提供湖南省疾控系统内使用效果稳定的产品，所有费用由中标人自行承担；投标人</w:t>
      </w:r>
      <w:r>
        <w:rPr>
          <w:rFonts w:hint="eastAsia" w:ascii="宋体" w:hAnsi="宋体" w:eastAsia="宋体" w:cs="宋体"/>
          <w:b/>
          <w:bCs/>
          <w:color w:val="auto"/>
          <w:sz w:val="24"/>
          <w:szCs w:val="24"/>
          <w:highlight w:val="none"/>
          <w:lang w:val="en-US" w:eastAsia="zh-CN"/>
        </w:rPr>
        <w:t>必须在投标文件中单独</w:t>
      </w:r>
      <w:r>
        <w:rPr>
          <w:rFonts w:hint="eastAsia" w:ascii="宋体" w:hAnsi="宋体" w:eastAsia="宋体" w:cs="宋体"/>
          <w:b/>
          <w:bCs/>
          <w:color w:val="auto"/>
          <w:sz w:val="24"/>
          <w:szCs w:val="24"/>
          <w:highlight w:val="none"/>
          <w:lang w:eastAsia="zh-CN"/>
        </w:rPr>
        <w:t>提供上述要求的书面承诺，</w:t>
      </w:r>
      <w:r>
        <w:rPr>
          <w:rFonts w:hint="eastAsia" w:ascii="宋体" w:hAnsi="宋体" w:eastAsia="宋体" w:cs="宋体"/>
          <w:b/>
          <w:bCs/>
          <w:color w:val="auto"/>
          <w:sz w:val="24"/>
          <w:szCs w:val="24"/>
          <w:highlight w:val="none"/>
          <w:lang w:val="en-US" w:eastAsia="zh-CN"/>
        </w:rPr>
        <w:t>否则，</w:t>
      </w:r>
      <w:r>
        <w:rPr>
          <w:rFonts w:hint="eastAsia" w:ascii="宋体" w:hAnsi="宋体" w:eastAsia="宋体" w:cs="宋体"/>
          <w:b/>
          <w:bCs/>
          <w:color w:val="auto"/>
          <w:sz w:val="24"/>
          <w:szCs w:val="24"/>
          <w:highlight w:val="none"/>
          <w:lang w:eastAsia="zh-CN"/>
        </w:rPr>
        <w:t>视为无效投标。</w:t>
      </w:r>
    </w:p>
    <w:p w14:paraId="528BD9CC">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p>
    <w:p w14:paraId="62986E7E">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、其他要求</w:t>
      </w:r>
    </w:p>
    <w:p w14:paraId="2FD0B05D">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1、投标人应给出所投标产品的详细技术数据；主要技术参数及要求，投标人必须满足或超过，并不得有弄虚作假现象，否则作无效投标处理。</w:t>
      </w:r>
    </w:p>
    <w:p w14:paraId="03FEBAF1">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2、中标单位确保所供货物技术指标符合项目采购技术文件、以及国家或行业标准要求。</w:t>
      </w:r>
    </w:p>
    <w:p w14:paraId="68DA345C">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3、投标人应</w:t>
      </w:r>
      <w:r>
        <w:rPr>
          <w:rFonts w:hint="eastAsia" w:ascii="宋体" w:hAnsi="宋体" w:cs="宋体"/>
          <w:b w:val="0"/>
          <w:bCs w:val="0"/>
          <w:color w:val="auto"/>
          <w:sz w:val="24"/>
          <w:szCs w:val="24"/>
          <w:highlight w:val="none"/>
          <w:lang w:val="en-US" w:eastAsia="zh-CN"/>
        </w:rPr>
        <w:t>在中标后</w:t>
      </w:r>
      <w:r>
        <w:rPr>
          <w:rFonts w:hint="eastAsia" w:ascii="宋体" w:hAnsi="宋体" w:eastAsia="宋体" w:cs="宋体"/>
          <w:b w:val="0"/>
          <w:bCs w:val="0"/>
          <w:color w:val="auto"/>
          <w:sz w:val="24"/>
          <w:szCs w:val="24"/>
          <w:highlight w:val="none"/>
        </w:rPr>
        <w:t>说明所投产品相关的生产体系、认证情况、产品质量、产品检验报告等证明材料以证明产品的来源及质量合格。</w:t>
      </w:r>
    </w:p>
    <w:p w14:paraId="09FB7EC2">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ascii="宋体" w:hAnsi="宋体" w:cs="宋体"/>
          <w:b w:val="0"/>
          <w:bCs w:val="0"/>
          <w:color w:val="auto"/>
          <w:sz w:val="24"/>
          <w:szCs w:val="24"/>
          <w:highlight w:val="none"/>
        </w:rPr>
      </w:pPr>
    </w:p>
    <w:p w14:paraId="0724140D">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特别注意事项 ：</w:t>
      </w:r>
    </w:p>
    <w:p w14:paraId="16220CED">
      <w:pPr>
        <w:keepNext w:val="0"/>
        <w:keepLines w:val="0"/>
        <w:pageBreakBefore w:val="0"/>
        <w:widowControl w:val="0"/>
        <w:numPr>
          <w:ilvl w:val="0"/>
          <w:numId w:val="0"/>
        </w:numPr>
        <w:tabs>
          <w:tab w:val="left" w:pos="0"/>
        </w:tabs>
        <w:kinsoku/>
        <w:wordWrap/>
        <w:overflowPunct/>
        <w:topLinePunct w:val="0"/>
        <w:autoSpaceDE/>
        <w:autoSpaceDN/>
        <w:bidi w:val="0"/>
        <w:spacing w:before="156" w:beforeLines="50" w:after="156" w:afterLines="50" w:line="380" w:lineRule="exact"/>
        <w:ind w:firstLine="482" w:firstLineChars="200"/>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1、对于上述项目要求，投标人应在投标文件中进行回应，作出承诺、说明。</w:t>
      </w:r>
    </w:p>
    <w:p w14:paraId="2C264444">
      <w:pPr>
        <w:keepNext w:val="0"/>
        <w:keepLines w:val="0"/>
        <w:pageBreakBefore w:val="0"/>
        <w:widowControl w:val="0"/>
        <w:numPr>
          <w:ilvl w:val="0"/>
          <w:numId w:val="0"/>
        </w:numPr>
        <w:tabs>
          <w:tab w:val="left" w:pos="0"/>
        </w:tabs>
        <w:kinsoku/>
        <w:wordWrap/>
        <w:overflowPunct/>
        <w:topLinePunct w:val="0"/>
        <w:autoSpaceDE/>
        <w:autoSpaceDN/>
        <w:bidi w:val="0"/>
        <w:spacing w:before="156" w:beforeLines="50" w:after="156" w:afterLines="50" w:line="380" w:lineRule="exact"/>
        <w:ind w:firstLine="482" w:firstLineChars="200"/>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2、</w:t>
      </w:r>
      <w:r>
        <w:rPr>
          <w:rFonts w:hint="default" w:hAnsi="宋体"/>
          <w:b/>
          <w:bCs/>
          <w:color w:val="auto"/>
          <w:sz w:val="24"/>
          <w:szCs w:val="24"/>
          <w:highlight w:val="none"/>
          <w:lang w:val="en-US" w:eastAsia="zh-CN"/>
        </w:rPr>
        <w:t>带“★”符号要求，投标人必须满足或超过，并不得有弄虚作假现象，否则投标无效。</w:t>
      </w:r>
    </w:p>
    <w:p w14:paraId="6EB06CE0">
      <w:pPr>
        <w:keepNext w:val="0"/>
        <w:keepLines w:val="0"/>
        <w:pageBreakBefore w:val="0"/>
        <w:widowControl w:val="0"/>
        <w:numPr>
          <w:ilvl w:val="0"/>
          <w:numId w:val="0"/>
        </w:numPr>
        <w:tabs>
          <w:tab w:val="left" w:pos="0"/>
        </w:tabs>
        <w:kinsoku/>
        <w:wordWrap/>
        <w:overflowPunct/>
        <w:topLinePunct w:val="0"/>
        <w:autoSpaceDE/>
        <w:autoSpaceDN/>
        <w:bidi w:val="0"/>
        <w:spacing w:before="156" w:beforeLines="50" w:after="156" w:afterLines="50" w:line="380" w:lineRule="exact"/>
        <w:ind w:firstLine="482" w:firstLineChars="200"/>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3、</w:t>
      </w:r>
      <w:r>
        <w:rPr>
          <w:rFonts w:hint="default" w:hAnsi="宋体"/>
          <w:b/>
          <w:bCs/>
          <w:color w:val="auto"/>
          <w:sz w:val="24"/>
          <w:szCs w:val="24"/>
          <w:highlight w:val="none"/>
          <w:lang w:val="en-US" w:eastAsia="zh-CN"/>
        </w:rPr>
        <w:t xml:space="preserve">投标人需承诺中标后所提供的产品与投标文件中提供的产品一致，若出现不一致，按虚假应标处理，中标无效，并上报至相关部门。 </w:t>
      </w:r>
    </w:p>
    <w:p w14:paraId="46996668">
      <w:pPr>
        <w:spacing w:line="360" w:lineRule="auto"/>
        <w:rPr>
          <w:highlight w:val="none"/>
        </w:rPr>
      </w:pPr>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2D45CA"/>
    <w:rsid w:val="21674E89"/>
    <w:rsid w:val="399D6BCA"/>
    <w:rsid w:val="492D45CA"/>
    <w:rsid w:val="4B706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heading 1"/>
    <w:basedOn w:val="1"/>
    <w:next w:val="1"/>
    <w:qFormat/>
    <w:uiPriority w:val="0"/>
    <w:pPr>
      <w:keepNext/>
      <w:jc w:val="center"/>
      <w:outlineLvl w:val="0"/>
    </w:pPr>
    <w:rPr>
      <w:b/>
      <w:bCs/>
      <w:sz w:val="24"/>
      <w:szCs w:val="20"/>
    </w:rPr>
  </w:style>
  <w:style w:type="paragraph" w:styleId="10">
    <w:name w:val="heading 2"/>
    <w:basedOn w:val="1"/>
    <w:next w:val="1"/>
    <w:qFormat/>
    <w:uiPriority w:val="0"/>
    <w:pPr>
      <w:keepNext/>
      <w:keepLines/>
      <w:spacing w:line="360" w:lineRule="auto"/>
      <w:outlineLvl w:val="1"/>
    </w:pPr>
    <w:rPr>
      <w:rFonts w:ascii="Arial" w:hAnsi="Arial"/>
      <w:b/>
      <w:bCs/>
      <w:sz w:val="24"/>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列出段落1"/>
    <w:basedOn w:val="3"/>
    <w:qFormat/>
    <w:uiPriority w:val="0"/>
    <w:pPr>
      <w:ind w:firstLine="420" w:firstLineChars="200"/>
    </w:pPr>
    <w:rPr>
      <w:szCs w:val="21"/>
    </w:rPr>
  </w:style>
  <w:style w:type="paragraph" w:customStyle="1" w:styleId="3">
    <w:name w:val="正文_0"/>
    <w:next w:val="4"/>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Body Text First Indent 2"/>
    <w:basedOn w:val="5"/>
    <w:next w:val="7"/>
    <w:qFormat/>
    <w:uiPriority w:val="0"/>
    <w:pPr>
      <w:ind w:firstLine="420" w:firstLineChars="200"/>
    </w:pPr>
  </w:style>
  <w:style w:type="paragraph" w:customStyle="1" w:styleId="5">
    <w:name w:val="正文文本缩进_0"/>
    <w:basedOn w:val="6"/>
    <w:unhideWhenUsed/>
    <w:qFormat/>
    <w:uiPriority w:val="0"/>
    <w:pPr>
      <w:spacing w:after="120"/>
      <w:ind w:left="420" w:leftChars="200"/>
    </w:pPr>
  </w:style>
  <w:style w:type="paragraph" w:customStyle="1" w:styleId="6">
    <w:name w:val="正文_1"/>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
    <w:name w:val="正文缩进_0"/>
    <w:basedOn w:val="3"/>
    <w:next w:val="8"/>
    <w:qFormat/>
    <w:uiPriority w:val="0"/>
    <w:pPr>
      <w:widowControl/>
      <w:ind w:firstLine="420"/>
      <w:jc w:val="left"/>
    </w:pPr>
    <w:rPr>
      <w:kern w:val="0"/>
      <w:sz w:val="20"/>
      <w:szCs w:val="20"/>
    </w:rPr>
  </w:style>
  <w:style w:type="paragraph" w:customStyle="1" w:styleId="8">
    <w:name w:val="Default_0"/>
    <w:next w:val="3"/>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1">
    <w:name w:val="annotation text"/>
    <w:basedOn w:val="1"/>
    <w:qFormat/>
    <w:uiPriority w:val="0"/>
    <w:pPr>
      <w:jc w:val="left"/>
    </w:pPr>
  </w:style>
  <w:style w:type="paragraph" w:customStyle="1" w:styleId="14">
    <w:name w:val="列表段落1"/>
    <w:basedOn w:val="1"/>
    <w:qFormat/>
    <w:uiPriority w:val="34"/>
    <w:pPr>
      <w:ind w:left="720"/>
      <w:contextualSpacing/>
    </w:pPr>
  </w:style>
  <w:style w:type="paragraph" w:styleId="15">
    <w:name w:val="List Paragraph"/>
    <w:basedOn w:val="1"/>
    <w:qFormat/>
    <w:uiPriority w:val="34"/>
    <w:pPr>
      <w:ind w:firstLine="420" w:firstLineChars="200"/>
    </w:pPr>
  </w:style>
  <w:style w:type="paragraph" w:customStyle="1" w:styleId="16">
    <w:name w:val="正文_21"/>
    <w:qFormat/>
    <w:uiPriority w:val="0"/>
    <w:pPr>
      <w:widowControl w:val="0"/>
      <w:jc w:val="both"/>
    </w:pPr>
    <w:rPr>
      <w:rFonts w:ascii="Times New Roman" w:hAnsi="Times New Roman" w:eastAsia="宋体" w:cs="Times New Roman"/>
      <w:kern w:val="2"/>
      <w:sz w:val="21"/>
      <w:szCs w:val="22"/>
      <w:lang w:val="en-US" w:eastAsia="zh-CN" w:bidi="ar-SA"/>
    </w:rPr>
  </w:style>
  <w:style w:type="table" w:customStyle="1" w:styleId="17">
    <w:name w:val="网格型_0"/>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目录 11"/>
    <w:basedOn w:val="1"/>
    <w:next w:val="1"/>
    <w:unhideWhenUsed/>
    <w:qFormat/>
    <w:uiPriority w:val="39"/>
    <w:rPr>
      <w:rFonts w:ascii="Calibri" w:hAnsi="Calibri" w:eastAsia="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7229</Words>
  <Characters>8037</Characters>
  <Lines>0</Lines>
  <Paragraphs>0</Paragraphs>
  <TotalTime>0</TotalTime>
  <ScaleCrop>false</ScaleCrop>
  <LinksUpToDate>false</LinksUpToDate>
  <CharactersWithSpaces>8172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2026-08-17T01:39:00Z</dcterms:created>
  <dc:creator>麦子芯</dc:creator>
  <cp:lastModifiedBy>麦子芯</cp:lastModifiedBy>
  <dcterms:modified xsi:type="dcterms:W3CDTF">2026-08-20T08:09:51Z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FA31A20C35CD439F9341AAC2D9C517B6_11</vt:lpwstr>
  </property>
  <property fmtid="{D5CDD505-2E9C-101B-9397-08002B2CF9AE}" pid="4" name="KSOTemplateDocerSaveRecord">
    <vt:lpwstr>eyJoZGlkIjoiOTcyNDUxMGY3MTVhOTNkNWQ0MjcwMGQzNWRiYzgzNmUiLCJ1c2VySWQiOiIyNTIxOTU5NTQifQ==</vt:lpwstr>
  </property>
</Properties>
</file>