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AB674">
      <w:pPr>
        <w:numPr>
          <w:ilvl w:val="0"/>
          <w:numId w:val="1"/>
        </w:numPr>
        <w:adjustRightInd w:val="0"/>
        <w:snapToGrid w:val="0"/>
        <w:spacing w:before="120" w:beforeLines="50"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采购需求</w:t>
      </w:r>
    </w:p>
    <w:p w14:paraId="20FE6719">
      <w:pPr>
        <w:adjustRightInd w:val="0"/>
        <w:snapToGrid w:val="0"/>
        <w:spacing w:line="440" w:lineRule="exact"/>
        <w:jc w:val="left"/>
        <w:rPr>
          <w:rFonts w:hint="eastAsia" w:ascii="宋体" w:hAnsi="宋体"/>
          <w:color w:val="auto"/>
          <w:highlight w:val="none"/>
        </w:rPr>
      </w:pPr>
      <w:r>
        <w:rPr>
          <w:rFonts w:hint="eastAsia" w:ascii="宋体" w:hAnsi="宋体"/>
          <w:b/>
          <w:bCs/>
          <w:color w:val="auto"/>
          <w:highlight w:val="none"/>
        </w:rPr>
        <w:t>一、采购项目名称:</w:t>
      </w:r>
      <w:r>
        <w:rPr>
          <w:rFonts w:hint="eastAsia" w:ascii="宋体" w:hAnsi="宋体"/>
          <w:color w:val="auto"/>
          <w:highlight w:val="none"/>
        </w:rPr>
        <w:t xml:space="preserve"> </w:t>
      </w:r>
      <w:r>
        <w:rPr>
          <w:rFonts w:hint="eastAsia" w:ascii="宋体" w:hAnsi="宋体" w:eastAsia="宋体" w:cs="Times New Roman"/>
          <w:color w:val="auto"/>
          <w:highlight w:val="none"/>
          <w:lang w:eastAsia="zh-CN"/>
        </w:rPr>
        <w:t>芦淞区垃圾中转站渗漏液清运服务</w:t>
      </w:r>
    </w:p>
    <w:p w14:paraId="6344F8B0">
      <w:pPr>
        <w:adjustRightInd w:val="0"/>
        <w:snapToGrid w:val="0"/>
        <w:spacing w:line="440" w:lineRule="exact"/>
        <w:jc w:val="left"/>
        <w:rPr>
          <w:rFonts w:hint="eastAsia" w:ascii="宋体" w:hAnsi="宋体"/>
          <w:color w:val="auto"/>
          <w:highlight w:val="none"/>
        </w:rPr>
      </w:pPr>
      <w:r>
        <w:rPr>
          <w:rFonts w:hint="eastAsia" w:ascii="宋体" w:hAnsi="宋体"/>
          <w:b/>
          <w:bCs/>
          <w:color w:val="auto"/>
          <w:highlight w:val="none"/>
        </w:rPr>
        <w:t>二、工程条件：</w:t>
      </w:r>
      <w:r>
        <w:rPr>
          <w:rFonts w:hint="eastAsia" w:ascii="宋体" w:hAnsi="宋体"/>
          <w:color w:val="auto"/>
          <w:highlight w:val="none"/>
          <w:lang w:eastAsia="zh-CN"/>
        </w:rPr>
        <w:t>芦淞区垃圾中转站渗漏液清运服务</w:t>
      </w:r>
      <w:r>
        <w:rPr>
          <w:rFonts w:hint="eastAsia" w:ascii="宋体" w:hAnsi="宋体" w:eastAsia="宋体" w:cs="Times New Roman"/>
          <w:color w:val="auto"/>
          <w:highlight w:val="none"/>
          <w:lang w:eastAsia="zh-CN"/>
        </w:rPr>
        <w:t>采购人为芦淞区环境卫生服务中心。资金来源为财政投资，已落实。</w:t>
      </w:r>
    </w:p>
    <w:p w14:paraId="2C6C42A7">
      <w:pPr>
        <w:spacing w:line="440" w:lineRule="exact"/>
        <w:rPr>
          <w:rFonts w:ascii="宋体" w:hAnsi="宋体" w:cs="宋体"/>
          <w:b/>
          <w:color w:val="auto"/>
          <w:szCs w:val="21"/>
          <w:highlight w:val="none"/>
        </w:rPr>
      </w:pPr>
      <w:r>
        <w:rPr>
          <w:rFonts w:hint="eastAsia" w:ascii="宋体" w:hAnsi="宋体" w:cs="宋体"/>
          <w:b/>
          <w:color w:val="auto"/>
          <w:szCs w:val="21"/>
          <w:highlight w:val="none"/>
        </w:rPr>
        <w:t>三、服务内容</w:t>
      </w:r>
    </w:p>
    <w:p w14:paraId="01576700">
      <w:pPr>
        <w:spacing w:line="440" w:lineRule="exact"/>
        <w:ind w:firstLine="640"/>
        <w:jc w:val="left"/>
        <w:rPr>
          <w:rFonts w:hint="eastAsia" w:ascii="宋体" w:hAnsi="宋体" w:eastAsia="宋体" w:cs="宋体"/>
          <w:color w:val="auto"/>
          <w:szCs w:val="21"/>
          <w:highlight w:val="none"/>
          <w:lang w:eastAsia="zh-CN"/>
        </w:rPr>
      </w:pPr>
      <w:r>
        <w:rPr>
          <w:rFonts w:hint="eastAsia" w:ascii="宋体" w:hAnsi="宋体" w:cs="宋体"/>
          <w:b/>
          <w:color w:val="auto"/>
          <w:szCs w:val="21"/>
          <w:highlight w:val="none"/>
        </w:rPr>
        <w:t>1、范围：</w:t>
      </w:r>
      <w:r>
        <w:rPr>
          <w:rFonts w:hint="eastAsia" w:ascii="宋体" w:hAnsi="宋体" w:cs="宋体"/>
          <w:color w:val="auto"/>
          <w:szCs w:val="21"/>
          <w:highlight w:val="none"/>
        </w:rPr>
        <w:t>城区内的文化园垃圾中转站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双层楼垃圾中转站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三角叉垃圾中转站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楠竹(高家坳)垃圾中转站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曹塘坝垃圾中转站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龙泉垃圾中转站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谭家锻垃圾中转站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七斗冲垃圾中转站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沿江路垃圾中转站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迎新路垃圾中转站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白关垃圾中转站</w:t>
      </w:r>
      <w:r>
        <w:rPr>
          <w:rFonts w:hint="eastAsia" w:ascii="宋体" w:hAnsi="宋体" w:cs="宋体"/>
          <w:color w:val="auto"/>
          <w:szCs w:val="21"/>
          <w:highlight w:val="none"/>
          <w:lang w:eastAsia="zh-CN"/>
        </w:rPr>
        <w:t>、</w:t>
      </w:r>
      <w:r>
        <w:rPr>
          <w:rFonts w:hint="eastAsia" w:ascii="宋体" w:hAnsi="宋体" w:cs="宋体"/>
          <w:color w:val="auto"/>
          <w:szCs w:val="21"/>
          <w:highlight w:val="none"/>
        </w:rPr>
        <w:t>姚家坝垃圾中转站</w:t>
      </w:r>
      <w:r>
        <w:rPr>
          <w:rFonts w:hint="eastAsia" w:ascii="宋体" w:hAnsi="宋体" w:cs="宋体"/>
          <w:color w:val="auto"/>
          <w:szCs w:val="21"/>
          <w:highlight w:val="none"/>
          <w:lang w:eastAsia="zh-CN"/>
        </w:rPr>
        <w:t>的渗漏液清运服务（不含渗漏液处理），</w:t>
      </w:r>
      <w:r>
        <w:rPr>
          <w:rFonts w:hint="eastAsia" w:ascii="宋体" w:hAnsi="宋体" w:cs="宋体"/>
          <w:color w:val="auto"/>
          <w:szCs w:val="21"/>
          <w:highlight w:val="none"/>
        </w:rPr>
        <w:t>在服务时间内，</w:t>
      </w:r>
      <w:r>
        <w:rPr>
          <w:rFonts w:hint="eastAsia" w:ascii="宋体" w:hAnsi="宋体" w:eastAsia="宋体" w:cs="宋体"/>
          <w:color w:val="auto"/>
          <w:szCs w:val="21"/>
          <w:highlight w:val="none"/>
        </w:rPr>
        <w:t>如</w:t>
      </w:r>
      <w:r>
        <w:rPr>
          <w:rFonts w:hint="eastAsia" w:ascii="宋体" w:hAnsi="宋体" w:eastAsia="宋体" w:cs="宋体"/>
          <w:color w:val="auto"/>
          <w:szCs w:val="21"/>
          <w:highlight w:val="none"/>
          <w:lang w:eastAsia="zh-CN"/>
        </w:rPr>
        <w:t>芦淞区</w:t>
      </w:r>
      <w:r>
        <w:rPr>
          <w:rFonts w:hint="eastAsia" w:ascii="宋体" w:hAnsi="宋体" w:eastAsia="宋体" w:cs="宋体"/>
          <w:color w:val="auto"/>
          <w:szCs w:val="21"/>
          <w:highlight w:val="none"/>
        </w:rPr>
        <w:t>增加其他垃圾中转站，均在服务范围内，不另得增加费用</w:t>
      </w:r>
      <w:r>
        <w:rPr>
          <w:rFonts w:hint="eastAsia" w:ascii="宋体" w:hAnsi="宋体" w:eastAsia="宋体" w:cs="宋体"/>
          <w:color w:val="auto"/>
          <w:szCs w:val="21"/>
          <w:highlight w:val="none"/>
          <w:lang w:eastAsia="zh-CN"/>
        </w:rPr>
        <w:t>。</w:t>
      </w:r>
    </w:p>
    <w:p w14:paraId="6C898BF7">
      <w:pPr>
        <w:spacing w:line="440" w:lineRule="exact"/>
        <w:ind w:firstLine="640"/>
        <w:jc w:val="left"/>
        <w:rPr>
          <w:rFonts w:hint="eastAsia" w:ascii="宋体" w:hAnsi="宋体" w:cs="宋体"/>
          <w:color w:val="auto"/>
          <w:szCs w:val="21"/>
          <w:highlight w:val="none"/>
        </w:rPr>
      </w:pPr>
      <w:r>
        <w:rPr>
          <w:rFonts w:hint="eastAsia" w:ascii="宋体" w:hAnsi="宋体" w:cs="宋体"/>
          <w:b/>
          <w:color w:val="auto"/>
          <w:szCs w:val="21"/>
          <w:highlight w:val="none"/>
        </w:rPr>
        <w:t>2、渗漏液</w:t>
      </w:r>
      <w:r>
        <w:rPr>
          <w:rFonts w:hint="eastAsia" w:ascii="宋体" w:hAnsi="宋体" w:cs="宋体"/>
          <w:b/>
          <w:color w:val="auto"/>
          <w:szCs w:val="21"/>
          <w:highlight w:val="none"/>
          <w:lang w:eastAsia="zh-CN"/>
        </w:rPr>
        <w:t>年</w:t>
      </w:r>
      <w:r>
        <w:rPr>
          <w:rFonts w:hint="eastAsia" w:ascii="宋体" w:hAnsi="宋体" w:cs="宋体"/>
          <w:b/>
          <w:color w:val="auto"/>
          <w:szCs w:val="21"/>
          <w:highlight w:val="none"/>
        </w:rPr>
        <w:t>产量：</w:t>
      </w:r>
      <w:r>
        <w:rPr>
          <w:rFonts w:hint="eastAsia" w:ascii="宋体" w:hAnsi="宋体" w:cs="宋体"/>
          <w:color w:val="auto"/>
          <w:szCs w:val="21"/>
          <w:highlight w:val="none"/>
        </w:rPr>
        <w:t>约</w:t>
      </w:r>
      <w:r>
        <w:rPr>
          <w:rFonts w:hint="eastAsia" w:ascii="宋体" w:hAnsi="宋体" w:cs="宋体"/>
          <w:color w:val="auto"/>
          <w:szCs w:val="21"/>
          <w:highlight w:val="none"/>
          <w:lang w:val="en-US" w:eastAsia="zh-CN"/>
        </w:rPr>
        <w:t>4068</w:t>
      </w:r>
      <w:r>
        <w:rPr>
          <w:rFonts w:hint="eastAsia" w:ascii="宋体" w:hAnsi="宋体" w:cs="宋体"/>
          <w:color w:val="auto"/>
          <w:szCs w:val="21"/>
          <w:highlight w:val="none"/>
        </w:rPr>
        <w:t>吨</w:t>
      </w:r>
    </w:p>
    <w:p w14:paraId="1ABE6970">
      <w:pPr>
        <w:spacing w:line="440" w:lineRule="exact"/>
        <w:ind w:firstLine="640"/>
        <w:jc w:val="left"/>
        <w:rPr>
          <w:rFonts w:hint="eastAsia" w:ascii="宋体" w:hAnsi="宋体" w:cs="宋体"/>
          <w:color w:val="auto"/>
          <w:szCs w:val="21"/>
          <w:highlight w:val="none"/>
        </w:rPr>
      </w:pPr>
      <w:r>
        <w:rPr>
          <w:rFonts w:hint="eastAsia" w:ascii="宋体" w:hAnsi="宋体" w:cs="宋体"/>
          <w:b/>
          <w:color w:val="auto"/>
          <w:szCs w:val="21"/>
          <w:highlight w:val="none"/>
        </w:rPr>
        <w:t>3、车辆配置：</w:t>
      </w:r>
      <w:r>
        <w:rPr>
          <w:rFonts w:hint="eastAsia" w:ascii="宋体" w:hAnsi="宋体" w:cs="宋体"/>
          <w:color w:val="auto"/>
          <w:szCs w:val="21"/>
          <w:highlight w:val="none"/>
        </w:rPr>
        <w:t>渗漏液收集车</w:t>
      </w:r>
      <w:r>
        <w:rPr>
          <w:rFonts w:hint="eastAsia" w:ascii="宋体" w:hAnsi="宋体" w:cs="宋体"/>
          <w:color w:val="auto"/>
          <w:szCs w:val="21"/>
          <w:highlight w:val="none"/>
          <w:lang w:eastAsia="zh-CN"/>
        </w:rPr>
        <w:t>二</w:t>
      </w:r>
      <w:r>
        <w:rPr>
          <w:rFonts w:hint="eastAsia" w:ascii="宋体" w:hAnsi="宋体" w:cs="宋体"/>
          <w:color w:val="auto"/>
          <w:szCs w:val="21"/>
          <w:highlight w:val="none"/>
        </w:rPr>
        <w:t>台</w:t>
      </w:r>
    </w:p>
    <w:p w14:paraId="721A9CFD">
      <w:pPr>
        <w:spacing w:line="440" w:lineRule="exact"/>
        <w:ind w:firstLine="640"/>
        <w:jc w:val="left"/>
        <w:rPr>
          <w:rFonts w:hint="eastAsia" w:ascii="宋体" w:hAnsi="宋体" w:cs="宋体"/>
          <w:color w:val="auto"/>
          <w:szCs w:val="21"/>
          <w:highlight w:val="none"/>
        </w:rPr>
      </w:pPr>
      <w:r>
        <w:rPr>
          <w:rFonts w:hint="eastAsia" w:ascii="宋体" w:hAnsi="宋体" w:cs="宋体"/>
          <w:b/>
          <w:color w:val="auto"/>
          <w:szCs w:val="21"/>
          <w:highlight w:val="none"/>
        </w:rPr>
        <w:t>4、人员要求：</w:t>
      </w:r>
      <w:r>
        <w:rPr>
          <w:rFonts w:hint="eastAsia" w:ascii="宋体" w:hAnsi="宋体" w:cs="宋体"/>
          <w:color w:val="auto"/>
          <w:szCs w:val="21"/>
          <w:highlight w:val="none"/>
        </w:rPr>
        <w:t>司机</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名，辅助工人</w:t>
      </w:r>
      <w:r>
        <w:rPr>
          <w:rFonts w:hint="eastAsia" w:ascii="宋体" w:hAnsi="宋体" w:cs="宋体"/>
          <w:color w:val="auto"/>
          <w:szCs w:val="21"/>
          <w:highlight w:val="none"/>
          <w:lang w:eastAsia="zh-CN"/>
        </w:rPr>
        <w:t>一</w:t>
      </w:r>
      <w:r>
        <w:rPr>
          <w:rFonts w:hint="eastAsia" w:ascii="宋体" w:hAnsi="宋体" w:cs="宋体"/>
          <w:color w:val="auto"/>
          <w:szCs w:val="21"/>
          <w:highlight w:val="none"/>
        </w:rPr>
        <w:t>名</w:t>
      </w:r>
    </w:p>
    <w:p w14:paraId="068AE35C">
      <w:pPr>
        <w:spacing w:line="440" w:lineRule="exact"/>
        <w:ind w:firstLine="64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5、服务期限：</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lang w:eastAsia="zh-CN"/>
        </w:rPr>
        <w:t>年</w:t>
      </w:r>
    </w:p>
    <w:p w14:paraId="31DF65FC">
      <w:pPr>
        <w:spacing w:line="440" w:lineRule="exact"/>
        <w:ind w:firstLine="640"/>
        <w:rPr>
          <w:rFonts w:hint="eastAsia" w:ascii="宋体" w:hAnsi="宋体" w:cs="宋体"/>
          <w:b/>
          <w:color w:val="auto"/>
          <w:szCs w:val="21"/>
          <w:highlight w:val="none"/>
        </w:rPr>
      </w:pPr>
      <w:r>
        <w:rPr>
          <w:rFonts w:hint="eastAsia" w:ascii="宋体" w:hAnsi="宋体" w:cs="宋体"/>
          <w:b/>
          <w:color w:val="auto"/>
          <w:szCs w:val="21"/>
          <w:highlight w:val="none"/>
        </w:rPr>
        <w:t>6、配备要求：</w:t>
      </w:r>
    </w:p>
    <w:tbl>
      <w:tblPr>
        <w:tblStyle w:val="3"/>
        <w:tblW w:w="0" w:type="auto"/>
        <w:tblInd w:w="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30"/>
        <w:gridCol w:w="1035"/>
        <w:gridCol w:w="1005"/>
        <w:gridCol w:w="5055"/>
      </w:tblGrid>
      <w:tr w14:paraId="17922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noWrap w:val="0"/>
            <w:vAlign w:val="top"/>
          </w:tcPr>
          <w:p w14:paraId="23E48934">
            <w:pPr>
              <w:spacing w:line="44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名称</w:t>
            </w:r>
          </w:p>
        </w:tc>
        <w:tc>
          <w:tcPr>
            <w:tcW w:w="1035" w:type="dxa"/>
            <w:tcBorders>
              <w:right w:val="single" w:color="auto" w:sz="4" w:space="0"/>
            </w:tcBorders>
            <w:noWrap w:val="0"/>
            <w:vAlign w:val="top"/>
          </w:tcPr>
          <w:p w14:paraId="06EC72E0">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单位</w:t>
            </w:r>
          </w:p>
        </w:tc>
        <w:tc>
          <w:tcPr>
            <w:tcW w:w="1005" w:type="dxa"/>
            <w:tcBorders>
              <w:left w:val="single" w:color="auto" w:sz="4" w:space="0"/>
              <w:right w:val="single" w:color="auto" w:sz="4" w:space="0"/>
            </w:tcBorders>
            <w:noWrap w:val="0"/>
            <w:vAlign w:val="top"/>
          </w:tcPr>
          <w:p w14:paraId="5EAD233A">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5055" w:type="dxa"/>
            <w:tcBorders>
              <w:left w:val="single" w:color="auto" w:sz="4" w:space="0"/>
              <w:right w:val="single" w:color="auto" w:sz="4" w:space="0"/>
            </w:tcBorders>
            <w:noWrap w:val="0"/>
            <w:vAlign w:val="top"/>
          </w:tcPr>
          <w:p w14:paraId="1F7B0896">
            <w:pPr>
              <w:spacing w:line="44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要求</w:t>
            </w:r>
          </w:p>
        </w:tc>
      </w:tr>
      <w:tr w14:paraId="5BE38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noWrap w:val="0"/>
            <w:vAlign w:val="center"/>
          </w:tcPr>
          <w:p w14:paraId="6DCB70EF">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渗漏液收集车</w:t>
            </w:r>
          </w:p>
        </w:tc>
        <w:tc>
          <w:tcPr>
            <w:tcW w:w="1035" w:type="dxa"/>
            <w:tcBorders>
              <w:right w:val="single" w:color="auto" w:sz="4" w:space="0"/>
            </w:tcBorders>
            <w:noWrap w:val="0"/>
            <w:vAlign w:val="center"/>
          </w:tcPr>
          <w:p w14:paraId="36D35A3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1005" w:type="dxa"/>
            <w:tcBorders>
              <w:left w:val="single" w:color="auto" w:sz="4" w:space="0"/>
              <w:right w:val="single" w:color="auto" w:sz="4" w:space="0"/>
            </w:tcBorders>
            <w:noWrap w:val="0"/>
            <w:vAlign w:val="center"/>
          </w:tcPr>
          <w:p w14:paraId="3B8302FD">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p>
        </w:tc>
        <w:tc>
          <w:tcPr>
            <w:tcW w:w="5055" w:type="dxa"/>
            <w:tcBorders>
              <w:left w:val="single" w:color="auto" w:sz="4" w:space="0"/>
              <w:right w:val="single" w:color="auto" w:sz="4" w:space="0"/>
            </w:tcBorders>
            <w:noWrap w:val="0"/>
            <w:vAlign w:val="center"/>
          </w:tcPr>
          <w:p w14:paraId="5715C5B4">
            <w:pPr>
              <w:spacing w:line="4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车辆质量：≥2685kg,最大装载质量：≥1680kg，最大组合装载质量：≥4495kg，罐体体积2.2m³。</w:t>
            </w:r>
          </w:p>
        </w:tc>
      </w:tr>
      <w:tr w14:paraId="27C1D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noWrap w:val="0"/>
            <w:vAlign w:val="center"/>
          </w:tcPr>
          <w:p w14:paraId="71690FE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司机</w:t>
            </w:r>
          </w:p>
        </w:tc>
        <w:tc>
          <w:tcPr>
            <w:tcW w:w="1035" w:type="dxa"/>
            <w:tcBorders>
              <w:right w:val="single" w:color="auto" w:sz="4" w:space="0"/>
            </w:tcBorders>
            <w:noWrap w:val="0"/>
            <w:vAlign w:val="center"/>
          </w:tcPr>
          <w:p w14:paraId="6FABB4D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名</w:t>
            </w:r>
          </w:p>
        </w:tc>
        <w:tc>
          <w:tcPr>
            <w:tcW w:w="1005" w:type="dxa"/>
            <w:tcBorders>
              <w:left w:val="single" w:color="auto" w:sz="4" w:space="0"/>
              <w:right w:val="single" w:color="auto" w:sz="4" w:space="0"/>
            </w:tcBorders>
            <w:noWrap w:val="0"/>
            <w:vAlign w:val="center"/>
          </w:tcPr>
          <w:p w14:paraId="14B5C579">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p>
        </w:tc>
        <w:tc>
          <w:tcPr>
            <w:tcW w:w="5055" w:type="dxa"/>
            <w:tcBorders>
              <w:left w:val="single" w:color="auto" w:sz="4" w:space="0"/>
              <w:right w:val="single" w:color="auto" w:sz="4" w:space="0"/>
            </w:tcBorders>
            <w:noWrap w:val="0"/>
            <w:vAlign w:val="center"/>
          </w:tcPr>
          <w:p w14:paraId="0AAC08B6">
            <w:pPr>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有合格的驾驶证</w:t>
            </w:r>
          </w:p>
        </w:tc>
      </w:tr>
      <w:tr w14:paraId="37841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noWrap w:val="0"/>
            <w:vAlign w:val="center"/>
          </w:tcPr>
          <w:p w14:paraId="1514583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辅助工人</w:t>
            </w:r>
          </w:p>
        </w:tc>
        <w:tc>
          <w:tcPr>
            <w:tcW w:w="1035" w:type="dxa"/>
            <w:tcBorders>
              <w:right w:val="single" w:color="auto" w:sz="4" w:space="0"/>
            </w:tcBorders>
            <w:noWrap w:val="0"/>
            <w:vAlign w:val="center"/>
          </w:tcPr>
          <w:p w14:paraId="4760DDA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名</w:t>
            </w:r>
          </w:p>
        </w:tc>
        <w:tc>
          <w:tcPr>
            <w:tcW w:w="1005" w:type="dxa"/>
            <w:tcBorders>
              <w:left w:val="single" w:color="auto" w:sz="4" w:space="0"/>
              <w:right w:val="single" w:color="auto" w:sz="4" w:space="0"/>
            </w:tcBorders>
            <w:noWrap w:val="0"/>
            <w:vAlign w:val="center"/>
          </w:tcPr>
          <w:p w14:paraId="2D5091AA">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5055" w:type="dxa"/>
            <w:tcBorders>
              <w:left w:val="single" w:color="auto" w:sz="4" w:space="0"/>
              <w:right w:val="single" w:color="auto" w:sz="4" w:space="0"/>
            </w:tcBorders>
            <w:noWrap w:val="0"/>
            <w:vAlign w:val="center"/>
          </w:tcPr>
          <w:p w14:paraId="0687D237">
            <w:pPr>
              <w:spacing w:line="440" w:lineRule="exact"/>
              <w:jc w:val="center"/>
              <w:rPr>
                <w:rFonts w:hint="eastAsia" w:ascii="宋体" w:hAnsi="宋体" w:cs="宋体"/>
                <w:color w:val="auto"/>
                <w:szCs w:val="21"/>
                <w:highlight w:val="none"/>
              </w:rPr>
            </w:pPr>
          </w:p>
        </w:tc>
      </w:tr>
      <w:tr w14:paraId="2D339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30" w:type="dxa"/>
            <w:noWrap w:val="0"/>
            <w:vAlign w:val="top"/>
          </w:tcPr>
          <w:p w14:paraId="0D0F04E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小计</w:t>
            </w:r>
          </w:p>
        </w:tc>
        <w:tc>
          <w:tcPr>
            <w:tcW w:w="1035" w:type="dxa"/>
            <w:tcBorders>
              <w:right w:val="single" w:color="auto" w:sz="4" w:space="0"/>
            </w:tcBorders>
            <w:noWrap w:val="0"/>
            <w:vAlign w:val="top"/>
          </w:tcPr>
          <w:p w14:paraId="38056AAE">
            <w:pPr>
              <w:spacing w:line="440" w:lineRule="exact"/>
              <w:jc w:val="center"/>
              <w:rPr>
                <w:rFonts w:hint="eastAsia" w:ascii="宋体" w:hAnsi="宋体" w:cs="宋体"/>
                <w:color w:val="auto"/>
                <w:szCs w:val="21"/>
                <w:highlight w:val="none"/>
              </w:rPr>
            </w:pPr>
          </w:p>
        </w:tc>
        <w:tc>
          <w:tcPr>
            <w:tcW w:w="1005" w:type="dxa"/>
            <w:tcBorders>
              <w:left w:val="single" w:color="auto" w:sz="4" w:space="0"/>
              <w:right w:val="single" w:color="auto" w:sz="4" w:space="0"/>
            </w:tcBorders>
            <w:noWrap w:val="0"/>
            <w:vAlign w:val="top"/>
          </w:tcPr>
          <w:p w14:paraId="6F0D2F53">
            <w:pPr>
              <w:spacing w:line="440" w:lineRule="exact"/>
              <w:jc w:val="center"/>
              <w:rPr>
                <w:rFonts w:hint="eastAsia" w:ascii="宋体" w:hAnsi="宋体" w:cs="宋体"/>
                <w:color w:val="auto"/>
                <w:szCs w:val="21"/>
                <w:highlight w:val="none"/>
              </w:rPr>
            </w:pPr>
          </w:p>
        </w:tc>
        <w:tc>
          <w:tcPr>
            <w:tcW w:w="5055" w:type="dxa"/>
            <w:tcBorders>
              <w:left w:val="single" w:color="auto" w:sz="4" w:space="0"/>
              <w:right w:val="single" w:color="auto" w:sz="4" w:space="0"/>
            </w:tcBorders>
            <w:noWrap w:val="0"/>
            <w:vAlign w:val="top"/>
          </w:tcPr>
          <w:p w14:paraId="0DD05984">
            <w:pPr>
              <w:spacing w:line="440" w:lineRule="exact"/>
              <w:jc w:val="center"/>
              <w:rPr>
                <w:rFonts w:hint="eastAsia" w:ascii="宋体" w:hAnsi="宋体" w:cs="宋体"/>
                <w:color w:val="auto"/>
                <w:szCs w:val="21"/>
                <w:highlight w:val="none"/>
              </w:rPr>
            </w:pPr>
          </w:p>
        </w:tc>
      </w:tr>
    </w:tbl>
    <w:p w14:paraId="4682D9DD">
      <w:pPr>
        <w:spacing w:line="440" w:lineRule="exact"/>
        <w:ind w:firstLine="329" w:firstLineChars="157"/>
        <w:rPr>
          <w:rFonts w:hint="eastAsia" w:ascii="宋体" w:hAnsi="宋体" w:cs="宋体"/>
          <w:color w:val="auto"/>
          <w:szCs w:val="21"/>
          <w:highlight w:val="none"/>
        </w:rPr>
      </w:pPr>
      <w:r>
        <w:rPr>
          <w:rFonts w:hint="eastAsia" w:ascii="宋体" w:hAnsi="宋体" w:cs="宋体"/>
          <w:color w:val="auto"/>
          <w:szCs w:val="21"/>
          <w:highlight w:val="none"/>
        </w:rPr>
        <w:t>7、投标报价要求：</w:t>
      </w:r>
    </w:p>
    <w:p w14:paraId="1762D455">
      <w:pPr>
        <w:spacing w:line="440" w:lineRule="exact"/>
        <w:ind w:firstLine="329" w:firstLineChars="157"/>
        <w:rPr>
          <w:rFonts w:hint="eastAsia" w:ascii="宋体" w:hAnsi="宋体" w:cs="宋体"/>
          <w:color w:val="auto"/>
          <w:szCs w:val="21"/>
          <w:highlight w:val="none"/>
        </w:rPr>
      </w:pPr>
      <w:r>
        <w:rPr>
          <w:rFonts w:hint="eastAsia" w:ascii="宋体" w:hAnsi="宋体" w:cs="宋体"/>
          <w:color w:val="auto"/>
          <w:szCs w:val="21"/>
          <w:highlight w:val="none"/>
        </w:rPr>
        <w:t>上述费用包含作业内容的人工费、材料费、作业工具、管理费、利润、税金等。特别说明如下：</w:t>
      </w:r>
    </w:p>
    <w:p w14:paraId="69EA7F36">
      <w:pPr>
        <w:spacing w:line="440" w:lineRule="exact"/>
        <w:ind w:firstLine="329" w:firstLineChars="157"/>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（1）人工费用：含工资、加班费、职工福利、基本养老保险、医疗保险、失业保险、工伤保险、生育保险等五险、商业保险、防暑降温、防寒、岗位津贴、春节、端午节、中秋节、环卫节等</w:t>
      </w:r>
      <w:r>
        <w:rPr>
          <w:rFonts w:hint="eastAsia" w:ascii="宋体" w:hAnsi="宋体" w:cs="宋体"/>
          <w:color w:val="auto"/>
          <w:szCs w:val="21"/>
          <w:highlight w:val="none"/>
          <w:lang w:eastAsia="zh-CN"/>
        </w:rPr>
        <w:t>。</w:t>
      </w:r>
    </w:p>
    <w:p w14:paraId="155BBD57">
      <w:pPr>
        <w:spacing w:line="440" w:lineRule="exact"/>
        <w:ind w:firstLine="329" w:firstLineChars="157"/>
        <w:rPr>
          <w:rFonts w:hint="eastAsia" w:ascii="宋体" w:hAnsi="宋体" w:cs="宋体"/>
          <w:color w:val="auto"/>
          <w:szCs w:val="21"/>
          <w:highlight w:val="none"/>
        </w:rPr>
      </w:pPr>
      <w:r>
        <w:rPr>
          <w:rFonts w:hint="eastAsia" w:ascii="宋体" w:hAnsi="宋体" w:cs="宋体"/>
          <w:color w:val="auto"/>
          <w:szCs w:val="21"/>
          <w:highlight w:val="none"/>
        </w:rPr>
        <w:t>（2）劳保用品及工具费：包括劳保用品、车辆使用费、渗漏液收集车的车辆折旧费、车辆保险、维修保养、燃油、停车、水电等相关费用。</w:t>
      </w:r>
    </w:p>
    <w:p w14:paraId="2C2FE55F">
      <w:pPr>
        <w:spacing w:line="440" w:lineRule="exact"/>
        <w:ind w:firstLine="329" w:firstLineChars="157"/>
        <w:rPr>
          <w:rFonts w:hint="eastAsia" w:ascii="宋体" w:hAnsi="宋体" w:cs="宋体"/>
          <w:color w:val="auto"/>
          <w:szCs w:val="21"/>
          <w:highlight w:val="none"/>
        </w:rPr>
      </w:pPr>
      <w:r>
        <w:rPr>
          <w:rFonts w:hint="eastAsia" w:ascii="宋体" w:hAnsi="宋体" w:cs="宋体"/>
          <w:color w:val="auto"/>
          <w:szCs w:val="21"/>
          <w:highlight w:val="none"/>
        </w:rPr>
        <w:t>（3）管理费用、税金及利润</w:t>
      </w:r>
    </w:p>
    <w:p w14:paraId="5691C6F7">
      <w:pPr>
        <w:spacing w:line="440" w:lineRule="exact"/>
        <w:ind w:firstLine="329" w:firstLineChars="157"/>
        <w:rPr>
          <w:rFonts w:hint="eastAsia" w:ascii="宋体" w:hAnsi="宋体" w:cs="宋体"/>
          <w:color w:val="auto"/>
          <w:szCs w:val="21"/>
          <w:highlight w:val="none"/>
        </w:rPr>
      </w:pPr>
      <w:r>
        <w:rPr>
          <w:rFonts w:hint="eastAsia" w:ascii="宋体" w:hAnsi="宋体" w:cs="宋体"/>
          <w:color w:val="auto"/>
          <w:szCs w:val="21"/>
          <w:highlight w:val="none"/>
        </w:rPr>
        <w:t>（5）其他费用：包含节假日加班费、岗位津贴、防暑、防寒费、中秋、端午、春节慰问金、意外险等费用。</w:t>
      </w:r>
    </w:p>
    <w:p w14:paraId="35C7386C">
      <w:pPr>
        <w:spacing w:line="360" w:lineRule="auto"/>
        <w:ind w:firstLine="329" w:firstLineChars="157"/>
        <w:rPr>
          <w:rFonts w:hint="eastAsia" w:ascii="宋体" w:hAnsi="宋体" w:eastAsia="宋体" w:cs="宋体"/>
          <w:color w:val="auto"/>
          <w:szCs w:val="21"/>
          <w:highlight w:val="none"/>
        </w:rPr>
      </w:pPr>
      <w:r>
        <w:rPr>
          <w:rFonts w:hint="eastAsia"/>
          <w:color w:val="auto"/>
          <w:szCs w:val="21"/>
          <w:highlight w:val="none"/>
        </w:rPr>
        <w:t>★</w:t>
      </w:r>
      <w:r>
        <w:rPr>
          <w:rFonts w:hint="eastAsia"/>
          <w:b/>
          <w:bCs/>
          <w:color w:val="auto"/>
          <w:szCs w:val="21"/>
          <w:highlight w:val="none"/>
          <w:lang w:val="en-US" w:eastAsia="zh-CN"/>
        </w:rPr>
        <w:t>8</w:t>
      </w:r>
      <w:r>
        <w:rPr>
          <w:rFonts w:hint="eastAsia"/>
          <w:b/>
          <w:bCs/>
          <w:color w:val="auto"/>
          <w:szCs w:val="21"/>
          <w:highlight w:val="none"/>
        </w:rPr>
        <w:t>、总承包约定</w:t>
      </w:r>
      <w:r>
        <w:rPr>
          <w:rFonts w:hint="eastAsia"/>
          <w:color w:val="auto"/>
          <w:szCs w:val="21"/>
          <w:highlight w:val="none"/>
        </w:rPr>
        <w:t>：</w:t>
      </w:r>
      <w:r>
        <w:rPr>
          <w:rFonts w:hint="eastAsia" w:ascii="宋体" w:hAnsi="宋体" w:eastAsia="宋体" w:cs="宋体"/>
          <w:color w:val="auto"/>
          <w:szCs w:val="21"/>
          <w:highlight w:val="none"/>
        </w:rPr>
        <w:t>本项目采取服务总承包方式，包人工、包作业设备工具及材料的提供、包文明运输、包现场安全、包环境保护、包达规定标准、包质量目标要求、包通过相关部门的例行检查、明检、抽查并确保检查合格的全过程服务总承包方式；即按规定的作业范围、作业内容、作业方式、作业标准实施作业的全过程服务范围内的人工、材料及机械设备等全部费用、以及报价范围所列出的其他相关费用，按投标总价包干承包（除报价范围条款申明不包含的内容外，报价范围未列细目的费用视为已分摊在有关细目的投标单价中，该采购项目所明示或暗示的费用均认为已包括在投标总价中，投标人如一旦中标，在项目实施中出现任何遗漏，均由中标人免费提供，采购人不再支付任何费用）。</w:t>
      </w:r>
      <w:bookmarkStart w:id="0" w:name="_Toc27858"/>
    </w:p>
    <w:p w14:paraId="33F8D3F4">
      <w:pPr>
        <w:spacing w:line="360" w:lineRule="auto"/>
        <w:ind w:firstLine="329" w:firstLineChars="157"/>
        <w:rPr>
          <w:rFonts w:hint="eastAsia" w:ascii="宋体" w:hAnsi="宋体"/>
          <w:snapToGrid w:val="0"/>
          <w:color w:val="auto"/>
          <w:kern w:val="0"/>
          <w:szCs w:val="21"/>
          <w:highlight w:val="none"/>
        </w:rPr>
      </w:pPr>
      <w:r>
        <w:rPr>
          <w:rFonts w:hint="eastAsia"/>
          <w:color w:val="auto"/>
          <w:szCs w:val="21"/>
          <w:highlight w:val="none"/>
        </w:rPr>
        <w:t>★</w:t>
      </w:r>
      <w:r>
        <w:rPr>
          <w:rFonts w:hint="eastAsia" w:ascii="宋体" w:hAnsi="宋体"/>
          <w:snapToGrid w:val="0"/>
          <w:color w:val="auto"/>
          <w:kern w:val="0"/>
          <w:szCs w:val="21"/>
          <w:highlight w:val="none"/>
          <w:lang w:val="en-US" w:eastAsia="zh-CN"/>
        </w:rPr>
        <w:t>9</w:t>
      </w:r>
      <w:r>
        <w:rPr>
          <w:rFonts w:hint="eastAsia" w:ascii="宋体" w:hAnsi="宋体"/>
          <w:snapToGrid w:val="0"/>
          <w:color w:val="auto"/>
          <w:kern w:val="0"/>
          <w:szCs w:val="21"/>
          <w:highlight w:val="none"/>
        </w:rPr>
        <w:t>、</w:t>
      </w:r>
      <w:bookmarkEnd w:id="0"/>
      <w:r>
        <w:rPr>
          <w:rFonts w:hint="eastAsia" w:ascii="宋体" w:hAnsi="宋体"/>
          <w:snapToGrid w:val="0"/>
          <w:color w:val="auto"/>
          <w:kern w:val="0"/>
          <w:szCs w:val="21"/>
          <w:highlight w:val="none"/>
        </w:rPr>
        <w:t>作业许可要求（从事城市生活垃圾经营性清扫、收集、运输、处理服务许可证）</w:t>
      </w:r>
    </w:p>
    <w:p w14:paraId="47860261">
      <w:pPr>
        <w:pStyle w:val="2"/>
        <w:spacing w:line="360" w:lineRule="auto"/>
        <w:ind w:left="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作业许可要求：投标人需要在株洲市城市管理和综合执法局完成办理机构或者分支机构登记备案手续，并取得株洲市城市管理和行政执法局核发的行政许可证（从事城市生活垃圾经营性清扫、收集、运输、处理服务许可证），投标时需要复印件并加盖单位公章；如果投标人没有取得株洲市城市管理和综合执法局核发的行政许可证，必须出具由投标人法定代表人签字并加盖公司公章的“许可证办理承诺书”原件，承诺内容为：“我公司自愿承诺：一旦公布我公司中标，将在一周内取得株洲市城市管理和综合执法局核发的行政许可证，并提供许可证原件供采购人查验；如果没有取得该行政许可证或者没有提供该行政许可证原件供采购人查验的，我公司同意中标无效；被取消中标资格的所有责任由我公司自行承担，并不得以任何理由向招标方提出任何索赔要求”。投标时如果没有提供株洲市城市管理和综合执法局核发的行政许可证复印件或者没有提供招标文件要求的“许可证办理承诺书”原件的投标视为无效投标。</w:t>
      </w:r>
    </w:p>
    <w:p w14:paraId="65E4C949">
      <w:pPr>
        <w:pStyle w:val="2"/>
        <w:spacing w:line="360" w:lineRule="auto"/>
        <w:ind w:left="0" w:leftChars="0" w:firstLine="0" w:firstLineChars="0"/>
        <w:rPr>
          <w:rFonts w:hint="eastAsia" w:ascii="宋体" w:hAnsi="宋体" w:eastAsia="宋体" w:cs="宋体"/>
          <w:color w:val="auto"/>
          <w:kern w:val="2"/>
          <w:sz w:val="21"/>
          <w:szCs w:val="21"/>
          <w:highlight w:val="none"/>
          <w:lang w:val="en-US" w:eastAsia="zh-CN" w:bidi="ar-SA"/>
        </w:rPr>
      </w:pPr>
    </w:p>
    <w:p w14:paraId="59752B36">
      <w:pPr>
        <w:pStyle w:val="2"/>
        <w:numPr>
          <w:ilvl w:val="0"/>
          <w:numId w:val="2"/>
        </w:numPr>
        <w:spacing w:line="360" w:lineRule="auto"/>
        <w:ind w:left="0" w:leftChars="0" w:firstLine="422" w:firstLineChars="200"/>
        <w:rPr>
          <w:rFonts w:hint="default"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付款方式：</w:t>
      </w:r>
      <w:r>
        <w:rPr>
          <w:rFonts w:hint="eastAsia" w:ascii="宋体" w:hAnsi="宋体" w:eastAsia="宋体" w:cs="宋体"/>
          <w:b w:val="0"/>
          <w:bCs/>
          <w:color w:val="auto"/>
          <w:kern w:val="2"/>
          <w:sz w:val="21"/>
          <w:szCs w:val="21"/>
          <w:highlight w:val="none"/>
          <w:lang w:val="en-US" w:eastAsia="zh-CN" w:bidi="ar-SA"/>
        </w:rPr>
        <w:t>以合同签订为准。</w:t>
      </w:r>
    </w:p>
    <w:p w14:paraId="435878C2">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346445"/>
    <w:multiLevelType w:val="singleLevel"/>
    <w:tmpl w:val="C3346445"/>
    <w:lvl w:ilvl="0" w:tentative="0">
      <w:start w:val="5"/>
      <w:numFmt w:val="chineseCounting"/>
      <w:suff w:val="space"/>
      <w:lvlText w:val="第%1章"/>
      <w:lvlJc w:val="left"/>
      <w:rPr>
        <w:rFonts w:hint="eastAsia"/>
      </w:rPr>
    </w:lvl>
  </w:abstractNum>
  <w:abstractNum w:abstractNumId="1">
    <w:nsid w:val="CB5AB4BD"/>
    <w:multiLevelType w:val="singleLevel"/>
    <w:tmpl w:val="CB5AB4BD"/>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C30529"/>
    <w:rsid w:val="5AC30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ascii="Calibri" w:hAnsi="Calibri"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2026-08-16T06:08:00Z</dcterms:created>
  <dc:creator>麦子芯</dc:creator>
  <cp:lastModifiedBy>麦子芯</cp:lastModifiedBy>
  <dcterms:modified xsi:type="dcterms:W3CDTF">2026-08-16T06:08:39Z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18E5500C8D204E278A5C28CB94D9F5F2_11</vt:lpwstr>
  </property>
  <property fmtid="{D5CDD505-2E9C-101B-9397-08002B2CF9AE}" pid="4" name="KSOTemplateDocerSaveRecord">
    <vt:lpwstr>eyJoZGlkIjoiOTcyNDUxMGY3MTVhOTNkNWQ0MjcwMGQzNWRiYzgzNmUiLCJ1c2VySWQiOiIyNTIxOTU5NTQifQ==</vt:lpwstr>
  </property>
</Properties>
</file>