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56FED">
      <w:pPr>
        <w:widowControl w:val="0"/>
        <w:spacing w:before="156" w:beforeLines="50" w:after="156" w:afterLines="50" w:line="560" w:lineRule="exact"/>
        <w:jc w:val="center"/>
        <w:outlineLvl w:val="0"/>
        <w:rPr>
          <w:rFonts w:hint="eastAsia" w:ascii="微软雅黑" w:hAnsi="微软雅黑" w:eastAsia="微软雅黑" w:cs="微软雅黑"/>
          <w:b/>
          <w:bCs/>
          <w:color w:val="auto"/>
          <w:kern w:val="44"/>
          <w:sz w:val="36"/>
          <w:szCs w:val="48"/>
          <w:highlight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36"/>
          <w:szCs w:val="48"/>
          <w:highlight w:val="none"/>
          <w:lang w:val="en-US" w:eastAsia="zh-CN" w:bidi="ar-SA"/>
        </w:rPr>
        <w:t>采购需求</w:t>
      </w:r>
    </w:p>
    <w:p w14:paraId="6D4CBF16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290" w:line="440" w:lineRule="exact"/>
        <w:ind w:left="0" w:leftChars="0" w:firstLine="480" w:firstLineChars="200"/>
        <w:jc w:val="both"/>
        <w:textAlignment w:val="auto"/>
        <w:outlineLvl w:val="1"/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</w:pPr>
      <w:bookmarkStart w:id="0" w:name="_Toc18342"/>
      <w:bookmarkStart w:id="1" w:name="_Toc5734"/>
      <w:r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（一）项目概况</w:t>
      </w:r>
      <w:bookmarkEnd w:id="0"/>
      <w:bookmarkEnd w:id="1"/>
    </w:p>
    <w:p w14:paraId="7E130DF4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我院学生大多处于15-18岁青春期，且相当比例在初中阶段属于“被边缘化”的群体—他们可能长期缺乏家庭有效监管，习惯了散漫、不自信，长期缺乏有效的家庭教育，部分学生没能养成良好的沟通和学习习惯，</w:t>
      </w:r>
      <w:r>
        <w:rPr>
          <w:rFonts w:hint="default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在课堂上睡觉、迟到旷课、甚至情绪爆发顶撞老师</w:t>
      </w:r>
      <w:r>
        <w:rPr>
          <w:rFonts w:hint="eastAsia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，对学院规章制度缺乏敬畏之心，我行我素。学院已实行3年准军事化管理，学生管理明显加强，学生安全问题已得到有效预防，学生行为习惯得到明显改善。结合学院实际情况，经学院党委会研究决定，计划招聘一家教育服务类公司，协助学生管理，服务期限为三年</w:t>
      </w:r>
      <w:r>
        <w:rPr>
          <w:rFonts w:hint="eastAsia" w:ascii="宋体" w:hAnsi="宋体" w:eastAsia="宋体" w:cs="宋体"/>
          <w:color w:val="auto"/>
          <w:sz w:val="24"/>
          <w:szCs w:val="21"/>
          <w:lang w:val="en-US" w:eastAsia="zh-CN"/>
        </w:rPr>
        <w:t>。</w:t>
      </w:r>
    </w:p>
    <w:p w14:paraId="1DB29C0C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290" w:line="440" w:lineRule="exact"/>
        <w:ind w:left="0" w:leftChars="0" w:firstLine="480" w:firstLineChars="200"/>
        <w:jc w:val="both"/>
        <w:textAlignment w:val="auto"/>
        <w:outlineLvl w:val="1"/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</w:pPr>
      <w:bookmarkStart w:id="2" w:name="_Toc23714"/>
      <w:bookmarkStart w:id="3" w:name="_Toc4360"/>
      <w:r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（二）采购项目预（概）算</w:t>
      </w:r>
      <w:bookmarkEnd w:id="2"/>
      <w:bookmarkEnd w:id="3"/>
    </w:p>
    <w:p w14:paraId="37A8E979">
      <w:pPr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Arial Narrow" w:hAnsi="Arial Narrow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Arial Narrow" w:hAnsi="Arial Narrow" w:eastAsia="宋体" w:cs="宋体"/>
          <w:color w:val="auto"/>
          <w:kern w:val="2"/>
          <w:sz w:val="24"/>
          <w:szCs w:val="24"/>
          <w:lang w:val="en-US" w:eastAsia="zh-CN" w:bidi="ar-SA"/>
        </w:rPr>
        <w:t>预算∶1980126.18元</w:t>
      </w:r>
    </w:p>
    <w:p w14:paraId="7944D67B">
      <w:pPr>
        <w:keepNext/>
        <w:keepLines/>
        <w:widowControl w:val="0"/>
        <w:numPr>
          <w:ilvl w:val="0"/>
          <w:numId w:val="0"/>
        </w:numPr>
        <w:tabs>
          <w:tab w:val="left" w:pos="0"/>
        </w:tabs>
        <w:bidi w:val="0"/>
        <w:spacing w:before="160" w:after="290" w:line="240" w:lineRule="auto"/>
        <w:ind w:left="0" w:leftChars="0" w:firstLine="480" w:firstLineChars="200"/>
        <w:jc w:val="both"/>
        <w:outlineLvl w:val="1"/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</w:pPr>
      <w:bookmarkStart w:id="4" w:name="_Toc3730"/>
      <w:bookmarkStart w:id="5" w:name="_Toc4938"/>
      <w:r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（三）采购标的汇总表</w:t>
      </w:r>
      <w:bookmarkEnd w:id="4"/>
    </w:p>
    <w:bookmarkEnd w:id="5"/>
    <w:tbl>
      <w:tblPr>
        <w:tblStyle w:val="3"/>
        <w:tblW w:w="9962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"/>
        <w:gridCol w:w="780"/>
        <w:gridCol w:w="2820"/>
        <w:gridCol w:w="2370"/>
        <w:gridCol w:w="720"/>
        <w:gridCol w:w="826"/>
        <w:gridCol w:w="1424"/>
      </w:tblGrid>
      <w:tr w14:paraId="268609C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 w14:paraId="1565E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包号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607FC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序号</w:t>
            </w:r>
          </w:p>
        </w:tc>
        <w:tc>
          <w:tcPr>
            <w:tcW w:w="2820" w:type="dxa"/>
            <w:tcBorders>
              <w:tl2br w:val="nil"/>
              <w:tr2bl w:val="nil"/>
            </w:tcBorders>
            <w:vAlign w:val="center"/>
          </w:tcPr>
          <w:p w14:paraId="1E636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标的名称</w:t>
            </w: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 w14:paraId="7D855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品目分类编码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43614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计量单位</w:t>
            </w:r>
          </w:p>
        </w:tc>
        <w:tc>
          <w:tcPr>
            <w:tcW w:w="826" w:type="dxa"/>
            <w:tcBorders>
              <w:tl2br w:val="nil"/>
              <w:tr2bl w:val="nil"/>
            </w:tcBorders>
            <w:vAlign w:val="center"/>
          </w:tcPr>
          <w:p w14:paraId="12192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数量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vAlign w:val="center"/>
          </w:tcPr>
          <w:p w14:paraId="6BCBC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微软雅黑" w:hAnsi="微软雅黑" w:eastAsia="微软雅黑" w:cs="微软雅黑"/>
                <w:b/>
                <w:bCs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2"/>
              </w:rPr>
              <w:t>是否进口</w:t>
            </w:r>
          </w:p>
        </w:tc>
      </w:tr>
      <w:tr w14:paraId="21CD77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2" w:type="dxa"/>
            <w:tcBorders>
              <w:tl2br w:val="nil"/>
              <w:tr2bl w:val="nil"/>
            </w:tcBorders>
            <w:vAlign w:val="center"/>
          </w:tcPr>
          <w:p w14:paraId="58511C11">
            <w:pPr>
              <w:keepNext w:val="0"/>
              <w:keepLines w:val="0"/>
              <w:pageBreakBefore w:val="0"/>
              <w:widowControl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color w:val="auto"/>
                <w:kern w:val="2"/>
                <w:sz w:val="22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1"/>
                <w:lang w:val="en-US" w:eastAsia="zh-CN" w:bidi="ar-SA"/>
              </w:rPr>
              <w:t>包1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7DCB68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40" w:firstLineChars="0"/>
              <w:jc w:val="center"/>
              <w:textAlignment w:val="auto"/>
              <w:rPr>
                <w:rFonts w:ascii="微软雅黑" w:hAnsi="微软雅黑" w:eastAsia="微软雅黑" w:cs="微软雅黑"/>
                <w:color w:val="auto"/>
                <w:kern w:val="2"/>
                <w:sz w:val="22"/>
                <w:szCs w:val="21"/>
                <w:lang w:val="en-US" w:eastAsia="zh-CN" w:bidi="ar-SA"/>
              </w:rPr>
            </w:pPr>
          </w:p>
        </w:tc>
        <w:tc>
          <w:tcPr>
            <w:tcW w:w="2820" w:type="dxa"/>
            <w:tcBorders>
              <w:tl2br w:val="nil"/>
              <w:tr2bl w:val="nil"/>
            </w:tcBorders>
            <w:vAlign w:val="center"/>
          </w:tcPr>
          <w:p w14:paraId="586D0FB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center"/>
              <w:textAlignment w:val="auto"/>
              <w:rPr>
                <w:rFonts w:ascii="微软雅黑" w:hAnsi="微软雅黑" w:eastAsia="微软雅黑" w:cs="微软雅黑"/>
                <w:i/>
                <w:i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  <w:t>湖南旅游技师学院准军事化管理</w:t>
            </w:r>
          </w:p>
        </w:tc>
        <w:tc>
          <w:tcPr>
            <w:tcW w:w="2370" w:type="dxa"/>
            <w:tcBorders>
              <w:tl2br w:val="nil"/>
              <w:tr2bl w:val="nil"/>
            </w:tcBorders>
            <w:vAlign w:val="center"/>
          </w:tcPr>
          <w:p w14:paraId="64BA9F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center"/>
              <w:textAlignment w:val="auto"/>
              <w:rPr>
                <w:rFonts w:hint="default" w:ascii="微软雅黑" w:hAnsi="微软雅黑" w:eastAsia="微软雅黑" w:cs="微软雅黑"/>
                <w:i/>
                <w:i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  <w:t>C02030500-技工学校教育服务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312C3C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</w:p>
        </w:tc>
        <w:tc>
          <w:tcPr>
            <w:tcW w:w="826" w:type="dxa"/>
            <w:tcBorders>
              <w:tl2br w:val="nil"/>
              <w:tr2bl w:val="nil"/>
            </w:tcBorders>
            <w:vAlign w:val="center"/>
          </w:tcPr>
          <w:p w14:paraId="0DB281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vAlign w:val="center"/>
          </w:tcPr>
          <w:p w14:paraId="23B740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tabs>
                <w:tab w:val="left" w:pos="3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center"/>
              <w:textAlignment w:val="auto"/>
              <w:rPr>
                <w:rFonts w:ascii="微软雅黑" w:hAnsi="微软雅黑" w:eastAsia="微软雅黑" w:cs="微软雅黑"/>
                <w:i/>
                <w:iCs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22"/>
                <w:szCs w:val="22"/>
                <w:lang w:val="en-US" w:eastAsia="zh-CN" w:bidi="ar-SA"/>
              </w:rPr>
              <w:t>否</w:t>
            </w:r>
          </w:p>
        </w:tc>
      </w:tr>
    </w:tbl>
    <w:p w14:paraId="3DD2DF4E">
      <w:pPr>
        <w:keepNext/>
        <w:keepLines/>
        <w:widowControl w:val="0"/>
        <w:numPr>
          <w:ilvl w:val="0"/>
          <w:numId w:val="0"/>
        </w:numPr>
        <w:tabs>
          <w:tab w:val="left" w:pos="0"/>
        </w:tabs>
        <w:bidi w:val="0"/>
        <w:spacing w:before="160" w:after="290" w:line="240" w:lineRule="auto"/>
        <w:ind w:left="0" w:leftChars="0" w:firstLine="480" w:firstLineChars="200"/>
        <w:jc w:val="both"/>
        <w:outlineLvl w:val="1"/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</w:pPr>
      <w:bookmarkStart w:id="6" w:name="_Toc18646"/>
      <w:bookmarkStart w:id="7" w:name="_Toc29980"/>
      <w:bookmarkStart w:id="8" w:name="_Toc9494"/>
      <w:r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（四）</w:t>
      </w:r>
      <w:bookmarkStart w:id="9" w:name="_Toc25942"/>
      <w:bookmarkStart w:id="10" w:name="_Toc29920"/>
      <w:r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项目需遵循的有关标准和规范（包括但不限于）</w:t>
      </w:r>
      <w:bookmarkEnd w:id="6"/>
      <w:bookmarkEnd w:id="9"/>
      <w:bookmarkEnd w:id="10"/>
    </w:p>
    <w:p w14:paraId="6634DDE4">
      <w:pPr>
        <w:spacing w:line="360" w:lineRule="auto"/>
        <w:ind w:firstLine="480" w:firstLineChars="200"/>
        <w:rPr>
          <w:rFonts w:hint="default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2022年修订的《中华人民共和国职业教育法》：</w:t>
      </w:r>
      <w:r>
        <w:rPr>
          <w:rFonts w:hint="default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（第五章）规定学生相关事项</w:t>
      </w:r>
      <w:r>
        <w:rPr>
          <w:rFonts w:hint="eastAsia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，</w:t>
      </w:r>
      <w:r>
        <w:rPr>
          <w:rFonts w:hint="default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学生核心义务（第四十九条）</w:t>
      </w:r>
    </w:p>
    <w:p w14:paraId="2042C6A6">
      <w:pPr>
        <w:spacing w:line="360" w:lineRule="auto"/>
        <w:ind w:firstLine="480" w:firstLineChars="200"/>
        <w:rPr>
          <w:rFonts w:hint="eastAsia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Arial Narrow" w:hAnsi="Arial Narrow" w:eastAsia="宋体" w:cs="宋体"/>
          <w:color w:val="auto"/>
          <w:kern w:val="2"/>
          <w:sz w:val="24"/>
          <w:szCs w:val="22"/>
          <w:highlight w:val="none"/>
          <w:lang w:val="en-US" w:eastAsia="zh-CN" w:bidi="ar-SA"/>
        </w:rPr>
        <w:t>《未成年人保护法》：第三章“学校保护”其规定。</w:t>
      </w:r>
    </w:p>
    <w:p w14:paraId="6B53DA74">
      <w:pPr>
        <w:keepNext/>
        <w:keepLines/>
        <w:widowControl w:val="0"/>
        <w:numPr>
          <w:ilvl w:val="0"/>
          <w:numId w:val="0"/>
        </w:numPr>
        <w:tabs>
          <w:tab w:val="left" w:pos="0"/>
        </w:tabs>
        <w:bidi w:val="0"/>
        <w:spacing w:before="160" w:after="290" w:line="240" w:lineRule="auto"/>
        <w:ind w:left="0" w:leftChars="0" w:firstLine="480" w:firstLineChars="200"/>
        <w:jc w:val="both"/>
        <w:outlineLvl w:val="1"/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</w:pPr>
      <w:bookmarkStart w:id="11" w:name="_Toc401"/>
      <w:r>
        <w:rPr>
          <w:rFonts w:hint="eastAsia" w:ascii="Times New Roman" w:hAnsi="Times New Roman" w:eastAsia="黑体" w:cs="Times New Roman"/>
          <w:color w:val="auto"/>
          <w:kern w:val="2"/>
          <w:sz w:val="24"/>
          <w:szCs w:val="24"/>
          <w:lang w:val="en-US" w:eastAsia="zh-CN" w:bidi="ar-SA"/>
        </w:rPr>
        <w:t>（五）技术商务要求</w:t>
      </w:r>
      <w:bookmarkEnd w:id="11"/>
    </w:p>
    <w:bookmarkEnd w:id="7"/>
    <w:bookmarkEnd w:id="8"/>
    <w:p w14:paraId="063B3E7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17" w:lineRule="auto"/>
        <w:ind w:firstLine="482" w:firstLineChars="200"/>
        <w:jc w:val="both"/>
        <w:textAlignment w:val="auto"/>
        <w:outlineLvl w:val="5"/>
        <w:rPr>
          <w:rFonts w:hint="default" w:ascii="Arial" w:hAnsi="Arial" w:eastAsia="黑体" w:cs="宋体"/>
          <w:b/>
          <w:color w:val="auto"/>
          <w:kern w:val="2"/>
          <w:sz w:val="24"/>
          <w:szCs w:val="22"/>
          <w:lang w:val="en-US" w:eastAsia="zh-CN" w:bidi="ar-SA"/>
        </w:rPr>
      </w:pPr>
      <w:r>
        <w:rPr>
          <w:rFonts w:hint="default" w:ascii="Arial" w:hAnsi="Arial" w:eastAsia="黑体" w:cs="宋体"/>
          <w:b/>
          <w:color w:val="auto"/>
          <w:kern w:val="2"/>
          <w:sz w:val="24"/>
          <w:szCs w:val="22"/>
          <w:lang w:val="en-US" w:eastAsia="zh-CN" w:bidi="ar-SA"/>
        </w:rPr>
        <w:t>1.</w:t>
      </w:r>
      <w:r>
        <w:rPr>
          <w:rFonts w:hint="eastAsia" w:ascii="Arial" w:hAnsi="Arial" w:eastAsia="黑体" w:cs="宋体"/>
          <w:b/>
          <w:color w:val="auto"/>
          <w:kern w:val="2"/>
          <w:sz w:val="24"/>
          <w:szCs w:val="22"/>
          <w:lang w:val="en-US" w:eastAsia="zh-CN" w:bidi="ar-SA"/>
        </w:rPr>
        <w:t>技术要求</w:t>
      </w:r>
    </w:p>
    <w:p w14:paraId="2AD461F9">
      <w:pPr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Arial Narrow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Arial Narrow" w:hAnsi="宋体" w:eastAsia="宋体" w:cs="宋体"/>
          <w:color w:val="auto"/>
          <w:kern w:val="2"/>
          <w:sz w:val="24"/>
          <w:szCs w:val="24"/>
          <w:lang w:val="en-US" w:eastAsia="zh-CN" w:bidi="ar-SA"/>
        </w:rPr>
        <w:t>（1）管理目的：为加强学院准军事化管理，规范校园良好的学习、训练、工作和生活秩序，让学生积极健康的成长，奠定每个学生综合素质很强的坚实基础，借助国防教育管理，努力把学院打造成一所高素质教育的校园。通过建立严格的管理机制、高效的执行机制、积极的激励机制、规范学生的行为、改善学生的学习习惯和精神面貌，从而达到校园科学、规范、有序的管理目的。</w:t>
      </w:r>
    </w:p>
    <w:p w14:paraId="22A1FA7B">
      <w:pPr>
        <w:pageBreakBefore w:val="0"/>
        <w:widowControl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Arial Narrow" w:hAnsi="宋体" w:eastAsia="宋体" w:cs="宋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Arial Narrow" w:hAnsi="宋体" w:eastAsia="宋体" w:cs="宋体"/>
          <w:color w:val="auto"/>
          <w:kern w:val="2"/>
          <w:sz w:val="24"/>
          <w:szCs w:val="24"/>
          <w:lang w:val="en-US" w:eastAsia="zh-CN" w:bidi="ar-SA"/>
        </w:rPr>
        <w:t>（2）本项目服务内容主要包括：学生的国防教育、学生的礼仪教育服务、学生的日常生活习惯教育、学院要求的其他教育服务内容等。</w:t>
      </w:r>
    </w:p>
    <w:p w14:paraId="0B3DC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（3）项目总体管理要求</w:t>
      </w:r>
    </w:p>
    <w:p w14:paraId="55EEE3C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以准军事化管理、环境卫生、内务整理、协调服务为主要管理内容。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须认真履行职责，严格按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协议中的质量保证体系做好各项工作，确保在岗在位，各尽其职，保证服务质量。</w:t>
      </w:r>
    </w:p>
    <w:p w14:paraId="5219426E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按照管理内容编制检查表，每日进行检查，发现问题及时整改。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有权对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工作质量进行日常考核、年度考核及不定期考核。</w:t>
      </w:r>
    </w:p>
    <w:p w14:paraId="45D14BBC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必须对上岗人员按规定进行政治审查和岗位培训，并对上岗人员定期进行职业道德教育，教育其端正服务态度、提高服务质量、遵守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的各项规章制度及工作规范，维护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形象，服从领导。对不遵守劳动纪律、工作作风拖拉的人员，经查实后酌情处罚，情节严重的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有权辞退。</w:t>
      </w:r>
    </w:p>
    <w:p w14:paraId="3F6440A1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④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须在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采购人校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内设立专职管理处室，根据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要求，制定各项内部管理制度，制度上墙，由公司派专职主管人员每日进行现场管理，落实好各项制度。</w:t>
      </w:r>
    </w:p>
    <w:p w14:paraId="3EABA242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⑤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全体员工统一着装上岗，管理人员持证上岗。</w:t>
      </w:r>
    </w:p>
    <w:p w14:paraId="110E60A8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在合约期内所聘工作人员须报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认可备案后方可上岗。如果所聘人员不符合要求，必须及时调整，否则，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有权扣除相应费用，直至终止合同。</w:t>
      </w:r>
    </w:p>
    <w:p w14:paraId="3D8EF542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负责支付上岗人员的工资、津贴、社会保险及根据国家规定应支付的有关费用，承担培训、服装等费用。</w:t>
      </w:r>
    </w:p>
    <w:p w14:paraId="5953FB0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除驻校教官外，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不安排上岗人员的住宿。</w:t>
      </w:r>
    </w:p>
    <w:p w14:paraId="715B864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 w:val="0"/>
        <w:snapToGrid w:val="0"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合约期间，工作过程中出现的员工人身安全等事故全部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成交供应商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自行负责，不得向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采购人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提出任何权利要求。</w:t>
      </w:r>
    </w:p>
    <w:p w14:paraId="5684F5FD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2" w:firstLineChars="200"/>
        <w:textAlignment w:val="auto"/>
        <w:rPr>
          <w:rFonts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（4）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安全工作的基本要求</w:t>
      </w:r>
    </w:p>
    <w:p w14:paraId="0E754433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①安全工作是一项经常性，综合性工作，服务商必须坚持预防为主的方针，使安全工作贯穿于教学、训练、工作和生活的全过程，落实好"一岗双责"原则。 </w:t>
      </w:r>
    </w:p>
    <w:p w14:paraId="45B87A61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②建立健全安全机制，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学院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成立安全领导小组，服务商进行日常安全组织，定期分析安全工作形势，查找不安全因素和隐患，负责制定并改进安全措施。 </w:t>
      </w:r>
    </w:p>
    <w:p w14:paraId="2D06311F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③加强安全教育，增强学生的安全意识，正确处理学生中发生的问题，及时化解矛盾，消除各种不利于安全的因素。</w:t>
      </w:r>
    </w:p>
    <w:p w14:paraId="2B84E86B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④严格执行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学院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规章制度，严格遵守教学器材的操作规程及各项安全规定，适时进行作风纪律整顿，促进安全工作落实。</w:t>
      </w:r>
    </w:p>
    <w:p w14:paraId="49229434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⑤根据形势、任务特点和季节变化，突出抓好安全工作。</w:t>
      </w:r>
    </w:p>
    <w:p w14:paraId="355550B9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⑥开展多种形式的安全竞赛活动，定期检查评比，表彰奖励先进单位和个人；发生事故要及时上报，查明原因，正确处理，做到实事求是，赏罚严明。</w:t>
      </w:r>
    </w:p>
    <w:p w14:paraId="3A361521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⑦经常性深入实际，调查研究，及时总结推广先进经验，注意解决实际问题，不断增强安全工作的针对性和预见性。</w:t>
      </w:r>
    </w:p>
    <w:p w14:paraId="20FE4E05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left="420" w:leftChars="200"/>
        <w:textAlignment w:val="auto"/>
        <w:rPr>
          <w:rFonts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（5）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常见事故的预防</w:t>
      </w:r>
    </w:p>
    <w:p w14:paraId="7C64F0D0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①预防训练事故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发生</w:t>
      </w:r>
    </w:p>
    <w:p w14:paraId="0CB44DD7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②预防火灾事故的发生</w:t>
      </w:r>
    </w:p>
    <w:p w14:paraId="1FDEAC8A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③预防溺水事件的发生</w:t>
      </w:r>
    </w:p>
    <w:p w14:paraId="4BD73ED2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④预防触电和雷击事故的发生 </w:t>
      </w:r>
    </w:p>
    <w:p w14:paraId="43DEE2F8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⑤预防中暑事故的发生</w:t>
      </w:r>
    </w:p>
    <w:p w14:paraId="7755D974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⑥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防坠落、防自残自杀、防抽烟、防酗酒引发的事故。</w:t>
      </w:r>
    </w:p>
    <w:p w14:paraId="537B8707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预防冻伤事故的发生</w:t>
      </w:r>
    </w:p>
    <w:p w14:paraId="294914F6">
      <w:pPr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after="120" w:line="52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⑧预防其他事故的发生。</w:t>
      </w:r>
    </w:p>
    <w:p w14:paraId="25DA2C66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采购标的的其他技术、服务要求</w:t>
      </w:r>
    </w:p>
    <w:p w14:paraId="29B99BD8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★①服务要求：军事教官接受采购人（校方）安排，负责指导学生开展从改进两操、整顿内务、规范就餐秩序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、增加军事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社团管理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、健全查铺制度和强化安全教育的各项活动，对学生的日常生活、内务秩序、就餐秩序、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教学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秩序、日常养成、行为作风等进行全程化、规范化的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军事化管理，规范学生的校内行为、改善学生的住宿、就餐习惯，培养学生的规则意识、自律意识，不断增强学生关心军事、热爱国防的使命感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、责任感和光荣感。</w:t>
      </w:r>
    </w:p>
    <w:p w14:paraId="22BE3E65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a.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集合列队。集合号响后，学生动作迅速，队列“快、静、齐、准”，学生精神抖擞。</w:t>
      </w:r>
    </w:p>
    <w:p w14:paraId="32D756BC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B.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内务整理。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宿舍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物品摆放做到“四个一”：毛巾一条线、口杯一条线、鞋子一条线、被子一条线，室内窗明几净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室外干净整洁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</w:p>
    <w:p w14:paraId="32B05998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c.教学秩序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对旷课、上课迟到、早退的学生做好考勤管理，对旷课呆在寝室的学生做好教育工作。</w:t>
      </w:r>
    </w:p>
    <w:p w14:paraId="49C2A5FF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d.文明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礼仪。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着装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文明规范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不穿奇装异服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；见到老师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同学和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来校的客人主动问好。</w:t>
      </w:r>
    </w:p>
    <w:p w14:paraId="1925563A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e.就餐规范。安排两人协助学生科做好就餐秩序的管理，确保就餐秩序井然，严控学生将食品带出食堂。</w:t>
      </w:r>
    </w:p>
    <w:p w14:paraId="247E9DBD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f.宿舍管理。负责宿舍安全排查，就寝纪律、寝室卫生检查等。</w:t>
      </w:r>
    </w:p>
    <w:p w14:paraId="286786E5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g.两操管理。负责学生早操、课间操队列的整理，出操纪律的整顿。</w:t>
      </w:r>
    </w:p>
    <w:p w14:paraId="6138A8F3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h.学生突发事件的处理。负责对打架、校园霸凌、晚上学生生病等突发事件的应对与处置。</w:t>
      </w:r>
    </w:p>
    <w:p w14:paraId="65FDE9F2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i.其他管理：负责学生纪律管理（包括学生仪容仪表、谈恋爱、违规进出校门等），严控外卖进校园。</w:t>
      </w:r>
    </w:p>
    <w:p w14:paraId="7869561F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j.大型活动的组织、纪律的维持、宿舍财产损坏的报送及学生科安排的其他临时性工作。</w:t>
      </w:r>
    </w:p>
    <w:p w14:paraId="39F7B2CE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②由成交供应商派出不低于9名教官（大队长1名，副教官长2人，教官6名）对全体在校学生进行准军事化管理。</w:t>
      </w:r>
    </w:p>
    <w:p w14:paraId="2B6F552E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★a.教官要求：退役军人、公安、司法类学院应往届毕业生，无违纪违法记录，男性50以下，女性45岁以下，教官负责人必须对教官的基本素质、沟通能力、处理事情的能力进行考察，个人资料必须收集备查。</w:t>
      </w:r>
    </w:p>
    <w:p w14:paraId="3484C5D1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★b.男、女性教官人数：女性教官4人，其余为男性教官。</w:t>
      </w:r>
    </w:p>
    <w:p w14:paraId="6DEF316C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★③教官在工作中失职失责，并造成舆情和重大经济损失的，每次根据事情的影响程度给予学院2000-20000元的赔偿金，同一教官同一类型的事情，因失职失责达到3次的必须立即更换合格教官，若未按规定时间更换合格教官，逾期一天，给予学院500元/天赔偿金。</w:t>
      </w:r>
    </w:p>
    <w:p w14:paraId="64712CFB">
      <w:pPr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ind w:firstLine="480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④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应保证所提交资料的真实性，如所提交的资料为虚假资料的，一经核实，按《政府采购法》相应规定处理。</w:t>
      </w:r>
    </w:p>
    <w:p w14:paraId="3EA14661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17" w:lineRule="auto"/>
        <w:ind w:firstLine="482" w:firstLineChars="200"/>
        <w:jc w:val="both"/>
        <w:textAlignment w:val="auto"/>
        <w:outlineLvl w:val="5"/>
        <w:rPr>
          <w:rFonts w:hint="eastAsia" w:ascii="Arial" w:hAnsi="Arial" w:eastAsia="黑体" w:cs="宋体"/>
          <w:b/>
          <w:color w:val="auto"/>
          <w:kern w:val="2"/>
          <w:sz w:val="24"/>
          <w:szCs w:val="22"/>
          <w:lang w:val="en-US" w:eastAsia="zh-CN" w:bidi="ar-SA"/>
        </w:rPr>
      </w:pPr>
      <w:r>
        <w:rPr>
          <w:rFonts w:hint="eastAsia" w:ascii="Arial" w:hAnsi="Arial" w:eastAsia="黑体" w:cs="宋体"/>
          <w:b/>
          <w:color w:val="auto"/>
          <w:kern w:val="2"/>
          <w:sz w:val="24"/>
          <w:szCs w:val="22"/>
          <w:lang w:val="en-US" w:eastAsia="zh-CN" w:bidi="ar-SA"/>
        </w:rPr>
        <w:t>2.商务要求</w:t>
      </w:r>
    </w:p>
    <w:tbl>
      <w:tblPr>
        <w:tblStyle w:val="2"/>
        <w:tblW w:w="9679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854"/>
        <w:gridCol w:w="7206"/>
      </w:tblGrid>
      <w:tr w14:paraId="057E66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shd w:val="clear" w:color="B8CCE4" w:fill="FFFFFF"/>
            <w:noWrap w:val="0"/>
            <w:vAlign w:val="center"/>
          </w:tcPr>
          <w:p w14:paraId="68133D97">
            <w:pPr>
              <w:spacing w:line="360" w:lineRule="exact"/>
              <w:ind w:left="0" w:leftChars="0" w:right="-78" w:rightChars="-37" w:firstLine="0" w:firstLineChars="0"/>
              <w:jc w:val="both"/>
              <w:rPr>
                <w:rFonts w:hint="eastAsia" w:ascii="微软雅黑" w:hAnsi="微软雅黑" w:eastAsia="微软雅黑" w:cs="微软雅黑"/>
                <w:b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B8CCE4" w:fill="FFFFFF"/>
            <w:noWrap w:val="0"/>
            <w:vAlign w:val="center"/>
          </w:tcPr>
          <w:p w14:paraId="7C7D1AE9">
            <w:pPr>
              <w:widowControl/>
              <w:spacing w:line="360" w:lineRule="exact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kern w:val="0"/>
                <w:sz w:val="22"/>
                <w:szCs w:val="22"/>
              </w:rPr>
              <w:t>商务条款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shd w:val="clear" w:color="B8CCE4" w:fill="FFFFFF"/>
            <w:noWrap w:val="0"/>
            <w:vAlign w:val="center"/>
          </w:tcPr>
          <w:p w14:paraId="0D330E4D">
            <w:pPr>
              <w:spacing w:line="360" w:lineRule="exact"/>
              <w:ind w:left="-92" w:leftChars="-44" w:right="-78" w:rightChars="-37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2"/>
                <w:szCs w:val="22"/>
              </w:rPr>
              <w:t>内    容</w:t>
            </w:r>
          </w:p>
        </w:tc>
      </w:tr>
      <w:tr w14:paraId="0457AF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6DD68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4957B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  <w:t>服务期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5F1228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0" w:firstLineChars="200"/>
              <w:jc w:val="left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0"/>
                <w:szCs w:val="20"/>
                <w:lang w:val="en-US" w:eastAsia="zh-CN"/>
              </w:rPr>
              <w:t>3年，合同约定为“1+1+1”，即：第一年合同到期后，由采购人对成交供应商进行考核，考核合格，则续签第二年合同，第二年合同到期后，由采购人对成交供应商进行考核，考核合格，则续签第三年合同。如考核不合格（考核细则附后），则不续签下年合同。</w:t>
            </w:r>
          </w:p>
        </w:tc>
      </w:tr>
      <w:tr w14:paraId="5C8E7F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3E5958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z w:val="20"/>
                <w:szCs w:val="20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52860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  <w:t>服务地点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0C3ED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78" w:rightChars="-37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湖南旅游技师学院，采购人指定地点。</w:t>
            </w:r>
          </w:p>
        </w:tc>
      </w:tr>
      <w:tr w14:paraId="6B5BF21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2BCD05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4F03D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  <w:t>服务范围及服务</w:t>
            </w:r>
          </w:p>
          <w:p w14:paraId="66DB4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  <w:t>事项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shd w:val="clear" w:color="C4BC96" w:fill="auto"/>
            <w:noWrap w:val="0"/>
            <w:vAlign w:val="center"/>
          </w:tcPr>
          <w:p w14:paraId="5BB13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78" w:rightChars="-37" w:firstLine="400" w:firstLineChars="200"/>
              <w:textAlignment w:val="auto"/>
              <w:rPr>
                <w:rFonts w:hint="default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主要包括：学生的国防教育、学生的礼仪教育服务、学生的日常生活习惯教育、学院要求的其他教育服务内容等。</w:t>
            </w:r>
          </w:p>
        </w:tc>
      </w:tr>
      <w:tr w14:paraId="315118B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noWrap w:val="0"/>
            <w:vAlign w:val="center"/>
          </w:tcPr>
          <w:p w14:paraId="64133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vAlign w:val="center"/>
          </w:tcPr>
          <w:p w14:paraId="22427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78" w:rightChars="-37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  <w:t>报价要求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noWrap w:val="0"/>
            <w:vAlign w:val="center"/>
          </w:tcPr>
          <w:p w14:paraId="38541D8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8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auto"/>
                <w:sz w:val="24"/>
                <w:szCs w:val="24"/>
                <w:lang w:val="en-US" w:eastAsia="zh-CN"/>
              </w:rPr>
              <w:t>★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供应商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  <w:t>的报价根据采购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需求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  <w:t>，报出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本次服务内容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  <w:t>的总报价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；</w:t>
            </w:r>
          </w:p>
          <w:p w14:paraId="29E11FA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2、报价为完成本次项目的全部费用价格，其组成包括但不限于人员工资、管理费、办公费、通讯费、培训费、服装费、税金、利润、社会保险费等为完成本次项目所发生的一切费用。成交供应商自行解决员工养老、失业、医疗、工伤、生育、纳税等保险及劳保、工资、福利、住宿、员工上下班交通等有关问题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</w:rPr>
              <w:t>。</w:t>
            </w:r>
          </w:p>
        </w:tc>
      </w:tr>
      <w:tr w14:paraId="5D5A97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noWrap w:val="0"/>
            <w:vAlign w:val="center"/>
          </w:tcPr>
          <w:p w14:paraId="4E0CC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vAlign w:val="center"/>
          </w:tcPr>
          <w:p w14:paraId="5A21B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78" w:rightChars="-37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  <w:highlight w:val="yello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  <w:t>付款方式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noWrap w:val="0"/>
            <w:vAlign w:val="center"/>
          </w:tcPr>
          <w:p w14:paraId="7A15380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default" w:ascii="微软雅黑" w:hAnsi="微软雅黑" w:eastAsia="微软雅黑" w:cs="微软雅黑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color w:val="auto"/>
                <w:sz w:val="20"/>
                <w:szCs w:val="20"/>
                <w:highlight w:val="none"/>
                <w:lang w:val="en-US" w:eastAsia="zh-CN"/>
              </w:rPr>
              <w:t>1、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highlight w:val="none"/>
                <w:lang w:val="en-US" w:eastAsia="zh-CN"/>
              </w:rPr>
              <w:t>按季度结算，</w:t>
            </w:r>
            <w:r>
              <w:rPr>
                <w:rFonts w:hint="default" w:ascii="微软雅黑" w:hAnsi="微软雅黑" w:eastAsia="微软雅黑" w:cs="微软雅黑"/>
                <w:color w:val="auto"/>
                <w:sz w:val="20"/>
                <w:szCs w:val="20"/>
                <w:highlight w:val="none"/>
                <w:lang w:val="en-US" w:eastAsia="zh-CN"/>
              </w:rPr>
              <w:t>采购人在次季度第一个月的15日前支付给成交供应商上季度的服务费，最后一个季度的费用在合同结束后15日内结清。（遇节假日顺延）。</w:t>
            </w:r>
          </w:p>
          <w:p w14:paraId="056CF98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default" w:ascii="Calibri" w:hAnsi="Calibri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color w:val="auto"/>
                <w:sz w:val="20"/>
                <w:szCs w:val="20"/>
                <w:highlight w:val="none"/>
                <w:lang w:val="en-US" w:eastAsia="zh-CN"/>
              </w:rPr>
              <w:t>2、每季由成交供应商按合同总额的季平均数向采购人结算，采购人凭成交供应商开具的正式发票进行支付。</w:t>
            </w:r>
          </w:p>
        </w:tc>
      </w:tr>
      <w:tr w14:paraId="7EBB8EE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noWrap w:val="0"/>
            <w:vAlign w:val="center"/>
          </w:tcPr>
          <w:p w14:paraId="4061BD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vAlign w:val="center"/>
          </w:tcPr>
          <w:p w14:paraId="58AFB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78" w:rightChars="-37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</w:rPr>
              <w:t>验收要求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noWrap w:val="0"/>
            <w:vAlign w:val="center"/>
          </w:tcPr>
          <w:p w14:paraId="40DA6F3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履约验收主体</w:t>
            </w:r>
          </w:p>
          <w:p w14:paraId="069878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采购人∶湖南旅游技师学院</w:t>
            </w:r>
          </w:p>
          <w:p w14:paraId="641E4FA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2、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履约验收时间</w:t>
            </w:r>
          </w:p>
          <w:p w14:paraId="31E7EA3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日常考核持续贯穿整个服务期；每服务年度届满后开展年度阶段性验收；合同服务期满，完成全部服务事项后组织项目综合验收。验收在服务周期结束后规定时限内完成</w:t>
            </w:r>
          </w:p>
          <w:p w14:paraId="4829AEF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3、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履约验收方式</w:t>
            </w:r>
          </w:p>
          <w:p w14:paraId="0749F5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 xml:space="preserve"> 采用日常考核+阶段性验收+项目期末综合验收相结合方式。日常由校方开展常态化巡查考评；每年度组织阶段性验收；合同期满开展综合验收。查阅台账资料、现场核查服务成效，结合师生评价，形成验收意见，验收结果作为款项支付依据 </w:t>
            </w:r>
          </w:p>
          <w:p w14:paraId="5DCCC07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4、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履约验收程序</w:t>
            </w:r>
          </w:p>
          <w:p w14:paraId="66BC29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 xml:space="preserve">供应商服务期满或年度服务到期后提交履约报告及相关台账资料；采购人组织验收小组，结合日常考评记录，开展资料审查与现场核查；形成初步验收意见，存在问题责令限期整改；整改完成复核通过后出具履约验收意见书 </w:t>
            </w:r>
          </w:p>
          <w:p w14:paraId="69998A0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5、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履约验收内容</w:t>
            </w:r>
          </w:p>
          <w:p w14:paraId="009ABDD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核查派驻教官人员配置、资质在岗情况；验收内务管理、早操队列、校园秩序、国防教育辅助等服务质量；核查安全管理、应急处置、学生管理合规情况，对照合同服务标准开展考核，验收结果作为付款依据</w:t>
            </w:r>
          </w:p>
          <w:p w14:paraId="2EA596A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6、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履约验收标准</w:t>
            </w:r>
          </w:p>
          <w:p w14:paraId="579DEF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按照合同约定服务要求、人员配置及管理制度开展验收。教官在岗率、内务、队列、校园秩序、国防教育辅助、安全应急管理达到约定标准；无重大安全、学生投诉事件，服务台账资料完整，考核合格方可通过验收。</w:t>
            </w:r>
          </w:p>
        </w:tc>
      </w:tr>
      <w:tr w14:paraId="5B42E08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noWrap w:val="0"/>
            <w:vAlign w:val="center"/>
          </w:tcPr>
          <w:p w14:paraId="7D0BB7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vAlign w:val="center"/>
          </w:tcPr>
          <w:p w14:paraId="7C124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78" w:rightChars="-37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  <w:t>知识产权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noWrap w:val="0"/>
            <w:vAlign w:val="center"/>
          </w:tcPr>
          <w:p w14:paraId="4D30CB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成交供应商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eastAsia="zh-CN"/>
              </w:rPr>
              <w:t>必须保证项目实施过程中所使用全部资料、素材、课程资源等不存在侵犯第三方知识产权情形，如引发侵权纠纷，由供应商承担全部法律及赔偿责任。采购人有权对供应商提交的方案成果享有项目范围内永久使用权。项目涉及供应商自有商标、软件等知识产权仍归供应商所有，采购人仅可按合同约定使用。</w:t>
            </w:r>
          </w:p>
        </w:tc>
      </w:tr>
      <w:tr w14:paraId="5F32935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19" w:type="dxa"/>
            <w:tcBorders>
              <w:tl2br w:val="nil"/>
              <w:tr2bl w:val="nil"/>
            </w:tcBorders>
            <w:noWrap w:val="0"/>
            <w:vAlign w:val="center"/>
          </w:tcPr>
          <w:p w14:paraId="7C3AB6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10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-65" w:rightChars="-31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vAlign w:val="center"/>
          </w:tcPr>
          <w:p w14:paraId="09465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57" w:leftChars="-27" w:right="-78" w:rightChars="-37"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auto"/>
                <w:sz w:val="20"/>
                <w:szCs w:val="20"/>
                <w:lang w:val="en-US" w:eastAsia="zh-CN"/>
              </w:rPr>
              <w:t>其他要求</w:t>
            </w:r>
          </w:p>
        </w:tc>
        <w:tc>
          <w:tcPr>
            <w:tcW w:w="7206" w:type="dxa"/>
            <w:tcBorders>
              <w:tl2br w:val="nil"/>
              <w:tr2bl w:val="nil"/>
            </w:tcBorders>
            <w:noWrap w:val="0"/>
            <w:vAlign w:val="center"/>
          </w:tcPr>
          <w:p w14:paraId="710BBD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400" w:firstLineChars="200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1、成交供应商不得将项目转包、分包。在服务期间，自负盈亏，自担所有风险。</w:t>
            </w:r>
          </w:p>
          <w:p w14:paraId="49EB58B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351"/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-50" w:rightChars="-24" w:firstLine="380" w:firstLineChars="200"/>
              <w:textAlignment w:val="auto"/>
              <w:rPr>
                <w:rFonts w:hint="default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auto"/>
                <w:spacing w:val="0"/>
                <w:sz w:val="19"/>
                <w:szCs w:val="19"/>
                <w:shd w:val="clear" w:fill="FFFFFF"/>
              </w:rPr>
              <w:t>★</w:t>
            </w:r>
            <w:r>
              <w:rPr>
                <w:rFonts w:hint="eastAsia" w:ascii="微软雅黑" w:hAnsi="微软雅黑" w:eastAsia="微软雅黑" w:cs="微软雅黑"/>
                <w:color w:val="auto"/>
                <w:sz w:val="20"/>
                <w:szCs w:val="20"/>
                <w:lang w:val="en-US" w:eastAsia="zh-CN"/>
              </w:rPr>
              <w:t>2、合同签订后，成交供应商须在7个工作日内安排采购文件规定的人员到岗履职，若成交供应商未按规定的人员数量及要求到岗，采购人有权取消成交供应商的资格。</w:t>
            </w:r>
          </w:p>
        </w:tc>
      </w:tr>
    </w:tbl>
    <w:p w14:paraId="5D92B1C1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adjustRightInd/>
        <w:snapToGrid/>
        <w:spacing w:line="360" w:lineRule="auto"/>
        <w:ind w:firstLine="418" w:firstLineChars="200"/>
        <w:jc w:val="left"/>
        <w:textAlignment w:val="auto"/>
        <w:rPr>
          <w:rFonts w:hint="eastAsia" w:ascii="Calibri" w:hAnsi="Calibri" w:eastAsia="宋体" w:cs="宋体"/>
          <w:color w:val="auto"/>
          <w:sz w:val="2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6"/>
          <w:sz w:val="22"/>
          <w:szCs w:val="22"/>
          <w:lang w:eastAsia="zh-CN"/>
        </w:rPr>
        <w:t>说明：上述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2"/>
          <w:szCs w:val="22"/>
          <w:lang w:val="en-US" w:eastAsia="zh-CN"/>
        </w:rPr>
        <w:t>采购需求清单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2"/>
          <w:szCs w:val="22"/>
          <w:lang w:eastAsia="zh-CN"/>
        </w:rPr>
        <w:t>中用“★”符号标明的条款为实质性要求和条件，对其中任何一条的偏离，为实质性偏离，其投标无效；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2"/>
          <w:szCs w:val="22"/>
          <w:lang w:val="en-US" w:eastAsia="zh-CN"/>
        </w:rPr>
        <w:t>未标注“★” 的条款为非实质性要求和条件，视为非实质性偏离，非实质性负偏离达5项以上（含5项）为无效投标</w:t>
      </w:r>
      <w:r>
        <w:rPr>
          <w:rFonts w:hint="eastAsia" w:ascii="宋体" w:hAnsi="宋体" w:eastAsia="宋体" w:cs="宋体"/>
          <w:b/>
          <w:bCs/>
          <w:color w:val="auto"/>
          <w:spacing w:val="-6"/>
          <w:sz w:val="22"/>
          <w:szCs w:val="22"/>
          <w:lang w:eastAsia="zh-CN"/>
        </w:rPr>
        <w:t>。</w:t>
      </w:r>
    </w:p>
    <w:p w14:paraId="36133AC8">
      <w:bookmarkStart w:id="12" w:name="_GoBack"/>
      <w:bookmarkEnd w:id="1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25AAFB"/>
    <w:multiLevelType w:val="singleLevel"/>
    <w:tmpl w:val="AA25AAFB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">
    <w:nsid w:val="0D8AABEB"/>
    <w:multiLevelType w:val="singleLevel"/>
    <w:tmpl w:val="0D8AABEB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A30361"/>
    <w:rsid w:val="7FA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2026-10-22T01:32:00Z</dcterms:created>
  <dc:creator>zhao</dc:creator>
  <cp:lastModifiedBy>zhao</cp:lastModifiedBy>
  <dcterms:modified xsi:type="dcterms:W3CDTF">2026-10-22T01:33:02Z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34E90A2EA6644BC0A2A07F2C850365E7_11</vt:lpwstr>
  </property>
  <property fmtid="{D5CDD505-2E9C-101B-9397-08002B2CF9AE}" pid="4" name="KSOTemplateDocerSaveRecord">
    <vt:lpwstr>eyJoZGlkIjoiMTk3ZjNkY2FlZmYyMjA1Y2YzNmIxZmJjY2Y4OWM2ZDciLCJ1c2VySWQiOiIyMjk2NDU3MjIifQ==</vt:lpwstr>
  </property>
</Properties>
</file>