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42FA3">
      <w:pPr>
        <w:pStyle w:val="11"/>
        <w:rPr>
          <w:b/>
          <w:color w:val="auto"/>
          <w:sz w:val="36"/>
          <w:highlight w:val="none"/>
        </w:rPr>
      </w:pPr>
    </w:p>
    <w:p w14:paraId="4E8BF58A">
      <w:pPr>
        <w:pStyle w:val="11"/>
        <w:rPr>
          <w:b/>
          <w:color w:val="auto"/>
          <w:sz w:val="36"/>
          <w:highlight w:val="none"/>
        </w:rPr>
      </w:pPr>
    </w:p>
    <w:p w14:paraId="729BF75F">
      <w:pPr>
        <w:pStyle w:val="11"/>
        <w:rPr>
          <w:b/>
          <w:color w:val="auto"/>
          <w:sz w:val="36"/>
          <w:highlight w:val="none"/>
        </w:rPr>
      </w:pPr>
    </w:p>
    <w:p w14:paraId="58E3B971">
      <w:pPr>
        <w:pStyle w:val="11"/>
        <w:rPr>
          <w:b/>
          <w:color w:val="auto"/>
          <w:sz w:val="36"/>
          <w:highlight w:val="none"/>
        </w:rPr>
      </w:pPr>
    </w:p>
    <w:p w14:paraId="7B4E5F67">
      <w:pPr>
        <w:pStyle w:val="11"/>
        <w:spacing w:before="2"/>
        <w:rPr>
          <w:b/>
          <w:color w:val="auto"/>
          <w:sz w:val="41"/>
          <w:highlight w:val="none"/>
        </w:rPr>
      </w:pPr>
    </w:p>
    <w:p w14:paraId="6B6199C2">
      <w:pPr>
        <w:pStyle w:val="14"/>
        <w:jc w:val="center"/>
        <w:rPr>
          <w:rFonts w:hint="eastAsia" w:hAnsi="宋体" w:cs="宋体"/>
          <w:b/>
          <w:bCs/>
          <w:color w:val="000000"/>
          <w:sz w:val="84"/>
          <w:szCs w:val="84"/>
        </w:rPr>
      </w:pPr>
      <w:r>
        <w:rPr>
          <w:rFonts w:hint="eastAsia" w:hAnsi="宋体" w:cs="宋体"/>
          <w:b/>
          <w:color w:val="000000"/>
          <w:sz w:val="84"/>
          <w:szCs w:val="84"/>
        </w:rPr>
        <w:t>政 府 采 购</w:t>
      </w:r>
    </w:p>
    <w:p w14:paraId="051B7AAE">
      <w:pPr>
        <w:pStyle w:val="14"/>
        <w:adjustRightInd w:val="0"/>
        <w:snapToGrid w:val="0"/>
        <w:spacing w:line="360" w:lineRule="auto"/>
        <w:jc w:val="center"/>
        <w:rPr>
          <w:rFonts w:hint="eastAsia" w:hAnsi="宋体" w:cs="宋体"/>
          <w:b/>
          <w:color w:val="000000"/>
          <w:sz w:val="84"/>
          <w:szCs w:val="84"/>
        </w:rPr>
      </w:pPr>
      <w:r>
        <w:rPr>
          <w:rFonts w:hint="eastAsia" w:hAnsi="宋体" w:cs="宋体"/>
          <w:b/>
          <w:color w:val="000000"/>
          <w:sz w:val="84"/>
          <w:szCs w:val="84"/>
        </w:rPr>
        <w:t>竞争性磋商文件</w:t>
      </w:r>
    </w:p>
    <w:p w14:paraId="6696D4B4">
      <w:pPr>
        <w:pStyle w:val="14"/>
        <w:adjustRightInd w:val="0"/>
        <w:snapToGrid w:val="0"/>
        <w:spacing w:before="156" w:beforeLines="50" w:line="360" w:lineRule="auto"/>
        <w:ind w:left="887" w:leftChars="403" w:firstLine="157" w:firstLineChars="49"/>
        <w:rPr>
          <w:rFonts w:hint="eastAsia" w:hAnsi="宋体" w:cs="宋体"/>
          <w:b/>
          <w:color w:val="000000"/>
          <w:sz w:val="32"/>
          <w:szCs w:val="32"/>
        </w:rPr>
      </w:pPr>
    </w:p>
    <w:p w14:paraId="7BD315F1">
      <w:pPr>
        <w:pStyle w:val="14"/>
        <w:adjustRightInd w:val="0"/>
        <w:snapToGrid w:val="0"/>
        <w:spacing w:line="480" w:lineRule="auto"/>
        <w:ind w:left="3103" w:leftChars="456" w:hanging="2100" w:hangingChars="700"/>
        <w:jc w:val="left"/>
        <w:rPr>
          <w:rFonts w:hint="eastAsia" w:hAnsi="宋体" w:cs="宋体"/>
          <w:color w:val="000000"/>
          <w:sz w:val="30"/>
          <w:szCs w:val="30"/>
        </w:rPr>
      </w:pPr>
    </w:p>
    <w:p w14:paraId="5D709E59">
      <w:pPr>
        <w:pStyle w:val="14"/>
        <w:adjustRightInd w:val="0"/>
        <w:snapToGrid w:val="0"/>
        <w:spacing w:line="480" w:lineRule="auto"/>
        <w:ind w:left="3103" w:leftChars="456" w:hanging="2100" w:hangingChars="700"/>
        <w:jc w:val="left"/>
        <w:rPr>
          <w:rFonts w:hint="eastAsia" w:hAnsi="宋体" w:cs="宋体"/>
          <w:color w:val="000000"/>
          <w:sz w:val="30"/>
          <w:szCs w:val="30"/>
        </w:rPr>
      </w:pPr>
    </w:p>
    <w:p w14:paraId="5D292FC5">
      <w:pPr>
        <w:pStyle w:val="14"/>
        <w:adjustRightInd w:val="0"/>
        <w:snapToGrid w:val="0"/>
        <w:spacing w:line="480" w:lineRule="auto"/>
        <w:ind w:left="3103" w:leftChars="456" w:hanging="2100" w:hangingChars="700"/>
        <w:jc w:val="left"/>
        <w:rPr>
          <w:rFonts w:hint="eastAsia" w:hAnsi="宋体" w:cs="宋体"/>
          <w:color w:val="000000"/>
          <w:sz w:val="30"/>
          <w:szCs w:val="30"/>
        </w:rPr>
      </w:pPr>
    </w:p>
    <w:p w14:paraId="667A99DB">
      <w:pPr>
        <w:keepNext w:val="0"/>
        <w:keepLines w:val="0"/>
        <w:widowControl/>
        <w:suppressLineNumbers w:val="0"/>
        <w:pBdr>
          <w:left w:val="none" w:color="auto" w:sz="0" w:space="0"/>
        </w:pBdr>
        <w:spacing w:before="75" w:beforeAutospacing="0" w:line="360" w:lineRule="auto"/>
        <w:ind w:firstLine="1200" w:firstLineChars="400"/>
        <w:jc w:val="left"/>
        <w:rPr>
          <w:rFonts w:hint="default" w:ascii="宋体" w:hAnsi="宋体" w:eastAsia="宋体" w:cs="宋体"/>
          <w:color w:val="000000"/>
          <w:sz w:val="30"/>
          <w:szCs w:val="30"/>
          <w:lang w:val="en-US" w:eastAsia="zh-CN"/>
        </w:rPr>
      </w:pPr>
      <w:r>
        <w:rPr>
          <w:rFonts w:hint="eastAsia" w:hAnsi="宋体" w:cs="宋体"/>
          <w:color w:val="000000"/>
          <w:sz w:val="30"/>
          <w:szCs w:val="30"/>
        </w:rPr>
        <w:t>采购项目名称：</w:t>
      </w:r>
      <w:r>
        <w:rPr>
          <w:rFonts w:hint="eastAsia" w:ascii="宋体" w:hAnsi="宋体" w:eastAsia="宋体" w:cs="宋体"/>
          <w:color w:val="000000"/>
          <w:sz w:val="30"/>
          <w:szCs w:val="30"/>
          <w:lang w:val="en-US" w:eastAsia="zh-CN" w:bidi="zh-CN"/>
        </w:rPr>
        <w:t>汨罗市校车接入省“三客一危”监管平台项目</w:t>
      </w:r>
    </w:p>
    <w:p w14:paraId="51929E90">
      <w:pPr>
        <w:pStyle w:val="14"/>
        <w:adjustRightInd w:val="0"/>
        <w:snapToGrid w:val="0"/>
        <w:spacing w:line="360" w:lineRule="auto"/>
        <w:ind w:firstLine="1200" w:firstLineChars="400"/>
        <w:rPr>
          <w:rFonts w:hint="eastAsia" w:ascii="宋体" w:hAnsi="宋体" w:eastAsia="宋体" w:cs="宋体"/>
          <w:color w:val="000000"/>
          <w:sz w:val="30"/>
          <w:szCs w:val="30"/>
          <w:lang w:val="en-US" w:eastAsia="zh-CN" w:bidi="zh-CN"/>
        </w:rPr>
      </w:pPr>
      <w:r>
        <w:rPr>
          <w:rFonts w:hint="eastAsia" w:hAnsi="宋体" w:cs="宋体"/>
          <w:color w:val="000000"/>
          <w:sz w:val="30"/>
          <w:szCs w:val="30"/>
        </w:rPr>
        <w:t>采   购   人：</w:t>
      </w:r>
      <w:r>
        <w:rPr>
          <w:rFonts w:hint="eastAsia" w:hAnsi="宋体" w:cs="宋体"/>
          <w:color w:val="000000"/>
          <w:sz w:val="30"/>
          <w:szCs w:val="30"/>
          <w:lang w:val="en-US" w:eastAsia="zh-CN"/>
        </w:rPr>
        <w:t>汨罗市教育体育局</w:t>
      </w:r>
    </w:p>
    <w:p w14:paraId="4F1093AC">
      <w:pPr>
        <w:pStyle w:val="40"/>
        <w:spacing w:line="360" w:lineRule="auto"/>
        <w:ind w:firstLine="1200" w:firstLineChars="400"/>
        <w:rPr>
          <w:rFonts w:hint="eastAsia" w:ascii="宋体" w:hAnsi="宋体" w:eastAsia="宋体" w:cs="宋体"/>
          <w:color w:val="000000"/>
          <w:sz w:val="30"/>
          <w:szCs w:val="30"/>
          <w:lang w:val="en-US" w:eastAsia="zh-CN" w:bidi="zh-CN"/>
        </w:rPr>
      </w:pPr>
      <w:r>
        <w:rPr>
          <w:rFonts w:hint="eastAsia" w:ascii="宋体" w:hAnsi="宋体" w:eastAsia="宋体" w:cs="宋体"/>
          <w:color w:val="000000"/>
          <w:sz w:val="30"/>
          <w:szCs w:val="30"/>
          <w:lang w:val="en-US" w:eastAsia="zh-CN" w:bidi="zh-CN"/>
        </w:rPr>
        <w:t>采购项目编号：CGXM2026430681000022</w:t>
      </w:r>
    </w:p>
    <w:p w14:paraId="3669B92E">
      <w:pPr>
        <w:pStyle w:val="40"/>
        <w:spacing w:line="360" w:lineRule="auto"/>
        <w:ind w:firstLine="1200" w:firstLineChars="400"/>
        <w:rPr>
          <w:rFonts w:hint="default" w:ascii="宋体" w:hAnsi="宋体" w:eastAsia="宋体" w:cs="宋体"/>
          <w:color w:val="000000"/>
          <w:sz w:val="30"/>
          <w:szCs w:val="30"/>
          <w:lang w:val="en-US" w:eastAsia="zh-CN" w:bidi="zh-CN"/>
        </w:rPr>
      </w:pPr>
      <w:r>
        <w:rPr>
          <w:rFonts w:hint="eastAsia" w:ascii="宋体" w:hAnsi="宋体" w:eastAsia="宋体" w:cs="宋体"/>
          <w:color w:val="000000"/>
          <w:sz w:val="30"/>
          <w:szCs w:val="30"/>
          <w:lang w:val="en-US" w:eastAsia="zh-CN" w:bidi="zh-CN"/>
        </w:rPr>
        <w:t>政府采购编号：(2026)430681000016-1</w:t>
      </w:r>
    </w:p>
    <w:p w14:paraId="1710C0D9">
      <w:pPr>
        <w:pStyle w:val="14"/>
        <w:adjustRightInd w:val="0"/>
        <w:snapToGrid w:val="0"/>
        <w:spacing w:line="360" w:lineRule="auto"/>
        <w:ind w:firstLine="1200" w:firstLineChars="400"/>
        <w:rPr>
          <w:rFonts w:hint="default" w:hAnsi="宋体" w:eastAsia="宋体" w:cs="宋体"/>
          <w:color w:val="000000"/>
          <w:sz w:val="30"/>
          <w:szCs w:val="30"/>
          <w:lang w:val="en-US" w:eastAsia="zh-CN"/>
        </w:rPr>
      </w:pPr>
      <w:r>
        <w:rPr>
          <w:rFonts w:hint="eastAsia" w:hAnsi="宋体" w:cs="宋体"/>
          <w:color w:val="000000"/>
          <w:sz w:val="30"/>
          <w:szCs w:val="30"/>
        </w:rPr>
        <w:t>委托代理编号：</w:t>
      </w:r>
      <w:r>
        <w:rPr>
          <w:rFonts w:hint="eastAsia" w:hAnsi="宋体" w:cs="宋体"/>
          <w:color w:val="000000"/>
          <w:sz w:val="30"/>
          <w:szCs w:val="30"/>
          <w:lang w:val="en-US" w:eastAsia="zh-CN"/>
        </w:rPr>
        <w:t>XJZK2026-F8-023</w:t>
      </w:r>
    </w:p>
    <w:p w14:paraId="48F547C9">
      <w:pPr>
        <w:pStyle w:val="14"/>
        <w:adjustRightInd w:val="0"/>
        <w:snapToGrid w:val="0"/>
        <w:spacing w:line="360" w:lineRule="auto"/>
        <w:ind w:firstLine="1200" w:firstLineChars="400"/>
        <w:jc w:val="both"/>
        <w:rPr>
          <w:rFonts w:hint="default" w:hAnsi="宋体" w:cs="宋体"/>
          <w:b/>
          <w:color w:val="000000"/>
          <w:sz w:val="32"/>
          <w:lang w:val="en-US"/>
        </w:rPr>
      </w:pPr>
      <w:r>
        <w:rPr>
          <w:rFonts w:hint="eastAsia" w:hAnsi="宋体" w:cs="宋体"/>
          <w:color w:val="000000"/>
          <w:sz w:val="30"/>
          <w:szCs w:val="30"/>
        </w:rPr>
        <w:t>采购代理机构：</w:t>
      </w:r>
      <w:r>
        <w:rPr>
          <w:rFonts w:hint="eastAsia" w:hAnsi="宋体" w:cs="宋体"/>
          <w:color w:val="000000"/>
          <w:sz w:val="30"/>
          <w:szCs w:val="30"/>
          <w:lang w:val="en-US" w:eastAsia="zh-CN"/>
        </w:rPr>
        <w:t>湖南湘建智科工程技术有限公司</w:t>
      </w:r>
    </w:p>
    <w:p w14:paraId="5394C100">
      <w:pPr>
        <w:pStyle w:val="14"/>
        <w:adjustRightInd w:val="0"/>
        <w:snapToGrid w:val="0"/>
        <w:spacing w:line="360" w:lineRule="auto"/>
        <w:jc w:val="center"/>
        <w:rPr>
          <w:rFonts w:hint="eastAsia" w:hAnsi="宋体" w:cs="宋体"/>
          <w:b/>
          <w:color w:val="000000"/>
          <w:sz w:val="32"/>
        </w:rPr>
      </w:pPr>
      <w:r>
        <w:rPr>
          <w:rFonts w:hint="eastAsia" w:hAnsi="宋体" w:cs="宋体"/>
          <w:b/>
          <w:color w:val="000000"/>
          <w:sz w:val="32"/>
        </w:rPr>
        <w:t>202</w:t>
      </w:r>
      <w:r>
        <w:rPr>
          <w:rFonts w:hint="eastAsia" w:hAnsi="宋体" w:cs="宋体"/>
          <w:b/>
          <w:color w:val="000000"/>
          <w:sz w:val="32"/>
          <w:lang w:val="en-US" w:eastAsia="zh-CN"/>
        </w:rPr>
        <w:t>6</w:t>
      </w:r>
      <w:r>
        <w:rPr>
          <w:rFonts w:hint="eastAsia" w:hAnsi="宋体" w:cs="宋体"/>
          <w:b/>
          <w:color w:val="000000"/>
          <w:sz w:val="32"/>
        </w:rPr>
        <w:t>年</w:t>
      </w:r>
      <w:r>
        <w:rPr>
          <w:rFonts w:hint="eastAsia" w:hAnsi="宋体" w:cs="宋体"/>
          <w:b/>
          <w:color w:val="000000"/>
          <w:sz w:val="32"/>
          <w:lang w:val="en-US" w:eastAsia="zh-CN"/>
        </w:rPr>
        <w:t>08</w:t>
      </w:r>
      <w:r>
        <w:rPr>
          <w:rFonts w:hint="eastAsia" w:hAnsi="宋体" w:cs="宋体"/>
          <w:b/>
          <w:color w:val="000000"/>
          <w:sz w:val="32"/>
        </w:rPr>
        <w:t>月</w:t>
      </w:r>
    </w:p>
    <w:p w14:paraId="7A608374">
      <w:pPr>
        <w:pStyle w:val="14"/>
        <w:adjustRightInd w:val="0"/>
        <w:snapToGrid w:val="0"/>
        <w:spacing w:line="360" w:lineRule="auto"/>
        <w:jc w:val="center"/>
        <w:rPr>
          <w:rFonts w:hint="eastAsia" w:hAnsi="宋体" w:cs="宋体"/>
          <w:color w:val="000000"/>
          <w:spacing w:val="160"/>
          <w:sz w:val="36"/>
          <w:szCs w:val="36"/>
        </w:rPr>
      </w:pPr>
    </w:p>
    <w:p w14:paraId="49F2FE44">
      <w:pPr>
        <w:pStyle w:val="13"/>
        <w:rPr>
          <w:color w:val="auto"/>
          <w:highlight w:val="none"/>
        </w:rPr>
      </w:pPr>
    </w:p>
    <w:p w14:paraId="1B081F36">
      <w:pPr>
        <w:tabs>
          <w:tab w:val="left" w:pos="679"/>
        </w:tabs>
        <w:spacing w:before="21"/>
        <w:ind w:left="0" w:right="1339" w:firstLine="0"/>
        <w:jc w:val="center"/>
        <w:rPr>
          <w:rFonts w:hint="eastAsia"/>
          <w:color w:val="auto"/>
          <w:sz w:val="36"/>
          <w:highlight w:val="none"/>
          <w:lang w:val="en-US" w:eastAsia="zh-CN"/>
        </w:rPr>
        <w:sectPr>
          <w:headerReference r:id="rId5" w:type="default"/>
          <w:footerReference r:id="rId6" w:type="default"/>
          <w:pgSz w:w="11910" w:h="16840"/>
          <w:pgMar w:top="1460" w:right="600" w:bottom="1440" w:left="1020" w:header="0" w:footer="1161" w:gutter="0"/>
          <w:pgBorders>
            <w:top w:val="none" w:sz="0" w:space="0"/>
            <w:left w:val="none" w:sz="0" w:space="0"/>
            <w:bottom w:val="none" w:sz="0" w:space="0"/>
            <w:right w:val="none" w:sz="0" w:space="0"/>
          </w:pgBorders>
          <w:pgNumType w:fmt="decimal" w:start="1"/>
          <w:cols w:space="720" w:num="1"/>
        </w:sectPr>
      </w:pPr>
      <w:bookmarkStart w:id="0" w:name="第一章 竞争性磋商邀请"/>
      <w:bookmarkEnd w:id="0"/>
    </w:p>
    <w:p w14:paraId="5CF739C0">
      <w:pPr>
        <w:tabs>
          <w:tab w:val="left" w:pos="679"/>
        </w:tabs>
        <w:spacing w:before="21"/>
        <w:ind w:left="0" w:right="1339" w:firstLine="0"/>
        <w:jc w:val="center"/>
        <w:rPr>
          <w:color w:val="auto"/>
          <w:sz w:val="36"/>
          <w:highlight w:val="none"/>
        </w:rPr>
      </w:pPr>
      <w:r>
        <w:rPr>
          <w:rFonts w:hint="eastAsia"/>
          <w:color w:val="auto"/>
          <w:sz w:val="36"/>
          <w:highlight w:val="none"/>
          <w:lang w:val="en-US" w:eastAsia="zh-CN"/>
        </w:rPr>
        <w:t xml:space="preserve">   </w:t>
      </w:r>
    </w:p>
    <w:sdt>
      <w:sdtPr>
        <w:rPr>
          <w:rFonts w:ascii="宋体" w:hAnsi="宋体" w:eastAsia="宋体" w:cs="宋体"/>
          <w:color w:val="auto"/>
          <w:sz w:val="21"/>
          <w:szCs w:val="22"/>
          <w:highlight w:val="none"/>
          <w:lang w:val="zh-CN" w:eastAsia="zh-CN" w:bidi="zh-CN"/>
        </w:rPr>
        <w:id w:val="147465939"/>
        <w15:color w:val="DBDBDB"/>
        <w:docPartObj>
          <w:docPartGallery w:val="Table of Contents"/>
          <w:docPartUnique/>
        </w:docPartObj>
      </w:sdtPr>
      <w:sdtEndPr>
        <w:rPr>
          <w:rFonts w:ascii="宋体" w:hAnsi="宋体" w:eastAsia="宋体" w:cs="宋体"/>
          <w:b/>
          <w:color w:val="auto"/>
          <w:sz w:val="21"/>
          <w:szCs w:val="22"/>
          <w:highlight w:val="none"/>
          <w:lang w:val="zh-CN" w:eastAsia="zh-CN" w:bidi="zh-CN"/>
        </w:rPr>
      </w:sdtEndPr>
      <w:sdtContent>
        <w:p w14:paraId="23FCC505">
          <w:pPr>
            <w:spacing w:before="0" w:beforeLines="0" w:after="0" w:afterLines="0" w:line="240" w:lineRule="auto"/>
            <w:ind w:left="0" w:leftChars="0" w:right="0" w:rightChars="0" w:firstLine="0" w:firstLineChars="0"/>
            <w:jc w:val="center"/>
            <w:rPr>
              <w:rFonts w:ascii="宋体" w:hAnsi="宋体" w:eastAsia="宋体" w:cs="宋体"/>
              <w:color w:val="auto"/>
              <w:sz w:val="21"/>
              <w:szCs w:val="22"/>
              <w:highlight w:val="none"/>
              <w:lang w:val="zh-CN" w:eastAsia="zh-CN" w:bidi="zh-CN"/>
            </w:rPr>
          </w:pPr>
        </w:p>
        <w:p w14:paraId="6FD0726F">
          <w:pPr>
            <w:spacing w:before="0" w:beforeLines="0" w:after="0" w:afterLines="0" w:line="240" w:lineRule="auto"/>
            <w:ind w:left="0" w:leftChars="0" w:right="0" w:rightChars="0" w:firstLine="0" w:firstLineChars="0"/>
            <w:jc w:val="center"/>
            <w:rPr>
              <w:color w:val="auto"/>
              <w:highlight w:val="none"/>
            </w:rPr>
          </w:pPr>
          <w:r>
            <w:rPr>
              <w:rFonts w:ascii="宋体" w:hAnsi="宋体" w:eastAsia="宋体"/>
              <w:b/>
              <w:bCs/>
              <w:color w:val="auto"/>
              <w:sz w:val="30"/>
              <w:szCs w:val="30"/>
              <w:highlight w:val="none"/>
            </w:rPr>
            <w:t>目</w:t>
          </w:r>
          <w:r>
            <w:rPr>
              <w:rFonts w:hint="eastAsia" w:ascii="宋体" w:hAnsi="宋体" w:eastAsia="宋体"/>
              <w:b/>
              <w:bCs/>
              <w:color w:val="auto"/>
              <w:sz w:val="30"/>
              <w:szCs w:val="30"/>
              <w:highlight w:val="none"/>
              <w:lang w:val="en-US" w:eastAsia="zh-CN"/>
            </w:rPr>
            <w:t xml:space="preserve">  </w:t>
          </w:r>
          <w:r>
            <w:rPr>
              <w:rFonts w:ascii="宋体" w:hAnsi="宋体" w:eastAsia="宋体"/>
              <w:b/>
              <w:bCs/>
              <w:color w:val="auto"/>
              <w:sz w:val="30"/>
              <w:szCs w:val="30"/>
              <w:highlight w:val="none"/>
            </w:rPr>
            <w:t>录</w:t>
          </w:r>
        </w:p>
        <w:p w14:paraId="114C8E42">
          <w:pPr>
            <w:pStyle w:val="19"/>
            <w:tabs>
              <w:tab w:val="right" w:leader="dot" w:pos="10290"/>
            </w:tabs>
            <w:rPr>
              <w:color w:val="auto"/>
              <w:highlight w:val="none"/>
            </w:rPr>
          </w:pPr>
          <w:r>
            <w:rPr>
              <w:color w:val="auto"/>
              <w:highlight w:val="none"/>
            </w:rPr>
            <w:fldChar w:fldCharType="begin"/>
          </w:r>
          <w:r>
            <w:rPr>
              <w:color w:val="auto"/>
              <w:highlight w:val="none"/>
            </w:rPr>
            <w:instrText xml:space="preserve">TOC \o "1-2" \h \u </w:instrText>
          </w:r>
          <w:r>
            <w:rPr>
              <w:color w:val="auto"/>
              <w:highlight w:val="none"/>
            </w:rPr>
            <w:fldChar w:fldCharType="separate"/>
          </w:r>
        </w:p>
        <w:p w14:paraId="37D49670">
          <w:pPr>
            <w:pStyle w:val="19"/>
            <w:tabs>
              <w:tab w:val="right" w:leader="dot" w:pos="10290"/>
            </w:tabs>
            <w:rPr>
              <w:rFonts w:hint="eastAsia" w:ascii="宋体" w:hAnsi="宋体" w:eastAsia="宋体" w:cs="宋体"/>
              <w:b/>
              <w:bCs/>
              <w:i w:val="0"/>
              <w:iCs w:val="0"/>
              <w:color w:val="auto"/>
              <w:sz w:val="21"/>
              <w:szCs w:val="21"/>
              <w:highlight w:val="none"/>
            </w:rPr>
          </w:pPr>
          <w:r>
            <w:rPr>
              <w:rFonts w:hint="eastAsia" w:ascii="宋体" w:hAnsi="宋体" w:eastAsia="宋体" w:cs="宋体"/>
              <w:b/>
              <w:bCs/>
              <w:i w:val="0"/>
              <w:iCs w:val="0"/>
              <w:color w:val="auto"/>
              <w:sz w:val="21"/>
              <w:szCs w:val="21"/>
              <w:highlight w:val="none"/>
            </w:rPr>
            <w:fldChar w:fldCharType="begin"/>
          </w:r>
          <w:r>
            <w:rPr>
              <w:rFonts w:hint="eastAsia" w:ascii="宋体" w:hAnsi="宋体" w:eastAsia="宋体" w:cs="宋体"/>
              <w:b/>
              <w:bCs/>
              <w:i w:val="0"/>
              <w:iCs w:val="0"/>
              <w:color w:val="auto"/>
              <w:sz w:val="21"/>
              <w:szCs w:val="21"/>
              <w:highlight w:val="none"/>
            </w:rPr>
            <w:instrText xml:space="preserve"> HYPERLINK \l _Toc30700 </w:instrText>
          </w:r>
          <w:r>
            <w:rPr>
              <w:rFonts w:hint="eastAsia" w:ascii="宋体" w:hAnsi="宋体" w:eastAsia="宋体" w:cs="宋体"/>
              <w:b/>
              <w:bCs/>
              <w:i w:val="0"/>
              <w:iCs w:val="0"/>
              <w:color w:val="auto"/>
              <w:sz w:val="21"/>
              <w:szCs w:val="21"/>
              <w:highlight w:val="none"/>
            </w:rPr>
            <w:fldChar w:fldCharType="separate"/>
          </w:r>
          <w:r>
            <w:rPr>
              <w:rFonts w:hint="eastAsia" w:ascii="宋体" w:hAnsi="宋体" w:eastAsia="宋体" w:cs="宋体"/>
              <w:b/>
              <w:bCs/>
              <w:i w:val="0"/>
              <w:iCs w:val="0"/>
              <w:color w:val="auto"/>
              <w:sz w:val="21"/>
              <w:szCs w:val="21"/>
              <w:highlight w:val="none"/>
            </w:rPr>
            <w:t>第一章 竞争性磋商邀请</w:t>
          </w:r>
          <w:r>
            <w:rPr>
              <w:rFonts w:hint="eastAsia" w:ascii="宋体" w:hAnsi="宋体" w:eastAsia="宋体" w:cs="宋体"/>
              <w:b/>
              <w:bCs/>
              <w:i w:val="0"/>
              <w:iCs w:val="0"/>
              <w:color w:val="auto"/>
              <w:sz w:val="21"/>
              <w:szCs w:val="21"/>
              <w:highlight w:val="none"/>
            </w:rPr>
            <w:tab/>
          </w:r>
          <w:r>
            <w:rPr>
              <w:rFonts w:hint="eastAsia" w:ascii="宋体" w:hAnsi="宋体" w:eastAsia="宋体" w:cs="宋体"/>
              <w:b/>
              <w:bCs/>
              <w:i w:val="0"/>
              <w:iCs w:val="0"/>
              <w:color w:val="auto"/>
              <w:sz w:val="21"/>
              <w:szCs w:val="21"/>
              <w:highlight w:val="none"/>
            </w:rPr>
            <w:fldChar w:fldCharType="begin"/>
          </w:r>
          <w:r>
            <w:rPr>
              <w:rFonts w:hint="eastAsia" w:ascii="宋体" w:hAnsi="宋体" w:eastAsia="宋体" w:cs="宋体"/>
              <w:b/>
              <w:bCs/>
              <w:i w:val="0"/>
              <w:iCs w:val="0"/>
              <w:color w:val="auto"/>
              <w:sz w:val="21"/>
              <w:szCs w:val="21"/>
              <w:highlight w:val="none"/>
            </w:rPr>
            <w:instrText xml:space="preserve"> PAGEREF _Toc30700 \h </w:instrText>
          </w:r>
          <w:r>
            <w:rPr>
              <w:rFonts w:hint="eastAsia" w:ascii="宋体" w:hAnsi="宋体" w:eastAsia="宋体" w:cs="宋体"/>
              <w:b/>
              <w:bCs/>
              <w:i w:val="0"/>
              <w:iCs w:val="0"/>
              <w:color w:val="auto"/>
              <w:sz w:val="21"/>
              <w:szCs w:val="21"/>
              <w:highlight w:val="none"/>
            </w:rPr>
            <w:fldChar w:fldCharType="separate"/>
          </w:r>
          <w:r>
            <w:rPr>
              <w:rFonts w:hint="eastAsia" w:ascii="宋体" w:hAnsi="宋体" w:eastAsia="宋体" w:cs="宋体"/>
              <w:b/>
              <w:bCs/>
              <w:i w:val="0"/>
              <w:iCs w:val="0"/>
              <w:color w:val="auto"/>
              <w:sz w:val="21"/>
              <w:szCs w:val="21"/>
              <w:highlight w:val="none"/>
            </w:rPr>
            <w:t>3</w:t>
          </w:r>
          <w:r>
            <w:rPr>
              <w:rFonts w:hint="eastAsia" w:ascii="宋体" w:hAnsi="宋体" w:eastAsia="宋体" w:cs="宋体"/>
              <w:b/>
              <w:bCs/>
              <w:i w:val="0"/>
              <w:iCs w:val="0"/>
              <w:color w:val="auto"/>
              <w:sz w:val="21"/>
              <w:szCs w:val="21"/>
              <w:highlight w:val="none"/>
            </w:rPr>
            <w:fldChar w:fldCharType="end"/>
          </w:r>
          <w:r>
            <w:rPr>
              <w:rFonts w:hint="eastAsia" w:ascii="宋体" w:hAnsi="宋体" w:eastAsia="宋体" w:cs="宋体"/>
              <w:b/>
              <w:bCs/>
              <w:i w:val="0"/>
              <w:iCs w:val="0"/>
              <w:color w:val="auto"/>
              <w:sz w:val="21"/>
              <w:szCs w:val="21"/>
              <w:highlight w:val="none"/>
            </w:rPr>
            <w:fldChar w:fldCharType="end"/>
          </w:r>
        </w:p>
        <w:p w14:paraId="18A7EE74">
          <w:pPr>
            <w:pStyle w:val="19"/>
            <w:tabs>
              <w:tab w:val="right" w:leader="dot" w:pos="10290"/>
            </w:tabs>
            <w:rPr>
              <w:rFonts w:hint="eastAsia" w:ascii="宋体" w:hAnsi="宋体" w:eastAsia="宋体" w:cs="宋体"/>
              <w:b/>
              <w:bCs/>
              <w:i w:val="0"/>
              <w:iCs w:val="0"/>
              <w:color w:val="auto"/>
              <w:sz w:val="21"/>
              <w:szCs w:val="21"/>
              <w:highlight w:val="none"/>
            </w:rPr>
          </w:pPr>
          <w:r>
            <w:rPr>
              <w:rFonts w:hint="eastAsia" w:ascii="宋体" w:hAnsi="宋体" w:eastAsia="宋体" w:cs="宋体"/>
              <w:b/>
              <w:bCs/>
              <w:i w:val="0"/>
              <w:iCs w:val="0"/>
              <w:color w:val="auto"/>
              <w:sz w:val="21"/>
              <w:szCs w:val="21"/>
              <w:highlight w:val="none"/>
            </w:rPr>
            <w:fldChar w:fldCharType="begin"/>
          </w:r>
          <w:r>
            <w:rPr>
              <w:rFonts w:hint="eastAsia" w:ascii="宋体" w:hAnsi="宋体" w:eastAsia="宋体" w:cs="宋体"/>
              <w:b/>
              <w:bCs/>
              <w:i w:val="0"/>
              <w:iCs w:val="0"/>
              <w:color w:val="auto"/>
              <w:sz w:val="21"/>
              <w:szCs w:val="21"/>
              <w:highlight w:val="none"/>
            </w:rPr>
            <w:instrText xml:space="preserve"> HYPERLINK \l _Toc5858 </w:instrText>
          </w:r>
          <w:r>
            <w:rPr>
              <w:rFonts w:hint="eastAsia" w:ascii="宋体" w:hAnsi="宋体" w:eastAsia="宋体" w:cs="宋体"/>
              <w:b/>
              <w:bCs/>
              <w:i w:val="0"/>
              <w:iCs w:val="0"/>
              <w:color w:val="auto"/>
              <w:sz w:val="21"/>
              <w:szCs w:val="21"/>
              <w:highlight w:val="none"/>
            </w:rPr>
            <w:fldChar w:fldCharType="separate"/>
          </w:r>
          <w:r>
            <w:rPr>
              <w:rFonts w:hint="eastAsia" w:ascii="宋体" w:hAnsi="宋体" w:eastAsia="宋体" w:cs="宋体"/>
              <w:b/>
              <w:bCs/>
              <w:i w:val="0"/>
              <w:iCs w:val="0"/>
              <w:color w:val="auto"/>
              <w:sz w:val="21"/>
              <w:szCs w:val="21"/>
              <w:highlight w:val="none"/>
            </w:rPr>
            <w:t>第二章 磋商须知</w:t>
          </w:r>
          <w:r>
            <w:rPr>
              <w:rFonts w:hint="eastAsia" w:ascii="宋体" w:hAnsi="宋体" w:eastAsia="宋体" w:cs="宋体"/>
              <w:b/>
              <w:bCs/>
              <w:i w:val="0"/>
              <w:iCs w:val="0"/>
              <w:color w:val="auto"/>
              <w:sz w:val="21"/>
              <w:szCs w:val="21"/>
              <w:highlight w:val="none"/>
            </w:rPr>
            <w:tab/>
          </w:r>
          <w:r>
            <w:rPr>
              <w:rFonts w:hint="eastAsia" w:ascii="宋体" w:hAnsi="宋体" w:eastAsia="宋体" w:cs="宋体"/>
              <w:b/>
              <w:bCs/>
              <w:i w:val="0"/>
              <w:iCs w:val="0"/>
              <w:color w:val="auto"/>
              <w:sz w:val="21"/>
              <w:szCs w:val="21"/>
              <w:highlight w:val="none"/>
            </w:rPr>
            <w:fldChar w:fldCharType="begin"/>
          </w:r>
          <w:r>
            <w:rPr>
              <w:rFonts w:hint="eastAsia" w:ascii="宋体" w:hAnsi="宋体" w:eastAsia="宋体" w:cs="宋体"/>
              <w:b/>
              <w:bCs/>
              <w:i w:val="0"/>
              <w:iCs w:val="0"/>
              <w:color w:val="auto"/>
              <w:sz w:val="21"/>
              <w:szCs w:val="21"/>
              <w:highlight w:val="none"/>
            </w:rPr>
            <w:instrText xml:space="preserve"> PAGEREF _Toc5858 \h </w:instrText>
          </w:r>
          <w:r>
            <w:rPr>
              <w:rFonts w:hint="eastAsia" w:ascii="宋体" w:hAnsi="宋体" w:eastAsia="宋体" w:cs="宋体"/>
              <w:b/>
              <w:bCs/>
              <w:i w:val="0"/>
              <w:iCs w:val="0"/>
              <w:color w:val="auto"/>
              <w:sz w:val="21"/>
              <w:szCs w:val="21"/>
              <w:highlight w:val="none"/>
            </w:rPr>
            <w:fldChar w:fldCharType="separate"/>
          </w:r>
          <w:r>
            <w:rPr>
              <w:rFonts w:hint="eastAsia" w:ascii="宋体" w:hAnsi="宋体" w:eastAsia="宋体" w:cs="宋体"/>
              <w:b/>
              <w:bCs/>
              <w:i w:val="0"/>
              <w:iCs w:val="0"/>
              <w:color w:val="auto"/>
              <w:sz w:val="21"/>
              <w:szCs w:val="21"/>
              <w:highlight w:val="none"/>
            </w:rPr>
            <w:t>6</w:t>
          </w:r>
          <w:r>
            <w:rPr>
              <w:rFonts w:hint="eastAsia" w:ascii="宋体" w:hAnsi="宋体" w:eastAsia="宋体" w:cs="宋体"/>
              <w:b/>
              <w:bCs/>
              <w:i w:val="0"/>
              <w:iCs w:val="0"/>
              <w:color w:val="auto"/>
              <w:sz w:val="21"/>
              <w:szCs w:val="21"/>
              <w:highlight w:val="none"/>
            </w:rPr>
            <w:fldChar w:fldCharType="end"/>
          </w:r>
          <w:r>
            <w:rPr>
              <w:rFonts w:hint="eastAsia" w:ascii="宋体" w:hAnsi="宋体" w:eastAsia="宋体" w:cs="宋体"/>
              <w:b/>
              <w:bCs/>
              <w:i w:val="0"/>
              <w:iCs w:val="0"/>
              <w:color w:val="auto"/>
              <w:sz w:val="21"/>
              <w:szCs w:val="21"/>
              <w:highlight w:val="none"/>
            </w:rPr>
            <w:fldChar w:fldCharType="end"/>
          </w:r>
        </w:p>
        <w:p w14:paraId="45327E5D">
          <w:pPr>
            <w:pStyle w:val="21"/>
            <w:tabs>
              <w:tab w:val="right" w:leader="dot" w:pos="10290"/>
            </w:tabs>
            <w:rPr>
              <w:rFonts w:hint="eastAsia" w:ascii="宋体" w:hAnsi="宋体" w:eastAsia="宋体" w:cs="宋体"/>
              <w:b w:val="0"/>
              <w:bCs w:val="0"/>
              <w:i w:val="0"/>
              <w:iCs w:val="0"/>
              <w:color w:val="auto"/>
              <w:sz w:val="21"/>
              <w:szCs w:val="21"/>
              <w:highlight w:val="none"/>
            </w:rPr>
          </w:pPr>
          <w:r>
            <w:rPr>
              <w:rFonts w:hint="eastAsia" w:ascii="宋体" w:hAnsi="宋体" w:eastAsia="宋体" w:cs="宋体"/>
              <w:b w:val="0"/>
              <w:bCs w:val="0"/>
              <w:i w:val="0"/>
              <w:iCs w:val="0"/>
              <w:color w:val="auto"/>
              <w:sz w:val="21"/>
              <w:szCs w:val="21"/>
              <w:highlight w:val="none"/>
            </w:rPr>
            <w:fldChar w:fldCharType="begin"/>
          </w:r>
          <w:r>
            <w:rPr>
              <w:rFonts w:hint="eastAsia" w:ascii="宋体" w:hAnsi="宋体" w:eastAsia="宋体" w:cs="宋体"/>
              <w:b w:val="0"/>
              <w:bCs w:val="0"/>
              <w:i w:val="0"/>
              <w:iCs w:val="0"/>
              <w:color w:val="auto"/>
              <w:sz w:val="21"/>
              <w:szCs w:val="21"/>
              <w:highlight w:val="none"/>
            </w:rPr>
            <w:instrText xml:space="preserve"> HYPERLINK \l _Toc17454 </w:instrText>
          </w:r>
          <w:r>
            <w:rPr>
              <w:rFonts w:hint="eastAsia" w:ascii="宋体" w:hAnsi="宋体" w:eastAsia="宋体" w:cs="宋体"/>
              <w:b w:val="0"/>
              <w:bCs w:val="0"/>
              <w:i w:val="0"/>
              <w:iCs w:val="0"/>
              <w:color w:val="auto"/>
              <w:sz w:val="21"/>
              <w:szCs w:val="21"/>
              <w:highlight w:val="none"/>
            </w:rPr>
            <w:fldChar w:fldCharType="separate"/>
          </w:r>
          <w:r>
            <w:rPr>
              <w:rFonts w:hint="eastAsia" w:ascii="宋体" w:hAnsi="宋体" w:eastAsia="宋体" w:cs="宋体"/>
              <w:b w:val="0"/>
              <w:bCs w:val="0"/>
              <w:i w:val="0"/>
              <w:iCs w:val="0"/>
              <w:color w:val="auto"/>
              <w:sz w:val="21"/>
              <w:szCs w:val="21"/>
              <w:highlight w:val="none"/>
            </w:rPr>
            <w:t>一、说明</w:t>
          </w:r>
          <w:r>
            <w:rPr>
              <w:rFonts w:hint="eastAsia" w:ascii="宋体" w:hAnsi="宋体" w:eastAsia="宋体" w:cs="宋体"/>
              <w:b w:val="0"/>
              <w:bCs w:val="0"/>
              <w:i w:val="0"/>
              <w:iCs w:val="0"/>
              <w:color w:val="auto"/>
              <w:sz w:val="21"/>
              <w:szCs w:val="21"/>
              <w:highlight w:val="none"/>
            </w:rPr>
            <w:tab/>
          </w:r>
          <w:r>
            <w:rPr>
              <w:rFonts w:hint="eastAsia" w:ascii="宋体" w:hAnsi="宋体" w:eastAsia="宋体" w:cs="宋体"/>
              <w:b w:val="0"/>
              <w:bCs w:val="0"/>
              <w:i w:val="0"/>
              <w:iCs w:val="0"/>
              <w:color w:val="auto"/>
              <w:sz w:val="21"/>
              <w:szCs w:val="21"/>
              <w:highlight w:val="none"/>
            </w:rPr>
            <w:fldChar w:fldCharType="begin"/>
          </w:r>
          <w:r>
            <w:rPr>
              <w:rFonts w:hint="eastAsia" w:ascii="宋体" w:hAnsi="宋体" w:eastAsia="宋体" w:cs="宋体"/>
              <w:b w:val="0"/>
              <w:bCs w:val="0"/>
              <w:i w:val="0"/>
              <w:iCs w:val="0"/>
              <w:color w:val="auto"/>
              <w:sz w:val="21"/>
              <w:szCs w:val="21"/>
              <w:highlight w:val="none"/>
            </w:rPr>
            <w:instrText xml:space="preserve"> PAGEREF _Toc17454 \h </w:instrText>
          </w:r>
          <w:r>
            <w:rPr>
              <w:rFonts w:hint="eastAsia" w:ascii="宋体" w:hAnsi="宋体" w:eastAsia="宋体" w:cs="宋体"/>
              <w:b w:val="0"/>
              <w:bCs w:val="0"/>
              <w:i w:val="0"/>
              <w:iCs w:val="0"/>
              <w:color w:val="auto"/>
              <w:sz w:val="21"/>
              <w:szCs w:val="21"/>
              <w:highlight w:val="none"/>
            </w:rPr>
            <w:fldChar w:fldCharType="separate"/>
          </w:r>
          <w:r>
            <w:rPr>
              <w:rFonts w:hint="eastAsia" w:ascii="宋体" w:hAnsi="宋体" w:eastAsia="宋体" w:cs="宋体"/>
              <w:b w:val="0"/>
              <w:bCs w:val="0"/>
              <w:i w:val="0"/>
              <w:iCs w:val="0"/>
              <w:color w:val="auto"/>
              <w:sz w:val="21"/>
              <w:szCs w:val="21"/>
              <w:highlight w:val="none"/>
            </w:rPr>
            <w:t>14</w:t>
          </w:r>
          <w:r>
            <w:rPr>
              <w:rFonts w:hint="eastAsia" w:ascii="宋体" w:hAnsi="宋体" w:eastAsia="宋体" w:cs="宋体"/>
              <w:b w:val="0"/>
              <w:bCs w:val="0"/>
              <w:i w:val="0"/>
              <w:iCs w:val="0"/>
              <w:color w:val="auto"/>
              <w:sz w:val="21"/>
              <w:szCs w:val="21"/>
              <w:highlight w:val="none"/>
            </w:rPr>
            <w:fldChar w:fldCharType="end"/>
          </w:r>
          <w:r>
            <w:rPr>
              <w:rFonts w:hint="eastAsia" w:ascii="宋体" w:hAnsi="宋体" w:eastAsia="宋体" w:cs="宋体"/>
              <w:b w:val="0"/>
              <w:bCs w:val="0"/>
              <w:i w:val="0"/>
              <w:iCs w:val="0"/>
              <w:color w:val="auto"/>
              <w:sz w:val="21"/>
              <w:szCs w:val="21"/>
              <w:highlight w:val="none"/>
            </w:rPr>
            <w:fldChar w:fldCharType="end"/>
          </w:r>
        </w:p>
        <w:p w14:paraId="4BF2C543">
          <w:pPr>
            <w:pStyle w:val="21"/>
            <w:tabs>
              <w:tab w:val="right" w:leader="dot" w:pos="10290"/>
            </w:tabs>
            <w:rPr>
              <w:rFonts w:hint="eastAsia" w:ascii="宋体" w:hAnsi="宋体" w:eastAsia="宋体" w:cs="宋体"/>
              <w:b w:val="0"/>
              <w:bCs w:val="0"/>
              <w:i w:val="0"/>
              <w:iCs w:val="0"/>
              <w:color w:val="auto"/>
              <w:sz w:val="21"/>
              <w:szCs w:val="21"/>
              <w:highlight w:val="none"/>
            </w:rPr>
          </w:pPr>
          <w:r>
            <w:rPr>
              <w:rFonts w:hint="eastAsia" w:ascii="宋体" w:hAnsi="宋体" w:eastAsia="宋体" w:cs="宋体"/>
              <w:b w:val="0"/>
              <w:bCs w:val="0"/>
              <w:i w:val="0"/>
              <w:iCs w:val="0"/>
              <w:color w:val="auto"/>
              <w:sz w:val="21"/>
              <w:szCs w:val="21"/>
              <w:highlight w:val="none"/>
            </w:rPr>
            <w:fldChar w:fldCharType="begin"/>
          </w:r>
          <w:r>
            <w:rPr>
              <w:rFonts w:hint="eastAsia" w:ascii="宋体" w:hAnsi="宋体" w:eastAsia="宋体" w:cs="宋体"/>
              <w:b w:val="0"/>
              <w:bCs w:val="0"/>
              <w:i w:val="0"/>
              <w:iCs w:val="0"/>
              <w:color w:val="auto"/>
              <w:sz w:val="21"/>
              <w:szCs w:val="21"/>
              <w:highlight w:val="none"/>
            </w:rPr>
            <w:instrText xml:space="preserve"> HYPERLINK \l _Toc2011 </w:instrText>
          </w:r>
          <w:r>
            <w:rPr>
              <w:rFonts w:hint="eastAsia" w:ascii="宋体" w:hAnsi="宋体" w:eastAsia="宋体" w:cs="宋体"/>
              <w:b w:val="0"/>
              <w:bCs w:val="0"/>
              <w:i w:val="0"/>
              <w:iCs w:val="0"/>
              <w:color w:val="auto"/>
              <w:sz w:val="21"/>
              <w:szCs w:val="21"/>
              <w:highlight w:val="none"/>
            </w:rPr>
            <w:fldChar w:fldCharType="separate"/>
          </w:r>
          <w:r>
            <w:rPr>
              <w:rFonts w:hint="eastAsia" w:ascii="宋体" w:hAnsi="宋体" w:eastAsia="宋体" w:cs="宋体"/>
              <w:b w:val="0"/>
              <w:bCs w:val="0"/>
              <w:i w:val="0"/>
              <w:iCs w:val="0"/>
              <w:color w:val="auto"/>
              <w:sz w:val="21"/>
              <w:szCs w:val="21"/>
              <w:highlight w:val="none"/>
            </w:rPr>
            <w:t>二、磋商文件</w:t>
          </w:r>
          <w:r>
            <w:rPr>
              <w:rFonts w:hint="eastAsia" w:ascii="宋体" w:hAnsi="宋体" w:eastAsia="宋体" w:cs="宋体"/>
              <w:b w:val="0"/>
              <w:bCs w:val="0"/>
              <w:i w:val="0"/>
              <w:iCs w:val="0"/>
              <w:color w:val="auto"/>
              <w:sz w:val="21"/>
              <w:szCs w:val="21"/>
              <w:highlight w:val="none"/>
            </w:rPr>
            <w:tab/>
          </w:r>
          <w:r>
            <w:rPr>
              <w:rFonts w:hint="eastAsia" w:ascii="宋体" w:hAnsi="宋体" w:eastAsia="宋体" w:cs="宋体"/>
              <w:b w:val="0"/>
              <w:bCs w:val="0"/>
              <w:i w:val="0"/>
              <w:iCs w:val="0"/>
              <w:color w:val="auto"/>
              <w:sz w:val="21"/>
              <w:szCs w:val="21"/>
              <w:highlight w:val="none"/>
            </w:rPr>
            <w:fldChar w:fldCharType="begin"/>
          </w:r>
          <w:r>
            <w:rPr>
              <w:rFonts w:hint="eastAsia" w:ascii="宋体" w:hAnsi="宋体" w:eastAsia="宋体" w:cs="宋体"/>
              <w:b w:val="0"/>
              <w:bCs w:val="0"/>
              <w:i w:val="0"/>
              <w:iCs w:val="0"/>
              <w:color w:val="auto"/>
              <w:sz w:val="21"/>
              <w:szCs w:val="21"/>
              <w:highlight w:val="none"/>
            </w:rPr>
            <w:instrText xml:space="preserve"> PAGEREF _Toc2011 \h </w:instrText>
          </w:r>
          <w:r>
            <w:rPr>
              <w:rFonts w:hint="eastAsia" w:ascii="宋体" w:hAnsi="宋体" w:eastAsia="宋体" w:cs="宋体"/>
              <w:b w:val="0"/>
              <w:bCs w:val="0"/>
              <w:i w:val="0"/>
              <w:iCs w:val="0"/>
              <w:color w:val="auto"/>
              <w:sz w:val="21"/>
              <w:szCs w:val="21"/>
              <w:highlight w:val="none"/>
            </w:rPr>
            <w:fldChar w:fldCharType="separate"/>
          </w:r>
          <w:r>
            <w:rPr>
              <w:rFonts w:hint="eastAsia" w:ascii="宋体" w:hAnsi="宋体" w:eastAsia="宋体" w:cs="宋体"/>
              <w:b w:val="0"/>
              <w:bCs w:val="0"/>
              <w:i w:val="0"/>
              <w:iCs w:val="0"/>
              <w:color w:val="auto"/>
              <w:sz w:val="21"/>
              <w:szCs w:val="21"/>
              <w:highlight w:val="none"/>
            </w:rPr>
            <w:t>16</w:t>
          </w:r>
          <w:r>
            <w:rPr>
              <w:rFonts w:hint="eastAsia" w:ascii="宋体" w:hAnsi="宋体" w:eastAsia="宋体" w:cs="宋体"/>
              <w:b w:val="0"/>
              <w:bCs w:val="0"/>
              <w:i w:val="0"/>
              <w:iCs w:val="0"/>
              <w:color w:val="auto"/>
              <w:sz w:val="21"/>
              <w:szCs w:val="21"/>
              <w:highlight w:val="none"/>
            </w:rPr>
            <w:fldChar w:fldCharType="end"/>
          </w:r>
          <w:r>
            <w:rPr>
              <w:rFonts w:hint="eastAsia" w:ascii="宋体" w:hAnsi="宋体" w:eastAsia="宋体" w:cs="宋体"/>
              <w:b w:val="0"/>
              <w:bCs w:val="0"/>
              <w:i w:val="0"/>
              <w:iCs w:val="0"/>
              <w:color w:val="auto"/>
              <w:sz w:val="21"/>
              <w:szCs w:val="21"/>
              <w:highlight w:val="none"/>
            </w:rPr>
            <w:fldChar w:fldCharType="end"/>
          </w:r>
        </w:p>
        <w:p w14:paraId="1079F1B3">
          <w:pPr>
            <w:pStyle w:val="21"/>
            <w:tabs>
              <w:tab w:val="right" w:leader="dot" w:pos="10290"/>
            </w:tabs>
            <w:rPr>
              <w:rFonts w:hint="eastAsia" w:ascii="宋体" w:hAnsi="宋体" w:eastAsia="宋体" w:cs="宋体"/>
              <w:b w:val="0"/>
              <w:bCs w:val="0"/>
              <w:i w:val="0"/>
              <w:iCs w:val="0"/>
              <w:color w:val="auto"/>
              <w:sz w:val="21"/>
              <w:szCs w:val="21"/>
              <w:highlight w:val="none"/>
            </w:rPr>
          </w:pPr>
          <w:r>
            <w:rPr>
              <w:rFonts w:hint="eastAsia" w:ascii="宋体" w:hAnsi="宋体" w:eastAsia="宋体" w:cs="宋体"/>
              <w:b w:val="0"/>
              <w:bCs w:val="0"/>
              <w:i w:val="0"/>
              <w:iCs w:val="0"/>
              <w:color w:val="auto"/>
              <w:sz w:val="21"/>
              <w:szCs w:val="21"/>
              <w:highlight w:val="none"/>
            </w:rPr>
            <w:fldChar w:fldCharType="begin"/>
          </w:r>
          <w:r>
            <w:rPr>
              <w:rFonts w:hint="eastAsia" w:ascii="宋体" w:hAnsi="宋体" w:eastAsia="宋体" w:cs="宋体"/>
              <w:b w:val="0"/>
              <w:bCs w:val="0"/>
              <w:i w:val="0"/>
              <w:iCs w:val="0"/>
              <w:color w:val="auto"/>
              <w:sz w:val="21"/>
              <w:szCs w:val="21"/>
              <w:highlight w:val="none"/>
            </w:rPr>
            <w:instrText xml:space="preserve"> HYPERLINK \l _Toc26726 </w:instrText>
          </w:r>
          <w:r>
            <w:rPr>
              <w:rFonts w:hint="eastAsia" w:ascii="宋体" w:hAnsi="宋体" w:eastAsia="宋体" w:cs="宋体"/>
              <w:b w:val="0"/>
              <w:bCs w:val="0"/>
              <w:i w:val="0"/>
              <w:iCs w:val="0"/>
              <w:color w:val="auto"/>
              <w:sz w:val="21"/>
              <w:szCs w:val="21"/>
              <w:highlight w:val="none"/>
            </w:rPr>
            <w:fldChar w:fldCharType="separate"/>
          </w:r>
          <w:r>
            <w:rPr>
              <w:rFonts w:hint="eastAsia" w:ascii="宋体" w:hAnsi="宋体" w:eastAsia="宋体" w:cs="宋体"/>
              <w:b w:val="0"/>
              <w:bCs w:val="0"/>
              <w:i w:val="0"/>
              <w:iCs w:val="0"/>
              <w:color w:val="auto"/>
              <w:sz w:val="21"/>
              <w:szCs w:val="21"/>
              <w:highlight w:val="none"/>
            </w:rPr>
            <w:t>三、响应文件</w:t>
          </w:r>
          <w:r>
            <w:rPr>
              <w:rFonts w:hint="eastAsia" w:ascii="宋体" w:hAnsi="宋体" w:eastAsia="宋体" w:cs="宋体"/>
              <w:b w:val="0"/>
              <w:bCs w:val="0"/>
              <w:i w:val="0"/>
              <w:iCs w:val="0"/>
              <w:color w:val="auto"/>
              <w:sz w:val="21"/>
              <w:szCs w:val="21"/>
              <w:highlight w:val="none"/>
            </w:rPr>
            <w:tab/>
          </w:r>
          <w:r>
            <w:rPr>
              <w:rFonts w:hint="eastAsia" w:ascii="宋体" w:hAnsi="宋体" w:eastAsia="宋体" w:cs="宋体"/>
              <w:b w:val="0"/>
              <w:bCs w:val="0"/>
              <w:i w:val="0"/>
              <w:iCs w:val="0"/>
              <w:color w:val="auto"/>
              <w:sz w:val="21"/>
              <w:szCs w:val="21"/>
              <w:highlight w:val="none"/>
            </w:rPr>
            <w:fldChar w:fldCharType="begin"/>
          </w:r>
          <w:r>
            <w:rPr>
              <w:rFonts w:hint="eastAsia" w:ascii="宋体" w:hAnsi="宋体" w:eastAsia="宋体" w:cs="宋体"/>
              <w:b w:val="0"/>
              <w:bCs w:val="0"/>
              <w:i w:val="0"/>
              <w:iCs w:val="0"/>
              <w:color w:val="auto"/>
              <w:sz w:val="21"/>
              <w:szCs w:val="21"/>
              <w:highlight w:val="none"/>
            </w:rPr>
            <w:instrText xml:space="preserve"> PAGEREF _Toc26726 \h </w:instrText>
          </w:r>
          <w:r>
            <w:rPr>
              <w:rFonts w:hint="eastAsia" w:ascii="宋体" w:hAnsi="宋体" w:eastAsia="宋体" w:cs="宋体"/>
              <w:b w:val="0"/>
              <w:bCs w:val="0"/>
              <w:i w:val="0"/>
              <w:iCs w:val="0"/>
              <w:color w:val="auto"/>
              <w:sz w:val="21"/>
              <w:szCs w:val="21"/>
              <w:highlight w:val="none"/>
            </w:rPr>
            <w:fldChar w:fldCharType="separate"/>
          </w:r>
          <w:r>
            <w:rPr>
              <w:rFonts w:hint="eastAsia" w:ascii="宋体" w:hAnsi="宋体" w:eastAsia="宋体" w:cs="宋体"/>
              <w:b w:val="0"/>
              <w:bCs w:val="0"/>
              <w:i w:val="0"/>
              <w:iCs w:val="0"/>
              <w:color w:val="auto"/>
              <w:sz w:val="21"/>
              <w:szCs w:val="21"/>
              <w:highlight w:val="none"/>
            </w:rPr>
            <w:t>17</w:t>
          </w:r>
          <w:r>
            <w:rPr>
              <w:rFonts w:hint="eastAsia" w:ascii="宋体" w:hAnsi="宋体" w:eastAsia="宋体" w:cs="宋体"/>
              <w:b w:val="0"/>
              <w:bCs w:val="0"/>
              <w:i w:val="0"/>
              <w:iCs w:val="0"/>
              <w:color w:val="auto"/>
              <w:sz w:val="21"/>
              <w:szCs w:val="21"/>
              <w:highlight w:val="none"/>
            </w:rPr>
            <w:fldChar w:fldCharType="end"/>
          </w:r>
          <w:r>
            <w:rPr>
              <w:rFonts w:hint="eastAsia" w:ascii="宋体" w:hAnsi="宋体" w:eastAsia="宋体" w:cs="宋体"/>
              <w:b w:val="0"/>
              <w:bCs w:val="0"/>
              <w:i w:val="0"/>
              <w:iCs w:val="0"/>
              <w:color w:val="auto"/>
              <w:sz w:val="21"/>
              <w:szCs w:val="21"/>
              <w:highlight w:val="none"/>
            </w:rPr>
            <w:fldChar w:fldCharType="end"/>
          </w:r>
        </w:p>
        <w:p w14:paraId="394BAB4A">
          <w:pPr>
            <w:pStyle w:val="21"/>
            <w:tabs>
              <w:tab w:val="right" w:leader="dot" w:pos="10290"/>
            </w:tabs>
            <w:rPr>
              <w:rFonts w:hint="eastAsia" w:ascii="宋体" w:hAnsi="宋体" w:eastAsia="宋体" w:cs="宋体"/>
              <w:b w:val="0"/>
              <w:bCs w:val="0"/>
              <w:i w:val="0"/>
              <w:iCs w:val="0"/>
              <w:color w:val="auto"/>
              <w:sz w:val="21"/>
              <w:szCs w:val="21"/>
              <w:highlight w:val="none"/>
            </w:rPr>
          </w:pPr>
          <w:r>
            <w:rPr>
              <w:rFonts w:hint="eastAsia" w:ascii="宋体" w:hAnsi="宋体" w:eastAsia="宋体" w:cs="宋体"/>
              <w:b w:val="0"/>
              <w:bCs w:val="0"/>
              <w:i w:val="0"/>
              <w:iCs w:val="0"/>
              <w:color w:val="auto"/>
              <w:sz w:val="21"/>
              <w:szCs w:val="21"/>
              <w:highlight w:val="none"/>
            </w:rPr>
            <w:fldChar w:fldCharType="begin"/>
          </w:r>
          <w:r>
            <w:rPr>
              <w:rFonts w:hint="eastAsia" w:ascii="宋体" w:hAnsi="宋体" w:eastAsia="宋体" w:cs="宋体"/>
              <w:b w:val="0"/>
              <w:bCs w:val="0"/>
              <w:i w:val="0"/>
              <w:iCs w:val="0"/>
              <w:color w:val="auto"/>
              <w:sz w:val="21"/>
              <w:szCs w:val="21"/>
              <w:highlight w:val="none"/>
            </w:rPr>
            <w:instrText xml:space="preserve"> HYPERLINK \l _Toc13762 </w:instrText>
          </w:r>
          <w:r>
            <w:rPr>
              <w:rFonts w:hint="eastAsia" w:ascii="宋体" w:hAnsi="宋体" w:eastAsia="宋体" w:cs="宋体"/>
              <w:b w:val="0"/>
              <w:bCs w:val="0"/>
              <w:i w:val="0"/>
              <w:iCs w:val="0"/>
              <w:color w:val="auto"/>
              <w:sz w:val="21"/>
              <w:szCs w:val="21"/>
              <w:highlight w:val="none"/>
            </w:rPr>
            <w:fldChar w:fldCharType="separate"/>
          </w:r>
          <w:r>
            <w:rPr>
              <w:rFonts w:hint="eastAsia" w:ascii="宋体" w:hAnsi="宋体" w:eastAsia="宋体" w:cs="宋体"/>
              <w:b w:val="0"/>
              <w:bCs w:val="0"/>
              <w:i w:val="0"/>
              <w:iCs w:val="0"/>
              <w:color w:val="auto"/>
              <w:sz w:val="21"/>
              <w:szCs w:val="21"/>
              <w:highlight w:val="none"/>
            </w:rPr>
            <w:t>四、响应文件的递交</w:t>
          </w:r>
          <w:r>
            <w:rPr>
              <w:rFonts w:hint="eastAsia" w:ascii="宋体" w:hAnsi="宋体" w:eastAsia="宋体" w:cs="宋体"/>
              <w:b w:val="0"/>
              <w:bCs w:val="0"/>
              <w:i w:val="0"/>
              <w:iCs w:val="0"/>
              <w:color w:val="auto"/>
              <w:sz w:val="21"/>
              <w:szCs w:val="21"/>
              <w:highlight w:val="none"/>
            </w:rPr>
            <w:tab/>
          </w:r>
          <w:r>
            <w:rPr>
              <w:rFonts w:hint="eastAsia" w:ascii="宋体" w:hAnsi="宋体" w:eastAsia="宋体" w:cs="宋体"/>
              <w:b w:val="0"/>
              <w:bCs w:val="0"/>
              <w:i w:val="0"/>
              <w:iCs w:val="0"/>
              <w:color w:val="auto"/>
              <w:sz w:val="21"/>
              <w:szCs w:val="21"/>
              <w:highlight w:val="none"/>
            </w:rPr>
            <w:fldChar w:fldCharType="begin"/>
          </w:r>
          <w:r>
            <w:rPr>
              <w:rFonts w:hint="eastAsia" w:ascii="宋体" w:hAnsi="宋体" w:eastAsia="宋体" w:cs="宋体"/>
              <w:b w:val="0"/>
              <w:bCs w:val="0"/>
              <w:i w:val="0"/>
              <w:iCs w:val="0"/>
              <w:color w:val="auto"/>
              <w:sz w:val="21"/>
              <w:szCs w:val="21"/>
              <w:highlight w:val="none"/>
            </w:rPr>
            <w:instrText xml:space="preserve"> PAGEREF _Toc13762 \h </w:instrText>
          </w:r>
          <w:r>
            <w:rPr>
              <w:rFonts w:hint="eastAsia" w:ascii="宋体" w:hAnsi="宋体" w:eastAsia="宋体" w:cs="宋体"/>
              <w:b w:val="0"/>
              <w:bCs w:val="0"/>
              <w:i w:val="0"/>
              <w:iCs w:val="0"/>
              <w:color w:val="auto"/>
              <w:sz w:val="21"/>
              <w:szCs w:val="21"/>
              <w:highlight w:val="none"/>
            </w:rPr>
            <w:fldChar w:fldCharType="separate"/>
          </w:r>
          <w:r>
            <w:rPr>
              <w:rFonts w:hint="eastAsia" w:ascii="宋体" w:hAnsi="宋体" w:eastAsia="宋体" w:cs="宋体"/>
              <w:b w:val="0"/>
              <w:bCs w:val="0"/>
              <w:i w:val="0"/>
              <w:iCs w:val="0"/>
              <w:color w:val="auto"/>
              <w:sz w:val="21"/>
              <w:szCs w:val="21"/>
              <w:highlight w:val="none"/>
            </w:rPr>
            <w:t>20</w:t>
          </w:r>
          <w:r>
            <w:rPr>
              <w:rFonts w:hint="eastAsia" w:ascii="宋体" w:hAnsi="宋体" w:eastAsia="宋体" w:cs="宋体"/>
              <w:b w:val="0"/>
              <w:bCs w:val="0"/>
              <w:i w:val="0"/>
              <w:iCs w:val="0"/>
              <w:color w:val="auto"/>
              <w:sz w:val="21"/>
              <w:szCs w:val="21"/>
              <w:highlight w:val="none"/>
            </w:rPr>
            <w:fldChar w:fldCharType="end"/>
          </w:r>
          <w:r>
            <w:rPr>
              <w:rFonts w:hint="eastAsia" w:ascii="宋体" w:hAnsi="宋体" w:eastAsia="宋体" w:cs="宋体"/>
              <w:b w:val="0"/>
              <w:bCs w:val="0"/>
              <w:i w:val="0"/>
              <w:iCs w:val="0"/>
              <w:color w:val="auto"/>
              <w:sz w:val="21"/>
              <w:szCs w:val="21"/>
              <w:highlight w:val="none"/>
            </w:rPr>
            <w:fldChar w:fldCharType="end"/>
          </w:r>
        </w:p>
        <w:p w14:paraId="33A4D4FD">
          <w:pPr>
            <w:pStyle w:val="21"/>
            <w:tabs>
              <w:tab w:val="right" w:leader="dot" w:pos="10290"/>
            </w:tabs>
            <w:rPr>
              <w:rFonts w:hint="eastAsia" w:ascii="宋体" w:hAnsi="宋体" w:eastAsia="宋体" w:cs="宋体"/>
              <w:b w:val="0"/>
              <w:bCs w:val="0"/>
              <w:i w:val="0"/>
              <w:iCs w:val="0"/>
              <w:color w:val="auto"/>
              <w:sz w:val="21"/>
              <w:szCs w:val="21"/>
              <w:highlight w:val="none"/>
            </w:rPr>
          </w:pPr>
          <w:r>
            <w:rPr>
              <w:rFonts w:hint="eastAsia" w:ascii="宋体" w:hAnsi="宋体" w:eastAsia="宋体" w:cs="宋体"/>
              <w:b w:val="0"/>
              <w:bCs w:val="0"/>
              <w:i w:val="0"/>
              <w:iCs w:val="0"/>
              <w:color w:val="auto"/>
              <w:sz w:val="21"/>
              <w:szCs w:val="21"/>
              <w:highlight w:val="none"/>
            </w:rPr>
            <w:fldChar w:fldCharType="begin"/>
          </w:r>
          <w:r>
            <w:rPr>
              <w:rFonts w:hint="eastAsia" w:ascii="宋体" w:hAnsi="宋体" w:eastAsia="宋体" w:cs="宋体"/>
              <w:b w:val="0"/>
              <w:bCs w:val="0"/>
              <w:i w:val="0"/>
              <w:iCs w:val="0"/>
              <w:color w:val="auto"/>
              <w:sz w:val="21"/>
              <w:szCs w:val="21"/>
              <w:highlight w:val="none"/>
            </w:rPr>
            <w:instrText xml:space="preserve"> HYPERLINK \l _Toc27556 </w:instrText>
          </w:r>
          <w:r>
            <w:rPr>
              <w:rFonts w:hint="eastAsia" w:ascii="宋体" w:hAnsi="宋体" w:eastAsia="宋体" w:cs="宋体"/>
              <w:b w:val="0"/>
              <w:bCs w:val="0"/>
              <w:i w:val="0"/>
              <w:iCs w:val="0"/>
              <w:color w:val="auto"/>
              <w:sz w:val="21"/>
              <w:szCs w:val="21"/>
              <w:highlight w:val="none"/>
            </w:rPr>
            <w:fldChar w:fldCharType="separate"/>
          </w:r>
          <w:r>
            <w:rPr>
              <w:rFonts w:hint="eastAsia" w:ascii="宋体" w:hAnsi="宋体" w:eastAsia="宋体" w:cs="宋体"/>
              <w:b w:val="0"/>
              <w:bCs w:val="0"/>
              <w:i w:val="0"/>
              <w:iCs w:val="0"/>
              <w:color w:val="auto"/>
              <w:sz w:val="21"/>
              <w:szCs w:val="21"/>
              <w:highlight w:val="none"/>
            </w:rPr>
            <w:t>五、 响应文件的磋商与评审</w:t>
          </w:r>
          <w:r>
            <w:rPr>
              <w:rFonts w:hint="eastAsia" w:ascii="宋体" w:hAnsi="宋体" w:eastAsia="宋体" w:cs="宋体"/>
              <w:b w:val="0"/>
              <w:bCs w:val="0"/>
              <w:i w:val="0"/>
              <w:iCs w:val="0"/>
              <w:color w:val="auto"/>
              <w:sz w:val="21"/>
              <w:szCs w:val="21"/>
              <w:highlight w:val="none"/>
            </w:rPr>
            <w:tab/>
          </w:r>
          <w:r>
            <w:rPr>
              <w:rFonts w:hint="eastAsia" w:ascii="宋体" w:hAnsi="宋体" w:eastAsia="宋体" w:cs="宋体"/>
              <w:b w:val="0"/>
              <w:bCs w:val="0"/>
              <w:i w:val="0"/>
              <w:iCs w:val="0"/>
              <w:color w:val="auto"/>
              <w:sz w:val="21"/>
              <w:szCs w:val="21"/>
              <w:highlight w:val="none"/>
            </w:rPr>
            <w:fldChar w:fldCharType="begin"/>
          </w:r>
          <w:r>
            <w:rPr>
              <w:rFonts w:hint="eastAsia" w:ascii="宋体" w:hAnsi="宋体" w:eastAsia="宋体" w:cs="宋体"/>
              <w:b w:val="0"/>
              <w:bCs w:val="0"/>
              <w:i w:val="0"/>
              <w:iCs w:val="0"/>
              <w:color w:val="auto"/>
              <w:sz w:val="21"/>
              <w:szCs w:val="21"/>
              <w:highlight w:val="none"/>
            </w:rPr>
            <w:instrText xml:space="preserve"> PAGEREF _Toc27556 \h </w:instrText>
          </w:r>
          <w:r>
            <w:rPr>
              <w:rFonts w:hint="eastAsia" w:ascii="宋体" w:hAnsi="宋体" w:eastAsia="宋体" w:cs="宋体"/>
              <w:b w:val="0"/>
              <w:bCs w:val="0"/>
              <w:i w:val="0"/>
              <w:iCs w:val="0"/>
              <w:color w:val="auto"/>
              <w:sz w:val="21"/>
              <w:szCs w:val="21"/>
              <w:highlight w:val="none"/>
            </w:rPr>
            <w:fldChar w:fldCharType="separate"/>
          </w:r>
          <w:r>
            <w:rPr>
              <w:rFonts w:hint="eastAsia" w:ascii="宋体" w:hAnsi="宋体" w:eastAsia="宋体" w:cs="宋体"/>
              <w:b w:val="0"/>
              <w:bCs w:val="0"/>
              <w:i w:val="0"/>
              <w:iCs w:val="0"/>
              <w:color w:val="auto"/>
              <w:sz w:val="21"/>
              <w:szCs w:val="21"/>
              <w:highlight w:val="none"/>
            </w:rPr>
            <w:t>21</w:t>
          </w:r>
          <w:r>
            <w:rPr>
              <w:rFonts w:hint="eastAsia" w:ascii="宋体" w:hAnsi="宋体" w:eastAsia="宋体" w:cs="宋体"/>
              <w:b w:val="0"/>
              <w:bCs w:val="0"/>
              <w:i w:val="0"/>
              <w:iCs w:val="0"/>
              <w:color w:val="auto"/>
              <w:sz w:val="21"/>
              <w:szCs w:val="21"/>
              <w:highlight w:val="none"/>
            </w:rPr>
            <w:fldChar w:fldCharType="end"/>
          </w:r>
          <w:r>
            <w:rPr>
              <w:rFonts w:hint="eastAsia" w:ascii="宋体" w:hAnsi="宋体" w:eastAsia="宋体" w:cs="宋体"/>
              <w:b w:val="0"/>
              <w:bCs w:val="0"/>
              <w:i w:val="0"/>
              <w:iCs w:val="0"/>
              <w:color w:val="auto"/>
              <w:sz w:val="21"/>
              <w:szCs w:val="21"/>
              <w:highlight w:val="none"/>
            </w:rPr>
            <w:fldChar w:fldCharType="end"/>
          </w:r>
        </w:p>
        <w:p w14:paraId="6860CFD5">
          <w:pPr>
            <w:pStyle w:val="21"/>
            <w:tabs>
              <w:tab w:val="right" w:leader="dot" w:pos="10290"/>
            </w:tabs>
            <w:rPr>
              <w:rFonts w:hint="eastAsia" w:ascii="宋体" w:hAnsi="宋体" w:eastAsia="宋体" w:cs="宋体"/>
              <w:b w:val="0"/>
              <w:bCs w:val="0"/>
              <w:i w:val="0"/>
              <w:iCs w:val="0"/>
              <w:color w:val="auto"/>
              <w:sz w:val="21"/>
              <w:szCs w:val="21"/>
              <w:highlight w:val="none"/>
            </w:rPr>
          </w:pPr>
          <w:r>
            <w:rPr>
              <w:rFonts w:hint="eastAsia" w:ascii="宋体" w:hAnsi="宋体" w:eastAsia="宋体" w:cs="宋体"/>
              <w:b w:val="0"/>
              <w:bCs w:val="0"/>
              <w:i w:val="0"/>
              <w:iCs w:val="0"/>
              <w:color w:val="auto"/>
              <w:sz w:val="21"/>
              <w:szCs w:val="21"/>
              <w:highlight w:val="none"/>
            </w:rPr>
            <w:fldChar w:fldCharType="begin"/>
          </w:r>
          <w:r>
            <w:rPr>
              <w:rFonts w:hint="eastAsia" w:ascii="宋体" w:hAnsi="宋体" w:eastAsia="宋体" w:cs="宋体"/>
              <w:b w:val="0"/>
              <w:bCs w:val="0"/>
              <w:i w:val="0"/>
              <w:iCs w:val="0"/>
              <w:color w:val="auto"/>
              <w:sz w:val="21"/>
              <w:szCs w:val="21"/>
              <w:highlight w:val="none"/>
            </w:rPr>
            <w:instrText xml:space="preserve"> HYPERLINK \l _Toc28492 </w:instrText>
          </w:r>
          <w:r>
            <w:rPr>
              <w:rFonts w:hint="eastAsia" w:ascii="宋体" w:hAnsi="宋体" w:eastAsia="宋体" w:cs="宋体"/>
              <w:b w:val="0"/>
              <w:bCs w:val="0"/>
              <w:i w:val="0"/>
              <w:iCs w:val="0"/>
              <w:color w:val="auto"/>
              <w:sz w:val="21"/>
              <w:szCs w:val="21"/>
              <w:highlight w:val="none"/>
            </w:rPr>
            <w:fldChar w:fldCharType="separate"/>
          </w:r>
          <w:r>
            <w:rPr>
              <w:rFonts w:hint="eastAsia" w:ascii="宋体" w:hAnsi="宋体" w:eastAsia="宋体" w:cs="宋体"/>
              <w:b w:val="0"/>
              <w:bCs w:val="0"/>
              <w:i w:val="0"/>
              <w:iCs w:val="0"/>
              <w:color w:val="auto"/>
              <w:sz w:val="21"/>
              <w:szCs w:val="21"/>
              <w:highlight w:val="none"/>
            </w:rPr>
            <w:t>六、成交结果信息公布与授予合同</w:t>
          </w:r>
          <w:r>
            <w:rPr>
              <w:rFonts w:hint="eastAsia" w:ascii="宋体" w:hAnsi="宋体" w:eastAsia="宋体" w:cs="宋体"/>
              <w:b w:val="0"/>
              <w:bCs w:val="0"/>
              <w:i w:val="0"/>
              <w:iCs w:val="0"/>
              <w:color w:val="auto"/>
              <w:sz w:val="21"/>
              <w:szCs w:val="21"/>
              <w:highlight w:val="none"/>
            </w:rPr>
            <w:tab/>
          </w:r>
          <w:r>
            <w:rPr>
              <w:rFonts w:hint="eastAsia" w:ascii="宋体" w:hAnsi="宋体" w:eastAsia="宋体" w:cs="宋体"/>
              <w:b w:val="0"/>
              <w:bCs w:val="0"/>
              <w:i w:val="0"/>
              <w:iCs w:val="0"/>
              <w:color w:val="auto"/>
              <w:sz w:val="21"/>
              <w:szCs w:val="21"/>
              <w:highlight w:val="none"/>
            </w:rPr>
            <w:fldChar w:fldCharType="begin"/>
          </w:r>
          <w:r>
            <w:rPr>
              <w:rFonts w:hint="eastAsia" w:ascii="宋体" w:hAnsi="宋体" w:eastAsia="宋体" w:cs="宋体"/>
              <w:b w:val="0"/>
              <w:bCs w:val="0"/>
              <w:i w:val="0"/>
              <w:iCs w:val="0"/>
              <w:color w:val="auto"/>
              <w:sz w:val="21"/>
              <w:szCs w:val="21"/>
              <w:highlight w:val="none"/>
            </w:rPr>
            <w:instrText xml:space="preserve"> PAGEREF _Toc28492 \h </w:instrText>
          </w:r>
          <w:r>
            <w:rPr>
              <w:rFonts w:hint="eastAsia" w:ascii="宋体" w:hAnsi="宋体" w:eastAsia="宋体" w:cs="宋体"/>
              <w:b w:val="0"/>
              <w:bCs w:val="0"/>
              <w:i w:val="0"/>
              <w:iCs w:val="0"/>
              <w:color w:val="auto"/>
              <w:sz w:val="21"/>
              <w:szCs w:val="21"/>
              <w:highlight w:val="none"/>
            </w:rPr>
            <w:fldChar w:fldCharType="separate"/>
          </w:r>
          <w:r>
            <w:rPr>
              <w:rFonts w:hint="eastAsia" w:ascii="宋体" w:hAnsi="宋体" w:eastAsia="宋体" w:cs="宋体"/>
              <w:b w:val="0"/>
              <w:bCs w:val="0"/>
              <w:i w:val="0"/>
              <w:iCs w:val="0"/>
              <w:color w:val="auto"/>
              <w:sz w:val="21"/>
              <w:szCs w:val="21"/>
              <w:highlight w:val="none"/>
            </w:rPr>
            <w:t>25</w:t>
          </w:r>
          <w:r>
            <w:rPr>
              <w:rFonts w:hint="eastAsia" w:ascii="宋体" w:hAnsi="宋体" w:eastAsia="宋体" w:cs="宋体"/>
              <w:b w:val="0"/>
              <w:bCs w:val="0"/>
              <w:i w:val="0"/>
              <w:iCs w:val="0"/>
              <w:color w:val="auto"/>
              <w:sz w:val="21"/>
              <w:szCs w:val="21"/>
              <w:highlight w:val="none"/>
            </w:rPr>
            <w:fldChar w:fldCharType="end"/>
          </w:r>
          <w:r>
            <w:rPr>
              <w:rFonts w:hint="eastAsia" w:ascii="宋体" w:hAnsi="宋体" w:eastAsia="宋体" w:cs="宋体"/>
              <w:b w:val="0"/>
              <w:bCs w:val="0"/>
              <w:i w:val="0"/>
              <w:iCs w:val="0"/>
              <w:color w:val="auto"/>
              <w:sz w:val="21"/>
              <w:szCs w:val="21"/>
              <w:highlight w:val="none"/>
            </w:rPr>
            <w:fldChar w:fldCharType="end"/>
          </w:r>
        </w:p>
        <w:p w14:paraId="25A7C8B8">
          <w:pPr>
            <w:pStyle w:val="21"/>
            <w:tabs>
              <w:tab w:val="right" w:leader="dot" w:pos="10290"/>
            </w:tabs>
            <w:rPr>
              <w:rFonts w:hint="eastAsia" w:ascii="宋体" w:hAnsi="宋体" w:eastAsia="宋体" w:cs="宋体"/>
              <w:b w:val="0"/>
              <w:bCs w:val="0"/>
              <w:i w:val="0"/>
              <w:iCs w:val="0"/>
              <w:color w:val="auto"/>
              <w:sz w:val="21"/>
              <w:szCs w:val="21"/>
              <w:highlight w:val="none"/>
            </w:rPr>
          </w:pPr>
          <w:r>
            <w:rPr>
              <w:rFonts w:hint="eastAsia" w:ascii="宋体" w:hAnsi="宋体" w:eastAsia="宋体" w:cs="宋体"/>
              <w:b w:val="0"/>
              <w:bCs w:val="0"/>
              <w:i w:val="0"/>
              <w:iCs w:val="0"/>
              <w:color w:val="auto"/>
              <w:sz w:val="21"/>
              <w:szCs w:val="21"/>
              <w:highlight w:val="none"/>
            </w:rPr>
            <w:fldChar w:fldCharType="begin"/>
          </w:r>
          <w:r>
            <w:rPr>
              <w:rFonts w:hint="eastAsia" w:ascii="宋体" w:hAnsi="宋体" w:eastAsia="宋体" w:cs="宋体"/>
              <w:b w:val="0"/>
              <w:bCs w:val="0"/>
              <w:i w:val="0"/>
              <w:iCs w:val="0"/>
              <w:color w:val="auto"/>
              <w:sz w:val="21"/>
              <w:szCs w:val="21"/>
              <w:highlight w:val="none"/>
            </w:rPr>
            <w:instrText xml:space="preserve"> HYPERLINK \l _Toc14042 </w:instrText>
          </w:r>
          <w:r>
            <w:rPr>
              <w:rFonts w:hint="eastAsia" w:ascii="宋体" w:hAnsi="宋体" w:eastAsia="宋体" w:cs="宋体"/>
              <w:b w:val="0"/>
              <w:bCs w:val="0"/>
              <w:i w:val="0"/>
              <w:iCs w:val="0"/>
              <w:color w:val="auto"/>
              <w:sz w:val="21"/>
              <w:szCs w:val="21"/>
              <w:highlight w:val="none"/>
            </w:rPr>
            <w:fldChar w:fldCharType="separate"/>
          </w:r>
          <w:r>
            <w:rPr>
              <w:rFonts w:hint="eastAsia" w:ascii="宋体" w:hAnsi="宋体" w:eastAsia="宋体" w:cs="宋体"/>
              <w:b w:val="0"/>
              <w:bCs w:val="0"/>
              <w:i w:val="0"/>
              <w:iCs w:val="0"/>
              <w:color w:val="auto"/>
              <w:sz w:val="21"/>
              <w:szCs w:val="21"/>
              <w:highlight w:val="none"/>
            </w:rPr>
            <w:t>七、其他规定</w:t>
          </w:r>
          <w:r>
            <w:rPr>
              <w:rFonts w:hint="eastAsia" w:ascii="宋体" w:hAnsi="宋体" w:eastAsia="宋体" w:cs="宋体"/>
              <w:b w:val="0"/>
              <w:bCs w:val="0"/>
              <w:i w:val="0"/>
              <w:iCs w:val="0"/>
              <w:color w:val="auto"/>
              <w:sz w:val="21"/>
              <w:szCs w:val="21"/>
              <w:highlight w:val="none"/>
            </w:rPr>
            <w:tab/>
          </w:r>
          <w:r>
            <w:rPr>
              <w:rFonts w:hint="eastAsia" w:ascii="宋体" w:hAnsi="宋体" w:eastAsia="宋体" w:cs="宋体"/>
              <w:b w:val="0"/>
              <w:bCs w:val="0"/>
              <w:i w:val="0"/>
              <w:iCs w:val="0"/>
              <w:color w:val="auto"/>
              <w:sz w:val="21"/>
              <w:szCs w:val="21"/>
              <w:highlight w:val="none"/>
            </w:rPr>
            <w:fldChar w:fldCharType="begin"/>
          </w:r>
          <w:r>
            <w:rPr>
              <w:rFonts w:hint="eastAsia" w:ascii="宋体" w:hAnsi="宋体" w:eastAsia="宋体" w:cs="宋体"/>
              <w:b w:val="0"/>
              <w:bCs w:val="0"/>
              <w:i w:val="0"/>
              <w:iCs w:val="0"/>
              <w:color w:val="auto"/>
              <w:sz w:val="21"/>
              <w:szCs w:val="21"/>
              <w:highlight w:val="none"/>
            </w:rPr>
            <w:instrText xml:space="preserve"> PAGEREF _Toc14042 \h </w:instrText>
          </w:r>
          <w:r>
            <w:rPr>
              <w:rFonts w:hint="eastAsia" w:ascii="宋体" w:hAnsi="宋体" w:eastAsia="宋体" w:cs="宋体"/>
              <w:b w:val="0"/>
              <w:bCs w:val="0"/>
              <w:i w:val="0"/>
              <w:iCs w:val="0"/>
              <w:color w:val="auto"/>
              <w:sz w:val="21"/>
              <w:szCs w:val="21"/>
              <w:highlight w:val="none"/>
            </w:rPr>
            <w:fldChar w:fldCharType="separate"/>
          </w:r>
          <w:r>
            <w:rPr>
              <w:rFonts w:hint="eastAsia" w:ascii="宋体" w:hAnsi="宋体" w:eastAsia="宋体" w:cs="宋体"/>
              <w:b w:val="0"/>
              <w:bCs w:val="0"/>
              <w:i w:val="0"/>
              <w:iCs w:val="0"/>
              <w:color w:val="auto"/>
              <w:sz w:val="21"/>
              <w:szCs w:val="21"/>
              <w:highlight w:val="none"/>
            </w:rPr>
            <w:t>26</w:t>
          </w:r>
          <w:r>
            <w:rPr>
              <w:rFonts w:hint="eastAsia" w:ascii="宋体" w:hAnsi="宋体" w:eastAsia="宋体" w:cs="宋体"/>
              <w:b w:val="0"/>
              <w:bCs w:val="0"/>
              <w:i w:val="0"/>
              <w:iCs w:val="0"/>
              <w:color w:val="auto"/>
              <w:sz w:val="21"/>
              <w:szCs w:val="21"/>
              <w:highlight w:val="none"/>
            </w:rPr>
            <w:fldChar w:fldCharType="end"/>
          </w:r>
          <w:r>
            <w:rPr>
              <w:rFonts w:hint="eastAsia" w:ascii="宋体" w:hAnsi="宋体" w:eastAsia="宋体" w:cs="宋体"/>
              <w:b w:val="0"/>
              <w:bCs w:val="0"/>
              <w:i w:val="0"/>
              <w:iCs w:val="0"/>
              <w:color w:val="auto"/>
              <w:sz w:val="21"/>
              <w:szCs w:val="21"/>
              <w:highlight w:val="none"/>
            </w:rPr>
            <w:fldChar w:fldCharType="end"/>
          </w:r>
        </w:p>
        <w:p w14:paraId="64C40EA4">
          <w:pPr>
            <w:pStyle w:val="19"/>
            <w:tabs>
              <w:tab w:val="right" w:leader="dot" w:pos="10290"/>
            </w:tabs>
            <w:rPr>
              <w:rFonts w:hint="eastAsia" w:ascii="宋体" w:hAnsi="宋体" w:eastAsia="宋体" w:cs="宋体"/>
              <w:b/>
              <w:bCs/>
              <w:i w:val="0"/>
              <w:iCs w:val="0"/>
              <w:color w:val="auto"/>
              <w:sz w:val="21"/>
              <w:szCs w:val="21"/>
              <w:highlight w:val="none"/>
            </w:rPr>
          </w:pPr>
          <w:r>
            <w:rPr>
              <w:rFonts w:hint="eastAsia" w:ascii="宋体" w:hAnsi="宋体" w:eastAsia="宋体" w:cs="宋体"/>
              <w:b/>
              <w:bCs/>
              <w:i w:val="0"/>
              <w:iCs w:val="0"/>
              <w:color w:val="auto"/>
              <w:sz w:val="21"/>
              <w:szCs w:val="21"/>
              <w:highlight w:val="none"/>
            </w:rPr>
            <w:fldChar w:fldCharType="begin"/>
          </w:r>
          <w:r>
            <w:rPr>
              <w:rFonts w:hint="eastAsia" w:ascii="宋体" w:hAnsi="宋体" w:eastAsia="宋体" w:cs="宋体"/>
              <w:b/>
              <w:bCs/>
              <w:i w:val="0"/>
              <w:iCs w:val="0"/>
              <w:color w:val="auto"/>
              <w:sz w:val="21"/>
              <w:szCs w:val="21"/>
              <w:highlight w:val="none"/>
            </w:rPr>
            <w:instrText xml:space="preserve"> HYPERLINK \l _Toc24909 </w:instrText>
          </w:r>
          <w:r>
            <w:rPr>
              <w:rFonts w:hint="eastAsia" w:ascii="宋体" w:hAnsi="宋体" w:eastAsia="宋体" w:cs="宋体"/>
              <w:b/>
              <w:bCs/>
              <w:i w:val="0"/>
              <w:iCs w:val="0"/>
              <w:color w:val="auto"/>
              <w:sz w:val="21"/>
              <w:szCs w:val="21"/>
              <w:highlight w:val="none"/>
            </w:rPr>
            <w:fldChar w:fldCharType="separate"/>
          </w:r>
          <w:r>
            <w:rPr>
              <w:rFonts w:hint="eastAsia" w:ascii="宋体" w:hAnsi="宋体" w:eastAsia="宋体" w:cs="宋体"/>
              <w:b/>
              <w:bCs/>
              <w:i w:val="0"/>
              <w:iCs w:val="0"/>
              <w:color w:val="auto"/>
              <w:sz w:val="21"/>
              <w:szCs w:val="21"/>
              <w:highlight w:val="none"/>
            </w:rPr>
            <w:t xml:space="preserve">第三章 </w:t>
          </w:r>
          <w:r>
            <w:rPr>
              <w:rFonts w:hint="eastAsia" w:ascii="宋体" w:hAnsi="宋体" w:eastAsia="宋体" w:cs="宋体"/>
              <w:b/>
              <w:bCs/>
              <w:i w:val="0"/>
              <w:iCs w:val="0"/>
              <w:color w:val="auto"/>
              <w:sz w:val="21"/>
              <w:szCs w:val="21"/>
              <w:highlight w:val="none"/>
              <w:lang w:val="zh-CN" w:eastAsia="zh-CN"/>
            </w:rPr>
            <w:t>评审方法</w:t>
          </w:r>
          <w:r>
            <w:rPr>
              <w:rFonts w:hint="eastAsia" w:ascii="宋体" w:hAnsi="宋体" w:eastAsia="宋体" w:cs="宋体"/>
              <w:b/>
              <w:bCs/>
              <w:i w:val="0"/>
              <w:iCs w:val="0"/>
              <w:color w:val="auto"/>
              <w:sz w:val="21"/>
              <w:szCs w:val="21"/>
              <w:highlight w:val="none"/>
            </w:rPr>
            <w:tab/>
          </w:r>
          <w:r>
            <w:rPr>
              <w:rFonts w:hint="eastAsia" w:ascii="宋体" w:hAnsi="宋体" w:eastAsia="宋体" w:cs="宋体"/>
              <w:b/>
              <w:bCs/>
              <w:i w:val="0"/>
              <w:iCs w:val="0"/>
              <w:color w:val="auto"/>
              <w:sz w:val="21"/>
              <w:szCs w:val="21"/>
              <w:highlight w:val="none"/>
            </w:rPr>
            <w:fldChar w:fldCharType="begin"/>
          </w:r>
          <w:r>
            <w:rPr>
              <w:rFonts w:hint="eastAsia" w:ascii="宋体" w:hAnsi="宋体" w:eastAsia="宋体" w:cs="宋体"/>
              <w:b/>
              <w:bCs/>
              <w:i w:val="0"/>
              <w:iCs w:val="0"/>
              <w:color w:val="auto"/>
              <w:sz w:val="21"/>
              <w:szCs w:val="21"/>
              <w:highlight w:val="none"/>
            </w:rPr>
            <w:instrText xml:space="preserve"> PAGEREF _Toc24909 \h </w:instrText>
          </w:r>
          <w:r>
            <w:rPr>
              <w:rFonts w:hint="eastAsia" w:ascii="宋体" w:hAnsi="宋体" w:eastAsia="宋体" w:cs="宋体"/>
              <w:b/>
              <w:bCs/>
              <w:i w:val="0"/>
              <w:iCs w:val="0"/>
              <w:color w:val="auto"/>
              <w:sz w:val="21"/>
              <w:szCs w:val="21"/>
              <w:highlight w:val="none"/>
            </w:rPr>
            <w:fldChar w:fldCharType="separate"/>
          </w:r>
          <w:r>
            <w:rPr>
              <w:rFonts w:hint="eastAsia" w:ascii="宋体" w:hAnsi="宋体" w:eastAsia="宋体" w:cs="宋体"/>
              <w:b/>
              <w:bCs/>
              <w:i w:val="0"/>
              <w:iCs w:val="0"/>
              <w:color w:val="auto"/>
              <w:sz w:val="21"/>
              <w:szCs w:val="21"/>
              <w:highlight w:val="none"/>
            </w:rPr>
            <w:t>27</w:t>
          </w:r>
          <w:r>
            <w:rPr>
              <w:rFonts w:hint="eastAsia" w:ascii="宋体" w:hAnsi="宋体" w:eastAsia="宋体" w:cs="宋体"/>
              <w:b/>
              <w:bCs/>
              <w:i w:val="0"/>
              <w:iCs w:val="0"/>
              <w:color w:val="auto"/>
              <w:sz w:val="21"/>
              <w:szCs w:val="21"/>
              <w:highlight w:val="none"/>
            </w:rPr>
            <w:fldChar w:fldCharType="end"/>
          </w:r>
          <w:r>
            <w:rPr>
              <w:rFonts w:hint="eastAsia" w:ascii="宋体" w:hAnsi="宋体" w:eastAsia="宋体" w:cs="宋体"/>
              <w:b/>
              <w:bCs/>
              <w:i w:val="0"/>
              <w:iCs w:val="0"/>
              <w:color w:val="auto"/>
              <w:sz w:val="21"/>
              <w:szCs w:val="21"/>
              <w:highlight w:val="none"/>
            </w:rPr>
            <w:fldChar w:fldCharType="end"/>
          </w:r>
        </w:p>
        <w:p w14:paraId="572523C8">
          <w:pPr>
            <w:pStyle w:val="19"/>
            <w:tabs>
              <w:tab w:val="right" w:leader="dot" w:pos="10290"/>
            </w:tabs>
            <w:rPr>
              <w:rFonts w:hint="eastAsia" w:ascii="宋体" w:hAnsi="宋体" w:eastAsia="宋体" w:cs="宋体"/>
              <w:b/>
              <w:bCs/>
              <w:i w:val="0"/>
              <w:iCs w:val="0"/>
              <w:color w:val="auto"/>
              <w:sz w:val="21"/>
              <w:szCs w:val="21"/>
              <w:highlight w:val="none"/>
            </w:rPr>
          </w:pPr>
          <w:r>
            <w:rPr>
              <w:rFonts w:hint="eastAsia" w:ascii="宋体" w:hAnsi="宋体" w:eastAsia="宋体" w:cs="宋体"/>
              <w:b/>
              <w:bCs/>
              <w:i w:val="0"/>
              <w:iCs w:val="0"/>
              <w:color w:val="auto"/>
              <w:sz w:val="21"/>
              <w:szCs w:val="21"/>
              <w:highlight w:val="none"/>
            </w:rPr>
            <w:fldChar w:fldCharType="begin"/>
          </w:r>
          <w:r>
            <w:rPr>
              <w:rFonts w:hint="eastAsia" w:ascii="宋体" w:hAnsi="宋体" w:eastAsia="宋体" w:cs="宋体"/>
              <w:b/>
              <w:bCs/>
              <w:i w:val="0"/>
              <w:iCs w:val="0"/>
              <w:color w:val="auto"/>
              <w:sz w:val="21"/>
              <w:szCs w:val="21"/>
              <w:highlight w:val="none"/>
            </w:rPr>
            <w:instrText xml:space="preserve"> HYPERLINK \l _Toc19574 </w:instrText>
          </w:r>
          <w:r>
            <w:rPr>
              <w:rFonts w:hint="eastAsia" w:ascii="宋体" w:hAnsi="宋体" w:eastAsia="宋体" w:cs="宋体"/>
              <w:b/>
              <w:bCs/>
              <w:i w:val="0"/>
              <w:iCs w:val="0"/>
              <w:color w:val="auto"/>
              <w:sz w:val="21"/>
              <w:szCs w:val="21"/>
              <w:highlight w:val="none"/>
            </w:rPr>
            <w:fldChar w:fldCharType="separate"/>
          </w:r>
          <w:r>
            <w:rPr>
              <w:rFonts w:hint="eastAsia" w:ascii="宋体" w:hAnsi="宋体" w:eastAsia="宋体" w:cs="宋体"/>
              <w:b/>
              <w:bCs/>
              <w:i w:val="0"/>
              <w:iCs w:val="0"/>
              <w:color w:val="auto"/>
              <w:sz w:val="21"/>
              <w:szCs w:val="21"/>
              <w:highlight w:val="none"/>
              <w:lang w:val="zh-CN" w:eastAsia="zh-CN"/>
            </w:rPr>
            <w:t>第四章 合同草案条款</w:t>
          </w:r>
          <w:r>
            <w:rPr>
              <w:rFonts w:hint="eastAsia" w:ascii="宋体" w:hAnsi="宋体" w:eastAsia="宋体" w:cs="宋体"/>
              <w:b/>
              <w:bCs/>
              <w:i w:val="0"/>
              <w:iCs w:val="0"/>
              <w:color w:val="auto"/>
              <w:sz w:val="21"/>
              <w:szCs w:val="21"/>
              <w:highlight w:val="none"/>
            </w:rPr>
            <w:tab/>
          </w:r>
          <w:r>
            <w:rPr>
              <w:rFonts w:hint="eastAsia" w:ascii="宋体" w:hAnsi="宋体" w:eastAsia="宋体" w:cs="宋体"/>
              <w:b/>
              <w:bCs/>
              <w:i w:val="0"/>
              <w:iCs w:val="0"/>
              <w:color w:val="auto"/>
              <w:sz w:val="21"/>
              <w:szCs w:val="21"/>
              <w:highlight w:val="none"/>
            </w:rPr>
            <w:fldChar w:fldCharType="begin"/>
          </w:r>
          <w:r>
            <w:rPr>
              <w:rFonts w:hint="eastAsia" w:ascii="宋体" w:hAnsi="宋体" w:eastAsia="宋体" w:cs="宋体"/>
              <w:b/>
              <w:bCs/>
              <w:i w:val="0"/>
              <w:iCs w:val="0"/>
              <w:color w:val="auto"/>
              <w:sz w:val="21"/>
              <w:szCs w:val="21"/>
              <w:highlight w:val="none"/>
            </w:rPr>
            <w:instrText xml:space="preserve"> PAGEREF _Toc19574 \h </w:instrText>
          </w:r>
          <w:r>
            <w:rPr>
              <w:rFonts w:hint="eastAsia" w:ascii="宋体" w:hAnsi="宋体" w:eastAsia="宋体" w:cs="宋体"/>
              <w:b/>
              <w:bCs/>
              <w:i w:val="0"/>
              <w:iCs w:val="0"/>
              <w:color w:val="auto"/>
              <w:sz w:val="21"/>
              <w:szCs w:val="21"/>
              <w:highlight w:val="none"/>
            </w:rPr>
            <w:fldChar w:fldCharType="separate"/>
          </w:r>
          <w:r>
            <w:rPr>
              <w:rFonts w:hint="eastAsia" w:ascii="宋体" w:hAnsi="宋体" w:eastAsia="宋体" w:cs="宋体"/>
              <w:b/>
              <w:bCs/>
              <w:i w:val="0"/>
              <w:iCs w:val="0"/>
              <w:color w:val="auto"/>
              <w:sz w:val="21"/>
              <w:szCs w:val="21"/>
              <w:highlight w:val="none"/>
            </w:rPr>
            <w:t>37</w:t>
          </w:r>
          <w:r>
            <w:rPr>
              <w:rFonts w:hint="eastAsia" w:ascii="宋体" w:hAnsi="宋体" w:eastAsia="宋体" w:cs="宋体"/>
              <w:b/>
              <w:bCs/>
              <w:i w:val="0"/>
              <w:iCs w:val="0"/>
              <w:color w:val="auto"/>
              <w:sz w:val="21"/>
              <w:szCs w:val="21"/>
              <w:highlight w:val="none"/>
            </w:rPr>
            <w:fldChar w:fldCharType="end"/>
          </w:r>
          <w:r>
            <w:rPr>
              <w:rFonts w:hint="eastAsia" w:ascii="宋体" w:hAnsi="宋体" w:eastAsia="宋体" w:cs="宋体"/>
              <w:b/>
              <w:bCs/>
              <w:i w:val="0"/>
              <w:iCs w:val="0"/>
              <w:color w:val="auto"/>
              <w:sz w:val="21"/>
              <w:szCs w:val="21"/>
              <w:highlight w:val="none"/>
            </w:rPr>
            <w:fldChar w:fldCharType="end"/>
          </w:r>
        </w:p>
        <w:p w14:paraId="69D65A10">
          <w:pPr>
            <w:pStyle w:val="19"/>
            <w:tabs>
              <w:tab w:val="right" w:leader="dot" w:pos="10290"/>
            </w:tabs>
            <w:rPr>
              <w:rFonts w:hint="eastAsia" w:ascii="宋体" w:hAnsi="宋体" w:eastAsia="宋体" w:cs="宋体"/>
              <w:b/>
              <w:bCs/>
              <w:i w:val="0"/>
              <w:iCs w:val="0"/>
              <w:color w:val="auto"/>
              <w:sz w:val="21"/>
              <w:szCs w:val="21"/>
              <w:highlight w:val="none"/>
            </w:rPr>
          </w:pPr>
          <w:r>
            <w:rPr>
              <w:rFonts w:hint="eastAsia" w:ascii="宋体" w:hAnsi="宋体" w:eastAsia="宋体" w:cs="宋体"/>
              <w:b/>
              <w:bCs/>
              <w:i w:val="0"/>
              <w:iCs w:val="0"/>
              <w:color w:val="auto"/>
              <w:sz w:val="21"/>
              <w:szCs w:val="21"/>
              <w:highlight w:val="none"/>
            </w:rPr>
            <w:fldChar w:fldCharType="begin"/>
          </w:r>
          <w:r>
            <w:rPr>
              <w:rFonts w:hint="eastAsia" w:ascii="宋体" w:hAnsi="宋体" w:eastAsia="宋体" w:cs="宋体"/>
              <w:b/>
              <w:bCs/>
              <w:i w:val="0"/>
              <w:iCs w:val="0"/>
              <w:color w:val="auto"/>
              <w:sz w:val="21"/>
              <w:szCs w:val="21"/>
              <w:highlight w:val="none"/>
            </w:rPr>
            <w:instrText xml:space="preserve"> HYPERLINK \l _Toc26434 </w:instrText>
          </w:r>
          <w:r>
            <w:rPr>
              <w:rFonts w:hint="eastAsia" w:ascii="宋体" w:hAnsi="宋体" w:eastAsia="宋体" w:cs="宋体"/>
              <w:b/>
              <w:bCs/>
              <w:i w:val="0"/>
              <w:iCs w:val="0"/>
              <w:color w:val="auto"/>
              <w:sz w:val="21"/>
              <w:szCs w:val="21"/>
              <w:highlight w:val="none"/>
            </w:rPr>
            <w:fldChar w:fldCharType="separate"/>
          </w:r>
          <w:r>
            <w:rPr>
              <w:rFonts w:hint="eastAsia" w:ascii="宋体" w:hAnsi="宋体" w:eastAsia="宋体" w:cs="宋体"/>
              <w:b/>
              <w:bCs/>
              <w:i w:val="0"/>
              <w:iCs w:val="0"/>
              <w:color w:val="auto"/>
              <w:sz w:val="21"/>
              <w:szCs w:val="21"/>
              <w:highlight w:val="none"/>
              <w:lang w:val="zh-CN" w:eastAsia="zh-CN"/>
            </w:rPr>
            <w:t>第五章 采购需求</w:t>
          </w:r>
          <w:r>
            <w:rPr>
              <w:rFonts w:hint="eastAsia" w:ascii="宋体" w:hAnsi="宋体" w:eastAsia="宋体" w:cs="宋体"/>
              <w:b/>
              <w:bCs/>
              <w:i w:val="0"/>
              <w:iCs w:val="0"/>
              <w:color w:val="auto"/>
              <w:sz w:val="21"/>
              <w:szCs w:val="21"/>
              <w:highlight w:val="none"/>
            </w:rPr>
            <w:tab/>
          </w:r>
          <w:r>
            <w:rPr>
              <w:rFonts w:hint="eastAsia" w:ascii="宋体" w:hAnsi="宋体" w:eastAsia="宋体" w:cs="宋体"/>
              <w:b/>
              <w:bCs/>
              <w:i w:val="0"/>
              <w:iCs w:val="0"/>
              <w:color w:val="auto"/>
              <w:sz w:val="21"/>
              <w:szCs w:val="21"/>
              <w:highlight w:val="none"/>
            </w:rPr>
            <w:fldChar w:fldCharType="begin"/>
          </w:r>
          <w:r>
            <w:rPr>
              <w:rFonts w:hint="eastAsia" w:ascii="宋体" w:hAnsi="宋体" w:eastAsia="宋体" w:cs="宋体"/>
              <w:b/>
              <w:bCs/>
              <w:i w:val="0"/>
              <w:iCs w:val="0"/>
              <w:color w:val="auto"/>
              <w:sz w:val="21"/>
              <w:szCs w:val="21"/>
              <w:highlight w:val="none"/>
            </w:rPr>
            <w:instrText xml:space="preserve"> PAGEREF _Toc26434 \h </w:instrText>
          </w:r>
          <w:r>
            <w:rPr>
              <w:rFonts w:hint="eastAsia" w:ascii="宋体" w:hAnsi="宋体" w:eastAsia="宋体" w:cs="宋体"/>
              <w:b/>
              <w:bCs/>
              <w:i w:val="0"/>
              <w:iCs w:val="0"/>
              <w:color w:val="auto"/>
              <w:sz w:val="21"/>
              <w:szCs w:val="21"/>
              <w:highlight w:val="none"/>
            </w:rPr>
            <w:fldChar w:fldCharType="separate"/>
          </w:r>
          <w:r>
            <w:rPr>
              <w:rFonts w:hint="eastAsia" w:ascii="宋体" w:hAnsi="宋体" w:eastAsia="宋体" w:cs="宋体"/>
              <w:b/>
              <w:bCs/>
              <w:i w:val="0"/>
              <w:iCs w:val="0"/>
              <w:color w:val="auto"/>
              <w:sz w:val="21"/>
              <w:szCs w:val="21"/>
              <w:highlight w:val="none"/>
            </w:rPr>
            <w:t>47</w:t>
          </w:r>
          <w:r>
            <w:rPr>
              <w:rFonts w:hint="eastAsia" w:ascii="宋体" w:hAnsi="宋体" w:eastAsia="宋体" w:cs="宋体"/>
              <w:b/>
              <w:bCs/>
              <w:i w:val="0"/>
              <w:iCs w:val="0"/>
              <w:color w:val="auto"/>
              <w:sz w:val="21"/>
              <w:szCs w:val="21"/>
              <w:highlight w:val="none"/>
            </w:rPr>
            <w:fldChar w:fldCharType="end"/>
          </w:r>
          <w:r>
            <w:rPr>
              <w:rFonts w:hint="eastAsia" w:ascii="宋体" w:hAnsi="宋体" w:eastAsia="宋体" w:cs="宋体"/>
              <w:b/>
              <w:bCs/>
              <w:i w:val="0"/>
              <w:iCs w:val="0"/>
              <w:color w:val="auto"/>
              <w:sz w:val="21"/>
              <w:szCs w:val="21"/>
              <w:highlight w:val="none"/>
            </w:rPr>
            <w:fldChar w:fldCharType="end"/>
          </w:r>
        </w:p>
        <w:p w14:paraId="3253DAA9">
          <w:pPr>
            <w:pStyle w:val="19"/>
            <w:tabs>
              <w:tab w:val="right" w:leader="dot" w:pos="10290"/>
            </w:tabs>
            <w:rPr>
              <w:color w:val="auto"/>
              <w:highlight w:val="none"/>
            </w:rPr>
          </w:pPr>
          <w:r>
            <w:rPr>
              <w:rFonts w:hint="eastAsia" w:ascii="宋体" w:hAnsi="宋体" w:eastAsia="宋体" w:cs="宋体"/>
              <w:b/>
              <w:bCs/>
              <w:i w:val="0"/>
              <w:iCs w:val="0"/>
              <w:color w:val="auto"/>
              <w:sz w:val="21"/>
              <w:szCs w:val="21"/>
              <w:highlight w:val="none"/>
            </w:rPr>
            <w:fldChar w:fldCharType="begin"/>
          </w:r>
          <w:r>
            <w:rPr>
              <w:rFonts w:hint="eastAsia" w:ascii="宋体" w:hAnsi="宋体" w:eastAsia="宋体" w:cs="宋体"/>
              <w:b/>
              <w:bCs/>
              <w:i w:val="0"/>
              <w:iCs w:val="0"/>
              <w:color w:val="auto"/>
              <w:sz w:val="21"/>
              <w:szCs w:val="21"/>
              <w:highlight w:val="none"/>
            </w:rPr>
            <w:instrText xml:space="preserve"> HYPERLINK \l _Toc14944 </w:instrText>
          </w:r>
          <w:r>
            <w:rPr>
              <w:rFonts w:hint="eastAsia" w:ascii="宋体" w:hAnsi="宋体" w:eastAsia="宋体" w:cs="宋体"/>
              <w:b/>
              <w:bCs/>
              <w:i w:val="0"/>
              <w:iCs w:val="0"/>
              <w:color w:val="auto"/>
              <w:sz w:val="21"/>
              <w:szCs w:val="21"/>
              <w:highlight w:val="none"/>
            </w:rPr>
            <w:fldChar w:fldCharType="separate"/>
          </w:r>
          <w:r>
            <w:rPr>
              <w:rFonts w:hint="eastAsia" w:ascii="宋体" w:hAnsi="宋体" w:eastAsia="宋体" w:cs="宋体"/>
              <w:b/>
              <w:bCs/>
              <w:i w:val="0"/>
              <w:iCs w:val="0"/>
              <w:color w:val="auto"/>
              <w:sz w:val="21"/>
              <w:szCs w:val="21"/>
              <w:highlight w:val="none"/>
              <w:lang w:val="en-US" w:eastAsia="zh-CN"/>
            </w:rPr>
            <w:t>第六章 响应文件的组成</w:t>
          </w:r>
          <w:r>
            <w:rPr>
              <w:rFonts w:hint="eastAsia" w:ascii="宋体" w:hAnsi="宋体" w:eastAsia="宋体" w:cs="宋体"/>
              <w:b/>
              <w:bCs/>
              <w:i w:val="0"/>
              <w:iCs w:val="0"/>
              <w:color w:val="auto"/>
              <w:sz w:val="21"/>
              <w:szCs w:val="21"/>
              <w:highlight w:val="none"/>
            </w:rPr>
            <w:tab/>
          </w:r>
          <w:r>
            <w:rPr>
              <w:rFonts w:hint="eastAsia" w:ascii="宋体" w:hAnsi="宋体" w:eastAsia="宋体" w:cs="宋体"/>
              <w:b/>
              <w:bCs/>
              <w:i w:val="0"/>
              <w:iCs w:val="0"/>
              <w:color w:val="auto"/>
              <w:sz w:val="21"/>
              <w:szCs w:val="21"/>
              <w:highlight w:val="none"/>
            </w:rPr>
            <w:fldChar w:fldCharType="begin"/>
          </w:r>
          <w:r>
            <w:rPr>
              <w:rFonts w:hint="eastAsia" w:ascii="宋体" w:hAnsi="宋体" w:eastAsia="宋体" w:cs="宋体"/>
              <w:b/>
              <w:bCs/>
              <w:i w:val="0"/>
              <w:iCs w:val="0"/>
              <w:color w:val="auto"/>
              <w:sz w:val="21"/>
              <w:szCs w:val="21"/>
              <w:highlight w:val="none"/>
            </w:rPr>
            <w:instrText xml:space="preserve"> PAGEREF _Toc14944 \h </w:instrText>
          </w:r>
          <w:r>
            <w:rPr>
              <w:rFonts w:hint="eastAsia" w:ascii="宋体" w:hAnsi="宋体" w:eastAsia="宋体" w:cs="宋体"/>
              <w:b/>
              <w:bCs/>
              <w:i w:val="0"/>
              <w:iCs w:val="0"/>
              <w:color w:val="auto"/>
              <w:sz w:val="21"/>
              <w:szCs w:val="21"/>
              <w:highlight w:val="none"/>
            </w:rPr>
            <w:fldChar w:fldCharType="separate"/>
          </w:r>
          <w:r>
            <w:rPr>
              <w:rFonts w:hint="eastAsia" w:ascii="宋体" w:hAnsi="宋体" w:eastAsia="宋体" w:cs="宋体"/>
              <w:b/>
              <w:bCs/>
              <w:i w:val="0"/>
              <w:iCs w:val="0"/>
              <w:color w:val="auto"/>
              <w:sz w:val="21"/>
              <w:szCs w:val="21"/>
              <w:highlight w:val="none"/>
            </w:rPr>
            <w:t>52</w:t>
          </w:r>
          <w:r>
            <w:rPr>
              <w:rFonts w:hint="eastAsia" w:ascii="宋体" w:hAnsi="宋体" w:eastAsia="宋体" w:cs="宋体"/>
              <w:b/>
              <w:bCs/>
              <w:i w:val="0"/>
              <w:iCs w:val="0"/>
              <w:color w:val="auto"/>
              <w:sz w:val="21"/>
              <w:szCs w:val="21"/>
              <w:highlight w:val="none"/>
            </w:rPr>
            <w:fldChar w:fldCharType="end"/>
          </w:r>
          <w:r>
            <w:rPr>
              <w:rFonts w:hint="eastAsia" w:ascii="宋体" w:hAnsi="宋体" w:eastAsia="宋体" w:cs="宋体"/>
              <w:b/>
              <w:bCs/>
              <w:i w:val="0"/>
              <w:iCs w:val="0"/>
              <w:color w:val="auto"/>
              <w:sz w:val="21"/>
              <w:szCs w:val="21"/>
              <w:highlight w:val="none"/>
            </w:rPr>
            <w:fldChar w:fldCharType="end"/>
          </w:r>
        </w:p>
        <w:p w14:paraId="5FBB3D8E">
          <w:pPr>
            <w:rPr>
              <w:color w:val="auto"/>
              <w:highlight w:val="none"/>
            </w:rPr>
          </w:pPr>
          <w:r>
            <w:rPr>
              <w:color w:val="auto"/>
              <w:highlight w:val="none"/>
            </w:rPr>
            <w:fldChar w:fldCharType="end"/>
          </w:r>
        </w:p>
      </w:sdtContent>
    </w:sdt>
    <w:p w14:paraId="5FA9E7BB">
      <w:pPr>
        <w:pStyle w:val="4"/>
        <w:numPr>
          <w:ilvl w:val="0"/>
          <w:numId w:val="1"/>
        </w:numPr>
        <w:spacing w:before="28"/>
        <w:ind w:left="0" w:right="417"/>
        <w:jc w:val="center"/>
        <w:outlineLvl w:val="0"/>
        <w:rPr>
          <w:color w:val="auto"/>
          <w:highlight w:val="none"/>
        </w:rPr>
        <w:sectPr>
          <w:footerReference r:id="rId7" w:type="default"/>
          <w:pgSz w:w="11910" w:h="16840"/>
          <w:pgMar w:top="1460" w:right="600" w:bottom="1440" w:left="1020" w:header="0" w:footer="1161" w:gutter="0"/>
          <w:pgBorders>
            <w:top w:val="none" w:sz="0" w:space="0"/>
            <w:left w:val="none" w:sz="0" w:space="0"/>
            <w:bottom w:val="none" w:sz="0" w:space="0"/>
            <w:right w:val="none" w:sz="0" w:space="0"/>
          </w:pgBorders>
          <w:pgNumType w:fmt="decimal" w:start="1"/>
          <w:cols w:space="720" w:num="1"/>
        </w:sectPr>
      </w:pPr>
    </w:p>
    <w:p w14:paraId="58CA0F5C">
      <w:pPr>
        <w:pStyle w:val="4"/>
        <w:numPr>
          <w:ilvl w:val="0"/>
          <w:numId w:val="0"/>
        </w:numPr>
        <w:spacing w:before="28"/>
        <w:ind w:right="417" w:rightChars="0"/>
        <w:jc w:val="center"/>
        <w:outlineLvl w:val="0"/>
        <w:rPr>
          <w:rFonts w:ascii="宋体" w:hAnsi="宋体" w:eastAsia="宋体" w:cs="宋体"/>
          <w:color w:val="auto"/>
          <w:kern w:val="0"/>
          <w:sz w:val="22"/>
          <w:szCs w:val="22"/>
          <w:highlight w:val="none"/>
          <w:lang w:val="en-US" w:eastAsia="zh-CN" w:bidi="ar"/>
        </w:rPr>
      </w:pPr>
      <w:bookmarkStart w:id="1" w:name="_Toc30700"/>
      <w:r>
        <w:rPr>
          <w:rFonts w:hint="eastAsia"/>
          <w:color w:val="auto"/>
          <w:highlight w:val="none"/>
          <w:lang w:val="en-US" w:eastAsia="zh-CN"/>
        </w:rPr>
        <w:t xml:space="preserve">第一章   </w:t>
      </w:r>
      <w:r>
        <w:rPr>
          <w:color w:val="auto"/>
          <w:highlight w:val="none"/>
        </w:rPr>
        <w:t>竞争性磋商邀请</w:t>
      </w:r>
      <w:bookmarkEnd w:id="1"/>
    </w:p>
    <w:p w14:paraId="031FD3E7">
      <w:pPr>
        <w:keepNext w:val="0"/>
        <w:keepLines w:val="0"/>
        <w:widowControl/>
        <w:suppressLineNumbers w:val="0"/>
        <w:pBdr>
          <w:left w:val="none" w:color="auto" w:sz="0" w:space="0"/>
        </w:pBdr>
        <w:spacing w:before="75" w:beforeAutospacing="0" w:line="240" w:lineRule="auto"/>
        <w:ind w:left="0" w:firstLine="638" w:firstLineChars="290"/>
        <w:jc w:val="left"/>
        <w:rPr>
          <w:color w:val="auto"/>
          <w:highlight w:val="none"/>
        </w:rPr>
      </w:pPr>
      <w:r>
        <w:rPr>
          <w:rFonts w:hint="eastAsia" w:cs="宋体"/>
          <w:color w:val="auto"/>
          <w:kern w:val="0"/>
          <w:sz w:val="22"/>
          <w:szCs w:val="22"/>
          <w:highlight w:val="none"/>
          <w:lang w:val="en-US" w:eastAsia="zh-CN" w:bidi="ar"/>
        </w:rPr>
        <w:t>汨罗市教育体育局</w:t>
      </w:r>
      <w:r>
        <w:rPr>
          <w:rFonts w:ascii="宋体" w:hAnsi="宋体" w:eastAsia="宋体" w:cs="宋体"/>
          <w:color w:val="auto"/>
          <w:kern w:val="0"/>
          <w:sz w:val="22"/>
          <w:szCs w:val="22"/>
          <w:highlight w:val="none"/>
          <w:lang w:val="en-US" w:eastAsia="zh-CN" w:bidi="ar"/>
        </w:rPr>
        <w:t>的</w:t>
      </w:r>
      <w:r>
        <w:rPr>
          <w:rFonts w:hint="eastAsia" w:cs="宋体"/>
          <w:color w:val="auto"/>
          <w:kern w:val="0"/>
          <w:sz w:val="22"/>
          <w:szCs w:val="22"/>
          <w:highlight w:val="none"/>
          <w:lang w:val="en-US" w:eastAsia="zh-CN" w:bidi="ar"/>
        </w:rPr>
        <w:t>汨罗市校车接入省“三客一危”监管平台项目</w:t>
      </w:r>
      <w:r>
        <w:rPr>
          <w:rFonts w:ascii="宋体" w:hAnsi="宋体" w:eastAsia="宋体" w:cs="宋体"/>
          <w:color w:val="auto"/>
          <w:kern w:val="0"/>
          <w:sz w:val="22"/>
          <w:szCs w:val="22"/>
          <w:highlight w:val="none"/>
          <w:lang w:val="en-US" w:eastAsia="zh-CN" w:bidi="ar"/>
        </w:rPr>
        <w:t>进行采购，现邀请合格投标人参加投标。</w:t>
      </w:r>
    </w:p>
    <w:p w14:paraId="441F5FF9">
      <w:pPr>
        <w:pStyle w:val="4"/>
        <w:keepNext w:val="0"/>
        <w:keepLines w:val="0"/>
        <w:widowControl/>
        <w:suppressLineNumbers w:val="0"/>
        <w:spacing w:line="240" w:lineRule="auto"/>
        <w:rPr>
          <w:color w:val="auto"/>
          <w:sz w:val="28"/>
          <w:szCs w:val="28"/>
          <w:highlight w:val="none"/>
        </w:rPr>
      </w:pPr>
    </w:p>
    <w:p w14:paraId="123165BA">
      <w:pPr>
        <w:pStyle w:val="4"/>
        <w:keepNext w:val="0"/>
        <w:keepLines w:val="0"/>
        <w:widowControl/>
        <w:suppressLineNumbers w:val="0"/>
        <w:spacing w:line="240" w:lineRule="auto"/>
        <w:rPr>
          <w:color w:val="auto"/>
          <w:sz w:val="28"/>
          <w:szCs w:val="28"/>
          <w:highlight w:val="none"/>
        </w:rPr>
      </w:pPr>
      <w:r>
        <w:rPr>
          <w:color w:val="auto"/>
          <w:sz w:val="28"/>
          <w:szCs w:val="28"/>
          <w:highlight w:val="none"/>
        </w:rPr>
        <w:t>一、采购项目基本信息</w:t>
      </w:r>
    </w:p>
    <w:p w14:paraId="24655081">
      <w:pPr>
        <w:keepNext w:val="0"/>
        <w:keepLines w:val="0"/>
        <w:widowControl/>
        <w:suppressLineNumbers w:val="0"/>
        <w:pBdr>
          <w:left w:val="none" w:color="auto" w:sz="0" w:space="0"/>
        </w:pBdr>
        <w:spacing w:before="75" w:beforeAutospacing="0" w:line="360" w:lineRule="auto"/>
        <w:ind w:left="0" w:firstLine="638" w:firstLineChars="290"/>
        <w:jc w:val="left"/>
        <w:rPr>
          <w:rFonts w:hint="eastAsia" w:cs="宋体"/>
          <w:color w:val="auto"/>
          <w:kern w:val="0"/>
          <w:sz w:val="22"/>
          <w:szCs w:val="22"/>
          <w:highlight w:val="none"/>
          <w:lang w:val="en-US" w:eastAsia="zh-CN" w:bidi="ar"/>
        </w:rPr>
      </w:pPr>
      <w:r>
        <w:rPr>
          <w:rFonts w:hint="eastAsia" w:cs="宋体"/>
          <w:color w:val="auto"/>
          <w:kern w:val="0"/>
          <w:sz w:val="22"/>
          <w:szCs w:val="22"/>
          <w:highlight w:val="none"/>
          <w:lang w:val="en-US" w:eastAsia="zh-CN" w:bidi="ar"/>
        </w:rPr>
        <w:t>1、采购项目名称：汨罗市校车接入省“三客一危”监管平台项目</w:t>
      </w:r>
    </w:p>
    <w:p w14:paraId="4A3463E5">
      <w:pPr>
        <w:keepNext w:val="0"/>
        <w:keepLines w:val="0"/>
        <w:widowControl/>
        <w:suppressLineNumbers w:val="0"/>
        <w:pBdr>
          <w:left w:val="none" w:color="auto" w:sz="0" w:space="0"/>
        </w:pBdr>
        <w:spacing w:before="75" w:beforeAutospacing="0" w:line="360" w:lineRule="auto"/>
        <w:ind w:left="0" w:firstLine="638" w:firstLineChars="290"/>
        <w:jc w:val="left"/>
        <w:rPr>
          <w:rFonts w:hint="eastAsia" w:cs="宋体"/>
          <w:color w:val="auto"/>
          <w:kern w:val="0"/>
          <w:sz w:val="22"/>
          <w:szCs w:val="22"/>
          <w:highlight w:val="none"/>
          <w:lang w:val="en-US" w:eastAsia="zh-CN" w:bidi="ar"/>
        </w:rPr>
      </w:pPr>
      <w:r>
        <w:rPr>
          <w:rFonts w:hint="eastAsia" w:cs="宋体"/>
          <w:color w:val="auto"/>
          <w:kern w:val="0"/>
          <w:sz w:val="22"/>
          <w:szCs w:val="22"/>
          <w:highlight w:val="none"/>
          <w:lang w:val="en-US" w:eastAsia="zh-CN" w:bidi="ar"/>
        </w:rPr>
        <w:t>2、采购项目编号：CGXM2026430681000022</w:t>
      </w:r>
    </w:p>
    <w:p w14:paraId="3B60B636">
      <w:pPr>
        <w:keepNext w:val="0"/>
        <w:keepLines w:val="0"/>
        <w:widowControl/>
        <w:suppressLineNumbers w:val="0"/>
        <w:pBdr>
          <w:left w:val="none" w:color="auto" w:sz="0" w:space="0"/>
        </w:pBdr>
        <w:spacing w:before="75" w:beforeAutospacing="0" w:line="360" w:lineRule="auto"/>
        <w:ind w:left="0" w:firstLine="638" w:firstLineChars="290"/>
        <w:jc w:val="left"/>
        <w:rPr>
          <w:rFonts w:hint="eastAsia" w:cs="宋体"/>
          <w:color w:val="auto"/>
          <w:kern w:val="0"/>
          <w:sz w:val="22"/>
          <w:szCs w:val="22"/>
          <w:highlight w:val="none"/>
          <w:lang w:val="en-US" w:eastAsia="zh-CN" w:bidi="ar"/>
        </w:rPr>
      </w:pPr>
      <w:r>
        <w:rPr>
          <w:rFonts w:hint="eastAsia" w:cs="宋体"/>
          <w:color w:val="auto"/>
          <w:kern w:val="0"/>
          <w:sz w:val="22"/>
          <w:szCs w:val="22"/>
          <w:highlight w:val="none"/>
          <w:lang w:val="en-US" w:eastAsia="zh-CN" w:bidi="ar"/>
        </w:rPr>
        <w:t>3、政府采购编号：(2026)430681000016-1</w:t>
      </w:r>
    </w:p>
    <w:p w14:paraId="00D26B08">
      <w:pPr>
        <w:keepNext w:val="0"/>
        <w:keepLines w:val="0"/>
        <w:widowControl/>
        <w:suppressLineNumbers w:val="0"/>
        <w:pBdr>
          <w:left w:val="none" w:color="auto" w:sz="0" w:space="0"/>
        </w:pBdr>
        <w:spacing w:before="75" w:beforeAutospacing="0" w:line="360" w:lineRule="auto"/>
        <w:ind w:left="0" w:firstLine="638" w:firstLineChars="290"/>
        <w:jc w:val="left"/>
        <w:rPr>
          <w:rFonts w:hint="default" w:cs="宋体"/>
          <w:color w:val="auto"/>
          <w:kern w:val="0"/>
          <w:sz w:val="22"/>
          <w:szCs w:val="22"/>
          <w:highlight w:val="none"/>
          <w:lang w:val="en-US" w:eastAsia="zh-CN" w:bidi="ar"/>
        </w:rPr>
      </w:pPr>
      <w:r>
        <w:rPr>
          <w:rFonts w:hint="eastAsia" w:cs="宋体"/>
          <w:color w:val="auto"/>
          <w:kern w:val="0"/>
          <w:sz w:val="22"/>
          <w:szCs w:val="22"/>
          <w:highlight w:val="none"/>
          <w:lang w:val="en-US" w:eastAsia="zh-CN" w:bidi="ar"/>
        </w:rPr>
        <w:t>4、委托代理编号：XJZK2026-F8-023</w:t>
      </w:r>
    </w:p>
    <w:p w14:paraId="7A39BC27">
      <w:pPr>
        <w:keepNext w:val="0"/>
        <w:keepLines w:val="0"/>
        <w:widowControl/>
        <w:suppressLineNumbers w:val="0"/>
        <w:pBdr>
          <w:left w:val="none" w:color="auto" w:sz="0" w:space="0"/>
        </w:pBdr>
        <w:spacing w:before="75" w:beforeAutospacing="0" w:line="360" w:lineRule="auto"/>
        <w:ind w:left="0" w:firstLine="638" w:firstLineChars="290"/>
        <w:jc w:val="left"/>
        <w:rPr>
          <w:rFonts w:hint="eastAsia" w:cs="宋体"/>
          <w:color w:val="auto"/>
          <w:kern w:val="0"/>
          <w:sz w:val="22"/>
          <w:szCs w:val="22"/>
          <w:highlight w:val="none"/>
          <w:lang w:val="en-US" w:eastAsia="zh-CN" w:bidi="ar"/>
        </w:rPr>
      </w:pPr>
      <w:r>
        <w:rPr>
          <w:rFonts w:hint="eastAsia" w:cs="宋体"/>
          <w:color w:val="auto"/>
          <w:kern w:val="0"/>
          <w:sz w:val="22"/>
          <w:szCs w:val="22"/>
          <w:highlight w:val="none"/>
          <w:lang w:val="en-US" w:eastAsia="zh-CN" w:bidi="ar"/>
        </w:rPr>
        <w:t xml:space="preserve">5、采购项目预算：569480.00元 </w:t>
      </w:r>
    </w:p>
    <w:p w14:paraId="4168A4BE">
      <w:pPr>
        <w:keepNext w:val="0"/>
        <w:keepLines w:val="0"/>
        <w:widowControl/>
        <w:suppressLineNumbers w:val="0"/>
        <w:pBdr>
          <w:left w:val="none" w:color="auto" w:sz="0" w:space="0"/>
        </w:pBdr>
        <w:spacing w:before="75" w:beforeAutospacing="0" w:line="360" w:lineRule="auto"/>
        <w:ind w:left="0" w:firstLine="638" w:firstLineChars="290"/>
        <w:jc w:val="left"/>
        <w:rPr>
          <w:rFonts w:hint="eastAsia" w:cs="宋体"/>
          <w:color w:val="auto"/>
          <w:kern w:val="0"/>
          <w:sz w:val="22"/>
          <w:szCs w:val="22"/>
          <w:highlight w:val="none"/>
          <w:lang w:val="en-US" w:eastAsia="zh-CN" w:bidi="ar"/>
        </w:rPr>
      </w:pPr>
      <w:r>
        <w:rPr>
          <w:rFonts w:hint="eastAsia" w:cs="宋体"/>
          <w:color w:val="auto"/>
          <w:kern w:val="0"/>
          <w:sz w:val="22"/>
          <w:szCs w:val="22"/>
          <w:highlight w:val="none"/>
          <w:lang w:val="en-US" w:eastAsia="zh-CN" w:bidi="ar"/>
        </w:rPr>
        <w:sym w:font="Wingdings" w:char="00A8"/>
      </w:r>
      <w:r>
        <w:rPr>
          <w:rFonts w:hint="eastAsia" w:cs="宋体"/>
          <w:color w:val="auto"/>
          <w:kern w:val="0"/>
          <w:sz w:val="22"/>
          <w:szCs w:val="22"/>
          <w:highlight w:val="none"/>
          <w:lang w:val="en-US" w:eastAsia="zh-CN" w:bidi="ar"/>
        </w:rPr>
        <w:t xml:space="preserve">支持预付款，预付比例：  / % </w:t>
      </w:r>
    </w:p>
    <w:p w14:paraId="013A1C8E">
      <w:pPr>
        <w:keepNext w:val="0"/>
        <w:keepLines w:val="0"/>
        <w:widowControl/>
        <w:suppressLineNumbers w:val="0"/>
        <w:pBdr>
          <w:left w:val="none" w:color="auto" w:sz="0" w:space="0"/>
        </w:pBdr>
        <w:spacing w:before="75" w:beforeAutospacing="0" w:line="360" w:lineRule="auto"/>
        <w:ind w:left="0" w:firstLine="638" w:firstLineChars="290"/>
        <w:jc w:val="left"/>
        <w:rPr>
          <w:rFonts w:hint="eastAsia" w:cs="宋体"/>
          <w:color w:val="auto"/>
          <w:kern w:val="0"/>
          <w:sz w:val="22"/>
          <w:szCs w:val="22"/>
          <w:highlight w:val="none"/>
          <w:lang w:val="en-US" w:eastAsia="zh-CN" w:bidi="ar"/>
        </w:rPr>
      </w:pPr>
      <w:r>
        <w:rPr>
          <w:rFonts w:hint="eastAsia" w:cs="宋体"/>
          <w:color w:val="auto"/>
          <w:kern w:val="0"/>
          <w:sz w:val="22"/>
          <w:szCs w:val="22"/>
          <w:highlight w:val="none"/>
          <w:lang w:val="en-US" w:eastAsia="zh-CN" w:bidi="ar"/>
        </w:rPr>
        <w:t>6、本项目对应的中小企业划分标准所属行业：工业</w:t>
      </w:r>
    </w:p>
    <w:p w14:paraId="4624123D">
      <w:pPr>
        <w:keepNext w:val="0"/>
        <w:keepLines w:val="0"/>
        <w:widowControl/>
        <w:suppressLineNumbers w:val="0"/>
        <w:pBdr>
          <w:left w:val="none" w:color="auto" w:sz="0" w:space="0"/>
        </w:pBdr>
        <w:spacing w:before="75" w:beforeAutospacing="0" w:line="360" w:lineRule="auto"/>
        <w:ind w:left="0" w:firstLine="638" w:firstLineChars="290"/>
        <w:jc w:val="left"/>
        <w:rPr>
          <w:rFonts w:hint="eastAsia" w:cs="宋体"/>
          <w:color w:val="auto"/>
          <w:kern w:val="0"/>
          <w:sz w:val="22"/>
          <w:szCs w:val="22"/>
          <w:highlight w:val="none"/>
          <w:lang w:val="en-US" w:eastAsia="zh-CN" w:bidi="ar"/>
        </w:rPr>
      </w:pPr>
      <w:r>
        <w:rPr>
          <w:rFonts w:hint="eastAsia" w:cs="宋体"/>
          <w:color w:val="auto"/>
          <w:kern w:val="0"/>
          <w:sz w:val="22"/>
          <w:szCs w:val="22"/>
          <w:highlight w:val="none"/>
          <w:lang w:val="en-US" w:eastAsia="zh-CN" w:bidi="ar"/>
        </w:rPr>
        <w:t xml:space="preserve">7、评标方法： </w:t>
      </w:r>
      <w:r>
        <w:rPr>
          <w:rFonts w:hint="eastAsia" w:cs="宋体"/>
          <w:color w:val="auto"/>
          <w:kern w:val="0"/>
          <w:sz w:val="22"/>
          <w:szCs w:val="22"/>
          <w:highlight w:val="none"/>
          <w:lang w:val="en-US" w:eastAsia="zh-CN" w:bidi="ar"/>
        </w:rPr>
        <w:sym w:font="Wingdings" w:char="00A8"/>
      </w:r>
      <w:r>
        <w:rPr>
          <w:rFonts w:hint="eastAsia" w:cs="宋体"/>
          <w:color w:val="auto"/>
          <w:kern w:val="0"/>
          <w:sz w:val="22"/>
          <w:szCs w:val="22"/>
          <w:highlight w:val="none"/>
          <w:lang w:val="en-US" w:eastAsia="zh-CN" w:bidi="ar"/>
        </w:rPr>
        <w:t xml:space="preserve">最低价法 </w:t>
      </w:r>
      <w:r>
        <w:rPr>
          <w:rFonts w:hint="eastAsia" w:cs="宋体"/>
          <w:color w:val="auto"/>
          <w:kern w:val="0"/>
          <w:sz w:val="22"/>
          <w:szCs w:val="22"/>
          <w:highlight w:val="none"/>
          <w:lang w:val="en-US" w:eastAsia="zh-CN" w:bidi="ar"/>
        </w:rPr>
        <w:sym w:font="Wingdings" w:char="00FE"/>
      </w:r>
      <w:r>
        <w:rPr>
          <w:rFonts w:hint="eastAsia" w:cs="宋体"/>
          <w:color w:val="auto"/>
          <w:kern w:val="0"/>
          <w:sz w:val="22"/>
          <w:szCs w:val="22"/>
          <w:highlight w:val="none"/>
          <w:lang w:val="en-US" w:eastAsia="zh-CN" w:bidi="ar"/>
        </w:rPr>
        <w:t xml:space="preserve">综合评分法 </w:t>
      </w:r>
    </w:p>
    <w:p w14:paraId="33422906">
      <w:pPr>
        <w:keepNext w:val="0"/>
        <w:keepLines w:val="0"/>
        <w:widowControl/>
        <w:suppressLineNumbers w:val="0"/>
        <w:pBdr>
          <w:left w:val="none" w:color="auto" w:sz="0" w:space="0"/>
        </w:pBdr>
        <w:spacing w:before="75" w:beforeAutospacing="0" w:line="360" w:lineRule="auto"/>
        <w:ind w:left="0" w:firstLine="638" w:firstLineChars="290"/>
        <w:jc w:val="left"/>
        <w:rPr>
          <w:rFonts w:hint="eastAsia" w:cs="宋体"/>
          <w:color w:val="auto"/>
          <w:kern w:val="0"/>
          <w:sz w:val="22"/>
          <w:szCs w:val="22"/>
          <w:highlight w:val="none"/>
          <w:lang w:val="en-US" w:eastAsia="zh-CN" w:bidi="ar"/>
        </w:rPr>
      </w:pPr>
      <w:r>
        <w:rPr>
          <w:rFonts w:hint="eastAsia" w:cs="宋体"/>
          <w:color w:val="auto"/>
          <w:kern w:val="0"/>
          <w:sz w:val="22"/>
          <w:szCs w:val="22"/>
          <w:highlight w:val="none"/>
          <w:lang w:val="en-US" w:eastAsia="zh-CN" w:bidi="ar"/>
        </w:rPr>
        <w:t xml:space="preserve">8、合同定价方式： </w:t>
      </w:r>
      <w:r>
        <w:rPr>
          <w:rFonts w:hint="eastAsia" w:cs="宋体"/>
          <w:color w:val="auto"/>
          <w:kern w:val="0"/>
          <w:sz w:val="22"/>
          <w:szCs w:val="22"/>
          <w:highlight w:val="none"/>
          <w:lang w:val="en-US" w:eastAsia="zh-CN" w:bidi="ar"/>
        </w:rPr>
        <w:sym w:font="Wingdings" w:char="00FE"/>
      </w:r>
      <w:r>
        <w:rPr>
          <w:rFonts w:hint="eastAsia" w:cs="宋体"/>
          <w:color w:val="auto"/>
          <w:kern w:val="0"/>
          <w:sz w:val="22"/>
          <w:szCs w:val="22"/>
          <w:highlight w:val="none"/>
          <w:lang w:val="en-US" w:eastAsia="zh-CN" w:bidi="ar"/>
        </w:rPr>
        <w:t xml:space="preserve">固定总价 </w:t>
      </w:r>
      <w:r>
        <w:rPr>
          <w:rFonts w:hint="eastAsia" w:cs="宋体"/>
          <w:color w:val="auto"/>
          <w:kern w:val="0"/>
          <w:sz w:val="22"/>
          <w:szCs w:val="22"/>
          <w:highlight w:val="none"/>
          <w:lang w:val="en-US" w:eastAsia="zh-CN" w:bidi="ar"/>
        </w:rPr>
        <w:sym w:font="Wingdings" w:char="00A8"/>
      </w:r>
      <w:r>
        <w:rPr>
          <w:rFonts w:hint="eastAsia" w:cs="宋体"/>
          <w:color w:val="auto"/>
          <w:kern w:val="0"/>
          <w:sz w:val="22"/>
          <w:szCs w:val="22"/>
          <w:highlight w:val="none"/>
          <w:lang w:val="en-US" w:eastAsia="zh-CN" w:bidi="ar"/>
        </w:rPr>
        <w:t xml:space="preserve">固定单价 </w:t>
      </w:r>
      <w:r>
        <w:rPr>
          <w:rFonts w:hint="eastAsia" w:cs="宋体"/>
          <w:color w:val="auto"/>
          <w:kern w:val="0"/>
          <w:sz w:val="22"/>
          <w:szCs w:val="22"/>
          <w:highlight w:val="none"/>
          <w:lang w:val="en-US" w:eastAsia="zh-CN" w:bidi="ar"/>
        </w:rPr>
        <w:sym w:font="Wingdings" w:char="00A8"/>
      </w:r>
      <w:r>
        <w:rPr>
          <w:rFonts w:hint="eastAsia" w:cs="宋体"/>
          <w:color w:val="auto"/>
          <w:kern w:val="0"/>
          <w:sz w:val="22"/>
          <w:szCs w:val="22"/>
          <w:highlight w:val="none"/>
          <w:lang w:val="en-US" w:eastAsia="zh-CN" w:bidi="ar"/>
        </w:rPr>
        <w:t xml:space="preserve">成本补偿 </w:t>
      </w:r>
      <w:r>
        <w:rPr>
          <w:rFonts w:hint="eastAsia" w:cs="宋体"/>
          <w:color w:val="auto"/>
          <w:kern w:val="0"/>
          <w:sz w:val="22"/>
          <w:szCs w:val="22"/>
          <w:highlight w:val="none"/>
          <w:lang w:val="en-US" w:eastAsia="zh-CN" w:bidi="ar"/>
        </w:rPr>
        <w:sym w:font="Wingdings" w:char="00A8"/>
      </w:r>
      <w:r>
        <w:rPr>
          <w:rFonts w:hint="eastAsia" w:cs="宋体"/>
          <w:color w:val="auto"/>
          <w:kern w:val="0"/>
          <w:sz w:val="22"/>
          <w:szCs w:val="22"/>
          <w:highlight w:val="none"/>
          <w:lang w:val="en-US" w:eastAsia="zh-CN" w:bidi="ar"/>
        </w:rPr>
        <w:t xml:space="preserve">绩效激励 </w:t>
      </w:r>
    </w:p>
    <w:p w14:paraId="77829DEE">
      <w:pPr>
        <w:keepNext w:val="0"/>
        <w:keepLines w:val="0"/>
        <w:widowControl/>
        <w:suppressLineNumbers w:val="0"/>
        <w:pBdr>
          <w:left w:val="none" w:color="auto" w:sz="0" w:space="0"/>
        </w:pBdr>
        <w:spacing w:before="75" w:beforeAutospacing="0" w:line="360" w:lineRule="auto"/>
        <w:ind w:left="0" w:firstLine="638" w:firstLineChars="290"/>
        <w:jc w:val="left"/>
        <w:rPr>
          <w:rFonts w:hint="eastAsia" w:cs="宋体"/>
          <w:color w:val="auto"/>
          <w:kern w:val="0"/>
          <w:sz w:val="22"/>
          <w:szCs w:val="22"/>
          <w:highlight w:val="none"/>
          <w:lang w:val="en-US" w:eastAsia="zh-CN" w:bidi="ar"/>
        </w:rPr>
      </w:pPr>
      <w:r>
        <w:rPr>
          <w:rFonts w:hint="eastAsia" w:cs="宋体"/>
          <w:color w:val="auto"/>
          <w:kern w:val="0"/>
          <w:sz w:val="22"/>
          <w:szCs w:val="22"/>
          <w:highlight w:val="none"/>
          <w:lang w:val="en-US" w:eastAsia="zh-CN" w:bidi="ar"/>
        </w:rPr>
        <w:t>9、合同履行期限：合同签订之日起15天内到货、安装、调试完成。</w:t>
      </w:r>
    </w:p>
    <w:p w14:paraId="1F2DE03A">
      <w:pPr>
        <w:keepNext w:val="0"/>
        <w:keepLines w:val="0"/>
        <w:widowControl/>
        <w:suppressLineNumbers w:val="0"/>
        <w:pBdr>
          <w:left w:val="none" w:color="auto" w:sz="0" w:space="0"/>
        </w:pBdr>
        <w:spacing w:before="75" w:beforeAutospacing="0" w:line="360" w:lineRule="auto"/>
        <w:ind w:left="0" w:firstLine="638" w:firstLineChars="290"/>
        <w:jc w:val="left"/>
        <w:rPr>
          <w:rFonts w:hint="eastAsia" w:cs="宋体"/>
          <w:color w:val="auto"/>
          <w:kern w:val="0"/>
          <w:sz w:val="22"/>
          <w:szCs w:val="22"/>
          <w:highlight w:val="none"/>
          <w:lang w:val="en-US" w:eastAsia="zh-CN" w:bidi="ar"/>
        </w:rPr>
      </w:pPr>
      <w:r>
        <w:rPr>
          <w:rFonts w:hint="eastAsia" w:cs="宋体"/>
          <w:color w:val="auto"/>
          <w:kern w:val="0"/>
          <w:sz w:val="22"/>
          <w:szCs w:val="22"/>
          <w:highlight w:val="none"/>
          <w:lang w:val="en-US" w:eastAsia="zh-CN" w:bidi="ar"/>
        </w:rPr>
        <w:t>10、本项目分阶段要求投标人提供以下保证：</w:t>
      </w:r>
    </w:p>
    <w:p w14:paraId="5D3A3E53">
      <w:pPr>
        <w:keepNext w:val="0"/>
        <w:keepLines w:val="0"/>
        <w:widowControl/>
        <w:suppressLineNumbers w:val="0"/>
        <w:pBdr>
          <w:left w:val="none" w:color="auto" w:sz="0" w:space="0"/>
        </w:pBdr>
        <w:spacing w:before="75" w:beforeAutospacing="0" w:line="360" w:lineRule="auto"/>
        <w:ind w:left="0" w:firstLine="638" w:firstLineChars="290"/>
        <w:jc w:val="left"/>
        <w:rPr>
          <w:rFonts w:hint="eastAsia" w:cs="宋体"/>
          <w:color w:val="auto"/>
          <w:kern w:val="0"/>
          <w:sz w:val="22"/>
          <w:szCs w:val="22"/>
          <w:highlight w:val="none"/>
          <w:lang w:val="en-US" w:eastAsia="zh-CN" w:bidi="ar"/>
        </w:rPr>
      </w:pPr>
      <w:r>
        <w:rPr>
          <w:rFonts w:hint="eastAsia" w:cs="宋体"/>
          <w:color w:val="auto"/>
          <w:kern w:val="0"/>
          <w:sz w:val="22"/>
          <w:szCs w:val="22"/>
          <w:highlight w:val="none"/>
          <w:lang w:val="en-US" w:eastAsia="zh-CN" w:bidi="ar"/>
        </w:rPr>
        <w:sym w:font="Wingdings" w:char="00A8"/>
      </w:r>
      <w:r>
        <w:rPr>
          <w:rFonts w:hint="eastAsia" w:cs="宋体"/>
          <w:color w:val="auto"/>
          <w:kern w:val="0"/>
          <w:sz w:val="22"/>
          <w:szCs w:val="22"/>
          <w:highlight w:val="none"/>
          <w:lang w:val="en-US" w:eastAsia="zh-CN" w:bidi="ar"/>
        </w:rPr>
        <w:t>投标保证金：采购项目预算的 / %；</w:t>
      </w:r>
    </w:p>
    <w:p w14:paraId="6AA132EE">
      <w:pPr>
        <w:keepNext w:val="0"/>
        <w:keepLines w:val="0"/>
        <w:widowControl/>
        <w:suppressLineNumbers w:val="0"/>
        <w:pBdr>
          <w:left w:val="none" w:color="auto" w:sz="0" w:space="0"/>
        </w:pBdr>
        <w:spacing w:before="75" w:beforeAutospacing="0" w:line="360" w:lineRule="auto"/>
        <w:ind w:left="0" w:firstLine="638" w:firstLineChars="290"/>
        <w:jc w:val="left"/>
        <w:rPr>
          <w:rFonts w:hint="eastAsia" w:cs="宋体"/>
          <w:color w:val="auto"/>
          <w:kern w:val="0"/>
          <w:sz w:val="22"/>
          <w:szCs w:val="22"/>
          <w:highlight w:val="none"/>
          <w:lang w:val="en-US" w:eastAsia="zh-CN" w:bidi="ar"/>
        </w:rPr>
      </w:pPr>
      <w:r>
        <w:rPr>
          <w:rFonts w:hint="eastAsia" w:cs="宋体"/>
          <w:color w:val="auto"/>
          <w:kern w:val="0"/>
          <w:sz w:val="22"/>
          <w:szCs w:val="22"/>
          <w:highlight w:val="none"/>
          <w:lang w:val="en-US" w:eastAsia="zh-CN" w:bidi="ar"/>
        </w:rPr>
        <w:sym w:font="Wingdings" w:char="00A8"/>
      </w:r>
      <w:r>
        <w:rPr>
          <w:rFonts w:hint="eastAsia" w:cs="宋体"/>
          <w:color w:val="auto"/>
          <w:kern w:val="0"/>
          <w:sz w:val="22"/>
          <w:szCs w:val="22"/>
          <w:highlight w:val="none"/>
          <w:lang w:val="en-US" w:eastAsia="zh-CN" w:bidi="ar"/>
        </w:rPr>
        <w:t>履约保证金：中标金额的 / %；</w:t>
      </w:r>
    </w:p>
    <w:p w14:paraId="07E0CD36">
      <w:pPr>
        <w:keepNext w:val="0"/>
        <w:keepLines w:val="0"/>
        <w:widowControl/>
        <w:suppressLineNumbers w:val="0"/>
        <w:pBdr>
          <w:left w:val="none" w:color="auto" w:sz="0" w:space="0"/>
        </w:pBdr>
        <w:spacing w:before="75" w:beforeAutospacing="0" w:line="360" w:lineRule="auto"/>
        <w:ind w:left="0" w:firstLine="638" w:firstLineChars="290"/>
        <w:jc w:val="left"/>
        <w:rPr>
          <w:rFonts w:hint="eastAsia" w:cs="宋体"/>
          <w:color w:val="auto"/>
          <w:kern w:val="0"/>
          <w:sz w:val="22"/>
          <w:szCs w:val="22"/>
          <w:highlight w:val="none"/>
          <w:lang w:val="en-US" w:eastAsia="zh-CN" w:bidi="ar"/>
        </w:rPr>
      </w:pPr>
      <w:r>
        <w:rPr>
          <w:rFonts w:hint="eastAsia" w:cs="宋体"/>
          <w:color w:val="auto"/>
          <w:kern w:val="0"/>
          <w:sz w:val="22"/>
          <w:szCs w:val="22"/>
          <w:highlight w:val="none"/>
          <w:lang w:val="en-US" w:eastAsia="zh-CN" w:bidi="ar"/>
        </w:rPr>
        <w:sym w:font="Wingdings" w:char="00A8"/>
      </w:r>
      <w:r>
        <w:rPr>
          <w:rFonts w:hint="eastAsia" w:cs="宋体"/>
          <w:color w:val="auto"/>
          <w:kern w:val="0"/>
          <w:sz w:val="22"/>
          <w:szCs w:val="22"/>
          <w:highlight w:val="none"/>
          <w:lang w:val="en-US" w:eastAsia="zh-CN" w:bidi="ar"/>
        </w:rPr>
        <w:t>预付款保证金：预付款的 / %；</w:t>
      </w:r>
    </w:p>
    <w:p w14:paraId="3C5BAC89">
      <w:pPr>
        <w:keepNext w:val="0"/>
        <w:keepLines w:val="0"/>
        <w:widowControl/>
        <w:suppressLineNumbers w:val="0"/>
        <w:pBdr>
          <w:left w:val="none" w:color="auto" w:sz="0" w:space="0"/>
        </w:pBdr>
        <w:spacing w:before="75" w:beforeAutospacing="0" w:line="360" w:lineRule="auto"/>
        <w:ind w:left="0" w:firstLine="638" w:firstLineChars="290"/>
        <w:jc w:val="left"/>
        <w:rPr>
          <w:color w:val="auto"/>
          <w:sz w:val="22"/>
          <w:szCs w:val="22"/>
          <w:highlight w:val="none"/>
        </w:rPr>
      </w:pPr>
      <w:r>
        <w:rPr>
          <w:rFonts w:hint="eastAsia" w:cs="宋体"/>
          <w:color w:val="auto"/>
          <w:kern w:val="0"/>
          <w:sz w:val="22"/>
          <w:szCs w:val="22"/>
          <w:highlight w:val="none"/>
          <w:lang w:val="en-US" w:eastAsia="zh-CN" w:bidi="ar"/>
        </w:rPr>
        <w:sym w:font="Wingdings" w:char="00A8"/>
      </w:r>
      <w:r>
        <w:rPr>
          <w:rFonts w:hint="eastAsia" w:cs="宋体"/>
          <w:color w:val="auto"/>
          <w:kern w:val="0"/>
          <w:sz w:val="22"/>
          <w:szCs w:val="22"/>
          <w:highlight w:val="none"/>
          <w:lang w:val="en-US" w:eastAsia="zh-CN" w:bidi="ar"/>
        </w:rPr>
        <w:t>质量保证金：合同金额的 / %；</w:t>
      </w:r>
    </w:p>
    <w:p w14:paraId="456BAE2C">
      <w:pPr>
        <w:pStyle w:val="4"/>
        <w:keepNext w:val="0"/>
        <w:keepLines w:val="0"/>
        <w:widowControl/>
        <w:numPr>
          <w:ilvl w:val="0"/>
          <w:numId w:val="2"/>
        </w:numPr>
        <w:suppressLineNumbers w:val="0"/>
        <w:spacing w:line="240" w:lineRule="auto"/>
        <w:rPr>
          <w:color w:val="auto"/>
          <w:sz w:val="28"/>
          <w:szCs w:val="28"/>
          <w:highlight w:val="none"/>
        </w:rPr>
      </w:pPr>
      <w:r>
        <w:rPr>
          <w:color w:val="auto"/>
          <w:sz w:val="28"/>
          <w:szCs w:val="28"/>
          <w:highlight w:val="none"/>
        </w:rPr>
        <w:t>采购人的采购需求</w:t>
      </w:r>
    </w:p>
    <w:tbl>
      <w:tblPr>
        <w:tblStyle w:val="24"/>
        <w:tblW w:w="994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6"/>
        <w:gridCol w:w="1421"/>
        <w:gridCol w:w="2096"/>
        <w:gridCol w:w="1218"/>
        <w:gridCol w:w="800"/>
        <w:gridCol w:w="1632"/>
        <w:gridCol w:w="896"/>
        <w:gridCol w:w="896"/>
      </w:tblGrid>
      <w:tr w14:paraId="3B11FB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986" w:type="dxa"/>
            <w:noWrap w:val="0"/>
            <w:vAlign w:val="center"/>
          </w:tcPr>
          <w:p w14:paraId="54B5F8CC">
            <w:pPr>
              <w:adjustRightInd w:val="0"/>
              <w:snapToGrid w:val="0"/>
              <w:spacing w:line="240" w:lineRule="auto"/>
              <w:ind w:left="0" w:leftChars="0" w:right="0" w:rightChars="0" w:firstLine="0" w:firstLineChars="0"/>
              <w:jc w:val="center"/>
              <w:rPr>
                <w:b/>
                <w:color w:val="auto"/>
                <w:szCs w:val="21"/>
                <w:highlight w:val="none"/>
              </w:rPr>
            </w:pPr>
            <w:r>
              <w:rPr>
                <w:rFonts w:hint="eastAsia"/>
                <w:b/>
                <w:color w:val="auto"/>
                <w:szCs w:val="21"/>
                <w:highlight w:val="none"/>
              </w:rPr>
              <w:t>包名称</w:t>
            </w:r>
          </w:p>
        </w:tc>
        <w:tc>
          <w:tcPr>
            <w:tcW w:w="1421" w:type="dxa"/>
            <w:noWrap w:val="0"/>
            <w:vAlign w:val="center"/>
          </w:tcPr>
          <w:p w14:paraId="51ACC998">
            <w:pPr>
              <w:adjustRightInd w:val="0"/>
              <w:snapToGrid w:val="0"/>
              <w:spacing w:line="240" w:lineRule="auto"/>
              <w:ind w:left="0" w:leftChars="0" w:right="0" w:rightChars="0" w:firstLine="0" w:firstLineChars="0"/>
              <w:jc w:val="center"/>
              <w:rPr>
                <w:rFonts w:hint="eastAsia" w:eastAsia="宋体"/>
                <w:b/>
                <w:color w:val="auto"/>
                <w:szCs w:val="21"/>
                <w:highlight w:val="none"/>
                <w:lang w:val="en-US" w:eastAsia="zh-CN"/>
              </w:rPr>
            </w:pPr>
            <w:r>
              <w:rPr>
                <w:rFonts w:hint="eastAsia"/>
                <w:b/>
                <w:color w:val="auto"/>
                <w:szCs w:val="21"/>
                <w:highlight w:val="none"/>
              </w:rPr>
              <w:t>最高限价</w:t>
            </w:r>
            <w:r>
              <w:rPr>
                <w:rFonts w:hint="eastAsia"/>
                <w:b/>
                <w:color w:val="auto"/>
                <w:szCs w:val="21"/>
                <w:highlight w:val="none"/>
                <w:lang w:eastAsia="zh-CN"/>
              </w:rPr>
              <w:t>（</w:t>
            </w:r>
            <w:r>
              <w:rPr>
                <w:rFonts w:hint="eastAsia"/>
                <w:b/>
                <w:color w:val="auto"/>
                <w:szCs w:val="21"/>
                <w:highlight w:val="none"/>
                <w:lang w:val="en-US" w:eastAsia="zh-CN"/>
              </w:rPr>
              <w:t>元</w:t>
            </w:r>
            <w:r>
              <w:rPr>
                <w:rFonts w:hint="eastAsia"/>
                <w:b/>
                <w:color w:val="auto"/>
                <w:szCs w:val="21"/>
                <w:highlight w:val="none"/>
                <w:lang w:eastAsia="zh-CN"/>
              </w:rPr>
              <w:t>）</w:t>
            </w:r>
          </w:p>
        </w:tc>
        <w:tc>
          <w:tcPr>
            <w:tcW w:w="0" w:type="auto"/>
            <w:noWrap w:val="0"/>
            <w:vAlign w:val="center"/>
          </w:tcPr>
          <w:p w14:paraId="17324D4A">
            <w:pPr>
              <w:adjustRightInd w:val="0"/>
              <w:snapToGrid w:val="0"/>
              <w:spacing w:line="240" w:lineRule="auto"/>
              <w:ind w:left="0" w:leftChars="0" w:right="0" w:rightChars="0" w:firstLine="0" w:firstLineChars="0"/>
              <w:jc w:val="center"/>
              <w:rPr>
                <w:b/>
                <w:color w:val="auto"/>
                <w:szCs w:val="21"/>
                <w:highlight w:val="none"/>
              </w:rPr>
            </w:pPr>
            <w:r>
              <w:rPr>
                <w:rFonts w:hint="eastAsia"/>
                <w:b/>
                <w:color w:val="auto"/>
                <w:szCs w:val="21"/>
                <w:highlight w:val="none"/>
                <w:lang w:val="en-US" w:eastAsia="zh-CN"/>
              </w:rPr>
              <w:t>标的</w:t>
            </w:r>
            <w:r>
              <w:rPr>
                <w:rFonts w:hint="eastAsia"/>
                <w:b/>
                <w:color w:val="auto"/>
                <w:szCs w:val="21"/>
                <w:highlight w:val="none"/>
              </w:rPr>
              <w:t>名称</w:t>
            </w:r>
          </w:p>
        </w:tc>
        <w:tc>
          <w:tcPr>
            <w:tcW w:w="1218" w:type="dxa"/>
            <w:tcBorders>
              <w:left w:val="single" w:color="auto" w:sz="4" w:space="0"/>
            </w:tcBorders>
            <w:noWrap w:val="0"/>
            <w:vAlign w:val="center"/>
          </w:tcPr>
          <w:p w14:paraId="4B7C1518">
            <w:pPr>
              <w:adjustRightInd w:val="0"/>
              <w:snapToGrid w:val="0"/>
              <w:spacing w:line="240" w:lineRule="auto"/>
              <w:ind w:left="0" w:leftChars="0" w:right="0" w:rightChars="0" w:firstLine="0" w:firstLineChars="0"/>
              <w:jc w:val="center"/>
              <w:rPr>
                <w:b/>
                <w:color w:val="auto"/>
                <w:szCs w:val="21"/>
                <w:highlight w:val="none"/>
              </w:rPr>
            </w:pPr>
            <w:r>
              <w:rPr>
                <w:rFonts w:hint="eastAsia"/>
                <w:b/>
                <w:color w:val="auto"/>
                <w:szCs w:val="21"/>
                <w:highlight w:val="none"/>
              </w:rPr>
              <w:t>简要技术要求</w:t>
            </w:r>
          </w:p>
        </w:tc>
        <w:tc>
          <w:tcPr>
            <w:tcW w:w="800" w:type="dxa"/>
            <w:tcBorders>
              <w:left w:val="single" w:color="auto" w:sz="4" w:space="0"/>
            </w:tcBorders>
            <w:noWrap w:val="0"/>
            <w:vAlign w:val="center"/>
          </w:tcPr>
          <w:p w14:paraId="2F22126C">
            <w:pPr>
              <w:adjustRightInd w:val="0"/>
              <w:snapToGrid w:val="0"/>
              <w:spacing w:line="240" w:lineRule="auto"/>
              <w:ind w:left="0" w:leftChars="0" w:right="0" w:rightChars="0" w:firstLine="0" w:firstLineChars="0"/>
              <w:jc w:val="center"/>
              <w:rPr>
                <w:rFonts w:ascii="宋体" w:hAnsi="宋体" w:cs="宋体"/>
                <w:b/>
                <w:color w:val="auto"/>
                <w:kern w:val="0"/>
                <w:szCs w:val="21"/>
                <w:highlight w:val="none"/>
              </w:rPr>
            </w:pPr>
            <w:r>
              <w:rPr>
                <w:rFonts w:hint="eastAsia"/>
                <w:b/>
                <w:color w:val="auto"/>
                <w:szCs w:val="21"/>
                <w:highlight w:val="none"/>
              </w:rPr>
              <w:t>数量</w:t>
            </w:r>
          </w:p>
        </w:tc>
        <w:tc>
          <w:tcPr>
            <w:tcW w:w="0" w:type="auto"/>
            <w:noWrap w:val="0"/>
            <w:vAlign w:val="center"/>
          </w:tcPr>
          <w:p w14:paraId="721226EA">
            <w:pPr>
              <w:adjustRightInd w:val="0"/>
              <w:snapToGrid w:val="0"/>
              <w:spacing w:line="240" w:lineRule="auto"/>
              <w:ind w:left="0" w:leftChars="0" w:right="0" w:rightChars="0" w:firstLine="0" w:firstLineChars="0"/>
              <w:jc w:val="center"/>
              <w:rPr>
                <w:b/>
                <w:color w:val="auto"/>
                <w:szCs w:val="21"/>
                <w:highlight w:val="none"/>
              </w:rPr>
            </w:pPr>
            <w:r>
              <w:rPr>
                <w:rFonts w:hint="eastAsia"/>
                <w:b/>
                <w:color w:val="auto"/>
                <w:szCs w:val="21"/>
                <w:highlight w:val="none"/>
              </w:rPr>
              <w:t>标的预算</w:t>
            </w:r>
            <w:r>
              <w:rPr>
                <w:rFonts w:hint="eastAsia"/>
                <w:b/>
                <w:color w:val="auto"/>
                <w:szCs w:val="21"/>
                <w:highlight w:val="none"/>
                <w:lang w:eastAsia="zh-CN"/>
              </w:rPr>
              <w:t>（</w:t>
            </w:r>
            <w:r>
              <w:rPr>
                <w:rFonts w:hint="eastAsia"/>
                <w:b/>
                <w:color w:val="auto"/>
                <w:szCs w:val="21"/>
                <w:highlight w:val="none"/>
                <w:lang w:val="en-US" w:eastAsia="zh-CN"/>
              </w:rPr>
              <w:t>元</w:t>
            </w:r>
            <w:r>
              <w:rPr>
                <w:rFonts w:hint="eastAsia"/>
                <w:b/>
                <w:color w:val="auto"/>
                <w:szCs w:val="21"/>
                <w:highlight w:val="none"/>
                <w:lang w:eastAsia="zh-CN"/>
              </w:rPr>
              <w:t>）</w:t>
            </w:r>
          </w:p>
        </w:tc>
        <w:tc>
          <w:tcPr>
            <w:tcW w:w="0" w:type="auto"/>
            <w:noWrap w:val="0"/>
            <w:vAlign w:val="center"/>
          </w:tcPr>
          <w:p w14:paraId="2410B266">
            <w:pPr>
              <w:adjustRightInd w:val="0"/>
              <w:snapToGrid w:val="0"/>
              <w:spacing w:line="240" w:lineRule="auto"/>
              <w:ind w:left="0" w:leftChars="0" w:right="0" w:rightChars="0" w:firstLine="0" w:firstLineChars="0"/>
              <w:jc w:val="center"/>
              <w:rPr>
                <w:b/>
                <w:color w:val="auto"/>
                <w:szCs w:val="21"/>
                <w:highlight w:val="none"/>
              </w:rPr>
            </w:pPr>
            <w:r>
              <w:rPr>
                <w:rFonts w:hint="eastAsia"/>
                <w:b/>
                <w:color w:val="auto"/>
                <w:szCs w:val="21"/>
                <w:highlight w:val="none"/>
              </w:rPr>
              <w:t>节能产品</w:t>
            </w:r>
          </w:p>
        </w:tc>
        <w:tc>
          <w:tcPr>
            <w:tcW w:w="896" w:type="dxa"/>
            <w:noWrap w:val="0"/>
            <w:vAlign w:val="center"/>
          </w:tcPr>
          <w:p w14:paraId="14B52BE4">
            <w:pPr>
              <w:adjustRightInd w:val="0"/>
              <w:snapToGrid w:val="0"/>
              <w:spacing w:line="240" w:lineRule="auto"/>
              <w:ind w:left="0" w:leftChars="0" w:right="0" w:rightChars="0" w:firstLine="0" w:firstLineChars="0"/>
              <w:jc w:val="center"/>
              <w:rPr>
                <w:b/>
                <w:color w:val="auto"/>
                <w:szCs w:val="21"/>
                <w:highlight w:val="none"/>
              </w:rPr>
            </w:pPr>
            <w:r>
              <w:rPr>
                <w:rFonts w:hint="eastAsia"/>
                <w:b/>
                <w:color w:val="auto"/>
                <w:szCs w:val="21"/>
                <w:highlight w:val="none"/>
              </w:rPr>
              <w:t>进口产品</w:t>
            </w:r>
          </w:p>
        </w:tc>
      </w:tr>
      <w:tr w14:paraId="26B091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86" w:type="dxa"/>
            <w:vMerge w:val="restart"/>
            <w:noWrap w:val="0"/>
            <w:vAlign w:val="center"/>
          </w:tcPr>
          <w:p w14:paraId="104E14B6">
            <w:pPr>
              <w:adjustRightInd w:val="0"/>
              <w:snapToGrid w:val="0"/>
              <w:spacing w:before="156" w:beforeLines="50" w:line="240" w:lineRule="auto"/>
              <w:ind w:left="0" w:leftChars="0" w:right="0" w:rightChars="0" w:firstLine="0" w:firstLineChars="0"/>
              <w:jc w:val="center"/>
              <w:rPr>
                <w:rFonts w:hint="default" w:ascii="宋体" w:eastAsia="宋体"/>
                <w:color w:val="auto"/>
                <w:sz w:val="22"/>
                <w:szCs w:val="21"/>
                <w:highlight w:val="none"/>
                <w:lang w:val="en-US" w:eastAsia="zh-CN"/>
              </w:rPr>
            </w:pPr>
            <w:r>
              <w:rPr>
                <w:rFonts w:hint="eastAsia" w:ascii="宋体" w:hAnsi="宋体" w:eastAsia="宋体" w:cs="宋体"/>
                <w:color w:val="auto"/>
                <w:sz w:val="22"/>
                <w:szCs w:val="21"/>
                <w:highlight w:val="none"/>
                <w:lang w:val="en-US" w:eastAsia="zh-CN"/>
              </w:rPr>
              <w:t>包1</w:t>
            </w:r>
          </w:p>
        </w:tc>
        <w:tc>
          <w:tcPr>
            <w:tcW w:w="1421" w:type="dxa"/>
            <w:vMerge w:val="restart"/>
            <w:noWrap w:val="0"/>
            <w:vAlign w:val="center"/>
          </w:tcPr>
          <w:p w14:paraId="0ACB0D55">
            <w:pPr>
              <w:adjustRightInd w:val="0"/>
              <w:snapToGrid w:val="0"/>
              <w:spacing w:before="156" w:beforeLines="50" w:line="240" w:lineRule="auto"/>
              <w:ind w:left="0" w:leftChars="0" w:right="0" w:rightChars="0" w:firstLine="0" w:firstLineChars="0"/>
              <w:jc w:val="center"/>
              <w:rPr>
                <w:rFonts w:hint="eastAsia" w:ascii="宋体" w:hAnsi="宋体" w:eastAsia="宋体" w:cs="宋体"/>
                <w:b w:val="0"/>
                <w:bCs w:val="0"/>
                <w:color w:val="auto"/>
                <w:kern w:val="0"/>
                <w:sz w:val="22"/>
                <w:szCs w:val="22"/>
                <w:highlight w:val="none"/>
                <w:lang w:val="en-US" w:eastAsia="zh-CN" w:bidi="ar"/>
              </w:rPr>
            </w:pPr>
            <w:r>
              <w:rPr>
                <w:rFonts w:hint="eastAsia" w:ascii="宋体" w:eastAsia="宋体" w:cs="宋体"/>
                <w:b w:val="0"/>
                <w:bCs w:val="0"/>
                <w:color w:val="auto"/>
                <w:kern w:val="0"/>
                <w:sz w:val="22"/>
                <w:szCs w:val="22"/>
                <w:highlight w:val="none"/>
                <w:lang w:val="en-US" w:eastAsia="zh-CN" w:bidi="ar"/>
              </w:rPr>
              <w:t>569480.00</w:t>
            </w:r>
          </w:p>
        </w:tc>
        <w:tc>
          <w:tcPr>
            <w:tcW w:w="0" w:type="auto"/>
            <w:noWrap w:val="0"/>
            <w:vAlign w:val="center"/>
          </w:tcPr>
          <w:p w14:paraId="2C8D6819">
            <w:pPr>
              <w:keepNext w:val="0"/>
              <w:keepLines w:val="0"/>
              <w:widowControl/>
              <w:suppressLineNumbers w:val="0"/>
              <w:snapToGrid w:val="0"/>
              <w:spacing w:before="75" w:beforeAutospacing="0" w:line="240" w:lineRule="auto"/>
              <w:ind w:left="0" w:leftChars="0" w:right="0" w:rightChars="0" w:firstLine="0" w:firstLineChars="0"/>
              <w:jc w:val="center"/>
              <w:rPr>
                <w:rFonts w:ascii="宋体" w:hAnsi="宋体" w:eastAsia="宋体" w:cs="宋体"/>
                <w:b w:val="0"/>
                <w:bCs w:val="0"/>
                <w:color w:val="auto"/>
                <w:kern w:val="0"/>
                <w:sz w:val="22"/>
                <w:szCs w:val="22"/>
                <w:highlight w:val="none"/>
                <w:lang w:val="en-US" w:eastAsia="zh-CN" w:bidi="ar"/>
              </w:rPr>
            </w:pPr>
            <w:r>
              <w:rPr>
                <w:rFonts w:hint="eastAsia" w:ascii="宋体" w:hAnsi="宋体" w:eastAsia="宋体" w:cs="宋体"/>
                <w:b w:val="0"/>
                <w:bCs w:val="0"/>
                <w:color w:val="auto"/>
                <w:kern w:val="0"/>
                <w:sz w:val="22"/>
                <w:szCs w:val="22"/>
                <w:highlight w:val="none"/>
                <w:lang w:val="en-US" w:eastAsia="zh-CN" w:bidi="ar"/>
              </w:rPr>
              <w:t>主动安全智能防控终端</w:t>
            </w:r>
          </w:p>
        </w:tc>
        <w:tc>
          <w:tcPr>
            <w:tcW w:w="1218" w:type="dxa"/>
            <w:vMerge w:val="restart"/>
            <w:tcBorders>
              <w:left w:val="single" w:color="auto" w:sz="4" w:space="0"/>
            </w:tcBorders>
            <w:noWrap w:val="0"/>
            <w:vAlign w:val="center"/>
          </w:tcPr>
          <w:p w14:paraId="2B40E1D0">
            <w:pPr>
              <w:keepNext w:val="0"/>
              <w:keepLines w:val="0"/>
              <w:widowControl/>
              <w:suppressLineNumbers w:val="0"/>
              <w:snapToGrid w:val="0"/>
              <w:spacing w:before="75" w:beforeAutospacing="0" w:line="240" w:lineRule="auto"/>
              <w:ind w:left="0" w:leftChars="0" w:right="0" w:rightChars="0" w:firstLine="0" w:firstLineChars="0"/>
              <w:jc w:val="center"/>
              <w:rPr>
                <w:rFonts w:ascii="宋体" w:eastAsia="宋体"/>
                <w:color w:val="auto"/>
                <w:sz w:val="22"/>
                <w:szCs w:val="21"/>
                <w:highlight w:val="none"/>
              </w:rPr>
            </w:pPr>
            <w:r>
              <w:rPr>
                <w:rFonts w:ascii="宋体" w:hAnsi="宋体" w:eastAsia="宋体" w:cs="宋体"/>
                <w:b w:val="0"/>
                <w:bCs w:val="0"/>
                <w:color w:val="auto"/>
                <w:kern w:val="0"/>
                <w:sz w:val="22"/>
                <w:szCs w:val="22"/>
                <w:highlight w:val="none"/>
                <w:lang w:val="en-US" w:eastAsia="zh-CN" w:bidi="ar"/>
              </w:rPr>
              <w:t>详见</w:t>
            </w:r>
            <w:r>
              <w:rPr>
                <w:rFonts w:hint="eastAsia" w:ascii="宋体" w:eastAsia="宋体" w:cs="宋体"/>
                <w:b w:val="0"/>
                <w:bCs w:val="0"/>
                <w:color w:val="auto"/>
                <w:kern w:val="0"/>
                <w:sz w:val="22"/>
                <w:szCs w:val="22"/>
                <w:highlight w:val="none"/>
                <w:lang w:val="en-US" w:eastAsia="zh-CN" w:bidi="ar"/>
              </w:rPr>
              <w:t>磋商</w:t>
            </w:r>
            <w:r>
              <w:rPr>
                <w:rFonts w:ascii="宋体" w:hAnsi="宋体" w:eastAsia="宋体" w:cs="宋体"/>
                <w:b w:val="0"/>
                <w:bCs w:val="0"/>
                <w:color w:val="auto"/>
                <w:kern w:val="0"/>
                <w:sz w:val="22"/>
                <w:szCs w:val="22"/>
                <w:highlight w:val="none"/>
                <w:lang w:val="en-US" w:eastAsia="zh-CN" w:bidi="ar"/>
              </w:rPr>
              <w:t>文件</w:t>
            </w:r>
          </w:p>
        </w:tc>
        <w:tc>
          <w:tcPr>
            <w:tcW w:w="800" w:type="dxa"/>
            <w:tcBorders>
              <w:left w:val="single" w:color="auto" w:sz="4" w:space="0"/>
            </w:tcBorders>
            <w:noWrap w:val="0"/>
            <w:vAlign w:val="center"/>
          </w:tcPr>
          <w:p w14:paraId="2BC42402">
            <w:pPr>
              <w:adjustRightInd w:val="0"/>
              <w:snapToGrid w:val="0"/>
              <w:spacing w:before="156" w:beforeLines="50" w:line="240" w:lineRule="auto"/>
              <w:ind w:left="0" w:leftChars="0" w:right="0" w:rightChars="0" w:firstLine="0" w:firstLineChars="0"/>
              <w:jc w:val="center"/>
              <w:rPr>
                <w:rFonts w:hint="default" w:ascii="宋体" w:eastAsia="宋体"/>
                <w:color w:val="auto"/>
                <w:sz w:val="22"/>
                <w:szCs w:val="21"/>
                <w:highlight w:val="none"/>
                <w:lang w:val="en-US" w:eastAsia="zh-CN"/>
              </w:rPr>
            </w:pPr>
            <w:r>
              <w:rPr>
                <w:rFonts w:hint="eastAsia" w:ascii="宋体" w:eastAsia="宋体"/>
                <w:color w:val="auto"/>
                <w:sz w:val="22"/>
                <w:szCs w:val="21"/>
                <w:highlight w:val="none"/>
                <w:lang w:val="en-US" w:eastAsia="zh-CN"/>
              </w:rPr>
              <w:t>230套</w:t>
            </w:r>
          </w:p>
        </w:tc>
        <w:tc>
          <w:tcPr>
            <w:tcW w:w="0" w:type="auto"/>
            <w:vMerge w:val="restart"/>
            <w:noWrap w:val="0"/>
            <w:vAlign w:val="center"/>
          </w:tcPr>
          <w:p w14:paraId="50C8F992">
            <w:pPr>
              <w:adjustRightInd w:val="0"/>
              <w:snapToGrid w:val="0"/>
              <w:spacing w:before="156" w:beforeLines="50" w:line="240" w:lineRule="auto"/>
              <w:ind w:left="0" w:leftChars="0" w:right="0" w:rightChars="0" w:firstLine="0" w:firstLineChars="0"/>
              <w:jc w:val="center"/>
              <w:rPr>
                <w:rFonts w:ascii="宋体" w:eastAsia="宋体"/>
                <w:color w:val="auto"/>
                <w:sz w:val="22"/>
                <w:szCs w:val="21"/>
                <w:highlight w:val="none"/>
              </w:rPr>
            </w:pPr>
            <w:r>
              <w:rPr>
                <w:rFonts w:hint="eastAsia" w:ascii="宋体" w:eastAsia="宋体" w:cs="宋体"/>
                <w:b w:val="0"/>
                <w:bCs w:val="0"/>
                <w:color w:val="auto"/>
                <w:kern w:val="0"/>
                <w:sz w:val="22"/>
                <w:szCs w:val="22"/>
                <w:highlight w:val="none"/>
                <w:lang w:val="en-US" w:eastAsia="zh-CN" w:bidi="ar"/>
              </w:rPr>
              <w:t>569480.00</w:t>
            </w:r>
          </w:p>
        </w:tc>
        <w:tc>
          <w:tcPr>
            <w:tcW w:w="0" w:type="auto"/>
            <w:noWrap w:val="0"/>
            <w:vAlign w:val="center"/>
          </w:tcPr>
          <w:p w14:paraId="4A05EED1">
            <w:pPr>
              <w:adjustRightInd w:val="0"/>
              <w:snapToGrid w:val="0"/>
              <w:spacing w:before="156" w:beforeLines="50" w:line="240" w:lineRule="auto"/>
              <w:ind w:left="0" w:leftChars="0" w:right="0" w:rightChars="0" w:firstLine="0" w:firstLineChars="0"/>
              <w:jc w:val="center"/>
              <w:rPr>
                <w:rFonts w:ascii="宋体" w:eastAsia="宋体"/>
                <w:color w:val="auto"/>
                <w:sz w:val="22"/>
                <w:szCs w:val="21"/>
                <w:highlight w:val="none"/>
              </w:rPr>
            </w:pPr>
            <w:r>
              <w:rPr>
                <w:rFonts w:hint="eastAsia" w:ascii="宋体" w:hAnsi="宋体" w:eastAsia="宋体"/>
                <w:iCs/>
                <w:color w:val="auto"/>
                <w:sz w:val="22"/>
                <w:szCs w:val="21"/>
                <w:highlight w:val="none"/>
              </w:rPr>
              <w:sym w:font="Wingdings" w:char="00A8"/>
            </w:r>
          </w:p>
        </w:tc>
        <w:tc>
          <w:tcPr>
            <w:tcW w:w="896" w:type="dxa"/>
            <w:noWrap w:val="0"/>
            <w:vAlign w:val="center"/>
          </w:tcPr>
          <w:p w14:paraId="01C04997">
            <w:pPr>
              <w:adjustRightInd w:val="0"/>
              <w:snapToGrid w:val="0"/>
              <w:spacing w:before="156" w:beforeLines="50" w:line="240" w:lineRule="auto"/>
              <w:ind w:left="0" w:leftChars="0" w:right="0" w:rightChars="0" w:firstLine="0" w:firstLineChars="0"/>
              <w:jc w:val="center"/>
              <w:rPr>
                <w:rFonts w:ascii="宋体" w:eastAsia="宋体"/>
                <w:color w:val="auto"/>
                <w:sz w:val="22"/>
                <w:szCs w:val="21"/>
                <w:highlight w:val="none"/>
              </w:rPr>
            </w:pPr>
            <w:r>
              <w:rPr>
                <w:rFonts w:hint="eastAsia" w:ascii="宋体" w:hAnsi="宋体" w:eastAsia="宋体"/>
                <w:iCs/>
                <w:color w:val="auto"/>
                <w:sz w:val="22"/>
                <w:szCs w:val="21"/>
                <w:highlight w:val="none"/>
              </w:rPr>
              <w:sym w:font="Wingdings" w:char="00A8"/>
            </w:r>
          </w:p>
        </w:tc>
      </w:tr>
      <w:tr w14:paraId="088B0B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86" w:type="dxa"/>
            <w:vMerge w:val="continue"/>
            <w:noWrap w:val="0"/>
            <w:vAlign w:val="center"/>
          </w:tcPr>
          <w:p w14:paraId="27BC72E3">
            <w:pPr>
              <w:keepNext w:val="0"/>
              <w:keepLines w:val="0"/>
              <w:widowControl/>
              <w:suppressLineNumbers w:val="0"/>
              <w:snapToGrid w:val="0"/>
              <w:spacing w:before="75" w:beforeAutospacing="0" w:line="240" w:lineRule="auto"/>
              <w:ind w:left="0" w:leftChars="0" w:right="0" w:rightChars="0" w:firstLine="0" w:firstLineChars="0"/>
              <w:jc w:val="center"/>
              <w:rPr>
                <w:rFonts w:ascii="宋体" w:eastAsia="宋体"/>
                <w:sz w:val="22"/>
              </w:rPr>
            </w:pPr>
          </w:p>
        </w:tc>
        <w:tc>
          <w:tcPr>
            <w:tcW w:w="1421" w:type="dxa"/>
            <w:vMerge w:val="continue"/>
            <w:noWrap w:val="0"/>
            <w:vAlign w:val="center"/>
          </w:tcPr>
          <w:p w14:paraId="790DD884">
            <w:pPr>
              <w:keepNext w:val="0"/>
              <w:keepLines w:val="0"/>
              <w:widowControl/>
              <w:suppressLineNumbers w:val="0"/>
              <w:snapToGrid w:val="0"/>
              <w:spacing w:before="75" w:beforeAutospacing="0" w:line="240" w:lineRule="auto"/>
              <w:ind w:left="0" w:leftChars="0" w:right="0" w:rightChars="0" w:firstLine="0" w:firstLineChars="0"/>
              <w:jc w:val="center"/>
              <w:rPr>
                <w:rFonts w:ascii="宋体" w:eastAsia="宋体"/>
                <w:sz w:val="22"/>
              </w:rPr>
            </w:pPr>
          </w:p>
        </w:tc>
        <w:tc>
          <w:tcPr>
            <w:tcW w:w="0" w:type="auto"/>
            <w:noWrap w:val="0"/>
            <w:vAlign w:val="center"/>
          </w:tcPr>
          <w:p w14:paraId="3102AA40">
            <w:pPr>
              <w:keepNext w:val="0"/>
              <w:keepLines w:val="0"/>
              <w:widowControl/>
              <w:suppressLineNumbers w:val="0"/>
              <w:snapToGrid w:val="0"/>
              <w:spacing w:before="75" w:beforeAutospacing="0" w:line="240" w:lineRule="auto"/>
              <w:ind w:left="0" w:leftChars="0" w:right="0" w:rightChars="0" w:firstLine="0" w:firstLineChars="0"/>
              <w:jc w:val="center"/>
              <w:rPr>
                <w:rFonts w:ascii="宋体" w:hAnsi="宋体" w:eastAsia="宋体" w:cs="宋体"/>
                <w:b w:val="0"/>
                <w:bCs w:val="0"/>
                <w:color w:val="auto"/>
                <w:kern w:val="0"/>
                <w:sz w:val="22"/>
                <w:szCs w:val="22"/>
                <w:highlight w:val="none"/>
                <w:lang w:val="en-US" w:eastAsia="zh-CN" w:bidi="ar"/>
              </w:rPr>
            </w:pPr>
            <w:r>
              <w:rPr>
                <w:rFonts w:hint="eastAsia" w:ascii="宋体" w:hAnsi="宋体" w:eastAsia="宋体" w:cs="宋体"/>
                <w:b w:val="0"/>
                <w:bCs w:val="0"/>
                <w:color w:val="auto"/>
                <w:kern w:val="0"/>
                <w:sz w:val="22"/>
                <w:szCs w:val="22"/>
                <w:highlight w:val="none"/>
                <w:lang w:val="en-US" w:eastAsia="zh-CN" w:bidi="ar"/>
              </w:rPr>
              <w:t>DSM摄像头</w:t>
            </w:r>
          </w:p>
        </w:tc>
        <w:tc>
          <w:tcPr>
            <w:tcW w:w="1218" w:type="dxa"/>
            <w:vMerge w:val="continue"/>
            <w:tcBorders>
              <w:left w:val="single" w:color="auto" w:sz="4" w:space="0"/>
            </w:tcBorders>
            <w:noWrap w:val="0"/>
            <w:vAlign w:val="center"/>
          </w:tcPr>
          <w:p w14:paraId="7ADCD1D4">
            <w:pPr>
              <w:keepNext w:val="0"/>
              <w:keepLines w:val="0"/>
              <w:widowControl/>
              <w:suppressLineNumbers w:val="0"/>
              <w:snapToGrid w:val="0"/>
              <w:spacing w:before="75" w:beforeAutospacing="0" w:line="240" w:lineRule="auto"/>
              <w:ind w:left="0" w:leftChars="0" w:right="0" w:rightChars="0" w:firstLine="0" w:firstLineChars="0"/>
              <w:jc w:val="center"/>
              <w:rPr>
                <w:rFonts w:ascii="宋体" w:eastAsia="宋体"/>
                <w:color w:val="auto"/>
                <w:sz w:val="22"/>
                <w:szCs w:val="21"/>
                <w:highlight w:val="none"/>
              </w:rPr>
            </w:pPr>
          </w:p>
        </w:tc>
        <w:tc>
          <w:tcPr>
            <w:tcW w:w="800" w:type="dxa"/>
            <w:tcBorders>
              <w:left w:val="single" w:color="auto" w:sz="4" w:space="0"/>
            </w:tcBorders>
            <w:noWrap w:val="0"/>
            <w:vAlign w:val="center"/>
          </w:tcPr>
          <w:p w14:paraId="0111BE95">
            <w:pPr>
              <w:keepNext w:val="0"/>
              <w:keepLines w:val="0"/>
              <w:widowControl/>
              <w:suppressLineNumbers w:val="0"/>
              <w:snapToGrid w:val="0"/>
              <w:spacing w:before="75" w:beforeAutospacing="0" w:line="240" w:lineRule="auto"/>
              <w:ind w:left="0" w:leftChars="0" w:right="0" w:rightChars="0" w:firstLine="0" w:firstLineChars="0"/>
              <w:jc w:val="center"/>
              <w:rPr>
                <w:rFonts w:hint="default" w:ascii="宋体" w:eastAsia="宋体"/>
                <w:color w:val="auto"/>
                <w:sz w:val="22"/>
                <w:szCs w:val="21"/>
                <w:highlight w:val="none"/>
                <w:lang w:val="en-US" w:eastAsia="zh-CN"/>
              </w:rPr>
            </w:pPr>
            <w:r>
              <w:rPr>
                <w:rFonts w:hint="eastAsia" w:ascii="宋体" w:eastAsia="宋体"/>
                <w:color w:val="auto"/>
                <w:sz w:val="22"/>
                <w:szCs w:val="21"/>
                <w:highlight w:val="none"/>
                <w:lang w:val="en-US" w:eastAsia="zh-CN"/>
              </w:rPr>
              <w:t>230个</w:t>
            </w:r>
          </w:p>
        </w:tc>
        <w:tc>
          <w:tcPr>
            <w:tcW w:w="0" w:type="auto"/>
            <w:vMerge w:val="continue"/>
            <w:noWrap w:val="0"/>
            <w:vAlign w:val="center"/>
          </w:tcPr>
          <w:p w14:paraId="4688E5AA">
            <w:pPr>
              <w:keepNext w:val="0"/>
              <w:keepLines w:val="0"/>
              <w:widowControl/>
              <w:suppressLineNumbers w:val="0"/>
              <w:snapToGrid w:val="0"/>
              <w:spacing w:before="75" w:beforeAutospacing="0" w:line="240" w:lineRule="auto"/>
              <w:ind w:left="0" w:leftChars="0" w:right="0" w:rightChars="0" w:firstLine="0" w:firstLineChars="0"/>
              <w:jc w:val="center"/>
              <w:rPr>
                <w:rFonts w:ascii="宋体" w:eastAsia="宋体"/>
                <w:color w:val="auto"/>
                <w:sz w:val="22"/>
                <w:szCs w:val="21"/>
                <w:highlight w:val="none"/>
              </w:rPr>
            </w:pPr>
          </w:p>
        </w:tc>
        <w:tc>
          <w:tcPr>
            <w:tcW w:w="0" w:type="auto"/>
            <w:noWrap w:val="0"/>
            <w:vAlign w:val="center"/>
          </w:tcPr>
          <w:p w14:paraId="7D3FE51A">
            <w:pPr>
              <w:adjustRightInd w:val="0"/>
              <w:snapToGrid w:val="0"/>
              <w:spacing w:before="156" w:beforeLines="50" w:line="240" w:lineRule="auto"/>
              <w:ind w:left="0" w:leftChars="0" w:right="0" w:rightChars="0" w:firstLine="0" w:firstLineChars="0"/>
              <w:jc w:val="center"/>
              <w:rPr>
                <w:rFonts w:ascii="宋体" w:eastAsia="宋体"/>
                <w:color w:val="auto"/>
                <w:sz w:val="22"/>
                <w:szCs w:val="21"/>
                <w:highlight w:val="none"/>
              </w:rPr>
            </w:pPr>
            <w:r>
              <w:rPr>
                <w:rFonts w:hint="eastAsia" w:ascii="宋体" w:hAnsi="宋体" w:eastAsia="宋体"/>
                <w:iCs/>
                <w:color w:val="auto"/>
                <w:sz w:val="22"/>
                <w:szCs w:val="21"/>
                <w:highlight w:val="none"/>
              </w:rPr>
              <w:sym w:font="Wingdings" w:char="00A8"/>
            </w:r>
          </w:p>
        </w:tc>
        <w:tc>
          <w:tcPr>
            <w:tcW w:w="896" w:type="dxa"/>
            <w:noWrap w:val="0"/>
            <w:vAlign w:val="center"/>
          </w:tcPr>
          <w:p w14:paraId="3CBD561F">
            <w:pPr>
              <w:adjustRightInd w:val="0"/>
              <w:snapToGrid w:val="0"/>
              <w:spacing w:before="156" w:beforeLines="50" w:line="240" w:lineRule="auto"/>
              <w:ind w:left="0" w:leftChars="0" w:right="0" w:rightChars="0" w:firstLine="0" w:firstLineChars="0"/>
              <w:jc w:val="center"/>
              <w:rPr>
                <w:rFonts w:ascii="宋体" w:eastAsia="宋体"/>
                <w:color w:val="auto"/>
                <w:sz w:val="22"/>
                <w:szCs w:val="21"/>
                <w:highlight w:val="none"/>
              </w:rPr>
            </w:pPr>
            <w:r>
              <w:rPr>
                <w:rFonts w:hint="eastAsia" w:ascii="宋体" w:hAnsi="宋体" w:eastAsia="宋体"/>
                <w:iCs/>
                <w:color w:val="auto"/>
                <w:sz w:val="22"/>
                <w:szCs w:val="21"/>
                <w:highlight w:val="none"/>
              </w:rPr>
              <w:sym w:font="Wingdings" w:char="00A8"/>
            </w:r>
          </w:p>
        </w:tc>
      </w:tr>
      <w:tr w14:paraId="2474CE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86" w:type="dxa"/>
            <w:vMerge w:val="continue"/>
            <w:noWrap w:val="0"/>
            <w:vAlign w:val="center"/>
          </w:tcPr>
          <w:p w14:paraId="6F270DAF">
            <w:pPr>
              <w:adjustRightInd w:val="0"/>
              <w:snapToGrid w:val="0"/>
              <w:spacing w:before="156" w:beforeLines="50" w:line="240" w:lineRule="auto"/>
              <w:ind w:left="0" w:leftChars="0" w:right="0" w:rightChars="0" w:firstLine="0" w:firstLineChars="0"/>
              <w:jc w:val="center"/>
              <w:rPr>
                <w:rFonts w:hint="eastAsia" w:ascii="宋体" w:hAnsi="宋体" w:eastAsia="宋体" w:cs="宋体"/>
                <w:color w:val="auto"/>
                <w:sz w:val="22"/>
                <w:szCs w:val="21"/>
                <w:highlight w:val="none"/>
                <w:lang w:val="en-US" w:eastAsia="zh-CN"/>
              </w:rPr>
            </w:pPr>
          </w:p>
        </w:tc>
        <w:tc>
          <w:tcPr>
            <w:tcW w:w="1421" w:type="dxa"/>
            <w:vMerge w:val="continue"/>
            <w:noWrap w:val="0"/>
            <w:vAlign w:val="center"/>
          </w:tcPr>
          <w:p w14:paraId="71EEC532">
            <w:pPr>
              <w:adjustRightInd w:val="0"/>
              <w:snapToGrid w:val="0"/>
              <w:spacing w:before="156" w:beforeLines="50" w:line="240" w:lineRule="auto"/>
              <w:ind w:left="0" w:leftChars="0" w:right="0" w:rightChars="0" w:firstLine="0" w:firstLineChars="0"/>
              <w:jc w:val="center"/>
              <w:rPr>
                <w:rFonts w:hint="eastAsia" w:ascii="宋体" w:eastAsia="宋体" w:cs="宋体"/>
                <w:b w:val="0"/>
                <w:bCs w:val="0"/>
                <w:color w:val="auto"/>
                <w:kern w:val="0"/>
                <w:sz w:val="22"/>
                <w:szCs w:val="22"/>
                <w:highlight w:val="none"/>
                <w:lang w:val="en-US" w:eastAsia="zh-CN" w:bidi="ar"/>
              </w:rPr>
            </w:pPr>
          </w:p>
        </w:tc>
        <w:tc>
          <w:tcPr>
            <w:tcW w:w="0" w:type="auto"/>
            <w:noWrap w:val="0"/>
            <w:vAlign w:val="center"/>
          </w:tcPr>
          <w:p w14:paraId="3D4EAF86">
            <w:pPr>
              <w:keepNext w:val="0"/>
              <w:keepLines w:val="0"/>
              <w:widowControl/>
              <w:suppressLineNumbers w:val="0"/>
              <w:snapToGrid w:val="0"/>
              <w:spacing w:before="75" w:beforeAutospacing="0" w:line="240" w:lineRule="auto"/>
              <w:ind w:left="0" w:leftChars="0" w:right="0" w:rightChars="0" w:firstLine="0" w:firstLineChars="0"/>
              <w:jc w:val="center"/>
              <w:rPr>
                <w:rFonts w:hint="default" w:ascii="宋体" w:hAnsi="宋体" w:eastAsia="宋体" w:cs="宋体"/>
                <w:b w:val="0"/>
                <w:bCs w:val="0"/>
                <w:color w:val="auto"/>
                <w:kern w:val="0"/>
                <w:sz w:val="22"/>
                <w:szCs w:val="22"/>
                <w:highlight w:val="none"/>
                <w:lang w:val="en-US" w:eastAsia="zh-CN" w:bidi="ar"/>
              </w:rPr>
            </w:pPr>
            <w:r>
              <w:rPr>
                <w:rFonts w:hint="eastAsia" w:ascii="宋体" w:hAnsi="宋体" w:eastAsia="宋体" w:cs="宋体"/>
                <w:b w:val="0"/>
                <w:bCs w:val="0"/>
                <w:color w:val="auto"/>
                <w:kern w:val="0"/>
                <w:sz w:val="22"/>
                <w:szCs w:val="22"/>
                <w:highlight w:val="none"/>
                <w:lang w:val="en-US" w:eastAsia="zh-CN" w:bidi="ar"/>
              </w:rPr>
              <w:t>ADAS摄像头</w:t>
            </w:r>
          </w:p>
        </w:tc>
        <w:tc>
          <w:tcPr>
            <w:tcW w:w="1218" w:type="dxa"/>
            <w:vMerge w:val="continue"/>
            <w:tcBorders>
              <w:left w:val="single" w:color="auto" w:sz="4" w:space="0"/>
            </w:tcBorders>
            <w:noWrap w:val="0"/>
            <w:vAlign w:val="center"/>
          </w:tcPr>
          <w:p w14:paraId="52A00D08">
            <w:pPr>
              <w:keepNext w:val="0"/>
              <w:keepLines w:val="0"/>
              <w:widowControl/>
              <w:suppressLineNumbers w:val="0"/>
              <w:snapToGrid w:val="0"/>
              <w:spacing w:before="75" w:beforeAutospacing="0" w:line="240" w:lineRule="auto"/>
              <w:ind w:left="0" w:leftChars="0" w:right="0" w:rightChars="0" w:firstLine="0" w:firstLineChars="0"/>
              <w:jc w:val="center"/>
              <w:rPr>
                <w:rFonts w:ascii="宋体" w:hAnsi="宋体" w:eastAsia="宋体" w:cs="宋体"/>
                <w:b w:val="0"/>
                <w:bCs w:val="0"/>
                <w:color w:val="auto"/>
                <w:kern w:val="0"/>
                <w:sz w:val="22"/>
                <w:szCs w:val="22"/>
                <w:highlight w:val="none"/>
                <w:lang w:val="en-US" w:eastAsia="zh-CN" w:bidi="ar"/>
              </w:rPr>
            </w:pPr>
          </w:p>
        </w:tc>
        <w:tc>
          <w:tcPr>
            <w:tcW w:w="800" w:type="dxa"/>
            <w:tcBorders>
              <w:left w:val="single" w:color="auto" w:sz="4" w:space="0"/>
            </w:tcBorders>
            <w:noWrap w:val="0"/>
            <w:vAlign w:val="center"/>
          </w:tcPr>
          <w:p w14:paraId="1152CFD3">
            <w:pPr>
              <w:adjustRightInd w:val="0"/>
              <w:snapToGrid w:val="0"/>
              <w:spacing w:before="156" w:beforeLines="50" w:line="240" w:lineRule="auto"/>
              <w:ind w:left="0" w:leftChars="0" w:right="0" w:rightChars="0" w:firstLine="0" w:firstLineChars="0"/>
              <w:jc w:val="center"/>
              <w:rPr>
                <w:rFonts w:hint="default" w:ascii="宋体" w:eastAsia="宋体"/>
                <w:color w:val="auto"/>
                <w:sz w:val="22"/>
                <w:szCs w:val="21"/>
                <w:highlight w:val="none"/>
                <w:lang w:val="en-US" w:eastAsia="zh-CN"/>
              </w:rPr>
            </w:pPr>
            <w:r>
              <w:rPr>
                <w:rFonts w:hint="eastAsia" w:ascii="宋体" w:eastAsia="宋体"/>
                <w:color w:val="auto"/>
                <w:sz w:val="22"/>
                <w:szCs w:val="21"/>
                <w:highlight w:val="none"/>
                <w:lang w:val="en-US" w:eastAsia="zh-CN"/>
              </w:rPr>
              <w:t>230个</w:t>
            </w:r>
          </w:p>
        </w:tc>
        <w:tc>
          <w:tcPr>
            <w:tcW w:w="0" w:type="auto"/>
            <w:vMerge w:val="continue"/>
            <w:noWrap w:val="0"/>
            <w:vAlign w:val="center"/>
          </w:tcPr>
          <w:p w14:paraId="5675436B">
            <w:pPr>
              <w:adjustRightInd w:val="0"/>
              <w:snapToGrid w:val="0"/>
              <w:spacing w:before="156" w:beforeLines="50" w:line="240" w:lineRule="auto"/>
              <w:ind w:left="0" w:leftChars="0" w:right="0" w:rightChars="0" w:firstLine="0" w:firstLineChars="0"/>
              <w:jc w:val="center"/>
              <w:rPr>
                <w:rFonts w:hint="default" w:ascii="宋体" w:eastAsia="宋体" w:cs="宋体"/>
                <w:b w:val="0"/>
                <w:bCs w:val="0"/>
                <w:color w:val="auto"/>
                <w:kern w:val="0"/>
                <w:sz w:val="22"/>
                <w:szCs w:val="22"/>
                <w:highlight w:val="none"/>
                <w:lang w:val="en-US" w:eastAsia="zh-CN" w:bidi="ar"/>
              </w:rPr>
            </w:pPr>
          </w:p>
        </w:tc>
        <w:tc>
          <w:tcPr>
            <w:tcW w:w="0" w:type="auto"/>
            <w:noWrap w:val="0"/>
            <w:vAlign w:val="center"/>
          </w:tcPr>
          <w:p w14:paraId="7BCEB9E3">
            <w:pPr>
              <w:adjustRightInd w:val="0"/>
              <w:snapToGrid w:val="0"/>
              <w:spacing w:before="156" w:beforeLines="50" w:line="240" w:lineRule="auto"/>
              <w:ind w:left="0" w:leftChars="0" w:right="0" w:rightChars="0" w:firstLine="0" w:firstLineChars="0"/>
              <w:jc w:val="center"/>
              <w:rPr>
                <w:rFonts w:hint="eastAsia" w:ascii="宋体" w:hAnsi="宋体" w:eastAsia="宋体"/>
                <w:iCs/>
                <w:color w:val="auto"/>
                <w:sz w:val="22"/>
                <w:szCs w:val="21"/>
                <w:highlight w:val="none"/>
              </w:rPr>
            </w:pPr>
            <w:r>
              <w:rPr>
                <w:rFonts w:hint="eastAsia" w:ascii="宋体" w:hAnsi="宋体" w:eastAsia="宋体"/>
                <w:iCs/>
                <w:color w:val="auto"/>
                <w:sz w:val="22"/>
                <w:szCs w:val="21"/>
                <w:highlight w:val="none"/>
              </w:rPr>
              <w:sym w:font="Wingdings" w:char="00A8"/>
            </w:r>
          </w:p>
        </w:tc>
        <w:tc>
          <w:tcPr>
            <w:tcW w:w="896" w:type="dxa"/>
            <w:noWrap w:val="0"/>
            <w:vAlign w:val="center"/>
          </w:tcPr>
          <w:p w14:paraId="0B2827FD">
            <w:pPr>
              <w:adjustRightInd w:val="0"/>
              <w:snapToGrid w:val="0"/>
              <w:spacing w:before="156" w:beforeLines="50" w:line="240" w:lineRule="auto"/>
              <w:ind w:left="0" w:leftChars="0" w:right="0" w:rightChars="0" w:firstLine="0" w:firstLineChars="0"/>
              <w:jc w:val="center"/>
              <w:rPr>
                <w:rFonts w:hint="eastAsia" w:ascii="宋体" w:hAnsi="宋体" w:eastAsia="宋体"/>
                <w:iCs/>
                <w:color w:val="auto"/>
                <w:sz w:val="22"/>
                <w:szCs w:val="21"/>
                <w:highlight w:val="none"/>
              </w:rPr>
            </w:pPr>
            <w:r>
              <w:rPr>
                <w:rFonts w:hint="eastAsia" w:ascii="宋体" w:hAnsi="宋体" w:eastAsia="宋体"/>
                <w:iCs/>
                <w:color w:val="auto"/>
                <w:sz w:val="22"/>
                <w:szCs w:val="21"/>
                <w:highlight w:val="none"/>
              </w:rPr>
              <w:sym w:font="Wingdings" w:char="00A8"/>
            </w:r>
          </w:p>
        </w:tc>
      </w:tr>
      <w:tr w14:paraId="35AF4E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86" w:type="dxa"/>
            <w:vMerge w:val="continue"/>
            <w:noWrap w:val="0"/>
            <w:vAlign w:val="center"/>
          </w:tcPr>
          <w:p w14:paraId="05A43C0F">
            <w:pPr>
              <w:adjustRightInd w:val="0"/>
              <w:snapToGrid w:val="0"/>
              <w:spacing w:before="156" w:beforeLines="50" w:line="240" w:lineRule="auto"/>
              <w:ind w:left="0" w:leftChars="0" w:right="0" w:rightChars="0" w:firstLine="0" w:firstLineChars="0"/>
              <w:jc w:val="center"/>
              <w:rPr>
                <w:rFonts w:hint="eastAsia" w:ascii="宋体" w:hAnsi="宋体" w:eastAsia="宋体" w:cs="宋体"/>
                <w:color w:val="auto"/>
                <w:sz w:val="22"/>
                <w:szCs w:val="21"/>
                <w:highlight w:val="none"/>
                <w:lang w:val="en-US" w:eastAsia="zh-CN"/>
              </w:rPr>
            </w:pPr>
          </w:p>
        </w:tc>
        <w:tc>
          <w:tcPr>
            <w:tcW w:w="1421" w:type="dxa"/>
            <w:vMerge w:val="continue"/>
            <w:noWrap w:val="0"/>
            <w:vAlign w:val="center"/>
          </w:tcPr>
          <w:p w14:paraId="44BD0A2A">
            <w:pPr>
              <w:adjustRightInd w:val="0"/>
              <w:snapToGrid w:val="0"/>
              <w:spacing w:before="156" w:beforeLines="50" w:line="240" w:lineRule="auto"/>
              <w:ind w:left="0" w:leftChars="0" w:right="0" w:rightChars="0" w:firstLine="0" w:firstLineChars="0"/>
              <w:jc w:val="center"/>
              <w:rPr>
                <w:rFonts w:hint="eastAsia" w:ascii="宋体" w:eastAsia="宋体" w:cs="宋体"/>
                <w:b w:val="0"/>
                <w:bCs w:val="0"/>
                <w:color w:val="auto"/>
                <w:kern w:val="0"/>
                <w:sz w:val="22"/>
                <w:szCs w:val="22"/>
                <w:highlight w:val="none"/>
                <w:lang w:val="en-US" w:eastAsia="zh-CN" w:bidi="ar"/>
              </w:rPr>
            </w:pPr>
          </w:p>
        </w:tc>
        <w:tc>
          <w:tcPr>
            <w:tcW w:w="0" w:type="auto"/>
            <w:noWrap w:val="0"/>
            <w:vAlign w:val="center"/>
          </w:tcPr>
          <w:p w14:paraId="3375CEAC">
            <w:pPr>
              <w:keepNext w:val="0"/>
              <w:keepLines w:val="0"/>
              <w:widowControl/>
              <w:suppressLineNumbers w:val="0"/>
              <w:snapToGrid w:val="0"/>
              <w:spacing w:before="75" w:beforeAutospacing="0" w:line="240" w:lineRule="auto"/>
              <w:ind w:left="0" w:leftChars="0" w:right="0" w:rightChars="0" w:firstLine="0" w:firstLineChars="0"/>
              <w:jc w:val="center"/>
              <w:rPr>
                <w:rFonts w:hint="eastAsia" w:ascii="宋体" w:hAnsi="宋体" w:eastAsia="宋体" w:cs="宋体"/>
                <w:b w:val="0"/>
                <w:bCs w:val="0"/>
                <w:color w:val="auto"/>
                <w:kern w:val="0"/>
                <w:sz w:val="22"/>
                <w:szCs w:val="22"/>
                <w:highlight w:val="none"/>
                <w:lang w:val="en-US" w:eastAsia="zh-CN" w:bidi="ar"/>
              </w:rPr>
            </w:pPr>
            <w:r>
              <w:rPr>
                <w:rFonts w:hint="eastAsia" w:ascii="宋体" w:hAnsi="宋体" w:eastAsia="宋体" w:cs="宋体"/>
                <w:b w:val="0"/>
                <w:bCs w:val="0"/>
                <w:color w:val="auto"/>
                <w:kern w:val="0"/>
                <w:sz w:val="22"/>
                <w:szCs w:val="22"/>
                <w:highlight w:val="none"/>
                <w:lang w:val="en-US" w:eastAsia="zh-CN" w:bidi="ar"/>
              </w:rPr>
              <w:t>驾驶室监控</w:t>
            </w:r>
          </w:p>
          <w:p w14:paraId="2442EFA9">
            <w:pPr>
              <w:keepNext w:val="0"/>
              <w:keepLines w:val="0"/>
              <w:widowControl/>
              <w:suppressLineNumbers w:val="0"/>
              <w:snapToGrid w:val="0"/>
              <w:spacing w:before="75" w:beforeAutospacing="0" w:line="240" w:lineRule="auto"/>
              <w:ind w:left="0" w:leftChars="0" w:right="0" w:rightChars="0" w:firstLine="0" w:firstLineChars="0"/>
              <w:jc w:val="center"/>
              <w:rPr>
                <w:rFonts w:hint="default" w:ascii="宋体" w:hAnsi="宋体" w:eastAsia="宋体" w:cs="宋体"/>
                <w:b w:val="0"/>
                <w:bCs w:val="0"/>
                <w:color w:val="auto"/>
                <w:kern w:val="0"/>
                <w:sz w:val="22"/>
                <w:szCs w:val="22"/>
                <w:highlight w:val="none"/>
                <w:lang w:val="en-US" w:eastAsia="zh-CN" w:bidi="ar"/>
              </w:rPr>
            </w:pPr>
            <w:r>
              <w:rPr>
                <w:rFonts w:hint="eastAsia" w:ascii="宋体" w:hAnsi="宋体" w:eastAsia="宋体" w:cs="宋体"/>
                <w:b w:val="0"/>
                <w:bCs w:val="0"/>
                <w:color w:val="auto"/>
                <w:kern w:val="0"/>
                <w:sz w:val="22"/>
                <w:szCs w:val="22"/>
                <w:highlight w:val="none"/>
                <w:lang w:val="en-US" w:eastAsia="zh-CN" w:bidi="ar"/>
              </w:rPr>
              <w:t>摄像头</w:t>
            </w:r>
          </w:p>
        </w:tc>
        <w:tc>
          <w:tcPr>
            <w:tcW w:w="1218" w:type="dxa"/>
            <w:vMerge w:val="continue"/>
            <w:tcBorders>
              <w:left w:val="single" w:color="auto" w:sz="4" w:space="0"/>
            </w:tcBorders>
            <w:noWrap w:val="0"/>
            <w:vAlign w:val="center"/>
          </w:tcPr>
          <w:p w14:paraId="491A413D">
            <w:pPr>
              <w:keepNext w:val="0"/>
              <w:keepLines w:val="0"/>
              <w:widowControl/>
              <w:suppressLineNumbers w:val="0"/>
              <w:snapToGrid w:val="0"/>
              <w:spacing w:before="75" w:beforeAutospacing="0" w:line="240" w:lineRule="auto"/>
              <w:ind w:left="0" w:leftChars="0" w:right="0" w:rightChars="0" w:firstLine="0" w:firstLineChars="0"/>
              <w:jc w:val="center"/>
              <w:rPr>
                <w:rFonts w:ascii="宋体" w:hAnsi="宋体" w:eastAsia="宋体" w:cs="宋体"/>
                <w:b w:val="0"/>
                <w:bCs w:val="0"/>
                <w:color w:val="auto"/>
                <w:kern w:val="0"/>
                <w:sz w:val="22"/>
                <w:szCs w:val="22"/>
                <w:highlight w:val="none"/>
                <w:lang w:val="en-US" w:eastAsia="zh-CN" w:bidi="ar"/>
              </w:rPr>
            </w:pPr>
          </w:p>
        </w:tc>
        <w:tc>
          <w:tcPr>
            <w:tcW w:w="800" w:type="dxa"/>
            <w:tcBorders>
              <w:left w:val="single" w:color="auto" w:sz="4" w:space="0"/>
            </w:tcBorders>
            <w:noWrap w:val="0"/>
            <w:vAlign w:val="center"/>
          </w:tcPr>
          <w:p w14:paraId="38651ED8">
            <w:pPr>
              <w:adjustRightInd w:val="0"/>
              <w:snapToGrid w:val="0"/>
              <w:spacing w:before="156" w:beforeLines="50" w:line="240" w:lineRule="auto"/>
              <w:ind w:left="0" w:leftChars="0" w:right="0" w:rightChars="0" w:firstLine="0" w:firstLineChars="0"/>
              <w:jc w:val="center"/>
              <w:rPr>
                <w:rFonts w:hint="default" w:ascii="宋体" w:eastAsia="宋体"/>
                <w:color w:val="auto"/>
                <w:sz w:val="22"/>
                <w:szCs w:val="21"/>
                <w:highlight w:val="none"/>
                <w:lang w:val="en-US" w:eastAsia="zh-CN"/>
              </w:rPr>
            </w:pPr>
            <w:r>
              <w:rPr>
                <w:rFonts w:hint="eastAsia" w:ascii="宋体" w:eastAsia="宋体"/>
                <w:color w:val="auto"/>
                <w:sz w:val="22"/>
                <w:szCs w:val="21"/>
                <w:highlight w:val="none"/>
                <w:lang w:val="en-US" w:eastAsia="zh-CN"/>
              </w:rPr>
              <w:t>230个</w:t>
            </w:r>
          </w:p>
        </w:tc>
        <w:tc>
          <w:tcPr>
            <w:tcW w:w="0" w:type="auto"/>
            <w:vMerge w:val="continue"/>
            <w:noWrap w:val="0"/>
            <w:vAlign w:val="center"/>
          </w:tcPr>
          <w:p w14:paraId="37DC516E">
            <w:pPr>
              <w:adjustRightInd w:val="0"/>
              <w:snapToGrid w:val="0"/>
              <w:spacing w:before="156" w:beforeLines="50" w:line="240" w:lineRule="auto"/>
              <w:ind w:left="0" w:leftChars="0" w:right="0" w:rightChars="0" w:firstLine="0" w:firstLineChars="0"/>
              <w:jc w:val="center"/>
              <w:rPr>
                <w:rFonts w:hint="default" w:ascii="宋体" w:eastAsia="宋体" w:cs="宋体"/>
                <w:b w:val="0"/>
                <w:bCs w:val="0"/>
                <w:color w:val="auto"/>
                <w:kern w:val="0"/>
                <w:sz w:val="22"/>
                <w:szCs w:val="22"/>
                <w:highlight w:val="none"/>
                <w:lang w:val="en-US" w:eastAsia="zh-CN" w:bidi="ar"/>
              </w:rPr>
            </w:pPr>
          </w:p>
        </w:tc>
        <w:tc>
          <w:tcPr>
            <w:tcW w:w="0" w:type="auto"/>
            <w:noWrap w:val="0"/>
            <w:vAlign w:val="center"/>
          </w:tcPr>
          <w:p w14:paraId="1455EEAB">
            <w:pPr>
              <w:adjustRightInd w:val="0"/>
              <w:snapToGrid w:val="0"/>
              <w:spacing w:before="156" w:beforeLines="50" w:line="240" w:lineRule="auto"/>
              <w:ind w:left="0" w:leftChars="0" w:right="0" w:rightChars="0" w:firstLine="0" w:firstLineChars="0"/>
              <w:jc w:val="center"/>
              <w:rPr>
                <w:rFonts w:hint="eastAsia" w:ascii="宋体" w:hAnsi="宋体" w:eastAsia="宋体"/>
                <w:iCs/>
                <w:color w:val="auto"/>
                <w:sz w:val="22"/>
                <w:szCs w:val="21"/>
                <w:highlight w:val="none"/>
              </w:rPr>
            </w:pPr>
            <w:r>
              <w:rPr>
                <w:rFonts w:hint="eastAsia" w:ascii="宋体" w:hAnsi="宋体" w:eastAsia="宋体"/>
                <w:iCs/>
                <w:color w:val="auto"/>
                <w:sz w:val="22"/>
                <w:szCs w:val="21"/>
                <w:highlight w:val="none"/>
              </w:rPr>
              <w:sym w:font="Wingdings" w:char="00A8"/>
            </w:r>
          </w:p>
        </w:tc>
        <w:tc>
          <w:tcPr>
            <w:tcW w:w="896" w:type="dxa"/>
            <w:noWrap w:val="0"/>
            <w:vAlign w:val="center"/>
          </w:tcPr>
          <w:p w14:paraId="39DAFE00">
            <w:pPr>
              <w:adjustRightInd w:val="0"/>
              <w:snapToGrid w:val="0"/>
              <w:spacing w:before="156" w:beforeLines="50" w:line="240" w:lineRule="auto"/>
              <w:ind w:left="0" w:leftChars="0" w:right="0" w:rightChars="0" w:firstLine="0" w:firstLineChars="0"/>
              <w:jc w:val="center"/>
              <w:rPr>
                <w:rFonts w:hint="eastAsia" w:ascii="宋体" w:hAnsi="宋体" w:eastAsia="宋体"/>
                <w:iCs/>
                <w:color w:val="auto"/>
                <w:sz w:val="22"/>
                <w:szCs w:val="21"/>
                <w:highlight w:val="none"/>
              </w:rPr>
            </w:pPr>
            <w:r>
              <w:rPr>
                <w:rFonts w:hint="eastAsia" w:ascii="宋体" w:hAnsi="宋体" w:eastAsia="宋体"/>
                <w:iCs/>
                <w:color w:val="auto"/>
                <w:sz w:val="22"/>
                <w:szCs w:val="21"/>
                <w:highlight w:val="none"/>
              </w:rPr>
              <w:sym w:font="Wingdings" w:char="00A8"/>
            </w:r>
          </w:p>
        </w:tc>
      </w:tr>
      <w:tr w14:paraId="14113E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86" w:type="dxa"/>
            <w:vMerge w:val="continue"/>
            <w:noWrap w:val="0"/>
            <w:vAlign w:val="center"/>
          </w:tcPr>
          <w:p w14:paraId="4CCEB4C1">
            <w:pPr>
              <w:keepNext w:val="0"/>
              <w:keepLines w:val="0"/>
              <w:widowControl/>
              <w:suppressLineNumbers w:val="0"/>
              <w:snapToGrid w:val="0"/>
              <w:spacing w:before="75" w:beforeAutospacing="0" w:line="240" w:lineRule="auto"/>
              <w:ind w:left="0" w:leftChars="0" w:right="0" w:rightChars="0" w:firstLine="0" w:firstLineChars="0"/>
              <w:jc w:val="center"/>
              <w:rPr>
                <w:rFonts w:ascii="宋体" w:eastAsia="宋体"/>
                <w:sz w:val="22"/>
              </w:rPr>
            </w:pPr>
          </w:p>
        </w:tc>
        <w:tc>
          <w:tcPr>
            <w:tcW w:w="1421" w:type="dxa"/>
            <w:vMerge w:val="continue"/>
            <w:noWrap w:val="0"/>
            <w:vAlign w:val="center"/>
          </w:tcPr>
          <w:p w14:paraId="4D1FAC37">
            <w:pPr>
              <w:keepNext w:val="0"/>
              <w:keepLines w:val="0"/>
              <w:widowControl/>
              <w:suppressLineNumbers w:val="0"/>
              <w:snapToGrid w:val="0"/>
              <w:spacing w:before="75" w:beforeAutospacing="0" w:line="240" w:lineRule="auto"/>
              <w:ind w:left="0" w:leftChars="0" w:right="0" w:rightChars="0" w:firstLine="0" w:firstLineChars="0"/>
              <w:jc w:val="center"/>
              <w:rPr>
                <w:rFonts w:ascii="宋体" w:eastAsia="宋体"/>
                <w:sz w:val="22"/>
              </w:rPr>
            </w:pPr>
          </w:p>
        </w:tc>
        <w:tc>
          <w:tcPr>
            <w:tcW w:w="2096" w:type="dxa"/>
            <w:noWrap w:val="0"/>
            <w:vAlign w:val="center"/>
          </w:tcPr>
          <w:p w14:paraId="41A08D0B">
            <w:pPr>
              <w:keepNext w:val="0"/>
              <w:keepLines w:val="0"/>
              <w:widowControl/>
              <w:suppressLineNumbers w:val="0"/>
              <w:snapToGrid w:val="0"/>
              <w:spacing w:before="75" w:beforeAutospacing="0" w:line="240" w:lineRule="auto"/>
              <w:ind w:left="0" w:leftChars="0" w:right="0" w:rightChars="0" w:firstLine="0" w:firstLineChars="0"/>
              <w:jc w:val="center"/>
              <w:rPr>
                <w:rFonts w:hint="default" w:ascii="宋体" w:hAnsi="宋体" w:eastAsia="宋体" w:cs="宋体"/>
                <w:b w:val="0"/>
                <w:bCs w:val="0"/>
                <w:color w:val="auto"/>
                <w:kern w:val="0"/>
                <w:sz w:val="22"/>
                <w:szCs w:val="22"/>
                <w:highlight w:val="none"/>
                <w:lang w:val="en-US" w:eastAsia="zh-CN" w:bidi="ar"/>
              </w:rPr>
            </w:pPr>
            <w:r>
              <w:rPr>
                <w:rFonts w:hint="eastAsia" w:ascii="宋体" w:hAnsi="宋体" w:eastAsia="宋体" w:cs="宋体"/>
                <w:b w:val="0"/>
                <w:bCs w:val="0"/>
                <w:color w:val="auto"/>
                <w:kern w:val="0"/>
                <w:sz w:val="22"/>
                <w:szCs w:val="22"/>
                <w:highlight w:val="none"/>
                <w:lang w:val="en-US" w:eastAsia="zh-CN" w:bidi="ar"/>
              </w:rPr>
              <w:t>前视摄像头延长线</w:t>
            </w:r>
          </w:p>
        </w:tc>
        <w:tc>
          <w:tcPr>
            <w:tcW w:w="1218" w:type="dxa"/>
            <w:vMerge w:val="continue"/>
            <w:tcBorders>
              <w:left w:val="single" w:color="auto" w:sz="4" w:space="0"/>
            </w:tcBorders>
            <w:noWrap w:val="0"/>
            <w:vAlign w:val="center"/>
          </w:tcPr>
          <w:p w14:paraId="1DACEAEB">
            <w:pPr>
              <w:keepNext w:val="0"/>
              <w:keepLines w:val="0"/>
              <w:widowControl/>
              <w:suppressLineNumbers w:val="0"/>
              <w:snapToGrid w:val="0"/>
              <w:spacing w:before="75" w:beforeAutospacing="0" w:line="240" w:lineRule="auto"/>
              <w:ind w:left="0" w:leftChars="0" w:right="0" w:rightChars="0" w:firstLine="0" w:firstLineChars="0"/>
              <w:jc w:val="center"/>
              <w:rPr>
                <w:rFonts w:hint="default" w:ascii="宋体" w:eastAsia="宋体" w:cs="宋体"/>
                <w:color w:val="auto"/>
                <w:kern w:val="0"/>
                <w:sz w:val="22"/>
                <w:szCs w:val="22"/>
                <w:highlight w:val="none"/>
                <w:lang w:val="en-US" w:eastAsia="zh-CN" w:bidi="ar"/>
              </w:rPr>
            </w:pPr>
          </w:p>
        </w:tc>
        <w:tc>
          <w:tcPr>
            <w:tcW w:w="800" w:type="dxa"/>
            <w:tcBorders>
              <w:left w:val="single" w:color="auto" w:sz="4" w:space="0"/>
            </w:tcBorders>
            <w:noWrap w:val="0"/>
            <w:vAlign w:val="center"/>
          </w:tcPr>
          <w:p w14:paraId="484596BB">
            <w:pPr>
              <w:keepNext w:val="0"/>
              <w:keepLines w:val="0"/>
              <w:widowControl/>
              <w:suppressLineNumbers w:val="0"/>
              <w:snapToGrid w:val="0"/>
              <w:spacing w:before="75" w:beforeAutospacing="0" w:line="240" w:lineRule="auto"/>
              <w:ind w:left="0" w:leftChars="0" w:right="0" w:rightChars="0" w:firstLine="0" w:firstLineChars="0"/>
              <w:jc w:val="center"/>
              <w:rPr>
                <w:rFonts w:hint="default" w:ascii="宋体" w:eastAsia="宋体" w:cs="宋体"/>
                <w:color w:val="auto"/>
                <w:kern w:val="0"/>
                <w:sz w:val="22"/>
                <w:szCs w:val="22"/>
                <w:highlight w:val="none"/>
                <w:lang w:val="en-US" w:eastAsia="zh-CN" w:bidi="ar"/>
              </w:rPr>
            </w:pPr>
            <w:r>
              <w:rPr>
                <w:rFonts w:hint="eastAsia" w:ascii="宋体" w:eastAsia="宋体" w:cs="宋体"/>
                <w:color w:val="auto"/>
                <w:kern w:val="0"/>
                <w:sz w:val="22"/>
                <w:szCs w:val="22"/>
                <w:highlight w:val="none"/>
                <w:lang w:val="en-US" w:eastAsia="zh-CN" w:bidi="ar"/>
              </w:rPr>
              <w:t>690根</w:t>
            </w:r>
          </w:p>
        </w:tc>
        <w:tc>
          <w:tcPr>
            <w:tcW w:w="1632" w:type="dxa"/>
            <w:vMerge w:val="continue"/>
            <w:noWrap w:val="0"/>
            <w:vAlign w:val="center"/>
          </w:tcPr>
          <w:p w14:paraId="780A0297">
            <w:pPr>
              <w:keepNext w:val="0"/>
              <w:keepLines w:val="0"/>
              <w:widowControl/>
              <w:suppressLineNumbers w:val="0"/>
              <w:snapToGrid w:val="0"/>
              <w:spacing w:before="75" w:beforeAutospacing="0" w:line="240" w:lineRule="auto"/>
              <w:ind w:left="0" w:leftChars="0" w:right="0" w:rightChars="0" w:firstLine="0" w:firstLineChars="0"/>
              <w:jc w:val="center"/>
              <w:rPr>
                <w:rFonts w:hint="default" w:ascii="宋体" w:eastAsia="宋体" w:cs="宋体"/>
                <w:color w:val="auto"/>
                <w:kern w:val="0"/>
                <w:sz w:val="22"/>
                <w:szCs w:val="22"/>
                <w:highlight w:val="none"/>
                <w:lang w:val="en-US" w:eastAsia="zh-CN" w:bidi="ar"/>
              </w:rPr>
            </w:pPr>
          </w:p>
        </w:tc>
        <w:tc>
          <w:tcPr>
            <w:tcW w:w="896" w:type="dxa"/>
            <w:noWrap w:val="0"/>
            <w:vAlign w:val="center"/>
          </w:tcPr>
          <w:p w14:paraId="4840058A">
            <w:pPr>
              <w:adjustRightInd w:val="0"/>
              <w:snapToGrid w:val="0"/>
              <w:spacing w:before="156" w:beforeLines="50" w:line="240" w:lineRule="auto"/>
              <w:ind w:left="0" w:leftChars="0" w:right="0" w:rightChars="0" w:firstLine="0" w:firstLineChars="0"/>
              <w:jc w:val="center"/>
              <w:rPr>
                <w:rFonts w:hint="default" w:ascii="宋体" w:eastAsia="宋体" w:cs="宋体"/>
                <w:color w:val="auto"/>
                <w:kern w:val="0"/>
                <w:sz w:val="22"/>
                <w:szCs w:val="22"/>
                <w:highlight w:val="none"/>
                <w:lang w:val="en-US" w:eastAsia="zh-CN" w:bidi="ar"/>
              </w:rPr>
            </w:pPr>
            <w:r>
              <w:rPr>
                <w:rFonts w:hint="eastAsia" w:ascii="宋体" w:hAnsi="宋体" w:eastAsia="宋体"/>
                <w:iCs/>
                <w:color w:val="auto"/>
                <w:sz w:val="22"/>
                <w:szCs w:val="21"/>
                <w:highlight w:val="none"/>
              </w:rPr>
              <w:sym w:font="Wingdings" w:char="00A8"/>
            </w:r>
          </w:p>
        </w:tc>
        <w:tc>
          <w:tcPr>
            <w:tcW w:w="896" w:type="dxa"/>
            <w:noWrap w:val="0"/>
            <w:vAlign w:val="center"/>
          </w:tcPr>
          <w:p w14:paraId="51A5E72C">
            <w:pPr>
              <w:adjustRightInd w:val="0"/>
              <w:snapToGrid w:val="0"/>
              <w:spacing w:before="156" w:beforeLines="50" w:line="240" w:lineRule="auto"/>
              <w:ind w:left="0" w:leftChars="0" w:right="0" w:rightChars="0" w:firstLine="0" w:firstLineChars="0"/>
              <w:jc w:val="center"/>
              <w:rPr>
                <w:rFonts w:hint="default" w:ascii="宋体" w:eastAsia="宋体" w:cs="宋体"/>
                <w:color w:val="auto"/>
                <w:kern w:val="0"/>
                <w:sz w:val="22"/>
                <w:szCs w:val="22"/>
                <w:highlight w:val="none"/>
                <w:lang w:val="en-US" w:eastAsia="zh-CN" w:bidi="ar"/>
              </w:rPr>
            </w:pPr>
            <w:r>
              <w:rPr>
                <w:rFonts w:hint="eastAsia" w:ascii="宋体" w:hAnsi="宋体" w:eastAsia="宋体"/>
                <w:iCs/>
                <w:color w:val="auto"/>
                <w:sz w:val="22"/>
                <w:szCs w:val="21"/>
                <w:highlight w:val="none"/>
              </w:rPr>
              <w:sym w:font="Wingdings" w:char="00A8"/>
            </w:r>
          </w:p>
        </w:tc>
      </w:tr>
    </w:tbl>
    <w:p w14:paraId="568DD2FC">
      <w:pPr>
        <w:keepNext w:val="0"/>
        <w:keepLines w:val="0"/>
        <w:widowControl/>
        <w:suppressLineNumbers w:val="0"/>
        <w:pBdr>
          <w:left w:val="none" w:color="auto" w:sz="0" w:space="0"/>
        </w:pBdr>
        <w:spacing w:before="75" w:beforeAutospacing="0" w:line="240" w:lineRule="auto"/>
        <w:ind w:firstLine="440" w:firstLineChars="200"/>
        <w:jc w:val="left"/>
        <w:rPr>
          <w:rFonts w:ascii="宋体" w:hAnsi="宋体" w:eastAsia="宋体" w:cs="宋体"/>
          <w:color w:val="auto"/>
          <w:kern w:val="0"/>
          <w:sz w:val="22"/>
          <w:szCs w:val="22"/>
          <w:highlight w:val="none"/>
          <w:lang w:val="en-US" w:eastAsia="zh-CN" w:bidi="ar"/>
        </w:rPr>
      </w:pPr>
    </w:p>
    <w:p w14:paraId="3D432B16">
      <w:pPr>
        <w:keepNext w:val="0"/>
        <w:keepLines w:val="0"/>
        <w:widowControl/>
        <w:suppressLineNumbers w:val="0"/>
        <w:pBdr>
          <w:left w:val="none" w:color="auto" w:sz="0" w:space="0"/>
        </w:pBdr>
        <w:spacing w:before="75" w:beforeAutospacing="0" w:line="240" w:lineRule="auto"/>
        <w:ind w:firstLine="440" w:firstLineChars="200"/>
        <w:jc w:val="left"/>
        <w:rPr>
          <w:color w:val="auto"/>
          <w:sz w:val="22"/>
          <w:szCs w:val="22"/>
          <w:highlight w:val="none"/>
        </w:rPr>
      </w:pPr>
      <w:r>
        <w:rPr>
          <w:rFonts w:ascii="宋体" w:hAnsi="宋体" w:eastAsia="宋体" w:cs="宋体"/>
          <w:color w:val="auto"/>
          <w:kern w:val="0"/>
          <w:sz w:val="22"/>
          <w:szCs w:val="22"/>
          <w:highlight w:val="none"/>
          <w:lang w:val="en-US" w:eastAsia="zh-CN" w:bidi="ar"/>
        </w:rPr>
        <w:t>说明：</w:t>
      </w:r>
    </w:p>
    <w:p w14:paraId="1A0D837D">
      <w:pPr>
        <w:keepNext w:val="0"/>
        <w:keepLines w:val="0"/>
        <w:widowControl/>
        <w:suppressLineNumbers w:val="0"/>
        <w:pBdr>
          <w:left w:val="none" w:color="auto" w:sz="0" w:space="0"/>
        </w:pBdr>
        <w:spacing w:before="75" w:beforeAutospacing="0" w:line="240" w:lineRule="auto"/>
        <w:ind w:left="0" w:firstLine="420"/>
        <w:jc w:val="left"/>
        <w:rPr>
          <w:color w:val="auto"/>
          <w:sz w:val="22"/>
          <w:szCs w:val="22"/>
          <w:highlight w:val="none"/>
        </w:rPr>
      </w:pPr>
      <w:r>
        <w:rPr>
          <w:rFonts w:ascii="宋体" w:hAnsi="宋体" w:eastAsia="宋体" w:cs="宋体"/>
          <w:color w:val="auto"/>
          <w:kern w:val="0"/>
          <w:sz w:val="22"/>
          <w:szCs w:val="22"/>
          <w:highlight w:val="none"/>
          <w:lang w:val="en-US" w:eastAsia="zh-CN" w:bidi="ar"/>
        </w:rPr>
        <w:t>1.节能产品实行强制采购的，需提供国家认证机构出具的、处于有效期内的节能产品证书。</w:t>
      </w:r>
    </w:p>
    <w:p w14:paraId="32587051">
      <w:pPr>
        <w:keepNext w:val="0"/>
        <w:keepLines w:val="0"/>
        <w:widowControl/>
        <w:suppressLineNumbers w:val="0"/>
        <w:pBdr>
          <w:left w:val="none" w:color="auto" w:sz="0" w:space="0"/>
        </w:pBdr>
        <w:spacing w:before="75" w:beforeAutospacing="0" w:line="240" w:lineRule="auto"/>
        <w:ind w:left="0" w:firstLine="420"/>
        <w:jc w:val="left"/>
        <w:rPr>
          <w:color w:val="auto"/>
          <w:sz w:val="22"/>
          <w:szCs w:val="22"/>
          <w:highlight w:val="none"/>
        </w:rPr>
      </w:pPr>
      <w:r>
        <w:rPr>
          <w:rFonts w:ascii="宋体" w:hAnsi="宋体" w:eastAsia="宋体" w:cs="宋体"/>
          <w:color w:val="auto"/>
          <w:kern w:val="0"/>
          <w:sz w:val="22"/>
          <w:szCs w:val="22"/>
          <w:highlight w:val="none"/>
          <w:lang w:val="en-US" w:eastAsia="zh-CN" w:bidi="ar"/>
        </w:rPr>
        <w:t>2.同意购买进口产品的，不限制满足采购需求的国内产品参与投标。</w:t>
      </w:r>
    </w:p>
    <w:p w14:paraId="4C55B116">
      <w:pPr>
        <w:pStyle w:val="4"/>
        <w:keepNext w:val="0"/>
        <w:keepLines w:val="0"/>
        <w:widowControl/>
        <w:suppressLineNumbers w:val="0"/>
        <w:spacing w:line="240" w:lineRule="auto"/>
        <w:rPr>
          <w:color w:val="auto"/>
          <w:sz w:val="28"/>
          <w:szCs w:val="28"/>
          <w:highlight w:val="none"/>
        </w:rPr>
      </w:pPr>
      <w:r>
        <w:rPr>
          <w:color w:val="auto"/>
          <w:sz w:val="28"/>
          <w:szCs w:val="28"/>
          <w:highlight w:val="none"/>
        </w:rPr>
        <w:t>三、采购项目需落实的政府采购政策：</w:t>
      </w:r>
    </w:p>
    <w:p w14:paraId="199D1837">
      <w:pPr>
        <w:keepNext w:val="0"/>
        <w:keepLines w:val="0"/>
        <w:widowControl/>
        <w:suppressLineNumbers w:val="0"/>
        <w:pBdr>
          <w:left w:val="none" w:color="auto" w:sz="0" w:space="0"/>
        </w:pBdr>
        <w:spacing w:before="75" w:beforeAutospacing="0" w:line="240" w:lineRule="auto"/>
        <w:ind w:left="0" w:firstLine="420"/>
        <w:jc w:val="left"/>
        <w:rPr>
          <w:color w:val="auto"/>
          <w:sz w:val="22"/>
          <w:szCs w:val="22"/>
          <w:highlight w:val="none"/>
        </w:rPr>
      </w:pPr>
      <w:r>
        <w:rPr>
          <w:rFonts w:ascii="宋体" w:hAnsi="宋体" w:eastAsia="宋体" w:cs="宋体"/>
          <w:color w:val="auto"/>
          <w:kern w:val="0"/>
          <w:sz w:val="22"/>
          <w:szCs w:val="22"/>
          <w:highlight w:val="none"/>
          <w:lang w:val="en-US" w:eastAsia="zh-CN" w:bidi="ar"/>
        </w:rPr>
        <w:t>1、优先采购：节能产品、环境标志产品、两型产品享受加分或价格折扣。</w:t>
      </w:r>
    </w:p>
    <w:p w14:paraId="22D8A3DA">
      <w:pPr>
        <w:keepNext w:val="0"/>
        <w:keepLines w:val="0"/>
        <w:widowControl/>
        <w:suppressLineNumbers w:val="0"/>
        <w:pBdr>
          <w:left w:val="none" w:color="auto" w:sz="0" w:space="0"/>
        </w:pBdr>
        <w:spacing w:before="75" w:beforeAutospacing="0" w:line="240" w:lineRule="auto"/>
        <w:ind w:left="0" w:firstLine="420"/>
        <w:jc w:val="left"/>
        <w:rPr>
          <w:color w:val="auto"/>
          <w:sz w:val="22"/>
          <w:szCs w:val="22"/>
          <w:highlight w:val="none"/>
        </w:rPr>
      </w:pPr>
      <w:r>
        <w:rPr>
          <w:rFonts w:ascii="宋体" w:hAnsi="宋体" w:eastAsia="宋体" w:cs="宋体"/>
          <w:color w:val="auto"/>
          <w:kern w:val="0"/>
          <w:sz w:val="22"/>
          <w:szCs w:val="22"/>
          <w:highlight w:val="none"/>
          <w:lang w:val="en-US" w:eastAsia="zh-CN" w:bidi="ar"/>
        </w:rPr>
        <w:t>2、支持中小企业：中小企业享受预留采购份额或价格折扣。</w:t>
      </w:r>
    </w:p>
    <w:p w14:paraId="2D71D700">
      <w:pPr>
        <w:pStyle w:val="4"/>
        <w:keepNext w:val="0"/>
        <w:keepLines w:val="0"/>
        <w:widowControl/>
        <w:suppressLineNumbers w:val="0"/>
        <w:spacing w:line="240" w:lineRule="auto"/>
        <w:rPr>
          <w:rFonts w:hint="eastAsia" w:ascii="宋体" w:hAnsi="宋体" w:eastAsia="宋体" w:cs="宋体"/>
          <w:b/>
          <w:color w:val="auto"/>
          <w:szCs w:val="21"/>
          <w:highlight w:val="none"/>
          <w:lang w:val="en-US" w:eastAsia="zh-CN"/>
        </w:rPr>
      </w:pPr>
      <w:r>
        <w:rPr>
          <w:color w:val="auto"/>
          <w:sz w:val="28"/>
          <w:szCs w:val="28"/>
          <w:highlight w:val="none"/>
        </w:rPr>
        <w:t>四、投标人的资格</w:t>
      </w:r>
      <w:r>
        <w:rPr>
          <w:rFonts w:hint="eastAsia"/>
          <w:color w:val="auto"/>
          <w:sz w:val="28"/>
          <w:szCs w:val="28"/>
          <w:highlight w:val="none"/>
          <w:lang w:val="en-US" w:eastAsia="zh-CN"/>
        </w:rPr>
        <w:t>条件：</w:t>
      </w:r>
    </w:p>
    <w:p w14:paraId="48F2A12E">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1、基本资格条件：应当符合《政府采购法》第二十二条第一款的规定，即：</w:t>
      </w:r>
    </w:p>
    <w:p w14:paraId="11DC7875">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w:t>
      </w:r>
    </w:p>
    <w:p w14:paraId="0569C5C4">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w:t>
      </w:r>
    </w:p>
    <w:p w14:paraId="4BCB06D3">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（3）具有履行合同所必需的设备和专业技术能力；</w:t>
      </w:r>
    </w:p>
    <w:p w14:paraId="6DD47260">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（4）有依法缴纳税收和社会保障资金的良好记录；</w:t>
      </w:r>
    </w:p>
    <w:p w14:paraId="5423308E">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（5）参加政府采购活动前三年内，在经营活动中没有重大违法记录；</w:t>
      </w:r>
    </w:p>
    <w:p w14:paraId="1CC1233A">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w:t>
      </w:r>
    </w:p>
    <w:p w14:paraId="32AD34F4">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2、落实政府采购政策需满足的资格要求：</w:t>
      </w:r>
    </w:p>
    <w:p w14:paraId="55BB9ACA">
      <w:pPr>
        <w:adjustRightInd w:val="0"/>
        <w:snapToGrid w:val="0"/>
        <w:spacing w:line="360" w:lineRule="auto"/>
        <w:ind w:firstLine="440" w:firstLineChars="200"/>
        <w:rPr>
          <w:rFonts w:hint="eastAsia" w:ascii="宋体" w:hAnsi="宋体" w:eastAsia="宋体" w:cs="宋体"/>
          <w:color w:val="0000FF"/>
          <w:szCs w:val="21"/>
          <w:highlight w:val="none"/>
        </w:rPr>
      </w:pPr>
      <w:r>
        <w:rPr>
          <w:rFonts w:hint="eastAsia" w:ascii="宋体" w:hAnsi="宋体" w:eastAsia="宋体" w:cs="宋体"/>
          <w:color w:val="auto"/>
          <w:szCs w:val="21"/>
          <w:highlight w:val="none"/>
          <w:lang w:val="en-US" w:eastAsia="zh-CN"/>
        </w:rPr>
        <w:t>专门面向：</w:t>
      </w:r>
      <w:r>
        <w:rPr>
          <w:rFonts w:hint="eastAsia" w:ascii="宋体" w:hAnsi="宋体" w:eastAsia="宋体" w:cs="宋体"/>
          <w:color w:val="auto"/>
          <w:szCs w:val="21"/>
          <w:highlight w:val="none"/>
          <w:lang w:val="en-US" w:eastAsia="zh-CN"/>
        </w:rPr>
        <w:sym w:font="Wingdings" w:char="00FE"/>
      </w:r>
      <w:r>
        <w:rPr>
          <w:rFonts w:hint="eastAsia" w:ascii="宋体" w:hAnsi="宋体" w:eastAsia="宋体" w:cs="宋体"/>
          <w:color w:val="auto"/>
          <w:szCs w:val="21"/>
          <w:highlight w:val="none"/>
          <w:lang w:val="en-US" w:eastAsia="zh-CN"/>
        </w:rPr>
        <w:t>中小企业 </w:t>
      </w:r>
      <w:r>
        <w:rPr>
          <w:rFonts w:hint="eastAsia" w:ascii="宋体" w:hAnsi="宋体" w:eastAsia="宋体" w:cs="宋体"/>
          <w:color w:val="auto"/>
          <w:szCs w:val="21"/>
          <w:highlight w:val="none"/>
          <w:lang w:val="en-US" w:eastAsia="zh-CN"/>
        </w:rPr>
        <w:sym w:font="Wingdings" w:char="00A8"/>
      </w:r>
      <w:r>
        <w:rPr>
          <w:rFonts w:hint="eastAsia" w:ascii="宋体" w:hAnsi="宋体" w:eastAsia="宋体" w:cs="宋体"/>
          <w:color w:val="auto"/>
          <w:szCs w:val="21"/>
          <w:highlight w:val="none"/>
          <w:lang w:val="en-US" w:eastAsia="zh-CN"/>
        </w:rPr>
        <w:t>小微企业 </w:t>
      </w:r>
      <w:r>
        <w:rPr>
          <w:rFonts w:hint="eastAsia" w:ascii="宋体" w:hAnsi="宋体" w:eastAsia="宋体" w:cs="宋体"/>
          <w:color w:val="auto"/>
          <w:szCs w:val="21"/>
          <w:highlight w:val="none"/>
          <w:lang w:val="en-US" w:eastAsia="zh-CN"/>
        </w:rPr>
        <w:sym w:font="Wingdings" w:char="00A8"/>
      </w:r>
      <w:r>
        <w:rPr>
          <w:rFonts w:hint="eastAsia" w:ascii="宋体" w:hAnsi="宋体" w:eastAsia="宋体" w:cs="宋体"/>
          <w:color w:val="auto"/>
          <w:szCs w:val="21"/>
          <w:highlight w:val="none"/>
          <w:lang w:val="en-US" w:eastAsia="zh-CN"/>
        </w:rPr>
        <w:t>监狱企业 </w:t>
      </w:r>
      <w:r>
        <w:rPr>
          <w:rFonts w:hint="eastAsia" w:ascii="宋体" w:hAnsi="宋体" w:eastAsia="宋体" w:cs="宋体"/>
          <w:color w:val="auto"/>
          <w:szCs w:val="21"/>
          <w:highlight w:val="none"/>
          <w:lang w:val="en-US" w:eastAsia="zh-CN"/>
        </w:rPr>
        <w:sym w:font="Wingdings" w:char="00A8"/>
      </w:r>
      <w:r>
        <w:rPr>
          <w:rFonts w:hint="eastAsia" w:ascii="宋体" w:hAnsi="宋体" w:eastAsia="宋体" w:cs="宋体"/>
          <w:color w:val="auto"/>
          <w:szCs w:val="21"/>
          <w:highlight w:val="none"/>
          <w:lang w:val="en-US" w:eastAsia="zh-CN"/>
        </w:rPr>
        <w:t>福利性单位</w:t>
      </w:r>
    </w:p>
    <w:p w14:paraId="6057E939">
      <w:pPr>
        <w:adjustRightInd w:val="0"/>
        <w:snapToGrid w:val="0"/>
        <w:spacing w:line="360" w:lineRule="auto"/>
        <w:ind w:firstLine="440" w:firstLineChars="200"/>
        <w:rPr>
          <w:color w:val="auto"/>
          <w:sz w:val="22"/>
          <w:szCs w:val="22"/>
          <w:highlight w:val="none"/>
        </w:rPr>
      </w:pPr>
      <w:r>
        <w:rPr>
          <w:rFonts w:hint="eastAsia" w:ascii="宋体" w:hAnsi="宋体" w:eastAsia="宋体" w:cs="宋体"/>
          <w:color w:val="auto"/>
          <w:szCs w:val="21"/>
          <w:highlight w:val="none"/>
          <w:lang w:val="en-US" w:eastAsia="zh-CN"/>
        </w:rPr>
        <w:t>强制分包：大型企业应将采购份额的</w:t>
      </w:r>
      <w:r>
        <w:rPr>
          <w:rFonts w:hint="eastAsia" w:ascii="宋体" w:hAnsi="宋体" w:eastAsia="宋体" w:cs="宋体"/>
          <w:color w:val="auto"/>
          <w:szCs w:val="21"/>
          <w:highlight w:val="none"/>
          <w:u w:val="single"/>
          <w:lang w:val="en-US" w:eastAsia="zh-CN"/>
        </w:rPr>
        <w:t> / </w:t>
      </w:r>
      <w:r>
        <w:rPr>
          <w:rFonts w:hint="eastAsia" w:ascii="宋体" w:hAnsi="宋体" w:eastAsia="宋体" w:cs="宋体"/>
          <w:color w:val="auto"/>
          <w:szCs w:val="21"/>
          <w:highlight w:val="none"/>
          <w:lang w:val="en-US" w:eastAsia="zh-CN"/>
        </w:rPr>
        <w:t>%分包给中小企业</w:t>
      </w:r>
    </w:p>
    <w:p w14:paraId="2BE1B29B">
      <w:pPr>
        <w:keepNext w:val="0"/>
        <w:keepLines w:val="0"/>
        <w:widowControl/>
        <w:numPr>
          <w:ilvl w:val="0"/>
          <w:numId w:val="3"/>
        </w:numPr>
        <w:suppressLineNumbers w:val="0"/>
        <w:pBdr>
          <w:left w:val="none" w:color="auto" w:sz="0" w:space="0"/>
        </w:pBdr>
        <w:spacing w:before="75" w:beforeAutospacing="0" w:line="240" w:lineRule="auto"/>
        <w:ind w:left="0" w:firstLine="420"/>
        <w:jc w:val="left"/>
        <w:rPr>
          <w:rFonts w:hint="eastAsia" w:cs="宋体"/>
          <w:color w:val="auto"/>
          <w:kern w:val="0"/>
          <w:sz w:val="22"/>
          <w:szCs w:val="22"/>
          <w:highlight w:val="none"/>
          <w:lang w:val="en-US" w:eastAsia="zh-CN" w:bidi="ar"/>
        </w:rPr>
      </w:pPr>
      <w:r>
        <w:rPr>
          <w:rFonts w:ascii="宋体" w:hAnsi="宋体" w:eastAsia="宋体" w:cs="宋体"/>
          <w:color w:val="auto"/>
          <w:kern w:val="0"/>
          <w:sz w:val="22"/>
          <w:szCs w:val="22"/>
          <w:highlight w:val="none"/>
          <w:lang w:val="en-US" w:eastAsia="zh-CN" w:bidi="ar"/>
        </w:rPr>
        <w:t>供应商特定资格条件：</w:t>
      </w:r>
      <w:r>
        <w:rPr>
          <w:rFonts w:hint="eastAsia" w:cs="宋体"/>
          <w:color w:val="auto"/>
          <w:kern w:val="0"/>
          <w:sz w:val="22"/>
          <w:szCs w:val="22"/>
          <w:highlight w:val="none"/>
          <w:lang w:val="en-US" w:eastAsia="zh-CN" w:bidi="ar"/>
        </w:rPr>
        <w:t>无</w:t>
      </w:r>
    </w:p>
    <w:p w14:paraId="16BCD315">
      <w:pPr>
        <w:keepNext w:val="0"/>
        <w:keepLines w:val="0"/>
        <w:widowControl/>
        <w:numPr>
          <w:ilvl w:val="0"/>
          <w:numId w:val="0"/>
        </w:numPr>
        <w:suppressLineNumbers w:val="0"/>
        <w:pBdr>
          <w:left w:val="none" w:color="auto" w:sz="0" w:space="0"/>
        </w:pBdr>
        <w:spacing w:before="75" w:beforeAutospacing="0" w:line="240" w:lineRule="auto"/>
        <w:ind w:left="420" w:leftChars="0" w:right="0" w:rightChars="0"/>
        <w:jc w:val="left"/>
        <w:rPr>
          <w:rFonts w:ascii="宋体" w:hAnsi="宋体" w:eastAsia="宋体" w:cs="宋体"/>
          <w:color w:val="auto"/>
          <w:kern w:val="0"/>
          <w:sz w:val="22"/>
          <w:szCs w:val="22"/>
          <w:highlight w:val="none"/>
          <w:lang w:val="en-US" w:eastAsia="zh-CN" w:bidi="ar"/>
        </w:rPr>
      </w:pPr>
      <w:r>
        <w:rPr>
          <w:rFonts w:ascii="宋体" w:hAnsi="宋体" w:eastAsia="宋体" w:cs="宋体"/>
          <w:color w:val="auto"/>
          <w:kern w:val="0"/>
          <w:sz w:val="22"/>
          <w:szCs w:val="22"/>
          <w:highlight w:val="none"/>
          <w:lang w:val="en-US" w:eastAsia="zh-CN" w:bidi="ar"/>
        </w:rPr>
        <w:t>4、单位负责人为同一人或者存在直接控股、管理关系的不同投标人，不得参加同一合同项下的政府采购活动。</w:t>
      </w:r>
    </w:p>
    <w:p w14:paraId="4BB825A6">
      <w:pPr>
        <w:keepNext w:val="0"/>
        <w:keepLines w:val="0"/>
        <w:widowControl/>
        <w:suppressLineNumbers w:val="0"/>
        <w:pBdr>
          <w:left w:val="none" w:color="auto" w:sz="0" w:space="0"/>
        </w:pBdr>
        <w:spacing w:before="75" w:beforeAutospacing="0" w:line="240" w:lineRule="auto"/>
        <w:ind w:left="0" w:firstLine="420"/>
        <w:jc w:val="left"/>
        <w:rPr>
          <w:color w:val="auto"/>
          <w:sz w:val="22"/>
          <w:szCs w:val="22"/>
          <w:highlight w:val="none"/>
        </w:rPr>
      </w:pPr>
      <w:r>
        <w:rPr>
          <w:rFonts w:ascii="宋体" w:hAnsi="宋体" w:eastAsia="宋体" w:cs="宋体"/>
          <w:color w:val="auto"/>
          <w:kern w:val="0"/>
          <w:sz w:val="22"/>
          <w:szCs w:val="22"/>
          <w:highlight w:val="none"/>
          <w:lang w:val="en-US" w:eastAsia="zh-CN" w:bidi="ar"/>
        </w:rPr>
        <w:t>5、为本采购项目提供整体设计、规范编制或者项目管理、监理、检测等服务的，不得再参加此项目的其他采购活动。</w:t>
      </w:r>
    </w:p>
    <w:p w14:paraId="0074F685">
      <w:pPr>
        <w:keepNext w:val="0"/>
        <w:keepLines w:val="0"/>
        <w:widowControl/>
        <w:suppressLineNumbers w:val="0"/>
        <w:pBdr>
          <w:left w:val="none" w:color="auto" w:sz="0" w:space="0"/>
        </w:pBdr>
        <w:spacing w:before="75" w:beforeAutospacing="0" w:line="240" w:lineRule="auto"/>
        <w:ind w:left="0" w:firstLine="420"/>
        <w:jc w:val="left"/>
        <w:rPr>
          <w:color w:val="auto"/>
          <w:sz w:val="22"/>
          <w:szCs w:val="22"/>
          <w:highlight w:val="none"/>
        </w:rPr>
      </w:pPr>
      <w:r>
        <w:rPr>
          <w:rFonts w:ascii="宋体" w:hAnsi="宋体" w:eastAsia="宋体" w:cs="宋体"/>
          <w:color w:val="auto"/>
          <w:kern w:val="0"/>
          <w:sz w:val="22"/>
          <w:szCs w:val="22"/>
          <w:highlight w:val="none"/>
          <w:lang w:val="en-US" w:eastAsia="zh-CN" w:bidi="ar"/>
        </w:rPr>
        <w:t>6、列入失信被执行人、重大税收违法失信主体名单、政府采购严重违法失信行为记录名单的，拒绝其参与政府采购活动。</w:t>
      </w:r>
    </w:p>
    <w:p w14:paraId="3636269F">
      <w:pPr>
        <w:keepNext w:val="0"/>
        <w:keepLines w:val="0"/>
        <w:widowControl/>
        <w:suppressLineNumbers w:val="0"/>
        <w:pBdr>
          <w:left w:val="none" w:color="auto" w:sz="0" w:space="0"/>
        </w:pBdr>
        <w:spacing w:before="75" w:beforeAutospacing="0" w:line="240" w:lineRule="auto"/>
        <w:ind w:left="0" w:firstLine="420"/>
        <w:jc w:val="left"/>
        <w:rPr>
          <w:color w:val="auto"/>
          <w:sz w:val="22"/>
          <w:szCs w:val="22"/>
          <w:highlight w:val="none"/>
        </w:rPr>
      </w:pPr>
      <w:r>
        <w:rPr>
          <w:rFonts w:ascii="宋体" w:hAnsi="宋体" w:eastAsia="宋体" w:cs="宋体"/>
          <w:color w:val="auto"/>
          <w:kern w:val="0"/>
          <w:sz w:val="22"/>
          <w:szCs w:val="22"/>
          <w:highlight w:val="none"/>
          <w:lang w:val="en-US" w:eastAsia="zh-CN" w:bidi="ar"/>
        </w:rPr>
        <w:t>7、联合体投标。本次招标</w:t>
      </w:r>
      <w:r>
        <w:rPr>
          <w:rFonts w:ascii="宋体" w:hAnsi="宋体" w:eastAsia="宋体" w:cs="宋体"/>
          <w:color w:val="auto"/>
          <w:kern w:val="0"/>
          <w:sz w:val="22"/>
          <w:szCs w:val="22"/>
          <w:highlight w:val="none"/>
          <w:u w:val="single"/>
          <w:lang w:val="en-US" w:eastAsia="zh-CN" w:bidi="ar"/>
        </w:rPr>
        <w:t>不接受</w:t>
      </w:r>
      <w:r>
        <w:rPr>
          <w:rFonts w:hint="eastAsia" w:ascii="宋体" w:hAnsi="宋体" w:eastAsia="宋体" w:cs="宋体"/>
          <w:color w:val="auto"/>
          <w:kern w:val="0"/>
          <w:sz w:val="22"/>
          <w:szCs w:val="22"/>
          <w:highlight w:val="none"/>
          <w:u w:val="single"/>
          <w:lang w:val="en-US" w:eastAsia="zh-CN" w:bidi="ar"/>
        </w:rPr>
        <w:t xml:space="preserve"> </w:t>
      </w:r>
      <w:r>
        <w:rPr>
          <w:rFonts w:ascii="宋体" w:hAnsi="宋体" w:eastAsia="宋体" w:cs="宋体"/>
          <w:color w:val="auto"/>
          <w:kern w:val="0"/>
          <w:sz w:val="22"/>
          <w:szCs w:val="22"/>
          <w:highlight w:val="none"/>
          <w:lang w:val="en-US" w:eastAsia="zh-CN" w:bidi="ar"/>
        </w:rPr>
        <w:t xml:space="preserve">联合体投标。 </w:t>
      </w:r>
    </w:p>
    <w:p w14:paraId="499B7A01">
      <w:pPr>
        <w:adjustRightInd w:val="0"/>
        <w:snapToGrid w:val="0"/>
        <w:spacing w:line="360" w:lineRule="auto"/>
        <w:ind w:firstLine="44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w:t>
      </w:r>
    </w:p>
    <w:p w14:paraId="6A323EC7">
      <w:pPr>
        <w:adjustRightInd w:val="0"/>
        <w:snapToGrid w:val="0"/>
        <w:spacing w:line="360" w:lineRule="auto"/>
        <w:ind w:firstLine="44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五</w:t>
      </w:r>
      <w:r>
        <w:rPr>
          <w:rFonts w:hint="eastAsia" w:ascii="宋体" w:hAnsi="宋体" w:eastAsia="宋体" w:cs="宋体"/>
          <w:b/>
          <w:color w:val="auto"/>
          <w:szCs w:val="21"/>
          <w:highlight w:val="none"/>
        </w:rPr>
        <w:t>、获取磋商文件的时间、地点、方式</w:t>
      </w:r>
    </w:p>
    <w:p w14:paraId="544C23AA">
      <w:pPr>
        <w:keepLines w:val="0"/>
        <w:pageBreakBefore w:val="0"/>
        <w:widowControl/>
        <w:kinsoku/>
        <w:wordWrap/>
        <w:overflowPunct/>
        <w:topLinePunct w:val="0"/>
        <w:autoSpaceDE/>
        <w:autoSpaceDN/>
        <w:bidi w:val="0"/>
        <w:adjustRightInd/>
        <w:snapToGrid/>
        <w:spacing w:line="380" w:lineRule="exact"/>
        <w:ind w:firstLine="440" w:firstLineChars="200"/>
        <w:jc w:val="left"/>
        <w:textAlignment w:val="auto"/>
        <w:rPr>
          <w:rFonts w:hint="eastAsia" w:ascii="宋体" w:hAnsi="宋体" w:eastAsia="宋体" w:cs="宋体"/>
          <w:color w:val="auto"/>
          <w:szCs w:val="21"/>
          <w:highlight w:val="none"/>
          <w:u w:val="single"/>
        </w:rPr>
      </w:pPr>
      <w:r>
        <w:rPr>
          <w:rFonts w:hint="eastAsia" w:ascii="宋体" w:hAnsi="宋体" w:cs="宋体"/>
          <w:color w:val="000000"/>
          <w:szCs w:val="21"/>
        </w:rPr>
        <w:t>凡有意参加磋商采购活动的，请于</w:t>
      </w:r>
      <w:r>
        <w:rPr>
          <w:rFonts w:hint="eastAsia" w:ascii="宋体" w:hAnsi="宋体" w:cs="宋体"/>
          <w:color w:val="000000"/>
          <w:szCs w:val="21"/>
          <w:lang w:eastAsia="zh-CN"/>
        </w:rPr>
        <w:t>2026年0</w:t>
      </w:r>
      <w:r>
        <w:rPr>
          <w:rFonts w:hint="eastAsia" w:ascii="宋体" w:hAnsi="宋体" w:cs="宋体"/>
          <w:color w:val="000000"/>
          <w:szCs w:val="21"/>
          <w:lang w:val="en-US" w:eastAsia="zh-CN"/>
        </w:rPr>
        <w:t>8</w:t>
      </w:r>
      <w:r>
        <w:rPr>
          <w:rFonts w:hint="eastAsia" w:ascii="宋体" w:hAnsi="宋体" w:cs="宋体"/>
          <w:color w:val="000000"/>
          <w:szCs w:val="21"/>
          <w:lang w:eastAsia="zh-CN"/>
        </w:rPr>
        <w:t>月</w:t>
      </w:r>
      <w:r>
        <w:rPr>
          <w:rFonts w:hint="eastAsia" w:cs="宋体"/>
          <w:color w:val="000000"/>
          <w:szCs w:val="21"/>
          <w:lang w:val="en-US" w:eastAsia="zh-CN"/>
        </w:rPr>
        <w:t>13</w:t>
      </w:r>
      <w:r>
        <w:rPr>
          <w:rFonts w:hint="eastAsia" w:ascii="宋体" w:hAnsi="宋体" w:cs="宋体"/>
          <w:color w:val="000000"/>
          <w:szCs w:val="21"/>
          <w:lang w:eastAsia="zh-CN"/>
        </w:rPr>
        <w:t>日</w:t>
      </w:r>
      <w:r>
        <w:rPr>
          <w:rFonts w:hint="eastAsia" w:ascii="宋体" w:hAnsi="宋体" w:cs="宋体"/>
          <w:color w:val="000000"/>
          <w:szCs w:val="21"/>
        </w:rPr>
        <w:t>起至202</w:t>
      </w:r>
      <w:r>
        <w:rPr>
          <w:rFonts w:hint="eastAsia" w:ascii="宋体" w:hAnsi="宋体" w:cs="宋体"/>
          <w:color w:val="000000"/>
          <w:szCs w:val="21"/>
          <w:lang w:val="en-US" w:eastAsia="zh-CN"/>
        </w:rPr>
        <w:t>6</w:t>
      </w:r>
      <w:r>
        <w:rPr>
          <w:rFonts w:hint="eastAsia" w:ascii="宋体" w:hAnsi="宋体" w:cs="宋体"/>
          <w:color w:val="000000"/>
          <w:szCs w:val="21"/>
        </w:rPr>
        <w:t>年</w:t>
      </w:r>
      <w:r>
        <w:rPr>
          <w:rFonts w:hint="eastAsia" w:ascii="宋体" w:hAnsi="宋体" w:cs="宋体"/>
          <w:color w:val="000000"/>
          <w:szCs w:val="21"/>
          <w:lang w:val="en-US" w:eastAsia="zh-CN"/>
        </w:rPr>
        <w:t>08</w:t>
      </w:r>
      <w:r>
        <w:rPr>
          <w:rFonts w:hint="eastAsia" w:ascii="宋体" w:hAnsi="宋体" w:cs="宋体"/>
          <w:color w:val="000000"/>
          <w:szCs w:val="21"/>
        </w:rPr>
        <w:t>月</w:t>
      </w:r>
      <w:r>
        <w:rPr>
          <w:rFonts w:hint="eastAsia" w:cs="宋体"/>
          <w:color w:val="000000"/>
          <w:szCs w:val="21"/>
          <w:lang w:val="en-US" w:eastAsia="zh-CN"/>
        </w:rPr>
        <w:t>20</w:t>
      </w:r>
      <w:r>
        <w:rPr>
          <w:rFonts w:hint="eastAsia" w:ascii="宋体" w:hAnsi="宋体" w:cs="宋体"/>
          <w:color w:val="000000"/>
          <w:szCs w:val="21"/>
        </w:rPr>
        <w:t>日(节假日除外)，每日上午</w:t>
      </w:r>
      <w:r>
        <w:rPr>
          <w:rFonts w:hint="eastAsia" w:ascii="宋体" w:hAnsi="宋体" w:cs="宋体"/>
          <w:color w:val="000000"/>
          <w:szCs w:val="21"/>
          <w:lang w:val="en-US" w:eastAsia="zh-CN"/>
        </w:rPr>
        <w:t>0</w:t>
      </w:r>
      <w:r>
        <w:rPr>
          <w:rFonts w:hint="eastAsia" w:cs="宋体"/>
          <w:color w:val="000000"/>
          <w:szCs w:val="21"/>
          <w:lang w:val="en-US" w:eastAsia="zh-CN"/>
        </w:rPr>
        <w:t>9</w:t>
      </w:r>
      <w:r>
        <w:rPr>
          <w:rFonts w:hint="eastAsia" w:ascii="宋体" w:hAnsi="宋体" w:cs="宋体"/>
          <w:color w:val="000000"/>
          <w:szCs w:val="21"/>
        </w:rPr>
        <w:t>:</w:t>
      </w:r>
      <w:r>
        <w:rPr>
          <w:rFonts w:hint="eastAsia" w:cs="宋体"/>
          <w:color w:val="000000"/>
          <w:szCs w:val="21"/>
          <w:lang w:val="en-US" w:eastAsia="zh-CN"/>
        </w:rPr>
        <w:t>0</w:t>
      </w:r>
      <w:r>
        <w:rPr>
          <w:rFonts w:hint="eastAsia" w:ascii="宋体" w:hAnsi="宋体" w:cs="宋体"/>
          <w:color w:val="000000"/>
          <w:szCs w:val="21"/>
        </w:rPr>
        <w:t>0至12:00、下午14:30至17:</w:t>
      </w:r>
      <w:r>
        <w:rPr>
          <w:rFonts w:hint="eastAsia" w:cs="宋体"/>
          <w:color w:val="000000"/>
          <w:szCs w:val="21"/>
          <w:lang w:val="en-US" w:eastAsia="zh-CN"/>
        </w:rPr>
        <w:t>3</w:t>
      </w:r>
      <w:r>
        <w:rPr>
          <w:rFonts w:hint="eastAsia" w:ascii="宋体" w:hAnsi="宋体" w:cs="宋体"/>
          <w:color w:val="000000"/>
          <w:szCs w:val="21"/>
        </w:rPr>
        <w:t>0北京时间，持营业执照复印件、法定代表人身份证明或授权委托书、附法定代表人身份证明、个人身份证到</w:t>
      </w:r>
      <w:r>
        <w:rPr>
          <w:rFonts w:hint="eastAsia" w:ascii="宋体" w:hAnsi="宋体" w:cs="宋体"/>
          <w:color w:val="000000"/>
          <w:szCs w:val="21"/>
          <w:lang w:eastAsia="zh-CN"/>
        </w:rPr>
        <w:t>湖南湘建智科工程技术有限公司</w:t>
      </w:r>
      <w:r>
        <w:rPr>
          <w:rFonts w:hint="eastAsia" w:ascii="宋体" w:hAnsi="宋体" w:cs="宋体"/>
          <w:color w:val="auto"/>
          <w:kern w:val="0"/>
          <w:sz w:val="21"/>
          <w:szCs w:val="21"/>
          <w:highlight w:val="none"/>
          <w:lang w:val="en-US" w:eastAsia="zh-CN" w:bidi="ar"/>
        </w:rPr>
        <w:t>(汨罗市建设东路西雅图对面金麦KTV内停车场北3栋3楼）</w:t>
      </w:r>
      <w:r>
        <w:rPr>
          <w:rFonts w:hint="eastAsia" w:ascii="宋体" w:hAnsi="宋体" w:cs="宋体"/>
          <w:color w:val="000000"/>
          <w:szCs w:val="21"/>
          <w:lang w:val="en-US" w:eastAsia="zh-CN"/>
        </w:rPr>
        <w:t>获取</w:t>
      </w:r>
      <w:r>
        <w:rPr>
          <w:rFonts w:hint="eastAsia" w:ascii="宋体" w:hAnsi="宋体" w:cs="宋体"/>
          <w:color w:val="000000"/>
          <w:szCs w:val="21"/>
        </w:rPr>
        <w:t>磋商文件。</w:t>
      </w:r>
      <w:r>
        <w:rPr>
          <w:rFonts w:hint="eastAsia" w:ascii="宋体" w:hAnsi="宋体" w:eastAsia="宋体" w:cs="宋体"/>
          <w:color w:val="auto"/>
          <w:szCs w:val="21"/>
          <w:highlight w:val="none"/>
        </w:rPr>
        <w:t xml:space="preserve"> </w:t>
      </w:r>
    </w:p>
    <w:p w14:paraId="30F7AA9E">
      <w:pPr>
        <w:adjustRightInd w:val="0"/>
        <w:snapToGrid w:val="0"/>
        <w:spacing w:line="360" w:lineRule="auto"/>
        <w:ind w:firstLine="44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六</w:t>
      </w:r>
      <w:r>
        <w:rPr>
          <w:rFonts w:hint="eastAsia" w:ascii="宋体" w:hAnsi="宋体" w:eastAsia="宋体" w:cs="宋体"/>
          <w:b/>
          <w:color w:val="auto"/>
          <w:szCs w:val="21"/>
          <w:highlight w:val="none"/>
        </w:rPr>
        <w:t>、响应文件提交的截止时间、开启时间及地点</w:t>
      </w:r>
    </w:p>
    <w:p w14:paraId="6F32ECB5">
      <w:pPr>
        <w:tabs>
          <w:tab w:val="left" w:pos="360"/>
        </w:tabs>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1、提交首次响应文件的截止时间为</w:t>
      </w:r>
      <w:r>
        <w:rPr>
          <w:rFonts w:hint="eastAsia" w:ascii="宋体" w:hAnsi="宋体" w:eastAsia="宋体" w:cs="宋体"/>
          <w:color w:val="auto"/>
          <w:szCs w:val="21"/>
          <w:highlight w:val="none"/>
          <w:u w:val="single"/>
        </w:rPr>
        <w:t>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none"/>
        </w:rPr>
        <w:t>年</w:t>
      </w:r>
      <w:r>
        <w:rPr>
          <w:rFonts w:hint="eastAsia" w:ascii="宋体" w:hAnsi="宋体" w:eastAsia="宋体" w:cs="宋体"/>
          <w:color w:val="auto"/>
          <w:szCs w:val="21"/>
          <w:highlight w:val="none"/>
          <w:u w:val="single"/>
          <w:lang w:val="en-US" w:eastAsia="zh-CN"/>
        </w:rPr>
        <w:t xml:space="preserve"> 08</w:t>
      </w:r>
      <w:r>
        <w:rPr>
          <w:rFonts w:hint="eastAsia" w:ascii="宋体" w:hAnsi="宋体" w:eastAsia="宋体" w:cs="宋体"/>
          <w:color w:val="auto"/>
          <w:szCs w:val="21"/>
          <w:highlight w:val="none"/>
          <w:u w:val="none"/>
        </w:rPr>
        <w:t>月</w:t>
      </w:r>
      <w:r>
        <w:rPr>
          <w:rFonts w:hint="eastAsia" w:ascii="宋体" w:hAnsi="宋体" w:eastAsia="宋体" w:cs="宋体"/>
          <w:color w:val="auto"/>
          <w:szCs w:val="21"/>
          <w:highlight w:val="none"/>
          <w:u w:val="single"/>
          <w:lang w:val="en-US" w:eastAsia="zh-CN"/>
        </w:rPr>
        <w:t xml:space="preserve"> </w:t>
      </w:r>
      <w:r>
        <w:rPr>
          <w:rFonts w:hint="eastAsia" w:cs="宋体"/>
          <w:color w:val="auto"/>
          <w:szCs w:val="21"/>
          <w:highlight w:val="none"/>
          <w:u w:val="single"/>
          <w:lang w:val="en-US" w:eastAsia="zh-CN"/>
        </w:rPr>
        <w:t xml:space="preserve">24 </w:t>
      </w:r>
      <w:r>
        <w:rPr>
          <w:rFonts w:hint="eastAsia" w:ascii="宋体" w:hAnsi="宋体" w:eastAsia="宋体" w:cs="宋体"/>
          <w:color w:val="auto"/>
          <w:szCs w:val="21"/>
          <w:highlight w:val="none"/>
          <w:u w:val="none"/>
        </w:rPr>
        <w:t>日</w:t>
      </w:r>
      <w:r>
        <w:rPr>
          <w:rFonts w:hint="eastAsia" w:ascii="宋体" w:hAnsi="宋体" w:eastAsia="宋体" w:cs="宋体"/>
          <w:color w:val="auto"/>
          <w:szCs w:val="21"/>
          <w:highlight w:val="none"/>
          <w:u w:val="single"/>
          <w:lang w:val="en-US" w:eastAsia="zh-CN"/>
        </w:rPr>
        <w:t xml:space="preserve">  10  </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u w:val="single"/>
          <w:lang w:val="en-US" w:eastAsia="zh-CN"/>
        </w:rPr>
        <w:t xml:space="preserve">  00  </w:t>
      </w:r>
      <w:r>
        <w:rPr>
          <w:rFonts w:hint="eastAsia" w:ascii="宋体" w:hAnsi="宋体" w:eastAsia="宋体" w:cs="宋体"/>
          <w:color w:val="auto"/>
          <w:szCs w:val="21"/>
          <w:highlight w:val="none"/>
        </w:rPr>
        <w:t>分（北京时间），地点为</w:t>
      </w:r>
      <w:r>
        <w:rPr>
          <w:rFonts w:hint="eastAsia" w:ascii="宋体" w:hAnsi="宋体" w:cs="宋体"/>
          <w:color w:val="000000"/>
          <w:szCs w:val="21"/>
          <w:lang w:eastAsia="zh-CN"/>
        </w:rPr>
        <w:t>湖南湘建智科工程技术有限公司</w:t>
      </w:r>
      <w:r>
        <w:rPr>
          <w:rFonts w:hint="eastAsia" w:ascii="宋体" w:hAnsi="宋体" w:cs="宋体"/>
          <w:color w:val="auto"/>
          <w:kern w:val="0"/>
          <w:sz w:val="21"/>
          <w:szCs w:val="21"/>
          <w:highlight w:val="none"/>
          <w:lang w:val="en-US" w:eastAsia="zh-CN" w:bidi="ar"/>
        </w:rPr>
        <w:t>(汨罗市建设东路西雅图对面金麦KTV内停车场北3栋3楼）</w:t>
      </w:r>
      <w:r>
        <w:rPr>
          <w:rFonts w:hint="eastAsia" w:ascii="宋体" w:hAnsi="宋体" w:eastAsia="宋体" w:cs="宋体"/>
          <w:color w:val="auto"/>
          <w:szCs w:val="21"/>
          <w:highlight w:val="none"/>
        </w:rPr>
        <w:t>。在截止时间后送达的响应文件为无效文件，采购人、采购代理机构或者磋商小组应当拒收。</w:t>
      </w:r>
    </w:p>
    <w:p w14:paraId="76DA258D">
      <w:pPr>
        <w:tabs>
          <w:tab w:val="left" w:pos="360"/>
        </w:tabs>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2、首次响应文件的开启时间及地点与提交首次响应文件的截止时间及地点为同一时间及地点。</w:t>
      </w:r>
    </w:p>
    <w:p w14:paraId="471125D6">
      <w:pPr>
        <w:adjustRightInd w:val="0"/>
        <w:snapToGrid w:val="0"/>
        <w:spacing w:line="360" w:lineRule="auto"/>
        <w:ind w:firstLine="442" w:firstLineChars="200"/>
        <w:rPr>
          <w:rFonts w:ascii="宋体" w:hAnsi="宋体" w:eastAsia="宋体" w:cs="宋体"/>
          <w:szCs w:val="21"/>
        </w:rPr>
      </w:pPr>
      <w:r>
        <w:rPr>
          <w:rFonts w:hint="eastAsia" w:ascii="宋体" w:hAnsi="宋体" w:eastAsia="宋体" w:cs="宋体"/>
          <w:b/>
          <w:bCs/>
          <w:szCs w:val="21"/>
          <w:lang w:eastAsia="zh-CN"/>
        </w:rPr>
        <w:t>七</w:t>
      </w:r>
      <w:r>
        <w:rPr>
          <w:rFonts w:hint="eastAsia" w:ascii="宋体" w:hAnsi="宋体" w:eastAsia="宋体" w:cs="宋体"/>
          <w:b/>
          <w:bCs/>
          <w:szCs w:val="21"/>
        </w:rPr>
        <w:t>、公告期限</w:t>
      </w:r>
    </w:p>
    <w:p w14:paraId="573F4DCF">
      <w:pPr>
        <w:adjustRightInd w:val="0"/>
        <w:snapToGrid w:val="0"/>
        <w:spacing w:line="360" w:lineRule="auto"/>
        <w:ind w:firstLine="440" w:firstLineChars="200"/>
        <w:rPr>
          <w:rFonts w:ascii="宋体" w:hAnsi="宋体" w:eastAsia="宋体" w:cs="宋体"/>
          <w:szCs w:val="21"/>
        </w:rPr>
      </w:pPr>
      <w:r>
        <w:rPr>
          <w:rFonts w:hint="eastAsia" w:ascii="宋体" w:hAnsi="宋体" w:eastAsia="宋体" w:cs="宋体"/>
          <w:szCs w:val="21"/>
        </w:rPr>
        <w:t>1、本招标公告在中国湖南政府采购网（www.ccgp-hunan.gov.cn）发布。公告期限从本招标公告发布之日起5个工作日。</w:t>
      </w:r>
    </w:p>
    <w:p w14:paraId="3D127F1C">
      <w:pPr>
        <w:tabs>
          <w:tab w:val="left" w:pos="360"/>
        </w:tabs>
        <w:adjustRightInd w:val="0"/>
        <w:snapToGrid w:val="0"/>
        <w:spacing w:line="360" w:lineRule="auto"/>
        <w:ind w:firstLine="440" w:firstLineChars="200"/>
        <w:rPr>
          <w:rFonts w:hint="eastAsia" w:ascii="宋体" w:hAnsi="宋体" w:eastAsia="宋体" w:cs="宋体"/>
          <w:szCs w:val="21"/>
        </w:rPr>
      </w:pPr>
      <w:r>
        <w:rPr>
          <w:rFonts w:hint="eastAsia" w:ascii="宋体" w:hAnsi="宋体" w:eastAsia="宋体" w:cs="宋体"/>
          <w:szCs w:val="21"/>
        </w:rPr>
        <w:t>2、在其他媒体发布的招标公告，公告内容以本招标公告指定媒体发布的公告为准；公告期限自本招标公告指定媒体最先发布公告之日起算</w:t>
      </w:r>
    </w:p>
    <w:p w14:paraId="1951298B">
      <w:pPr>
        <w:tabs>
          <w:tab w:val="left" w:pos="360"/>
        </w:tabs>
        <w:adjustRightInd w:val="0"/>
        <w:snapToGrid w:val="0"/>
        <w:spacing w:line="360" w:lineRule="auto"/>
        <w:ind w:firstLine="44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八、询问及质疑</w:t>
      </w:r>
    </w:p>
    <w:p w14:paraId="44994547">
      <w:pPr>
        <w:adjustRightInd w:val="0"/>
        <w:snapToGrid w:val="0"/>
        <w:spacing w:line="360" w:lineRule="auto"/>
        <w:ind w:firstLine="440" w:firstLineChars="200"/>
        <w:rPr>
          <w:rFonts w:ascii="宋体" w:hAnsi="宋体" w:eastAsia="宋体" w:cs="宋体"/>
          <w:szCs w:val="21"/>
        </w:rPr>
      </w:pPr>
      <w:bookmarkStart w:id="2" w:name="_Toc32693"/>
      <w:r>
        <w:rPr>
          <w:rFonts w:hint="eastAsia" w:ascii="宋体" w:hAnsi="宋体" w:eastAsia="宋体" w:cs="宋体"/>
          <w:szCs w:val="21"/>
        </w:rPr>
        <w:t>1、投标人对政府采购活动事项如有疑问的，可以向采购人、采购代理机构提出询问。采购人、采购代理机构将在3个工作日内作出答复。</w:t>
      </w:r>
    </w:p>
    <w:p w14:paraId="2EF5459D">
      <w:pPr>
        <w:tabs>
          <w:tab w:val="left" w:pos="360"/>
        </w:tabs>
        <w:adjustRightInd w:val="0"/>
        <w:snapToGrid w:val="0"/>
        <w:spacing w:line="360" w:lineRule="auto"/>
        <w:ind w:firstLine="440" w:firstLineChars="200"/>
        <w:rPr>
          <w:rFonts w:hint="eastAsia" w:ascii="宋体" w:hAnsi="宋体" w:eastAsia="宋体" w:cs="宋体"/>
          <w:color w:val="auto"/>
          <w:szCs w:val="21"/>
          <w:highlight w:val="none"/>
          <w:lang w:val="en-US" w:eastAsia="zh-CN"/>
        </w:rPr>
      </w:pPr>
      <w:r>
        <w:rPr>
          <w:rFonts w:hint="eastAsia" w:ascii="宋体" w:hAnsi="宋体" w:eastAsia="宋体" w:cs="宋体"/>
          <w:szCs w:val="21"/>
        </w:rPr>
        <w:t>2、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r>
        <w:rPr>
          <w:rFonts w:hint="eastAsia" w:ascii="宋体" w:hAnsi="宋体" w:eastAsia="宋体" w:cs="宋体"/>
          <w:color w:val="auto"/>
          <w:szCs w:val="21"/>
          <w:highlight w:val="none"/>
          <w:lang w:val="en-US" w:eastAsia="zh-CN"/>
        </w:rPr>
        <w:t>。</w:t>
      </w:r>
      <w:bookmarkEnd w:id="2"/>
    </w:p>
    <w:p w14:paraId="208E3C2A">
      <w:pPr>
        <w:tabs>
          <w:tab w:val="left" w:pos="360"/>
        </w:tabs>
        <w:adjustRightInd w:val="0"/>
        <w:snapToGrid w:val="0"/>
        <w:spacing w:line="360" w:lineRule="auto"/>
        <w:ind w:firstLine="44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九、投标说明</w:t>
      </w:r>
    </w:p>
    <w:p w14:paraId="4F447F24">
      <w:pPr>
        <w:tabs>
          <w:tab w:val="left" w:pos="360"/>
        </w:tabs>
        <w:adjustRightInd w:val="0"/>
        <w:snapToGrid w:val="0"/>
        <w:spacing w:line="360" w:lineRule="auto"/>
        <w:ind w:firstLine="44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1、本公告选项：</w:t>
      </w:r>
      <w:r>
        <w:rPr>
          <w:rFonts w:hint="eastAsia" w:ascii="宋体" w:hAnsi="宋体" w:eastAsia="宋体" w:cs="宋体"/>
          <w:color w:val="auto"/>
          <w:szCs w:val="21"/>
          <w:highlight w:val="none"/>
          <w:lang w:val="en-US" w:eastAsia="zh-CN"/>
        </w:rPr>
        <w:sym w:font="Wingdings" w:char="00FE"/>
      </w:r>
      <w:r>
        <w:rPr>
          <w:rFonts w:hint="eastAsia" w:ascii="宋体" w:hAnsi="宋体" w:eastAsia="宋体" w:cs="宋体"/>
          <w:color w:val="auto"/>
          <w:szCs w:val="21"/>
          <w:highlight w:val="none"/>
          <w:lang w:val="en-US" w:eastAsia="zh-CN"/>
        </w:rPr>
        <w:t>表示选择，</w:t>
      </w:r>
      <w:r>
        <w:rPr>
          <w:rFonts w:hint="eastAsia" w:ascii="宋体" w:hAnsi="宋体" w:eastAsia="宋体" w:cs="宋体"/>
          <w:color w:val="auto"/>
          <w:szCs w:val="21"/>
          <w:highlight w:val="none"/>
          <w:lang w:val="en-US" w:eastAsia="zh-CN"/>
        </w:rPr>
        <w:sym w:font="Wingdings" w:char="00A8"/>
      </w:r>
      <w:r>
        <w:rPr>
          <w:rFonts w:hint="eastAsia" w:ascii="宋体" w:hAnsi="宋体" w:eastAsia="宋体" w:cs="宋体"/>
          <w:color w:val="auto"/>
          <w:szCs w:val="21"/>
          <w:highlight w:val="none"/>
          <w:lang w:val="en-US" w:eastAsia="zh-CN"/>
        </w:rPr>
        <w:t>表示未选择。</w:t>
      </w:r>
    </w:p>
    <w:p w14:paraId="5207A078">
      <w:pPr>
        <w:tabs>
          <w:tab w:val="left" w:pos="360"/>
        </w:tabs>
        <w:adjustRightInd w:val="0"/>
        <w:snapToGrid w:val="0"/>
        <w:spacing w:line="360" w:lineRule="auto"/>
        <w:ind w:firstLine="44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2、投标人参与政府采购活动，无需向采购人、代理机构、交易平台缴纳任何费用</w:t>
      </w:r>
    </w:p>
    <w:p w14:paraId="0E228CB2">
      <w:pPr>
        <w:adjustRightInd w:val="0"/>
        <w:snapToGrid w:val="0"/>
        <w:spacing w:line="360" w:lineRule="auto"/>
        <w:ind w:firstLine="44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十</w:t>
      </w:r>
      <w:r>
        <w:rPr>
          <w:rFonts w:hint="eastAsia" w:ascii="宋体" w:hAnsi="宋体" w:eastAsia="宋体" w:cs="宋体"/>
          <w:b/>
          <w:color w:val="auto"/>
          <w:szCs w:val="21"/>
          <w:highlight w:val="none"/>
        </w:rPr>
        <w:t>、采购项目联系人姓名和电话</w:t>
      </w:r>
    </w:p>
    <w:p w14:paraId="234EE99C">
      <w:pPr>
        <w:adjustRightInd w:val="0"/>
        <w:snapToGrid w:val="0"/>
        <w:spacing w:line="460" w:lineRule="exact"/>
        <w:ind w:firstLine="440" w:firstLineChars="200"/>
        <w:rPr>
          <w:rFonts w:hint="eastAsia" w:ascii="宋体" w:hAnsi="宋体" w:eastAsia="宋体" w:cs="宋体"/>
          <w:color w:val="000000"/>
          <w:szCs w:val="21"/>
        </w:rPr>
      </w:pPr>
      <w:r>
        <w:rPr>
          <w:rFonts w:hint="eastAsia" w:ascii="宋体" w:hAnsi="宋体" w:eastAsia="宋体" w:cs="宋体"/>
          <w:color w:val="000000"/>
          <w:szCs w:val="21"/>
        </w:rPr>
        <w:t>采购人：</w:t>
      </w:r>
      <w:r>
        <w:rPr>
          <w:rFonts w:hint="eastAsia" w:ascii="宋体" w:hAnsi="宋体" w:eastAsia="宋体" w:cs="宋体"/>
          <w:color w:val="000000"/>
          <w:szCs w:val="21"/>
          <w:lang w:val="en-US" w:eastAsia="zh-CN"/>
        </w:rPr>
        <w:t>汨罗市教育体育局</w:t>
      </w:r>
      <w:r>
        <w:rPr>
          <w:rFonts w:hint="eastAsia" w:ascii="宋体" w:hAnsi="宋体" w:eastAsia="宋体" w:cs="宋体"/>
          <w:color w:val="000000"/>
          <w:szCs w:val="21"/>
        </w:rPr>
        <w:t xml:space="preserve">         </w:t>
      </w:r>
    </w:p>
    <w:p w14:paraId="41966715">
      <w:pPr>
        <w:adjustRightInd w:val="0"/>
        <w:snapToGrid w:val="0"/>
        <w:spacing w:line="460" w:lineRule="exact"/>
        <w:ind w:firstLine="44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rPr>
        <w:t>地  址：</w:t>
      </w:r>
      <w:r>
        <w:rPr>
          <w:rFonts w:hint="eastAsia" w:ascii="宋体" w:hAnsi="宋体" w:eastAsia="宋体" w:cs="宋体"/>
          <w:color w:val="000000"/>
          <w:szCs w:val="21"/>
          <w:lang w:val="en-US" w:eastAsia="zh-CN"/>
        </w:rPr>
        <w:t>汨罗市罗城路109号</w:t>
      </w:r>
    </w:p>
    <w:p w14:paraId="2694E033">
      <w:pPr>
        <w:pStyle w:val="11"/>
        <w:spacing w:before="161" w:line="374" w:lineRule="auto"/>
        <w:ind w:right="646" w:firstLine="480" w:firstLineChars="200"/>
        <w:rPr>
          <w:rFonts w:hint="eastAsia" w:ascii="宋体" w:hAnsi="宋体" w:eastAsia="宋体" w:cs="宋体"/>
          <w:color w:val="000000"/>
          <w:sz w:val="22"/>
          <w:szCs w:val="21"/>
          <w:lang w:val="en-US" w:eastAsia="zh-CN" w:bidi="zh-CN"/>
        </w:rPr>
      </w:pPr>
      <w:r>
        <w:rPr>
          <w:rFonts w:hint="eastAsia" w:ascii="宋体" w:hAnsi="宋体" w:eastAsia="宋体" w:cs="宋体"/>
          <w:color w:val="000000"/>
          <w:szCs w:val="21"/>
        </w:rPr>
        <w:t>联系人：</w:t>
      </w:r>
      <w:r>
        <w:rPr>
          <w:rFonts w:hint="eastAsia" w:ascii="宋体" w:hAnsi="宋体" w:eastAsia="宋体" w:cs="宋体"/>
          <w:color w:val="000000"/>
          <w:szCs w:val="21"/>
          <w:lang w:val="en-US" w:eastAsia="zh-CN"/>
        </w:rPr>
        <w:t xml:space="preserve">吴先生 </w:t>
      </w:r>
      <w:r>
        <w:rPr>
          <w:rFonts w:hint="eastAsia" w:ascii="宋体" w:hAnsi="宋体" w:eastAsia="宋体" w:cs="宋体"/>
          <w:color w:val="000000"/>
          <w:szCs w:val="21"/>
        </w:rPr>
        <w:t xml:space="preserve">     联系电话：</w:t>
      </w:r>
      <w:r>
        <w:rPr>
          <w:rFonts w:hint="eastAsia" w:ascii="宋体" w:hAnsi="宋体" w:eastAsia="宋体" w:cs="宋体"/>
          <w:color w:val="000000"/>
          <w:sz w:val="22"/>
          <w:szCs w:val="21"/>
          <w:lang w:val="en-US" w:eastAsia="zh-CN" w:bidi="zh-CN"/>
        </w:rPr>
        <w:t>18216394678</w:t>
      </w:r>
    </w:p>
    <w:p w14:paraId="51A435B7">
      <w:pPr>
        <w:adjustRightInd w:val="0"/>
        <w:snapToGrid w:val="0"/>
        <w:spacing w:line="460" w:lineRule="exact"/>
        <w:ind w:firstLine="440" w:firstLineChars="200"/>
        <w:rPr>
          <w:rFonts w:hint="eastAsia" w:ascii="宋体" w:hAnsi="宋体" w:eastAsia="宋体" w:cs="宋体"/>
          <w:color w:val="000000"/>
          <w:szCs w:val="21"/>
        </w:rPr>
      </w:pPr>
      <w:r>
        <w:rPr>
          <w:rFonts w:hint="eastAsia" w:ascii="宋体" w:hAnsi="宋体" w:eastAsia="宋体" w:cs="宋体"/>
          <w:color w:val="000000"/>
          <w:szCs w:val="21"/>
        </w:rPr>
        <w:t>代理机构：</w:t>
      </w:r>
      <w:r>
        <w:rPr>
          <w:rFonts w:hint="eastAsia" w:ascii="宋体" w:hAnsi="宋体" w:eastAsia="宋体" w:cs="宋体"/>
          <w:color w:val="000000"/>
          <w:szCs w:val="21"/>
          <w:lang w:eastAsia="zh-CN"/>
        </w:rPr>
        <w:t>湖南湘建智科工程技术有限公司</w:t>
      </w:r>
      <w:r>
        <w:rPr>
          <w:rFonts w:hint="eastAsia" w:ascii="宋体" w:hAnsi="宋体" w:eastAsia="宋体" w:cs="宋体"/>
          <w:color w:val="000000"/>
          <w:szCs w:val="21"/>
        </w:rPr>
        <w:t xml:space="preserve">           </w:t>
      </w:r>
    </w:p>
    <w:p w14:paraId="7B6CF7BD">
      <w:pPr>
        <w:adjustRightInd w:val="0"/>
        <w:snapToGrid w:val="0"/>
        <w:spacing w:line="460" w:lineRule="exact"/>
        <w:ind w:firstLine="440" w:firstLineChars="200"/>
        <w:rPr>
          <w:rFonts w:hint="eastAsia" w:ascii="宋体" w:hAnsi="宋体" w:cs="宋体"/>
          <w:color w:val="auto"/>
          <w:kern w:val="0"/>
          <w:sz w:val="21"/>
          <w:szCs w:val="21"/>
          <w:highlight w:val="none"/>
          <w:lang w:val="en-US" w:eastAsia="zh-CN" w:bidi="ar"/>
        </w:rPr>
      </w:pPr>
      <w:r>
        <w:rPr>
          <w:rFonts w:hint="eastAsia" w:ascii="宋体" w:hAnsi="宋体" w:eastAsia="宋体" w:cs="宋体"/>
          <w:color w:val="000000"/>
          <w:szCs w:val="21"/>
        </w:rPr>
        <w:t>地址：</w:t>
      </w:r>
      <w:r>
        <w:rPr>
          <w:rFonts w:hint="eastAsia" w:ascii="宋体" w:hAnsi="宋体" w:cs="宋体"/>
          <w:color w:val="auto"/>
          <w:kern w:val="0"/>
          <w:sz w:val="21"/>
          <w:szCs w:val="21"/>
          <w:highlight w:val="none"/>
          <w:lang w:val="en-US" w:eastAsia="zh-CN" w:bidi="ar"/>
        </w:rPr>
        <w:t>汨罗市建设东路西雅图对面金麦KTV内停车场北3栋3楼</w:t>
      </w:r>
    </w:p>
    <w:p w14:paraId="27145943">
      <w:pPr>
        <w:pStyle w:val="14"/>
        <w:ind w:firstLine="440" w:firstLineChars="200"/>
        <w:jc w:val="both"/>
        <w:rPr>
          <w:rFonts w:hint="eastAsia" w:ascii="宋体" w:hAnsi="宋体" w:eastAsia="宋体" w:cs="宋体"/>
          <w:color w:val="000000"/>
          <w:szCs w:val="21"/>
          <w:lang w:val="en-US" w:eastAsia="zh-CN"/>
        </w:rPr>
      </w:pPr>
      <w:r>
        <w:rPr>
          <w:rFonts w:hint="eastAsia" w:ascii="宋体" w:hAnsi="宋体" w:eastAsia="宋体" w:cs="宋体"/>
          <w:color w:val="000000"/>
          <w:szCs w:val="21"/>
        </w:rPr>
        <w:t>联系人：</w:t>
      </w:r>
      <w:r>
        <w:rPr>
          <w:rFonts w:hint="eastAsia" w:ascii="宋体" w:hAnsi="宋体" w:eastAsia="宋体" w:cs="宋体"/>
          <w:color w:val="000000"/>
          <w:szCs w:val="21"/>
          <w:lang w:val="en-US" w:eastAsia="zh-CN"/>
        </w:rPr>
        <w:t>湛</w:t>
      </w:r>
      <w:r>
        <w:rPr>
          <w:rFonts w:hint="eastAsia" w:ascii="宋体" w:hAnsi="宋体" w:eastAsia="宋体" w:cs="宋体"/>
          <w:color w:val="000000"/>
          <w:szCs w:val="21"/>
        </w:rPr>
        <w:t>女士      联系电话：</w:t>
      </w:r>
      <w:r>
        <w:rPr>
          <w:rFonts w:hint="eastAsia" w:ascii="宋体" w:hAnsi="宋体" w:eastAsia="宋体" w:cs="宋体"/>
          <w:color w:val="000000"/>
          <w:szCs w:val="21"/>
          <w:lang w:val="en-US" w:eastAsia="zh-CN"/>
        </w:rPr>
        <w:t>19176999549</w:t>
      </w:r>
    </w:p>
    <w:p w14:paraId="68D2EC0C">
      <w:pPr>
        <w:pStyle w:val="14"/>
        <w:jc w:val="center"/>
        <w:rPr>
          <w:rFonts w:hint="eastAsia" w:ascii="宋体" w:hAnsi="宋体" w:eastAsia="宋体" w:cs="宋体"/>
          <w:color w:val="000000"/>
          <w:szCs w:val="21"/>
          <w:lang w:val="en-US" w:eastAsia="zh-CN"/>
        </w:rPr>
      </w:pPr>
    </w:p>
    <w:p w14:paraId="3772E551">
      <w:pPr>
        <w:pStyle w:val="14"/>
        <w:jc w:val="center"/>
        <w:rPr>
          <w:rFonts w:hint="eastAsia" w:ascii="宋体" w:hAnsi="宋体" w:eastAsia="宋体" w:cs="宋体"/>
          <w:color w:val="000000"/>
          <w:szCs w:val="21"/>
          <w:lang w:val="en-US" w:eastAsia="zh-CN"/>
        </w:rPr>
      </w:pPr>
    </w:p>
    <w:p w14:paraId="4F165DB3">
      <w:pPr>
        <w:pStyle w:val="14"/>
        <w:jc w:val="center"/>
        <w:rPr>
          <w:rFonts w:hint="eastAsia" w:ascii="宋体" w:hAnsi="宋体" w:eastAsia="宋体" w:cs="宋体"/>
          <w:color w:val="000000"/>
          <w:szCs w:val="21"/>
          <w:lang w:val="en-US" w:eastAsia="zh-CN"/>
        </w:rPr>
      </w:pPr>
    </w:p>
    <w:p w14:paraId="74346937">
      <w:pPr>
        <w:pStyle w:val="14"/>
        <w:jc w:val="center"/>
        <w:rPr>
          <w:rFonts w:hint="eastAsia" w:ascii="宋体" w:hAnsi="宋体" w:eastAsia="宋体" w:cs="宋体"/>
          <w:color w:val="000000"/>
          <w:szCs w:val="21"/>
          <w:lang w:val="en-US" w:eastAsia="zh-CN"/>
        </w:rPr>
      </w:pPr>
    </w:p>
    <w:p w14:paraId="1BA473D8">
      <w:pPr>
        <w:pStyle w:val="11"/>
        <w:spacing w:before="261" w:line="364" w:lineRule="auto"/>
        <w:ind w:left="189" w:right="532" w:firstLine="580"/>
        <w:jc w:val="both"/>
        <w:rPr>
          <w:rFonts w:hint="eastAsia"/>
          <w:color w:val="auto"/>
          <w:spacing w:val="-4"/>
          <w:sz w:val="22"/>
          <w:szCs w:val="22"/>
          <w:highlight w:val="none"/>
          <w:lang w:eastAsia="zh-CN"/>
        </w:rPr>
      </w:pPr>
    </w:p>
    <w:p w14:paraId="6864F024">
      <w:pPr>
        <w:pStyle w:val="11"/>
        <w:spacing w:before="261" w:line="364" w:lineRule="auto"/>
        <w:ind w:left="189" w:right="532" w:firstLine="580"/>
        <w:jc w:val="both"/>
        <w:rPr>
          <w:rFonts w:hint="eastAsia"/>
          <w:color w:val="auto"/>
          <w:spacing w:val="-4"/>
          <w:sz w:val="22"/>
          <w:szCs w:val="22"/>
          <w:highlight w:val="none"/>
          <w:lang w:eastAsia="zh-CN"/>
        </w:rPr>
      </w:pPr>
    </w:p>
    <w:p w14:paraId="6D70DD23">
      <w:pPr>
        <w:pStyle w:val="11"/>
        <w:spacing w:before="261" w:line="364" w:lineRule="auto"/>
        <w:ind w:left="189" w:right="532" w:firstLine="580"/>
        <w:jc w:val="both"/>
        <w:rPr>
          <w:rFonts w:hint="eastAsia"/>
          <w:color w:val="auto"/>
          <w:spacing w:val="-4"/>
          <w:sz w:val="22"/>
          <w:szCs w:val="22"/>
          <w:highlight w:val="none"/>
          <w:lang w:eastAsia="zh-CN"/>
        </w:rPr>
      </w:pPr>
    </w:p>
    <w:p w14:paraId="5634BE59">
      <w:pPr>
        <w:pStyle w:val="11"/>
        <w:spacing w:before="261" w:line="364" w:lineRule="auto"/>
        <w:ind w:right="532"/>
        <w:jc w:val="both"/>
        <w:rPr>
          <w:rFonts w:hint="default"/>
          <w:color w:val="auto"/>
          <w:spacing w:val="-4"/>
          <w:sz w:val="22"/>
          <w:szCs w:val="22"/>
          <w:highlight w:val="none"/>
          <w:lang w:val="en-US" w:eastAsia="zh-CN"/>
        </w:rPr>
      </w:pPr>
    </w:p>
    <w:p w14:paraId="5F07304E">
      <w:pPr>
        <w:rPr>
          <w:rFonts w:ascii="宋体" w:hAnsi="宋体" w:eastAsia="宋体" w:cs="宋体"/>
          <w:sz w:val="22"/>
          <w:szCs w:val="22"/>
          <w:lang w:val="zh-CN" w:eastAsia="zh-CN" w:bidi="zh-CN"/>
        </w:rPr>
      </w:pPr>
      <w:bookmarkStart w:id="3" w:name="_Toc5858"/>
    </w:p>
    <w:p w14:paraId="0C458B20">
      <w:pPr>
        <w:pStyle w:val="4"/>
        <w:numPr>
          <w:ilvl w:val="0"/>
          <w:numId w:val="1"/>
        </w:numPr>
        <w:spacing w:before="28"/>
        <w:ind w:left="0" w:right="417"/>
        <w:jc w:val="center"/>
        <w:outlineLvl w:val="0"/>
        <w:rPr>
          <w:rFonts w:ascii="宋体" w:hAnsi="宋体" w:eastAsia="宋体" w:cs="宋体"/>
          <w:color w:val="auto"/>
          <w:highlight w:val="none"/>
        </w:rPr>
      </w:pPr>
      <w:r>
        <w:rPr>
          <w:rFonts w:ascii="宋体" w:hAnsi="宋体" w:eastAsia="宋体" w:cs="宋体"/>
          <w:color w:val="auto"/>
          <w:highlight w:val="none"/>
        </w:rPr>
        <w:t>磋商须知</w:t>
      </w:r>
      <w:bookmarkEnd w:id="3"/>
    </w:p>
    <w:p w14:paraId="41ABCA1A">
      <w:pPr>
        <w:pStyle w:val="7"/>
        <w:ind w:left="112" w:firstLine="3855" w:firstLineChars="1600"/>
        <w:jc w:val="both"/>
        <w:outlineLvl w:val="1"/>
        <w:rPr>
          <w:color w:val="auto"/>
          <w:highlight w:val="none"/>
        </w:rPr>
      </w:pPr>
      <w:bookmarkStart w:id="4" w:name="磋商须知前附表"/>
      <w:bookmarkEnd w:id="4"/>
      <w:bookmarkStart w:id="5" w:name="_Toc17060"/>
      <w:bookmarkStart w:id="6" w:name="_Toc10107"/>
      <w:r>
        <w:rPr>
          <w:color w:val="auto"/>
          <w:highlight w:val="none"/>
        </w:rPr>
        <w:t>磋商须知前附表</w:t>
      </w:r>
      <w:bookmarkEnd w:id="5"/>
      <w:bookmarkEnd w:id="6"/>
    </w:p>
    <w:p w14:paraId="7B616143">
      <w:pPr>
        <w:spacing w:before="23" w:after="31"/>
        <w:ind w:left="112" w:right="0" w:firstLine="0"/>
        <w:jc w:val="left"/>
        <w:rPr>
          <w:color w:val="auto"/>
          <w:sz w:val="21"/>
          <w:highlight w:val="none"/>
        </w:rPr>
      </w:pPr>
      <w:r>
        <w:rPr>
          <w:color w:val="auto"/>
          <w:sz w:val="21"/>
          <w:highlight w:val="none"/>
        </w:rPr>
        <w:t>注： 请在方框□内划√选择，在“条款号”内限选一项。</w:t>
      </w:r>
    </w:p>
    <w:tbl>
      <w:tblPr>
        <w:tblStyle w:val="24"/>
        <w:tblW w:w="0" w:type="auto"/>
        <w:tblInd w:w="418" w:type="dxa"/>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Layout w:type="fixed"/>
        <w:tblCellMar>
          <w:top w:w="0" w:type="dxa"/>
          <w:left w:w="0" w:type="dxa"/>
          <w:bottom w:w="0" w:type="dxa"/>
          <w:right w:w="0" w:type="dxa"/>
        </w:tblCellMar>
      </w:tblPr>
      <w:tblGrid>
        <w:gridCol w:w="1343"/>
        <w:gridCol w:w="2580"/>
        <w:gridCol w:w="5137"/>
      </w:tblGrid>
      <w:tr w14:paraId="30E6611B">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34" w:hRule="atLeast"/>
        </w:trPr>
        <w:tc>
          <w:tcPr>
            <w:tcW w:w="1343" w:type="dxa"/>
            <w:tcBorders>
              <w:bottom w:val="single" w:color="000000" w:sz="6" w:space="0"/>
              <w:right w:val="single" w:color="000000" w:sz="6" w:space="0"/>
            </w:tcBorders>
            <w:vAlign w:val="center"/>
          </w:tcPr>
          <w:p w14:paraId="7D3499E0">
            <w:pPr>
              <w:pStyle w:val="49"/>
              <w:spacing w:before="2" w:line="250" w:lineRule="exact"/>
              <w:ind w:left="345"/>
              <w:jc w:val="both"/>
              <w:rPr>
                <w:b/>
                <w:color w:val="auto"/>
                <w:sz w:val="21"/>
                <w:highlight w:val="none"/>
              </w:rPr>
            </w:pPr>
            <w:r>
              <w:rPr>
                <w:b/>
                <w:color w:val="auto"/>
                <w:sz w:val="21"/>
                <w:highlight w:val="none"/>
              </w:rPr>
              <w:t>条款号</w:t>
            </w:r>
          </w:p>
        </w:tc>
        <w:tc>
          <w:tcPr>
            <w:tcW w:w="2580" w:type="dxa"/>
            <w:tcBorders>
              <w:left w:val="single" w:color="000000" w:sz="6" w:space="0"/>
              <w:bottom w:val="single" w:color="000000" w:sz="6" w:space="0"/>
              <w:right w:val="single" w:color="000000" w:sz="6" w:space="0"/>
            </w:tcBorders>
            <w:vAlign w:val="center"/>
          </w:tcPr>
          <w:p w14:paraId="58D5CA99">
            <w:pPr>
              <w:pStyle w:val="49"/>
              <w:spacing w:before="2" w:line="250" w:lineRule="exact"/>
              <w:ind w:left="112" w:right="100"/>
              <w:jc w:val="center"/>
              <w:rPr>
                <w:b/>
                <w:color w:val="auto"/>
                <w:sz w:val="21"/>
                <w:highlight w:val="none"/>
              </w:rPr>
            </w:pPr>
            <w:r>
              <w:rPr>
                <w:b/>
                <w:color w:val="auto"/>
                <w:sz w:val="21"/>
                <w:highlight w:val="none"/>
              </w:rPr>
              <w:t>条款名称</w:t>
            </w:r>
          </w:p>
        </w:tc>
        <w:tc>
          <w:tcPr>
            <w:tcW w:w="5137" w:type="dxa"/>
            <w:tcBorders>
              <w:left w:val="single" w:color="000000" w:sz="6" w:space="0"/>
              <w:bottom w:val="single" w:color="000000" w:sz="6" w:space="0"/>
            </w:tcBorders>
            <w:vAlign w:val="center"/>
          </w:tcPr>
          <w:p w14:paraId="791CF4C0">
            <w:pPr>
              <w:pStyle w:val="49"/>
              <w:spacing w:before="2" w:line="250" w:lineRule="exact"/>
              <w:ind w:left="1913" w:right="1895"/>
              <w:jc w:val="center"/>
              <w:rPr>
                <w:b/>
                <w:color w:val="auto"/>
                <w:sz w:val="21"/>
                <w:highlight w:val="none"/>
              </w:rPr>
            </w:pPr>
            <w:r>
              <w:rPr>
                <w:b/>
                <w:color w:val="auto"/>
                <w:sz w:val="21"/>
                <w:highlight w:val="none"/>
              </w:rPr>
              <w:t>编列内容规定</w:t>
            </w:r>
          </w:p>
        </w:tc>
      </w:tr>
      <w:tr w14:paraId="190AEF83">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272" w:hRule="atLeast"/>
        </w:trPr>
        <w:tc>
          <w:tcPr>
            <w:tcW w:w="9060" w:type="dxa"/>
            <w:gridSpan w:val="3"/>
            <w:tcBorders>
              <w:top w:val="single" w:color="000000" w:sz="6" w:space="0"/>
              <w:bottom w:val="single" w:color="000000" w:sz="6" w:space="0"/>
            </w:tcBorders>
          </w:tcPr>
          <w:p w14:paraId="124F0133">
            <w:pPr>
              <w:pStyle w:val="49"/>
              <w:spacing w:line="253" w:lineRule="exact"/>
              <w:ind w:left="97"/>
              <w:rPr>
                <w:b/>
                <w:color w:val="auto"/>
                <w:sz w:val="21"/>
                <w:highlight w:val="none"/>
              </w:rPr>
            </w:pPr>
            <w:r>
              <w:rPr>
                <w:b/>
                <w:color w:val="auto"/>
                <w:sz w:val="21"/>
                <w:highlight w:val="none"/>
              </w:rPr>
              <w:t>一、说明</w:t>
            </w:r>
          </w:p>
        </w:tc>
      </w:tr>
      <w:tr w14:paraId="1977620A">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44" w:hRule="atLeast"/>
        </w:trPr>
        <w:tc>
          <w:tcPr>
            <w:tcW w:w="1343" w:type="dxa"/>
            <w:tcBorders>
              <w:top w:val="single" w:color="000000" w:sz="6" w:space="0"/>
              <w:bottom w:val="single" w:color="000000" w:sz="6" w:space="0"/>
              <w:right w:val="single" w:color="000000" w:sz="6" w:space="0"/>
            </w:tcBorders>
          </w:tcPr>
          <w:p w14:paraId="74B2EE87">
            <w:pPr>
              <w:pStyle w:val="49"/>
              <w:ind w:left="345"/>
              <w:rPr>
                <w:color w:val="auto"/>
                <w:sz w:val="21"/>
                <w:highlight w:val="none"/>
              </w:rPr>
            </w:pPr>
            <w:r>
              <w:rPr>
                <w:color w:val="auto"/>
                <w:sz w:val="21"/>
                <w:highlight w:val="none"/>
              </w:rPr>
              <w:t>第二章</w:t>
            </w:r>
          </w:p>
          <w:p w14:paraId="0C63E7F6">
            <w:pPr>
              <w:pStyle w:val="49"/>
              <w:spacing w:before="2" w:line="253" w:lineRule="exact"/>
              <w:ind w:left="241"/>
              <w:rPr>
                <w:color w:val="auto"/>
                <w:sz w:val="21"/>
                <w:highlight w:val="none"/>
              </w:rPr>
            </w:pPr>
            <w:r>
              <w:rPr>
                <w:color w:val="auto"/>
                <w:sz w:val="21"/>
                <w:highlight w:val="none"/>
              </w:rPr>
              <w:t>第 1.1 款</w:t>
            </w:r>
          </w:p>
        </w:tc>
        <w:tc>
          <w:tcPr>
            <w:tcW w:w="2580" w:type="dxa"/>
            <w:tcBorders>
              <w:top w:val="single" w:color="000000" w:sz="6" w:space="0"/>
              <w:left w:val="single" w:color="000000" w:sz="6" w:space="0"/>
              <w:bottom w:val="single" w:color="000000" w:sz="6" w:space="0"/>
              <w:right w:val="single" w:color="000000" w:sz="6" w:space="0"/>
            </w:tcBorders>
          </w:tcPr>
          <w:p w14:paraId="4562954E">
            <w:pPr>
              <w:pStyle w:val="49"/>
              <w:spacing w:before="134"/>
              <w:ind w:left="110" w:right="103"/>
              <w:jc w:val="center"/>
              <w:rPr>
                <w:color w:val="auto"/>
                <w:sz w:val="21"/>
                <w:highlight w:val="none"/>
              </w:rPr>
            </w:pPr>
            <w:r>
              <w:rPr>
                <w:color w:val="auto"/>
                <w:sz w:val="21"/>
                <w:highlight w:val="none"/>
              </w:rPr>
              <w:t>采购项目</w:t>
            </w:r>
          </w:p>
        </w:tc>
        <w:tc>
          <w:tcPr>
            <w:tcW w:w="5137" w:type="dxa"/>
            <w:tcBorders>
              <w:top w:val="single" w:color="000000" w:sz="6" w:space="0"/>
              <w:left w:val="single" w:color="000000" w:sz="6" w:space="0"/>
              <w:bottom w:val="single" w:color="000000" w:sz="6" w:space="0"/>
            </w:tcBorders>
          </w:tcPr>
          <w:p w14:paraId="1EBDD990">
            <w:pPr>
              <w:pStyle w:val="49"/>
              <w:spacing w:before="134"/>
              <w:ind w:left="104"/>
              <w:rPr>
                <w:rFonts w:hint="eastAsia" w:eastAsia="宋体"/>
                <w:color w:val="auto"/>
                <w:sz w:val="21"/>
                <w:highlight w:val="none"/>
                <w:lang w:eastAsia="zh-CN"/>
              </w:rPr>
            </w:pPr>
            <w:r>
              <w:rPr>
                <w:rFonts w:hint="eastAsia"/>
                <w:color w:val="auto"/>
                <w:sz w:val="21"/>
                <w:szCs w:val="21"/>
                <w:highlight w:val="none"/>
                <w:lang w:eastAsia="zh-CN"/>
              </w:rPr>
              <w:t>汨罗市校车接入省“三客一危”监管平台项目</w:t>
            </w:r>
          </w:p>
        </w:tc>
      </w:tr>
      <w:tr w14:paraId="0C3EE00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7" w:hRule="atLeast"/>
        </w:trPr>
        <w:tc>
          <w:tcPr>
            <w:tcW w:w="1343" w:type="dxa"/>
            <w:tcBorders>
              <w:top w:val="single" w:color="000000" w:sz="6" w:space="0"/>
              <w:bottom w:val="single" w:color="000000" w:sz="6" w:space="0"/>
              <w:right w:val="single" w:color="000000" w:sz="6" w:space="0"/>
            </w:tcBorders>
            <w:vAlign w:val="center"/>
          </w:tcPr>
          <w:p w14:paraId="498ED942">
            <w:pPr>
              <w:pStyle w:val="49"/>
              <w:spacing w:line="242" w:lineRule="auto"/>
              <w:ind w:left="241" w:right="238" w:firstLine="103"/>
              <w:jc w:val="center"/>
              <w:rPr>
                <w:color w:val="auto"/>
                <w:sz w:val="21"/>
                <w:highlight w:val="none"/>
              </w:rPr>
            </w:pPr>
            <w:r>
              <w:rPr>
                <w:color w:val="auto"/>
                <w:sz w:val="21"/>
                <w:highlight w:val="none"/>
              </w:rPr>
              <w:t>第二章</w:t>
            </w:r>
            <w:r>
              <w:rPr>
                <w:color w:val="auto"/>
                <w:spacing w:val="-27"/>
                <w:sz w:val="21"/>
                <w:highlight w:val="none"/>
              </w:rPr>
              <w:t xml:space="preserve">第 </w:t>
            </w:r>
            <w:r>
              <w:rPr>
                <w:color w:val="auto"/>
                <w:sz w:val="21"/>
                <w:highlight w:val="none"/>
              </w:rPr>
              <w:t>2.1</w:t>
            </w:r>
            <w:r>
              <w:rPr>
                <w:color w:val="auto"/>
                <w:spacing w:val="-35"/>
                <w:sz w:val="21"/>
                <w:highlight w:val="none"/>
              </w:rPr>
              <w:t xml:space="preserve"> 款</w:t>
            </w:r>
          </w:p>
        </w:tc>
        <w:tc>
          <w:tcPr>
            <w:tcW w:w="2580" w:type="dxa"/>
            <w:tcBorders>
              <w:top w:val="single" w:color="000000" w:sz="6" w:space="0"/>
              <w:left w:val="single" w:color="000000" w:sz="6" w:space="0"/>
              <w:bottom w:val="single" w:color="000000" w:sz="6" w:space="0"/>
              <w:right w:val="single" w:color="000000" w:sz="6" w:space="0"/>
            </w:tcBorders>
            <w:vAlign w:val="center"/>
          </w:tcPr>
          <w:p w14:paraId="220297ED">
            <w:pPr>
              <w:pStyle w:val="49"/>
              <w:ind w:left="112" w:right="103"/>
              <w:jc w:val="center"/>
              <w:rPr>
                <w:color w:val="auto"/>
                <w:sz w:val="21"/>
                <w:highlight w:val="none"/>
              </w:rPr>
            </w:pPr>
            <w:r>
              <w:rPr>
                <w:color w:val="auto"/>
                <w:sz w:val="21"/>
                <w:highlight w:val="none"/>
              </w:rPr>
              <w:t>采购人</w:t>
            </w:r>
          </w:p>
        </w:tc>
        <w:tc>
          <w:tcPr>
            <w:tcW w:w="5137" w:type="dxa"/>
            <w:tcBorders>
              <w:top w:val="single" w:color="000000" w:sz="6" w:space="0"/>
              <w:left w:val="single" w:color="000000" w:sz="6" w:space="0"/>
              <w:bottom w:val="single" w:color="000000" w:sz="6" w:space="0"/>
            </w:tcBorders>
            <w:vAlign w:val="center"/>
          </w:tcPr>
          <w:p w14:paraId="39A09D24">
            <w:pPr>
              <w:pStyle w:val="49"/>
              <w:ind w:left="104"/>
              <w:jc w:val="both"/>
              <w:rPr>
                <w:rFonts w:hint="eastAsia" w:eastAsia="宋体"/>
                <w:color w:val="auto"/>
                <w:sz w:val="21"/>
                <w:highlight w:val="none"/>
                <w:lang w:eastAsia="zh-CN"/>
              </w:rPr>
            </w:pPr>
            <w:r>
              <w:rPr>
                <w:color w:val="auto"/>
                <w:sz w:val="21"/>
                <w:highlight w:val="none"/>
              </w:rPr>
              <w:t>采购人名称：</w:t>
            </w:r>
            <w:r>
              <w:rPr>
                <w:rFonts w:hint="eastAsia"/>
                <w:color w:val="auto"/>
                <w:sz w:val="21"/>
                <w:highlight w:val="none"/>
                <w:lang w:eastAsia="zh-CN"/>
              </w:rPr>
              <w:t>汨罗市教育体育局</w:t>
            </w:r>
          </w:p>
        </w:tc>
      </w:tr>
      <w:tr w14:paraId="432946C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45" w:hRule="atLeast"/>
        </w:trPr>
        <w:tc>
          <w:tcPr>
            <w:tcW w:w="1343" w:type="dxa"/>
            <w:tcBorders>
              <w:top w:val="single" w:color="000000" w:sz="6" w:space="0"/>
              <w:bottom w:val="single" w:color="000000" w:sz="6" w:space="0"/>
              <w:right w:val="single" w:color="000000" w:sz="6" w:space="0"/>
            </w:tcBorders>
          </w:tcPr>
          <w:p w14:paraId="17405FF7">
            <w:pPr>
              <w:pStyle w:val="49"/>
              <w:spacing w:before="1"/>
              <w:ind w:left="345"/>
              <w:rPr>
                <w:color w:val="auto"/>
                <w:sz w:val="21"/>
                <w:highlight w:val="none"/>
              </w:rPr>
            </w:pPr>
            <w:r>
              <w:rPr>
                <w:color w:val="auto"/>
                <w:sz w:val="21"/>
                <w:highlight w:val="none"/>
              </w:rPr>
              <w:t>第二章</w:t>
            </w:r>
          </w:p>
          <w:p w14:paraId="2447DBA7">
            <w:pPr>
              <w:pStyle w:val="49"/>
              <w:spacing w:before="2" w:line="253" w:lineRule="exact"/>
              <w:ind w:left="241"/>
              <w:rPr>
                <w:color w:val="auto"/>
                <w:sz w:val="21"/>
                <w:highlight w:val="none"/>
              </w:rPr>
            </w:pPr>
            <w:r>
              <w:rPr>
                <w:color w:val="auto"/>
                <w:sz w:val="21"/>
                <w:highlight w:val="none"/>
              </w:rPr>
              <w:t>第 2.2 款</w:t>
            </w:r>
          </w:p>
        </w:tc>
        <w:tc>
          <w:tcPr>
            <w:tcW w:w="2580" w:type="dxa"/>
            <w:tcBorders>
              <w:top w:val="single" w:color="000000" w:sz="6" w:space="0"/>
              <w:left w:val="single" w:color="000000" w:sz="6" w:space="0"/>
              <w:bottom w:val="single" w:color="000000" w:sz="6" w:space="0"/>
              <w:right w:val="single" w:color="000000" w:sz="6" w:space="0"/>
            </w:tcBorders>
          </w:tcPr>
          <w:p w14:paraId="799FC132">
            <w:pPr>
              <w:pStyle w:val="49"/>
              <w:spacing w:before="135"/>
              <w:ind w:left="107" w:right="103"/>
              <w:jc w:val="center"/>
              <w:rPr>
                <w:color w:val="auto"/>
                <w:sz w:val="21"/>
                <w:highlight w:val="none"/>
              </w:rPr>
            </w:pPr>
            <w:r>
              <w:rPr>
                <w:color w:val="auto"/>
                <w:sz w:val="21"/>
                <w:highlight w:val="none"/>
              </w:rPr>
              <w:t>采购代理机构</w:t>
            </w:r>
          </w:p>
        </w:tc>
        <w:tc>
          <w:tcPr>
            <w:tcW w:w="5137" w:type="dxa"/>
            <w:tcBorders>
              <w:top w:val="single" w:color="000000" w:sz="6" w:space="0"/>
              <w:left w:val="single" w:color="000000" w:sz="6" w:space="0"/>
              <w:bottom w:val="single" w:color="000000" w:sz="6" w:space="0"/>
            </w:tcBorders>
          </w:tcPr>
          <w:p w14:paraId="614A5D9F">
            <w:pPr>
              <w:pStyle w:val="49"/>
              <w:spacing w:before="137"/>
              <w:ind w:left="104"/>
              <w:rPr>
                <w:rFonts w:hint="eastAsia" w:eastAsia="宋体"/>
                <w:color w:val="auto"/>
                <w:sz w:val="21"/>
                <w:highlight w:val="none"/>
                <w:lang w:eastAsia="zh-CN"/>
              </w:rPr>
            </w:pPr>
            <w:r>
              <w:rPr>
                <w:color w:val="auto"/>
                <w:sz w:val="21"/>
                <w:highlight w:val="none"/>
              </w:rPr>
              <w:t>采购代理：</w:t>
            </w:r>
            <w:r>
              <w:rPr>
                <w:rFonts w:hint="eastAsia"/>
                <w:color w:val="auto"/>
                <w:sz w:val="21"/>
                <w:highlight w:val="none"/>
                <w:lang w:eastAsia="zh-CN"/>
              </w:rPr>
              <w:t xml:space="preserve">湖南湘建智科工程技术有限公司     </w:t>
            </w:r>
          </w:p>
        </w:tc>
      </w:tr>
      <w:tr w14:paraId="7E95A848">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817" w:hRule="atLeast"/>
        </w:trPr>
        <w:tc>
          <w:tcPr>
            <w:tcW w:w="1343" w:type="dxa"/>
            <w:tcBorders>
              <w:top w:val="single" w:color="000000" w:sz="6" w:space="0"/>
              <w:bottom w:val="single" w:color="000000" w:sz="6" w:space="0"/>
              <w:right w:val="single" w:color="000000" w:sz="6" w:space="0"/>
            </w:tcBorders>
          </w:tcPr>
          <w:p w14:paraId="3E837602">
            <w:pPr>
              <w:pStyle w:val="49"/>
              <w:spacing w:before="137" w:line="242" w:lineRule="auto"/>
              <w:ind w:left="241" w:right="238" w:firstLine="103"/>
              <w:rPr>
                <w:color w:val="auto"/>
                <w:sz w:val="21"/>
                <w:highlight w:val="none"/>
              </w:rPr>
            </w:pPr>
            <w:r>
              <w:rPr>
                <w:color w:val="auto"/>
                <w:sz w:val="21"/>
                <w:highlight w:val="none"/>
              </w:rPr>
              <w:t>第二章</w:t>
            </w:r>
            <w:r>
              <w:rPr>
                <w:color w:val="auto"/>
                <w:spacing w:val="-27"/>
                <w:sz w:val="21"/>
                <w:highlight w:val="none"/>
              </w:rPr>
              <w:t xml:space="preserve">第 </w:t>
            </w:r>
            <w:r>
              <w:rPr>
                <w:color w:val="auto"/>
                <w:sz w:val="21"/>
                <w:highlight w:val="none"/>
              </w:rPr>
              <w:t>2.3</w:t>
            </w:r>
            <w:r>
              <w:rPr>
                <w:color w:val="auto"/>
                <w:spacing w:val="-35"/>
                <w:sz w:val="21"/>
                <w:highlight w:val="none"/>
              </w:rPr>
              <w:t xml:space="preserve"> 款</w:t>
            </w:r>
          </w:p>
        </w:tc>
        <w:tc>
          <w:tcPr>
            <w:tcW w:w="2580" w:type="dxa"/>
            <w:tcBorders>
              <w:top w:val="single" w:color="000000" w:sz="6" w:space="0"/>
              <w:left w:val="single" w:color="000000" w:sz="6" w:space="0"/>
              <w:bottom w:val="single" w:color="000000" w:sz="6" w:space="0"/>
              <w:right w:val="single" w:color="000000" w:sz="6" w:space="0"/>
            </w:tcBorders>
          </w:tcPr>
          <w:p w14:paraId="46129483">
            <w:pPr>
              <w:pStyle w:val="49"/>
              <w:spacing w:before="4"/>
              <w:rPr>
                <w:color w:val="auto"/>
                <w:sz w:val="21"/>
                <w:highlight w:val="none"/>
              </w:rPr>
            </w:pPr>
          </w:p>
          <w:p w14:paraId="6FBC035A">
            <w:pPr>
              <w:pStyle w:val="49"/>
              <w:ind w:left="110" w:right="103"/>
              <w:jc w:val="center"/>
              <w:rPr>
                <w:color w:val="auto"/>
                <w:sz w:val="21"/>
                <w:highlight w:val="none"/>
              </w:rPr>
            </w:pPr>
            <w:r>
              <w:rPr>
                <w:color w:val="auto"/>
                <w:sz w:val="21"/>
                <w:highlight w:val="none"/>
              </w:rPr>
              <w:t>供应商的邀请方式</w:t>
            </w:r>
          </w:p>
        </w:tc>
        <w:tc>
          <w:tcPr>
            <w:tcW w:w="5137" w:type="dxa"/>
            <w:tcBorders>
              <w:top w:val="single" w:color="000000" w:sz="6" w:space="0"/>
              <w:left w:val="single" w:color="000000" w:sz="6" w:space="0"/>
              <w:bottom w:val="single" w:color="000000" w:sz="6" w:space="0"/>
            </w:tcBorders>
          </w:tcPr>
          <w:p w14:paraId="37C57660">
            <w:pPr>
              <w:pStyle w:val="49"/>
              <w:numPr>
                <w:ilvl w:val="0"/>
                <w:numId w:val="0"/>
              </w:numPr>
              <w:tabs>
                <w:tab w:val="left" w:pos="316"/>
              </w:tabs>
              <w:spacing w:before="0" w:after="0" w:line="240" w:lineRule="auto"/>
              <w:ind w:right="0" w:rightChars="0" w:firstLine="210" w:firstLineChars="100"/>
              <w:jc w:val="left"/>
              <w:rPr>
                <w:color w:val="auto"/>
                <w:sz w:val="21"/>
                <w:highlight w:val="none"/>
              </w:rPr>
            </w:pPr>
            <w:r>
              <w:rPr>
                <w:rFonts w:hint="eastAsia" w:ascii="幼圆" w:hAnsi="幼圆" w:eastAsia="幼圆" w:cs="幼圆"/>
                <w:color w:val="auto"/>
                <w:sz w:val="21"/>
                <w:highlight w:val="none"/>
              </w:rPr>
              <w:t>■</w:t>
            </w:r>
            <w:r>
              <w:rPr>
                <w:color w:val="auto"/>
                <w:sz w:val="21"/>
                <w:highlight w:val="none"/>
              </w:rPr>
              <w:t>发布公告</w:t>
            </w:r>
          </w:p>
          <w:p w14:paraId="0178CDB0">
            <w:pPr>
              <w:pStyle w:val="49"/>
              <w:spacing w:before="4"/>
              <w:ind w:firstLine="210" w:firstLineChars="100"/>
              <w:rPr>
                <w:color w:val="auto"/>
                <w:sz w:val="21"/>
                <w:highlight w:val="none"/>
              </w:rPr>
            </w:pPr>
            <w:r>
              <w:rPr>
                <w:rFonts w:hint="eastAsia"/>
                <w:color w:val="auto"/>
                <w:sz w:val="21"/>
                <w:highlight w:val="none"/>
                <w:lang w:eastAsia="zh-CN"/>
              </w:rPr>
              <w:t>□</w:t>
            </w:r>
            <w:r>
              <w:rPr>
                <w:color w:val="auto"/>
                <w:sz w:val="21"/>
                <w:highlight w:val="none"/>
              </w:rPr>
              <w:t>从省级以上财政部门建立的供应商库中随机抽取</w:t>
            </w:r>
          </w:p>
          <w:p w14:paraId="7A6587B8">
            <w:pPr>
              <w:pStyle w:val="49"/>
              <w:spacing w:before="2" w:line="252" w:lineRule="exact"/>
              <w:ind w:firstLine="210" w:firstLineChars="100"/>
              <w:rPr>
                <w:color w:val="auto"/>
                <w:sz w:val="21"/>
                <w:highlight w:val="none"/>
              </w:rPr>
            </w:pPr>
            <w:r>
              <w:rPr>
                <w:rFonts w:hint="eastAsia"/>
                <w:color w:val="auto"/>
                <w:sz w:val="21"/>
                <w:highlight w:val="none"/>
                <w:lang w:eastAsia="zh-CN"/>
              </w:rPr>
              <w:t>□</w:t>
            </w:r>
            <w:r>
              <w:rPr>
                <w:color w:val="auto"/>
                <w:sz w:val="21"/>
                <w:highlight w:val="none"/>
              </w:rPr>
              <w:t>采购人和评审专家分别书面推荐的方式</w:t>
            </w:r>
          </w:p>
        </w:tc>
      </w:tr>
      <w:tr w14:paraId="36BC1074">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40" w:hRule="atLeast"/>
        </w:trPr>
        <w:tc>
          <w:tcPr>
            <w:tcW w:w="1343" w:type="dxa"/>
            <w:tcBorders>
              <w:top w:val="single" w:color="000000" w:sz="6" w:space="0"/>
              <w:bottom w:val="single" w:color="000000" w:sz="6" w:space="0"/>
              <w:right w:val="single" w:color="000000" w:sz="6" w:space="0"/>
            </w:tcBorders>
            <w:vAlign w:val="center"/>
          </w:tcPr>
          <w:p w14:paraId="756810DA">
            <w:pPr>
              <w:pStyle w:val="49"/>
              <w:spacing w:before="1"/>
              <w:ind w:left="345"/>
              <w:jc w:val="center"/>
              <w:rPr>
                <w:color w:val="auto"/>
                <w:sz w:val="21"/>
                <w:highlight w:val="none"/>
              </w:rPr>
            </w:pPr>
            <w:r>
              <w:rPr>
                <w:color w:val="auto"/>
                <w:sz w:val="21"/>
                <w:highlight w:val="none"/>
              </w:rPr>
              <w:t>第二章</w:t>
            </w:r>
          </w:p>
          <w:p w14:paraId="18C28F8E">
            <w:pPr>
              <w:pStyle w:val="49"/>
              <w:spacing w:before="2" w:line="253" w:lineRule="exact"/>
              <w:ind w:left="241"/>
              <w:jc w:val="center"/>
              <w:rPr>
                <w:color w:val="auto"/>
                <w:sz w:val="21"/>
                <w:highlight w:val="none"/>
              </w:rPr>
            </w:pPr>
            <w:r>
              <w:rPr>
                <w:color w:val="auto"/>
                <w:sz w:val="21"/>
                <w:highlight w:val="none"/>
              </w:rPr>
              <w:t>第 3.1 款</w:t>
            </w:r>
          </w:p>
        </w:tc>
        <w:tc>
          <w:tcPr>
            <w:tcW w:w="2580" w:type="dxa"/>
            <w:tcBorders>
              <w:top w:val="single" w:color="000000" w:sz="6" w:space="0"/>
              <w:left w:val="single" w:color="000000" w:sz="6" w:space="0"/>
              <w:bottom w:val="single" w:color="000000" w:sz="6" w:space="0"/>
              <w:right w:val="single" w:color="000000" w:sz="6" w:space="0"/>
            </w:tcBorders>
            <w:vAlign w:val="center"/>
          </w:tcPr>
          <w:p w14:paraId="1DA0497A">
            <w:pPr>
              <w:pStyle w:val="49"/>
              <w:spacing w:before="135"/>
              <w:ind w:left="110" w:right="103"/>
              <w:jc w:val="center"/>
              <w:rPr>
                <w:color w:val="auto"/>
                <w:sz w:val="21"/>
                <w:highlight w:val="none"/>
              </w:rPr>
            </w:pPr>
            <w:r>
              <w:rPr>
                <w:color w:val="auto"/>
                <w:sz w:val="21"/>
                <w:highlight w:val="none"/>
              </w:rPr>
              <w:t>供应商资格条件</w:t>
            </w:r>
          </w:p>
        </w:tc>
        <w:tc>
          <w:tcPr>
            <w:tcW w:w="5137" w:type="dxa"/>
            <w:tcBorders>
              <w:top w:val="single" w:color="000000" w:sz="6" w:space="0"/>
              <w:left w:val="single" w:color="000000" w:sz="6" w:space="0"/>
              <w:bottom w:val="single" w:color="000000" w:sz="6" w:space="0"/>
            </w:tcBorders>
          </w:tcPr>
          <w:p w14:paraId="0FA58185">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1、基本资格条件：应当符合《政府采购法》第二十二条第一款的规定，即：</w:t>
            </w:r>
          </w:p>
          <w:p w14:paraId="78D906BF">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w:t>
            </w:r>
          </w:p>
          <w:p w14:paraId="7083A30A">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w:t>
            </w:r>
          </w:p>
          <w:p w14:paraId="10EDFC83">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（3）具有履行合同所必需的设备和专业技术能力；</w:t>
            </w:r>
          </w:p>
          <w:p w14:paraId="36837E50">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（4）有依法缴纳税收和社会保障资金的良好记录；</w:t>
            </w:r>
          </w:p>
          <w:p w14:paraId="6E557477">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（5）参加政府采购活动前三年内，在经营活动中没有重大违法记录；</w:t>
            </w:r>
          </w:p>
          <w:p w14:paraId="6D5D02C3">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w:t>
            </w:r>
          </w:p>
          <w:p w14:paraId="0F09F92C">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2、落实政府采购政策需满足的资格要求：</w:t>
            </w:r>
          </w:p>
          <w:p w14:paraId="5187424C">
            <w:pPr>
              <w:adjustRightInd w:val="0"/>
              <w:snapToGrid w:val="0"/>
              <w:spacing w:line="360" w:lineRule="auto"/>
              <w:ind w:firstLine="440" w:firstLineChars="200"/>
              <w:rPr>
                <w:rFonts w:hint="eastAsia" w:ascii="宋体" w:hAnsi="宋体" w:eastAsia="宋体" w:cs="宋体"/>
                <w:color w:val="0000FF"/>
                <w:szCs w:val="21"/>
                <w:highlight w:val="none"/>
              </w:rPr>
            </w:pPr>
            <w:r>
              <w:rPr>
                <w:rFonts w:hint="eastAsia" w:ascii="宋体" w:hAnsi="宋体" w:eastAsia="宋体" w:cs="宋体"/>
                <w:color w:val="auto"/>
                <w:szCs w:val="21"/>
                <w:highlight w:val="none"/>
                <w:lang w:val="en-US" w:eastAsia="zh-CN"/>
              </w:rPr>
              <w:t>专门面向：</w:t>
            </w:r>
            <w:r>
              <w:rPr>
                <w:rFonts w:hint="eastAsia" w:ascii="宋体" w:hAnsi="宋体" w:eastAsia="宋体" w:cs="宋体"/>
                <w:color w:val="auto"/>
                <w:szCs w:val="21"/>
                <w:highlight w:val="none"/>
                <w:lang w:val="en-US" w:eastAsia="zh-CN"/>
              </w:rPr>
              <w:sym w:font="Wingdings" w:char="00FE"/>
            </w:r>
            <w:r>
              <w:rPr>
                <w:rFonts w:hint="eastAsia" w:ascii="宋体" w:hAnsi="宋体" w:eastAsia="宋体" w:cs="宋体"/>
                <w:color w:val="auto"/>
                <w:szCs w:val="21"/>
                <w:highlight w:val="none"/>
                <w:lang w:val="en-US" w:eastAsia="zh-CN"/>
              </w:rPr>
              <w:t>中小企业 </w:t>
            </w:r>
            <w:r>
              <w:rPr>
                <w:rFonts w:hint="eastAsia" w:ascii="宋体" w:hAnsi="宋体" w:eastAsia="宋体" w:cs="宋体"/>
                <w:color w:val="auto"/>
                <w:szCs w:val="21"/>
                <w:highlight w:val="none"/>
                <w:lang w:val="en-US" w:eastAsia="zh-CN"/>
              </w:rPr>
              <w:sym w:font="Wingdings" w:char="00A8"/>
            </w:r>
            <w:r>
              <w:rPr>
                <w:rFonts w:hint="eastAsia" w:ascii="宋体" w:hAnsi="宋体" w:eastAsia="宋体" w:cs="宋体"/>
                <w:color w:val="auto"/>
                <w:szCs w:val="21"/>
                <w:highlight w:val="none"/>
                <w:lang w:val="en-US" w:eastAsia="zh-CN"/>
              </w:rPr>
              <w:t>小微企业 </w:t>
            </w:r>
            <w:r>
              <w:rPr>
                <w:rFonts w:hint="eastAsia" w:ascii="宋体" w:hAnsi="宋体" w:eastAsia="宋体" w:cs="宋体"/>
                <w:color w:val="auto"/>
                <w:szCs w:val="21"/>
                <w:highlight w:val="none"/>
                <w:lang w:val="en-US" w:eastAsia="zh-CN"/>
              </w:rPr>
              <w:sym w:font="Wingdings" w:char="00A8"/>
            </w:r>
            <w:r>
              <w:rPr>
                <w:rFonts w:hint="eastAsia" w:ascii="宋体" w:hAnsi="宋体" w:eastAsia="宋体" w:cs="宋体"/>
                <w:color w:val="auto"/>
                <w:szCs w:val="21"/>
                <w:highlight w:val="none"/>
                <w:lang w:val="en-US" w:eastAsia="zh-CN"/>
              </w:rPr>
              <w:t>监狱企业 </w:t>
            </w:r>
            <w:r>
              <w:rPr>
                <w:rFonts w:hint="eastAsia" w:ascii="宋体" w:hAnsi="宋体" w:eastAsia="宋体" w:cs="宋体"/>
                <w:color w:val="auto"/>
                <w:szCs w:val="21"/>
                <w:highlight w:val="none"/>
                <w:lang w:val="en-US" w:eastAsia="zh-CN"/>
              </w:rPr>
              <w:sym w:font="Wingdings" w:char="00A8"/>
            </w:r>
            <w:r>
              <w:rPr>
                <w:rFonts w:hint="eastAsia" w:ascii="宋体" w:hAnsi="宋体" w:eastAsia="宋体" w:cs="宋体"/>
                <w:color w:val="auto"/>
                <w:szCs w:val="21"/>
                <w:highlight w:val="none"/>
                <w:lang w:val="en-US" w:eastAsia="zh-CN"/>
              </w:rPr>
              <w:t>福利性单位</w:t>
            </w:r>
          </w:p>
          <w:p w14:paraId="7C001A45">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强制分包：大型企业应将采购份额的</w:t>
            </w:r>
            <w:r>
              <w:rPr>
                <w:rFonts w:hint="eastAsia" w:ascii="宋体" w:hAnsi="宋体" w:eastAsia="宋体" w:cs="宋体"/>
                <w:color w:val="auto"/>
                <w:szCs w:val="21"/>
                <w:highlight w:val="none"/>
                <w:u w:val="single"/>
                <w:lang w:val="en-US" w:eastAsia="zh-CN"/>
              </w:rPr>
              <w:t> / </w:t>
            </w:r>
            <w:r>
              <w:rPr>
                <w:rFonts w:hint="eastAsia" w:ascii="宋体" w:hAnsi="宋体" w:eastAsia="宋体" w:cs="宋体"/>
                <w:color w:val="auto"/>
                <w:szCs w:val="21"/>
                <w:highlight w:val="none"/>
                <w:lang w:val="en-US" w:eastAsia="zh-CN"/>
              </w:rPr>
              <w:t>%分包给中小企业</w:t>
            </w:r>
          </w:p>
          <w:p w14:paraId="545643F4">
            <w:pPr>
              <w:keepNext w:val="0"/>
              <w:keepLines w:val="0"/>
              <w:widowControl/>
              <w:suppressLineNumbers w:val="0"/>
              <w:pBdr>
                <w:left w:val="none" w:color="auto" w:sz="0" w:space="0"/>
              </w:pBdr>
              <w:spacing w:before="75" w:beforeAutospacing="0" w:line="240" w:lineRule="auto"/>
              <w:ind w:left="0" w:firstLine="840"/>
              <w:jc w:val="left"/>
              <w:rPr>
                <w:color w:val="auto"/>
                <w:sz w:val="22"/>
                <w:szCs w:val="22"/>
                <w:highlight w:val="none"/>
              </w:rPr>
            </w:pPr>
            <w:r>
              <w:rPr>
                <w:rFonts w:hint="eastAsia" w:ascii="宋体" w:hAnsi="宋体"/>
                <w:iCs/>
                <w:color w:val="auto"/>
                <w:szCs w:val="21"/>
                <w:highlight w:val="none"/>
              </w:rPr>
              <w:sym w:font="Wingdings" w:char="00A8"/>
            </w:r>
            <w:r>
              <w:rPr>
                <w:rFonts w:ascii="宋体" w:hAnsi="宋体" w:eastAsia="宋体" w:cs="宋体"/>
                <w:color w:val="auto"/>
                <w:kern w:val="0"/>
                <w:sz w:val="22"/>
                <w:szCs w:val="22"/>
                <w:highlight w:val="none"/>
                <w:lang w:val="en-US" w:eastAsia="zh-CN" w:bidi="ar"/>
              </w:rPr>
              <w:t xml:space="preserve">专门面向： </w:t>
            </w:r>
            <w:r>
              <w:rPr>
                <w:rFonts w:hint="eastAsia" w:ascii="宋体" w:hAnsi="宋体"/>
                <w:iCs/>
                <w:color w:val="auto"/>
                <w:szCs w:val="21"/>
                <w:highlight w:val="none"/>
              </w:rPr>
              <w:sym w:font="Wingdings" w:char="00FE"/>
            </w:r>
            <w:r>
              <w:rPr>
                <w:rFonts w:ascii="宋体" w:hAnsi="宋体" w:eastAsia="宋体" w:cs="宋体"/>
                <w:color w:val="auto"/>
                <w:kern w:val="0"/>
                <w:sz w:val="22"/>
                <w:szCs w:val="22"/>
                <w:highlight w:val="none"/>
                <w:lang w:val="en-US" w:eastAsia="zh-CN" w:bidi="ar"/>
              </w:rPr>
              <w:t xml:space="preserve">中小企业 </w:t>
            </w:r>
            <w:r>
              <w:rPr>
                <w:rFonts w:hint="eastAsia" w:ascii="宋体" w:hAnsi="宋体"/>
                <w:iCs/>
                <w:color w:val="auto"/>
                <w:szCs w:val="21"/>
                <w:highlight w:val="none"/>
              </w:rPr>
              <w:sym w:font="Wingdings" w:char="00A8"/>
            </w:r>
            <w:r>
              <w:rPr>
                <w:rFonts w:ascii="宋体" w:hAnsi="宋体" w:eastAsia="宋体" w:cs="宋体"/>
                <w:color w:val="auto"/>
                <w:kern w:val="0"/>
                <w:sz w:val="22"/>
                <w:szCs w:val="22"/>
                <w:highlight w:val="none"/>
                <w:lang w:val="en-US" w:eastAsia="zh-CN" w:bidi="ar"/>
              </w:rPr>
              <w:t xml:space="preserve">小微企业 </w:t>
            </w:r>
            <w:r>
              <w:rPr>
                <w:rFonts w:hint="eastAsia" w:ascii="宋体" w:hAnsi="宋体"/>
                <w:iCs/>
                <w:color w:val="auto"/>
                <w:szCs w:val="21"/>
                <w:highlight w:val="none"/>
              </w:rPr>
              <w:sym w:font="Wingdings" w:char="00A8"/>
            </w:r>
            <w:r>
              <w:rPr>
                <w:rFonts w:ascii="宋体" w:hAnsi="宋体" w:eastAsia="宋体" w:cs="宋体"/>
                <w:color w:val="auto"/>
                <w:kern w:val="0"/>
                <w:sz w:val="22"/>
                <w:szCs w:val="22"/>
                <w:highlight w:val="none"/>
                <w:lang w:val="en-US" w:eastAsia="zh-CN" w:bidi="ar"/>
              </w:rPr>
              <w:t xml:space="preserve">监狱企业 </w:t>
            </w:r>
            <w:r>
              <w:rPr>
                <w:rFonts w:hint="eastAsia" w:ascii="宋体" w:hAnsi="宋体"/>
                <w:iCs/>
                <w:color w:val="auto"/>
                <w:szCs w:val="21"/>
                <w:highlight w:val="none"/>
              </w:rPr>
              <w:sym w:font="Wingdings" w:char="00A8"/>
            </w:r>
            <w:r>
              <w:rPr>
                <w:rFonts w:ascii="宋体" w:hAnsi="宋体" w:eastAsia="宋体" w:cs="宋体"/>
                <w:color w:val="auto"/>
                <w:kern w:val="0"/>
                <w:sz w:val="22"/>
                <w:szCs w:val="22"/>
                <w:highlight w:val="none"/>
                <w:lang w:val="en-US" w:eastAsia="zh-CN" w:bidi="ar"/>
              </w:rPr>
              <w:t xml:space="preserve">福利性单位 </w:t>
            </w:r>
          </w:p>
          <w:p w14:paraId="12A2215A">
            <w:pPr>
              <w:keepNext w:val="0"/>
              <w:keepLines w:val="0"/>
              <w:widowControl/>
              <w:suppressLineNumbers w:val="0"/>
              <w:pBdr>
                <w:left w:val="none" w:color="auto" w:sz="0" w:space="0"/>
              </w:pBdr>
              <w:spacing w:before="75" w:beforeAutospacing="0" w:line="240" w:lineRule="auto"/>
              <w:ind w:left="0" w:firstLine="840"/>
              <w:jc w:val="left"/>
              <w:rPr>
                <w:color w:val="auto"/>
                <w:sz w:val="22"/>
                <w:szCs w:val="22"/>
                <w:highlight w:val="none"/>
              </w:rPr>
            </w:pPr>
            <w:r>
              <w:rPr>
                <w:rFonts w:hint="eastAsia" w:ascii="宋体" w:hAnsi="宋体"/>
                <w:iCs/>
                <w:color w:val="auto"/>
                <w:szCs w:val="21"/>
                <w:highlight w:val="none"/>
              </w:rPr>
              <w:sym w:font="Wingdings" w:char="00A8"/>
            </w:r>
            <w:r>
              <w:rPr>
                <w:rFonts w:ascii="宋体" w:hAnsi="宋体" w:eastAsia="宋体" w:cs="宋体"/>
                <w:color w:val="auto"/>
                <w:kern w:val="0"/>
                <w:sz w:val="22"/>
                <w:szCs w:val="22"/>
                <w:highlight w:val="none"/>
                <w:lang w:val="en-US" w:eastAsia="zh-CN" w:bidi="ar"/>
              </w:rPr>
              <w:t>强制分包：大型企业应将采购份额的</w:t>
            </w:r>
            <w:r>
              <w:rPr>
                <w:rFonts w:ascii="宋体" w:hAnsi="宋体" w:eastAsia="宋体" w:cs="宋体"/>
                <w:color w:val="auto"/>
                <w:kern w:val="0"/>
                <w:sz w:val="22"/>
                <w:szCs w:val="22"/>
                <w:highlight w:val="none"/>
                <w:u w:val="single"/>
                <w:lang w:val="en-US" w:eastAsia="zh-CN" w:bidi="ar"/>
              </w:rPr>
              <w:t>     </w:t>
            </w:r>
            <w:r>
              <w:rPr>
                <w:rFonts w:ascii="宋体" w:hAnsi="宋体" w:eastAsia="宋体" w:cs="宋体"/>
                <w:color w:val="auto"/>
                <w:kern w:val="0"/>
                <w:sz w:val="22"/>
                <w:szCs w:val="22"/>
                <w:highlight w:val="none"/>
                <w:lang w:val="en-US" w:eastAsia="zh-CN" w:bidi="ar"/>
              </w:rPr>
              <w:t>%分包给中小企业。</w:t>
            </w:r>
          </w:p>
          <w:p w14:paraId="4F59C8DD">
            <w:pPr>
              <w:keepNext w:val="0"/>
              <w:keepLines w:val="0"/>
              <w:widowControl/>
              <w:numPr>
                <w:ilvl w:val="0"/>
                <w:numId w:val="0"/>
              </w:numPr>
              <w:suppressLineNumbers w:val="0"/>
              <w:pBdr>
                <w:left w:val="none" w:color="auto" w:sz="0" w:space="0"/>
              </w:pBdr>
              <w:spacing w:before="75" w:beforeAutospacing="0" w:line="240" w:lineRule="auto"/>
              <w:ind w:left="420" w:leftChars="0" w:right="0" w:rightChars="0"/>
              <w:jc w:val="left"/>
              <w:rPr>
                <w:rFonts w:hint="eastAsia" w:cs="宋体"/>
                <w:color w:val="auto"/>
                <w:kern w:val="0"/>
                <w:sz w:val="22"/>
                <w:szCs w:val="22"/>
                <w:highlight w:val="none"/>
                <w:lang w:val="en-US" w:eastAsia="zh-CN" w:bidi="ar"/>
              </w:rPr>
            </w:pPr>
            <w:r>
              <w:rPr>
                <w:rFonts w:hint="eastAsia" w:cs="宋体"/>
                <w:color w:val="auto"/>
                <w:kern w:val="0"/>
                <w:sz w:val="22"/>
                <w:szCs w:val="22"/>
                <w:highlight w:val="none"/>
                <w:lang w:val="en-US" w:eastAsia="zh-CN" w:bidi="ar"/>
              </w:rPr>
              <w:t>3、</w:t>
            </w:r>
            <w:r>
              <w:rPr>
                <w:rFonts w:ascii="宋体" w:hAnsi="宋体" w:eastAsia="宋体" w:cs="宋体"/>
                <w:color w:val="auto"/>
                <w:kern w:val="0"/>
                <w:sz w:val="22"/>
                <w:szCs w:val="22"/>
                <w:highlight w:val="none"/>
                <w:lang w:val="en-US" w:eastAsia="zh-CN" w:bidi="ar"/>
              </w:rPr>
              <w:t>供应商特定资格条件：</w:t>
            </w:r>
            <w:r>
              <w:rPr>
                <w:rFonts w:hint="eastAsia" w:cs="宋体"/>
                <w:color w:val="auto"/>
                <w:kern w:val="0"/>
                <w:sz w:val="22"/>
                <w:szCs w:val="22"/>
                <w:highlight w:val="none"/>
                <w:lang w:val="en-US" w:eastAsia="zh-CN" w:bidi="ar"/>
              </w:rPr>
              <w:t>无</w:t>
            </w:r>
          </w:p>
          <w:p w14:paraId="79E983D7">
            <w:pPr>
              <w:keepNext w:val="0"/>
              <w:keepLines w:val="0"/>
              <w:widowControl/>
              <w:numPr>
                <w:ilvl w:val="0"/>
                <w:numId w:val="0"/>
              </w:numPr>
              <w:suppressLineNumbers w:val="0"/>
              <w:pBdr>
                <w:left w:val="none" w:color="auto" w:sz="0" w:space="0"/>
              </w:pBdr>
              <w:spacing w:before="75" w:beforeAutospacing="0" w:line="240" w:lineRule="auto"/>
              <w:ind w:left="420" w:leftChars="0" w:right="0" w:rightChars="0"/>
              <w:jc w:val="left"/>
              <w:rPr>
                <w:rFonts w:ascii="宋体" w:hAnsi="宋体" w:eastAsia="宋体" w:cs="宋体"/>
                <w:color w:val="auto"/>
                <w:kern w:val="0"/>
                <w:sz w:val="22"/>
                <w:szCs w:val="22"/>
                <w:highlight w:val="none"/>
                <w:lang w:val="en-US" w:eastAsia="zh-CN" w:bidi="ar"/>
              </w:rPr>
            </w:pPr>
            <w:r>
              <w:rPr>
                <w:rFonts w:ascii="宋体" w:hAnsi="宋体" w:eastAsia="宋体" w:cs="宋体"/>
                <w:color w:val="auto"/>
                <w:kern w:val="0"/>
                <w:sz w:val="22"/>
                <w:szCs w:val="22"/>
                <w:highlight w:val="none"/>
                <w:lang w:val="en-US" w:eastAsia="zh-CN" w:bidi="ar"/>
              </w:rPr>
              <w:t>4、单位负责人为同一人或者存在直接控股、管理关系的不同投标人，不得参加同一合同项下的政府采购活动。</w:t>
            </w:r>
          </w:p>
          <w:p w14:paraId="7405B52B">
            <w:pPr>
              <w:keepNext w:val="0"/>
              <w:keepLines w:val="0"/>
              <w:widowControl/>
              <w:suppressLineNumbers w:val="0"/>
              <w:pBdr>
                <w:left w:val="none" w:color="auto" w:sz="0" w:space="0"/>
              </w:pBdr>
              <w:spacing w:before="75" w:beforeAutospacing="0" w:line="240" w:lineRule="auto"/>
              <w:ind w:left="0" w:firstLine="420"/>
              <w:jc w:val="left"/>
              <w:rPr>
                <w:color w:val="auto"/>
                <w:sz w:val="22"/>
                <w:szCs w:val="22"/>
                <w:highlight w:val="none"/>
              </w:rPr>
            </w:pPr>
            <w:r>
              <w:rPr>
                <w:rFonts w:ascii="宋体" w:hAnsi="宋体" w:eastAsia="宋体" w:cs="宋体"/>
                <w:color w:val="auto"/>
                <w:kern w:val="0"/>
                <w:sz w:val="22"/>
                <w:szCs w:val="22"/>
                <w:highlight w:val="none"/>
                <w:lang w:val="en-US" w:eastAsia="zh-CN" w:bidi="ar"/>
              </w:rPr>
              <w:t>5、为本采购项目提供整体设计、规范编制或者项目管理、监理、检测等服务的，不得再参加此项目的其他采购活动。</w:t>
            </w:r>
          </w:p>
          <w:p w14:paraId="7A87DCC3">
            <w:pPr>
              <w:keepNext w:val="0"/>
              <w:keepLines w:val="0"/>
              <w:widowControl/>
              <w:suppressLineNumbers w:val="0"/>
              <w:pBdr>
                <w:left w:val="none" w:color="auto" w:sz="0" w:space="0"/>
              </w:pBdr>
              <w:spacing w:before="75" w:beforeAutospacing="0" w:line="240" w:lineRule="auto"/>
              <w:ind w:left="0" w:firstLine="420"/>
              <w:jc w:val="left"/>
              <w:rPr>
                <w:color w:val="auto"/>
                <w:sz w:val="22"/>
                <w:szCs w:val="22"/>
                <w:highlight w:val="none"/>
              </w:rPr>
            </w:pPr>
            <w:r>
              <w:rPr>
                <w:rFonts w:ascii="宋体" w:hAnsi="宋体" w:eastAsia="宋体" w:cs="宋体"/>
                <w:color w:val="auto"/>
                <w:kern w:val="0"/>
                <w:sz w:val="22"/>
                <w:szCs w:val="22"/>
                <w:highlight w:val="none"/>
                <w:lang w:val="en-US" w:eastAsia="zh-CN" w:bidi="ar"/>
              </w:rPr>
              <w:t>6、列入失信被执行人、重大税收违法失信主体名单、政府采购严重违法失信行为记录名单的，拒绝其参与政府采购活动。</w:t>
            </w:r>
          </w:p>
          <w:p w14:paraId="26C4DB60">
            <w:pPr>
              <w:keepNext w:val="0"/>
              <w:keepLines w:val="0"/>
              <w:widowControl/>
              <w:suppressLineNumbers w:val="0"/>
              <w:pBdr>
                <w:left w:val="none" w:color="auto" w:sz="0" w:space="0"/>
              </w:pBdr>
              <w:spacing w:before="75" w:beforeAutospacing="0" w:line="240" w:lineRule="auto"/>
              <w:ind w:left="0" w:firstLine="420"/>
              <w:jc w:val="left"/>
              <w:rPr>
                <w:color w:val="auto"/>
                <w:sz w:val="22"/>
                <w:szCs w:val="22"/>
                <w:highlight w:val="none"/>
              </w:rPr>
            </w:pPr>
            <w:r>
              <w:rPr>
                <w:rFonts w:ascii="宋体" w:hAnsi="宋体" w:eastAsia="宋体" w:cs="宋体"/>
                <w:color w:val="auto"/>
                <w:kern w:val="0"/>
                <w:sz w:val="22"/>
                <w:szCs w:val="22"/>
                <w:highlight w:val="none"/>
                <w:lang w:val="en-US" w:eastAsia="zh-CN" w:bidi="ar"/>
              </w:rPr>
              <w:t>7、联合体投标。本次招标</w:t>
            </w:r>
            <w:r>
              <w:rPr>
                <w:rFonts w:ascii="宋体" w:hAnsi="宋体" w:eastAsia="宋体" w:cs="宋体"/>
                <w:color w:val="auto"/>
                <w:kern w:val="0"/>
                <w:sz w:val="22"/>
                <w:szCs w:val="22"/>
                <w:highlight w:val="none"/>
                <w:u w:val="single"/>
                <w:lang w:val="en-US" w:eastAsia="zh-CN" w:bidi="ar"/>
              </w:rPr>
              <w:t>不接受</w:t>
            </w:r>
            <w:r>
              <w:rPr>
                <w:rFonts w:hint="eastAsia" w:ascii="宋体" w:hAnsi="宋体" w:eastAsia="宋体" w:cs="宋体"/>
                <w:color w:val="auto"/>
                <w:kern w:val="0"/>
                <w:sz w:val="22"/>
                <w:szCs w:val="22"/>
                <w:highlight w:val="none"/>
                <w:u w:val="single"/>
                <w:lang w:val="en-US" w:eastAsia="zh-CN" w:bidi="ar"/>
              </w:rPr>
              <w:t xml:space="preserve"> </w:t>
            </w:r>
            <w:r>
              <w:rPr>
                <w:rFonts w:ascii="宋体" w:hAnsi="宋体" w:eastAsia="宋体" w:cs="宋体"/>
                <w:color w:val="auto"/>
                <w:kern w:val="0"/>
                <w:sz w:val="22"/>
                <w:szCs w:val="22"/>
                <w:highlight w:val="none"/>
                <w:lang w:val="en-US" w:eastAsia="zh-CN" w:bidi="ar"/>
              </w:rPr>
              <w:t xml:space="preserve">联合体投标。 </w:t>
            </w:r>
          </w:p>
          <w:p w14:paraId="4E633A16">
            <w:pPr>
              <w:adjustRightInd w:val="0"/>
              <w:snapToGrid w:val="0"/>
              <w:spacing w:line="360" w:lineRule="auto"/>
              <w:ind w:firstLine="440" w:firstLineChars="200"/>
              <w:rPr>
                <w:color w:val="auto"/>
                <w:highlight w:val="none"/>
              </w:rPr>
            </w:pPr>
            <w:r>
              <w:rPr>
                <w:rFonts w:hint="eastAsia" w:ascii="宋体" w:hAnsi="宋体" w:eastAsia="宋体" w:cs="宋体"/>
                <w:color w:val="auto"/>
                <w:szCs w:val="21"/>
                <w:highlight w:val="none"/>
                <w:lang w:val="en-US" w:eastAsia="zh-CN"/>
              </w:rPr>
              <w:t>注：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w:t>
            </w:r>
          </w:p>
        </w:tc>
      </w:tr>
      <w:tr w14:paraId="21E9610B">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43" w:hRule="atLeast"/>
        </w:trPr>
        <w:tc>
          <w:tcPr>
            <w:tcW w:w="1343" w:type="dxa"/>
            <w:tcBorders>
              <w:top w:val="single" w:color="000000" w:sz="6" w:space="0"/>
              <w:bottom w:val="single" w:color="000000" w:sz="6" w:space="0"/>
              <w:right w:val="single" w:color="000000" w:sz="6" w:space="0"/>
            </w:tcBorders>
          </w:tcPr>
          <w:p w14:paraId="6663E4B6">
            <w:pPr>
              <w:pStyle w:val="49"/>
              <w:ind w:left="345"/>
              <w:rPr>
                <w:color w:val="auto"/>
                <w:sz w:val="21"/>
                <w:highlight w:val="none"/>
              </w:rPr>
            </w:pPr>
            <w:r>
              <w:rPr>
                <w:color w:val="auto"/>
                <w:sz w:val="21"/>
                <w:highlight w:val="none"/>
              </w:rPr>
              <w:t>第二章</w:t>
            </w:r>
          </w:p>
          <w:p w14:paraId="54D7BB1A">
            <w:pPr>
              <w:pStyle w:val="49"/>
              <w:spacing w:before="2" w:line="253" w:lineRule="exact"/>
              <w:ind w:left="241"/>
              <w:rPr>
                <w:color w:val="auto"/>
                <w:sz w:val="21"/>
                <w:highlight w:val="none"/>
              </w:rPr>
            </w:pPr>
            <w:r>
              <w:rPr>
                <w:color w:val="auto"/>
                <w:sz w:val="21"/>
                <w:highlight w:val="none"/>
              </w:rPr>
              <w:t>第 6.1 款</w:t>
            </w:r>
          </w:p>
        </w:tc>
        <w:tc>
          <w:tcPr>
            <w:tcW w:w="2580" w:type="dxa"/>
            <w:tcBorders>
              <w:top w:val="single" w:color="000000" w:sz="6" w:space="0"/>
              <w:left w:val="single" w:color="000000" w:sz="6" w:space="0"/>
              <w:bottom w:val="single" w:color="000000" w:sz="6" w:space="0"/>
              <w:right w:val="single" w:color="000000" w:sz="6" w:space="0"/>
            </w:tcBorders>
          </w:tcPr>
          <w:p w14:paraId="00B2DCF7">
            <w:pPr>
              <w:pStyle w:val="49"/>
              <w:spacing w:before="134"/>
              <w:ind w:left="110" w:right="103"/>
              <w:jc w:val="center"/>
              <w:rPr>
                <w:color w:val="auto"/>
                <w:sz w:val="21"/>
                <w:highlight w:val="none"/>
              </w:rPr>
            </w:pPr>
            <w:r>
              <w:rPr>
                <w:color w:val="auto"/>
                <w:sz w:val="21"/>
                <w:highlight w:val="none"/>
              </w:rPr>
              <w:t>联合体形式</w:t>
            </w:r>
          </w:p>
        </w:tc>
        <w:tc>
          <w:tcPr>
            <w:tcW w:w="5137" w:type="dxa"/>
            <w:tcBorders>
              <w:top w:val="single" w:color="000000" w:sz="6" w:space="0"/>
              <w:left w:val="single" w:color="000000" w:sz="6" w:space="0"/>
              <w:bottom w:val="single" w:color="000000" w:sz="6" w:space="0"/>
            </w:tcBorders>
          </w:tcPr>
          <w:p w14:paraId="5C5AC20B">
            <w:pPr>
              <w:pStyle w:val="49"/>
              <w:numPr>
                <w:ilvl w:val="0"/>
                <w:numId w:val="4"/>
              </w:numPr>
              <w:tabs>
                <w:tab w:val="left" w:pos="421"/>
              </w:tabs>
              <w:spacing w:before="0" w:after="0" w:line="240" w:lineRule="auto"/>
              <w:ind w:left="420" w:right="0" w:hanging="317"/>
              <w:jc w:val="left"/>
              <w:rPr>
                <w:color w:val="auto"/>
                <w:sz w:val="21"/>
                <w:highlight w:val="none"/>
              </w:rPr>
            </w:pPr>
            <w:r>
              <w:rPr>
                <w:color w:val="auto"/>
                <w:sz w:val="21"/>
                <w:highlight w:val="none"/>
              </w:rPr>
              <w:t>不接受</w:t>
            </w:r>
          </w:p>
          <w:p w14:paraId="215B7936">
            <w:pPr>
              <w:pStyle w:val="49"/>
              <w:spacing w:before="2" w:line="253" w:lineRule="exact"/>
              <w:ind w:left="104"/>
              <w:rPr>
                <w:color w:val="auto"/>
                <w:sz w:val="21"/>
                <w:highlight w:val="none"/>
              </w:rPr>
            </w:pPr>
            <w:r>
              <w:rPr>
                <w:color w:val="auto"/>
                <w:sz w:val="21"/>
                <w:highlight w:val="none"/>
              </w:rPr>
              <w:t>□ 接受</w:t>
            </w:r>
          </w:p>
        </w:tc>
      </w:tr>
      <w:tr w14:paraId="665BC27D">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45" w:hRule="atLeast"/>
        </w:trPr>
        <w:tc>
          <w:tcPr>
            <w:tcW w:w="1343" w:type="dxa"/>
            <w:tcBorders>
              <w:top w:val="single" w:color="000000" w:sz="6" w:space="0"/>
              <w:bottom w:val="single" w:color="000000" w:sz="6" w:space="0"/>
              <w:right w:val="single" w:color="000000" w:sz="6" w:space="0"/>
            </w:tcBorders>
          </w:tcPr>
          <w:p w14:paraId="63F74FD1">
            <w:pPr>
              <w:pStyle w:val="49"/>
              <w:ind w:left="345"/>
              <w:rPr>
                <w:color w:val="auto"/>
                <w:sz w:val="21"/>
                <w:highlight w:val="none"/>
              </w:rPr>
            </w:pPr>
            <w:r>
              <w:rPr>
                <w:color w:val="auto"/>
                <w:sz w:val="21"/>
                <w:highlight w:val="none"/>
              </w:rPr>
              <w:t>第二章</w:t>
            </w:r>
          </w:p>
          <w:p w14:paraId="29CDA621">
            <w:pPr>
              <w:pStyle w:val="49"/>
              <w:spacing w:before="5" w:line="251" w:lineRule="exact"/>
              <w:ind w:left="241"/>
              <w:rPr>
                <w:color w:val="auto"/>
                <w:sz w:val="21"/>
                <w:highlight w:val="none"/>
              </w:rPr>
            </w:pPr>
            <w:r>
              <w:rPr>
                <w:color w:val="auto"/>
                <w:sz w:val="21"/>
                <w:highlight w:val="none"/>
              </w:rPr>
              <w:t>第 7.1 款</w:t>
            </w:r>
          </w:p>
        </w:tc>
        <w:tc>
          <w:tcPr>
            <w:tcW w:w="2580" w:type="dxa"/>
            <w:tcBorders>
              <w:top w:val="single" w:color="000000" w:sz="6" w:space="0"/>
              <w:left w:val="single" w:color="000000" w:sz="6" w:space="0"/>
              <w:bottom w:val="single" w:color="000000" w:sz="6" w:space="0"/>
              <w:right w:val="single" w:color="000000" w:sz="6" w:space="0"/>
            </w:tcBorders>
          </w:tcPr>
          <w:p w14:paraId="3B96FAB0">
            <w:pPr>
              <w:pStyle w:val="49"/>
              <w:spacing w:before="137"/>
              <w:ind w:left="110" w:right="103"/>
              <w:jc w:val="center"/>
              <w:rPr>
                <w:color w:val="auto"/>
                <w:sz w:val="21"/>
                <w:highlight w:val="none"/>
              </w:rPr>
            </w:pPr>
            <w:r>
              <w:rPr>
                <w:color w:val="auto"/>
                <w:sz w:val="21"/>
                <w:highlight w:val="none"/>
              </w:rPr>
              <w:t>现场考察</w:t>
            </w:r>
          </w:p>
        </w:tc>
        <w:tc>
          <w:tcPr>
            <w:tcW w:w="5137" w:type="dxa"/>
            <w:tcBorders>
              <w:top w:val="single" w:color="000000" w:sz="6" w:space="0"/>
              <w:left w:val="single" w:color="000000" w:sz="6" w:space="0"/>
              <w:bottom w:val="single" w:color="000000" w:sz="6" w:space="0"/>
            </w:tcBorders>
          </w:tcPr>
          <w:p w14:paraId="06F7D2ED">
            <w:pPr>
              <w:pStyle w:val="49"/>
              <w:numPr>
                <w:ilvl w:val="0"/>
                <w:numId w:val="5"/>
              </w:numPr>
              <w:tabs>
                <w:tab w:val="left" w:pos="316"/>
              </w:tabs>
              <w:spacing w:before="0" w:after="0" w:line="240" w:lineRule="auto"/>
              <w:ind w:left="315" w:right="0" w:hanging="212"/>
              <w:jc w:val="left"/>
              <w:rPr>
                <w:color w:val="auto"/>
                <w:sz w:val="21"/>
                <w:highlight w:val="none"/>
              </w:rPr>
            </w:pPr>
            <w:r>
              <w:rPr>
                <w:color w:val="auto"/>
                <w:sz w:val="21"/>
                <w:highlight w:val="none"/>
              </w:rPr>
              <w:t>采购人不组织</w:t>
            </w:r>
          </w:p>
          <w:p w14:paraId="5919A6AC">
            <w:pPr>
              <w:pStyle w:val="49"/>
              <w:spacing w:before="5" w:line="251" w:lineRule="exact"/>
              <w:ind w:left="104"/>
              <w:rPr>
                <w:color w:val="auto"/>
                <w:sz w:val="21"/>
                <w:highlight w:val="none"/>
              </w:rPr>
            </w:pPr>
            <w:r>
              <w:rPr>
                <w:color w:val="auto"/>
                <w:sz w:val="21"/>
                <w:highlight w:val="none"/>
              </w:rPr>
              <w:t>□采购人组织</w:t>
            </w:r>
          </w:p>
        </w:tc>
      </w:tr>
      <w:tr w14:paraId="0D216993">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897" w:hRule="atLeast"/>
        </w:trPr>
        <w:tc>
          <w:tcPr>
            <w:tcW w:w="1343" w:type="dxa"/>
            <w:tcBorders>
              <w:top w:val="single" w:color="000000" w:sz="6" w:space="0"/>
              <w:bottom w:val="single" w:color="000000" w:sz="6" w:space="0"/>
              <w:right w:val="single" w:color="000000" w:sz="6" w:space="0"/>
            </w:tcBorders>
          </w:tcPr>
          <w:p w14:paraId="244A1A1C">
            <w:pPr>
              <w:pStyle w:val="49"/>
              <w:spacing w:before="177" w:line="259" w:lineRule="auto"/>
              <w:ind w:left="241" w:right="238" w:firstLine="103"/>
              <w:rPr>
                <w:color w:val="auto"/>
                <w:sz w:val="21"/>
                <w:highlight w:val="none"/>
              </w:rPr>
            </w:pPr>
            <w:r>
              <w:rPr>
                <w:color w:val="auto"/>
                <w:sz w:val="21"/>
                <w:highlight w:val="none"/>
              </w:rPr>
              <w:t>第二章</w:t>
            </w:r>
            <w:r>
              <w:rPr>
                <w:color w:val="auto"/>
                <w:spacing w:val="-27"/>
                <w:sz w:val="21"/>
                <w:highlight w:val="none"/>
              </w:rPr>
              <w:t xml:space="preserve">第 </w:t>
            </w:r>
            <w:r>
              <w:rPr>
                <w:color w:val="auto"/>
                <w:sz w:val="21"/>
                <w:highlight w:val="none"/>
              </w:rPr>
              <w:t>8.1</w:t>
            </w:r>
            <w:r>
              <w:rPr>
                <w:color w:val="auto"/>
                <w:spacing w:val="-35"/>
                <w:sz w:val="21"/>
                <w:highlight w:val="none"/>
              </w:rPr>
              <w:t xml:space="preserve"> 款</w:t>
            </w:r>
          </w:p>
        </w:tc>
        <w:tc>
          <w:tcPr>
            <w:tcW w:w="2580" w:type="dxa"/>
            <w:tcBorders>
              <w:top w:val="single" w:color="000000" w:sz="6" w:space="0"/>
              <w:left w:val="single" w:color="000000" w:sz="6" w:space="0"/>
              <w:bottom w:val="single" w:color="000000" w:sz="6" w:space="0"/>
              <w:right w:val="single" w:color="000000" w:sz="6" w:space="0"/>
            </w:tcBorders>
          </w:tcPr>
          <w:p w14:paraId="7876EA95">
            <w:pPr>
              <w:pStyle w:val="49"/>
              <w:spacing w:before="158"/>
              <w:ind w:left="656"/>
              <w:rPr>
                <w:color w:val="auto"/>
                <w:sz w:val="21"/>
                <w:highlight w:val="none"/>
              </w:rPr>
            </w:pPr>
            <w:r>
              <w:rPr>
                <w:color w:val="auto"/>
                <w:sz w:val="21"/>
                <w:highlight w:val="none"/>
              </w:rPr>
              <w:t>采购进口产品</w:t>
            </w:r>
          </w:p>
          <w:p w14:paraId="225669DA">
            <w:pPr>
              <w:pStyle w:val="49"/>
              <w:spacing w:before="43"/>
              <w:ind w:left="552"/>
              <w:rPr>
                <w:color w:val="auto"/>
                <w:sz w:val="21"/>
                <w:highlight w:val="none"/>
              </w:rPr>
            </w:pPr>
            <w:r>
              <w:rPr>
                <w:color w:val="auto"/>
                <w:sz w:val="21"/>
                <w:highlight w:val="none"/>
              </w:rPr>
              <w:t>（或国外服务）</w:t>
            </w:r>
          </w:p>
        </w:tc>
        <w:tc>
          <w:tcPr>
            <w:tcW w:w="5137" w:type="dxa"/>
            <w:tcBorders>
              <w:top w:val="single" w:color="000000" w:sz="6" w:space="0"/>
              <w:left w:val="single" w:color="000000" w:sz="6" w:space="0"/>
              <w:bottom w:val="single" w:color="000000" w:sz="6" w:space="0"/>
            </w:tcBorders>
          </w:tcPr>
          <w:p w14:paraId="098D4B30">
            <w:pPr>
              <w:pStyle w:val="49"/>
              <w:numPr>
                <w:ilvl w:val="0"/>
                <w:numId w:val="6"/>
              </w:numPr>
              <w:tabs>
                <w:tab w:val="left" w:pos="316"/>
              </w:tabs>
              <w:spacing w:before="2" w:after="0" w:line="240" w:lineRule="auto"/>
              <w:ind w:left="315" w:right="0" w:hanging="212"/>
              <w:jc w:val="left"/>
              <w:rPr>
                <w:color w:val="auto"/>
                <w:sz w:val="21"/>
                <w:highlight w:val="none"/>
              </w:rPr>
            </w:pPr>
            <w:r>
              <w:rPr>
                <w:color w:val="auto"/>
                <w:sz w:val="21"/>
                <w:highlight w:val="none"/>
              </w:rPr>
              <w:t>本项目拒绝采购进口产品（或国外服务）</w:t>
            </w:r>
          </w:p>
          <w:p w14:paraId="7E233EDB">
            <w:pPr>
              <w:pStyle w:val="49"/>
              <w:spacing w:before="21"/>
              <w:ind w:left="104"/>
              <w:rPr>
                <w:color w:val="auto"/>
                <w:sz w:val="21"/>
                <w:highlight w:val="none"/>
              </w:rPr>
            </w:pPr>
            <w:r>
              <w:rPr>
                <w:color w:val="auto"/>
                <w:sz w:val="21"/>
                <w:highlight w:val="none"/>
              </w:rPr>
              <w:t>□本项目已经财政部门审核同意购买进口产品（或国</w:t>
            </w:r>
          </w:p>
          <w:p w14:paraId="71808CF6">
            <w:pPr>
              <w:pStyle w:val="49"/>
              <w:spacing w:before="43"/>
              <w:ind w:left="104"/>
              <w:rPr>
                <w:color w:val="auto"/>
                <w:sz w:val="21"/>
                <w:highlight w:val="none"/>
              </w:rPr>
            </w:pPr>
            <w:r>
              <w:rPr>
                <w:color w:val="auto"/>
                <w:sz w:val="21"/>
                <w:highlight w:val="none"/>
              </w:rPr>
              <w:t>外服务）</w:t>
            </w:r>
          </w:p>
        </w:tc>
      </w:tr>
      <w:tr w14:paraId="182445C5">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856" w:hRule="atLeast"/>
        </w:trPr>
        <w:tc>
          <w:tcPr>
            <w:tcW w:w="1343" w:type="dxa"/>
            <w:tcBorders>
              <w:top w:val="single" w:color="000000" w:sz="6" w:space="0"/>
              <w:bottom w:val="single" w:color="000000" w:sz="6" w:space="0"/>
              <w:right w:val="single" w:color="000000" w:sz="6" w:space="0"/>
            </w:tcBorders>
          </w:tcPr>
          <w:p w14:paraId="33E65F66">
            <w:pPr>
              <w:pStyle w:val="49"/>
              <w:spacing w:before="155" w:line="261" w:lineRule="auto"/>
              <w:ind w:left="241" w:right="238" w:firstLine="103"/>
              <w:rPr>
                <w:color w:val="auto"/>
                <w:sz w:val="21"/>
                <w:highlight w:val="none"/>
              </w:rPr>
            </w:pPr>
            <w:r>
              <w:rPr>
                <w:color w:val="auto"/>
                <w:sz w:val="21"/>
                <w:highlight w:val="none"/>
              </w:rPr>
              <w:t>第二章</w:t>
            </w:r>
            <w:r>
              <w:rPr>
                <w:color w:val="auto"/>
                <w:spacing w:val="-27"/>
                <w:sz w:val="21"/>
                <w:highlight w:val="none"/>
              </w:rPr>
              <w:t xml:space="preserve">第 </w:t>
            </w:r>
            <w:r>
              <w:rPr>
                <w:color w:val="auto"/>
                <w:sz w:val="21"/>
                <w:highlight w:val="none"/>
              </w:rPr>
              <w:t>9.1</w:t>
            </w:r>
            <w:r>
              <w:rPr>
                <w:color w:val="auto"/>
                <w:spacing w:val="-35"/>
                <w:sz w:val="21"/>
                <w:highlight w:val="none"/>
              </w:rPr>
              <w:t xml:space="preserve"> 款</w:t>
            </w:r>
          </w:p>
        </w:tc>
        <w:tc>
          <w:tcPr>
            <w:tcW w:w="2580" w:type="dxa"/>
            <w:tcBorders>
              <w:top w:val="single" w:color="000000" w:sz="6" w:space="0"/>
              <w:left w:val="single" w:color="000000" w:sz="6" w:space="0"/>
              <w:bottom w:val="single" w:color="000000" w:sz="6" w:space="0"/>
              <w:right w:val="single" w:color="000000" w:sz="6" w:space="0"/>
            </w:tcBorders>
          </w:tcPr>
          <w:p w14:paraId="698224FA">
            <w:pPr>
              <w:pStyle w:val="49"/>
              <w:spacing w:before="21"/>
              <w:ind w:left="104"/>
              <w:rPr>
                <w:color w:val="auto"/>
                <w:sz w:val="21"/>
                <w:highlight w:val="none"/>
              </w:rPr>
            </w:pPr>
            <w:r>
              <w:rPr>
                <w:color w:val="auto"/>
                <w:sz w:val="21"/>
                <w:highlight w:val="none"/>
              </w:rPr>
              <w:t>政府采购强制采购：</w:t>
            </w:r>
          </w:p>
          <w:p w14:paraId="0CEF8C39">
            <w:pPr>
              <w:pStyle w:val="49"/>
              <w:spacing w:before="21"/>
              <w:ind w:left="104"/>
              <w:rPr>
                <w:color w:val="auto"/>
                <w:sz w:val="21"/>
                <w:highlight w:val="none"/>
              </w:rPr>
            </w:pPr>
            <w:r>
              <w:rPr>
                <w:color w:val="auto"/>
                <w:sz w:val="21"/>
                <w:highlight w:val="none"/>
              </w:rPr>
              <w:t>1、强制采购的节能产品；</w:t>
            </w:r>
          </w:p>
          <w:p w14:paraId="1FF6AF2F">
            <w:pPr>
              <w:pStyle w:val="49"/>
              <w:spacing w:before="5" w:line="251" w:lineRule="exact"/>
              <w:ind w:left="104"/>
              <w:rPr>
                <w:color w:val="auto"/>
                <w:sz w:val="21"/>
                <w:highlight w:val="none"/>
              </w:rPr>
            </w:pPr>
            <w:r>
              <w:rPr>
                <w:color w:val="auto"/>
                <w:sz w:val="21"/>
                <w:highlight w:val="none"/>
              </w:rPr>
              <w:t>2、其他。</w:t>
            </w:r>
          </w:p>
        </w:tc>
        <w:tc>
          <w:tcPr>
            <w:tcW w:w="5137" w:type="dxa"/>
            <w:tcBorders>
              <w:top w:val="single" w:color="000000" w:sz="6" w:space="0"/>
              <w:left w:val="single" w:color="000000" w:sz="6" w:space="0"/>
              <w:bottom w:val="single" w:color="000000" w:sz="6" w:space="0"/>
            </w:tcBorders>
          </w:tcPr>
          <w:p w14:paraId="59412EFE">
            <w:pPr>
              <w:pStyle w:val="49"/>
              <w:spacing w:before="21"/>
              <w:ind w:left="104"/>
              <w:rPr>
                <w:rFonts w:ascii="宋体" w:hAnsi="宋体" w:eastAsia="宋体" w:cs="宋体"/>
                <w:color w:val="auto"/>
                <w:sz w:val="21"/>
                <w:highlight w:val="none"/>
              </w:rPr>
            </w:pPr>
            <w:r>
              <w:rPr>
                <w:rFonts w:hint="eastAsia" w:ascii="幼圆" w:hAnsi="幼圆" w:eastAsia="幼圆" w:cs="幼圆"/>
                <w:color w:val="auto"/>
                <w:sz w:val="21"/>
                <w:highlight w:val="none"/>
              </w:rPr>
              <w:t>■</w:t>
            </w:r>
            <w:r>
              <w:rPr>
                <w:color w:val="auto"/>
                <w:spacing w:val="-4"/>
                <w:sz w:val="21"/>
                <w:highlight w:val="none"/>
              </w:rPr>
              <w:t xml:space="preserve"> </w:t>
            </w:r>
            <w:r>
              <w:rPr>
                <w:rFonts w:ascii="宋体" w:hAnsi="宋体" w:eastAsia="宋体" w:cs="宋体"/>
                <w:color w:val="auto"/>
                <w:sz w:val="21"/>
                <w:highlight w:val="none"/>
              </w:rPr>
              <w:t>否</w:t>
            </w:r>
          </w:p>
          <w:p w14:paraId="3E3C6DCB">
            <w:pPr>
              <w:pStyle w:val="49"/>
              <w:tabs>
                <w:tab w:val="left" w:pos="4395"/>
              </w:tabs>
              <w:spacing w:before="20" w:line="270" w:lineRule="atLeast"/>
              <w:ind w:left="104" w:right="88"/>
              <w:rPr>
                <w:color w:val="auto"/>
                <w:sz w:val="21"/>
                <w:highlight w:val="none"/>
              </w:rPr>
            </w:pPr>
            <w:r>
              <w:rPr>
                <w:color w:val="auto"/>
                <w:sz w:val="21"/>
                <w:highlight w:val="none"/>
              </w:rPr>
              <w:t>□是</w:t>
            </w:r>
            <w:r>
              <w:rPr>
                <w:color w:val="auto"/>
                <w:spacing w:val="-39"/>
                <w:sz w:val="21"/>
                <w:highlight w:val="none"/>
              </w:rPr>
              <w:t>，</w:t>
            </w:r>
            <w:r>
              <w:rPr>
                <w:color w:val="auto"/>
                <w:sz w:val="21"/>
                <w:highlight w:val="none"/>
              </w:rPr>
              <w:t>采</w:t>
            </w:r>
            <w:r>
              <w:rPr>
                <w:color w:val="auto"/>
                <w:spacing w:val="-39"/>
                <w:sz w:val="21"/>
                <w:highlight w:val="none"/>
              </w:rPr>
              <w:t>购</w:t>
            </w:r>
            <w:r>
              <w:rPr>
                <w:color w:val="auto"/>
                <w:sz w:val="21"/>
                <w:highlight w:val="none"/>
              </w:rPr>
              <w:t>《</w:t>
            </w:r>
            <w:r>
              <w:rPr>
                <w:rFonts w:hint="eastAsia"/>
                <w:color w:val="auto"/>
                <w:sz w:val="21"/>
                <w:highlight w:val="none"/>
              </w:rPr>
              <w:t>节能产品政府采购品目清单</w:t>
            </w:r>
            <w:r>
              <w:rPr>
                <w:color w:val="auto"/>
                <w:spacing w:val="-39"/>
                <w:sz w:val="21"/>
                <w:highlight w:val="none"/>
              </w:rPr>
              <w:t>》</w:t>
            </w:r>
            <w:r>
              <w:rPr>
                <w:color w:val="auto"/>
                <w:spacing w:val="-2"/>
                <w:sz w:val="21"/>
                <w:highlight w:val="none"/>
              </w:rPr>
              <w:t xml:space="preserve"> </w:t>
            </w:r>
            <w:r>
              <w:rPr>
                <w:color w:val="auto"/>
                <w:spacing w:val="-17"/>
                <w:sz w:val="21"/>
                <w:highlight w:val="none"/>
              </w:rPr>
              <w:t>内</w:t>
            </w:r>
            <w:r>
              <w:rPr>
                <w:color w:val="auto"/>
                <w:sz w:val="21"/>
                <w:highlight w:val="none"/>
              </w:rPr>
              <w:t>标记★符号的节能产品。</w:t>
            </w:r>
          </w:p>
        </w:tc>
      </w:tr>
      <w:tr w14:paraId="3DC0796B">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46" w:hRule="atLeast"/>
        </w:trPr>
        <w:tc>
          <w:tcPr>
            <w:tcW w:w="1343" w:type="dxa"/>
            <w:tcBorders>
              <w:top w:val="single" w:color="000000" w:sz="6" w:space="0"/>
              <w:bottom w:val="single" w:color="000000" w:sz="6" w:space="0"/>
              <w:right w:val="single" w:color="000000" w:sz="6" w:space="0"/>
            </w:tcBorders>
            <w:vAlign w:val="center"/>
          </w:tcPr>
          <w:p w14:paraId="13C12BE6">
            <w:pPr>
              <w:pStyle w:val="49"/>
              <w:spacing w:before="154" w:line="259" w:lineRule="auto"/>
              <w:ind w:left="241" w:right="238" w:firstLine="103"/>
              <w:jc w:val="center"/>
              <w:rPr>
                <w:color w:val="auto"/>
                <w:sz w:val="21"/>
                <w:highlight w:val="none"/>
              </w:rPr>
            </w:pPr>
            <w:r>
              <w:rPr>
                <w:color w:val="auto"/>
                <w:sz w:val="21"/>
                <w:highlight w:val="none"/>
              </w:rPr>
              <w:t>第二章</w:t>
            </w:r>
            <w:r>
              <w:rPr>
                <w:color w:val="auto"/>
                <w:spacing w:val="-27"/>
                <w:sz w:val="21"/>
                <w:highlight w:val="none"/>
              </w:rPr>
              <w:t xml:space="preserve">第 </w:t>
            </w:r>
            <w:r>
              <w:rPr>
                <w:color w:val="auto"/>
                <w:sz w:val="21"/>
                <w:highlight w:val="none"/>
              </w:rPr>
              <w:t>9.2</w:t>
            </w:r>
            <w:r>
              <w:rPr>
                <w:color w:val="auto"/>
                <w:spacing w:val="-35"/>
                <w:sz w:val="21"/>
                <w:highlight w:val="none"/>
              </w:rPr>
              <w:t xml:space="preserve"> 款</w:t>
            </w:r>
          </w:p>
        </w:tc>
        <w:tc>
          <w:tcPr>
            <w:tcW w:w="2580" w:type="dxa"/>
            <w:tcBorders>
              <w:top w:val="single" w:color="000000" w:sz="6" w:space="0"/>
              <w:left w:val="single" w:color="000000" w:sz="6" w:space="0"/>
              <w:bottom w:val="single" w:color="000000" w:sz="6" w:space="0"/>
              <w:right w:val="single" w:color="000000" w:sz="6" w:space="0"/>
            </w:tcBorders>
            <w:vAlign w:val="center"/>
          </w:tcPr>
          <w:p w14:paraId="1C9B8732">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政府采购优先采购：</w:t>
            </w:r>
          </w:p>
          <w:p w14:paraId="2353C365">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1、非强制采购的节能产品；</w:t>
            </w:r>
          </w:p>
          <w:p w14:paraId="12319D14">
            <w:pPr>
              <w:adjustRightInd w:val="0"/>
              <w:snapToGrid w:val="0"/>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2、环境标志产品；</w:t>
            </w:r>
          </w:p>
          <w:p w14:paraId="3D8F0FF5">
            <w:pPr>
              <w:adjustRightInd w:val="0"/>
              <w:snapToGrid w:val="0"/>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3、两型产品；</w:t>
            </w:r>
          </w:p>
          <w:p w14:paraId="763738BB">
            <w:pPr>
              <w:adjustRightInd w:val="0"/>
              <w:snapToGrid w:val="0"/>
              <w:spacing w:line="360" w:lineRule="auto"/>
              <w:jc w:val="both"/>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bCs/>
                <w:color w:val="auto"/>
                <w:kern w:val="0"/>
                <w:szCs w:val="21"/>
                <w:highlight w:val="none"/>
              </w:rPr>
              <w:t>支持</w:t>
            </w:r>
            <w:r>
              <w:rPr>
                <w:rFonts w:hint="eastAsia" w:ascii="宋体" w:hAnsi="宋体" w:cs="宋体"/>
                <w:color w:val="auto"/>
                <w:szCs w:val="21"/>
                <w:highlight w:val="none"/>
              </w:rPr>
              <w:t>中小企业发展；</w:t>
            </w:r>
          </w:p>
          <w:p w14:paraId="6E338DE2">
            <w:pPr>
              <w:pStyle w:val="49"/>
              <w:spacing w:before="2"/>
              <w:jc w:val="both"/>
              <w:rPr>
                <w:color w:val="auto"/>
                <w:sz w:val="21"/>
                <w:highlight w:val="none"/>
              </w:rPr>
            </w:pPr>
            <w:r>
              <w:rPr>
                <w:rFonts w:hint="eastAsia" w:ascii="宋体" w:hAnsi="宋体" w:cs="宋体"/>
                <w:color w:val="auto"/>
                <w:szCs w:val="21"/>
                <w:highlight w:val="none"/>
              </w:rPr>
              <w:t>5、其他。</w:t>
            </w:r>
          </w:p>
        </w:tc>
        <w:tc>
          <w:tcPr>
            <w:tcW w:w="5137" w:type="dxa"/>
            <w:tcBorders>
              <w:top w:val="single" w:color="000000" w:sz="6" w:space="0"/>
              <w:left w:val="single" w:color="000000" w:sz="6" w:space="0"/>
              <w:bottom w:val="single" w:color="000000" w:sz="6" w:space="0"/>
            </w:tcBorders>
            <w:vAlign w:val="center"/>
          </w:tcPr>
          <w:p w14:paraId="7DC5000F">
            <w:pPr>
              <w:pStyle w:val="49"/>
              <w:spacing w:before="135"/>
              <w:ind w:left="104"/>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1、采购产品为《节能产品政府采购</w:t>
            </w:r>
            <w:r>
              <w:rPr>
                <w:rFonts w:hint="eastAsia"/>
                <w:color w:val="auto"/>
                <w:sz w:val="21"/>
                <w:highlight w:val="none"/>
              </w:rPr>
              <w:t>品目</w:t>
            </w:r>
            <w:r>
              <w:rPr>
                <w:rFonts w:hint="eastAsia" w:ascii="宋体" w:hAnsi="宋体" w:eastAsia="宋体" w:cs="宋体"/>
                <w:color w:val="auto"/>
                <w:szCs w:val="21"/>
                <w:highlight w:val="none"/>
              </w:rPr>
              <w:t xml:space="preserve">清单》(最新一期)内非标记★符号的，分别给予技术和价格项标准总分值4%-8%的加分。本项目具体加分比例分别为 ：技术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4 </w:t>
            </w:r>
            <w:r>
              <w:rPr>
                <w:rFonts w:hint="eastAsia" w:ascii="宋体" w:hAnsi="宋体" w:eastAsia="宋体" w:cs="宋体"/>
                <w:color w:val="auto"/>
                <w:szCs w:val="21"/>
                <w:highlight w:val="none"/>
              </w:rPr>
              <w:t>%、价格</w:t>
            </w:r>
            <w:r>
              <w:rPr>
                <w:rFonts w:hint="eastAsia" w:ascii="宋体" w:hAnsi="宋体" w:eastAsia="宋体" w:cs="宋体"/>
                <w:color w:val="auto"/>
                <w:szCs w:val="21"/>
                <w:highlight w:val="none"/>
                <w:u w:val="single"/>
              </w:rPr>
              <w:t xml:space="preserve"> 4 </w:t>
            </w:r>
            <w:r>
              <w:rPr>
                <w:rFonts w:hint="eastAsia" w:ascii="宋体" w:hAnsi="宋体" w:eastAsia="宋体" w:cs="宋体"/>
                <w:color w:val="auto"/>
                <w:szCs w:val="21"/>
                <w:highlight w:val="none"/>
              </w:rPr>
              <w:t>%。</w:t>
            </w:r>
          </w:p>
          <w:p w14:paraId="40D2E5D0">
            <w:pPr>
              <w:pStyle w:val="49"/>
              <w:spacing w:before="135"/>
              <w:ind w:left="104"/>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2、采购产品为《环境标志产品政府采购清单》(最新一期)内的，分别给予技术和价格项标准总分值4%-8%的加分。本项目具体加分比例分别为 ：技术</w:t>
            </w:r>
            <w:r>
              <w:rPr>
                <w:rFonts w:hint="eastAsia" w:ascii="宋体" w:hAnsi="宋体" w:eastAsia="宋体" w:cs="宋体"/>
                <w:color w:val="auto"/>
                <w:szCs w:val="21"/>
                <w:highlight w:val="none"/>
                <w:u w:val="single"/>
              </w:rPr>
              <w:t xml:space="preserve"> 4 </w:t>
            </w:r>
            <w:r>
              <w:rPr>
                <w:rFonts w:hint="eastAsia" w:ascii="宋体" w:hAnsi="宋体" w:eastAsia="宋体" w:cs="宋体"/>
                <w:color w:val="auto"/>
                <w:szCs w:val="21"/>
                <w:highlight w:val="none"/>
              </w:rPr>
              <w:t>%、价格</w:t>
            </w:r>
            <w:r>
              <w:rPr>
                <w:rFonts w:hint="eastAsia" w:ascii="宋体" w:hAnsi="宋体" w:eastAsia="宋体" w:cs="宋体"/>
                <w:color w:val="auto"/>
                <w:szCs w:val="21"/>
                <w:highlight w:val="none"/>
                <w:u w:val="single"/>
              </w:rPr>
              <w:t xml:space="preserve"> 4 </w:t>
            </w:r>
            <w:r>
              <w:rPr>
                <w:rFonts w:hint="eastAsia" w:ascii="宋体" w:hAnsi="宋体" w:eastAsia="宋体" w:cs="宋体"/>
                <w:color w:val="auto"/>
                <w:szCs w:val="21"/>
                <w:highlight w:val="none"/>
              </w:rPr>
              <w:t>%。</w:t>
            </w:r>
          </w:p>
          <w:p w14:paraId="0654F049">
            <w:pPr>
              <w:pStyle w:val="49"/>
              <w:spacing w:before="135"/>
              <w:ind w:left="104"/>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3、采购产品为《政府采购两型产品目录》内的：</w:t>
            </w:r>
          </w:p>
          <w:p w14:paraId="16C6C2F7">
            <w:pPr>
              <w:pStyle w:val="49"/>
              <w:spacing w:before="135"/>
              <w:ind w:left="104"/>
              <w:rPr>
                <w:rFonts w:hint="eastAsia" w:ascii="宋体" w:hAnsi="宋体" w:eastAsia="宋体" w:cs="宋体"/>
                <w:color w:val="auto"/>
                <w:szCs w:val="21"/>
                <w:highlight w:val="none"/>
              </w:rPr>
            </w:pPr>
            <w:r>
              <w:rPr>
                <w:rFonts w:hint="eastAsia" w:ascii="宋体" w:hAnsi="宋体" w:eastAsia="宋体" w:cs="宋体"/>
                <w:color w:val="auto"/>
                <w:szCs w:val="21"/>
                <w:highlight w:val="none"/>
              </w:rPr>
              <w:t>（1）分别给予技术和价格项标准总分值4%-8%的加分，本项目具体加分比例分别为 ：技术</w:t>
            </w:r>
            <w:r>
              <w:rPr>
                <w:rFonts w:hint="eastAsia" w:ascii="宋体" w:hAnsi="宋体" w:eastAsia="宋体" w:cs="宋体"/>
                <w:color w:val="auto"/>
                <w:szCs w:val="21"/>
                <w:highlight w:val="none"/>
                <w:u w:val="single"/>
              </w:rPr>
              <w:t xml:space="preserve"> 4 </w:t>
            </w:r>
            <w:r>
              <w:rPr>
                <w:rFonts w:hint="eastAsia" w:ascii="宋体" w:hAnsi="宋体" w:eastAsia="宋体" w:cs="宋体"/>
                <w:color w:val="auto"/>
                <w:szCs w:val="21"/>
                <w:highlight w:val="none"/>
              </w:rPr>
              <w:t>%、价格</w:t>
            </w:r>
            <w:r>
              <w:rPr>
                <w:rFonts w:hint="eastAsia" w:ascii="宋体" w:hAnsi="宋体" w:eastAsia="宋体" w:cs="宋体"/>
                <w:color w:val="auto"/>
                <w:szCs w:val="21"/>
                <w:highlight w:val="none"/>
                <w:u w:val="single"/>
              </w:rPr>
              <w:t xml:space="preserve"> 4 </w:t>
            </w:r>
            <w:r>
              <w:rPr>
                <w:rFonts w:hint="eastAsia" w:ascii="宋体" w:hAnsi="宋体" w:eastAsia="宋体" w:cs="宋体"/>
                <w:color w:val="auto"/>
                <w:szCs w:val="21"/>
                <w:highlight w:val="none"/>
              </w:rPr>
              <w:t>%。</w:t>
            </w:r>
          </w:p>
          <w:p w14:paraId="6C15C4D3">
            <w:pPr>
              <w:pStyle w:val="49"/>
              <w:spacing w:before="135"/>
              <w:ind w:left="104"/>
              <w:rPr>
                <w:rFonts w:hint="eastAsia" w:ascii="宋体" w:hAnsi="宋体" w:eastAsia="宋体" w:cs="宋体"/>
                <w:color w:val="auto"/>
                <w:szCs w:val="21"/>
                <w:highlight w:val="none"/>
              </w:rPr>
            </w:pPr>
            <w:r>
              <w:rPr>
                <w:rFonts w:hint="eastAsia" w:ascii="宋体" w:hAnsi="宋体" w:eastAsia="宋体" w:cs="宋体"/>
                <w:color w:val="auto"/>
                <w:szCs w:val="21"/>
                <w:highlight w:val="none"/>
              </w:rPr>
              <w:t>（2）对在本地设有生产基地和备品备件库、有售后服务机构和网点的两型产品，给予商务评标总分值4%-8%的加分，本项目具体加分比例为</w:t>
            </w:r>
            <w:r>
              <w:rPr>
                <w:rFonts w:hint="eastAsia" w:ascii="宋体" w:hAnsi="宋体" w:eastAsia="宋体" w:cs="宋体"/>
                <w:color w:val="auto"/>
                <w:szCs w:val="21"/>
                <w:highlight w:val="none"/>
                <w:u w:val="single"/>
              </w:rPr>
              <w:t xml:space="preserve"> </w:t>
            </w:r>
            <w:r>
              <w:rPr>
                <w:rFonts w:hint="eastAsia" w:cs="宋体"/>
                <w:color w:val="auto"/>
                <w:szCs w:val="21"/>
                <w:highlight w:val="none"/>
                <w:u w:val="single"/>
                <w:lang w:val="en-US" w:eastAsia="zh-CN"/>
              </w:rPr>
              <w:t>4</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E5D3DDD">
            <w:pPr>
              <w:pStyle w:val="49"/>
              <w:spacing w:before="135"/>
              <w:ind w:left="104"/>
              <w:rPr>
                <w:rFonts w:hint="eastAsia" w:ascii="宋体" w:hAnsi="宋体" w:eastAsia="宋体" w:cs="宋体"/>
                <w:color w:val="auto"/>
                <w:szCs w:val="21"/>
                <w:highlight w:val="none"/>
              </w:rPr>
            </w:pPr>
            <w:r>
              <w:rPr>
                <w:rFonts w:hint="eastAsia" w:ascii="宋体" w:hAnsi="宋体" w:eastAsia="宋体" w:cs="宋体"/>
                <w:color w:val="auto"/>
                <w:szCs w:val="21"/>
                <w:highlight w:val="none"/>
              </w:rPr>
              <w:t>4、残疾人福利性单位的，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01EAC09D">
            <w:pPr>
              <w:pStyle w:val="49"/>
              <w:spacing w:before="135"/>
              <w:ind w:left="104"/>
              <w:rPr>
                <w:rFonts w:hint="eastAsia"/>
                <w:color w:val="auto"/>
                <w:sz w:val="21"/>
                <w:highlight w:val="none"/>
                <w:lang w:val="en-US" w:eastAsia="zh-CN"/>
              </w:rPr>
            </w:pPr>
            <w:r>
              <w:rPr>
                <w:rFonts w:hint="eastAsia" w:ascii="宋体" w:hAnsi="宋体" w:eastAsia="宋体" w:cs="宋体"/>
                <w:color w:val="auto"/>
                <w:szCs w:val="21"/>
                <w:highlight w:val="none"/>
              </w:rPr>
              <w:t>5、监狱企业的，在政府采购活动中，监狱企业视同小型、微型企业，享受预留份额、评审中价格扣除等政府采购促进中小企业发展的政府采购政策。向监狱企业采购的金额，计入面向中小企业采购的统计数据。</w:t>
            </w:r>
          </w:p>
        </w:tc>
      </w:tr>
      <w:tr w14:paraId="75EE7CF2">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83" w:hRule="atLeast"/>
        </w:trPr>
        <w:tc>
          <w:tcPr>
            <w:tcW w:w="1343" w:type="dxa"/>
            <w:tcBorders>
              <w:top w:val="single" w:color="000000" w:sz="6" w:space="0"/>
              <w:bottom w:val="single" w:color="000000" w:sz="6" w:space="0"/>
              <w:right w:val="single" w:color="000000" w:sz="6" w:space="0"/>
            </w:tcBorders>
          </w:tcPr>
          <w:p w14:paraId="7D79EBBD">
            <w:pPr>
              <w:pStyle w:val="49"/>
              <w:spacing w:before="19"/>
              <w:ind w:left="345"/>
              <w:rPr>
                <w:color w:val="auto"/>
                <w:sz w:val="21"/>
                <w:highlight w:val="none"/>
              </w:rPr>
            </w:pPr>
            <w:r>
              <w:rPr>
                <w:color w:val="auto"/>
                <w:sz w:val="21"/>
                <w:highlight w:val="none"/>
              </w:rPr>
              <w:t>第二章</w:t>
            </w:r>
          </w:p>
          <w:p w14:paraId="2E00DDDD">
            <w:pPr>
              <w:pStyle w:val="49"/>
              <w:spacing w:before="24" w:line="252" w:lineRule="exact"/>
              <w:ind w:left="241"/>
              <w:rPr>
                <w:color w:val="auto"/>
                <w:sz w:val="21"/>
                <w:highlight w:val="none"/>
              </w:rPr>
            </w:pPr>
            <w:r>
              <w:rPr>
                <w:color w:val="auto"/>
                <w:sz w:val="21"/>
                <w:highlight w:val="none"/>
              </w:rPr>
              <w:t>第 9.6 款</w:t>
            </w:r>
          </w:p>
        </w:tc>
        <w:tc>
          <w:tcPr>
            <w:tcW w:w="2580" w:type="dxa"/>
            <w:tcBorders>
              <w:top w:val="single" w:color="000000" w:sz="6" w:space="0"/>
              <w:left w:val="single" w:color="000000" w:sz="6" w:space="0"/>
              <w:bottom w:val="single" w:color="000000" w:sz="6" w:space="0"/>
              <w:right w:val="single" w:color="000000" w:sz="6" w:space="0"/>
            </w:tcBorders>
          </w:tcPr>
          <w:p w14:paraId="302B9223">
            <w:pPr>
              <w:pStyle w:val="49"/>
              <w:spacing w:before="156"/>
              <w:ind w:left="112" w:right="103"/>
              <w:jc w:val="center"/>
              <w:rPr>
                <w:color w:val="auto"/>
                <w:sz w:val="21"/>
                <w:highlight w:val="none"/>
              </w:rPr>
            </w:pPr>
            <w:r>
              <w:rPr>
                <w:color w:val="auto"/>
                <w:sz w:val="21"/>
                <w:highlight w:val="none"/>
              </w:rPr>
              <w:t>中小企业融资、信用担保</w:t>
            </w:r>
          </w:p>
        </w:tc>
        <w:tc>
          <w:tcPr>
            <w:tcW w:w="5137" w:type="dxa"/>
            <w:tcBorders>
              <w:top w:val="single" w:color="000000" w:sz="6" w:space="0"/>
              <w:left w:val="single" w:color="000000" w:sz="6" w:space="0"/>
              <w:bottom w:val="single" w:color="000000" w:sz="6" w:space="0"/>
            </w:tcBorders>
          </w:tcPr>
          <w:p w14:paraId="1CD1AA8A">
            <w:pPr>
              <w:pStyle w:val="49"/>
              <w:spacing w:line="242" w:lineRule="auto"/>
              <w:ind w:left="104" w:right="88"/>
              <w:rPr>
                <w:color w:val="auto"/>
                <w:sz w:val="21"/>
                <w:highlight w:val="none"/>
              </w:rPr>
            </w:pPr>
            <w:r>
              <w:rPr>
                <w:rFonts w:ascii="宋体" w:hAnsi="宋体" w:eastAsia="宋体" w:cs="宋体"/>
                <w:color w:val="auto"/>
                <w:sz w:val="21"/>
                <w:highlight w:val="none"/>
              </w:rPr>
              <w:t>有融资、信用担保需求的，可登陆中国湖南政府采购 网查询。</w:t>
            </w:r>
          </w:p>
        </w:tc>
      </w:tr>
      <w:tr w14:paraId="5FEDB30C">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272" w:hRule="atLeast"/>
        </w:trPr>
        <w:tc>
          <w:tcPr>
            <w:tcW w:w="9060" w:type="dxa"/>
            <w:gridSpan w:val="3"/>
            <w:tcBorders>
              <w:top w:val="single" w:color="000000" w:sz="6" w:space="0"/>
              <w:bottom w:val="single" w:color="000000" w:sz="6" w:space="0"/>
            </w:tcBorders>
          </w:tcPr>
          <w:p w14:paraId="1A375E82">
            <w:pPr>
              <w:pStyle w:val="49"/>
              <w:spacing w:before="1" w:line="252" w:lineRule="exact"/>
              <w:ind w:left="97"/>
              <w:rPr>
                <w:b/>
                <w:color w:val="auto"/>
                <w:sz w:val="21"/>
                <w:highlight w:val="none"/>
              </w:rPr>
            </w:pPr>
            <w:r>
              <w:rPr>
                <w:b/>
                <w:color w:val="auto"/>
                <w:sz w:val="21"/>
                <w:highlight w:val="none"/>
              </w:rPr>
              <w:t>二、磋商文件</w:t>
            </w:r>
          </w:p>
        </w:tc>
      </w:tr>
      <w:tr w14:paraId="76C10E9F">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44" w:hRule="atLeast"/>
        </w:trPr>
        <w:tc>
          <w:tcPr>
            <w:tcW w:w="1343" w:type="dxa"/>
            <w:tcBorders>
              <w:top w:val="single" w:color="000000" w:sz="6" w:space="0"/>
              <w:bottom w:val="single" w:color="000000" w:sz="6" w:space="0"/>
              <w:right w:val="single" w:color="000000" w:sz="6" w:space="0"/>
            </w:tcBorders>
            <w:vAlign w:val="center"/>
          </w:tcPr>
          <w:p w14:paraId="2CD85BA9">
            <w:pPr>
              <w:pStyle w:val="49"/>
              <w:spacing w:before="1"/>
              <w:ind w:left="113" w:right="114"/>
              <w:jc w:val="center"/>
              <w:rPr>
                <w:color w:val="auto"/>
                <w:sz w:val="21"/>
                <w:highlight w:val="none"/>
              </w:rPr>
            </w:pPr>
            <w:r>
              <w:rPr>
                <w:color w:val="auto"/>
                <w:sz w:val="21"/>
                <w:highlight w:val="none"/>
              </w:rPr>
              <w:t>第二章</w:t>
            </w:r>
          </w:p>
          <w:p w14:paraId="0B0FA5F8">
            <w:pPr>
              <w:pStyle w:val="49"/>
              <w:spacing w:before="2" w:line="252" w:lineRule="exact"/>
              <w:ind w:left="115" w:right="114"/>
              <w:jc w:val="center"/>
              <w:rPr>
                <w:color w:val="auto"/>
                <w:sz w:val="21"/>
                <w:highlight w:val="none"/>
              </w:rPr>
            </w:pPr>
            <w:r>
              <w:rPr>
                <w:color w:val="auto"/>
                <w:sz w:val="21"/>
                <w:highlight w:val="none"/>
              </w:rPr>
              <w:t>第 10.2 款</w:t>
            </w:r>
          </w:p>
        </w:tc>
        <w:tc>
          <w:tcPr>
            <w:tcW w:w="2580" w:type="dxa"/>
            <w:tcBorders>
              <w:top w:val="single" w:color="000000" w:sz="6" w:space="0"/>
              <w:left w:val="single" w:color="000000" w:sz="6" w:space="0"/>
              <w:bottom w:val="single" w:color="000000" w:sz="6" w:space="0"/>
              <w:right w:val="single" w:color="000000" w:sz="6" w:space="0"/>
            </w:tcBorders>
            <w:vAlign w:val="center"/>
          </w:tcPr>
          <w:p w14:paraId="3C106776">
            <w:pPr>
              <w:pStyle w:val="49"/>
              <w:spacing w:before="1"/>
              <w:ind w:left="12" w:leftChars="0" w:hanging="12" w:hangingChars="6"/>
              <w:jc w:val="center"/>
              <w:rPr>
                <w:b/>
                <w:color w:val="auto"/>
                <w:sz w:val="21"/>
                <w:highlight w:val="none"/>
              </w:rPr>
            </w:pPr>
            <w:r>
              <w:rPr>
                <w:b/>
                <w:color w:val="auto"/>
                <w:w w:val="95"/>
                <w:sz w:val="21"/>
                <w:highlight w:val="none"/>
              </w:rPr>
              <w:t>磋商文件的可能</w:t>
            </w:r>
          </w:p>
          <w:p w14:paraId="750CA11B">
            <w:pPr>
              <w:pStyle w:val="49"/>
              <w:spacing w:before="2" w:line="252" w:lineRule="exact"/>
              <w:ind w:left="12" w:leftChars="0" w:hanging="12" w:hangingChars="6"/>
              <w:jc w:val="center"/>
              <w:rPr>
                <w:b/>
                <w:color w:val="auto"/>
                <w:sz w:val="21"/>
                <w:highlight w:val="none"/>
              </w:rPr>
            </w:pPr>
            <w:r>
              <w:rPr>
                <w:b/>
                <w:color w:val="auto"/>
                <w:w w:val="95"/>
                <w:sz w:val="21"/>
                <w:highlight w:val="none"/>
              </w:rPr>
              <w:t>实质性变动内容</w:t>
            </w:r>
          </w:p>
        </w:tc>
        <w:tc>
          <w:tcPr>
            <w:tcW w:w="5137" w:type="dxa"/>
            <w:tcBorders>
              <w:top w:val="single" w:color="000000" w:sz="6" w:space="0"/>
              <w:left w:val="single" w:color="000000" w:sz="6" w:space="0"/>
              <w:bottom w:val="single" w:color="000000" w:sz="6" w:space="0"/>
            </w:tcBorders>
          </w:tcPr>
          <w:p w14:paraId="3E55C141">
            <w:pPr>
              <w:pStyle w:val="49"/>
              <w:spacing w:before="135"/>
              <w:ind w:left="104"/>
              <w:rPr>
                <w:rFonts w:hint="eastAsia" w:ascii="宋体" w:hAnsi="宋体"/>
                <w:color w:val="auto"/>
                <w:szCs w:val="21"/>
                <w:highlight w:val="none"/>
              </w:rPr>
            </w:pPr>
            <w:r>
              <w:rPr>
                <w:rFonts w:hint="eastAsia" w:ascii="宋体" w:hAnsi="宋体" w:eastAsia="宋体" w:cs="宋体"/>
                <w:color w:val="auto"/>
                <w:szCs w:val="21"/>
                <w:highlight w:val="none"/>
              </w:rPr>
              <w:t>磋商文件的技术、服务要求以及合同草案条款均可能发生实质性变动，但不得变动磋商文件中的其他内容。实质性变动的内容，须经采购人代表书面确认。磋商文件的实质性变动内容为磋商文件的组成部分，实质性变动内容与磋商文件不一致时，以实质性变动内容为准。</w:t>
            </w:r>
          </w:p>
        </w:tc>
      </w:tr>
      <w:tr w14:paraId="7A55F0FF">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45" w:hRule="atLeast"/>
        </w:trPr>
        <w:tc>
          <w:tcPr>
            <w:tcW w:w="1343" w:type="dxa"/>
            <w:tcBorders>
              <w:top w:val="single" w:color="000000" w:sz="6" w:space="0"/>
              <w:bottom w:val="single" w:color="000000" w:sz="6" w:space="0"/>
              <w:right w:val="single" w:color="000000" w:sz="6" w:space="0"/>
            </w:tcBorders>
          </w:tcPr>
          <w:p w14:paraId="6E52DE0C">
            <w:pPr>
              <w:pStyle w:val="49"/>
              <w:spacing w:before="1"/>
              <w:ind w:left="113" w:right="114"/>
              <w:jc w:val="center"/>
              <w:rPr>
                <w:color w:val="auto"/>
                <w:sz w:val="21"/>
                <w:highlight w:val="none"/>
              </w:rPr>
            </w:pPr>
            <w:r>
              <w:rPr>
                <w:color w:val="auto"/>
                <w:sz w:val="21"/>
                <w:highlight w:val="none"/>
              </w:rPr>
              <w:t>第二章</w:t>
            </w:r>
          </w:p>
          <w:p w14:paraId="4CD8E924">
            <w:pPr>
              <w:pStyle w:val="49"/>
              <w:spacing w:before="2" w:line="252" w:lineRule="exact"/>
              <w:ind w:left="115" w:right="114"/>
              <w:jc w:val="center"/>
              <w:rPr>
                <w:color w:val="auto"/>
                <w:sz w:val="21"/>
                <w:highlight w:val="none"/>
              </w:rPr>
            </w:pPr>
            <w:r>
              <w:rPr>
                <w:color w:val="auto"/>
                <w:sz w:val="21"/>
                <w:highlight w:val="none"/>
              </w:rPr>
              <w:t>第 12.1 款</w:t>
            </w:r>
          </w:p>
        </w:tc>
        <w:tc>
          <w:tcPr>
            <w:tcW w:w="2580" w:type="dxa"/>
            <w:tcBorders>
              <w:top w:val="single" w:color="000000" w:sz="6" w:space="0"/>
              <w:left w:val="single" w:color="000000" w:sz="6" w:space="0"/>
              <w:bottom w:val="single" w:color="000000" w:sz="6" w:space="0"/>
              <w:right w:val="single" w:color="000000" w:sz="6" w:space="0"/>
            </w:tcBorders>
          </w:tcPr>
          <w:p w14:paraId="7C902234">
            <w:pPr>
              <w:pStyle w:val="49"/>
              <w:spacing w:before="1"/>
              <w:ind w:left="110" w:right="103"/>
              <w:jc w:val="center"/>
              <w:rPr>
                <w:color w:val="auto"/>
                <w:sz w:val="21"/>
                <w:highlight w:val="none"/>
              </w:rPr>
            </w:pPr>
            <w:r>
              <w:rPr>
                <w:color w:val="auto"/>
                <w:sz w:val="21"/>
                <w:highlight w:val="none"/>
              </w:rPr>
              <w:t>提交首次响应文件</w:t>
            </w:r>
          </w:p>
          <w:p w14:paraId="37422128">
            <w:pPr>
              <w:pStyle w:val="49"/>
              <w:spacing w:before="2" w:line="252" w:lineRule="exact"/>
              <w:ind w:left="110" w:right="103"/>
              <w:jc w:val="center"/>
              <w:rPr>
                <w:color w:val="auto"/>
                <w:sz w:val="21"/>
                <w:highlight w:val="none"/>
              </w:rPr>
            </w:pPr>
            <w:r>
              <w:rPr>
                <w:color w:val="auto"/>
                <w:sz w:val="21"/>
                <w:highlight w:val="none"/>
              </w:rPr>
              <w:t>的截止时间</w:t>
            </w:r>
          </w:p>
        </w:tc>
        <w:tc>
          <w:tcPr>
            <w:tcW w:w="5137" w:type="dxa"/>
            <w:tcBorders>
              <w:top w:val="single" w:color="000000" w:sz="6" w:space="0"/>
              <w:left w:val="single" w:color="000000" w:sz="6" w:space="0"/>
              <w:bottom w:val="single" w:color="000000" w:sz="6" w:space="0"/>
            </w:tcBorders>
          </w:tcPr>
          <w:p w14:paraId="6FBED15B">
            <w:pPr>
              <w:pStyle w:val="49"/>
              <w:spacing w:before="136"/>
              <w:ind w:left="209"/>
              <w:rPr>
                <w:color w:val="auto"/>
                <w:sz w:val="21"/>
                <w:highlight w:val="none"/>
              </w:rPr>
            </w:pPr>
            <w:r>
              <w:rPr>
                <w:rFonts w:hint="eastAsia" w:cs="宋体"/>
                <w:color w:val="auto"/>
                <w:sz w:val="22"/>
                <w:szCs w:val="22"/>
                <w:highlight w:val="none"/>
                <w:lang w:eastAsia="zh-CN"/>
              </w:rPr>
              <w:t>2026年08月</w:t>
            </w:r>
            <w:r>
              <w:rPr>
                <w:rFonts w:hint="eastAsia" w:cs="宋体"/>
                <w:color w:val="auto"/>
                <w:sz w:val="22"/>
                <w:szCs w:val="22"/>
                <w:highlight w:val="none"/>
                <w:lang w:val="en-US" w:eastAsia="zh-CN"/>
              </w:rPr>
              <w:t>24</w:t>
            </w:r>
            <w:r>
              <w:rPr>
                <w:rFonts w:hint="eastAsia" w:cs="宋体"/>
                <w:color w:val="auto"/>
                <w:sz w:val="22"/>
                <w:szCs w:val="22"/>
                <w:highlight w:val="none"/>
                <w:lang w:eastAsia="zh-CN"/>
              </w:rPr>
              <w:t>日 10：00</w:t>
            </w:r>
            <w:r>
              <w:rPr>
                <w:rFonts w:hint="eastAsia"/>
                <w:color w:val="auto"/>
                <w:sz w:val="21"/>
                <w:highlight w:val="none"/>
                <w:lang w:val="en-US" w:eastAsia="zh-CN"/>
              </w:rPr>
              <w:t>(北京时间)</w:t>
            </w:r>
          </w:p>
        </w:tc>
      </w:tr>
      <w:tr w14:paraId="5622A6D4">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272" w:hRule="atLeast"/>
        </w:trPr>
        <w:tc>
          <w:tcPr>
            <w:tcW w:w="9060" w:type="dxa"/>
            <w:gridSpan w:val="3"/>
            <w:tcBorders>
              <w:top w:val="single" w:color="000000" w:sz="6" w:space="0"/>
              <w:bottom w:val="single" w:color="000000" w:sz="6" w:space="0"/>
            </w:tcBorders>
          </w:tcPr>
          <w:p w14:paraId="62D1F59A">
            <w:pPr>
              <w:pStyle w:val="49"/>
              <w:spacing w:line="251" w:lineRule="exact"/>
              <w:ind w:left="97"/>
              <w:rPr>
                <w:b/>
                <w:color w:val="auto"/>
                <w:sz w:val="21"/>
                <w:highlight w:val="none"/>
              </w:rPr>
            </w:pPr>
            <w:r>
              <w:rPr>
                <w:b/>
                <w:color w:val="auto"/>
                <w:sz w:val="21"/>
                <w:highlight w:val="none"/>
              </w:rPr>
              <w:t>三、响应文件</w:t>
            </w:r>
          </w:p>
        </w:tc>
      </w:tr>
      <w:tr w14:paraId="2A23896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45" w:hRule="atLeast"/>
        </w:trPr>
        <w:tc>
          <w:tcPr>
            <w:tcW w:w="1343" w:type="dxa"/>
            <w:tcBorders>
              <w:top w:val="single" w:color="000000" w:sz="6" w:space="0"/>
              <w:bottom w:val="single" w:color="000000" w:sz="6" w:space="0"/>
              <w:right w:val="single" w:color="000000" w:sz="6" w:space="0"/>
            </w:tcBorders>
          </w:tcPr>
          <w:p w14:paraId="3739C9BF">
            <w:pPr>
              <w:pStyle w:val="49"/>
              <w:spacing w:before="1"/>
              <w:ind w:left="113" w:right="114"/>
              <w:jc w:val="center"/>
              <w:rPr>
                <w:color w:val="auto"/>
                <w:sz w:val="21"/>
                <w:highlight w:val="none"/>
              </w:rPr>
            </w:pPr>
            <w:r>
              <w:rPr>
                <w:color w:val="auto"/>
                <w:sz w:val="21"/>
                <w:highlight w:val="none"/>
              </w:rPr>
              <w:t>第二章</w:t>
            </w:r>
          </w:p>
          <w:p w14:paraId="310428B7">
            <w:pPr>
              <w:pStyle w:val="49"/>
              <w:spacing w:before="3" w:line="252" w:lineRule="exact"/>
              <w:ind w:left="115" w:right="114"/>
              <w:jc w:val="center"/>
              <w:rPr>
                <w:color w:val="auto"/>
                <w:sz w:val="21"/>
                <w:highlight w:val="none"/>
              </w:rPr>
            </w:pPr>
            <w:r>
              <w:rPr>
                <w:color w:val="auto"/>
                <w:sz w:val="21"/>
                <w:highlight w:val="none"/>
              </w:rPr>
              <w:t>第 16.4 款</w:t>
            </w:r>
          </w:p>
        </w:tc>
        <w:tc>
          <w:tcPr>
            <w:tcW w:w="2580" w:type="dxa"/>
            <w:tcBorders>
              <w:top w:val="single" w:color="000000" w:sz="6" w:space="0"/>
              <w:left w:val="single" w:color="000000" w:sz="6" w:space="0"/>
              <w:bottom w:val="single" w:color="000000" w:sz="6" w:space="0"/>
              <w:right w:val="single" w:color="000000" w:sz="6" w:space="0"/>
            </w:tcBorders>
            <w:vAlign w:val="center"/>
          </w:tcPr>
          <w:p w14:paraId="7A0908C8">
            <w:pPr>
              <w:pStyle w:val="49"/>
              <w:spacing w:before="93"/>
              <w:ind w:left="107" w:right="103"/>
              <w:jc w:val="center"/>
              <w:rPr>
                <w:color w:val="auto"/>
                <w:sz w:val="21"/>
                <w:highlight w:val="none"/>
              </w:rPr>
            </w:pPr>
            <w:r>
              <w:rPr>
                <w:color w:val="auto"/>
                <w:sz w:val="21"/>
                <w:highlight w:val="none"/>
              </w:rPr>
              <w:t>采购项目预算</w:t>
            </w:r>
            <w:r>
              <w:rPr>
                <w:rFonts w:hint="eastAsia" w:ascii="宋体" w:hAnsi="宋体"/>
                <w:color w:val="auto"/>
                <w:szCs w:val="21"/>
                <w:highlight w:val="none"/>
              </w:rPr>
              <w:t>、最高限价（如果设）</w:t>
            </w:r>
          </w:p>
        </w:tc>
        <w:tc>
          <w:tcPr>
            <w:tcW w:w="5137" w:type="dxa"/>
            <w:tcBorders>
              <w:top w:val="single" w:color="000000" w:sz="6" w:space="0"/>
              <w:left w:val="single" w:color="000000" w:sz="6" w:space="0"/>
              <w:bottom w:val="single" w:color="000000" w:sz="6" w:space="0"/>
            </w:tcBorders>
          </w:tcPr>
          <w:p w14:paraId="0E17F7C2">
            <w:pPr>
              <w:pStyle w:val="49"/>
              <w:spacing w:before="76"/>
              <w:ind w:left="104"/>
              <w:rPr>
                <w:rFonts w:hint="eastAsia"/>
                <w:color w:val="auto"/>
                <w:sz w:val="22"/>
                <w:szCs w:val="22"/>
                <w:highlight w:val="none"/>
                <w:lang w:val="en-US" w:eastAsia="zh-CN"/>
              </w:rPr>
            </w:pPr>
            <w:r>
              <w:rPr>
                <w:rFonts w:hint="eastAsia"/>
                <w:color w:val="auto"/>
                <w:sz w:val="22"/>
                <w:szCs w:val="22"/>
                <w:highlight w:val="none"/>
                <w:lang w:val="en-US" w:eastAsia="zh-CN"/>
              </w:rPr>
              <w:t>预算金额：569480.00元</w:t>
            </w:r>
          </w:p>
          <w:p w14:paraId="22050245">
            <w:pPr>
              <w:pStyle w:val="49"/>
              <w:spacing w:before="76"/>
              <w:ind w:left="104"/>
              <w:rPr>
                <w:rFonts w:hint="eastAsia"/>
                <w:color w:val="auto"/>
                <w:sz w:val="22"/>
                <w:szCs w:val="22"/>
                <w:highlight w:val="none"/>
                <w:lang w:val="en-US" w:eastAsia="zh-CN"/>
              </w:rPr>
            </w:pPr>
            <w:r>
              <w:rPr>
                <w:rFonts w:hint="eastAsia"/>
                <w:color w:val="auto"/>
                <w:sz w:val="22"/>
                <w:szCs w:val="22"/>
                <w:highlight w:val="none"/>
                <w:lang w:val="en-US" w:eastAsia="zh-CN"/>
              </w:rPr>
              <w:t>最高限价：569480.00元</w:t>
            </w:r>
          </w:p>
        </w:tc>
      </w:tr>
      <w:tr w14:paraId="06CD27F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PrEx>
        <w:trPr>
          <w:trHeight w:val="583" w:hRule="atLeast"/>
        </w:trPr>
        <w:tc>
          <w:tcPr>
            <w:tcW w:w="1343" w:type="dxa"/>
            <w:tcBorders>
              <w:top w:val="single" w:color="000000" w:sz="6" w:space="0"/>
              <w:bottom w:val="single" w:color="000000" w:sz="6" w:space="0"/>
              <w:right w:val="single" w:color="000000" w:sz="6" w:space="0"/>
            </w:tcBorders>
          </w:tcPr>
          <w:p w14:paraId="4245F862">
            <w:pPr>
              <w:pStyle w:val="49"/>
              <w:spacing w:before="20" w:line="242" w:lineRule="auto"/>
              <w:ind w:left="189" w:right="185" w:firstLine="156"/>
              <w:rPr>
                <w:color w:val="auto"/>
                <w:sz w:val="21"/>
                <w:highlight w:val="none"/>
              </w:rPr>
            </w:pPr>
            <w:r>
              <w:rPr>
                <w:color w:val="auto"/>
                <w:sz w:val="21"/>
                <w:highlight w:val="none"/>
              </w:rPr>
              <w:t>第二章</w:t>
            </w:r>
            <w:r>
              <w:rPr>
                <w:color w:val="auto"/>
                <w:spacing w:val="-28"/>
                <w:sz w:val="21"/>
                <w:highlight w:val="none"/>
              </w:rPr>
              <w:t xml:space="preserve">第 </w:t>
            </w:r>
            <w:r>
              <w:rPr>
                <w:color w:val="auto"/>
                <w:sz w:val="21"/>
                <w:highlight w:val="none"/>
              </w:rPr>
              <w:t>19.1</w:t>
            </w:r>
            <w:r>
              <w:rPr>
                <w:color w:val="auto"/>
                <w:spacing w:val="-34"/>
                <w:sz w:val="21"/>
                <w:highlight w:val="none"/>
              </w:rPr>
              <w:t xml:space="preserve"> 款</w:t>
            </w:r>
          </w:p>
        </w:tc>
        <w:tc>
          <w:tcPr>
            <w:tcW w:w="2580" w:type="dxa"/>
            <w:tcBorders>
              <w:top w:val="single" w:color="000000" w:sz="6" w:space="0"/>
              <w:left w:val="single" w:color="000000" w:sz="6" w:space="0"/>
              <w:bottom w:val="single" w:color="000000" w:sz="6" w:space="0"/>
              <w:right w:val="single" w:color="000000" w:sz="6" w:space="0"/>
            </w:tcBorders>
          </w:tcPr>
          <w:p w14:paraId="396FC40C">
            <w:pPr>
              <w:pStyle w:val="49"/>
              <w:spacing w:before="157"/>
              <w:ind w:left="110" w:right="103"/>
              <w:jc w:val="center"/>
              <w:rPr>
                <w:color w:val="auto"/>
                <w:sz w:val="21"/>
                <w:highlight w:val="none"/>
              </w:rPr>
            </w:pPr>
            <w:r>
              <w:rPr>
                <w:color w:val="auto"/>
                <w:sz w:val="21"/>
                <w:highlight w:val="none"/>
              </w:rPr>
              <w:t>磋商保证金</w:t>
            </w:r>
          </w:p>
        </w:tc>
        <w:tc>
          <w:tcPr>
            <w:tcW w:w="5137" w:type="dxa"/>
            <w:tcBorders>
              <w:top w:val="single" w:color="000000" w:sz="6" w:space="0"/>
              <w:left w:val="single" w:color="000000" w:sz="6" w:space="0"/>
              <w:bottom w:val="single" w:color="000000" w:sz="6" w:space="0"/>
            </w:tcBorders>
          </w:tcPr>
          <w:p w14:paraId="3691CE68">
            <w:pPr>
              <w:pStyle w:val="49"/>
              <w:numPr>
                <w:ilvl w:val="0"/>
                <w:numId w:val="7"/>
              </w:numPr>
              <w:tabs>
                <w:tab w:val="left" w:pos="421"/>
              </w:tabs>
              <w:spacing w:before="1" w:after="0" w:line="240" w:lineRule="auto"/>
              <w:ind w:left="420" w:right="0" w:hanging="317"/>
              <w:jc w:val="left"/>
              <w:rPr>
                <w:color w:val="auto"/>
                <w:sz w:val="21"/>
                <w:highlight w:val="none"/>
              </w:rPr>
            </w:pPr>
            <w:r>
              <w:rPr>
                <w:color w:val="auto"/>
                <w:sz w:val="21"/>
                <w:highlight w:val="none"/>
              </w:rPr>
              <w:t>不要求提供</w:t>
            </w:r>
          </w:p>
          <w:p w14:paraId="61594164">
            <w:pPr>
              <w:pStyle w:val="49"/>
              <w:spacing w:before="23"/>
              <w:ind w:left="104"/>
              <w:rPr>
                <w:color w:val="auto"/>
                <w:sz w:val="21"/>
                <w:highlight w:val="none"/>
              </w:rPr>
            </w:pPr>
            <w:r>
              <w:rPr>
                <w:color w:val="auto"/>
                <w:sz w:val="21"/>
                <w:highlight w:val="none"/>
              </w:rPr>
              <w:t>□ 要求提供</w:t>
            </w:r>
          </w:p>
        </w:tc>
      </w:tr>
      <w:tr w14:paraId="6ECBA6F0">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7" w:hRule="atLeast"/>
        </w:trPr>
        <w:tc>
          <w:tcPr>
            <w:tcW w:w="1343" w:type="dxa"/>
            <w:tcBorders>
              <w:bottom w:val="single" w:color="000000" w:sz="6" w:space="0"/>
              <w:right w:val="single" w:color="000000" w:sz="6" w:space="0"/>
            </w:tcBorders>
            <w:vAlign w:val="center"/>
          </w:tcPr>
          <w:p w14:paraId="53067386">
            <w:pPr>
              <w:pStyle w:val="49"/>
              <w:spacing w:before="2" w:line="250" w:lineRule="exact"/>
              <w:ind w:right="9" w:rightChars="0"/>
              <w:jc w:val="center"/>
              <w:rPr>
                <w:b/>
                <w:color w:val="auto"/>
                <w:sz w:val="21"/>
                <w:highlight w:val="none"/>
              </w:rPr>
            </w:pPr>
            <w:r>
              <w:rPr>
                <w:b/>
                <w:color w:val="auto"/>
                <w:w w:val="95"/>
                <w:sz w:val="21"/>
                <w:highlight w:val="none"/>
              </w:rPr>
              <w:t>条款号</w:t>
            </w:r>
          </w:p>
        </w:tc>
        <w:tc>
          <w:tcPr>
            <w:tcW w:w="2580" w:type="dxa"/>
            <w:tcBorders>
              <w:left w:val="single" w:color="000000" w:sz="6" w:space="0"/>
              <w:bottom w:val="single" w:color="000000" w:sz="6" w:space="0"/>
              <w:right w:val="single" w:color="000000" w:sz="6" w:space="0"/>
            </w:tcBorders>
            <w:vAlign w:val="center"/>
          </w:tcPr>
          <w:p w14:paraId="14BFB145">
            <w:pPr>
              <w:pStyle w:val="49"/>
              <w:spacing w:before="2" w:line="250" w:lineRule="exact"/>
              <w:ind w:left="112" w:right="100"/>
              <w:jc w:val="center"/>
              <w:rPr>
                <w:b/>
                <w:color w:val="auto"/>
                <w:sz w:val="21"/>
                <w:highlight w:val="none"/>
              </w:rPr>
            </w:pPr>
            <w:r>
              <w:rPr>
                <w:b/>
                <w:color w:val="auto"/>
                <w:sz w:val="21"/>
                <w:highlight w:val="none"/>
              </w:rPr>
              <w:t>条款名称</w:t>
            </w:r>
          </w:p>
        </w:tc>
        <w:tc>
          <w:tcPr>
            <w:tcW w:w="5137" w:type="dxa"/>
            <w:tcBorders>
              <w:left w:val="single" w:color="000000" w:sz="6" w:space="0"/>
              <w:bottom w:val="single" w:color="000000" w:sz="6" w:space="0"/>
            </w:tcBorders>
            <w:vAlign w:val="center"/>
          </w:tcPr>
          <w:p w14:paraId="2E49E32C">
            <w:pPr>
              <w:pStyle w:val="49"/>
              <w:spacing w:before="2" w:line="250" w:lineRule="exact"/>
              <w:ind w:left="1913" w:right="1895"/>
              <w:jc w:val="center"/>
              <w:rPr>
                <w:b/>
                <w:color w:val="auto"/>
                <w:sz w:val="21"/>
                <w:highlight w:val="none"/>
              </w:rPr>
            </w:pPr>
            <w:r>
              <w:rPr>
                <w:b/>
                <w:color w:val="auto"/>
                <w:sz w:val="21"/>
                <w:highlight w:val="none"/>
              </w:rPr>
              <w:t>编列内容规定</w:t>
            </w:r>
          </w:p>
        </w:tc>
      </w:tr>
      <w:tr w14:paraId="43C4FD72">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272" w:hRule="atLeast"/>
        </w:trPr>
        <w:tc>
          <w:tcPr>
            <w:tcW w:w="1343" w:type="dxa"/>
            <w:tcBorders>
              <w:bottom w:val="single" w:color="000000" w:sz="6" w:space="0"/>
              <w:right w:val="single" w:color="000000" w:sz="6" w:space="0"/>
            </w:tcBorders>
            <w:vAlign w:val="top"/>
          </w:tcPr>
          <w:p w14:paraId="6D8674C5">
            <w:pPr>
              <w:pStyle w:val="49"/>
              <w:spacing w:before="2"/>
              <w:ind w:left="113" w:right="114"/>
              <w:jc w:val="center"/>
              <w:rPr>
                <w:color w:val="auto"/>
                <w:sz w:val="21"/>
                <w:highlight w:val="none"/>
              </w:rPr>
            </w:pPr>
            <w:r>
              <w:rPr>
                <w:color w:val="auto"/>
                <w:sz w:val="21"/>
                <w:highlight w:val="none"/>
              </w:rPr>
              <w:t>第二章</w:t>
            </w:r>
          </w:p>
          <w:p w14:paraId="2EFB1D62">
            <w:pPr>
              <w:pStyle w:val="49"/>
              <w:spacing w:before="2" w:line="250" w:lineRule="exact"/>
              <w:ind w:left="115" w:leftChars="0" w:right="114" w:rightChars="0"/>
              <w:jc w:val="center"/>
              <w:rPr>
                <w:rFonts w:ascii="宋体" w:hAnsi="宋体" w:eastAsia="宋体" w:cs="宋体"/>
                <w:color w:val="auto"/>
                <w:sz w:val="21"/>
                <w:szCs w:val="22"/>
                <w:highlight w:val="none"/>
                <w:lang w:val="zh-CN" w:eastAsia="zh-CN" w:bidi="zh-CN"/>
              </w:rPr>
            </w:pPr>
            <w:r>
              <w:rPr>
                <w:color w:val="auto"/>
                <w:sz w:val="21"/>
                <w:highlight w:val="none"/>
              </w:rPr>
              <w:t>第 20.1 款</w:t>
            </w:r>
          </w:p>
        </w:tc>
        <w:tc>
          <w:tcPr>
            <w:tcW w:w="2580" w:type="dxa"/>
            <w:tcBorders>
              <w:left w:val="single" w:color="000000" w:sz="6" w:space="0"/>
              <w:bottom w:val="single" w:color="000000" w:sz="6" w:space="0"/>
              <w:right w:val="single" w:color="000000" w:sz="6" w:space="0"/>
            </w:tcBorders>
            <w:vAlign w:val="top"/>
          </w:tcPr>
          <w:p w14:paraId="0F1B572E">
            <w:pPr>
              <w:pStyle w:val="49"/>
              <w:spacing w:before="136"/>
              <w:ind w:left="112" w:leftChars="0" w:right="103" w:rightChars="0"/>
              <w:jc w:val="center"/>
              <w:rPr>
                <w:rFonts w:ascii="宋体" w:hAnsi="宋体" w:eastAsia="宋体" w:cs="宋体"/>
                <w:color w:val="auto"/>
                <w:sz w:val="21"/>
                <w:szCs w:val="22"/>
                <w:highlight w:val="none"/>
                <w:lang w:val="zh-CN" w:eastAsia="zh-CN" w:bidi="zh-CN"/>
              </w:rPr>
            </w:pPr>
            <w:r>
              <w:rPr>
                <w:color w:val="auto"/>
                <w:sz w:val="21"/>
                <w:highlight w:val="none"/>
              </w:rPr>
              <w:t>响应文件有效期</w:t>
            </w:r>
          </w:p>
        </w:tc>
        <w:tc>
          <w:tcPr>
            <w:tcW w:w="5137" w:type="dxa"/>
            <w:tcBorders>
              <w:left w:val="single" w:color="000000" w:sz="6" w:space="0"/>
              <w:bottom w:val="single" w:color="000000" w:sz="6" w:space="0"/>
            </w:tcBorders>
            <w:vAlign w:val="top"/>
          </w:tcPr>
          <w:p w14:paraId="529EB648">
            <w:pPr>
              <w:pStyle w:val="49"/>
              <w:spacing w:before="136"/>
              <w:ind w:left="104" w:leftChars="0" w:right="0" w:rightChars="0"/>
              <w:rPr>
                <w:rFonts w:ascii="宋体" w:hAnsi="宋体" w:eastAsia="宋体" w:cs="宋体"/>
                <w:color w:val="auto"/>
                <w:sz w:val="21"/>
                <w:szCs w:val="22"/>
                <w:highlight w:val="none"/>
                <w:lang w:val="zh-CN" w:eastAsia="zh-CN" w:bidi="zh-CN"/>
              </w:rPr>
            </w:pPr>
            <w:r>
              <w:rPr>
                <w:rFonts w:hint="eastAsia"/>
                <w:color w:val="auto"/>
                <w:sz w:val="21"/>
                <w:highlight w:val="none"/>
                <w:u w:val="single"/>
                <w:lang w:val="en-US" w:eastAsia="zh-CN"/>
              </w:rPr>
              <w:t>9</w:t>
            </w:r>
            <w:r>
              <w:rPr>
                <w:color w:val="auto"/>
                <w:sz w:val="21"/>
                <w:highlight w:val="none"/>
                <w:u w:val="single"/>
              </w:rPr>
              <w:t>0</w:t>
            </w:r>
            <w:r>
              <w:rPr>
                <w:color w:val="auto"/>
                <w:sz w:val="21"/>
                <w:highlight w:val="none"/>
              </w:rPr>
              <w:t xml:space="preserve"> 日（日历日）</w:t>
            </w:r>
          </w:p>
        </w:tc>
      </w:tr>
      <w:tr w14:paraId="664A6DD1">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45" w:hRule="atLeast"/>
        </w:trPr>
        <w:tc>
          <w:tcPr>
            <w:tcW w:w="1343" w:type="dxa"/>
            <w:tcBorders>
              <w:top w:val="single" w:color="000000" w:sz="6" w:space="0"/>
              <w:bottom w:val="single" w:color="000000" w:sz="6" w:space="0"/>
              <w:right w:val="single" w:color="000000" w:sz="6" w:space="0"/>
            </w:tcBorders>
            <w:vAlign w:val="center"/>
          </w:tcPr>
          <w:p w14:paraId="6470544A">
            <w:pPr>
              <w:pStyle w:val="49"/>
              <w:ind w:left="113" w:right="114"/>
              <w:jc w:val="center"/>
              <w:rPr>
                <w:color w:val="auto"/>
                <w:sz w:val="21"/>
                <w:highlight w:val="none"/>
              </w:rPr>
            </w:pPr>
            <w:r>
              <w:rPr>
                <w:color w:val="auto"/>
                <w:sz w:val="21"/>
                <w:highlight w:val="none"/>
              </w:rPr>
              <w:t>第二章</w:t>
            </w:r>
          </w:p>
          <w:p w14:paraId="4256CD36">
            <w:pPr>
              <w:pStyle w:val="49"/>
              <w:spacing w:before="5" w:line="251" w:lineRule="exact"/>
              <w:ind w:left="115" w:right="114"/>
              <w:jc w:val="center"/>
              <w:rPr>
                <w:color w:val="auto"/>
                <w:sz w:val="21"/>
                <w:highlight w:val="none"/>
              </w:rPr>
            </w:pPr>
            <w:r>
              <w:rPr>
                <w:color w:val="auto"/>
                <w:sz w:val="21"/>
                <w:highlight w:val="none"/>
              </w:rPr>
              <w:t>第 21.1 款</w:t>
            </w:r>
          </w:p>
        </w:tc>
        <w:tc>
          <w:tcPr>
            <w:tcW w:w="2580" w:type="dxa"/>
            <w:tcBorders>
              <w:top w:val="single" w:color="000000" w:sz="6" w:space="0"/>
              <w:left w:val="single" w:color="000000" w:sz="6" w:space="0"/>
              <w:bottom w:val="single" w:color="000000" w:sz="6" w:space="0"/>
              <w:right w:val="single" w:color="000000" w:sz="6" w:space="0"/>
            </w:tcBorders>
            <w:vAlign w:val="center"/>
          </w:tcPr>
          <w:p w14:paraId="5DD76133">
            <w:pPr>
              <w:pStyle w:val="49"/>
              <w:spacing w:before="137"/>
              <w:ind w:left="107" w:right="103"/>
              <w:jc w:val="center"/>
              <w:rPr>
                <w:color w:val="auto"/>
                <w:sz w:val="21"/>
                <w:highlight w:val="none"/>
              </w:rPr>
            </w:pPr>
            <w:r>
              <w:rPr>
                <w:color w:val="auto"/>
                <w:sz w:val="21"/>
                <w:highlight w:val="none"/>
              </w:rPr>
              <w:t>响应文件份数</w:t>
            </w:r>
          </w:p>
        </w:tc>
        <w:tc>
          <w:tcPr>
            <w:tcW w:w="5137" w:type="dxa"/>
            <w:tcBorders>
              <w:top w:val="single" w:color="000000" w:sz="6" w:space="0"/>
              <w:left w:val="single" w:color="000000" w:sz="6" w:space="0"/>
              <w:bottom w:val="single" w:color="000000" w:sz="6" w:space="0"/>
            </w:tcBorders>
          </w:tcPr>
          <w:p w14:paraId="4550CE29">
            <w:pPr>
              <w:rPr>
                <w:rFonts w:ascii="宋体" w:hAnsi="宋体" w:eastAsia="宋体" w:cs="宋体"/>
                <w:b/>
                <w:bCs/>
                <w:color w:val="auto"/>
                <w:sz w:val="21"/>
                <w:highlight w:val="none"/>
              </w:rPr>
            </w:pPr>
            <w:r>
              <w:rPr>
                <w:rFonts w:ascii="宋体" w:hAnsi="宋体" w:eastAsia="宋体" w:cs="宋体"/>
                <w:b/>
                <w:bCs/>
                <w:color w:val="auto"/>
                <w:sz w:val="21"/>
                <w:highlight w:val="none"/>
              </w:rPr>
              <w:t>正本 1 份，副本 2 份</w:t>
            </w:r>
            <w:r>
              <w:rPr>
                <w:rFonts w:hint="eastAsia" w:ascii="宋体" w:hAnsi="宋体" w:eastAsia="宋体" w:cs="宋体"/>
                <w:b/>
                <w:bCs/>
                <w:color w:val="auto"/>
                <w:sz w:val="21"/>
                <w:highlight w:val="none"/>
                <w:lang w:eastAsia="zh-CN"/>
              </w:rPr>
              <w:t>（</w:t>
            </w:r>
            <w:r>
              <w:rPr>
                <w:rFonts w:hint="eastAsia" w:ascii="宋体" w:hAnsi="宋体" w:eastAsia="宋体" w:cs="宋体"/>
                <w:b/>
                <w:bCs/>
                <w:color w:val="auto"/>
                <w:sz w:val="21"/>
                <w:highlight w:val="none"/>
                <w:lang w:val="en-US" w:eastAsia="zh-CN"/>
              </w:rPr>
              <w:t>响应文件</w:t>
            </w:r>
            <w:r>
              <w:rPr>
                <w:rFonts w:hint="eastAsia" w:ascii="宋体" w:hAnsi="宋体" w:eastAsia="宋体" w:cs="宋体"/>
                <w:b/>
                <w:bCs/>
                <w:color w:val="auto"/>
                <w:sz w:val="21"/>
                <w:highlight w:val="none"/>
              </w:rPr>
              <w:t>胶装成册</w:t>
            </w:r>
            <w:r>
              <w:rPr>
                <w:rFonts w:hint="eastAsia" w:ascii="宋体" w:hAnsi="宋体" w:eastAsia="宋体" w:cs="宋体"/>
                <w:b/>
                <w:bCs/>
                <w:color w:val="auto"/>
                <w:sz w:val="21"/>
                <w:highlight w:val="none"/>
                <w:lang w:eastAsia="zh-CN"/>
              </w:rPr>
              <w:t>）</w:t>
            </w:r>
          </w:p>
          <w:p w14:paraId="5A2B0BAB">
            <w:pPr>
              <w:keepNext w:val="0"/>
              <w:keepLines w:val="0"/>
              <w:widowControl/>
              <w:suppressLineNumbers w:val="0"/>
              <w:jc w:val="left"/>
              <w:rPr>
                <w:color w:val="auto"/>
                <w:sz w:val="21"/>
                <w:highlight w:val="none"/>
              </w:rPr>
            </w:pPr>
            <w:r>
              <w:rPr>
                <w:rFonts w:hint="eastAsia" w:ascii="宋体" w:hAnsi="宋体" w:eastAsia="宋体" w:cs="宋体"/>
                <w:b/>
                <w:bCs/>
                <w:color w:val="auto"/>
                <w:sz w:val="21"/>
                <w:highlight w:val="none"/>
              </w:rPr>
              <w:t>电子文件1份,(U盘装，</w:t>
            </w:r>
            <w:r>
              <w:rPr>
                <w:rFonts w:hint="eastAsia" w:ascii="宋体" w:hAnsi="宋体" w:eastAsia="宋体" w:cs="宋体"/>
                <w:b/>
                <w:bCs/>
                <w:color w:val="auto"/>
                <w:sz w:val="21"/>
                <w:highlight w:val="none"/>
                <w:lang w:val="en-US" w:eastAsia="zh-CN"/>
              </w:rPr>
              <w:t>U 盘内存储的全部电子文件总大小不得超过 200 M</w:t>
            </w:r>
            <w:r>
              <w:rPr>
                <w:rFonts w:hint="eastAsia" w:cs="宋体"/>
                <w:b/>
                <w:bCs/>
                <w:color w:val="auto"/>
                <w:sz w:val="21"/>
                <w:highlight w:val="none"/>
                <w:lang w:val="en-US" w:eastAsia="zh-CN"/>
              </w:rPr>
              <w:t>），</w:t>
            </w:r>
            <w:r>
              <w:rPr>
                <w:rFonts w:hint="eastAsia" w:ascii="宋体" w:hAnsi="宋体" w:eastAsia="宋体" w:cs="宋体"/>
                <w:b/>
                <w:bCs/>
                <w:color w:val="auto"/>
                <w:sz w:val="21"/>
                <w:highlight w:val="none"/>
              </w:rPr>
              <w:t>文件名标注项目名称及投标单位名称，装入响应文件密封袋中，内容需与纸质响应文件正本一致，是正本签字盖章后的扫描件。)</w:t>
            </w:r>
          </w:p>
        </w:tc>
      </w:tr>
      <w:tr w14:paraId="0EF464B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272" w:hRule="atLeast"/>
        </w:trPr>
        <w:tc>
          <w:tcPr>
            <w:tcW w:w="9060" w:type="dxa"/>
            <w:gridSpan w:val="3"/>
            <w:tcBorders>
              <w:top w:val="single" w:color="000000" w:sz="6" w:space="0"/>
              <w:bottom w:val="single" w:color="000000" w:sz="6" w:space="0"/>
            </w:tcBorders>
          </w:tcPr>
          <w:p w14:paraId="37189CB3">
            <w:pPr>
              <w:pStyle w:val="49"/>
              <w:spacing w:before="2" w:line="250" w:lineRule="exact"/>
              <w:ind w:left="97"/>
              <w:rPr>
                <w:b/>
                <w:color w:val="auto"/>
                <w:sz w:val="21"/>
                <w:highlight w:val="none"/>
              </w:rPr>
            </w:pPr>
            <w:r>
              <w:rPr>
                <w:b/>
                <w:color w:val="auto"/>
                <w:sz w:val="21"/>
                <w:highlight w:val="none"/>
              </w:rPr>
              <w:t>四、响应文件的递交</w:t>
            </w:r>
          </w:p>
        </w:tc>
      </w:tr>
      <w:tr w14:paraId="615E3FDB">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1503" w:hRule="atLeast"/>
        </w:trPr>
        <w:tc>
          <w:tcPr>
            <w:tcW w:w="1343" w:type="dxa"/>
            <w:tcBorders>
              <w:top w:val="single" w:color="000000" w:sz="6" w:space="0"/>
              <w:bottom w:val="single" w:color="000000" w:sz="6" w:space="0"/>
              <w:right w:val="single" w:color="000000" w:sz="6" w:space="0"/>
            </w:tcBorders>
          </w:tcPr>
          <w:p w14:paraId="276028BE">
            <w:pPr>
              <w:pStyle w:val="49"/>
              <w:rPr>
                <w:color w:val="auto"/>
                <w:sz w:val="20"/>
                <w:highlight w:val="none"/>
              </w:rPr>
            </w:pPr>
          </w:p>
          <w:p w14:paraId="1F2B97B0">
            <w:pPr>
              <w:pStyle w:val="49"/>
              <w:spacing w:before="6"/>
              <w:rPr>
                <w:color w:val="auto"/>
                <w:sz w:val="17"/>
                <w:highlight w:val="none"/>
              </w:rPr>
            </w:pPr>
          </w:p>
          <w:p w14:paraId="01CB087F">
            <w:pPr>
              <w:pStyle w:val="49"/>
              <w:spacing w:line="242" w:lineRule="auto"/>
              <w:ind w:left="189" w:right="185" w:firstLine="156"/>
              <w:rPr>
                <w:color w:val="auto"/>
                <w:sz w:val="21"/>
                <w:highlight w:val="none"/>
              </w:rPr>
            </w:pPr>
            <w:r>
              <w:rPr>
                <w:color w:val="auto"/>
                <w:sz w:val="21"/>
                <w:highlight w:val="none"/>
              </w:rPr>
              <w:t>第二章</w:t>
            </w:r>
            <w:r>
              <w:rPr>
                <w:color w:val="auto"/>
                <w:spacing w:val="-28"/>
                <w:sz w:val="21"/>
                <w:highlight w:val="none"/>
              </w:rPr>
              <w:t xml:space="preserve">第 </w:t>
            </w:r>
            <w:r>
              <w:rPr>
                <w:color w:val="auto"/>
                <w:sz w:val="21"/>
                <w:highlight w:val="none"/>
              </w:rPr>
              <w:t>22.2</w:t>
            </w:r>
            <w:r>
              <w:rPr>
                <w:color w:val="auto"/>
                <w:spacing w:val="-34"/>
                <w:sz w:val="21"/>
                <w:highlight w:val="none"/>
              </w:rPr>
              <w:t xml:space="preserve"> 款</w:t>
            </w:r>
          </w:p>
        </w:tc>
        <w:tc>
          <w:tcPr>
            <w:tcW w:w="2580" w:type="dxa"/>
            <w:tcBorders>
              <w:top w:val="single" w:color="000000" w:sz="6" w:space="0"/>
              <w:left w:val="single" w:color="000000" w:sz="6" w:space="0"/>
              <w:bottom w:val="single" w:color="000000" w:sz="6" w:space="0"/>
              <w:right w:val="single" w:color="000000" w:sz="6" w:space="0"/>
            </w:tcBorders>
          </w:tcPr>
          <w:p w14:paraId="04CF6181">
            <w:pPr>
              <w:pStyle w:val="49"/>
              <w:rPr>
                <w:color w:val="auto"/>
                <w:sz w:val="20"/>
                <w:highlight w:val="none"/>
              </w:rPr>
            </w:pPr>
          </w:p>
          <w:p w14:paraId="648D2A35">
            <w:pPr>
              <w:pStyle w:val="49"/>
              <w:spacing w:before="6"/>
              <w:rPr>
                <w:color w:val="auto"/>
                <w:sz w:val="17"/>
                <w:highlight w:val="none"/>
              </w:rPr>
            </w:pPr>
          </w:p>
          <w:p w14:paraId="45926619">
            <w:pPr>
              <w:pStyle w:val="49"/>
              <w:spacing w:line="242" w:lineRule="auto"/>
              <w:ind w:left="972" w:right="649" w:hanging="317"/>
              <w:rPr>
                <w:color w:val="auto"/>
                <w:sz w:val="21"/>
                <w:highlight w:val="none"/>
              </w:rPr>
            </w:pPr>
            <w:r>
              <w:rPr>
                <w:color w:val="auto"/>
                <w:sz w:val="21"/>
                <w:highlight w:val="none"/>
              </w:rPr>
              <w:t>封套上应载明的信息</w:t>
            </w:r>
          </w:p>
        </w:tc>
        <w:tc>
          <w:tcPr>
            <w:tcW w:w="5137" w:type="dxa"/>
            <w:tcBorders>
              <w:top w:val="single" w:color="000000" w:sz="6" w:space="0"/>
              <w:left w:val="single" w:color="000000" w:sz="6" w:space="0"/>
              <w:bottom w:val="single" w:color="000000" w:sz="6" w:space="0"/>
            </w:tcBorders>
          </w:tcPr>
          <w:p w14:paraId="02C13CCB">
            <w:pPr>
              <w:pStyle w:val="49"/>
              <w:spacing w:before="137" w:line="240" w:lineRule="auto"/>
              <w:ind w:left="107" w:right="103"/>
              <w:jc w:val="left"/>
              <w:rPr>
                <w:rFonts w:ascii="宋体" w:hAnsi="宋体" w:eastAsia="宋体" w:cs="宋体"/>
                <w:color w:val="auto"/>
                <w:sz w:val="21"/>
                <w:highlight w:val="none"/>
              </w:rPr>
            </w:pPr>
            <w:r>
              <w:rPr>
                <w:rFonts w:hint="eastAsia" w:cs="宋体"/>
                <w:color w:val="auto"/>
                <w:sz w:val="21"/>
                <w:highlight w:val="none"/>
                <w:lang w:eastAsia="zh-CN"/>
              </w:rPr>
              <w:t>汨罗市校车接入省“三客一危”监管平台项目</w:t>
            </w:r>
            <w:r>
              <w:rPr>
                <w:rFonts w:ascii="宋体" w:hAnsi="宋体" w:eastAsia="宋体" w:cs="宋体"/>
                <w:color w:val="auto"/>
                <w:sz w:val="21"/>
                <w:highlight w:val="none"/>
              </w:rPr>
              <w:t xml:space="preserve">响应文件 </w:t>
            </w:r>
          </w:p>
          <w:p w14:paraId="0B3CB26E">
            <w:pPr>
              <w:pStyle w:val="49"/>
              <w:spacing w:before="137" w:line="240" w:lineRule="auto"/>
              <w:ind w:left="107" w:right="103"/>
              <w:jc w:val="left"/>
              <w:rPr>
                <w:rFonts w:hint="eastAsia" w:cs="宋体"/>
                <w:color w:val="auto"/>
                <w:sz w:val="21"/>
                <w:highlight w:val="none"/>
                <w:lang w:val="en-US" w:eastAsia="zh-CN"/>
              </w:rPr>
            </w:pPr>
            <w:r>
              <w:rPr>
                <w:rFonts w:hint="eastAsia" w:cs="宋体"/>
                <w:color w:val="auto"/>
                <w:sz w:val="21"/>
                <w:highlight w:val="none"/>
                <w:lang w:val="en-US" w:eastAsia="zh-CN"/>
              </w:rPr>
              <w:t>采购项目编号：</w:t>
            </w:r>
          </w:p>
          <w:p w14:paraId="3328A78E">
            <w:pPr>
              <w:pStyle w:val="49"/>
              <w:spacing w:before="137" w:line="240" w:lineRule="auto"/>
              <w:ind w:left="107" w:right="103"/>
              <w:jc w:val="left"/>
              <w:rPr>
                <w:rFonts w:hint="default" w:cs="宋体"/>
                <w:color w:val="auto"/>
                <w:sz w:val="21"/>
                <w:highlight w:val="none"/>
                <w:lang w:val="en-US" w:eastAsia="zh-CN"/>
              </w:rPr>
            </w:pPr>
            <w:r>
              <w:rPr>
                <w:rFonts w:hint="eastAsia" w:cs="宋体"/>
                <w:color w:val="auto"/>
                <w:sz w:val="21"/>
                <w:highlight w:val="none"/>
                <w:lang w:val="en-US" w:eastAsia="zh-CN"/>
              </w:rPr>
              <w:t>政府采购编号：</w:t>
            </w:r>
          </w:p>
          <w:p w14:paraId="442966B1">
            <w:pPr>
              <w:pStyle w:val="49"/>
              <w:spacing w:before="137" w:line="240" w:lineRule="auto"/>
              <w:ind w:left="107" w:right="103"/>
              <w:jc w:val="left"/>
              <w:rPr>
                <w:rFonts w:ascii="宋体" w:hAnsi="宋体" w:eastAsia="宋体" w:cs="宋体"/>
                <w:color w:val="auto"/>
                <w:sz w:val="21"/>
                <w:highlight w:val="none"/>
              </w:rPr>
            </w:pPr>
            <w:r>
              <w:rPr>
                <w:rFonts w:ascii="宋体" w:hAnsi="宋体" w:eastAsia="宋体" w:cs="宋体"/>
                <w:color w:val="auto"/>
                <w:sz w:val="21"/>
                <w:highlight w:val="none"/>
              </w:rPr>
              <w:t>采购代理机构编号：</w:t>
            </w:r>
            <w:bookmarkStart w:id="252" w:name="_GoBack"/>
            <w:bookmarkEnd w:id="252"/>
          </w:p>
          <w:p w14:paraId="02F3AD6A">
            <w:pPr>
              <w:pStyle w:val="49"/>
              <w:spacing w:before="137" w:line="240" w:lineRule="auto"/>
              <w:ind w:left="107" w:right="103"/>
              <w:jc w:val="left"/>
              <w:rPr>
                <w:rFonts w:ascii="宋体" w:hAnsi="宋体" w:eastAsia="宋体" w:cs="宋体"/>
                <w:color w:val="auto"/>
                <w:sz w:val="21"/>
                <w:highlight w:val="none"/>
              </w:rPr>
            </w:pPr>
            <w:r>
              <w:rPr>
                <w:rFonts w:ascii="宋体" w:hAnsi="宋体" w:eastAsia="宋体" w:cs="宋体"/>
                <w:color w:val="auto"/>
                <w:sz w:val="21"/>
                <w:highlight w:val="none"/>
              </w:rPr>
              <w:t>供应商名称：</w:t>
            </w:r>
          </w:p>
          <w:p w14:paraId="7247D3D7">
            <w:pPr>
              <w:pStyle w:val="49"/>
              <w:spacing w:before="137" w:line="240" w:lineRule="auto"/>
              <w:ind w:left="107" w:right="103"/>
              <w:jc w:val="left"/>
              <w:rPr>
                <w:rFonts w:hint="default" w:ascii="宋体" w:hAnsi="宋体" w:eastAsia="宋体" w:cs="宋体"/>
                <w:b w:val="0"/>
                <w:bCs w:val="0"/>
                <w:color w:val="auto"/>
                <w:sz w:val="21"/>
                <w:highlight w:val="none"/>
                <w:u w:val="single"/>
                <w:lang w:val="en-US" w:eastAsia="zh-CN"/>
              </w:rPr>
            </w:pPr>
            <w:r>
              <w:rPr>
                <w:rFonts w:hint="eastAsia" w:ascii="宋体" w:hAnsi="宋体" w:eastAsia="宋体" w:cs="宋体"/>
                <w:color w:val="auto"/>
                <w:sz w:val="21"/>
                <w:highlight w:val="none"/>
              </w:rPr>
              <w:t>法定代表人</w:t>
            </w:r>
            <w:r>
              <w:rPr>
                <w:rFonts w:hint="eastAsia" w:ascii="宋体" w:hAnsi="宋体" w:eastAsia="宋体" w:cs="宋体"/>
                <w:color w:val="auto"/>
                <w:sz w:val="21"/>
                <w:highlight w:val="none"/>
                <w:lang w:val="en-US" w:eastAsia="zh-CN"/>
              </w:rPr>
              <w:t>（或负责人）</w:t>
            </w:r>
            <w:r>
              <w:rPr>
                <w:rFonts w:hint="eastAsia" w:ascii="宋体" w:hAnsi="宋体" w:eastAsia="宋体" w:cs="宋体"/>
                <w:color w:val="auto"/>
                <w:sz w:val="21"/>
                <w:highlight w:val="none"/>
              </w:rPr>
              <w:t>或其授权委托人：</w:t>
            </w:r>
            <w:r>
              <w:rPr>
                <w:rFonts w:hint="eastAsia" w:ascii="宋体" w:hAnsi="宋体" w:eastAsia="宋体" w:cs="宋体"/>
                <w:color w:val="auto"/>
                <w:sz w:val="21"/>
                <w:highlight w:val="none"/>
                <w:u w:val="single"/>
              </w:rPr>
              <w:t>（签字或盖章）</w:t>
            </w:r>
          </w:p>
          <w:p w14:paraId="6A2430C9">
            <w:pPr>
              <w:pStyle w:val="49"/>
              <w:tabs>
                <w:tab w:val="left" w:pos="735"/>
              </w:tabs>
              <w:spacing w:before="4" w:line="240" w:lineRule="auto"/>
              <w:ind w:left="104"/>
              <w:rPr>
                <w:color w:val="auto"/>
                <w:sz w:val="21"/>
                <w:highlight w:val="none"/>
              </w:rPr>
            </w:pPr>
            <w:r>
              <w:rPr>
                <w:color w:val="auto"/>
                <w:sz w:val="21"/>
                <w:highlight w:val="none"/>
              </w:rPr>
              <w:t>在</w:t>
            </w:r>
            <w:r>
              <w:rPr>
                <w:color w:val="auto"/>
                <w:sz w:val="21"/>
                <w:highlight w:val="none"/>
                <w:u w:val="single"/>
              </w:rPr>
              <w:t xml:space="preserve"> </w:t>
            </w:r>
            <w:r>
              <w:rPr>
                <w:color w:val="auto"/>
                <w:sz w:val="21"/>
                <w:highlight w:val="none"/>
                <w:u w:val="single"/>
              </w:rPr>
              <w:tab/>
            </w:r>
            <w:r>
              <w:rPr>
                <w:color w:val="auto"/>
                <w:sz w:val="21"/>
                <w:highlight w:val="none"/>
              </w:rPr>
              <w:t>年</w:t>
            </w:r>
            <w:r>
              <w:rPr>
                <w:color w:val="auto"/>
                <w:sz w:val="21"/>
                <w:highlight w:val="none"/>
                <w:u w:val="single"/>
              </w:rPr>
              <w:t xml:space="preserve"> </w:t>
            </w:r>
            <w:r>
              <w:rPr>
                <w:rFonts w:hint="eastAsia"/>
                <w:color w:val="auto"/>
                <w:sz w:val="21"/>
                <w:highlight w:val="none"/>
                <w:u w:val="single"/>
                <w:lang w:val="en-US" w:eastAsia="zh-CN"/>
              </w:rPr>
              <w:t xml:space="preserve">   </w:t>
            </w:r>
            <w:r>
              <w:rPr>
                <w:color w:val="auto"/>
                <w:sz w:val="21"/>
                <w:highlight w:val="none"/>
              </w:rPr>
              <w:t>月</w:t>
            </w:r>
            <w:r>
              <w:rPr>
                <w:color w:val="auto"/>
                <w:spacing w:val="1"/>
                <w:sz w:val="21"/>
                <w:highlight w:val="none"/>
                <w:u w:val="single"/>
              </w:rPr>
              <w:t xml:space="preserve"> </w:t>
            </w:r>
            <w:r>
              <w:rPr>
                <w:rFonts w:hint="eastAsia"/>
                <w:color w:val="auto"/>
                <w:spacing w:val="1"/>
                <w:sz w:val="21"/>
                <w:highlight w:val="none"/>
                <w:u w:val="single"/>
                <w:lang w:val="en-US" w:eastAsia="zh-CN"/>
              </w:rPr>
              <w:t xml:space="preserve">   </w:t>
            </w:r>
            <w:r>
              <w:rPr>
                <w:color w:val="auto"/>
                <w:sz w:val="21"/>
                <w:highlight w:val="none"/>
              </w:rPr>
              <w:t>日</w:t>
            </w:r>
            <w:r>
              <w:rPr>
                <w:color w:val="auto"/>
                <w:sz w:val="21"/>
                <w:highlight w:val="none"/>
                <w:u w:val="single"/>
              </w:rPr>
              <w:t xml:space="preserve"> </w:t>
            </w:r>
            <w:r>
              <w:rPr>
                <w:rFonts w:hint="eastAsia"/>
                <w:color w:val="auto"/>
                <w:sz w:val="21"/>
                <w:highlight w:val="none"/>
                <w:u w:val="single"/>
                <w:lang w:val="en-US" w:eastAsia="zh-CN"/>
              </w:rPr>
              <w:t xml:space="preserve">   </w:t>
            </w:r>
            <w:r>
              <w:rPr>
                <w:color w:val="auto"/>
                <w:sz w:val="21"/>
                <w:highlight w:val="none"/>
              </w:rPr>
              <w:t>时</w:t>
            </w:r>
            <w:r>
              <w:rPr>
                <w:color w:val="auto"/>
                <w:spacing w:val="1"/>
                <w:sz w:val="21"/>
                <w:highlight w:val="none"/>
                <w:u w:val="single"/>
              </w:rPr>
              <w:t xml:space="preserve"> </w:t>
            </w:r>
            <w:r>
              <w:rPr>
                <w:rFonts w:hint="eastAsia"/>
                <w:color w:val="auto"/>
                <w:spacing w:val="1"/>
                <w:sz w:val="21"/>
                <w:highlight w:val="none"/>
                <w:u w:val="single"/>
                <w:lang w:val="en-US" w:eastAsia="zh-CN"/>
              </w:rPr>
              <w:t xml:space="preserve">   </w:t>
            </w:r>
            <w:r>
              <w:rPr>
                <w:color w:val="auto"/>
                <w:sz w:val="21"/>
                <w:highlight w:val="none"/>
              </w:rPr>
              <w:t>分之前不得启封</w:t>
            </w:r>
          </w:p>
        </w:tc>
      </w:tr>
      <w:tr w14:paraId="76CD82E4">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45" w:hRule="atLeast"/>
        </w:trPr>
        <w:tc>
          <w:tcPr>
            <w:tcW w:w="1343" w:type="dxa"/>
            <w:tcBorders>
              <w:top w:val="single" w:color="000000" w:sz="6" w:space="0"/>
              <w:bottom w:val="single" w:color="000000" w:sz="6" w:space="0"/>
              <w:right w:val="single" w:color="000000" w:sz="6" w:space="0"/>
            </w:tcBorders>
          </w:tcPr>
          <w:p w14:paraId="13945F98">
            <w:pPr>
              <w:pStyle w:val="49"/>
              <w:ind w:left="113" w:right="114"/>
              <w:jc w:val="center"/>
              <w:rPr>
                <w:color w:val="auto"/>
                <w:sz w:val="21"/>
                <w:highlight w:val="none"/>
              </w:rPr>
            </w:pPr>
            <w:r>
              <w:rPr>
                <w:color w:val="auto"/>
                <w:sz w:val="21"/>
                <w:highlight w:val="none"/>
              </w:rPr>
              <w:t>第二章</w:t>
            </w:r>
          </w:p>
          <w:p w14:paraId="3C66D7AF">
            <w:pPr>
              <w:pStyle w:val="49"/>
              <w:spacing w:before="5" w:line="251" w:lineRule="exact"/>
              <w:ind w:left="115" w:right="114"/>
              <w:jc w:val="center"/>
              <w:rPr>
                <w:color w:val="auto"/>
                <w:sz w:val="21"/>
                <w:highlight w:val="none"/>
              </w:rPr>
            </w:pPr>
            <w:r>
              <w:rPr>
                <w:color w:val="auto"/>
                <w:sz w:val="21"/>
                <w:highlight w:val="none"/>
              </w:rPr>
              <w:t>第 24.1 款</w:t>
            </w:r>
          </w:p>
        </w:tc>
        <w:tc>
          <w:tcPr>
            <w:tcW w:w="2580" w:type="dxa"/>
            <w:tcBorders>
              <w:top w:val="single" w:color="000000" w:sz="6" w:space="0"/>
              <w:left w:val="single" w:color="000000" w:sz="6" w:space="0"/>
              <w:bottom w:val="single" w:color="000000" w:sz="6" w:space="0"/>
              <w:right w:val="single" w:color="000000" w:sz="6" w:space="0"/>
            </w:tcBorders>
          </w:tcPr>
          <w:p w14:paraId="4FA8908E">
            <w:pPr>
              <w:pStyle w:val="49"/>
              <w:spacing w:before="135"/>
              <w:ind w:left="110" w:right="103"/>
              <w:jc w:val="center"/>
              <w:rPr>
                <w:color w:val="auto"/>
                <w:sz w:val="21"/>
                <w:highlight w:val="none"/>
              </w:rPr>
            </w:pPr>
            <w:r>
              <w:rPr>
                <w:color w:val="auto"/>
                <w:sz w:val="21"/>
                <w:highlight w:val="none"/>
              </w:rPr>
              <w:t>响应文件的递交地点</w:t>
            </w:r>
          </w:p>
        </w:tc>
        <w:tc>
          <w:tcPr>
            <w:tcW w:w="5137" w:type="dxa"/>
            <w:tcBorders>
              <w:top w:val="single" w:color="000000" w:sz="6" w:space="0"/>
              <w:left w:val="single" w:color="000000" w:sz="6" w:space="0"/>
              <w:bottom w:val="single" w:color="000000" w:sz="6" w:space="0"/>
            </w:tcBorders>
          </w:tcPr>
          <w:p w14:paraId="6601C9AB">
            <w:pPr>
              <w:adjustRightInd w:val="0"/>
              <w:snapToGrid w:val="0"/>
              <w:spacing w:line="460" w:lineRule="exact"/>
              <w:ind w:firstLine="420" w:firstLineChars="200"/>
              <w:rPr>
                <w:rFonts w:hint="eastAsia"/>
                <w:color w:val="auto"/>
                <w:sz w:val="21"/>
                <w:highlight w:val="none"/>
                <w:lang w:eastAsia="zh-CN"/>
              </w:rPr>
            </w:pPr>
            <w:r>
              <w:rPr>
                <w:rFonts w:hint="eastAsia" w:ascii="宋体" w:hAnsi="宋体" w:cs="宋体"/>
                <w:color w:val="auto"/>
                <w:kern w:val="0"/>
                <w:sz w:val="21"/>
                <w:szCs w:val="21"/>
                <w:highlight w:val="none"/>
                <w:lang w:val="en-US" w:eastAsia="zh-CN" w:bidi="ar"/>
              </w:rPr>
              <w:t>汨罗市建设东路西雅图对面金麦KTV内停车场北3栋3楼</w:t>
            </w:r>
            <w:r>
              <w:rPr>
                <w:rFonts w:hint="eastAsia" w:cs="宋体"/>
                <w:color w:val="auto"/>
                <w:kern w:val="0"/>
                <w:sz w:val="21"/>
                <w:szCs w:val="21"/>
                <w:highlight w:val="none"/>
                <w:lang w:val="en-US" w:eastAsia="zh-CN" w:bidi="ar"/>
              </w:rPr>
              <w:t>（湖南湘建智科工程技术有限公司）</w:t>
            </w:r>
          </w:p>
        </w:tc>
      </w:tr>
      <w:tr w14:paraId="2A060A64">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272" w:hRule="atLeast"/>
        </w:trPr>
        <w:tc>
          <w:tcPr>
            <w:tcW w:w="9060" w:type="dxa"/>
            <w:gridSpan w:val="3"/>
            <w:tcBorders>
              <w:top w:val="single" w:color="000000" w:sz="6" w:space="0"/>
              <w:bottom w:val="single" w:color="000000" w:sz="6" w:space="0"/>
            </w:tcBorders>
          </w:tcPr>
          <w:p w14:paraId="095F11BB">
            <w:pPr>
              <w:pStyle w:val="49"/>
              <w:spacing w:before="2" w:line="250" w:lineRule="exact"/>
              <w:ind w:left="97"/>
              <w:rPr>
                <w:b/>
                <w:color w:val="auto"/>
                <w:sz w:val="21"/>
                <w:highlight w:val="none"/>
              </w:rPr>
            </w:pPr>
            <w:r>
              <w:rPr>
                <w:b/>
                <w:color w:val="auto"/>
                <w:sz w:val="21"/>
                <w:highlight w:val="none"/>
              </w:rPr>
              <w:t>五、响应文件的磋商与评审</w:t>
            </w:r>
          </w:p>
        </w:tc>
      </w:tr>
      <w:tr w14:paraId="44276312">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45" w:hRule="atLeast"/>
        </w:trPr>
        <w:tc>
          <w:tcPr>
            <w:tcW w:w="1343" w:type="dxa"/>
            <w:tcBorders>
              <w:top w:val="single" w:color="000000" w:sz="6" w:space="0"/>
              <w:bottom w:val="single" w:color="000000" w:sz="6" w:space="0"/>
              <w:right w:val="single" w:color="000000" w:sz="6" w:space="0"/>
            </w:tcBorders>
          </w:tcPr>
          <w:p w14:paraId="28821321">
            <w:pPr>
              <w:pStyle w:val="49"/>
              <w:spacing w:before="1"/>
              <w:ind w:left="113" w:right="114"/>
              <w:jc w:val="center"/>
              <w:rPr>
                <w:color w:val="auto"/>
                <w:sz w:val="21"/>
                <w:highlight w:val="none"/>
              </w:rPr>
            </w:pPr>
            <w:r>
              <w:rPr>
                <w:color w:val="auto"/>
                <w:sz w:val="21"/>
                <w:highlight w:val="none"/>
              </w:rPr>
              <w:t>第二章</w:t>
            </w:r>
          </w:p>
          <w:p w14:paraId="080A975F">
            <w:pPr>
              <w:pStyle w:val="49"/>
              <w:spacing w:before="2" w:line="253" w:lineRule="exact"/>
              <w:ind w:left="115" w:right="114"/>
              <w:jc w:val="center"/>
              <w:rPr>
                <w:color w:val="auto"/>
                <w:sz w:val="21"/>
                <w:highlight w:val="none"/>
              </w:rPr>
            </w:pPr>
            <w:r>
              <w:rPr>
                <w:color w:val="auto"/>
                <w:sz w:val="21"/>
                <w:highlight w:val="none"/>
              </w:rPr>
              <w:t>第 31.2 款</w:t>
            </w:r>
          </w:p>
        </w:tc>
        <w:tc>
          <w:tcPr>
            <w:tcW w:w="2580" w:type="dxa"/>
            <w:tcBorders>
              <w:top w:val="single" w:color="000000" w:sz="6" w:space="0"/>
              <w:left w:val="single" w:color="000000" w:sz="6" w:space="0"/>
              <w:bottom w:val="single" w:color="000000" w:sz="6" w:space="0"/>
              <w:right w:val="single" w:color="000000" w:sz="6" w:space="0"/>
            </w:tcBorders>
          </w:tcPr>
          <w:p w14:paraId="61F69CBF">
            <w:pPr>
              <w:pStyle w:val="49"/>
              <w:spacing w:before="135"/>
              <w:ind w:left="112" w:right="103"/>
              <w:jc w:val="center"/>
              <w:rPr>
                <w:color w:val="auto"/>
                <w:sz w:val="21"/>
                <w:highlight w:val="none"/>
              </w:rPr>
            </w:pPr>
            <w:r>
              <w:rPr>
                <w:color w:val="auto"/>
                <w:sz w:val="21"/>
                <w:highlight w:val="none"/>
              </w:rPr>
              <w:t>评审因素和标准</w:t>
            </w:r>
          </w:p>
        </w:tc>
        <w:tc>
          <w:tcPr>
            <w:tcW w:w="5137" w:type="dxa"/>
            <w:tcBorders>
              <w:top w:val="single" w:color="000000" w:sz="6" w:space="0"/>
              <w:left w:val="single" w:color="000000" w:sz="6" w:space="0"/>
              <w:bottom w:val="single" w:color="000000" w:sz="6" w:space="0"/>
            </w:tcBorders>
          </w:tcPr>
          <w:p w14:paraId="60D3BB59">
            <w:pPr>
              <w:pStyle w:val="49"/>
              <w:spacing w:before="135"/>
              <w:ind w:left="104"/>
              <w:rPr>
                <w:color w:val="auto"/>
                <w:sz w:val="21"/>
                <w:highlight w:val="none"/>
              </w:rPr>
            </w:pPr>
            <w:r>
              <w:rPr>
                <w:color w:val="auto"/>
                <w:sz w:val="21"/>
                <w:highlight w:val="none"/>
              </w:rPr>
              <w:t>见第三章评审方法</w:t>
            </w:r>
          </w:p>
        </w:tc>
      </w:tr>
      <w:tr w14:paraId="645E9216">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204" w:hRule="atLeast"/>
        </w:trPr>
        <w:tc>
          <w:tcPr>
            <w:tcW w:w="1343" w:type="dxa"/>
            <w:tcBorders>
              <w:top w:val="single" w:color="000000" w:sz="6" w:space="0"/>
              <w:bottom w:val="single" w:color="000000" w:sz="6" w:space="0"/>
              <w:right w:val="single" w:color="000000" w:sz="6" w:space="0"/>
            </w:tcBorders>
            <w:vAlign w:val="center"/>
          </w:tcPr>
          <w:p w14:paraId="59C62478">
            <w:pPr>
              <w:pStyle w:val="49"/>
              <w:spacing w:line="242" w:lineRule="auto"/>
              <w:ind w:left="189" w:right="185" w:firstLine="156"/>
              <w:jc w:val="center"/>
              <w:rPr>
                <w:color w:val="auto"/>
                <w:sz w:val="21"/>
                <w:highlight w:val="none"/>
              </w:rPr>
            </w:pPr>
            <w:r>
              <w:rPr>
                <w:color w:val="auto"/>
                <w:sz w:val="21"/>
                <w:highlight w:val="none"/>
              </w:rPr>
              <w:t>第二章</w:t>
            </w:r>
          </w:p>
          <w:p w14:paraId="47712562">
            <w:pPr>
              <w:pStyle w:val="49"/>
              <w:spacing w:line="242" w:lineRule="auto"/>
              <w:ind w:left="9" w:leftChars="0" w:right="9" w:rightChars="0" w:hanging="9" w:firstLineChars="0"/>
              <w:jc w:val="center"/>
              <w:rPr>
                <w:color w:val="auto"/>
                <w:sz w:val="21"/>
                <w:highlight w:val="none"/>
              </w:rPr>
            </w:pPr>
            <w:r>
              <w:rPr>
                <w:color w:val="auto"/>
                <w:spacing w:val="-28"/>
                <w:sz w:val="21"/>
                <w:highlight w:val="none"/>
              </w:rPr>
              <w:t xml:space="preserve">第 </w:t>
            </w:r>
            <w:r>
              <w:rPr>
                <w:color w:val="auto"/>
                <w:sz w:val="21"/>
                <w:highlight w:val="none"/>
              </w:rPr>
              <w:t>31.3</w:t>
            </w:r>
            <w:r>
              <w:rPr>
                <w:color w:val="auto"/>
                <w:spacing w:val="-34"/>
                <w:sz w:val="21"/>
                <w:highlight w:val="none"/>
              </w:rPr>
              <w:t xml:space="preserve"> 款</w:t>
            </w:r>
          </w:p>
        </w:tc>
        <w:tc>
          <w:tcPr>
            <w:tcW w:w="2580" w:type="dxa"/>
            <w:tcBorders>
              <w:top w:val="single" w:color="000000" w:sz="6" w:space="0"/>
              <w:left w:val="single" w:color="000000" w:sz="6" w:space="0"/>
              <w:bottom w:val="single" w:color="000000" w:sz="6" w:space="0"/>
              <w:right w:val="single" w:color="000000" w:sz="6" w:space="0"/>
            </w:tcBorders>
            <w:vAlign w:val="center"/>
          </w:tcPr>
          <w:p w14:paraId="574EF540">
            <w:pPr>
              <w:pStyle w:val="49"/>
              <w:ind w:left="107" w:right="103"/>
              <w:jc w:val="center"/>
              <w:rPr>
                <w:color w:val="auto"/>
                <w:sz w:val="21"/>
                <w:highlight w:val="none"/>
              </w:rPr>
            </w:pPr>
            <w:r>
              <w:rPr>
                <w:color w:val="auto"/>
                <w:sz w:val="21"/>
                <w:highlight w:val="none"/>
              </w:rPr>
              <w:t>最后报价调整</w:t>
            </w:r>
          </w:p>
        </w:tc>
        <w:tc>
          <w:tcPr>
            <w:tcW w:w="5137" w:type="dxa"/>
            <w:tcBorders>
              <w:top w:val="single" w:color="000000" w:sz="6" w:space="0"/>
              <w:left w:val="single" w:color="000000" w:sz="6" w:space="0"/>
              <w:bottom w:val="single" w:color="000000" w:sz="6" w:space="0"/>
            </w:tcBorders>
          </w:tcPr>
          <w:p w14:paraId="36A82280">
            <w:pPr>
              <w:pStyle w:val="49"/>
              <w:keepNext w:val="0"/>
              <w:keepLines/>
              <w:pageBreakBefore w:val="0"/>
              <w:widowControl w:val="0"/>
              <w:kinsoku/>
              <w:wordWrap w:val="0"/>
              <w:overflowPunct/>
              <w:topLinePunct w:val="0"/>
              <w:autoSpaceDE w:val="0"/>
              <w:autoSpaceDN w:val="0"/>
              <w:bidi w:val="0"/>
              <w:spacing w:before="2" w:line="251" w:lineRule="exact"/>
              <w:ind w:left="104"/>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政府采购支持中小企业发展：</w:t>
            </w:r>
          </w:p>
          <w:p w14:paraId="6FD57111">
            <w:pPr>
              <w:pStyle w:val="49"/>
              <w:keepNext w:val="0"/>
              <w:keepLines/>
              <w:pageBreakBefore w:val="0"/>
              <w:widowControl w:val="0"/>
              <w:kinsoku/>
              <w:wordWrap w:val="0"/>
              <w:overflowPunct/>
              <w:topLinePunct w:val="0"/>
              <w:autoSpaceDE w:val="0"/>
              <w:autoSpaceDN w:val="0"/>
              <w:bidi w:val="0"/>
              <w:spacing w:before="2" w:line="251" w:lineRule="exact"/>
              <w:ind w:left="104"/>
              <w:textAlignment w:val="auto"/>
              <w:rPr>
                <w:rFonts w:hint="eastAsia" w:ascii="宋体" w:hAnsi="宋体" w:eastAsia="宋体" w:cs="宋体"/>
                <w:color w:val="auto"/>
                <w:sz w:val="21"/>
                <w:highlight w:val="none"/>
              </w:rPr>
            </w:pPr>
            <w:r>
              <w:rPr>
                <w:rFonts w:hint="eastAsia" w:cs="宋体"/>
                <w:color w:val="auto"/>
                <w:sz w:val="21"/>
                <w:highlight w:val="none"/>
                <w:lang w:eastAsia="zh-CN"/>
              </w:rPr>
              <w:t>☑</w:t>
            </w: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专门面向中小企业采购（应同时在招标公告中注明）。</w:t>
            </w:r>
          </w:p>
          <w:p w14:paraId="4ED8D27F">
            <w:pPr>
              <w:pStyle w:val="49"/>
              <w:keepNext w:val="0"/>
              <w:keepLines/>
              <w:pageBreakBefore w:val="0"/>
              <w:widowControl w:val="0"/>
              <w:kinsoku/>
              <w:wordWrap w:val="0"/>
              <w:overflowPunct/>
              <w:topLinePunct w:val="0"/>
              <w:autoSpaceDE w:val="0"/>
              <w:autoSpaceDN w:val="0"/>
              <w:bidi w:val="0"/>
              <w:spacing w:before="2" w:line="251" w:lineRule="exact"/>
              <w:ind w:left="104"/>
              <w:textAlignment w:val="auto"/>
              <w:rPr>
                <w:rFonts w:hint="eastAsia" w:ascii="宋体" w:hAnsi="宋体" w:eastAsia="宋体" w:cs="宋体"/>
                <w:color w:val="auto"/>
                <w:sz w:val="21"/>
                <w:highlight w:val="none"/>
              </w:rPr>
            </w:pPr>
            <w:r>
              <w:rPr>
                <w:rFonts w:hint="eastAsia" w:cs="宋体"/>
                <w:color w:val="auto"/>
                <w:sz w:val="21"/>
                <w:highlight w:val="none"/>
                <w:lang w:eastAsia="zh-CN"/>
              </w:rPr>
              <w:t>□</w:t>
            </w: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非专门面向中小企业采购：</w:t>
            </w:r>
          </w:p>
          <w:p w14:paraId="6C17F86C">
            <w:pPr>
              <w:pStyle w:val="49"/>
              <w:keepNext w:val="0"/>
              <w:keepLines/>
              <w:pageBreakBefore w:val="0"/>
              <w:widowControl w:val="0"/>
              <w:kinsoku/>
              <w:wordWrap w:val="0"/>
              <w:overflowPunct/>
              <w:topLinePunct w:val="0"/>
              <w:autoSpaceDE w:val="0"/>
              <w:autoSpaceDN w:val="0"/>
              <w:bidi w:val="0"/>
              <w:spacing w:before="2" w:line="251" w:lineRule="exact"/>
              <w:ind w:left="104"/>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给予小型和微型企业产品的价格给予</w:t>
            </w:r>
            <w:r>
              <w:rPr>
                <w:rFonts w:hint="eastAsia" w:ascii="宋体" w:hAnsi="宋体" w:eastAsia="宋体" w:cs="宋体"/>
                <w:color w:val="auto"/>
                <w:sz w:val="21"/>
                <w:highlight w:val="none"/>
                <w:lang w:val="en-US" w:eastAsia="zh-CN"/>
              </w:rPr>
              <w:t>10</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0%的扣除</w:t>
            </w:r>
            <w:r>
              <w:rPr>
                <w:rFonts w:hint="eastAsia" w:ascii="宋体" w:hAnsi="宋体" w:eastAsia="宋体" w:cs="宋体"/>
                <w:color w:val="auto"/>
                <w:sz w:val="21"/>
                <w:highlight w:val="none"/>
                <w:lang w:val="en-US" w:eastAsia="zh-CN"/>
              </w:rPr>
              <w:t xml:space="preserve">（工程项目 </w:t>
            </w:r>
            <w:r>
              <w:rPr>
                <w:rFonts w:hint="default" w:ascii="宋体" w:hAnsi="宋体" w:eastAsia="宋体" w:cs="宋体"/>
                <w:color w:val="auto"/>
                <w:sz w:val="21"/>
                <w:highlight w:val="none"/>
                <w:lang w:val="en-US" w:eastAsia="zh-CN"/>
              </w:rPr>
              <w:t>6%</w:t>
            </w:r>
            <w:r>
              <w:rPr>
                <w:rFonts w:hint="eastAsia" w:ascii="宋体" w:hAnsi="宋体" w:eastAsia="宋体" w:cs="宋体"/>
                <w:color w:val="auto"/>
                <w:sz w:val="21"/>
                <w:highlight w:val="none"/>
                <w:lang w:val="en-US" w:eastAsia="zh-CN"/>
              </w:rPr>
              <w:t>-</w:t>
            </w:r>
            <w:r>
              <w:rPr>
                <w:rFonts w:hint="default" w:ascii="宋体" w:hAnsi="宋体" w:eastAsia="宋体" w:cs="宋体"/>
                <w:color w:val="auto"/>
                <w:sz w:val="21"/>
                <w:highlight w:val="none"/>
                <w:lang w:val="en-US" w:eastAsia="zh-CN"/>
              </w:rPr>
              <w:t>10%</w:t>
            </w:r>
            <w:r>
              <w:rPr>
                <w:rFonts w:hint="eastAsia" w:ascii="宋体" w:hAnsi="宋体" w:eastAsia="宋体" w:cs="宋体"/>
                <w:color w:val="auto"/>
                <w:sz w:val="21"/>
                <w:highlight w:val="none"/>
                <w:lang w:val="en-US" w:eastAsia="zh-CN"/>
              </w:rPr>
              <w:t>），</w:t>
            </w:r>
            <w:r>
              <w:rPr>
                <w:rFonts w:hint="eastAsia" w:ascii="宋体" w:hAnsi="宋体" w:eastAsia="宋体" w:cs="宋体"/>
                <w:color w:val="auto"/>
                <w:sz w:val="21"/>
                <w:highlight w:val="none"/>
              </w:rPr>
              <w:t>用扣除后的价格参与评审，本项目具体扣除比例为</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u w:val="single"/>
                <w:lang w:val="en-US" w:eastAsia="zh-CN"/>
              </w:rPr>
              <w:t>10</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w:t>
            </w:r>
          </w:p>
          <w:p w14:paraId="31F6E2A6">
            <w:pPr>
              <w:pStyle w:val="49"/>
              <w:ind w:left="107" w:right="103"/>
              <w:jc w:val="left"/>
              <w:rPr>
                <w:color w:val="auto"/>
                <w:spacing w:val="-7"/>
                <w:sz w:val="21"/>
                <w:highlight w:val="none"/>
              </w:rPr>
            </w:pPr>
            <w:r>
              <w:rPr>
                <w:rFonts w:ascii="宋体" w:hAnsi="宋体" w:eastAsia="宋体" w:cs="宋体"/>
                <w:color w:val="auto"/>
                <w:sz w:val="21"/>
                <w:highlight w:val="none"/>
              </w:rPr>
              <w:t>评审时，用扣除后的最后报价计算价格分。</w:t>
            </w:r>
          </w:p>
        </w:tc>
      </w:tr>
      <w:tr w14:paraId="2E757073">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1089" w:hRule="atLeast"/>
        </w:trPr>
        <w:tc>
          <w:tcPr>
            <w:tcW w:w="1343" w:type="dxa"/>
            <w:tcBorders>
              <w:top w:val="single" w:color="000000" w:sz="6" w:space="0"/>
              <w:bottom w:val="single" w:color="000000" w:sz="6" w:space="0"/>
              <w:right w:val="single" w:color="000000" w:sz="6" w:space="0"/>
            </w:tcBorders>
            <w:vAlign w:val="center"/>
          </w:tcPr>
          <w:p w14:paraId="6ACE0786">
            <w:pPr>
              <w:pStyle w:val="49"/>
              <w:spacing w:line="242" w:lineRule="auto"/>
              <w:ind w:left="189" w:right="185" w:firstLine="156"/>
              <w:jc w:val="center"/>
              <w:rPr>
                <w:color w:val="auto"/>
                <w:sz w:val="21"/>
                <w:highlight w:val="none"/>
              </w:rPr>
            </w:pPr>
            <w:r>
              <w:rPr>
                <w:rFonts w:hint="eastAsia" w:ascii="宋体" w:hAnsi="宋体" w:cs="宋体"/>
                <w:color w:val="auto"/>
                <w:highlight w:val="none"/>
              </w:rPr>
              <w:t>第二章第31.5款</w:t>
            </w:r>
          </w:p>
        </w:tc>
        <w:tc>
          <w:tcPr>
            <w:tcW w:w="2580" w:type="dxa"/>
            <w:tcBorders>
              <w:top w:val="single" w:color="000000" w:sz="6" w:space="0"/>
              <w:left w:val="single" w:color="000000" w:sz="6" w:space="0"/>
              <w:bottom w:val="single" w:color="000000" w:sz="6" w:space="0"/>
              <w:right w:val="single" w:color="000000" w:sz="6" w:space="0"/>
            </w:tcBorders>
            <w:vAlign w:val="center"/>
          </w:tcPr>
          <w:p w14:paraId="792EDC2C">
            <w:pPr>
              <w:spacing w:line="360" w:lineRule="auto"/>
              <w:ind w:left="0" w:leftChars="0" w:right="0" w:rightChars="0"/>
              <w:jc w:val="center"/>
              <w:rPr>
                <w:rFonts w:hint="eastAsia" w:ascii="宋体" w:hAnsi="宋体" w:cs="宋体"/>
                <w:color w:val="auto"/>
                <w:highlight w:val="none"/>
              </w:rPr>
            </w:pPr>
            <w:r>
              <w:rPr>
                <w:rFonts w:hint="eastAsia" w:ascii="宋体" w:hAnsi="宋体" w:cs="宋体"/>
                <w:color w:val="auto"/>
                <w:highlight w:val="none"/>
              </w:rPr>
              <w:t>技术、商务、价格得分</w:t>
            </w:r>
          </w:p>
          <w:p w14:paraId="491DAA0B">
            <w:pPr>
              <w:spacing w:line="360" w:lineRule="auto"/>
              <w:ind w:left="0" w:leftChars="0" w:right="0" w:rightChars="0"/>
              <w:jc w:val="center"/>
              <w:rPr>
                <w:rFonts w:hint="eastAsia" w:ascii="宋体" w:hAnsi="宋体" w:eastAsia="宋体" w:cs="宋体"/>
                <w:color w:val="auto"/>
                <w:sz w:val="22"/>
                <w:szCs w:val="22"/>
                <w:highlight w:val="none"/>
                <w:lang w:val="zh-CN" w:eastAsia="zh-CN" w:bidi="zh-CN"/>
              </w:rPr>
            </w:pPr>
            <w:r>
              <w:rPr>
                <w:rFonts w:hint="eastAsia" w:ascii="宋体" w:hAnsi="宋体" w:cs="宋体"/>
                <w:color w:val="auto"/>
                <w:highlight w:val="none"/>
              </w:rPr>
              <w:t>或总得分调整</w:t>
            </w:r>
          </w:p>
        </w:tc>
        <w:tc>
          <w:tcPr>
            <w:tcW w:w="5137" w:type="dxa"/>
            <w:tcBorders>
              <w:top w:val="single" w:color="000000" w:sz="6" w:space="0"/>
              <w:left w:val="single" w:color="000000" w:sz="6" w:space="0"/>
              <w:bottom w:val="single" w:color="000000" w:sz="6" w:space="0"/>
            </w:tcBorders>
          </w:tcPr>
          <w:p w14:paraId="6DAE9354">
            <w:pPr>
              <w:pStyle w:val="49"/>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符合第二章第9.1款规定，按第二章第31.6款规定及本款分值调整：</w:t>
            </w:r>
          </w:p>
          <w:p w14:paraId="20E6CFDF">
            <w:pPr>
              <w:pStyle w:val="49"/>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节能产品：</w:t>
            </w:r>
          </w:p>
          <w:p w14:paraId="287EECD2">
            <w:pPr>
              <w:pStyle w:val="49"/>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技术加分＝技术分值× 加分比例×（节能产品最后报价÷最后总报价）；</w:t>
            </w:r>
          </w:p>
          <w:p w14:paraId="5FD132A0">
            <w:pPr>
              <w:pStyle w:val="49"/>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价格加分＝价格分值×加分比例×（节能产品最后</w:t>
            </w:r>
          </w:p>
          <w:p w14:paraId="2CB11354">
            <w:pPr>
              <w:pStyle w:val="49"/>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报价÷最后总报价）。</w:t>
            </w:r>
          </w:p>
          <w:p w14:paraId="449A2CBA">
            <w:pPr>
              <w:pStyle w:val="49"/>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2、环境标志产品：</w:t>
            </w:r>
          </w:p>
          <w:p w14:paraId="5CFA1324">
            <w:pPr>
              <w:pStyle w:val="49"/>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技术加分＝技术分值× 加分比例×（环境标志产品最后报价÷最后总报价）；</w:t>
            </w:r>
          </w:p>
          <w:p w14:paraId="4EDC5775">
            <w:pPr>
              <w:pStyle w:val="49"/>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价格加分＝价格分值×加分比例×（环境标志产品</w:t>
            </w:r>
          </w:p>
          <w:p w14:paraId="26B0D198">
            <w:pPr>
              <w:pStyle w:val="49"/>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最后报价÷最后总报价）。</w:t>
            </w:r>
          </w:p>
          <w:p w14:paraId="61CD458E">
            <w:pPr>
              <w:pStyle w:val="49"/>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3、两型产品：</w:t>
            </w:r>
          </w:p>
          <w:p w14:paraId="014C0053">
            <w:pPr>
              <w:pStyle w:val="49"/>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商务加分＝商务分值×加分比例×（两型产品最后报价÷最后总报价）；</w:t>
            </w:r>
          </w:p>
          <w:p w14:paraId="497719FF">
            <w:pPr>
              <w:pStyle w:val="49"/>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技术加分＝技术分值×加分比例×（两型产品最后报价÷最后总报价）；</w:t>
            </w:r>
          </w:p>
          <w:p w14:paraId="1992F588">
            <w:pPr>
              <w:pStyle w:val="49"/>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价格加分＝价格分值×加分比例×（两型产品最后</w:t>
            </w:r>
          </w:p>
          <w:p w14:paraId="08B816B0">
            <w:pPr>
              <w:pStyle w:val="49"/>
              <w:ind w:left="107" w:right="103"/>
              <w:jc w:val="both"/>
              <w:rPr>
                <w:color w:val="auto"/>
                <w:sz w:val="21"/>
                <w:highlight w:val="none"/>
              </w:rPr>
            </w:pPr>
            <w:r>
              <w:rPr>
                <w:rFonts w:hint="eastAsia" w:ascii="宋体" w:hAnsi="宋体" w:eastAsia="宋体" w:cs="宋体"/>
                <w:color w:val="auto"/>
                <w:sz w:val="21"/>
                <w:highlight w:val="none"/>
              </w:rPr>
              <w:t>报价÷最后总报价）。</w:t>
            </w:r>
          </w:p>
        </w:tc>
      </w:tr>
      <w:tr w14:paraId="6898BC2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1089" w:hRule="atLeast"/>
        </w:trPr>
        <w:tc>
          <w:tcPr>
            <w:tcW w:w="1343" w:type="dxa"/>
            <w:tcBorders>
              <w:top w:val="single" w:color="000000" w:sz="6" w:space="0"/>
              <w:bottom w:val="single" w:color="000000" w:sz="6" w:space="0"/>
              <w:right w:val="single" w:color="000000" w:sz="6" w:space="0"/>
            </w:tcBorders>
            <w:vAlign w:val="center"/>
          </w:tcPr>
          <w:p w14:paraId="4A6F9DD6">
            <w:pPr>
              <w:pStyle w:val="49"/>
              <w:spacing w:line="242" w:lineRule="auto"/>
              <w:ind w:left="189" w:right="185" w:firstLine="156"/>
              <w:jc w:val="center"/>
              <w:rPr>
                <w:rFonts w:hint="eastAsia" w:ascii="宋体" w:hAnsi="宋体" w:cs="宋体"/>
                <w:color w:val="auto"/>
                <w:highlight w:val="none"/>
              </w:rPr>
            </w:pPr>
            <w:r>
              <w:rPr>
                <w:rFonts w:hint="eastAsia" w:ascii="宋体" w:hAnsi="宋体" w:cs="宋体"/>
                <w:color w:val="auto"/>
                <w:highlight w:val="none"/>
              </w:rPr>
              <w:t>第二章第31.6款</w:t>
            </w:r>
          </w:p>
        </w:tc>
        <w:tc>
          <w:tcPr>
            <w:tcW w:w="2580" w:type="dxa"/>
            <w:tcBorders>
              <w:top w:val="single" w:color="000000" w:sz="6" w:space="0"/>
              <w:left w:val="single" w:color="000000" w:sz="6" w:space="0"/>
              <w:bottom w:val="single" w:color="000000" w:sz="6" w:space="0"/>
              <w:right w:val="single" w:color="000000" w:sz="6" w:space="0"/>
            </w:tcBorders>
            <w:vAlign w:val="center"/>
          </w:tcPr>
          <w:p w14:paraId="0B918C6E">
            <w:pPr>
              <w:adjustRightInd w:val="0"/>
              <w:snapToGrid w:val="0"/>
              <w:spacing w:line="360" w:lineRule="auto"/>
              <w:ind w:left="0" w:leftChars="0" w:right="0" w:rightChars="0"/>
              <w:jc w:val="center"/>
              <w:rPr>
                <w:rFonts w:hint="eastAsia" w:ascii="宋体" w:hAnsi="宋体" w:eastAsia="宋体" w:cs="宋体"/>
                <w:color w:val="auto"/>
                <w:sz w:val="22"/>
                <w:szCs w:val="22"/>
                <w:highlight w:val="none"/>
                <w:lang w:val="zh-CN" w:eastAsia="zh-CN" w:bidi="zh-CN"/>
              </w:rPr>
            </w:pPr>
            <w:r>
              <w:rPr>
                <w:rFonts w:hint="eastAsia" w:ascii="宋体" w:hAnsi="宋体" w:cs="宋体"/>
                <w:color w:val="auto"/>
                <w:szCs w:val="21"/>
                <w:highlight w:val="none"/>
              </w:rPr>
              <w:t>多处或部分获得政府采购政策优惠的计算方法</w:t>
            </w:r>
          </w:p>
        </w:tc>
        <w:tc>
          <w:tcPr>
            <w:tcW w:w="5137" w:type="dxa"/>
            <w:tcBorders>
              <w:top w:val="single" w:color="000000" w:sz="6" w:space="0"/>
              <w:left w:val="single" w:color="000000" w:sz="6" w:space="0"/>
              <w:bottom w:val="single" w:color="000000" w:sz="6" w:space="0"/>
            </w:tcBorders>
          </w:tcPr>
          <w:p w14:paraId="2D69AADC">
            <w:pPr>
              <w:pStyle w:val="49"/>
              <w:spacing w:line="240" w:lineRule="auto"/>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1、供应商投标产品同时具备政府采购优先采购环境标志和政府采购支持两型产品的，供应商可选择其一，也可均填报。对二者均填报的，评标委员会评审时，二者只能选择其一，选择优惠范围最多的优惠政策进行评审。 </w:t>
            </w:r>
          </w:p>
          <w:p w14:paraId="374F958B">
            <w:pPr>
              <w:pStyle w:val="49"/>
              <w:spacing w:line="240" w:lineRule="auto"/>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2、扶持中小企业发展的优惠政策可以叠加享受。</w:t>
            </w:r>
          </w:p>
          <w:p w14:paraId="67C9FF17">
            <w:pPr>
              <w:pStyle w:val="49"/>
              <w:spacing w:line="240" w:lineRule="auto"/>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 xml:space="preserve">3、残疾人福利性单位属于小型、微型企业的，不重复享受扶持中小企业发展的优惠政策。 </w:t>
            </w:r>
          </w:p>
          <w:p w14:paraId="68DB650F">
            <w:pPr>
              <w:pStyle w:val="49"/>
              <w:spacing w:line="240" w:lineRule="auto"/>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4、供应商按磋商文件要求提供相关的证明文件：所投产品为中小企业生产的，应如实填写并提供生产厂家的《中小企业声明函》及《提供中型、小型、微型企业产品清单》；产品属于“节能产品”或“环境标志产品”或“两型产品”的，应如实填写并提供《提供“节能产品”、“环境标志产品”、“两型产品”清单》并提供《节能产品政府采购清单》、《环境标志产品政府采购清单》、《两型产品政府采购目录》中该产品所在页复印件。否则，磋商小组不予认可。</w:t>
            </w:r>
          </w:p>
        </w:tc>
      </w:tr>
      <w:tr w14:paraId="0519B9D1">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272" w:hRule="atLeast"/>
        </w:trPr>
        <w:tc>
          <w:tcPr>
            <w:tcW w:w="9060" w:type="dxa"/>
            <w:gridSpan w:val="3"/>
            <w:tcBorders>
              <w:top w:val="single" w:color="000000" w:sz="6" w:space="0"/>
              <w:bottom w:val="single" w:color="000000" w:sz="6" w:space="0"/>
            </w:tcBorders>
          </w:tcPr>
          <w:p w14:paraId="578A1262">
            <w:pPr>
              <w:pStyle w:val="49"/>
              <w:spacing w:line="253" w:lineRule="exact"/>
              <w:ind w:left="97"/>
              <w:rPr>
                <w:b/>
                <w:color w:val="auto"/>
                <w:sz w:val="21"/>
                <w:highlight w:val="none"/>
              </w:rPr>
            </w:pPr>
            <w:r>
              <w:rPr>
                <w:b/>
                <w:color w:val="auto"/>
                <w:sz w:val="21"/>
                <w:highlight w:val="none"/>
              </w:rPr>
              <w:t>六、成交结果信息公布与授予合同</w:t>
            </w:r>
          </w:p>
        </w:tc>
      </w:tr>
      <w:tr w14:paraId="2A051D18">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45" w:hRule="atLeast"/>
        </w:trPr>
        <w:tc>
          <w:tcPr>
            <w:tcW w:w="1343" w:type="dxa"/>
            <w:tcBorders>
              <w:top w:val="single" w:color="000000" w:sz="6" w:space="0"/>
              <w:bottom w:val="single" w:color="000000" w:sz="6" w:space="0"/>
              <w:right w:val="single" w:color="000000" w:sz="6" w:space="0"/>
            </w:tcBorders>
          </w:tcPr>
          <w:p w14:paraId="413451FB">
            <w:pPr>
              <w:pStyle w:val="49"/>
              <w:ind w:left="113" w:right="114"/>
              <w:jc w:val="center"/>
              <w:rPr>
                <w:color w:val="auto"/>
                <w:sz w:val="21"/>
                <w:highlight w:val="none"/>
              </w:rPr>
            </w:pPr>
            <w:r>
              <w:rPr>
                <w:color w:val="auto"/>
                <w:sz w:val="21"/>
                <w:highlight w:val="none"/>
              </w:rPr>
              <w:t>第二章</w:t>
            </w:r>
          </w:p>
          <w:p w14:paraId="102B1574">
            <w:pPr>
              <w:pStyle w:val="49"/>
              <w:spacing w:before="2" w:line="254" w:lineRule="exact"/>
              <w:ind w:left="115" w:right="114"/>
              <w:jc w:val="center"/>
              <w:rPr>
                <w:color w:val="auto"/>
                <w:sz w:val="21"/>
                <w:highlight w:val="none"/>
              </w:rPr>
            </w:pPr>
            <w:r>
              <w:rPr>
                <w:color w:val="auto"/>
                <w:sz w:val="21"/>
                <w:highlight w:val="none"/>
              </w:rPr>
              <w:t>第 37.1 款</w:t>
            </w:r>
          </w:p>
        </w:tc>
        <w:tc>
          <w:tcPr>
            <w:tcW w:w="2580" w:type="dxa"/>
            <w:tcBorders>
              <w:top w:val="single" w:color="000000" w:sz="6" w:space="0"/>
              <w:left w:val="single" w:color="000000" w:sz="6" w:space="0"/>
              <w:bottom w:val="single" w:color="000000" w:sz="6" w:space="0"/>
              <w:right w:val="single" w:color="000000" w:sz="6" w:space="0"/>
            </w:tcBorders>
          </w:tcPr>
          <w:p w14:paraId="5C13BF67">
            <w:pPr>
              <w:pStyle w:val="49"/>
              <w:spacing w:before="134"/>
              <w:ind w:left="110" w:right="103"/>
              <w:jc w:val="center"/>
              <w:rPr>
                <w:color w:val="auto"/>
                <w:sz w:val="21"/>
                <w:highlight w:val="none"/>
              </w:rPr>
            </w:pPr>
            <w:r>
              <w:rPr>
                <w:color w:val="auto"/>
                <w:sz w:val="21"/>
                <w:highlight w:val="none"/>
              </w:rPr>
              <w:t>财政部门指定的媒体</w:t>
            </w:r>
          </w:p>
        </w:tc>
        <w:tc>
          <w:tcPr>
            <w:tcW w:w="5137" w:type="dxa"/>
            <w:tcBorders>
              <w:top w:val="single" w:color="000000" w:sz="6" w:space="0"/>
              <w:left w:val="single" w:color="000000" w:sz="6" w:space="0"/>
              <w:bottom w:val="single" w:color="000000" w:sz="6" w:space="0"/>
            </w:tcBorders>
          </w:tcPr>
          <w:p w14:paraId="73ABD778">
            <w:pPr>
              <w:pStyle w:val="49"/>
              <w:spacing w:before="91"/>
              <w:ind w:left="104"/>
              <w:rPr>
                <w:color w:val="auto"/>
                <w:sz w:val="21"/>
                <w:highlight w:val="none"/>
              </w:rPr>
            </w:pPr>
            <w:r>
              <w:rPr>
                <w:color w:val="auto"/>
                <w:sz w:val="21"/>
                <w:highlight w:val="none"/>
              </w:rPr>
              <w:t>中国·湖南政府采购网(</w:t>
            </w:r>
            <w:r>
              <w:rPr>
                <w:color w:val="auto"/>
                <w:highlight w:val="none"/>
              </w:rPr>
              <w:fldChar w:fldCharType="begin"/>
            </w:r>
            <w:r>
              <w:rPr>
                <w:color w:val="auto"/>
                <w:highlight w:val="none"/>
              </w:rPr>
              <w:instrText xml:space="preserve"> HYPERLINK "http://www.ccgp-hunan.gov.cn/" \h </w:instrText>
            </w:r>
            <w:r>
              <w:rPr>
                <w:color w:val="auto"/>
                <w:highlight w:val="none"/>
              </w:rPr>
              <w:fldChar w:fldCharType="separate"/>
            </w:r>
            <w:r>
              <w:rPr>
                <w:color w:val="auto"/>
                <w:sz w:val="21"/>
                <w:highlight w:val="none"/>
              </w:rPr>
              <w:t>www.ccgp-hunan.gov.cn</w:t>
            </w:r>
            <w:r>
              <w:rPr>
                <w:color w:val="auto"/>
                <w:sz w:val="21"/>
                <w:highlight w:val="none"/>
              </w:rPr>
              <w:fldChar w:fldCharType="end"/>
            </w:r>
            <w:r>
              <w:rPr>
                <w:color w:val="auto"/>
                <w:sz w:val="21"/>
                <w:highlight w:val="none"/>
              </w:rPr>
              <w:t>)</w:t>
            </w:r>
          </w:p>
        </w:tc>
      </w:tr>
      <w:tr w14:paraId="3A4AB7F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43" w:hRule="atLeast"/>
        </w:trPr>
        <w:tc>
          <w:tcPr>
            <w:tcW w:w="1343" w:type="dxa"/>
            <w:tcBorders>
              <w:top w:val="single" w:color="000000" w:sz="6" w:space="0"/>
              <w:bottom w:val="single" w:color="000000" w:sz="6" w:space="0"/>
              <w:right w:val="single" w:color="000000" w:sz="6" w:space="0"/>
            </w:tcBorders>
          </w:tcPr>
          <w:p w14:paraId="466A9190">
            <w:pPr>
              <w:pStyle w:val="49"/>
              <w:spacing w:line="268" w:lineRule="exact"/>
              <w:ind w:left="113" w:right="114"/>
              <w:jc w:val="center"/>
              <w:rPr>
                <w:color w:val="auto"/>
                <w:sz w:val="21"/>
                <w:highlight w:val="none"/>
              </w:rPr>
            </w:pPr>
            <w:r>
              <w:rPr>
                <w:color w:val="auto"/>
                <w:sz w:val="21"/>
                <w:highlight w:val="none"/>
              </w:rPr>
              <w:t>第二章</w:t>
            </w:r>
          </w:p>
          <w:p w14:paraId="735C7793">
            <w:pPr>
              <w:pStyle w:val="49"/>
              <w:spacing w:before="4" w:line="251" w:lineRule="exact"/>
              <w:ind w:left="115" w:right="114"/>
              <w:jc w:val="center"/>
              <w:rPr>
                <w:color w:val="auto"/>
                <w:sz w:val="21"/>
                <w:highlight w:val="none"/>
              </w:rPr>
            </w:pPr>
            <w:r>
              <w:rPr>
                <w:color w:val="auto"/>
                <w:sz w:val="21"/>
                <w:highlight w:val="none"/>
              </w:rPr>
              <w:t>第 39.3 款</w:t>
            </w:r>
          </w:p>
        </w:tc>
        <w:tc>
          <w:tcPr>
            <w:tcW w:w="2580" w:type="dxa"/>
            <w:tcBorders>
              <w:top w:val="single" w:color="000000" w:sz="6" w:space="0"/>
              <w:left w:val="single" w:color="000000" w:sz="6" w:space="0"/>
              <w:bottom w:val="single" w:color="000000" w:sz="6" w:space="0"/>
              <w:right w:val="single" w:color="000000" w:sz="6" w:space="0"/>
            </w:tcBorders>
          </w:tcPr>
          <w:p w14:paraId="774D4D4F">
            <w:pPr>
              <w:pStyle w:val="49"/>
              <w:spacing w:before="136"/>
              <w:ind w:left="110" w:right="103"/>
              <w:jc w:val="center"/>
              <w:rPr>
                <w:color w:val="auto"/>
                <w:sz w:val="21"/>
                <w:highlight w:val="none"/>
              </w:rPr>
            </w:pPr>
            <w:r>
              <w:rPr>
                <w:color w:val="auto"/>
                <w:sz w:val="21"/>
                <w:highlight w:val="none"/>
              </w:rPr>
              <w:t>履约担保</w:t>
            </w:r>
          </w:p>
        </w:tc>
        <w:tc>
          <w:tcPr>
            <w:tcW w:w="5137" w:type="dxa"/>
            <w:tcBorders>
              <w:top w:val="single" w:color="000000" w:sz="6" w:space="0"/>
              <w:left w:val="single" w:color="000000" w:sz="6" w:space="0"/>
              <w:bottom w:val="single" w:color="000000" w:sz="6" w:space="0"/>
            </w:tcBorders>
          </w:tcPr>
          <w:p w14:paraId="3D66CCC1">
            <w:pPr>
              <w:pStyle w:val="49"/>
              <w:numPr>
                <w:ilvl w:val="0"/>
                <w:numId w:val="8"/>
              </w:numPr>
              <w:tabs>
                <w:tab w:val="left" w:pos="316"/>
              </w:tabs>
              <w:spacing w:before="0" w:after="0" w:line="268" w:lineRule="exact"/>
              <w:ind w:left="315" w:right="0" w:hanging="212"/>
              <w:jc w:val="left"/>
              <w:rPr>
                <w:color w:val="auto"/>
                <w:sz w:val="21"/>
                <w:highlight w:val="none"/>
              </w:rPr>
            </w:pPr>
            <w:r>
              <w:rPr>
                <w:color w:val="auto"/>
                <w:sz w:val="21"/>
                <w:highlight w:val="none"/>
              </w:rPr>
              <w:t>不要求提供</w:t>
            </w:r>
          </w:p>
          <w:p w14:paraId="25691609">
            <w:pPr>
              <w:pStyle w:val="49"/>
              <w:spacing w:before="4" w:line="251" w:lineRule="exact"/>
              <w:ind w:left="104"/>
              <w:rPr>
                <w:color w:val="auto"/>
                <w:sz w:val="21"/>
                <w:highlight w:val="none"/>
              </w:rPr>
            </w:pPr>
            <w:r>
              <w:rPr>
                <w:color w:val="auto"/>
                <w:sz w:val="21"/>
                <w:highlight w:val="none"/>
              </w:rPr>
              <w:t>□要求提供:</w:t>
            </w:r>
          </w:p>
        </w:tc>
      </w:tr>
      <w:tr w14:paraId="10565458">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272" w:hRule="atLeast"/>
        </w:trPr>
        <w:tc>
          <w:tcPr>
            <w:tcW w:w="9060" w:type="dxa"/>
            <w:gridSpan w:val="3"/>
            <w:tcBorders>
              <w:top w:val="single" w:color="000000" w:sz="6" w:space="0"/>
              <w:bottom w:val="single" w:color="000000" w:sz="6" w:space="0"/>
            </w:tcBorders>
          </w:tcPr>
          <w:p w14:paraId="2C7856B6">
            <w:pPr>
              <w:pStyle w:val="49"/>
              <w:spacing w:before="2" w:line="251" w:lineRule="exact"/>
              <w:ind w:left="97"/>
              <w:rPr>
                <w:b/>
                <w:color w:val="auto"/>
                <w:sz w:val="21"/>
                <w:highlight w:val="none"/>
              </w:rPr>
            </w:pPr>
            <w:r>
              <w:rPr>
                <w:b/>
                <w:color w:val="auto"/>
                <w:sz w:val="21"/>
                <w:highlight w:val="none"/>
              </w:rPr>
              <w:t>七、其他规定</w:t>
            </w:r>
          </w:p>
        </w:tc>
      </w:tr>
      <w:tr w14:paraId="47B095AB">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819" w:hRule="atLeast"/>
        </w:trPr>
        <w:tc>
          <w:tcPr>
            <w:tcW w:w="1343" w:type="dxa"/>
            <w:tcBorders>
              <w:top w:val="single" w:color="000000" w:sz="6" w:space="0"/>
              <w:bottom w:val="single" w:color="000000" w:sz="6" w:space="0"/>
              <w:right w:val="single" w:color="000000" w:sz="6" w:space="0"/>
            </w:tcBorders>
          </w:tcPr>
          <w:p w14:paraId="54680A12">
            <w:pPr>
              <w:pStyle w:val="49"/>
              <w:spacing w:before="4"/>
              <w:rPr>
                <w:color w:val="auto"/>
                <w:sz w:val="15"/>
                <w:highlight w:val="none"/>
              </w:rPr>
            </w:pPr>
          </w:p>
          <w:p w14:paraId="28AD9665">
            <w:pPr>
              <w:pStyle w:val="49"/>
              <w:spacing w:line="242" w:lineRule="auto"/>
              <w:ind w:left="189" w:right="185" w:firstLine="156"/>
              <w:rPr>
                <w:color w:val="auto"/>
                <w:sz w:val="21"/>
                <w:highlight w:val="none"/>
              </w:rPr>
            </w:pPr>
            <w:r>
              <w:rPr>
                <w:color w:val="auto"/>
                <w:sz w:val="21"/>
                <w:highlight w:val="none"/>
              </w:rPr>
              <w:t>第二章</w:t>
            </w:r>
            <w:r>
              <w:rPr>
                <w:color w:val="auto"/>
                <w:spacing w:val="-28"/>
                <w:sz w:val="21"/>
                <w:highlight w:val="none"/>
              </w:rPr>
              <w:t xml:space="preserve">第 </w:t>
            </w:r>
            <w:r>
              <w:rPr>
                <w:color w:val="auto"/>
                <w:sz w:val="21"/>
                <w:highlight w:val="none"/>
              </w:rPr>
              <w:t>41.1</w:t>
            </w:r>
            <w:r>
              <w:rPr>
                <w:color w:val="auto"/>
                <w:spacing w:val="-34"/>
                <w:sz w:val="21"/>
                <w:highlight w:val="none"/>
              </w:rPr>
              <w:t xml:space="preserve"> 款</w:t>
            </w:r>
          </w:p>
        </w:tc>
        <w:tc>
          <w:tcPr>
            <w:tcW w:w="2580" w:type="dxa"/>
            <w:tcBorders>
              <w:top w:val="single" w:color="000000" w:sz="6" w:space="0"/>
              <w:left w:val="single" w:color="000000" w:sz="6" w:space="0"/>
              <w:bottom w:val="single" w:color="000000" w:sz="6" w:space="0"/>
              <w:right w:val="single" w:color="000000" w:sz="6" w:space="0"/>
            </w:tcBorders>
          </w:tcPr>
          <w:p w14:paraId="343D438E">
            <w:pPr>
              <w:pStyle w:val="49"/>
              <w:spacing w:line="240" w:lineRule="auto"/>
              <w:ind w:left="107" w:right="103"/>
              <w:jc w:val="both"/>
              <w:rPr>
                <w:rFonts w:hint="eastAsia" w:ascii="宋体" w:hAnsi="宋体" w:eastAsia="宋体" w:cs="宋体"/>
                <w:color w:val="auto"/>
                <w:sz w:val="21"/>
                <w:highlight w:val="none"/>
              </w:rPr>
            </w:pPr>
          </w:p>
          <w:p w14:paraId="021A4832">
            <w:pPr>
              <w:pStyle w:val="49"/>
              <w:spacing w:line="240" w:lineRule="auto"/>
              <w:ind w:left="107" w:right="103"/>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采购代理服务费</w:t>
            </w:r>
          </w:p>
        </w:tc>
        <w:tc>
          <w:tcPr>
            <w:tcW w:w="5137" w:type="dxa"/>
            <w:tcBorders>
              <w:top w:val="single" w:color="000000" w:sz="6" w:space="0"/>
              <w:left w:val="single" w:color="000000" w:sz="6" w:space="0"/>
              <w:bottom w:val="single" w:color="000000" w:sz="6" w:space="0"/>
            </w:tcBorders>
            <w:vAlign w:val="center"/>
          </w:tcPr>
          <w:p w14:paraId="321D6F7B">
            <w:pPr>
              <w:pStyle w:val="49"/>
              <w:spacing w:line="240" w:lineRule="auto"/>
              <w:ind w:left="107" w:right="10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竞争性磋商代理服务费最高限价:</w:t>
            </w:r>
            <w:r>
              <w:rPr>
                <w:rFonts w:hint="eastAsia" w:cs="宋体"/>
                <w:color w:val="auto"/>
                <w:sz w:val="21"/>
                <w:highlight w:val="none"/>
                <w:lang w:val="en-US" w:eastAsia="zh-CN"/>
              </w:rPr>
              <w:t>7500</w:t>
            </w:r>
            <w:r>
              <w:rPr>
                <w:rFonts w:hint="eastAsia" w:ascii="宋体" w:hAnsi="宋体" w:eastAsia="宋体" w:cs="宋体"/>
                <w:color w:val="auto"/>
                <w:sz w:val="21"/>
                <w:highlight w:val="none"/>
                <w:lang w:val="en-US" w:eastAsia="zh-CN"/>
              </w:rPr>
              <w:t>元</w:t>
            </w:r>
          </w:p>
        </w:tc>
      </w:tr>
      <w:tr w14:paraId="2927B521">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90" w:hRule="atLeast"/>
        </w:trPr>
        <w:tc>
          <w:tcPr>
            <w:tcW w:w="1343" w:type="dxa"/>
            <w:tcBorders>
              <w:top w:val="single" w:color="000000" w:sz="6" w:space="0"/>
              <w:bottom w:val="single" w:color="000000" w:sz="6" w:space="0"/>
              <w:right w:val="single" w:color="000000" w:sz="6" w:space="0"/>
            </w:tcBorders>
            <w:vAlign w:val="center"/>
          </w:tcPr>
          <w:p w14:paraId="61950BDC">
            <w:pPr>
              <w:pStyle w:val="49"/>
              <w:spacing w:before="49" w:line="244" w:lineRule="auto"/>
              <w:ind w:left="189" w:right="185" w:firstLine="156"/>
              <w:jc w:val="center"/>
              <w:rPr>
                <w:color w:val="auto"/>
                <w:sz w:val="21"/>
                <w:highlight w:val="none"/>
              </w:rPr>
            </w:pPr>
            <w:r>
              <w:rPr>
                <w:color w:val="auto"/>
                <w:sz w:val="21"/>
                <w:highlight w:val="none"/>
              </w:rPr>
              <w:t>第二章</w:t>
            </w:r>
            <w:r>
              <w:rPr>
                <w:color w:val="auto"/>
                <w:spacing w:val="-28"/>
                <w:sz w:val="21"/>
                <w:highlight w:val="none"/>
              </w:rPr>
              <w:t xml:space="preserve">第 </w:t>
            </w:r>
            <w:r>
              <w:rPr>
                <w:color w:val="auto"/>
                <w:sz w:val="21"/>
                <w:highlight w:val="none"/>
              </w:rPr>
              <w:t>42.1</w:t>
            </w:r>
            <w:r>
              <w:rPr>
                <w:color w:val="auto"/>
                <w:spacing w:val="-34"/>
                <w:sz w:val="21"/>
                <w:highlight w:val="none"/>
              </w:rPr>
              <w:t xml:space="preserve"> 款</w:t>
            </w:r>
          </w:p>
        </w:tc>
        <w:tc>
          <w:tcPr>
            <w:tcW w:w="2580" w:type="dxa"/>
            <w:tcBorders>
              <w:top w:val="single" w:color="000000" w:sz="6" w:space="0"/>
              <w:left w:val="single" w:color="000000" w:sz="6" w:space="0"/>
              <w:bottom w:val="single" w:color="000000" w:sz="6" w:space="0"/>
              <w:right w:val="single" w:color="000000" w:sz="6" w:space="0"/>
            </w:tcBorders>
            <w:vAlign w:val="center"/>
          </w:tcPr>
          <w:p w14:paraId="7B9A9275">
            <w:pPr>
              <w:pStyle w:val="49"/>
              <w:spacing w:before="6"/>
              <w:jc w:val="center"/>
              <w:rPr>
                <w:color w:val="auto"/>
                <w:sz w:val="14"/>
                <w:highlight w:val="none"/>
              </w:rPr>
            </w:pPr>
          </w:p>
          <w:p w14:paraId="5B0A6A69">
            <w:pPr>
              <w:pStyle w:val="49"/>
              <w:ind w:left="110" w:right="103"/>
              <w:jc w:val="center"/>
              <w:rPr>
                <w:color w:val="auto"/>
                <w:sz w:val="21"/>
                <w:highlight w:val="none"/>
              </w:rPr>
            </w:pPr>
            <w:r>
              <w:rPr>
                <w:rFonts w:hint="eastAsia" w:ascii="宋体" w:hAnsi="宋体" w:cs="宋体"/>
                <w:color w:val="auto"/>
                <w:szCs w:val="21"/>
                <w:highlight w:val="none"/>
              </w:rPr>
              <w:t>其他规定</w:t>
            </w:r>
          </w:p>
        </w:tc>
        <w:tc>
          <w:tcPr>
            <w:tcW w:w="5137" w:type="dxa"/>
            <w:tcBorders>
              <w:top w:val="single" w:color="000000" w:sz="6" w:space="0"/>
              <w:left w:val="single" w:color="000000" w:sz="6" w:space="0"/>
              <w:bottom w:val="single" w:color="000000" w:sz="6" w:space="0"/>
            </w:tcBorders>
          </w:tcPr>
          <w:p w14:paraId="64F82B11">
            <w:pPr>
              <w:pStyle w:val="49"/>
              <w:spacing w:before="6"/>
              <w:rPr>
                <w:color w:val="auto"/>
                <w:sz w:val="14"/>
                <w:highlight w:val="none"/>
              </w:rPr>
            </w:pPr>
          </w:p>
          <w:p w14:paraId="1ED834B3">
            <w:pPr>
              <w:adjustRightInd w:val="0"/>
              <w:snapToGrid w:val="0"/>
              <w:spacing w:line="240" w:lineRule="auto"/>
              <w:jc w:val="left"/>
              <w:rPr>
                <w:rFonts w:hint="eastAsia" w:ascii="宋体" w:hAnsi="宋体" w:eastAsia="宋体" w:cs="宋体"/>
                <w:color w:val="auto"/>
                <w:spacing w:val="1"/>
                <w:sz w:val="21"/>
                <w:szCs w:val="22"/>
                <w:highlight w:val="none"/>
                <w:lang w:val="zh-CN" w:eastAsia="zh-CN" w:bidi="zh-CN"/>
              </w:rPr>
            </w:pPr>
            <w:r>
              <w:rPr>
                <w:rFonts w:hint="eastAsia" w:cs="宋体"/>
                <w:color w:val="auto"/>
                <w:spacing w:val="1"/>
                <w:sz w:val="21"/>
                <w:szCs w:val="22"/>
                <w:highlight w:val="none"/>
                <w:lang w:val="en-US" w:eastAsia="zh-CN" w:bidi="zh-CN"/>
              </w:rPr>
              <w:t>1、</w:t>
            </w:r>
            <w:r>
              <w:rPr>
                <w:rFonts w:hint="eastAsia" w:ascii="宋体" w:hAnsi="宋体" w:eastAsia="宋体" w:cs="宋体"/>
                <w:color w:val="auto"/>
                <w:spacing w:val="1"/>
                <w:sz w:val="21"/>
                <w:szCs w:val="22"/>
                <w:highlight w:val="none"/>
                <w:lang w:val="zh-CN" w:eastAsia="zh-CN" w:bidi="zh-CN"/>
              </w:rPr>
              <w:t>对列入失信被执行人、重大税收违法案件当事人名单、政府采购严重违法失信行为记录名单及其他不符合《中华人民共和国政府采购法》第二十二条规定条件的供应商，将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F9131F3">
            <w:pPr>
              <w:adjustRightInd w:val="0"/>
              <w:snapToGrid w:val="0"/>
              <w:spacing w:line="240" w:lineRule="auto"/>
              <w:jc w:val="left"/>
              <w:rPr>
                <w:rFonts w:hint="eastAsia" w:ascii="宋体" w:hAnsi="宋体" w:eastAsia="宋体" w:cs="宋体"/>
                <w:color w:val="auto"/>
                <w:spacing w:val="1"/>
                <w:sz w:val="21"/>
                <w:szCs w:val="22"/>
                <w:highlight w:val="none"/>
                <w:lang w:val="zh-CN" w:eastAsia="zh-CN" w:bidi="zh-CN"/>
              </w:rPr>
            </w:pPr>
            <w:r>
              <w:rPr>
                <w:rFonts w:hint="eastAsia" w:cs="宋体"/>
                <w:color w:val="auto"/>
                <w:spacing w:val="1"/>
                <w:sz w:val="21"/>
                <w:szCs w:val="22"/>
                <w:highlight w:val="none"/>
                <w:lang w:val="zh-CN" w:eastAsia="zh-CN" w:bidi="zh-CN"/>
              </w:rPr>
              <w:t>（</w:t>
            </w:r>
            <w:r>
              <w:rPr>
                <w:rFonts w:hint="eastAsia" w:cs="宋体"/>
                <w:color w:val="auto"/>
                <w:spacing w:val="1"/>
                <w:sz w:val="21"/>
                <w:szCs w:val="22"/>
                <w:highlight w:val="none"/>
                <w:lang w:val="en-US" w:eastAsia="zh-CN" w:bidi="zh-CN"/>
              </w:rPr>
              <w:t>1</w:t>
            </w:r>
            <w:r>
              <w:rPr>
                <w:rFonts w:hint="eastAsia" w:cs="宋体"/>
                <w:color w:val="auto"/>
                <w:spacing w:val="1"/>
                <w:sz w:val="21"/>
                <w:szCs w:val="22"/>
                <w:highlight w:val="none"/>
                <w:lang w:val="zh-CN" w:eastAsia="zh-CN" w:bidi="zh-CN"/>
              </w:rPr>
              <w:t>）</w:t>
            </w:r>
            <w:r>
              <w:rPr>
                <w:rFonts w:hint="eastAsia" w:ascii="宋体" w:hAnsi="宋体" w:eastAsia="宋体" w:cs="宋体"/>
                <w:color w:val="auto"/>
                <w:spacing w:val="1"/>
                <w:sz w:val="21"/>
                <w:szCs w:val="22"/>
                <w:highlight w:val="none"/>
                <w:lang w:val="zh-CN" w:eastAsia="zh-CN" w:bidi="zh-CN"/>
              </w:rPr>
              <w:t>信用信息查询的查询渠道：“信用中国”网站（www.creditchina.gov.cn）、中国政府采购网（www.ccgp.gov.cn）以上查询渠道均需提供。</w:t>
            </w:r>
          </w:p>
          <w:p w14:paraId="35A0526B">
            <w:pPr>
              <w:adjustRightInd w:val="0"/>
              <w:snapToGrid w:val="0"/>
              <w:spacing w:line="240" w:lineRule="auto"/>
              <w:jc w:val="left"/>
              <w:rPr>
                <w:rFonts w:hint="eastAsia" w:ascii="宋体" w:hAnsi="宋体" w:eastAsia="宋体" w:cs="宋体"/>
                <w:color w:val="auto"/>
                <w:spacing w:val="1"/>
                <w:sz w:val="21"/>
                <w:szCs w:val="22"/>
                <w:highlight w:val="none"/>
                <w:lang w:val="zh-CN" w:eastAsia="zh-CN" w:bidi="zh-CN"/>
              </w:rPr>
            </w:pPr>
            <w:r>
              <w:rPr>
                <w:rFonts w:hint="eastAsia" w:cs="宋体"/>
                <w:color w:val="auto"/>
                <w:spacing w:val="1"/>
                <w:sz w:val="21"/>
                <w:szCs w:val="22"/>
                <w:highlight w:val="none"/>
                <w:lang w:val="zh-CN" w:eastAsia="zh-CN" w:bidi="zh-CN"/>
              </w:rPr>
              <w:t>（</w:t>
            </w:r>
            <w:r>
              <w:rPr>
                <w:rFonts w:hint="eastAsia" w:cs="宋体"/>
                <w:color w:val="auto"/>
                <w:spacing w:val="1"/>
                <w:sz w:val="21"/>
                <w:szCs w:val="22"/>
                <w:highlight w:val="none"/>
                <w:lang w:val="en-US" w:eastAsia="zh-CN" w:bidi="zh-CN"/>
              </w:rPr>
              <w:t>2</w:t>
            </w:r>
            <w:r>
              <w:rPr>
                <w:rFonts w:hint="eastAsia" w:cs="宋体"/>
                <w:color w:val="auto"/>
                <w:spacing w:val="1"/>
                <w:sz w:val="21"/>
                <w:szCs w:val="22"/>
                <w:highlight w:val="none"/>
                <w:lang w:val="zh-CN" w:eastAsia="zh-CN" w:bidi="zh-CN"/>
              </w:rPr>
              <w:t>）</w:t>
            </w:r>
            <w:r>
              <w:rPr>
                <w:rFonts w:hint="eastAsia" w:ascii="宋体" w:hAnsi="宋体" w:eastAsia="宋体" w:cs="宋体"/>
                <w:color w:val="auto"/>
                <w:spacing w:val="1"/>
                <w:sz w:val="21"/>
                <w:szCs w:val="22"/>
                <w:highlight w:val="none"/>
                <w:lang w:val="zh-CN" w:eastAsia="zh-CN" w:bidi="zh-CN"/>
              </w:rPr>
              <w:t>信用信息查询的截止时间：至本项目投标截止时间止（或至本项目响应文件提交截止时间止）。</w:t>
            </w:r>
          </w:p>
          <w:p w14:paraId="267EAE1B">
            <w:pPr>
              <w:adjustRightInd w:val="0"/>
              <w:snapToGrid w:val="0"/>
              <w:spacing w:line="240" w:lineRule="auto"/>
              <w:jc w:val="left"/>
              <w:rPr>
                <w:rFonts w:hint="eastAsia" w:ascii="宋体" w:hAnsi="宋体" w:eastAsia="宋体" w:cs="宋体"/>
                <w:color w:val="auto"/>
                <w:spacing w:val="1"/>
                <w:sz w:val="21"/>
                <w:szCs w:val="22"/>
                <w:highlight w:val="none"/>
                <w:lang w:val="zh-CN" w:eastAsia="zh-CN" w:bidi="zh-CN"/>
              </w:rPr>
            </w:pPr>
            <w:r>
              <w:rPr>
                <w:rFonts w:hint="eastAsia" w:cs="宋体"/>
                <w:color w:val="auto"/>
                <w:spacing w:val="1"/>
                <w:sz w:val="21"/>
                <w:szCs w:val="22"/>
                <w:highlight w:val="none"/>
                <w:lang w:val="zh-CN" w:eastAsia="zh-CN" w:bidi="zh-CN"/>
              </w:rPr>
              <w:t>（</w:t>
            </w:r>
            <w:r>
              <w:rPr>
                <w:rFonts w:hint="eastAsia" w:cs="宋体"/>
                <w:color w:val="auto"/>
                <w:spacing w:val="1"/>
                <w:sz w:val="21"/>
                <w:szCs w:val="22"/>
                <w:highlight w:val="none"/>
                <w:lang w:val="en-US" w:eastAsia="zh-CN" w:bidi="zh-CN"/>
              </w:rPr>
              <w:t>3</w:t>
            </w:r>
            <w:r>
              <w:rPr>
                <w:rFonts w:hint="eastAsia" w:cs="宋体"/>
                <w:color w:val="auto"/>
                <w:spacing w:val="1"/>
                <w:sz w:val="21"/>
                <w:szCs w:val="22"/>
                <w:highlight w:val="none"/>
                <w:lang w:val="zh-CN" w:eastAsia="zh-CN" w:bidi="zh-CN"/>
              </w:rPr>
              <w:t>）</w:t>
            </w:r>
            <w:r>
              <w:rPr>
                <w:rFonts w:hint="eastAsia" w:ascii="宋体" w:hAnsi="宋体" w:eastAsia="宋体" w:cs="宋体"/>
                <w:color w:val="auto"/>
                <w:spacing w:val="1"/>
                <w:sz w:val="21"/>
                <w:szCs w:val="22"/>
                <w:highlight w:val="none"/>
                <w:lang w:val="zh-CN" w:eastAsia="zh-CN" w:bidi="zh-CN"/>
              </w:rPr>
              <w:t>信用信息查询记录证据留存的具体方式：采购人及代理机构在规定的查询渠道进行查询，并提交评审专家评审。</w:t>
            </w:r>
          </w:p>
          <w:p w14:paraId="620F0D5B">
            <w:pPr>
              <w:pStyle w:val="49"/>
              <w:spacing w:line="240" w:lineRule="auto"/>
              <w:ind w:left="4" w:leftChars="0" w:hanging="4" w:firstLineChars="0"/>
              <w:rPr>
                <w:rFonts w:hint="eastAsia" w:ascii="宋体" w:hAnsi="宋体" w:eastAsia="宋体" w:cs="宋体"/>
                <w:color w:val="auto"/>
                <w:spacing w:val="1"/>
                <w:sz w:val="21"/>
                <w:szCs w:val="22"/>
                <w:highlight w:val="none"/>
                <w:lang w:val="zh-CN" w:eastAsia="zh-CN" w:bidi="zh-CN"/>
              </w:rPr>
            </w:pPr>
            <w:r>
              <w:rPr>
                <w:rFonts w:hint="eastAsia" w:cs="宋体"/>
                <w:color w:val="auto"/>
                <w:spacing w:val="1"/>
                <w:sz w:val="21"/>
                <w:szCs w:val="22"/>
                <w:highlight w:val="none"/>
                <w:lang w:val="zh-CN" w:eastAsia="zh-CN" w:bidi="zh-CN"/>
              </w:rPr>
              <w:t>（</w:t>
            </w:r>
            <w:r>
              <w:rPr>
                <w:rFonts w:hint="eastAsia" w:cs="宋体"/>
                <w:color w:val="auto"/>
                <w:spacing w:val="1"/>
                <w:sz w:val="21"/>
                <w:szCs w:val="22"/>
                <w:highlight w:val="none"/>
                <w:lang w:val="en-US" w:eastAsia="zh-CN" w:bidi="zh-CN"/>
              </w:rPr>
              <w:t>4</w:t>
            </w:r>
            <w:r>
              <w:rPr>
                <w:rFonts w:hint="eastAsia" w:cs="宋体"/>
                <w:color w:val="auto"/>
                <w:spacing w:val="1"/>
                <w:sz w:val="21"/>
                <w:szCs w:val="22"/>
                <w:highlight w:val="none"/>
                <w:lang w:val="zh-CN" w:eastAsia="zh-CN" w:bidi="zh-CN"/>
              </w:rPr>
              <w:t>）</w:t>
            </w:r>
            <w:r>
              <w:rPr>
                <w:rFonts w:hint="eastAsia" w:ascii="宋体" w:hAnsi="宋体" w:eastAsia="宋体" w:cs="宋体"/>
                <w:color w:val="auto"/>
                <w:spacing w:val="1"/>
                <w:sz w:val="21"/>
                <w:szCs w:val="22"/>
                <w:highlight w:val="none"/>
                <w:lang w:val="zh-CN" w:eastAsia="zh-CN" w:bidi="zh-CN"/>
              </w:rPr>
              <w:t>信用信息的使用规则：对列入失信被执行人、重大税收违法案件当事人名单、政府采购严重违法失信行为记录名单及其他不符合《中华人民共和国政府采购法》第二十二条规定条件的供应商，将拒绝其参与政府采购活动。查询后交由评标委员会评定。</w:t>
            </w:r>
          </w:p>
          <w:p w14:paraId="745151C6">
            <w:pPr>
              <w:pStyle w:val="49"/>
              <w:spacing w:line="240" w:lineRule="auto"/>
              <w:rPr>
                <w:color w:val="auto"/>
                <w:sz w:val="21"/>
                <w:highlight w:val="none"/>
              </w:rPr>
            </w:pPr>
            <w:r>
              <w:rPr>
                <w:rFonts w:hint="eastAsia" w:cs="宋体"/>
                <w:color w:val="auto"/>
                <w:spacing w:val="1"/>
                <w:sz w:val="21"/>
                <w:szCs w:val="22"/>
                <w:highlight w:val="none"/>
                <w:lang w:val="en-US" w:eastAsia="zh-CN" w:bidi="zh-CN"/>
              </w:rPr>
              <w:t>2、</w:t>
            </w:r>
            <w:r>
              <w:rPr>
                <w:rFonts w:hint="eastAsia" w:ascii="宋体" w:hAnsi="宋体" w:eastAsia="宋体" w:cs="宋体"/>
                <w:color w:val="auto"/>
                <w:spacing w:val="1"/>
                <w:sz w:val="21"/>
                <w:szCs w:val="22"/>
                <w:highlight w:val="none"/>
                <w:lang w:val="zh-CN" w:eastAsia="zh-CN" w:bidi="zh-CN"/>
              </w:rPr>
              <w:t>根据《〈政府采购法实施条例〉释义》，银行、保险、石油石化、电力、电信等有行业特殊情况的，取得营业执照的分支机构可以分公司名义参与投标，</w:t>
            </w:r>
            <w:r>
              <w:rPr>
                <w:rFonts w:hint="eastAsia" w:ascii="宋体" w:hAnsi="宋体" w:eastAsia="宋体" w:cs="宋体"/>
                <w:color w:val="auto"/>
                <w:spacing w:val="1"/>
                <w:sz w:val="21"/>
                <w:szCs w:val="22"/>
                <w:highlight w:val="none"/>
                <w:lang w:val="en-US" w:eastAsia="zh-CN" w:bidi="zh-CN"/>
              </w:rPr>
              <w:t>采购</w:t>
            </w:r>
            <w:r>
              <w:rPr>
                <w:rFonts w:hint="eastAsia" w:ascii="宋体" w:hAnsi="宋体" w:eastAsia="宋体" w:cs="宋体"/>
                <w:color w:val="auto"/>
                <w:spacing w:val="1"/>
                <w:sz w:val="21"/>
                <w:szCs w:val="22"/>
                <w:highlight w:val="none"/>
                <w:lang w:val="zh-CN" w:eastAsia="zh-CN" w:bidi="zh-CN"/>
              </w:rPr>
              <w:t>文件中涉及的“法定代表人”在前述特殊行业中即对应为“分支机构负责人”。</w:t>
            </w:r>
          </w:p>
        </w:tc>
      </w:tr>
      <w:tr w14:paraId="6647C423">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90" w:hRule="atLeast"/>
        </w:trPr>
        <w:tc>
          <w:tcPr>
            <w:tcW w:w="9060" w:type="dxa"/>
            <w:gridSpan w:val="3"/>
            <w:tcBorders>
              <w:top w:val="single" w:color="000000" w:sz="6" w:space="0"/>
              <w:bottom w:val="single" w:color="000000" w:sz="6" w:space="0"/>
            </w:tcBorders>
          </w:tcPr>
          <w:p w14:paraId="00A89AA0">
            <w:pPr>
              <w:pStyle w:val="49"/>
              <w:spacing w:before="1" w:line="251" w:lineRule="exact"/>
              <w:ind w:left="97"/>
              <w:rPr>
                <w:b/>
                <w:color w:val="auto"/>
                <w:sz w:val="21"/>
                <w:highlight w:val="none"/>
              </w:rPr>
            </w:pPr>
            <w:r>
              <w:rPr>
                <w:b/>
                <w:color w:val="auto"/>
                <w:sz w:val="21"/>
                <w:highlight w:val="none"/>
              </w:rPr>
              <w:t>八、竞争性磋商文件解释</w:t>
            </w:r>
          </w:p>
        </w:tc>
      </w:tr>
      <w:tr w14:paraId="3254EF1C">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743" w:hRule="atLeast"/>
        </w:trPr>
        <w:tc>
          <w:tcPr>
            <w:tcW w:w="1343" w:type="dxa"/>
            <w:tcBorders>
              <w:top w:val="single" w:color="000000" w:sz="6" w:space="0"/>
              <w:right w:val="single" w:color="000000" w:sz="6" w:space="0"/>
            </w:tcBorders>
          </w:tcPr>
          <w:p w14:paraId="707B1B98">
            <w:pPr>
              <w:pStyle w:val="49"/>
              <w:rPr>
                <w:color w:val="auto"/>
                <w:sz w:val="20"/>
                <w:highlight w:val="none"/>
              </w:rPr>
            </w:pPr>
          </w:p>
          <w:p w14:paraId="4816B9B6">
            <w:pPr>
              <w:pStyle w:val="49"/>
              <w:rPr>
                <w:color w:val="auto"/>
                <w:sz w:val="20"/>
                <w:highlight w:val="none"/>
              </w:rPr>
            </w:pPr>
          </w:p>
          <w:p w14:paraId="4CA55E36">
            <w:pPr>
              <w:pStyle w:val="49"/>
              <w:rPr>
                <w:color w:val="auto"/>
                <w:sz w:val="20"/>
                <w:highlight w:val="none"/>
              </w:rPr>
            </w:pPr>
          </w:p>
          <w:p w14:paraId="5A02AFDC">
            <w:pPr>
              <w:pStyle w:val="49"/>
              <w:rPr>
                <w:color w:val="auto"/>
                <w:sz w:val="20"/>
                <w:highlight w:val="none"/>
              </w:rPr>
            </w:pPr>
          </w:p>
          <w:p w14:paraId="25851EC9">
            <w:pPr>
              <w:pStyle w:val="49"/>
              <w:rPr>
                <w:color w:val="auto"/>
                <w:sz w:val="20"/>
                <w:highlight w:val="none"/>
              </w:rPr>
            </w:pPr>
          </w:p>
          <w:p w14:paraId="644C0F00">
            <w:pPr>
              <w:pStyle w:val="49"/>
              <w:rPr>
                <w:color w:val="auto"/>
                <w:sz w:val="20"/>
                <w:highlight w:val="none"/>
              </w:rPr>
            </w:pPr>
          </w:p>
          <w:p w14:paraId="356B74BF">
            <w:pPr>
              <w:pStyle w:val="49"/>
              <w:spacing w:before="5"/>
              <w:rPr>
                <w:color w:val="auto"/>
                <w:sz w:val="15"/>
                <w:highlight w:val="none"/>
              </w:rPr>
            </w:pPr>
          </w:p>
          <w:p w14:paraId="5AE098A2">
            <w:pPr>
              <w:pStyle w:val="49"/>
              <w:ind w:right="382"/>
              <w:jc w:val="right"/>
              <w:rPr>
                <w:color w:val="auto"/>
                <w:sz w:val="21"/>
                <w:highlight w:val="none"/>
              </w:rPr>
            </w:pPr>
            <w:r>
              <w:rPr>
                <w:rFonts w:ascii="宋体" w:hAnsi="宋体" w:eastAsia="宋体" w:cs="宋体"/>
                <w:color w:val="auto"/>
                <w:sz w:val="21"/>
                <w:highlight w:val="none"/>
              </w:rPr>
              <w:t>补充</w:t>
            </w:r>
          </w:p>
        </w:tc>
        <w:tc>
          <w:tcPr>
            <w:tcW w:w="2580" w:type="dxa"/>
            <w:tcBorders>
              <w:top w:val="single" w:color="000000" w:sz="6" w:space="0"/>
              <w:left w:val="single" w:color="000000" w:sz="6" w:space="0"/>
              <w:right w:val="single" w:color="000000" w:sz="6" w:space="0"/>
            </w:tcBorders>
          </w:tcPr>
          <w:p w14:paraId="09CE2DE7">
            <w:pPr>
              <w:pStyle w:val="49"/>
              <w:rPr>
                <w:color w:val="auto"/>
                <w:sz w:val="20"/>
                <w:highlight w:val="none"/>
              </w:rPr>
            </w:pPr>
          </w:p>
          <w:p w14:paraId="08C90A98">
            <w:pPr>
              <w:pStyle w:val="49"/>
              <w:rPr>
                <w:color w:val="auto"/>
                <w:sz w:val="20"/>
                <w:highlight w:val="none"/>
              </w:rPr>
            </w:pPr>
          </w:p>
          <w:p w14:paraId="24C4FDCA">
            <w:pPr>
              <w:pStyle w:val="49"/>
              <w:rPr>
                <w:color w:val="auto"/>
                <w:sz w:val="20"/>
                <w:highlight w:val="none"/>
              </w:rPr>
            </w:pPr>
          </w:p>
          <w:p w14:paraId="1A4C8771">
            <w:pPr>
              <w:pStyle w:val="49"/>
              <w:rPr>
                <w:color w:val="auto"/>
                <w:sz w:val="20"/>
                <w:highlight w:val="none"/>
              </w:rPr>
            </w:pPr>
          </w:p>
          <w:p w14:paraId="6C92B04D">
            <w:pPr>
              <w:pStyle w:val="49"/>
              <w:rPr>
                <w:color w:val="auto"/>
                <w:sz w:val="20"/>
                <w:highlight w:val="none"/>
              </w:rPr>
            </w:pPr>
          </w:p>
          <w:p w14:paraId="2E280365">
            <w:pPr>
              <w:pStyle w:val="49"/>
              <w:rPr>
                <w:color w:val="auto"/>
                <w:sz w:val="20"/>
                <w:highlight w:val="none"/>
              </w:rPr>
            </w:pPr>
          </w:p>
          <w:p w14:paraId="702E9EA2">
            <w:pPr>
              <w:pStyle w:val="49"/>
              <w:spacing w:before="5"/>
              <w:rPr>
                <w:color w:val="auto"/>
                <w:sz w:val="15"/>
                <w:highlight w:val="none"/>
              </w:rPr>
            </w:pPr>
          </w:p>
          <w:p w14:paraId="1BD8B7DB">
            <w:pPr>
              <w:pStyle w:val="49"/>
              <w:ind w:left="110" w:right="103"/>
              <w:jc w:val="center"/>
              <w:rPr>
                <w:color w:val="auto"/>
                <w:sz w:val="21"/>
                <w:highlight w:val="none"/>
              </w:rPr>
            </w:pPr>
            <w:r>
              <w:rPr>
                <w:color w:val="auto"/>
                <w:sz w:val="21"/>
                <w:highlight w:val="none"/>
              </w:rPr>
              <w:t>竞争性磋商文件解释</w:t>
            </w:r>
          </w:p>
        </w:tc>
        <w:tc>
          <w:tcPr>
            <w:tcW w:w="5137" w:type="dxa"/>
            <w:tcBorders>
              <w:top w:val="single" w:color="000000" w:sz="6" w:space="0"/>
              <w:left w:val="single" w:color="000000" w:sz="6" w:space="0"/>
            </w:tcBorders>
          </w:tcPr>
          <w:p w14:paraId="3AC1AE0F">
            <w:pPr>
              <w:spacing w:beforeLines="0" w:afterLines="0" w:line="240" w:lineRule="auto"/>
              <w:rPr>
                <w:rFonts w:hint="default"/>
                <w:color w:val="auto"/>
                <w:sz w:val="21"/>
                <w:highlight w:val="none"/>
              </w:rPr>
            </w:pPr>
            <w:r>
              <w:rPr>
                <w:rFonts w:hint="eastAsia" w:ascii="宋体" w:hAnsi="宋体" w:eastAsia="宋体"/>
                <w:color w:val="auto"/>
                <w:sz w:val="21"/>
                <w:highlight w:val="none"/>
              </w:rPr>
              <w:t>（</w:t>
            </w:r>
            <w:r>
              <w:rPr>
                <w:rFonts w:hint="default"/>
                <w:color w:val="auto"/>
                <w:sz w:val="21"/>
                <w:highlight w:val="none"/>
              </w:rPr>
              <w:t>1</w:t>
            </w:r>
            <w:r>
              <w:rPr>
                <w:rFonts w:hint="eastAsia" w:ascii="宋体" w:hAnsi="宋体" w:eastAsia="宋体"/>
                <w:color w:val="auto"/>
                <w:sz w:val="21"/>
                <w:highlight w:val="none"/>
              </w:rPr>
              <w:t>）构成本磋商文件的各个组成文件应互为解释，互为说明；</w:t>
            </w:r>
          </w:p>
          <w:p w14:paraId="2371BA53">
            <w:pPr>
              <w:spacing w:beforeLines="0" w:afterLines="0" w:line="240" w:lineRule="auto"/>
              <w:rPr>
                <w:rFonts w:hint="default"/>
                <w:color w:val="auto"/>
                <w:sz w:val="21"/>
                <w:highlight w:val="none"/>
              </w:rPr>
            </w:pPr>
            <w:r>
              <w:rPr>
                <w:rFonts w:hint="eastAsia" w:ascii="宋体" w:hAnsi="宋体" w:eastAsia="宋体"/>
                <w:color w:val="auto"/>
                <w:sz w:val="21"/>
                <w:highlight w:val="none"/>
              </w:rPr>
              <w:t>（</w:t>
            </w:r>
            <w:r>
              <w:rPr>
                <w:rFonts w:hint="default"/>
                <w:color w:val="auto"/>
                <w:sz w:val="21"/>
                <w:highlight w:val="none"/>
              </w:rPr>
              <w:t>2</w:t>
            </w:r>
            <w:r>
              <w:rPr>
                <w:rFonts w:hint="eastAsia" w:ascii="宋体" w:hAnsi="宋体" w:eastAsia="宋体"/>
                <w:color w:val="auto"/>
                <w:sz w:val="21"/>
                <w:highlight w:val="none"/>
              </w:rPr>
              <w:t>）同一组成文件中就同一事项的规定或约定不一致的，以编排顺序在后者为准；</w:t>
            </w:r>
          </w:p>
          <w:p w14:paraId="11C33DD9">
            <w:pPr>
              <w:spacing w:beforeLines="0" w:afterLines="0" w:line="240" w:lineRule="auto"/>
              <w:rPr>
                <w:rFonts w:hint="default"/>
                <w:color w:val="auto"/>
                <w:sz w:val="21"/>
                <w:highlight w:val="none"/>
              </w:rPr>
            </w:pPr>
            <w:r>
              <w:rPr>
                <w:rFonts w:hint="eastAsia" w:ascii="宋体" w:hAnsi="宋体" w:eastAsia="宋体"/>
                <w:color w:val="auto"/>
                <w:sz w:val="21"/>
                <w:highlight w:val="none"/>
              </w:rPr>
              <w:t>（</w:t>
            </w:r>
            <w:r>
              <w:rPr>
                <w:rFonts w:hint="default"/>
                <w:color w:val="auto"/>
                <w:sz w:val="21"/>
                <w:highlight w:val="none"/>
              </w:rPr>
              <w:t>3</w:t>
            </w:r>
            <w:r>
              <w:rPr>
                <w:rFonts w:hint="eastAsia" w:ascii="宋体" w:hAnsi="宋体" w:eastAsia="宋体"/>
                <w:color w:val="auto"/>
                <w:sz w:val="21"/>
                <w:highlight w:val="none"/>
              </w:rPr>
              <w:t>）如有不明确或不一致，构成合同文件组成内容的，以合同文件约定内容为准，且以专用合同条款约定的合同文件优先顺序解释；</w:t>
            </w:r>
          </w:p>
          <w:p w14:paraId="61DF9E5E">
            <w:pPr>
              <w:spacing w:beforeLines="0" w:afterLines="0" w:line="240" w:lineRule="auto"/>
              <w:rPr>
                <w:rFonts w:hint="default"/>
                <w:color w:val="auto"/>
                <w:sz w:val="21"/>
                <w:highlight w:val="none"/>
              </w:rPr>
            </w:pPr>
            <w:r>
              <w:rPr>
                <w:rFonts w:hint="eastAsia" w:ascii="宋体" w:hAnsi="宋体" w:eastAsia="宋体"/>
                <w:color w:val="auto"/>
                <w:sz w:val="21"/>
                <w:highlight w:val="none"/>
              </w:rPr>
              <w:t>（</w:t>
            </w:r>
            <w:r>
              <w:rPr>
                <w:rFonts w:hint="default"/>
                <w:color w:val="auto"/>
                <w:sz w:val="21"/>
                <w:highlight w:val="none"/>
              </w:rPr>
              <w:t>4</w:t>
            </w:r>
            <w:r>
              <w:rPr>
                <w:rFonts w:hint="eastAsia" w:ascii="宋体" w:hAnsi="宋体" w:eastAsia="宋体"/>
                <w:color w:val="auto"/>
                <w:sz w:val="21"/>
                <w:highlight w:val="none"/>
              </w:rPr>
              <w:t>）除磋商文件中有特别规定外，磋商评审阶段，磋商公告、供应商须知、评审方法和标准、响应文件格式、须知前附表、更正公告中，同一事项的规定或约定不一致的，按上述顺序在后者为准解释；</w:t>
            </w:r>
          </w:p>
          <w:p w14:paraId="604459F5">
            <w:pPr>
              <w:spacing w:beforeLines="0" w:afterLines="0" w:line="240" w:lineRule="auto"/>
              <w:rPr>
                <w:rFonts w:hint="eastAsia" w:ascii="Times New Roman" w:hAnsi="Times New Roman" w:eastAsia="宋体"/>
                <w:color w:val="auto"/>
                <w:sz w:val="21"/>
                <w:highlight w:val="none"/>
              </w:rPr>
            </w:pPr>
            <w:r>
              <w:rPr>
                <w:rFonts w:hint="eastAsia" w:ascii="宋体" w:hAnsi="宋体" w:eastAsia="宋体"/>
                <w:color w:val="auto"/>
                <w:sz w:val="21"/>
                <w:highlight w:val="none"/>
              </w:rPr>
              <w:t>（</w:t>
            </w:r>
            <w:r>
              <w:rPr>
                <w:rFonts w:hint="default"/>
                <w:color w:val="auto"/>
                <w:sz w:val="21"/>
                <w:highlight w:val="none"/>
              </w:rPr>
              <w:t>5</w:t>
            </w:r>
            <w:r>
              <w:rPr>
                <w:rFonts w:hint="eastAsia" w:ascii="宋体" w:hAnsi="宋体" w:eastAsia="宋体"/>
                <w:color w:val="auto"/>
                <w:sz w:val="21"/>
                <w:highlight w:val="none"/>
              </w:rPr>
              <w:t>）按本款前述规定仍不能形成结论的，由采购人负责解</w:t>
            </w:r>
            <w:r>
              <w:rPr>
                <w:rFonts w:hint="eastAsia" w:ascii="Times New Roman" w:hAnsi="Times New Roman" w:eastAsia="宋体"/>
                <w:color w:val="auto"/>
                <w:sz w:val="21"/>
                <w:highlight w:val="none"/>
              </w:rPr>
              <w:t>释。</w:t>
            </w:r>
          </w:p>
          <w:p w14:paraId="5CA19FCE">
            <w:pPr>
              <w:pStyle w:val="49"/>
              <w:spacing w:before="43" w:line="240" w:lineRule="auto"/>
              <w:ind w:left="4" w:leftChars="0" w:hanging="4" w:firstLineChars="0"/>
              <w:rPr>
                <w:color w:val="auto"/>
                <w:sz w:val="21"/>
                <w:highlight w:val="none"/>
              </w:rPr>
            </w:pPr>
            <w:r>
              <w:rPr>
                <w:rFonts w:hint="eastAsia" w:eastAsia="宋体"/>
                <w:color w:val="auto"/>
                <w:sz w:val="21"/>
                <w:highlight w:val="none"/>
              </w:rPr>
              <w:t>（6）在磋商过程中，本磋商文件中规定的供应商即投标人。</w:t>
            </w:r>
          </w:p>
        </w:tc>
      </w:tr>
    </w:tbl>
    <w:p w14:paraId="0ACEC9B6">
      <w:pPr>
        <w:spacing w:after="0" w:line="265" w:lineRule="exact"/>
        <w:rPr>
          <w:color w:val="auto"/>
          <w:sz w:val="21"/>
          <w:highlight w:val="none"/>
        </w:rPr>
        <w:sectPr>
          <w:footerReference r:id="rId8" w:type="default"/>
          <w:pgSz w:w="11910" w:h="16840"/>
          <w:pgMar w:top="1400" w:right="600" w:bottom="1360" w:left="1020" w:header="0" w:footer="1161" w:gutter="0"/>
          <w:pgBorders>
            <w:top w:val="none" w:sz="0" w:space="0"/>
            <w:left w:val="none" w:sz="0" w:space="0"/>
            <w:bottom w:val="none" w:sz="0" w:space="0"/>
            <w:right w:val="none" w:sz="0" w:space="0"/>
          </w:pgBorders>
          <w:pgNumType w:fmt="decimal"/>
          <w:cols w:space="720" w:num="1"/>
        </w:sectPr>
      </w:pPr>
    </w:p>
    <w:p w14:paraId="53A1F4B5">
      <w:pPr>
        <w:spacing w:before="40"/>
        <w:ind w:left="112" w:right="0" w:firstLine="0"/>
        <w:jc w:val="left"/>
        <w:rPr>
          <w:b/>
          <w:color w:val="auto"/>
          <w:sz w:val="21"/>
          <w:highlight w:val="none"/>
        </w:rPr>
      </w:pPr>
      <w:r>
        <w:rPr>
          <w:b/>
          <w:color w:val="auto"/>
          <w:spacing w:val="-18"/>
          <w:sz w:val="21"/>
          <w:highlight w:val="none"/>
        </w:rPr>
        <w:t xml:space="preserve">附页 </w:t>
      </w:r>
      <w:r>
        <w:rPr>
          <w:b/>
          <w:color w:val="auto"/>
          <w:sz w:val="21"/>
          <w:highlight w:val="none"/>
        </w:rPr>
        <w:t>1</w:t>
      </w:r>
    </w:p>
    <w:p w14:paraId="6001DFEF">
      <w:pPr>
        <w:pStyle w:val="11"/>
        <w:spacing w:before="1"/>
        <w:rPr>
          <w:b/>
          <w:color w:val="auto"/>
          <w:sz w:val="35"/>
          <w:highlight w:val="none"/>
        </w:rPr>
      </w:pPr>
      <w:r>
        <w:rPr>
          <w:color w:val="auto"/>
          <w:highlight w:val="none"/>
        </w:rPr>
        <w:br w:type="column"/>
      </w:r>
    </w:p>
    <w:p w14:paraId="09F75171">
      <w:pPr>
        <w:spacing w:before="0"/>
        <w:ind w:left="112" w:right="0" w:firstLine="0"/>
        <w:jc w:val="left"/>
        <w:rPr>
          <w:b/>
          <w:color w:val="auto"/>
          <w:sz w:val="28"/>
          <w:highlight w:val="none"/>
        </w:rPr>
      </w:pPr>
      <w:r>
        <w:rPr>
          <w:b/>
          <w:color w:val="auto"/>
          <w:sz w:val="28"/>
          <w:highlight w:val="none"/>
        </w:rPr>
        <w:t>湖南省政府采购支持中小企业融资合作银行及联系人名单</w:t>
      </w:r>
    </w:p>
    <w:p w14:paraId="7569FC64">
      <w:pPr>
        <w:spacing w:after="0"/>
        <w:jc w:val="left"/>
        <w:rPr>
          <w:color w:val="auto"/>
          <w:sz w:val="28"/>
          <w:highlight w:val="none"/>
        </w:rPr>
        <w:sectPr>
          <w:pgSz w:w="11910" w:h="16840"/>
          <w:pgMar w:top="1360" w:right="600" w:bottom="1360" w:left="1020" w:header="0" w:footer="1161" w:gutter="0"/>
          <w:pgBorders>
            <w:top w:val="none" w:sz="0" w:space="0"/>
            <w:left w:val="none" w:sz="0" w:space="0"/>
            <w:bottom w:val="none" w:sz="0" w:space="0"/>
            <w:right w:val="none" w:sz="0" w:space="0"/>
          </w:pgBorders>
          <w:pgNumType w:fmt="decimal"/>
          <w:cols w:equalWidth="0" w:num="2">
            <w:col w:w="733" w:space="575"/>
            <w:col w:w="8982"/>
          </w:cols>
        </w:sectPr>
      </w:pPr>
    </w:p>
    <w:p w14:paraId="1AD34950">
      <w:pPr>
        <w:pStyle w:val="11"/>
        <w:spacing w:before="2"/>
        <w:rPr>
          <w:b/>
          <w:color w:val="auto"/>
          <w:sz w:val="15"/>
          <w:highlight w:val="none"/>
        </w:rPr>
      </w:pPr>
    </w:p>
    <w:tbl>
      <w:tblPr>
        <w:tblStyle w:val="24"/>
        <w:tblW w:w="0" w:type="auto"/>
        <w:tblInd w:w="129" w:type="dxa"/>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Layout w:type="fixed"/>
        <w:tblCellMar>
          <w:top w:w="0" w:type="dxa"/>
          <w:left w:w="0" w:type="dxa"/>
          <w:bottom w:w="0" w:type="dxa"/>
          <w:right w:w="0" w:type="dxa"/>
        </w:tblCellMar>
      </w:tblPr>
      <w:tblGrid>
        <w:gridCol w:w="2724"/>
        <w:gridCol w:w="1089"/>
        <w:gridCol w:w="3087"/>
        <w:gridCol w:w="2360"/>
      </w:tblGrid>
      <w:tr w14:paraId="2454A645">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41" w:hRule="atLeast"/>
        </w:trPr>
        <w:tc>
          <w:tcPr>
            <w:tcW w:w="2724" w:type="dxa"/>
            <w:tcBorders>
              <w:bottom w:val="single" w:color="000000" w:sz="6" w:space="0"/>
              <w:right w:val="single" w:color="000000" w:sz="6" w:space="0"/>
            </w:tcBorders>
          </w:tcPr>
          <w:p w14:paraId="572CB9A3">
            <w:pPr>
              <w:pStyle w:val="49"/>
              <w:spacing w:before="167"/>
              <w:ind w:left="911" w:right="907"/>
              <w:jc w:val="center"/>
              <w:rPr>
                <w:b/>
                <w:color w:val="auto"/>
                <w:sz w:val="21"/>
                <w:highlight w:val="none"/>
              </w:rPr>
            </w:pPr>
            <w:r>
              <w:rPr>
                <w:b/>
                <w:color w:val="auto"/>
                <w:sz w:val="21"/>
                <w:highlight w:val="none"/>
              </w:rPr>
              <w:t>银行名称</w:t>
            </w:r>
          </w:p>
        </w:tc>
        <w:tc>
          <w:tcPr>
            <w:tcW w:w="1089" w:type="dxa"/>
            <w:tcBorders>
              <w:left w:val="single" w:color="000000" w:sz="6" w:space="0"/>
              <w:bottom w:val="single" w:color="000000" w:sz="6" w:space="0"/>
              <w:right w:val="single" w:color="000000" w:sz="6" w:space="0"/>
            </w:tcBorders>
          </w:tcPr>
          <w:p w14:paraId="27B25E4C">
            <w:pPr>
              <w:pStyle w:val="49"/>
              <w:spacing w:before="167"/>
              <w:ind w:left="10"/>
              <w:jc w:val="center"/>
              <w:rPr>
                <w:b/>
                <w:color w:val="auto"/>
                <w:sz w:val="21"/>
                <w:highlight w:val="none"/>
              </w:rPr>
            </w:pPr>
            <w:r>
              <w:rPr>
                <w:b/>
                <w:color w:val="auto"/>
                <w:sz w:val="21"/>
                <w:highlight w:val="none"/>
              </w:rPr>
              <w:t>联系人</w:t>
            </w:r>
          </w:p>
        </w:tc>
        <w:tc>
          <w:tcPr>
            <w:tcW w:w="3087" w:type="dxa"/>
            <w:tcBorders>
              <w:left w:val="single" w:color="000000" w:sz="6" w:space="0"/>
              <w:bottom w:val="single" w:color="000000" w:sz="6" w:space="0"/>
              <w:right w:val="single" w:color="000000" w:sz="6" w:space="0"/>
            </w:tcBorders>
          </w:tcPr>
          <w:p w14:paraId="7515E2E8">
            <w:pPr>
              <w:pStyle w:val="49"/>
              <w:tabs>
                <w:tab w:val="left" w:pos="427"/>
              </w:tabs>
              <w:spacing w:before="167"/>
              <w:ind w:left="7"/>
              <w:jc w:val="center"/>
              <w:rPr>
                <w:b/>
                <w:color w:val="auto"/>
                <w:sz w:val="21"/>
                <w:highlight w:val="none"/>
              </w:rPr>
            </w:pPr>
            <w:r>
              <w:rPr>
                <w:b/>
                <w:color w:val="auto"/>
                <w:sz w:val="21"/>
                <w:highlight w:val="none"/>
              </w:rPr>
              <w:t>职</w:t>
            </w:r>
            <w:r>
              <w:rPr>
                <w:b/>
                <w:color w:val="auto"/>
                <w:sz w:val="21"/>
                <w:highlight w:val="none"/>
              </w:rPr>
              <w:tab/>
            </w:r>
            <w:r>
              <w:rPr>
                <w:b/>
                <w:color w:val="auto"/>
                <w:sz w:val="21"/>
                <w:highlight w:val="none"/>
              </w:rPr>
              <w:t>务</w:t>
            </w:r>
          </w:p>
        </w:tc>
        <w:tc>
          <w:tcPr>
            <w:tcW w:w="2360" w:type="dxa"/>
            <w:tcBorders>
              <w:left w:val="single" w:color="000000" w:sz="6" w:space="0"/>
              <w:bottom w:val="single" w:color="000000" w:sz="6" w:space="0"/>
            </w:tcBorders>
          </w:tcPr>
          <w:p w14:paraId="1E2FD1EB">
            <w:pPr>
              <w:pStyle w:val="49"/>
              <w:spacing w:before="167"/>
              <w:ind w:left="422" w:right="404"/>
              <w:jc w:val="center"/>
              <w:rPr>
                <w:b/>
                <w:color w:val="auto"/>
                <w:sz w:val="21"/>
                <w:highlight w:val="none"/>
              </w:rPr>
            </w:pPr>
            <w:r>
              <w:rPr>
                <w:b/>
                <w:color w:val="auto"/>
                <w:sz w:val="21"/>
                <w:highlight w:val="none"/>
              </w:rPr>
              <w:t>联系电话</w:t>
            </w:r>
          </w:p>
        </w:tc>
      </w:tr>
      <w:tr w14:paraId="7FA3A36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2724" w:type="dxa"/>
            <w:tcBorders>
              <w:top w:val="single" w:color="000000" w:sz="6" w:space="0"/>
              <w:bottom w:val="single" w:color="000000" w:sz="6" w:space="0"/>
              <w:right w:val="single" w:color="000000" w:sz="6" w:space="0"/>
            </w:tcBorders>
          </w:tcPr>
          <w:p w14:paraId="4CB93A89">
            <w:pPr>
              <w:pStyle w:val="49"/>
              <w:spacing w:before="157"/>
              <w:ind w:left="96"/>
              <w:rPr>
                <w:color w:val="auto"/>
                <w:sz w:val="21"/>
                <w:highlight w:val="none"/>
              </w:rPr>
            </w:pPr>
            <w:r>
              <w:rPr>
                <w:color w:val="auto"/>
                <w:sz w:val="21"/>
                <w:highlight w:val="none"/>
              </w:rPr>
              <w:t>交通银行湖南省分行</w:t>
            </w:r>
          </w:p>
        </w:tc>
        <w:tc>
          <w:tcPr>
            <w:tcW w:w="1089" w:type="dxa"/>
            <w:tcBorders>
              <w:top w:val="single" w:color="000000" w:sz="6" w:space="0"/>
              <w:left w:val="single" w:color="000000" w:sz="6" w:space="0"/>
              <w:bottom w:val="single" w:color="000000" w:sz="6" w:space="0"/>
              <w:right w:val="single" w:color="000000" w:sz="6" w:space="0"/>
            </w:tcBorders>
          </w:tcPr>
          <w:p w14:paraId="306F1C70">
            <w:pPr>
              <w:pStyle w:val="49"/>
              <w:tabs>
                <w:tab w:val="left" w:pos="427"/>
              </w:tabs>
              <w:spacing w:before="157"/>
              <w:ind w:left="7"/>
              <w:jc w:val="center"/>
              <w:rPr>
                <w:color w:val="auto"/>
                <w:sz w:val="21"/>
                <w:highlight w:val="none"/>
              </w:rPr>
            </w:pPr>
            <w:r>
              <w:rPr>
                <w:color w:val="auto"/>
                <w:sz w:val="21"/>
                <w:highlight w:val="none"/>
              </w:rPr>
              <w:t>刘</w:t>
            </w:r>
            <w:r>
              <w:rPr>
                <w:color w:val="auto"/>
                <w:sz w:val="21"/>
                <w:highlight w:val="none"/>
              </w:rPr>
              <w:tab/>
            </w:r>
            <w:r>
              <w:rPr>
                <w:color w:val="auto"/>
                <w:sz w:val="21"/>
                <w:highlight w:val="none"/>
              </w:rPr>
              <w:t>波</w:t>
            </w:r>
          </w:p>
        </w:tc>
        <w:tc>
          <w:tcPr>
            <w:tcW w:w="3087" w:type="dxa"/>
            <w:tcBorders>
              <w:top w:val="single" w:color="000000" w:sz="6" w:space="0"/>
              <w:left w:val="single" w:color="000000" w:sz="6" w:space="0"/>
              <w:bottom w:val="single" w:color="000000" w:sz="6" w:space="0"/>
              <w:right w:val="single" w:color="000000" w:sz="6" w:space="0"/>
            </w:tcBorders>
          </w:tcPr>
          <w:p w14:paraId="470EE5D9">
            <w:pPr>
              <w:pStyle w:val="49"/>
              <w:spacing w:before="157"/>
              <w:ind w:left="104"/>
              <w:rPr>
                <w:color w:val="auto"/>
                <w:sz w:val="21"/>
                <w:highlight w:val="none"/>
              </w:rPr>
            </w:pPr>
            <w:r>
              <w:rPr>
                <w:color w:val="auto"/>
                <w:sz w:val="21"/>
                <w:highlight w:val="none"/>
              </w:rPr>
              <w:t>名城支行客户经理</w:t>
            </w:r>
          </w:p>
        </w:tc>
        <w:tc>
          <w:tcPr>
            <w:tcW w:w="2360" w:type="dxa"/>
            <w:tcBorders>
              <w:top w:val="single" w:color="000000" w:sz="6" w:space="0"/>
              <w:left w:val="single" w:color="000000" w:sz="6" w:space="0"/>
              <w:bottom w:val="single" w:color="000000" w:sz="6" w:space="0"/>
            </w:tcBorders>
          </w:tcPr>
          <w:p w14:paraId="41C82B92">
            <w:pPr>
              <w:pStyle w:val="49"/>
              <w:spacing w:before="157"/>
              <w:ind w:left="420" w:right="405"/>
              <w:jc w:val="center"/>
              <w:rPr>
                <w:color w:val="auto"/>
                <w:sz w:val="21"/>
                <w:highlight w:val="none"/>
              </w:rPr>
            </w:pPr>
            <w:r>
              <w:rPr>
                <w:color w:val="auto"/>
                <w:sz w:val="21"/>
                <w:highlight w:val="none"/>
              </w:rPr>
              <w:t>13874998873</w:t>
            </w:r>
          </w:p>
        </w:tc>
      </w:tr>
      <w:tr w14:paraId="1DA4C09B">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2724" w:type="dxa"/>
            <w:tcBorders>
              <w:top w:val="single" w:color="000000" w:sz="6" w:space="0"/>
              <w:bottom w:val="single" w:color="000000" w:sz="6" w:space="0"/>
              <w:right w:val="single" w:color="000000" w:sz="6" w:space="0"/>
            </w:tcBorders>
          </w:tcPr>
          <w:p w14:paraId="2B6B565B">
            <w:pPr>
              <w:pStyle w:val="49"/>
              <w:spacing w:before="156"/>
              <w:ind w:left="96"/>
              <w:rPr>
                <w:color w:val="auto"/>
                <w:sz w:val="21"/>
                <w:highlight w:val="none"/>
              </w:rPr>
            </w:pPr>
            <w:r>
              <w:rPr>
                <w:color w:val="auto"/>
                <w:sz w:val="21"/>
                <w:highlight w:val="none"/>
              </w:rPr>
              <w:t>交通银行湖南省分行</w:t>
            </w:r>
          </w:p>
        </w:tc>
        <w:tc>
          <w:tcPr>
            <w:tcW w:w="1089" w:type="dxa"/>
            <w:tcBorders>
              <w:top w:val="single" w:color="000000" w:sz="6" w:space="0"/>
              <w:left w:val="single" w:color="000000" w:sz="6" w:space="0"/>
              <w:bottom w:val="single" w:color="000000" w:sz="6" w:space="0"/>
              <w:right w:val="single" w:color="000000" w:sz="6" w:space="0"/>
            </w:tcBorders>
          </w:tcPr>
          <w:p w14:paraId="2FB23355">
            <w:pPr>
              <w:pStyle w:val="49"/>
              <w:spacing w:before="156"/>
              <w:ind w:left="7"/>
              <w:jc w:val="center"/>
              <w:rPr>
                <w:color w:val="auto"/>
                <w:sz w:val="21"/>
                <w:highlight w:val="none"/>
              </w:rPr>
            </w:pPr>
            <w:r>
              <w:rPr>
                <w:color w:val="auto"/>
                <w:sz w:val="21"/>
                <w:highlight w:val="none"/>
              </w:rPr>
              <w:t>肖勇光</w:t>
            </w:r>
          </w:p>
        </w:tc>
        <w:tc>
          <w:tcPr>
            <w:tcW w:w="3087" w:type="dxa"/>
            <w:tcBorders>
              <w:top w:val="single" w:color="000000" w:sz="6" w:space="0"/>
              <w:left w:val="single" w:color="000000" w:sz="6" w:space="0"/>
              <w:bottom w:val="single" w:color="000000" w:sz="6" w:space="0"/>
              <w:right w:val="single" w:color="000000" w:sz="6" w:space="0"/>
            </w:tcBorders>
          </w:tcPr>
          <w:p w14:paraId="03677EEC">
            <w:pPr>
              <w:pStyle w:val="49"/>
              <w:spacing w:before="156"/>
              <w:ind w:left="104"/>
              <w:rPr>
                <w:color w:val="auto"/>
                <w:sz w:val="21"/>
                <w:highlight w:val="none"/>
              </w:rPr>
            </w:pPr>
            <w:r>
              <w:rPr>
                <w:color w:val="auto"/>
                <w:sz w:val="21"/>
                <w:highlight w:val="none"/>
              </w:rPr>
              <w:t>分行高级经理</w:t>
            </w:r>
          </w:p>
        </w:tc>
        <w:tc>
          <w:tcPr>
            <w:tcW w:w="2360" w:type="dxa"/>
            <w:tcBorders>
              <w:top w:val="single" w:color="000000" w:sz="6" w:space="0"/>
              <w:left w:val="single" w:color="000000" w:sz="6" w:space="0"/>
              <w:bottom w:val="single" w:color="000000" w:sz="6" w:space="0"/>
            </w:tcBorders>
          </w:tcPr>
          <w:p w14:paraId="70D44CF5">
            <w:pPr>
              <w:pStyle w:val="49"/>
              <w:spacing w:before="156"/>
              <w:ind w:left="420" w:right="405"/>
              <w:jc w:val="center"/>
              <w:rPr>
                <w:color w:val="auto"/>
                <w:sz w:val="21"/>
                <w:highlight w:val="none"/>
              </w:rPr>
            </w:pPr>
            <w:r>
              <w:rPr>
                <w:color w:val="auto"/>
                <w:sz w:val="21"/>
                <w:highlight w:val="none"/>
              </w:rPr>
              <w:t>13755192647</w:t>
            </w:r>
          </w:p>
        </w:tc>
      </w:tr>
      <w:tr w14:paraId="1A068228">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1" w:hRule="atLeast"/>
        </w:trPr>
        <w:tc>
          <w:tcPr>
            <w:tcW w:w="2724" w:type="dxa"/>
            <w:tcBorders>
              <w:top w:val="single" w:color="000000" w:sz="6" w:space="0"/>
              <w:bottom w:val="single" w:color="000000" w:sz="6" w:space="0"/>
              <w:right w:val="single" w:color="000000" w:sz="6" w:space="0"/>
            </w:tcBorders>
          </w:tcPr>
          <w:p w14:paraId="4E8E827E">
            <w:pPr>
              <w:pStyle w:val="49"/>
              <w:spacing w:before="157"/>
              <w:ind w:left="96"/>
              <w:rPr>
                <w:color w:val="auto"/>
                <w:sz w:val="21"/>
                <w:highlight w:val="none"/>
              </w:rPr>
            </w:pPr>
            <w:r>
              <w:rPr>
                <w:color w:val="auto"/>
                <w:sz w:val="21"/>
                <w:highlight w:val="none"/>
              </w:rPr>
              <w:t>中国民生银行岳阳分行</w:t>
            </w:r>
          </w:p>
        </w:tc>
        <w:tc>
          <w:tcPr>
            <w:tcW w:w="1089" w:type="dxa"/>
            <w:tcBorders>
              <w:top w:val="single" w:color="000000" w:sz="6" w:space="0"/>
              <w:left w:val="single" w:color="000000" w:sz="6" w:space="0"/>
              <w:bottom w:val="single" w:color="000000" w:sz="6" w:space="0"/>
              <w:right w:val="single" w:color="000000" w:sz="6" w:space="0"/>
            </w:tcBorders>
          </w:tcPr>
          <w:p w14:paraId="138C32D9">
            <w:pPr>
              <w:pStyle w:val="49"/>
              <w:spacing w:before="157"/>
              <w:ind w:left="7"/>
              <w:jc w:val="center"/>
              <w:rPr>
                <w:color w:val="auto"/>
                <w:sz w:val="21"/>
                <w:highlight w:val="none"/>
              </w:rPr>
            </w:pPr>
            <w:r>
              <w:rPr>
                <w:color w:val="auto"/>
                <w:sz w:val="21"/>
                <w:highlight w:val="none"/>
              </w:rPr>
              <w:t>黄飞燕</w:t>
            </w:r>
          </w:p>
        </w:tc>
        <w:tc>
          <w:tcPr>
            <w:tcW w:w="3087" w:type="dxa"/>
            <w:tcBorders>
              <w:top w:val="single" w:color="000000" w:sz="6" w:space="0"/>
              <w:left w:val="single" w:color="000000" w:sz="6" w:space="0"/>
              <w:bottom w:val="single" w:color="000000" w:sz="6" w:space="0"/>
              <w:right w:val="single" w:color="000000" w:sz="6" w:space="0"/>
            </w:tcBorders>
          </w:tcPr>
          <w:p w14:paraId="3C1D0A54">
            <w:pPr>
              <w:pStyle w:val="49"/>
              <w:spacing w:before="157"/>
              <w:ind w:left="104"/>
              <w:rPr>
                <w:color w:val="auto"/>
                <w:sz w:val="21"/>
                <w:highlight w:val="none"/>
              </w:rPr>
            </w:pPr>
            <w:r>
              <w:rPr>
                <w:color w:val="auto"/>
                <w:sz w:val="21"/>
                <w:highlight w:val="none"/>
              </w:rPr>
              <w:t>营业部总经理</w:t>
            </w:r>
          </w:p>
        </w:tc>
        <w:tc>
          <w:tcPr>
            <w:tcW w:w="2360" w:type="dxa"/>
            <w:tcBorders>
              <w:top w:val="single" w:color="000000" w:sz="6" w:space="0"/>
              <w:left w:val="single" w:color="000000" w:sz="6" w:space="0"/>
              <w:bottom w:val="single" w:color="000000" w:sz="6" w:space="0"/>
            </w:tcBorders>
          </w:tcPr>
          <w:p w14:paraId="1019F4DC">
            <w:pPr>
              <w:pStyle w:val="49"/>
              <w:spacing w:before="157"/>
              <w:ind w:left="420" w:right="405"/>
              <w:jc w:val="center"/>
              <w:rPr>
                <w:color w:val="auto"/>
                <w:sz w:val="21"/>
                <w:highlight w:val="none"/>
              </w:rPr>
            </w:pPr>
            <w:r>
              <w:rPr>
                <w:color w:val="auto"/>
                <w:sz w:val="21"/>
                <w:highlight w:val="none"/>
              </w:rPr>
              <w:t>13308463468</w:t>
            </w:r>
          </w:p>
        </w:tc>
      </w:tr>
      <w:tr w14:paraId="200A2A89">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2724" w:type="dxa"/>
            <w:tcBorders>
              <w:top w:val="single" w:color="000000" w:sz="6" w:space="0"/>
              <w:bottom w:val="single" w:color="000000" w:sz="6" w:space="0"/>
              <w:right w:val="single" w:color="000000" w:sz="6" w:space="0"/>
            </w:tcBorders>
          </w:tcPr>
          <w:p w14:paraId="484C7BE0">
            <w:pPr>
              <w:pStyle w:val="49"/>
              <w:spacing w:before="156"/>
              <w:ind w:left="96"/>
              <w:rPr>
                <w:color w:val="auto"/>
                <w:sz w:val="21"/>
                <w:highlight w:val="none"/>
              </w:rPr>
            </w:pPr>
            <w:r>
              <w:rPr>
                <w:color w:val="auto"/>
                <w:sz w:val="21"/>
                <w:highlight w:val="none"/>
              </w:rPr>
              <w:t>中国民生银行岳阳分行</w:t>
            </w:r>
          </w:p>
        </w:tc>
        <w:tc>
          <w:tcPr>
            <w:tcW w:w="1089" w:type="dxa"/>
            <w:tcBorders>
              <w:top w:val="single" w:color="000000" w:sz="6" w:space="0"/>
              <w:left w:val="single" w:color="000000" w:sz="6" w:space="0"/>
              <w:bottom w:val="single" w:color="000000" w:sz="6" w:space="0"/>
              <w:right w:val="single" w:color="000000" w:sz="6" w:space="0"/>
            </w:tcBorders>
          </w:tcPr>
          <w:p w14:paraId="0F4F465D">
            <w:pPr>
              <w:pStyle w:val="49"/>
              <w:spacing w:before="156"/>
              <w:ind w:left="7"/>
              <w:jc w:val="center"/>
              <w:rPr>
                <w:color w:val="auto"/>
                <w:sz w:val="21"/>
                <w:highlight w:val="none"/>
              </w:rPr>
            </w:pPr>
            <w:r>
              <w:rPr>
                <w:color w:val="auto"/>
                <w:sz w:val="21"/>
                <w:highlight w:val="none"/>
              </w:rPr>
              <w:t>蒋寒奇</w:t>
            </w:r>
          </w:p>
        </w:tc>
        <w:tc>
          <w:tcPr>
            <w:tcW w:w="3087" w:type="dxa"/>
            <w:tcBorders>
              <w:top w:val="single" w:color="000000" w:sz="6" w:space="0"/>
              <w:left w:val="single" w:color="000000" w:sz="6" w:space="0"/>
              <w:bottom w:val="single" w:color="000000" w:sz="6" w:space="0"/>
              <w:right w:val="single" w:color="000000" w:sz="6" w:space="0"/>
            </w:tcBorders>
          </w:tcPr>
          <w:p w14:paraId="227B47A2">
            <w:pPr>
              <w:pStyle w:val="49"/>
              <w:spacing w:before="156"/>
              <w:ind w:left="104"/>
              <w:rPr>
                <w:color w:val="auto"/>
                <w:sz w:val="21"/>
                <w:highlight w:val="none"/>
              </w:rPr>
            </w:pPr>
            <w:r>
              <w:rPr>
                <w:color w:val="auto"/>
                <w:sz w:val="21"/>
                <w:highlight w:val="none"/>
              </w:rPr>
              <w:t>营业部中小企业客户经理</w:t>
            </w:r>
          </w:p>
        </w:tc>
        <w:tc>
          <w:tcPr>
            <w:tcW w:w="2360" w:type="dxa"/>
            <w:tcBorders>
              <w:top w:val="single" w:color="000000" w:sz="6" w:space="0"/>
              <w:left w:val="single" w:color="000000" w:sz="6" w:space="0"/>
              <w:bottom w:val="single" w:color="000000" w:sz="6" w:space="0"/>
            </w:tcBorders>
          </w:tcPr>
          <w:p w14:paraId="077F6424">
            <w:pPr>
              <w:pStyle w:val="49"/>
              <w:spacing w:before="156"/>
              <w:ind w:left="420" w:right="405"/>
              <w:jc w:val="center"/>
              <w:rPr>
                <w:color w:val="auto"/>
                <w:sz w:val="21"/>
                <w:highlight w:val="none"/>
              </w:rPr>
            </w:pPr>
            <w:r>
              <w:rPr>
                <w:color w:val="auto"/>
                <w:sz w:val="21"/>
                <w:highlight w:val="none"/>
              </w:rPr>
              <w:t>13548982975</w:t>
            </w:r>
          </w:p>
        </w:tc>
      </w:tr>
      <w:tr w14:paraId="1407FFB6">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2724" w:type="dxa"/>
            <w:tcBorders>
              <w:top w:val="single" w:color="000000" w:sz="6" w:space="0"/>
              <w:bottom w:val="single" w:color="000000" w:sz="6" w:space="0"/>
              <w:right w:val="single" w:color="000000" w:sz="6" w:space="0"/>
            </w:tcBorders>
          </w:tcPr>
          <w:p w14:paraId="3587F7B0">
            <w:pPr>
              <w:pStyle w:val="49"/>
              <w:spacing w:before="158"/>
              <w:ind w:left="96"/>
              <w:rPr>
                <w:color w:val="auto"/>
                <w:sz w:val="21"/>
                <w:highlight w:val="none"/>
              </w:rPr>
            </w:pPr>
            <w:r>
              <w:rPr>
                <w:color w:val="auto"/>
                <w:sz w:val="21"/>
                <w:highlight w:val="none"/>
              </w:rPr>
              <w:t>兴业银行岳阳分行</w:t>
            </w:r>
          </w:p>
        </w:tc>
        <w:tc>
          <w:tcPr>
            <w:tcW w:w="1089" w:type="dxa"/>
            <w:tcBorders>
              <w:top w:val="single" w:color="000000" w:sz="6" w:space="0"/>
              <w:left w:val="single" w:color="000000" w:sz="6" w:space="0"/>
              <w:bottom w:val="single" w:color="000000" w:sz="6" w:space="0"/>
              <w:right w:val="single" w:color="000000" w:sz="6" w:space="0"/>
            </w:tcBorders>
          </w:tcPr>
          <w:p w14:paraId="76786775">
            <w:pPr>
              <w:pStyle w:val="49"/>
              <w:spacing w:before="158"/>
              <w:ind w:left="7"/>
              <w:jc w:val="center"/>
              <w:rPr>
                <w:color w:val="auto"/>
                <w:sz w:val="21"/>
                <w:highlight w:val="none"/>
              </w:rPr>
            </w:pPr>
            <w:r>
              <w:rPr>
                <w:color w:val="auto"/>
                <w:sz w:val="21"/>
                <w:highlight w:val="none"/>
              </w:rPr>
              <w:t>刘栅延</w:t>
            </w:r>
          </w:p>
        </w:tc>
        <w:tc>
          <w:tcPr>
            <w:tcW w:w="3087" w:type="dxa"/>
            <w:tcBorders>
              <w:top w:val="single" w:color="000000" w:sz="6" w:space="0"/>
              <w:left w:val="single" w:color="000000" w:sz="6" w:space="0"/>
              <w:bottom w:val="single" w:color="000000" w:sz="6" w:space="0"/>
              <w:right w:val="single" w:color="000000" w:sz="6" w:space="0"/>
            </w:tcBorders>
          </w:tcPr>
          <w:p w14:paraId="75E8DFE3">
            <w:pPr>
              <w:pStyle w:val="49"/>
              <w:spacing w:before="158"/>
              <w:ind w:left="104"/>
              <w:rPr>
                <w:color w:val="auto"/>
                <w:sz w:val="21"/>
                <w:highlight w:val="none"/>
              </w:rPr>
            </w:pPr>
            <w:r>
              <w:rPr>
                <w:color w:val="auto"/>
                <w:sz w:val="21"/>
                <w:highlight w:val="none"/>
              </w:rPr>
              <w:t>支行行长</w:t>
            </w:r>
          </w:p>
        </w:tc>
        <w:tc>
          <w:tcPr>
            <w:tcW w:w="2360" w:type="dxa"/>
            <w:tcBorders>
              <w:top w:val="single" w:color="000000" w:sz="6" w:space="0"/>
              <w:left w:val="single" w:color="000000" w:sz="6" w:space="0"/>
              <w:bottom w:val="single" w:color="000000" w:sz="6" w:space="0"/>
            </w:tcBorders>
          </w:tcPr>
          <w:p w14:paraId="4DE947FE">
            <w:pPr>
              <w:pStyle w:val="49"/>
              <w:spacing w:before="158"/>
              <w:ind w:left="420" w:right="405"/>
              <w:jc w:val="center"/>
              <w:rPr>
                <w:color w:val="auto"/>
                <w:sz w:val="21"/>
                <w:highlight w:val="none"/>
              </w:rPr>
            </w:pPr>
            <w:r>
              <w:rPr>
                <w:color w:val="auto"/>
                <w:sz w:val="21"/>
                <w:highlight w:val="none"/>
              </w:rPr>
              <w:t>13337316405</w:t>
            </w:r>
          </w:p>
        </w:tc>
      </w:tr>
      <w:tr w14:paraId="1D8B9802">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2724" w:type="dxa"/>
            <w:tcBorders>
              <w:top w:val="single" w:color="000000" w:sz="6" w:space="0"/>
              <w:bottom w:val="single" w:color="000000" w:sz="6" w:space="0"/>
              <w:right w:val="single" w:color="000000" w:sz="6" w:space="0"/>
            </w:tcBorders>
          </w:tcPr>
          <w:p w14:paraId="51DF927C">
            <w:pPr>
              <w:pStyle w:val="49"/>
              <w:spacing w:before="156"/>
              <w:ind w:left="96"/>
              <w:rPr>
                <w:color w:val="auto"/>
                <w:sz w:val="21"/>
                <w:highlight w:val="none"/>
              </w:rPr>
            </w:pPr>
            <w:r>
              <w:rPr>
                <w:color w:val="auto"/>
                <w:sz w:val="21"/>
                <w:highlight w:val="none"/>
              </w:rPr>
              <w:t>兴业银行岳阳分行</w:t>
            </w:r>
          </w:p>
        </w:tc>
        <w:tc>
          <w:tcPr>
            <w:tcW w:w="1089" w:type="dxa"/>
            <w:tcBorders>
              <w:top w:val="single" w:color="000000" w:sz="6" w:space="0"/>
              <w:left w:val="single" w:color="000000" w:sz="6" w:space="0"/>
              <w:bottom w:val="single" w:color="000000" w:sz="6" w:space="0"/>
              <w:right w:val="single" w:color="000000" w:sz="6" w:space="0"/>
            </w:tcBorders>
          </w:tcPr>
          <w:p w14:paraId="42B7C05B">
            <w:pPr>
              <w:pStyle w:val="49"/>
              <w:spacing w:before="156"/>
              <w:ind w:left="7"/>
              <w:jc w:val="center"/>
              <w:rPr>
                <w:color w:val="auto"/>
                <w:sz w:val="21"/>
                <w:highlight w:val="none"/>
              </w:rPr>
            </w:pPr>
            <w:r>
              <w:rPr>
                <w:color w:val="auto"/>
                <w:sz w:val="21"/>
                <w:highlight w:val="none"/>
              </w:rPr>
              <w:t>蒋修远</w:t>
            </w:r>
          </w:p>
        </w:tc>
        <w:tc>
          <w:tcPr>
            <w:tcW w:w="3087" w:type="dxa"/>
            <w:tcBorders>
              <w:top w:val="single" w:color="000000" w:sz="6" w:space="0"/>
              <w:left w:val="single" w:color="000000" w:sz="6" w:space="0"/>
              <w:bottom w:val="single" w:color="000000" w:sz="6" w:space="0"/>
              <w:right w:val="single" w:color="000000" w:sz="6" w:space="0"/>
            </w:tcBorders>
          </w:tcPr>
          <w:p w14:paraId="12F719DA">
            <w:pPr>
              <w:pStyle w:val="49"/>
              <w:spacing w:before="156"/>
              <w:ind w:left="104"/>
              <w:rPr>
                <w:color w:val="auto"/>
                <w:sz w:val="21"/>
                <w:highlight w:val="none"/>
              </w:rPr>
            </w:pPr>
            <w:r>
              <w:rPr>
                <w:color w:val="auto"/>
                <w:sz w:val="21"/>
                <w:highlight w:val="none"/>
              </w:rPr>
              <w:t>支行客户经理</w:t>
            </w:r>
          </w:p>
        </w:tc>
        <w:tc>
          <w:tcPr>
            <w:tcW w:w="2360" w:type="dxa"/>
            <w:tcBorders>
              <w:top w:val="single" w:color="000000" w:sz="6" w:space="0"/>
              <w:left w:val="single" w:color="000000" w:sz="6" w:space="0"/>
              <w:bottom w:val="single" w:color="000000" w:sz="6" w:space="0"/>
            </w:tcBorders>
          </w:tcPr>
          <w:p w14:paraId="30221316">
            <w:pPr>
              <w:pStyle w:val="49"/>
              <w:spacing w:before="156"/>
              <w:ind w:left="420" w:right="405"/>
              <w:jc w:val="center"/>
              <w:rPr>
                <w:color w:val="auto"/>
                <w:sz w:val="21"/>
                <w:highlight w:val="none"/>
              </w:rPr>
            </w:pPr>
            <w:r>
              <w:rPr>
                <w:color w:val="auto"/>
                <w:sz w:val="21"/>
                <w:highlight w:val="none"/>
              </w:rPr>
              <w:t>18607310422</w:t>
            </w:r>
          </w:p>
        </w:tc>
      </w:tr>
      <w:tr w14:paraId="0A7D83F8">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1" w:hRule="atLeast"/>
        </w:trPr>
        <w:tc>
          <w:tcPr>
            <w:tcW w:w="2724" w:type="dxa"/>
            <w:tcBorders>
              <w:top w:val="single" w:color="000000" w:sz="6" w:space="0"/>
              <w:bottom w:val="single" w:color="000000" w:sz="6" w:space="0"/>
              <w:right w:val="single" w:color="000000" w:sz="6" w:space="0"/>
            </w:tcBorders>
          </w:tcPr>
          <w:p w14:paraId="65D806CA">
            <w:pPr>
              <w:pStyle w:val="49"/>
              <w:spacing w:before="158"/>
              <w:ind w:left="96"/>
              <w:rPr>
                <w:color w:val="auto"/>
                <w:sz w:val="21"/>
                <w:highlight w:val="none"/>
              </w:rPr>
            </w:pPr>
            <w:r>
              <w:rPr>
                <w:color w:val="auto"/>
                <w:sz w:val="21"/>
                <w:highlight w:val="none"/>
              </w:rPr>
              <w:t>中国光大银行岳阳分行</w:t>
            </w:r>
          </w:p>
        </w:tc>
        <w:tc>
          <w:tcPr>
            <w:tcW w:w="1089" w:type="dxa"/>
            <w:tcBorders>
              <w:top w:val="single" w:color="000000" w:sz="6" w:space="0"/>
              <w:left w:val="single" w:color="000000" w:sz="6" w:space="0"/>
              <w:bottom w:val="single" w:color="000000" w:sz="6" w:space="0"/>
              <w:right w:val="single" w:color="000000" w:sz="6" w:space="0"/>
            </w:tcBorders>
          </w:tcPr>
          <w:p w14:paraId="0FE0C2CF">
            <w:pPr>
              <w:pStyle w:val="49"/>
              <w:spacing w:before="158"/>
              <w:ind w:left="7"/>
              <w:jc w:val="center"/>
              <w:rPr>
                <w:color w:val="auto"/>
                <w:sz w:val="21"/>
                <w:highlight w:val="none"/>
              </w:rPr>
            </w:pPr>
            <w:r>
              <w:rPr>
                <w:color w:val="auto"/>
                <w:sz w:val="21"/>
                <w:highlight w:val="none"/>
              </w:rPr>
              <w:t>邓永胜</w:t>
            </w:r>
          </w:p>
        </w:tc>
        <w:tc>
          <w:tcPr>
            <w:tcW w:w="3087" w:type="dxa"/>
            <w:tcBorders>
              <w:top w:val="single" w:color="000000" w:sz="6" w:space="0"/>
              <w:left w:val="single" w:color="000000" w:sz="6" w:space="0"/>
              <w:bottom w:val="single" w:color="000000" w:sz="6" w:space="0"/>
              <w:right w:val="single" w:color="000000" w:sz="6" w:space="0"/>
            </w:tcBorders>
          </w:tcPr>
          <w:p w14:paraId="06BD8DFF">
            <w:pPr>
              <w:pStyle w:val="49"/>
              <w:spacing w:before="158"/>
              <w:ind w:left="104"/>
              <w:rPr>
                <w:color w:val="auto"/>
                <w:sz w:val="21"/>
                <w:highlight w:val="none"/>
              </w:rPr>
            </w:pPr>
            <w:r>
              <w:rPr>
                <w:color w:val="auto"/>
                <w:sz w:val="21"/>
                <w:highlight w:val="none"/>
              </w:rPr>
              <w:t>岳麓支行副行长</w:t>
            </w:r>
          </w:p>
        </w:tc>
        <w:tc>
          <w:tcPr>
            <w:tcW w:w="2360" w:type="dxa"/>
            <w:tcBorders>
              <w:top w:val="single" w:color="000000" w:sz="6" w:space="0"/>
              <w:left w:val="single" w:color="000000" w:sz="6" w:space="0"/>
              <w:bottom w:val="single" w:color="000000" w:sz="6" w:space="0"/>
            </w:tcBorders>
          </w:tcPr>
          <w:p w14:paraId="46B039AB">
            <w:pPr>
              <w:pStyle w:val="49"/>
              <w:spacing w:before="158"/>
              <w:ind w:left="420" w:right="405"/>
              <w:jc w:val="center"/>
              <w:rPr>
                <w:color w:val="auto"/>
                <w:sz w:val="21"/>
                <w:highlight w:val="none"/>
              </w:rPr>
            </w:pPr>
            <w:r>
              <w:rPr>
                <w:color w:val="auto"/>
                <w:sz w:val="21"/>
                <w:highlight w:val="none"/>
              </w:rPr>
              <w:t>13617319650</w:t>
            </w:r>
          </w:p>
        </w:tc>
      </w:tr>
      <w:tr w14:paraId="6AFA4232">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2724" w:type="dxa"/>
            <w:tcBorders>
              <w:top w:val="single" w:color="000000" w:sz="6" w:space="0"/>
              <w:bottom w:val="single" w:color="000000" w:sz="6" w:space="0"/>
              <w:right w:val="single" w:color="000000" w:sz="6" w:space="0"/>
            </w:tcBorders>
          </w:tcPr>
          <w:p w14:paraId="7700F23D">
            <w:pPr>
              <w:pStyle w:val="49"/>
              <w:spacing w:before="156"/>
              <w:ind w:left="96"/>
              <w:rPr>
                <w:color w:val="auto"/>
                <w:sz w:val="21"/>
                <w:highlight w:val="none"/>
              </w:rPr>
            </w:pPr>
            <w:r>
              <w:rPr>
                <w:color w:val="auto"/>
                <w:sz w:val="21"/>
                <w:highlight w:val="none"/>
              </w:rPr>
              <w:t>中信银行岳阳分行</w:t>
            </w:r>
          </w:p>
        </w:tc>
        <w:tc>
          <w:tcPr>
            <w:tcW w:w="1089" w:type="dxa"/>
            <w:tcBorders>
              <w:top w:val="single" w:color="000000" w:sz="6" w:space="0"/>
              <w:left w:val="single" w:color="000000" w:sz="6" w:space="0"/>
              <w:bottom w:val="single" w:color="000000" w:sz="6" w:space="0"/>
              <w:right w:val="single" w:color="000000" w:sz="6" w:space="0"/>
            </w:tcBorders>
          </w:tcPr>
          <w:p w14:paraId="1C62501C">
            <w:pPr>
              <w:pStyle w:val="49"/>
              <w:spacing w:before="156"/>
              <w:ind w:left="7"/>
              <w:jc w:val="center"/>
              <w:rPr>
                <w:color w:val="auto"/>
                <w:sz w:val="21"/>
                <w:highlight w:val="none"/>
              </w:rPr>
            </w:pPr>
            <w:r>
              <w:rPr>
                <w:color w:val="auto"/>
                <w:sz w:val="21"/>
                <w:highlight w:val="none"/>
              </w:rPr>
              <w:t>蔡学军</w:t>
            </w:r>
          </w:p>
        </w:tc>
        <w:tc>
          <w:tcPr>
            <w:tcW w:w="3087" w:type="dxa"/>
            <w:tcBorders>
              <w:top w:val="single" w:color="000000" w:sz="6" w:space="0"/>
              <w:left w:val="single" w:color="000000" w:sz="6" w:space="0"/>
              <w:bottom w:val="single" w:color="000000" w:sz="6" w:space="0"/>
              <w:right w:val="single" w:color="000000" w:sz="6" w:space="0"/>
            </w:tcBorders>
          </w:tcPr>
          <w:p w14:paraId="32C8097C">
            <w:pPr>
              <w:pStyle w:val="49"/>
              <w:spacing w:before="156"/>
              <w:ind w:left="104"/>
              <w:rPr>
                <w:color w:val="auto"/>
                <w:sz w:val="21"/>
                <w:highlight w:val="none"/>
              </w:rPr>
            </w:pPr>
            <w:r>
              <w:rPr>
                <w:color w:val="auto"/>
                <w:sz w:val="21"/>
                <w:highlight w:val="none"/>
              </w:rPr>
              <w:t>公司银行部负责人</w:t>
            </w:r>
          </w:p>
        </w:tc>
        <w:tc>
          <w:tcPr>
            <w:tcW w:w="2360" w:type="dxa"/>
            <w:tcBorders>
              <w:top w:val="single" w:color="000000" w:sz="6" w:space="0"/>
              <w:left w:val="single" w:color="000000" w:sz="6" w:space="0"/>
              <w:bottom w:val="single" w:color="000000" w:sz="6" w:space="0"/>
            </w:tcBorders>
          </w:tcPr>
          <w:p w14:paraId="69ADCCAA">
            <w:pPr>
              <w:pStyle w:val="49"/>
              <w:spacing w:before="156"/>
              <w:ind w:left="420" w:right="405"/>
              <w:jc w:val="center"/>
              <w:rPr>
                <w:color w:val="auto"/>
                <w:sz w:val="21"/>
                <w:highlight w:val="none"/>
              </w:rPr>
            </w:pPr>
            <w:r>
              <w:rPr>
                <w:color w:val="auto"/>
                <w:sz w:val="21"/>
                <w:highlight w:val="none"/>
              </w:rPr>
              <w:t>13055167195</w:t>
            </w:r>
          </w:p>
        </w:tc>
      </w:tr>
      <w:tr w14:paraId="1FA3A55E">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69" w:hRule="atLeast"/>
        </w:trPr>
        <w:tc>
          <w:tcPr>
            <w:tcW w:w="2724" w:type="dxa"/>
            <w:tcBorders>
              <w:top w:val="single" w:color="000000" w:sz="6" w:space="0"/>
              <w:right w:val="single" w:color="000000" w:sz="6" w:space="0"/>
            </w:tcBorders>
          </w:tcPr>
          <w:p w14:paraId="7EEE8E31">
            <w:pPr>
              <w:pStyle w:val="49"/>
              <w:spacing w:before="2"/>
              <w:rPr>
                <w:b/>
                <w:color w:val="auto"/>
                <w:sz w:val="14"/>
                <w:highlight w:val="none"/>
              </w:rPr>
            </w:pPr>
          </w:p>
          <w:p w14:paraId="143D5F0A">
            <w:pPr>
              <w:pStyle w:val="49"/>
              <w:spacing w:before="1"/>
              <w:ind w:left="96"/>
              <w:rPr>
                <w:color w:val="auto"/>
                <w:sz w:val="21"/>
                <w:highlight w:val="none"/>
              </w:rPr>
            </w:pPr>
            <w:r>
              <w:rPr>
                <w:color w:val="auto"/>
                <w:sz w:val="21"/>
                <w:highlight w:val="none"/>
              </w:rPr>
              <w:t>中信银行岳阳分行</w:t>
            </w:r>
          </w:p>
        </w:tc>
        <w:tc>
          <w:tcPr>
            <w:tcW w:w="1089" w:type="dxa"/>
            <w:tcBorders>
              <w:top w:val="single" w:color="000000" w:sz="6" w:space="0"/>
              <w:left w:val="single" w:color="000000" w:sz="6" w:space="0"/>
              <w:right w:val="single" w:color="000000" w:sz="6" w:space="0"/>
            </w:tcBorders>
          </w:tcPr>
          <w:p w14:paraId="7CF6290B">
            <w:pPr>
              <w:pStyle w:val="49"/>
              <w:spacing w:before="2"/>
              <w:rPr>
                <w:b/>
                <w:color w:val="auto"/>
                <w:sz w:val="14"/>
                <w:highlight w:val="none"/>
              </w:rPr>
            </w:pPr>
          </w:p>
          <w:p w14:paraId="26BB0674">
            <w:pPr>
              <w:pStyle w:val="49"/>
              <w:spacing w:before="1"/>
              <w:ind w:left="7"/>
              <w:jc w:val="center"/>
              <w:rPr>
                <w:color w:val="auto"/>
                <w:sz w:val="21"/>
                <w:highlight w:val="none"/>
              </w:rPr>
            </w:pPr>
            <w:r>
              <w:rPr>
                <w:color w:val="auto"/>
                <w:sz w:val="21"/>
                <w:highlight w:val="none"/>
              </w:rPr>
              <w:t>宋学农</w:t>
            </w:r>
          </w:p>
        </w:tc>
        <w:tc>
          <w:tcPr>
            <w:tcW w:w="3087" w:type="dxa"/>
            <w:tcBorders>
              <w:top w:val="single" w:color="000000" w:sz="6" w:space="0"/>
              <w:left w:val="single" w:color="000000" w:sz="6" w:space="0"/>
              <w:right w:val="single" w:color="000000" w:sz="6" w:space="0"/>
            </w:tcBorders>
          </w:tcPr>
          <w:p w14:paraId="0690C2E4">
            <w:pPr>
              <w:pStyle w:val="49"/>
              <w:spacing w:before="2"/>
              <w:rPr>
                <w:b/>
                <w:color w:val="auto"/>
                <w:sz w:val="14"/>
                <w:highlight w:val="none"/>
              </w:rPr>
            </w:pPr>
          </w:p>
          <w:p w14:paraId="1217BB54">
            <w:pPr>
              <w:pStyle w:val="49"/>
              <w:spacing w:before="1"/>
              <w:ind w:left="104"/>
              <w:rPr>
                <w:color w:val="auto"/>
                <w:sz w:val="21"/>
                <w:highlight w:val="none"/>
              </w:rPr>
            </w:pPr>
            <w:r>
              <w:rPr>
                <w:color w:val="auto"/>
                <w:sz w:val="21"/>
                <w:highlight w:val="none"/>
              </w:rPr>
              <w:t>银行部综合管理部副总经理</w:t>
            </w:r>
          </w:p>
        </w:tc>
        <w:tc>
          <w:tcPr>
            <w:tcW w:w="2360" w:type="dxa"/>
            <w:tcBorders>
              <w:top w:val="single" w:color="000000" w:sz="6" w:space="0"/>
              <w:left w:val="single" w:color="000000" w:sz="6" w:space="0"/>
            </w:tcBorders>
          </w:tcPr>
          <w:p w14:paraId="7A7DC04F">
            <w:pPr>
              <w:pStyle w:val="49"/>
              <w:spacing w:before="2"/>
              <w:rPr>
                <w:b/>
                <w:color w:val="auto"/>
                <w:sz w:val="14"/>
                <w:highlight w:val="none"/>
              </w:rPr>
            </w:pPr>
          </w:p>
          <w:p w14:paraId="1B1186F5">
            <w:pPr>
              <w:pStyle w:val="49"/>
              <w:spacing w:before="1"/>
              <w:ind w:left="422" w:right="405"/>
              <w:jc w:val="center"/>
              <w:rPr>
                <w:color w:val="auto"/>
                <w:sz w:val="21"/>
                <w:highlight w:val="none"/>
              </w:rPr>
            </w:pPr>
            <w:r>
              <w:rPr>
                <w:color w:val="auto"/>
                <w:sz w:val="21"/>
                <w:highlight w:val="none"/>
              </w:rPr>
              <w:t>0731-845822141</w:t>
            </w:r>
          </w:p>
        </w:tc>
      </w:tr>
    </w:tbl>
    <w:p w14:paraId="34F825AA">
      <w:pPr>
        <w:pStyle w:val="11"/>
        <w:rPr>
          <w:b/>
          <w:color w:val="auto"/>
          <w:sz w:val="20"/>
          <w:highlight w:val="none"/>
        </w:rPr>
      </w:pPr>
    </w:p>
    <w:p w14:paraId="17A336BA">
      <w:pPr>
        <w:pStyle w:val="11"/>
        <w:rPr>
          <w:b/>
          <w:color w:val="auto"/>
          <w:sz w:val="20"/>
          <w:highlight w:val="none"/>
        </w:rPr>
      </w:pPr>
    </w:p>
    <w:p w14:paraId="0129FFB5">
      <w:pPr>
        <w:pStyle w:val="11"/>
        <w:spacing w:before="2"/>
        <w:rPr>
          <w:b/>
          <w:color w:val="auto"/>
          <w:sz w:val="19"/>
          <w:highlight w:val="none"/>
        </w:rPr>
      </w:pPr>
    </w:p>
    <w:p w14:paraId="5DA9309B">
      <w:pPr>
        <w:spacing w:after="0"/>
        <w:rPr>
          <w:color w:val="auto"/>
          <w:sz w:val="19"/>
          <w:highlight w:val="none"/>
        </w:rPr>
        <w:sectPr>
          <w:type w:val="continuous"/>
          <w:pgSz w:w="11910" w:h="16840"/>
          <w:pgMar w:top="1580" w:right="600" w:bottom="280" w:left="1020" w:header="720" w:footer="720" w:gutter="0"/>
          <w:pgBorders>
            <w:top w:val="none" w:sz="0" w:space="0"/>
            <w:left w:val="none" w:sz="0" w:space="0"/>
            <w:bottom w:val="none" w:sz="0" w:space="0"/>
            <w:right w:val="none" w:sz="0" w:space="0"/>
          </w:pgBorders>
          <w:pgNumType w:fmt="decimal"/>
          <w:cols w:space="720" w:num="1"/>
        </w:sectPr>
      </w:pPr>
    </w:p>
    <w:p w14:paraId="67CD4E34">
      <w:pPr>
        <w:spacing w:before="70"/>
        <w:ind w:left="112" w:right="0" w:firstLine="0"/>
        <w:jc w:val="left"/>
        <w:rPr>
          <w:b/>
          <w:color w:val="auto"/>
          <w:sz w:val="21"/>
          <w:highlight w:val="none"/>
        </w:rPr>
      </w:pPr>
      <w:r>
        <w:rPr>
          <w:b/>
          <w:color w:val="auto"/>
          <w:spacing w:val="-18"/>
          <w:sz w:val="21"/>
          <w:highlight w:val="none"/>
        </w:rPr>
        <w:t xml:space="preserve">附页 </w:t>
      </w:r>
      <w:r>
        <w:rPr>
          <w:b/>
          <w:color w:val="auto"/>
          <w:sz w:val="21"/>
          <w:highlight w:val="none"/>
        </w:rPr>
        <w:t>2</w:t>
      </w:r>
    </w:p>
    <w:p w14:paraId="38B7F293">
      <w:pPr>
        <w:pStyle w:val="11"/>
        <w:spacing w:before="5"/>
        <w:rPr>
          <w:b/>
          <w:color w:val="auto"/>
          <w:sz w:val="37"/>
          <w:highlight w:val="none"/>
        </w:rPr>
      </w:pPr>
      <w:r>
        <w:rPr>
          <w:color w:val="auto"/>
          <w:highlight w:val="none"/>
        </w:rPr>
        <w:br w:type="column"/>
      </w:r>
    </w:p>
    <w:p w14:paraId="53877772">
      <w:pPr>
        <w:pStyle w:val="5"/>
        <w:spacing w:before="1"/>
        <w:ind w:left="112"/>
        <w:jc w:val="left"/>
        <w:rPr>
          <w:color w:val="auto"/>
          <w:highlight w:val="none"/>
        </w:rPr>
      </w:pPr>
      <w:r>
        <w:rPr>
          <w:color w:val="auto"/>
          <w:highlight w:val="none"/>
        </w:rPr>
        <w:t>湖南省政府采购信用担保试点工作的信用担保机构名单</w:t>
      </w:r>
    </w:p>
    <w:p w14:paraId="082B3B06">
      <w:pPr>
        <w:spacing w:after="0"/>
        <w:jc w:val="left"/>
        <w:rPr>
          <w:color w:val="auto"/>
          <w:highlight w:val="none"/>
        </w:rPr>
        <w:sectPr>
          <w:type w:val="continuous"/>
          <w:pgSz w:w="11910" w:h="16840"/>
          <w:pgMar w:top="1580" w:right="600" w:bottom="280" w:left="1020" w:header="720" w:footer="720" w:gutter="0"/>
          <w:pgBorders>
            <w:top w:val="none" w:sz="0" w:space="0"/>
            <w:left w:val="none" w:sz="0" w:space="0"/>
            <w:bottom w:val="none" w:sz="0" w:space="0"/>
            <w:right w:val="none" w:sz="0" w:space="0"/>
          </w:pgBorders>
          <w:pgNumType w:fmt="decimal"/>
          <w:cols w:equalWidth="0" w:num="2">
            <w:col w:w="733" w:space="714"/>
            <w:col w:w="8843"/>
          </w:cols>
        </w:sectPr>
      </w:pPr>
    </w:p>
    <w:p w14:paraId="3ECC349A">
      <w:pPr>
        <w:pStyle w:val="11"/>
        <w:spacing w:before="2"/>
        <w:rPr>
          <w:b/>
          <w:color w:val="auto"/>
          <w:sz w:val="15"/>
          <w:highlight w:val="none"/>
        </w:rPr>
      </w:pPr>
    </w:p>
    <w:tbl>
      <w:tblPr>
        <w:tblStyle w:val="24"/>
        <w:tblW w:w="0" w:type="auto"/>
        <w:tblInd w:w="129" w:type="dxa"/>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Layout w:type="fixed"/>
        <w:tblCellMar>
          <w:top w:w="0" w:type="dxa"/>
          <w:left w:w="0" w:type="dxa"/>
          <w:bottom w:w="0" w:type="dxa"/>
          <w:right w:w="0" w:type="dxa"/>
        </w:tblCellMar>
      </w:tblPr>
      <w:tblGrid>
        <w:gridCol w:w="3959"/>
        <w:gridCol w:w="1453"/>
        <w:gridCol w:w="3788"/>
      </w:tblGrid>
      <w:tr w14:paraId="47F07850">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55" w:hRule="atLeast"/>
        </w:trPr>
        <w:tc>
          <w:tcPr>
            <w:tcW w:w="3959" w:type="dxa"/>
            <w:tcBorders>
              <w:bottom w:val="single" w:color="000000" w:sz="6" w:space="0"/>
              <w:right w:val="single" w:color="000000" w:sz="6" w:space="0"/>
            </w:tcBorders>
          </w:tcPr>
          <w:p w14:paraId="5C32C8F1">
            <w:pPr>
              <w:pStyle w:val="49"/>
              <w:spacing w:before="137"/>
              <w:ind w:left="1318" w:right="1313"/>
              <w:jc w:val="center"/>
              <w:rPr>
                <w:b/>
                <w:color w:val="auto"/>
                <w:sz w:val="21"/>
                <w:highlight w:val="none"/>
              </w:rPr>
            </w:pPr>
            <w:r>
              <w:rPr>
                <w:b/>
                <w:color w:val="auto"/>
                <w:sz w:val="21"/>
                <w:highlight w:val="none"/>
              </w:rPr>
              <w:t>信用担保机构</w:t>
            </w:r>
          </w:p>
        </w:tc>
        <w:tc>
          <w:tcPr>
            <w:tcW w:w="1453" w:type="dxa"/>
            <w:tcBorders>
              <w:left w:val="single" w:color="000000" w:sz="6" w:space="0"/>
              <w:bottom w:val="single" w:color="000000" w:sz="6" w:space="0"/>
              <w:right w:val="single" w:color="000000" w:sz="6" w:space="0"/>
            </w:tcBorders>
          </w:tcPr>
          <w:p w14:paraId="5DFE6308">
            <w:pPr>
              <w:pStyle w:val="49"/>
              <w:spacing w:before="137"/>
              <w:ind w:left="8"/>
              <w:jc w:val="center"/>
              <w:rPr>
                <w:b/>
                <w:color w:val="auto"/>
                <w:sz w:val="21"/>
                <w:highlight w:val="none"/>
              </w:rPr>
            </w:pPr>
            <w:r>
              <w:rPr>
                <w:b/>
                <w:color w:val="auto"/>
                <w:sz w:val="21"/>
                <w:highlight w:val="none"/>
              </w:rPr>
              <w:t>联系人</w:t>
            </w:r>
          </w:p>
        </w:tc>
        <w:tc>
          <w:tcPr>
            <w:tcW w:w="3788" w:type="dxa"/>
            <w:tcBorders>
              <w:left w:val="single" w:color="000000" w:sz="6" w:space="0"/>
              <w:bottom w:val="single" w:color="000000" w:sz="6" w:space="0"/>
            </w:tcBorders>
          </w:tcPr>
          <w:p w14:paraId="7BB55832">
            <w:pPr>
              <w:pStyle w:val="49"/>
              <w:spacing w:before="137"/>
              <w:ind w:left="1451" w:right="1430"/>
              <w:jc w:val="center"/>
              <w:rPr>
                <w:b/>
                <w:color w:val="auto"/>
                <w:sz w:val="21"/>
                <w:highlight w:val="none"/>
              </w:rPr>
            </w:pPr>
            <w:r>
              <w:rPr>
                <w:b/>
                <w:color w:val="auto"/>
                <w:sz w:val="21"/>
                <w:highlight w:val="none"/>
              </w:rPr>
              <w:t>联系电话</w:t>
            </w:r>
          </w:p>
        </w:tc>
      </w:tr>
      <w:tr w14:paraId="30D889A1">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3959" w:type="dxa"/>
            <w:tcBorders>
              <w:top w:val="single" w:color="000000" w:sz="6" w:space="0"/>
              <w:bottom w:val="single" w:color="000000" w:sz="6" w:space="0"/>
              <w:right w:val="single" w:color="000000" w:sz="6" w:space="0"/>
            </w:tcBorders>
          </w:tcPr>
          <w:p w14:paraId="67903B63">
            <w:pPr>
              <w:pStyle w:val="49"/>
              <w:spacing w:before="155"/>
              <w:ind w:left="96"/>
              <w:rPr>
                <w:color w:val="auto"/>
                <w:sz w:val="21"/>
                <w:highlight w:val="none"/>
              </w:rPr>
            </w:pPr>
            <w:r>
              <w:rPr>
                <w:color w:val="auto"/>
                <w:sz w:val="21"/>
                <w:highlight w:val="none"/>
              </w:rPr>
              <w:t>中国投资担保公司</w:t>
            </w:r>
          </w:p>
        </w:tc>
        <w:tc>
          <w:tcPr>
            <w:tcW w:w="1453" w:type="dxa"/>
            <w:tcBorders>
              <w:top w:val="single" w:color="000000" w:sz="6" w:space="0"/>
              <w:left w:val="single" w:color="000000" w:sz="6" w:space="0"/>
              <w:bottom w:val="single" w:color="000000" w:sz="6" w:space="0"/>
              <w:right w:val="single" w:color="000000" w:sz="6" w:space="0"/>
            </w:tcBorders>
          </w:tcPr>
          <w:p w14:paraId="6847BAB7">
            <w:pPr>
              <w:pStyle w:val="49"/>
              <w:tabs>
                <w:tab w:val="left" w:pos="425"/>
              </w:tabs>
              <w:spacing w:before="155"/>
              <w:ind w:left="5"/>
              <w:jc w:val="center"/>
              <w:rPr>
                <w:color w:val="auto"/>
                <w:sz w:val="21"/>
                <w:highlight w:val="none"/>
              </w:rPr>
            </w:pPr>
            <w:r>
              <w:rPr>
                <w:color w:val="auto"/>
                <w:sz w:val="21"/>
                <w:highlight w:val="none"/>
              </w:rPr>
              <w:t>何</w:t>
            </w:r>
            <w:r>
              <w:rPr>
                <w:color w:val="auto"/>
                <w:sz w:val="21"/>
                <w:highlight w:val="none"/>
              </w:rPr>
              <w:tab/>
            </w:r>
            <w:r>
              <w:rPr>
                <w:color w:val="auto"/>
                <w:sz w:val="21"/>
                <w:highlight w:val="none"/>
              </w:rPr>
              <w:t>嘉</w:t>
            </w:r>
          </w:p>
        </w:tc>
        <w:tc>
          <w:tcPr>
            <w:tcW w:w="3788" w:type="dxa"/>
            <w:tcBorders>
              <w:top w:val="single" w:color="000000" w:sz="6" w:space="0"/>
              <w:left w:val="single" w:color="000000" w:sz="6" w:space="0"/>
              <w:bottom w:val="single" w:color="000000" w:sz="6" w:space="0"/>
            </w:tcBorders>
          </w:tcPr>
          <w:p w14:paraId="4DF78598">
            <w:pPr>
              <w:pStyle w:val="49"/>
              <w:spacing w:before="155"/>
              <w:ind w:left="104"/>
              <w:rPr>
                <w:color w:val="auto"/>
                <w:sz w:val="21"/>
                <w:highlight w:val="none"/>
              </w:rPr>
            </w:pPr>
            <w:r>
              <w:rPr>
                <w:color w:val="auto"/>
                <w:sz w:val="21"/>
                <w:highlight w:val="none"/>
              </w:rPr>
              <w:t>010-88822659/13718642233</w:t>
            </w:r>
          </w:p>
        </w:tc>
      </w:tr>
      <w:tr w14:paraId="6A609C72">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720" w:hRule="atLeast"/>
        </w:trPr>
        <w:tc>
          <w:tcPr>
            <w:tcW w:w="3959" w:type="dxa"/>
            <w:tcBorders>
              <w:top w:val="single" w:color="000000" w:sz="6" w:space="0"/>
              <w:bottom w:val="single" w:color="000000" w:sz="6" w:space="0"/>
              <w:right w:val="single" w:color="000000" w:sz="6" w:space="0"/>
            </w:tcBorders>
          </w:tcPr>
          <w:p w14:paraId="231FB1C3">
            <w:pPr>
              <w:pStyle w:val="49"/>
              <w:spacing w:before="157"/>
              <w:ind w:left="96"/>
              <w:rPr>
                <w:color w:val="auto"/>
                <w:sz w:val="21"/>
                <w:highlight w:val="none"/>
              </w:rPr>
            </w:pPr>
            <w:r>
              <w:rPr>
                <w:color w:val="auto"/>
                <w:sz w:val="21"/>
                <w:highlight w:val="none"/>
              </w:rPr>
              <w:t>湖南省中小企业信用担保有限责任公司</w:t>
            </w:r>
          </w:p>
        </w:tc>
        <w:tc>
          <w:tcPr>
            <w:tcW w:w="1453" w:type="dxa"/>
            <w:tcBorders>
              <w:top w:val="single" w:color="000000" w:sz="6" w:space="0"/>
              <w:left w:val="single" w:color="000000" w:sz="6" w:space="0"/>
              <w:bottom w:val="single" w:color="000000" w:sz="6" w:space="0"/>
              <w:right w:val="single" w:color="000000" w:sz="6" w:space="0"/>
            </w:tcBorders>
          </w:tcPr>
          <w:p w14:paraId="76477182">
            <w:pPr>
              <w:pStyle w:val="49"/>
              <w:spacing w:before="157"/>
              <w:ind w:left="5"/>
              <w:jc w:val="center"/>
              <w:rPr>
                <w:color w:val="auto"/>
                <w:sz w:val="21"/>
                <w:highlight w:val="none"/>
              </w:rPr>
            </w:pPr>
            <w:r>
              <w:rPr>
                <w:color w:val="auto"/>
                <w:sz w:val="21"/>
                <w:highlight w:val="none"/>
              </w:rPr>
              <w:t>蔡建雄</w:t>
            </w:r>
          </w:p>
        </w:tc>
        <w:tc>
          <w:tcPr>
            <w:tcW w:w="3788" w:type="dxa"/>
            <w:tcBorders>
              <w:top w:val="single" w:color="000000" w:sz="6" w:space="0"/>
              <w:left w:val="single" w:color="000000" w:sz="6" w:space="0"/>
              <w:bottom w:val="single" w:color="000000" w:sz="6" w:space="0"/>
            </w:tcBorders>
          </w:tcPr>
          <w:p w14:paraId="2E3CD6F9">
            <w:pPr>
              <w:pStyle w:val="49"/>
              <w:spacing w:before="157"/>
              <w:ind w:left="104"/>
              <w:rPr>
                <w:color w:val="auto"/>
                <w:sz w:val="21"/>
                <w:highlight w:val="none"/>
              </w:rPr>
            </w:pPr>
            <w:r>
              <w:rPr>
                <w:color w:val="auto"/>
                <w:sz w:val="21"/>
                <w:highlight w:val="none"/>
              </w:rPr>
              <w:t>0731-84172390-201/15573193555</w:t>
            </w:r>
          </w:p>
        </w:tc>
      </w:tr>
      <w:tr w14:paraId="2540BB6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1284" w:hRule="atLeast"/>
        </w:trPr>
        <w:tc>
          <w:tcPr>
            <w:tcW w:w="3959" w:type="dxa"/>
            <w:tcBorders>
              <w:top w:val="single" w:color="000000" w:sz="6" w:space="0"/>
              <w:right w:val="single" w:color="000000" w:sz="6" w:space="0"/>
            </w:tcBorders>
          </w:tcPr>
          <w:p w14:paraId="224319D2">
            <w:pPr>
              <w:pStyle w:val="49"/>
              <w:rPr>
                <w:b/>
                <w:color w:val="auto"/>
                <w:sz w:val="20"/>
                <w:highlight w:val="none"/>
              </w:rPr>
            </w:pPr>
          </w:p>
          <w:p w14:paraId="200A0C2E">
            <w:pPr>
              <w:pStyle w:val="49"/>
              <w:spacing w:before="3"/>
              <w:rPr>
                <w:b/>
                <w:color w:val="auto"/>
                <w:sz w:val="14"/>
                <w:highlight w:val="none"/>
              </w:rPr>
            </w:pPr>
          </w:p>
          <w:p w14:paraId="0EF7D7D4">
            <w:pPr>
              <w:pStyle w:val="49"/>
              <w:ind w:left="96"/>
              <w:rPr>
                <w:color w:val="auto"/>
                <w:sz w:val="21"/>
                <w:highlight w:val="none"/>
              </w:rPr>
            </w:pPr>
            <w:r>
              <w:rPr>
                <w:color w:val="auto"/>
                <w:sz w:val="21"/>
                <w:highlight w:val="none"/>
              </w:rPr>
              <w:t>湖南农业信用担保有限公司</w:t>
            </w:r>
          </w:p>
        </w:tc>
        <w:tc>
          <w:tcPr>
            <w:tcW w:w="1453" w:type="dxa"/>
            <w:tcBorders>
              <w:top w:val="single" w:color="000000" w:sz="6" w:space="0"/>
              <w:left w:val="single" w:color="000000" w:sz="6" w:space="0"/>
              <w:right w:val="single" w:color="000000" w:sz="6" w:space="0"/>
            </w:tcBorders>
          </w:tcPr>
          <w:p w14:paraId="643C3283">
            <w:pPr>
              <w:pStyle w:val="49"/>
              <w:tabs>
                <w:tab w:val="left" w:pos="827"/>
              </w:tabs>
              <w:spacing w:before="155"/>
              <w:ind w:left="407"/>
              <w:rPr>
                <w:color w:val="auto"/>
                <w:sz w:val="21"/>
                <w:highlight w:val="none"/>
              </w:rPr>
            </w:pPr>
            <w:r>
              <w:rPr>
                <w:color w:val="auto"/>
                <w:sz w:val="21"/>
                <w:highlight w:val="none"/>
              </w:rPr>
              <w:t>彭</w:t>
            </w:r>
            <w:r>
              <w:rPr>
                <w:color w:val="auto"/>
                <w:sz w:val="21"/>
                <w:highlight w:val="none"/>
              </w:rPr>
              <w:tab/>
            </w:r>
            <w:r>
              <w:rPr>
                <w:color w:val="auto"/>
                <w:sz w:val="21"/>
                <w:highlight w:val="none"/>
              </w:rPr>
              <w:t>球</w:t>
            </w:r>
          </w:p>
          <w:p w14:paraId="67844473">
            <w:pPr>
              <w:pStyle w:val="49"/>
              <w:rPr>
                <w:b/>
                <w:color w:val="auto"/>
                <w:sz w:val="23"/>
                <w:highlight w:val="none"/>
              </w:rPr>
            </w:pPr>
          </w:p>
          <w:p w14:paraId="31221E26">
            <w:pPr>
              <w:pStyle w:val="49"/>
              <w:ind w:left="407"/>
              <w:rPr>
                <w:color w:val="auto"/>
                <w:sz w:val="21"/>
                <w:highlight w:val="none"/>
              </w:rPr>
            </w:pPr>
            <w:r>
              <w:rPr>
                <w:color w:val="auto"/>
                <w:w w:val="95"/>
                <w:sz w:val="21"/>
                <w:highlight w:val="none"/>
              </w:rPr>
              <w:t>邓霞英</w:t>
            </w:r>
          </w:p>
        </w:tc>
        <w:tc>
          <w:tcPr>
            <w:tcW w:w="3788" w:type="dxa"/>
            <w:tcBorders>
              <w:top w:val="single" w:color="000000" w:sz="6" w:space="0"/>
              <w:left w:val="single" w:color="000000" w:sz="6" w:space="0"/>
            </w:tcBorders>
          </w:tcPr>
          <w:p w14:paraId="37E04158">
            <w:pPr>
              <w:pStyle w:val="49"/>
              <w:spacing w:before="1"/>
              <w:rPr>
                <w:b/>
                <w:color w:val="auto"/>
                <w:sz w:val="18"/>
                <w:highlight w:val="none"/>
              </w:rPr>
            </w:pPr>
          </w:p>
          <w:p w14:paraId="6B265DAA">
            <w:pPr>
              <w:pStyle w:val="49"/>
              <w:ind w:left="104"/>
              <w:rPr>
                <w:color w:val="auto"/>
                <w:sz w:val="21"/>
                <w:highlight w:val="none"/>
              </w:rPr>
            </w:pPr>
            <w:r>
              <w:rPr>
                <w:color w:val="auto"/>
                <w:sz w:val="21"/>
                <w:highlight w:val="none"/>
              </w:rPr>
              <w:t>0731-89761702/13875980906</w:t>
            </w:r>
          </w:p>
          <w:p w14:paraId="23905569">
            <w:pPr>
              <w:pStyle w:val="49"/>
              <w:spacing w:before="139"/>
              <w:ind w:left="104"/>
              <w:rPr>
                <w:color w:val="auto"/>
                <w:sz w:val="21"/>
                <w:highlight w:val="none"/>
              </w:rPr>
            </w:pPr>
            <w:r>
              <w:rPr>
                <w:color w:val="auto"/>
                <w:sz w:val="21"/>
                <w:highlight w:val="none"/>
              </w:rPr>
              <w:t>0731-89761706/13574125851</w:t>
            </w:r>
          </w:p>
        </w:tc>
      </w:tr>
    </w:tbl>
    <w:p w14:paraId="160E9700">
      <w:pPr>
        <w:spacing w:after="0"/>
        <w:rPr>
          <w:color w:val="auto"/>
          <w:sz w:val="21"/>
          <w:highlight w:val="none"/>
        </w:rPr>
        <w:sectPr>
          <w:type w:val="continuous"/>
          <w:pgSz w:w="11910" w:h="16840"/>
          <w:pgMar w:top="1580" w:right="600" w:bottom="280" w:left="1020" w:header="720" w:footer="720" w:gutter="0"/>
          <w:pgBorders>
            <w:top w:val="none" w:sz="0" w:space="0"/>
            <w:left w:val="none" w:sz="0" w:space="0"/>
            <w:bottom w:val="none" w:sz="0" w:space="0"/>
            <w:right w:val="none" w:sz="0" w:space="0"/>
          </w:pgBorders>
          <w:pgNumType w:fmt="decimal"/>
          <w:cols w:space="720" w:num="1"/>
        </w:sectPr>
      </w:pPr>
    </w:p>
    <w:p w14:paraId="0E5DCD1A">
      <w:pPr>
        <w:pStyle w:val="11"/>
        <w:spacing w:before="6"/>
        <w:rPr>
          <w:rFonts w:hint="eastAsia" w:eastAsia="宋体"/>
          <w:b/>
          <w:color w:val="auto"/>
          <w:sz w:val="8"/>
          <w:highlight w:val="none"/>
          <w:lang w:val="en-US" w:eastAsia="zh-CN"/>
        </w:rPr>
      </w:pPr>
    </w:p>
    <w:p w14:paraId="5E1679BF">
      <w:pPr>
        <w:pStyle w:val="40"/>
        <w:rPr>
          <w:rFonts w:hint="eastAsia"/>
          <w:color w:val="auto"/>
          <w:sz w:val="22"/>
          <w:szCs w:val="22"/>
          <w:highlight w:val="none"/>
          <w:lang w:val="en-US" w:eastAsia="zh-CN"/>
        </w:rPr>
      </w:pPr>
      <w:r>
        <w:rPr>
          <w:rFonts w:hint="eastAsia"/>
          <w:color w:val="auto"/>
          <w:highlight w:val="none"/>
          <w:lang w:val="en-US" w:eastAsia="zh-CN"/>
        </w:rPr>
        <w:t xml:space="preserve">  </w:t>
      </w:r>
      <w:r>
        <w:rPr>
          <w:rFonts w:hint="eastAsia"/>
          <w:color w:val="auto"/>
          <w:sz w:val="22"/>
          <w:szCs w:val="22"/>
          <w:highlight w:val="none"/>
          <w:lang w:val="en-US" w:eastAsia="zh-CN"/>
        </w:rPr>
        <w:t>附件3</w:t>
      </w:r>
    </w:p>
    <w:p w14:paraId="29F6884B">
      <w:pPr>
        <w:pStyle w:val="40"/>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政府采购履约担保函</w:t>
      </w:r>
    </w:p>
    <w:p w14:paraId="3BC467DE">
      <w:pPr>
        <w:tabs>
          <w:tab w:val="left" w:pos="8775"/>
        </w:tabs>
        <w:spacing w:before="76"/>
        <w:ind w:left="6624" w:right="0" w:firstLine="0"/>
        <w:jc w:val="left"/>
        <w:rPr>
          <w:rFonts w:ascii="Times New Roman" w:eastAsia="Times New Roman"/>
          <w:color w:val="auto"/>
          <w:sz w:val="21"/>
          <w:highlight w:val="none"/>
        </w:rPr>
      </w:pPr>
      <w:r>
        <w:rPr>
          <w:rFonts w:ascii="宋体" w:hAnsi="宋体" w:eastAsia="宋体" w:cs="宋体"/>
          <w:color w:val="auto"/>
          <w:sz w:val="21"/>
          <w:highlight w:val="none"/>
        </w:rPr>
        <w:t>编号：</w:t>
      </w:r>
      <w:r>
        <w:rPr>
          <w:rFonts w:ascii="Times New Roman" w:eastAsia="Times New Roman"/>
          <w:color w:val="auto"/>
          <w:w w:val="95"/>
          <w:sz w:val="21"/>
          <w:highlight w:val="none"/>
          <w:u w:val="single"/>
        </w:rPr>
        <w:t xml:space="preserve"> </w:t>
      </w:r>
      <w:r>
        <w:rPr>
          <w:rFonts w:ascii="Times New Roman" w:eastAsia="Times New Roman"/>
          <w:color w:val="auto"/>
          <w:sz w:val="21"/>
          <w:highlight w:val="none"/>
          <w:u w:val="single"/>
        </w:rPr>
        <w:tab/>
      </w:r>
    </w:p>
    <w:p w14:paraId="429A3A5D">
      <w:pPr>
        <w:tabs>
          <w:tab w:val="left" w:pos="2423"/>
        </w:tabs>
        <w:spacing w:before="139"/>
        <w:ind w:left="217" w:right="0" w:firstLine="0"/>
        <w:jc w:val="left"/>
        <w:rPr>
          <w:color w:val="auto"/>
          <w:sz w:val="21"/>
          <w:highlight w:val="none"/>
        </w:rPr>
      </w:pPr>
      <w:r>
        <w:rPr>
          <w:rFonts w:ascii="Times New Roman" w:eastAsia="Times New Roman"/>
          <w:color w:val="auto"/>
          <w:w w:val="99"/>
          <w:sz w:val="21"/>
          <w:highlight w:val="none"/>
          <w:u w:val="single"/>
        </w:rPr>
        <w:t xml:space="preserve"> </w:t>
      </w:r>
      <w:r>
        <w:rPr>
          <w:rFonts w:ascii="Times New Roman" w:eastAsia="Times New Roman"/>
          <w:color w:val="auto"/>
          <w:sz w:val="21"/>
          <w:highlight w:val="none"/>
          <w:u w:val="single"/>
        </w:rPr>
        <w:tab/>
      </w:r>
      <w:r>
        <w:rPr>
          <w:rFonts w:ascii="宋体" w:hAnsi="宋体" w:eastAsia="宋体" w:cs="宋体"/>
          <w:color w:val="auto"/>
          <w:sz w:val="21"/>
          <w:highlight w:val="none"/>
        </w:rPr>
        <w:t>（采购人）</w:t>
      </w:r>
      <w:r>
        <w:rPr>
          <w:color w:val="auto"/>
          <w:w w:val="95"/>
          <w:sz w:val="21"/>
          <w:highlight w:val="none"/>
        </w:rPr>
        <w:t>：</w:t>
      </w:r>
    </w:p>
    <w:p w14:paraId="59474F57">
      <w:pPr>
        <w:tabs>
          <w:tab w:val="left" w:pos="1790"/>
          <w:tab w:val="left" w:pos="4262"/>
          <w:tab w:val="left" w:pos="7183"/>
        </w:tabs>
        <w:spacing w:before="141" w:line="364" w:lineRule="auto"/>
        <w:ind w:left="112" w:right="530" w:firstLine="631"/>
        <w:jc w:val="both"/>
        <w:rPr>
          <w:color w:val="auto"/>
          <w:sz w:val="21"/>
          <w:highlight w:val="none"/>
        </w:rPr>
      </w:pPr>
      <w:r>
        <w:rPr>
          <w:color w:val="auto"/>
          <w:spacing w:val="21"/>
          <w:sz w:val="21"/>
          <w:highlight w:val="none"/>
        </w:rPr>
        <w:t>鉴</w:t>
      </w:r>
      <w:r>
        <w:rPr>
          <w:color w:val="auto"/>
          <w:spacing w:val="19"/>
          <w:sz w:val="21"/>
          <w:highlight w:val="none"/>
        </w:rPr>
        <w:t>于</w:t>
      </w:r>
      <w:r>
        <w:rPr>
          <w:color w:val="auto"/>
          <w:spacing w:val="21"/>
          <w:sz w:val="21"/>
          <w:highlight w:val="none"/>
        </w:rPr>
        <w:t>你方</w:t>
      </w:r>
      <w:r>
        <w:rPr>
          <w:color w:val="auto"/>
          <w:spacing w:val="18"/>
          <w:sz w:val="21"/>
          <w:highlight w:val="none"/>
        </w:rPr>
        <w:t>与</w:t>
      </w:r>
      <w:r>
        <w:rPr>
          <w:color w:val="auto"/>
          <w:spacing w:val="18"/>
          <w:sz w:val="21"/>
          <w:highlight w:val="none"/>
          <w:u w:val="single"/>
        </w:rPr>
        <w:t xml:space="preserve"> </w:t>
      </w:r>
      <w:r>
        <w:rPr>
          <w:color w:val="auto"/>
          <w:spacing w:val="18"/>
          <w:sz w:val="21"/>
          <w:highlight w:val="none"/>
          <w:u w:val="single"/>
        </w:rPr>
        <w:tab/>
      </w:r>
      <w:r>
        <w:rPr>
          <w:color w:val="auto"/>
          <w:sz w:val="21"/>
          <w:highlight w:val="none"/>
        </w:rPr>
        <w:t>（</w:t>
      </w:r>
      <w:r>
        <w:rPr>
          <w:color w:val="auto"/>
          <w:spacing w:val="-86"/>
          <w:sz w:val="21"/>
          <w:highlight w:val="none"/>
        </w:rPr>
        <w:t xml:space="preserve"> </w:t>
      </w:r>
      <w:r>
        <w:rPr>
          <w:color w:val="auto"/>
          <w:spacing w:val="19"/>
          <w:sz w:val="21"/>
          <w:highlight w:val="none"/>
        </w:rPr>
        <w:t>以</w:t>
      </w:r>
      <w:r>
        <w:rPr>
          <w:color w:val="auto"/>
          <w:spacing w:val="21"/>
          <w:sz w:val="21"/>
          <w:highlight w:val="none"/>
        </w:rPr>
        <w:t>下简称</w:t>
      </w:r>
      <w:r>
        <w:rPr>
          <w:color w:val="auto"/>
          <w:spacing w:val="19"/>
          <w:sz w:val="21"/>
          <w:highlight w:val="none"/>
        </w:rPr>
        <w:t>供</w:t>
      </w:r>
      <w:r>
        <w:rPr>
          <w:color w:val="auto"/>
          <w:spacing w:val="21"/>
          <w:sz w:val="21"/>
          <w:highlight w:val="none"/>
        </w:rPr>
        <w:t>应商</w:t>
      </w:r>
      <w:r>
        <w:rPr>
          <w:color w:val="auto"/>
          <w:sz w:val="21"/>
          <w:highlight w:val="none"/>
        </w:rPr>
        <w:t>）</w:t>
      </w:r>
      <w:r>
        <w:rPr>
          <w:color w:val="auto"/>
          <w:spacing w:val="-85"/>
          <w:sz w:val="21"/>
          <w:highlight w:val="none"/>
        </w:rPr>
        <w:t xml:space="preserve"> </w:t>
      </w:r>
      <w:r>
        <w:rPr>
          <w:color w:val="auto"/>
          <w:spacing w:val="20"/>
          <w:sz w:val="21"/>
          <w:highlight w:val="none"/>
        </w:rPr>
        <w:t>于</w:t>
      </w:r>
      <w:r>
        <w:rPr>
          <w:color w:val="auto"/>
          <w:spacing w:val="20"/>
          <w:sz w:val="21"/>
          <w:highlight w:val="none"/>
          <w:u w:val="single"/>
        </w:rPr>
        <w:t xml:space="preserve"> </w:t>
      </w:r>
      <w:r>
        <w:rPr>
          <w:color w:val="auto"/>
          <w:spacing w:val="20"/>
          <w:sz w:val="21"/>
          <w:highlight w:val="none"/>
          <w:u w:val="single"/>
        </w:rPr>
        <w:tab/>
      </w:r>
      <w:r>
        <w:rPr>
          <w:color w:val="auto"/>
          <w:spacing w:val="20"/>
          <w:sz w:val="21"/>
          <w:highlight w:val="none"/>
        </w:rPr>
        <w:t>年</w:t>
      </w:r>
      <w:r>
        <w:rPr>
          <w:color w:val="auto"/>
          <w:spacing w:val="141"/>
          <w:sz w:val="21"/>
          <w:highlight w:val="none"/>
          <w:u w:val="single"/>
        </w:rPr>
        <w:t xml:space="preserve"> </w:t>
      </w:r>
      <w:r>
        <w:rPr>
          <w:color w:val="auto"/>
          <w:spacing w:val="21"/>
          <w:sz w:val="21"/>
          <w:highlight w:val="none"/>
        </w:rPr>
        <w:t>月</w:t>
      </w:r>
      <w:r>
        <w:rPr>
          <w:color w:val="auto"/>
          <w:spacing w:val="21"/>
          <w:sz w:val="21"/>
          <w:highlight w:val="none"/>
          <w:u w:val="single"/>
        </w:rPr>
        <w:t xml:space="preserve"> </w:t>
      </w:r>
      <w:r>
        <w:rPr>
          <w:color w:val="auto"/>
          <w:spacing w:val="139"/>
          <w:sz w:val="21"/>
          <w:highlight w:val="none"/>
          <w:u w:val="single"/>
        </w:rPr>
        <w:t xml:space="preserve"> </w:t>
      </w:r>
      <w:r>
        <w:rPr>
          <w:color w:val="auto"/>
          <w:spacing w:val="21"/>
          <w:sz w:val="21"/>
          <w:highlight w:val="none"/>
        </w:rPr>
        <w:t>日</w:t>
      </w:r>
      <w:r>
        <w:rPr>
          <w:color w:val="auto"/>
          <w:spacing w:val="19"/>
          <w:sz w:val="21"/>
          <w:highlight w:val="none"/>
        </w:rPr>
        <w:t>签</w:t>
      </w:r>
      <w:r>
        <w:rPr>
          <w:color w:val="auto"/>
          <w:spacing w:val="21"/>
          <w:sz w:val="21"/>
          <w:highlight w:val="none"/>
        </w:rPr>
        <w:t>定编号</w:t>
      </w:r>
      <w:r>
        <w:rPr>
          <w:color w:val="auto"/>
          <w:spacing w:val="-12"/>
          <w:sz w:val="21"/>
          <w:highlight w:val="none"/>
        </w:rPr>
        <w:t>为</w:t>
      </w:r>
      <w:r>
        <w:rPr>
          <w:color w:val="auto"/>
          <w:sz w:val="21"/>
          <w:highlight w:val="none"/>
        </w:rPr>
        <w:t>的《</w:t>
      </w:r>
      <w:r>
        <w:rPr>
          <w:color w:val="auto"/>
          <w:sz w:val="21"/>
          <w:highlight w:val="none"/>
          <w:u w:val="single"/>
        </w:rPr>
        <w:t xml:space="preserve"> </w:t>
      </w:r>
      <w:r>
        <w:rPr>
          <w:color w:val="auto"/>
          <w:sz w:val="21"/>
          <w:highlight w:val="none"/>
          <w:u w:val="single"/>
        </w:rPr>
        <w:tab/>
      </w:r>
      <w:r>
        <w:rPr>
          <w:color w:val="auto"/>
          <w:sz w:val="21"/>
          <w:highlight w:val="none"/>
        </w:rPr>
        <w:t>政府采购合同</w:t>
      </w:r>
      <w:r>
        <w:rPr>
          <w:color w:val="auto"/>
          <w:spacing w:val="-5"/>
          <w:sz w:val="21"/>
          <w:highlight w:val="none"/>
        </w:rPr>
        <w:t>》</w:t>
      </w:r>
      <w:r>
        <w:rPr>
          <w:color w:val="auto"/>
          <w:sz w:val="21"/>
          <w:highlight w:val="none"/>
        </w:rPr>
        <w:t>（以下简称主合同</w:t>
      </w:r>
      <w:r>
        <w:rPr>
          <w:color w:val="auto"/>
          <w:spacing w:val="-4"/>
          <w:sz w:val="21"/>
          <w:highlight w:val="none"/>
        </w:rPr>
        <w:t>），</w:t>
      </w:r>
      <w:r>
        <w:rPr>
          <w:color w:val="auto"/>
          <w:sz w:val="21"/>
          <w:highlight w:val="none"/>
        </w:rPr>
        <w:t>且依据该合同的约定</w:t>
      </w:r>
      <w:r>
        <w:rPr>
          <w:color w:val="auto"/>
          <w:spacing w:val="-3"/>
          <w:sz w:val="21"/>
          <w:highlight w:val="none"/>
        </w:rPr>
        <w:t>，</w:t>
      </w:r>
      <w:r>
        <w:rPr>
          <w:color w:val="auto"/>
          <w:sz w:val="21"/>
          <w:highlight w:val="none"/>
        </w:rPr>
        <w:t>供应商应在</w:t>
      </w:r>
      <w:r>
        <w:rPr>
          <w:color w:val="auto"/>
          <w:sz w:val="21"/>
          <w:highlight w:val="none"/>
          <w:u w:val="single"/>
        </w:rPr>
        <w:t xml:space="preserve">  </w:t>
      </w:r>
      <w:r>
        <w:rPr>
          <w:color w:val="auto"/>
          <w:spacing w:val="94"/>
          <w:sz w:val="21"/>
          <w:highlight w:val="none"/>
          <w:u w:val="single"/>
        </w:rPr>
        <w:t xml:space="preserve"> </w:t>
      </w:r>
      <w:r>
        <w:rPr>
          <w:color w:val="auto"/>
          <w:sz w:val="21"/>
          <w:highlight w:val="none"/>
        </w:rPr>
        <w:t>年</w:t>
      </w:r>
      <w:r>
        <w:rPr>
          <w:color w:val="auto"/>
          <w:sz w:val="21"/>
          <w:highlight w:val="none"/>
          <w:u w:val="single"/>
        </w:rPr>
        <w:t xml:space="preserve"> </w:t>
      </w:r>
      <w:r>
        <w:rPr>
          <w:color w:val="auto"/>
          <w:spacing w:val="97"/>
          <w:sz w:val="21"/>
          <w:highlight w:val="none"/>
          <w:u w:val="single"/>
        </w:rPr>
        <w:t xml:space="preserve"> </w:t>
      </w:r>
      <w:r>
        <w:rPr>
          <w:color w:val="auto"/>
          <w:sz w:val="21"/>
          <w:highlight w:val="none"/>
        </w:rPr>
        <w:t>月</w:t>
      </w:r>
      <w:r>
        <w:rPr>
          <w:rFonts w:ascii="宋体" w:hAnsi="宋体" w:eastAsia="宋体" w:cs="宋体"/>
          <w:color w:val="auto"/>
          <w:sz w:val="21"/>
          <w:highlight w:val="none"/>
        </w:rPr>
        <w:t>日前向你方交纳履约保证金，且可以履约担保函的形式交纳履约保证金。应供应商的申请，我方以保证的</w:t>
      </w:r>
      <w:r>
        <w:rPr>
          <w:color w:val="auto"/>
          <w:w w:val="95"/>
          <w:sz w:val="21"/>
          <w:highlight w:val="none"/>
        </w:rPr>
        <w:t xml:space="preserve">   </w:t>
      </w:r>
      <w:r>
        <w:rPr>
          <w:color w:val="auto"/>
          <w:sz w:val="21"/>
          <w:highlight w:val="none"/>
        </w:rPr>
        <w:t>方式向你方提供如下履约保证金担保：</w:t>
      </w:r>
    </w:p>
    <w:p w14:paraId="5147A02C">
      <w:pPr>
        <w:spacing w:before="0" w:line="268" w:lineRule="exact"/>
        <w:ind w:left="744" w:right="0" w:firstLine="0"/>
        <w:jc w:val="left"/>
        <w:outlineLvl w:val="1"/>
        <w:rPr>
          <w:b/>
          <w:color w:val="auto"/>
          <w:sz w:val="22"/>
          <w:szCs w:val="24"/>
          <w:highlight w:val="none"/>
        </w:rPr>
      </w:pPr>
      <w:bookmarkStart w:id="7" w:name="_Toc32753"/>
      <w:bookmarkStart w:id="8" w:name="_Toc22086"/>
      <w:bookmarkStart w:id="9" w:name="_Toc31067"/>
      <w:bookmarkStart w:id="10" w:name="_Toc1974"/>
      <w:r>
        <w:rPr>
          <w:b/>
          <w:color w:val="auto"/>
          <w:w w:val="95"/>
          <w:sz w:val="22"/>
          <w:szCs w:val="24"/>
          <w:highlight w:val="none"/>
        </w:rPr>
        <w:t>一、保证责任的情形及保证金额</w:t>
      </w:r>
      <w:bookmarkEnd w:id="7"/>
      <w:bookmarkEnd w:id="8"/>
      <w:bookmarkEnd w:id="9"/>
      <w:bookmarkEnd w:id="10"/>
    </w:p>
    <w:p w14:paraId="505C932B">
      <w:pPr>
        <w:spacing w:before="139"/>
        <w:ind w:left="532" w:right="0" w:firstLine="0"/>
        <w:jc w:val="left"/>
        <w:rPr>
          <w:color w:val="auto"/>
          <w:sz w:val="21"/>
          <w:highlight w:val="none"/>
        </w:rPr>
      </w:pPr>
      <w:r>
        <w:rPr>
          <w:color w:val="auto"/>
          <w:sz w:val="21"/>
          <w:highlight w:val="none"/>
        </w:rPr>
        <w:t>（一）在供应商出现下列情形之一时，我方承担保证责任：</w:t>
      </w:r>
    </w:p>
    <w:p w14:paraId="2C401245">
      <w:pPr>
        <w:pStyle w:val="50"/>
        <w:numPr>
          <w:ilvl w:val="2"/>
          <w:numId w:val="9"/>
        </w:numPr>
        <w:tabs>
          <w:tab w:val="left" w:pos="1061"/>
        </w:tabs>
        <w:spacing w:before="139" w:after="0" w:line="240" w:lineRule="auto"/>
        <w:ind w:left="1060" w:right="0" w:hanging="317"/>
        <w:jc w:val="left"/>
        <w:rPr>
          <w:color w:val="auto"/>
          <w:sz w:val="21"/>
          <w:highlight w:val="none"/>
        </w:rPr>
      </w:pPr>
      <w:r>
        <w:rPr>
          <w:color w:val="auto"/>
          <w:sz w:val="21"/>
          <w:highlight w:val="none"/>
        </w:rPr>
        <w:t>将成交项目转让给他人，或者在</w:t>
      </w:r>
      <w:r>
        <w:rPr>
          <w:rFonts w:hint="eastAsia"/>
          <w:color w:val="auto"/>
          <w:sz w:val="21"/>
          <w:highlight w:val="none"/>
          <w:lang w:eastAsia="zh-CN"/>
        </w:rPr>
        <w:t>响应文件</w:t>
      </w:r>
      <w:r>
        <w:rPr>
          <w:color w:val="auto"/>
          <w:sz w:val="21"/>
          <w:highlight w:val="none"/>
        </w:rPr>
        <w:t>中未说明，且未经采购人同意，将成交项目分包给他</w:t>
      </w:r>
    </w:p>
    <w:p w14:paraId="31F8B4DA">
      <w:pPr>
        <w:spacing w:before="139"/>
        <w:ind w:left="112" w:right="0" w:firstLine="0"/>
        <w:jc w:val="left"/>
        <w:rPr>
          <w:color w:val="auto"/>
          <w:sz w:val="21"/>
          <w:highlight w:val="none"/>
        </w:rPr>
      </w:pPr>
      <w:r>
        <w:rPr>
          <w:color w:val="auto"/>
          <w:sz w:val="21"/>
          <w:highlight w:val="none"/>
        </w:rPr>
        <w:t>人的；</w:t>
      </w:r>
    </w:p>
    <w:p w14:paraId="73D03E36">
      <w:pPr>
        <w:pStyle w:val="50"/>
        <w:numPr>
          <w:ilvl w:val="2"/>
          <w:numId w:val="9"/>
        </w:numPr>
        <w:tabs>
          <w:tab w:val="left" w:pos="1060"/>
        </w:tabs>
        <w:spacing w:before="139" w:after="0" w:line="240" w:lineRule="auto"/>
        <w:ind w:left="1059" w:right="0" w:hanging="316"/>
        <w:jc w:val="left"/>
        <w:rPr>
          <w:color w:val="auto"/>
          <w:sz w:val="21"/>
          <w:highlight w:val="none"/>
        </w:rPr>
      </w:pPr>
      <w:r>
        <w:rPr>
          <w:color w:val="auto"/>
          <w:sz w:val="21"/>
          <w:highlight w:val="none"/>
        </w:rPr>
        <w:t>主合同约定的应当缴纳履约保证金的情形:</w:t>
      </w:r>
    </w:p>
    <w:p w14:paraId="5E36F47A">
      <w:pPr>
        <w:pStyle w:val="50"/>
        <w:numPr>
          <w:ilvl w:val="0"/>
          <w:numId w:val="10"/>
        </w:numPr>
        <w:tabs>
          <w:tab w:val="left" w:pos="1060"/>
        </w:tabs>
        <w:spacing w:before="139" w:after="0" w:line="240" w:lineRule="auto"/>
        <w:ind w:left="1059" w:right="0" w:hanging="528"/>
        <w:jc w:val="left"/>
        <w:rPr>
          <w:color w:val="auto"/>
          <w:sz w:val="21"/>
          <w:highlight w:val="none"/>
        </w:rPr>
      </w:pPr>
      <w:r>
        <w:rPr>
          <w:color w:val="auto"/>
          <w:sz w:val="21"/>
          <w:highlight w:val="none"/>
        </w:rPr>
        <w:t>未按主合同约定的质量、数量和期限供应货物/提供服务/完成工程的；</w:t>
      </w:r>
    </w:p>
    <w:p w14:paraId="5F0D75EA">
      <w:pPr>
        <w:pStyle w:val="50"/>
        <w:numPr>
          <w:ilvl w:val="0"/>
          <w:numId w:val="10"/>
        </w:numPr>
        <w:tabs>
          <w:tab w:val="left" w:pos="1060"/>
          <w:tab w:val="left" w:pos="6309"/>
        </w:tabs>
        <w:spacing w:before="141" w:after="0" w:line="240" w:lineRule="auto"/>
        <w:ind w:left="1059" w:right="0" w:hanging="528"/>
        <w:jc w:val="left"/>
        <w:rPr>
          <w:color w:val="auto"/>
          <w:sz w:val="21"/>
          <w:highlight w:val="none"/>
        </w:rPr>
      </w:pPr>
      <w:r>
        <w:rPr>
          <w:rFonts w:ascii="Times New Roman" w:eastAsia="Times New Roman"/>
          <w:color w:val="auto"/>
          <w:w w:val="99"/>
          <w:sz w:val="21"/>
          <w:highlight w:val="none"/>
          <w:u w:val="single"/>
        </w:rPr>
        <w:t xml:space="preserve"> </w:t>
      </w:r>
      <w:r>
        <w:rPr>
          <w:rFonts w:ascii="Times New Roman" w:eastAsia="Times New Roman"/>
          <w:color w:val="auto"/>
          <w:sz w:val="21"/>
          <w:highlight w:val="none"/>
          <w:u w:val="single"/>
        </w:rPr>
        <w:tab/>
      </w:r>
      <w:r>
        <w:rPr>
          <w:color w:val="auto"/>
          <w:sz w:val="21"/>
          <w:highlight w:val="none"/>
        </w:rPr>
        <w:t>。</w:t>
      </w:r>
    </w:p>
    <w:p w14:paraId="6BDF5211">
      <w:pPr>
        <w:tabs>
          <w:tab w:val="left" w:pos="2212"/>
          <w:tab w:val="left" w:pos="4103"/>
          <w:tab w:val="left" w:pos="7180"/>
          <w:tab w:val="left" w:pos="9026"/>
        </w:tabs>
        <w:spacing w:before="139" w:line="364" w:lineRule="auto"/>
        <w:ind w:left="112" w:right="532" w:firstLine="420"/>
        <w:jc w:val="left"/>
        <w:rPr>
          <w:color w:val="auto"/>
          <w:sz w:val="21"/>
          <w:highlight w:val="none"/>
        </w:rPr>
      </w:pPr>
      <w:r>
        <w:rPr>
          <w:color w:val="auto"/>
          <w:sz w:val="21"/>
          <w:highlight w:val="none"/>
        </w:rPr>
        <w:t>（</w:t>
      </w:r>
      <w:r>
        <w:rPr>
          <w:color w:val="auto"/>
          <w:spacing w:val="-63"/>
          <w:sz w:val="21"/>
          <w:highlight w:val="none"/>
        </w:rPr>
        <w:t xml:space="preserve"> </w:t>
      </w:r>
      <w:r>
        <w:rPr>
          <w:color w:val="auto"/>
          <w:spacing w:val="50"/>
          <w:sz w:val="21"/>
          <w:highlight w:val="none"/>
        </w:rPr>
        <w:t>二</w:t>
      </w:r>
      <w:r>
        <w:rPr>
          <w:color w:val="auto"/>
          <w:sz w:val="21"/>
          <w:highlight w:val="none"/>
        </w:rPr>
        <w:t>）</w:t>
      </w:r>
      <w:r>
        <w:rPr>
          <w:color w:val="auto"/>
          <w:spacing w:val="-63"/>
          <w:sz w:val="21"/>
          <w:highlight w:val="none"/>
        </w:rPr>
        <w:t xml:space="preserve"> </w:t>
      </w:r>
      <w:r>
        <w:rPr>
          <w:color w:val="auto"/>
          <w:spacing w:val="50"/>
          <w:sz w:val="21"/>
          <w:highlight w:val="none"/>
        </w:rPr>
        <w:t>我</w:t>
      </w:r>
      <w:r>
        <w:rPr>
          <w:color w:val="auto"/>
          <w:spacing w:val="47"/>
          <w:sz w:val="21"/>
          <w:highlight w:val="none"/>
        </w:rPr>
        <w:t>方</w:t>
      </w:r>
      <w:r>
        <w:rPr>
          <w:color w:val="auto"/>
          <w:spacing w:val="50"/>
          <w:sz w:val="21"/>
          <w:highlight w:val="none"/>
        </w:rPr>
        <w:t>的</w:t>
      </w:r>
      <w:r>
        <w:rPr>
          <w:color w:val="auto"/>
          <w:spacing w:val="47"/>
          <w:sz w:val="21"/>
          <w:highlight w:val="none"/>
        </w:rPr>
        <w:t>保</w:t>
      </w:r>
      <w:r>
        <w:rPr>
          <w:color w:val="auto"/>
          <w:spacing w:val="50"/>
          <w:sz w:val="21"/>
          <w:highlight w:val="none"/>
        </w:rPr>
        <w:t>证</w:t>
      </w:r>
      <w:r>
        <w:rPr>
          <w:color w:val="auto"/>
          <w:spacing w:val="47"/>
          <w:sz w:val="21"/>
          <w:highlight w:val="none"/>
        </w:rPr>
        <w:t>范</w:t>
      </w:r>
      <w:r>
        <w:rPr>
          <w:color w:val="auto"/>
          <w:spacing w:val="50"/>
          <w:sz w:val="21"/>
          <w:highlight w:val="none"/>
        </w:rPr>
        <w:t>围</w:t>
      </w:r>
      <w:r>
        <w:rPr>
          <w:color w:val="auto"/>
          <w:spacing w:val="47"/>
          <w:sz w:val="21"/>
          <w:highlight w:val="none"/>
        </w:rPr>
        <w:t>是主</w:t>
      </w:r>
      <w:r>
        <w:rPr>
          <w:color w:val="auto"/>
          <w:spacing w:val="50"/>
          <w:sz w:val="21"/>
          <w:highlight w:val="none"/>
        </w:rPr>
        <w:t>合</w:t>
      </w:r>
      <w:r>
        <w:rPr>
          <w:color w:val="auto"/>
          <w:spacing w:val="47"/>
          <w:sz w:val="21"/>
          <w:highlight w:val="none"/>
        </w:rPr>
        <w:t>同</w:t>
      </w:r>
      <w:r>
        <w:rPr>
          <w:color w:val="auto"/>
          <w:spacing w:val="50"/>
          <w:sz w:val="21"/>
          <w:highlight w:val="none"/>
        </w:rPr>
        <w:t>约</w:t>
      </w:r>
      <w:r>
        <w:rPr>
          <w:color w:val="auto"/>
          <w:spacing w:val="47"/>
          <w:sz w:val="21"/>
          <w:highlight w:val="none"/>
        </w:rPr>
        <w:t>定</w:t>
      </w:r>
      <w:r>
        <w:rPr>
          <w:color w:val="auto"/>
          <w:spacing w:val="50"/>
          <w:sz w:val="21"/>
          <w:highlight w:val="none"/>
        </w:rPr>
        <w:t>的</w:t>
      </w:r>
      <w:r>
        <w:rPr>
          <w:color w:val="auto"/>
          <w:spacing w:val="47"/>
          <w:sz w:val="21"/>
          <w:highlight w:val="none"/>
        </w:rPr>
        <w:t>合</w:t>
      </w:r>
      <w:r>
        <w:rPr>
          <w:color w:val="auto"/>
          <w:spacing w:val="50"/>
          <w:sz w:val="21"/>
          <w:highlight w:val="none"/>
        </w:rPr>
        <w:t>同</w:t>
      </w:r>
      <w:r>
        <w:rPr>
          <w:color w:val="auto"/>
          <w:spacing w:val="47"/>
          <w:sz w:val="21"/>
          <w:highlight w:val="none"/>
        </w:rPr>
        <w:t>价</w:t>
      </w:r>
      <w:r>
        <w:rPr>
          <w:color w:val="auto"/>
          <w:spacing w:val="50"/>
          <w:sz w:val="21"/>
          <w:highlight w:val="none"/>
        </w:rPr>
        <w:t>款</w:t>
      </w:r>
      <w:r>
        <w:rPr>
          <w:color w:val="auto"/>
          <w:spacing w:val="47"/>
          <w:sz w:val="21"/>
          <w:highlight w:val="none"/>
        </w:rPr>
        <w:t>总</w:t>
      </w:r>
      <w:r>
        <w:rPr>
          <w:color w:val="auto"/>
          <w:spacing w:val="50"/>
          <w:sz w:val="21"/>
          <w:highlight w:val="none"/>
        </w:rPr>
        <w:t>额</w:t>
      </w:r>
      <w:r>
        <w:rPr>
          <w:color w:val="auto"/>
          <w:sz w:val="21"/>
          <w:highlight w:val="none"/>
        </w:rPr>
        <w:t>的</w:t>
      </w:r>
      <w:r>
        <w:rPr>
          <w:color w:val="auto"/>
          <w:sz w:val="21"/>
          <w:highlight w:val="none"/>
          <w:u w:val="single"/>
        </w:rPr>
        <w:t xml:space="preserve"> </w:t>
      </w:r>
      <w:r>
        <w:rPr>
          <w:color w:val="auto"/>
          <w:sz w:val="21"/>
          <w:highlight w:val="none"/>
          <w:u w:val="single"/>
        </w:rPr>
        <w:tab/>
      </w:r>
      <w:r>
        <w:rPr>
          <w:color w:val="auto"/>
          <w:sz w:val="21"/>
          <w:highlight w:val="none"/>
        </w:rPr>
        <w:t>%</w:t>
      </w:r>
      <w:r>
        <w:rPr>
          <w:color w:val="auto"/>
          <w:spacing w:val="-57"/>
          <w:sz w:val="21"/>
          <w:highlight w:val="none"/>
        </w:rPr>
        <w:t xml:space="preserve"> </w:t>
      </w:r>
      <w:r>
        <w:rPr>
          <w:color w:val="auto"/>
          <w:spacing w:val="47"/>
          <w:sz w:val="21"/>
          <w:highlight w:val="none"/>
        </w:rPr>
        <w:t>数</w:t>
      </w:r>
      <w:r>
        <w:rPr>
          <w:color w:val="auto"/>
          <w:spacing w:val="50"/>
          <w:sz w:val="21"/>
          <w:highlight w:val="none"/>
        </w:rPr>
        <w:t>额</w:t>
      </w:r>
      <w:r>
        <w:rPr>
          <w:color w:val="auto"/>
          <w:sz w:val="21"/>
          <w:highlight w:val="none"/>
        </w:rPr>
        <w:t>为</w:t>
      </w:r>
      <w:r>
        <w:rPr>
          <w:color w:val="auto"/>
          <w:sz w:val="21"/>
          <w:highlight w:val="none"/>
          <w:u w:val="single"/>
        </w:rPr>
        <w:t xml:space="preserve"> </w:t>
      </w:r>
      <w:r>
        <w:rPr>
          <w:color w:val="auto"/>
          <w:sz w:val="21"/>
          <w:highlight w:val="none"/>
          <w:u w:val="single"/>
        </w:rPr>
        <w:tab/>
      </w:r>
      <w:r>
        <w:rPr>
          <w:color w:val="auto"/>
          <w:spacing w:val="47"/>
          <w:sz w:val="21"/>
          <w:highlight w:val="none"/>
        </w:rPr>
        <w:t>元</w:t>
      </w:r>
      <w:r>
        <w:rPr>
          <w:color w:val="auto"/>
          <w:sz w:val="21"/>
          <w:highlight w:val="none"/>
        </w:rPr>
        <w:t>（</w:t>
      </w:r>
      <w:r>
        <w:rPr>
          <w:color w:val="auto"/>
          <w:spacing w:val="-57"/>
          <w:sz w:val="21"/>
          <w:highlight w:val="none"/>
        </w:rPr>
        <w:t xml:space="preserve"> </w:t>
      </w:r>
      <w:r>
        <w:rPr>
          <w:color w:val="auto"/>
          <w:spacing w:val="-16"/>
          <w:sz w:val="21"/>
          <w:highlight w:val="none"/>
        </w:rPr>
        <w:t>大</w:t>
      </w:r>
      <w:r>
        <w:rPr>
          <w:color w:val="auto"/>
          <w:sz w:val="21"/>
          <w:highlight w:val="none"/>
        </w:rPr>
        <w:t>写</w:t>
      </w:r>
      <w:r>
        <w:rPr>
          <w:color w:val="auto"/>
          <w:sz w:val="21"/>
          <w:highlight w:val="none"/>
          <w:u w:val="single"/>
        </w:rPr>
        <w:t xml:space="preserve"> </w:t>
      </w:r>
      <w:r>
        <w:rPr>
          <w:color w:val="auto"/>
          <w:sz w:val="21"/>
          <w:highlight w:val="none"/>
          <w:u w:val="single"/>
        </w:rPr>
        <w:tab/>
      </w:r>
      <w:r>
        <w:rPr>
          <w:color w:val="auto"/>
          <w:sz w:val="21"/>
          <w:highlight w:val="none"/>
        </w:rPr>
        <w:t>），币种为</w:t>
      </w:r>
      <w:r>
        <w:rPr>
          <w:color w:val="auto"/>
          <w:sz w:val="21"/>
          <w:highlight w:val="none"/>
          <w:u w:val="single"/>
        </w:rPr>
        <w:t xml:space="preserve"> </w:t>
      </w:r>
      <w:r>
        <w:rPr>
          <w:rFonts w:hint="eastAsia"/>
          <w:color w:val="auto"/>
          <w:sz w:val="21"/>
          <w:highlight w:val="none"/>
          <w:u w:val="single"/>
          <w:lang w:val="en-US" w:eastAsia="zh-CN"/>
        </w:rPr>
        <w:t xml:space="preserve">       </w:t>
      </w:r>
      <w:r>
        <w:rPr>
          <w:color w:val="auto"/>
          <w:sz w:val="21"/>
          <w:highlight w:val="none"/>
        </w:rPr>
        <w:t>。（即主合同履约保证金金额）</w:t>
      </w:r>
    </w:p>
    <w:p w14:paraId="1E201AAA">
      <w:pPr>
        <w:spacing w:before="0" w:line="267" w:lineRule="exact"/>
        <w:ind w:left="532" w:right="0" w:firstLine="0"/>
        <w:jc w:val="left"/>
        <w:outlineLvl w:val="1"/>
        <w:rPr>
          <w:b/>
          <w:color w:val="auto"/>
          <w:sz w:val="21"/>
          <w:highlight w:val="none"/>
        </w:rPr>
      </w:pPr>
      <w:bookmarkStart w:id="11" w:name="_Toc19562"/>
      <w:bookmarkStart w:id="12" w:name="_Toc30430"/>
      <w:bookmarkStart w:id="13" w:name="_Toc28287"/>
      <w:bookmarkStart w:id="14" w:name="_Toc18747"/>
      <w:r>
        <w:rPr>
          <w:b/>
          <w:color w:val="auto"/>
          <w:sz w:val="21"/>
          <w:highlight w:val="none"/>
        </w:rPr>
        <w:t>二、保证的方式及保证期间</w:t>
      </w:r>
      <w:bookmarkEnd w:id="11"/>
      <w:bookmarkEnd w:id="12"/>
      <w:bookmarkEnd w:id="13"/>
      <w:bookmarkEnd w:id="14"/>
    </w:p>
    <w:p w14:paraId="5512F65E">
      <w:pPr>
        <w:spacing w:before="142"/>
        <w:ind w:left="532" w:right="0" w:firstLine="0"/>
        <w:jc w:val="left"/>
        <w:rPr>
          <w:color w:val="auto"/>
          <w:sz w:val="21"/>
          <w:highlight w:val="none"/>
        </w:rPr>
      </w:pPr>
      <w:r>
        <w:rPr>
          <w:color w:val="auto"/>
          <w:sz w:val="21"/>
          <w:highlight w:val="none"/>
        </w:rPr>
        <w:t>我方保证的方式为：连带责任保证。</w:t>
      </w:r>
    </w:p>
    <w:p w14:paraId="04C03F7A">
      <w:pPr>
        <w:tabs>
          <w:tab w:val="left" w:pos="9227"/>
        </w:tabs>
        <w:spacing w:before="139" w:line="364" w:lineRule="auto"/>
        <w:ind w:left="532" w:right="428" w:firstLine="0"/>
        <w:jc w:val="left"/>
        <w:rPr>
          <w:color w:val="auto"/>
          <w:sz w:val="21"/>
          <w:highlight w:val="none"/>
        </w:rPr>
      </w:pPr>
      <w:r>
        <w:rPr>
          <w:color w:val="auto"/>
          <w:sz w:val="21"/>
          <w:highlight w:val="none"/>
        </w:rPr>
        <w:t>我方保证的期间为</w:t>
      </w:r>
      <w:r>
        <w:rPr>
          <w:color w:val="auto"/>
          <w:spacing w:val="-20"/>
          <w:sz w:val="21"/>
          <w:highlight w:val="none"/>
        </w:rPr>
        <w:t>：</w:t>
      </w:r>
      <w:r>
        <w:rPr>
          <w:color w:val="auto"/>
          <w:sz w:val="21"/>
          <w:highlight w:val="none"/>
        </w:rPr>
        <w:t>自本合同生效之日起至供应商按照主合同约定的供货/完工期限届满后</w:t>
      </w:r>
      <w:r>
        <w:rPr>
          <w:color w:val="auto"/>
          <w:sz w:val="21"/>
          <w:highlight w:val="none"/>
          <w:u w:val="single"/>
        </w:rPr>
        <w:t xml:space="preserve"> </w:t>
      </w:r>
      <w:r>
        <w:rPr>
          <w:color w:val="auto"/>
          <w:sz w:val="21"/>
          <w:highlight w:val="none"/>
          <w:u w:val="single"/>
        </w:rPr>
        <w:tab/>
      </w:r>
      <w:r>
        <w:rPr>
          <w:color w:val="auto"/>
          <w:sz w:val="21"/>
          <w:highlight w:val="none"/>
        </w:rPr>
        <w:t>日内</w:t>
      </w:r>
      <w:r>
        <w:rPr>
          <w:color w:val="auto"/>
          <w:spacing w:val="-17"/>
          <w:sz w:val="21"/>
          <w:highlight w:val="none"/>
        </w:rPr>
        <w:t>。</w:t>
      </w:r>
      <w:r>
        <w:rPr>
          <w:color w:val="auto"/>
          <w:sz w:val="21"/>
          <w:highlight w:val="none"/>
        </w:rPr>
        <w:t>如果供应商未按主合同约定向贵方供应货物/提供服务/完成工程的</w:t>
      </w:r>
      <w:r>
        <w:rPr>
          <w:color w:val="auto"/>
          <w:spacing w:val="-22"/>
          <w:sz w:val="21"/>
          <w:highlight w:val="none"/>
        </w:rPr>
        <w:t>，</w:t>
      </w:r>
      <w:r>
        <w:rPr>
          <w:color w:val="auto"/>
          <w:sz w:val="21"/>
          <w:highlight w:val="none"/>
        </w:rPr>
        <w:t>由我方在保证金额内向你方支付</w:t>
      </w:r>
    </w:p>
    <w:p w14:paraId="30E91035">
      <w:pPr>
        <w:spacing w:before="0"/>
        <w:ind w:left="112" w:right="0" w:firstLine="0"/>
        <w:jc w:val="left"/>
        <w:rPr>
          <w:color w:val="auto"/>
          <w:sz w:val="21"/>
          <w:highlight w:val="none"/>
        </w:rPr>
      </w:pPr>
      <w:r>
        <w:rPr>
          <w:color w:val="auto"/>
          <w:sz w:val="21"/>
          <w:highlight w:val="none"/>
        </w:rPr>
        <w:t>上述款项。</w:t>
      </w:r>
    </w:p>
    <w:p w14:paraId="313C3647">
      <w:pPr>
        <w:spacing w:before="139"/>
        <w:ind w:left="532" w:right="0" w:firstLine="0"/>
        <w:jc w:val="left"/>
        <w:outlineLvl w:val="1"/>
        <w:rPr>
          <w:b/>
          <w:color w:val="auto"/>
          <w:sz w:val="21"/>
          <w:highlight w:val="none"/>
        </w:rPr>
      </w:pPr>
      <w:bookmarkStart w:id="15" w:name="_Toc29315"/>
      <w:bookmarkStart w:id="16" w:name="_Toc27650"/>
      <w:bookmarkStart w:id="17" w:name="_Toc126"/>
      <w:bookmarkStart w:id="18" w:name="_Toc746"/>
      <w:r>
        <w:rPr>
          <w:b/>
          <w:color w:val="auto"/>
          <w:sz w:val="21"/>
          <w:highlight w:val="none"/>
        </w:rPr>
        <w:t>三、承担保证责任的程序</w:t>
      </w:r>
      <w:bookmarkEnd w:id="15"/>
      <w:bookmarkEnd w:id="16"/>
      <w:bookmarkEnd w:id="17"/>
      <w:bookmarkEnd w:id="18"/>
    </w:p>
    <w:p w14:paraId="2A590668">
      <w:pPr>
        <w:pStyle w:val="50"/>
        <w:numPr>
          <w:ilvl w:val="0"/>
          <w:numId w:val="11"/>
        </w:numPr>
        <w:tabs>
          <w:tab w:val="left" w:pos="852"/>
        </w:tabs>
        <w:spacing w:before="139" w:after="0" w:line="364" w:lineRule="auto"/>
        <w:ind w:left="112" w:right="533" w:firstLine="420"/>
        <w:jc w:val="left"/>
        <w:rPr>
          <w:color w:val="auto"/>
          <w:sz w:val="21"/>
          <w:highlight w:val="none"/>
        </w:rPr>
      </w:pPr>
      <w:r>
        <w:rPr>
          <w:color w:val="auto"/>
          <w:sz w:val="21"/>
          <w:highlight w:val="none"/>
        </w:rPr>
        <w:t>你方要求我方承担保证责任的，应在本保函保证期间内向我方发出书面索赔通知。索赔通知应写明要求索赔的金额，支付款项应到达的帐号。并附有证明供应商违约事实的证明材料。</w:t>
      </w:r>
    </w:p>
    <w:p w14:paraId="57B78BCC">
      <w:pPr>
        <w:tabs>
          <w:tab w:val="left" w:pos="7252"/>
        </w:tabs>
        <w:spacing w:before="0" w:line="364" w:lineRule="auto"/>
        <w:ind w:left="112" w:right="512" w:firstLine="420"/>
        <w:jc w:val="both"/>
        <w:rPr>
          <w:color w:val="auto"/>
          <w:sz w:val="21"/>
          <w:highlight w:val="none"/>
        </w:rPr>
      </w:pPr>
      <w:r>
        <w:rPr>
          <w:color w:val="auto"/>
          <w:sz w:val="21"/>
          <w:highlight w:val="none"/>
        </w:rPr>
        <w:t>如果你方与供应商因货物质量问题产生争议，你方还需同时提供</w:t>
      </w:r>
      <w:r>
        <w:rPr>
          <w:color w:val="auto"/>
          <w:sz w:val="21"/>
          <w:highlight w:val="none"/>
          <w:u w:val="single"/>
        </w:rPr>
        <w:t xml:space="preserve"> </w:t>
      </w:r>
      <w:r>
        <w:rPr>
          <w:color w:val="auto"/>
          <w:sz w:val="21"/>
          <w:highlight w:val="none"/>
          <w:u w:val="single"/>
        </w:rPr>
        <w:tab/>
      </w:r>
      <w:r>
        <w:rPr>
          <w:color w:val="auto"/>
          <w:sz w:val="21"/>
          <w:highlight w:val="none"/>
        </w:rPr>
        <w:t>部门出具的质量检测报告</w:t>
      </w:r>
      <w:r>
        <w:rPr>
          <w:color w:val="auto"/>
          <w:spacing w:val="-13"/>
          <w:sz w:val="21"/>
          <w:highlight w:val="none"/>
        </w:rPr>
        <w:t xml:space="preserve">， </w:t>
      </w:r>
      <w:r>
        <w:rPr>
          <w:color w:val="auto"/>
          <w:sz w:val="21"/>
          <w:highlight w:val="none"/>
        </w:rPr>
        <w:t>或经诉</w:t>
      </w:r>
      <w:r>
        <w:rPr>
          <w:color w:val="auto"/>
          <w:spacing w:val="-3"/>
          <w:sz w:val="21"/>
          <w:highlight w:val="none"/>
        </w:rPr>
        <w:t>讼</w:t>
      </w:r>
      <w:r>
        <w:rPr>
          <w:color w:val="auto"/>
          <w:sz w:val="21"/>
          <w:highlight w:val="none"/>
        </w:rPr>
        <w:t>（仲裁</w:t>
      </w:r>
      <w:r>
        <w:rPr>
          <w:color w:val="auto"/>
          <w:spacing w:val="-3"/>
          <w:sz w:val="21"/>
          <w:highlight w:val="none"/>
        </w:rPr>
        <w:t>）</w:t>
      </w:r>
      <w:r>
        <w:rPr>
          <w:color w:val="auto"/>
          <w:sz w:val="21"/>
          <w:highlight w:val="none"/>
        </w:rPr>
        <w:t>程序裁决后的裁决书</w:t>
      </w:r>
      <w:r>
        <w:rPr>
          <w:color w:val="auto"/>
          <w:spacing w:val="-5"/>
          <w:sz w:val="21"/>
          <w:highlight w:val="none"/>
        </w:rPr>
        <w:t>、</w:t>
      </w:r>
      <w:r>
        <w:rPr>
          <w:color w:val="auto"/>
          <w:sz w:val="21"/>
          <w:highlight w:val="none"/>
        </w:rPr>
        <w:t>调解书</w:t>
      </w:r>
      <w:r>
        <w:rPr>
          <w:color w:val="auto"/>
          <w:spacing w:val="-5"/>
          <w:sz w:val="21"/>
          <w:highlight w:val="none"/>
        </w:rPr>
        <w:t>，</w:t>
      </w:r>
      <w:r>
        <w:rPr>
          <w:color w:val="auto"/>
          <w:sz w:val="21"/>
          <w:highlight w:val="none"/>
        </w:rPr>
        <w:t>本保证人即按照检测结果或裁决书</w:t>
      </w:r>
      <w:r>
        <w:rPr>
          <w:color w:val="auto"/>
          <w:spacing w:val="-3"/>
          <w:sz w:val="21"/>
          <w:highlight w:val="none"/>
        </w:rPr>
        <w:t>、</w:t>
      </w:r>
      <w:r>
        <w:rPr>
          <w:color w:val="auto"/>
          <w:sz w:val="21"/>
          <w:highlight w:val="none"/>
        </w:rPr>
        <w:t>调解书决定是否承担保证责任。</w:t>
      </w:r>
    </w:p>
    <w:p w14:paraId="5C5FF29D">
      <w:pPr>
        <w:pStyle w:val="50"/>
        <w:numPr>
          <w:ilvl w:val="0"/>
          <w:numId w:val="11"/>
        </w:numPr>
        <w:tabs>
          <w:tab w:val="left" w:pos="852"/>
          <w:tab w:val="left" w:pos="5939"/>
        </w:tabs>
        <w:spacing w:before="0" w:after="0" w:line="364" w:lineRule="auto"/>
        <w:ind w:left="112" w:right="532" w:firstLine="420"/>
        <w:jc w:val="left"/>
        <w:rPr>
          <w:color w:val="auto"/>
          <w:sz w:val="21"/>
          <w:highlight w:val="none"/>
        </w:rPr>
      </w:pPr>
      <w:r>
        <w:rPr>
          <w:color w:val="auto"/>
          <w:spacing w:val="4"/>
          <w:sz w:val="21"/>
          <w:highlight w:val="none"/>
        </w:rPr>
        <w:t>我</w:t>
      </w:r>
      <w:r>
        <w:rPr>
          <w:color w:val="auto"/>
          <w:sz w:val="21"/>
          <w:highlight w:val="none"/>
        </w:rPr>
        <w:t>方收到</w:t>
      </w:r>
      <w:r>
        <w:rPr>
          <w:color w:val="auto"/>
          <w:spacing w:val="4"/>
          <w:sz w:val="21"/>
          <w:highlight w:val="none"/>
        </w:rPr>
        <w:t>你</w:t>
      </w:r>
      <w:r>
        <w:rPr>
          <w:color w:val="auto"/>
          <w:sz w:val="21"/>
          <w:highlight w:val="none"/>
        </w:rPr>
        <w:t>方的书</w:t>
      </w:r>
      <w:r>
        <w:rPr>
          <w:color w:val="auto"/>
          <w:spacing w:val="4"/>
          <w:sz w:val="21"/>
          <w:highlight w:val="none"/>
        </w:rPr>
        <w:t>面</w:t>
      </w:r>
      <w:r>
        <w:rPr>
          <w:color w:val="auto"/>
          <w:sz w:val="21"/>
          <w:highlight w:val="none"/>
        </w:rPr>
        <w:t>索赔通</w:t>
      </w:r>
      <w:r>
        <w:rPr>
          <w:color w:val="auto"/>
          <w:spacing w:val="4"/>
          <w:sz w:val="21"/>
          <w:highlight w:val="none"/>
        </w:rPr>
        <w:t>知</w:t>
      </w:r>
      <w:r>
        <w:rPr>
          <w:color w:val="auto"/>
          <w:sz w:val="21"/>
          <w:highlight w:val="none"/>
        </w:rPr>
        <w:t>及相</w:t>
      </w:r>
      <w:r>
        <w:rPr>
          <w:color w:val="auto"/>
          <w:spacing w:val="4"/>
          <w:sz w:val="21"/>
          <w:highlight w:val="none"/>
        </w:rPr>
        <w:t>应</w:t>
      </w:r>
      <w:r>
        <w:rPr>
          <w:color w:val="auto"/>
          <w:sz w:val="21"/>
          <w:highlight w:val="none"/>
        </w:rPr>
        <w:t>证明材</w:t>
      </w:r>
      <w:r>
        <w:rPr>
          <w:color w:val="auto"/>
          <w:spacing w:val="4"/>
          <w:sz w:val="21"/>
          <w:highlight w:val="none"/>
        </w:rPr>
        <w:t>料</w:t>
      </w:r>
      <w:r>
        <w:rPr>
          <w:color w:val="auto"/>
          <w:sz w:val="21"/>
          <w:highlight w:val="none"/>
        </w:rPr>
        <w:t>，在</w:t>
      </w:r>
      <w:r>
        <w:rPr>
          <w:color w:val="auto"/>
          <w:sz w:val="21"/>
          <w:highlight w:val="none"/>
          <w:u w:val="single"/>
        </w:rPr>
        <w:t xml:space="preserve"> </w:t>
      </w:r>
      <w:r>
        <w:rPr>
          <w:color w:val="auto"/>
          <w:sz w:val="21"/>
          <w:highlight w:val="none"/>
          <w:u w:val="single"/>
        </w:rPr>
        <w:tab/>
      </w:r>
      <w:r>
        <w:rPr>
          <w:color w:val="auto"/>
          <w:sz w:val="21"/>
          <w:highlight w:val="none"/>
        </w:rPr>
        <w:t>工</w:t>
      </w:r>
      <w:r>
        <w:rPr>
          <w:color w:val="auto"/>
          <w:spacing w:val="4"/>
          <w:sz w:val="21"/>
          <w:highlight w:val="none"/>
        </w:rPr>
        <w:t>作</w:t>
      </w:r>
      <w:r>
        <w:rPr>
          <w:color w:val="auto"/>
          <w:sz w:val="21"/>
          <w:highlight w:val="none"/>
        </w:rPr>
        <w:t>日内进</w:t>
      </w:r>
      <w:r>
        <w:rPr>
          <w:color w:val="auto"/>
          <w:spacing w:val="4"/>
          <w:sz w:val="21"/>
          <w:highlight w:val="none"/>
        </w:rPr>
        <w:t>行</w:t>
      </w:r>
      <w:r>
        <w:rPr>
          <w:color w:val="auto"/>
          <w:sz w:val="21"/>
          <w:highlight w:val="none"/>
        </w:rPr>
        <w:t>核定后</w:t>
      </w:r>
      <w:r>
        <w:rPr>
          <w:color w:val="auto"/>
          <w:spacing w:val="4"/>
          <w:sz w:val="21"/>
          <w:highlight w:val="none"/>
        </w:rPr>
        <w:t>按</w:t>
      </w:r>
      <w:r>
        <w:rPr>
          <w:color w:val="auto"/>
          <w:sz w:val="21"/>
          <w:highlight w:val="none"/>
        </w:rPr>
        <w:t>照本保</w:t>
      </w:r>
      <w:r>
        <w:rPr>
          <w:color w:val="auto"/>
          <w:spacing w:val="4"/>
          <w:sz w:val="21"/>
          <w:highlight w:val="none"/>
        </w:rPr>
        <w:t>函</w:t>
      </w:r>
      <w:r>
        <w:rPr>
          <w:color w:val="auto"/>
          <w:sz w:val="21"/>
          <w:highlight w:val="none"/>
        </w:rPr>
        <w:t>的承</w:t>
      </w:r>
      <w:r>
        <w:rPr>
          <w:color w:val="auto"/>
          <w:spacing w:val="4"/>
          <w:sz w:val="21"/>
          <w:highlight w:val="none"/>
        </w:rPr>
        <w:t>诺</w:t>
      </w:r>
      <w:r>
        <w:rPr>
          <w:color w:val="auto"/>
          <w:spacing w:val="-11"/>
          <w:sz w:val="21"/>
          <w:highlight w:val="none"/>
        </w:rPr>
        <w:t>承</w:t>
      </w:r>
      <w:r>
        <w:rPr>
          <w:color w:val="auto"/>
          <w:sz w:val="21"/>
          <w:highlight w:val="none"/>
        </w:rPr>
        <w:t>担保证责任。</w:t>
      </w:r>
    </w:p>
    <w:p w14:paraId="25ABACDA">
      <w:pPr>
        <w:pStyle w:val="50"/>
        <w:numPr>
          <w:ilvl w:val="0"/>
          <w:numId w:val="11"/>
        </w:numPr>
        <w:tabs>
          <w:tab w:val="left" w:pos="852"/>
          <w:tab w:val="left" w:pos="5939"/>
        </w:tabs>
        <w:spacing w:before="0" w:after="0" w:line="364" w:lineRule="auto"/>
        <w:ind w:left="112" w:right="532" w:firstLine="420"/>
        <w:jc w:val="left"/>
        <w:rPr>
          <w:color w:val="auto"/>
          <w:sz w:val="21"/>
          <w:highlight w:val="none"/>
        </w:rPr>
      </w:pPr>
    </w:p>
    <w:p w14:paraId="475AC94C">
      <w:pPr>
        <w:spacing w:before="0" w:line="267" w:lineRule="exact"/>
        <w:ind w:left="532" w:right="0" w:firstLine="0"/>
        <w:jc w:val="left"/>
        <w:outlineLvl w:val="1"/>
        <w:rPr>
          <w:b/>
          <w:color w:val="auto"/>
          <w:sz w:val="21"/>
          <w:highlight w:val="none"/>
        </w:rPr>
      </w:pPr>
      <w:bookmarkStart w:id="19" w:name="_Toc13816"/>
      <w:bookmarkStart w:id="20" w:name="_Toc19622"/>
      <w:bookmarkStart w:id="21" w:name="_Toc22098"/>
      <w:bookmarkStart w:id="22" w:name="_Toc8498"/>
      <w:r>
        <w:rPr>
          <w:b/>
          <w:color w:val="auto"/>
          <w:sz w:val="21"/>
          <w:highlight w:val="none"/>
        </w:rPr>
        <w:t>四、保证责任的终止</w:t>
      </w:r>
      <w:bookmarkEnd w:id="19"/>
      <w:bookmarkEnd w:id="20"/>
      <w:bookmarkEnd w:id="21"/>
      <w:bookmarkEnd w:id="22"/>
    </w:p>
    <w:p w14:paraId="21062EAC">
      <w:pPr>
        <w:pStyle w:val="50"/>
        <w:numPr>
          <w:ilvl w:val="0"/>
          <w:numId w:val="12"/>
        </w:numPr>
        <w:tabs>
          <w:tab w:val="left" w:pos="852"/>
        </w:tabs>
        <w:spacing w:before="40" w:after="0" w:line="364" w:lineRule="auto"/>
        <w:ind w:left="112" w:right="533" w:firstLine="420"/>
        <w:jc w:val="left"/>
        <w:rPr>
          <w:color w:val="auto"/>
          <w:sz w:val="21"/>
          <w:highlight w:val="none"/>
        </w:rPr>
      </w:pPr>
      <w:r>
        <w:rPr>
          <w:rFonts w:ascii="宋体" w:hAnsi="宋体" w:eastAsia="宋体" w:cs="宋体"/>
          <w:color w:val="auto"/>
          <w:sz w:val="21"/>
          <w:highlight w:val="none"/>
        </w:rPr>
        <w:t>保证期间届满你方未向我方书面主张保证责任的，自保证期间届满次日起，我方保证责任自动终止。保证期间届满前，主合同约定的货物\工程\服务全部验收合格的，自验收合格日起，我方保证责任自   动终止。</w:t>
      </w:r>
      <w:bookmarkStart w:id="23" w:name=" 磋商须知正文"/>
      <w:bookmarkEnd w:id="23"/>
      <w:bookmarkStart w:id="24" w:name=" 磋商须知正文"/>
      <w:bookmarkEnd w:id="24"/>
      <w:r>
        <w:rPr>
          <w:color w:val="auto"/>
          <w:sz w:val="21"/>
          <w:highlight w:val="none"/>
        </w:rPr>
        <w:t>我方按照本保函向你方履行了保证责任后，自我方向你方支付款项（支付款项从我方账户划出） 之日起，保证责任即终止。</w:t>
      </w:r>
    </w:p>
    <w:p w14:paraId="3A38151F">
      <w:pPr>
        <w:pStyle w:val="50"/>
        <w:numPr>
          <w:ilvl w:val="0"/>
          <w:numId w:val="12"/>
        </w:numPr>
        <w:tabs>
          <w:tab w:val="left" w:pos="852"/>
        </w:tabs>
        <w:spacing w:before="0" w:after="0" w:line="364" w:lineRule="auto"/>
        <w:ind w:left="112" w:right="533" w:firstLine="420"/>
        <w:jc w:val="left"/>
        <w:rPr>
          <w:color w:val="auto"/>
          <w:sz w:val="21"/>
          <w:highlight w:val="none"/>
        </w:rPr>
      </w:pPr>
      <w:r>
        <w:rPr>
          <w:color w:val="auto"/>
          <w:sz w:val="21"/>
          <w:highlight w:val="none"/>
        </w:rPr>
        <w:t>按照法律法规的规定或出现应终止我方保证责任的其它情形的，我方在本保函项下的保证责任亦终止。</w:t>
      </w:r>
    </w:p>
    <w:p w14:paraId="65B56A98">
      <w:pPr>
        <w:pStyle w:val="50"/>
        <w:numPr>
          <w:ilvl w:val="0"/>
          <w:numId w:val="12"/>
        </w:numPr>
        <w:tabs>
          <w:tab w:val="left" w:pos="852"/>
        </w:tabs>
        <w:spacing w:before="40" w:after="0" w:line="364" w:lineRule="auto"/>
        <w:ind w:left="112" w:right="533" w:firstLine="420"/>
        <w:jc w:val="left"/>
        <w:rPr>
          <w:rFonts w:ascii="宋体" w:hAnsi="宋体" w:eastAsia="宋体" w:cs="宋体"/>
          <w:color w:val="auto"/>
          <w:sz w:val="21"/>
          <w:highlight w:val="none"/>
        </w:rPr>
      </w:pPr>
      <w:r>
        <w:rPr>
          <w:rFonts w:ascii="宋体" w:hAnsi="宋体" w:eastAsia="宋体" w:cs="宋体"/>
          <w:color w:val="auto"/>
          <w:sz w:val="21"/>
          <w:highlight w:val="none"/>
        </w:rPr>
        <w:t>你方与供应商修改主合同，加重我方保证责任的，我方对加重部分不承担保证责任，但该等修改事先经我方书面同意的除外；你方与供应商修改主合同履行期限，我方保证期间仍依修改前的履行期限计   算，但该等修改事先经我方书面同意的除外。</w:t>
      </w:r>
    </w:p>
    <w:p w14:paraId="5528C283">
      <w:pPr>
        <w:spacing w:before="0" w:line="269" w:lineRule="exact"/>
        <w:ind w:left="532" w:right="0" w:firstLine="0"/>
        <w:jc w:val="left"/>
        <w:outlineLvl w:val="1"/>
        <w:rPr>
          <w:b/>
          <w:color w:val="auto"/>
          <w:sz w:val="21"/>
          <w:highlight w:val="none"/>
        </w:rPr>
      </w:pPr>
      <w:bookmarkStart w:id="25" w:name="_Toc10343"/>
      <w:bookmarkStart w:id="26" w:name="_Toc20577"/>
      <w:bookmarkStart w:id="27" w:name="_Toc18158"/>
      <w:bookmarkStart w:id="28" w:name="_Toc16672"/>
      <w:r>
        <w:rPr>
          <w:b/>
          <w:color w:val="auto"/>
          <w:sz w:val="21"/>
          <w:highlight w:val="none"/>
        </w:rPr>
        <w:t>五、免责条款</w:t>
      </w:r>
      <w:bookmarkEnd w:id="25"/>
      <w:bookmarkEnd w:id="26"/>
      <w:bookmarkEnd w:id="27"/>
      <w:bookmarkEnd w:id="28"/>
    </w:p>
    <w:p w14:paraId="7E5F39E5">
      <w:pPr>
        <w:pStyle w:val="50"/>
        <w:numPr>
          <w:ilvl w:val="0"/>
          <w:numId w:val="13"/>
        </w:numPr>
        <w:tabs>
          <w:tab w:val="left" w:pos="852"/>
        </w:tabs>
        <w:spacing w:before="139" w:after="0" w:line="364" w:lineRule="auto"/>
        <w:ind w:left="112" w:right="533" w:firstLine="420"/>
        <w:jc w:val="left"/>
        <w:rPr>
          <w:rFonts w:ascii="宋体" w:hAnsi="宋体" w:eastAsia="宋体" w:cs="宋体"/>
          <w:color w:val="auto"/>
          <w:sz w:val="21"/>
          <w:highlight w:val="none"/>
        </w:rPr>
      </w:pPr>
      <w:r>
        <w:rPr>
          <w:rFonts w:ascii="宋体" w:hAnsi="宋体" w:eastAsia="宋体" w:cs="宋体"/>
          <w:color w:val="auto"/>
          <w:sz w:val="21"/>
          <w:highlight w:val="none"/>
        </w:rPr>
        <w:t>因你方违反主合同约定致使供应商不能履行义务的，我方不承担保证责任。</w:t>
      </w:r>
    </w:p>
    <w:p w14:paraId="04F3E9E3">
      <w:pPr>
        <w:pStyle w:val="50"/>
        <w:numPr>
          <w:ilvl w:val="0"/>
          <w:numId w:val="13"/>
        </w:numPr>
        <w:tabs>
          <w:tab w:val="left" w:pos="852"/>
        </w:tabs>
        <w:spacing w:before="139" w:after="0" w:line="364" w:lineRule="auto"/>
        <w:ind w:left="112" w:right="533" w:firstLine="420"/>
        <w:jc w:val="left"/>
        <w:rPr>
          <w:rFonts w:ascii="宋体" w:hAnsi="宋体" w:eastAsia="宋体" w:cs="宋体"/>
          <w:color w:val="auto"/>
          <w:sz w:val="21"/>
          <w:highlight w:val="none"/>
        </w:rPr>
      </w:pPr>
      <w:r>
        <w:rPr>
          <w:rFonts w:ascii="宋体" w:hAnsi="宋体" w:eastAsia="宋体" w:cs="宋体"/>
          <w:color w:val="auto"/>
          <w:sz w:val="21"/>
          <w:highlight w:val="none"/>
        </w:rPr>
        <w:t>依照法律法规的规定或你方与供应商的另行约定，全部或者部分免除供应商应缴纳的保证金义务的，我方亦免除相应的保证责任。</w:t>
      </w:r>
    </w:p>
    <w:p w14:paraId="3F40378A">
      <w:pPr>
        <w:pStyle w:val="50"/>
        <w:numPr>
          <w:ilvl w:val="0"/>
          <w:numId w:val="13"/>
        </w:numPr>
        <w:tabs>
          <w:tab w:val="left" w:pos="852"/>
        </w:tabs>
        <w:spacing w:before="139" w:after="0" w:line="364" w:lineRule="auto"/>
        <w:ind w:left="112" w:right="533" w:firstLine="420"/>
        <w:jc w:val="left"/>
        <w:rPr>
          <w:b/>
          <w:color w:val="auto"/>
          <w:sz w:val="21"/>
          <w:highlight w:val="none"/>
        </w:rPr>
      </w:pPr>
      <w:r>
        <w:rPr>
          <w:rFonts w:ascii="宋体" w:hAnsi="宋体" w:eastAsia="宋体" w:cs="宋体"/>
          <w:color w:val="auto"/>
          <w:sz w:val="21"/>
          <w:highlight w:val="none"/>
        </w:rPr>
        <w:t xml:space="preserve">因不可抗力造成供应商不能履行供货义务的，我方不承担保证责任。  </w:t>
      </w:r>
    </w:p>
    <w:p w14:paraId="077B5259">
      <w:pPr>
        <w:pStyle w:val="50"/>
        <w:numPr>
          <w:ilvl w:val="0"/>
          <w:numId w:val="0"/>
        </w:numPr>
        <w:tabs>
          <w:tab w:val="left" w:pos="852"/>
        </w:tabs>
        <w:spacing w:before="139" w:after="0" w:line="364" w:lineRule="auto"/>
        <w:ind w:left="532" w:leftChars="0" w:right="533" w:rightChars="0"/>
        <w:jc w:val="left"/>
        <w:outlineLvl w:val="1"/>
        <w:rPr>
          <w:b/>
          <w:color w:val="auto"/>
          <w:sz w:val="21"/>
          <w:highlight w:val="none"/>
        </w:rPr>
      </w:pPr>
      <w:bookmarkStart w:id="29" w:name="_Toc25711"/>
      <w:bookmarkStart w:id="30" w:name="_Toc23136"/>
      <w:bookmarkStart w:id="31" w:name="_Toc15042"/>
      <w:bookmarkStart w:id="32" w:name="_Toc25195"/>
      <w:r>
        <w:rPr>
          <w:b/>
          <w:color w:val="auto"/>
          <w:sz w:val="21"/>
          <w:highlight w:val="none"/>
        </w:rPr>
        <w:t>六、争议的解决</w:t>
      </w:r>
      <w:bookmarkEnd w:id="29"/>
      <w:bookmarkEnd w:id="30"/>
      <w:bookmarkEnd w:id="31"/>
      <w:bookmarkEnd w:id="32"/>
    </w:p>
    <w:p w14:paraId="20111764">
      <w:pPr>
        <w:spacing w:before="0" w:line="364" w:lineRule="auto"/>
        <w:ind w:left="112" w:right="535" w:firstLine="420"/>
        <w:jc w:val="left"/>
        <w:rPr>
          <w:rFonts w:ascii="宋体" w:hAnsi="宋体" w:eastAsia="宋体" w:cs="宋体"/>
          <w:color w:val="auto"/>
          <w:sz w:val="21"/>
          <w:szCs w:val="22"/>
          <w:highlight w:val="none"/>
          <w:lang w:val="zh-CN" w:eastAsia="zh-CN" w:bidi="zh-CN"/>
        </w:rPr>
      </w:pPr>
      <w:r>
        <w:rPr>
          <w:rFonts w:ascii="宋体" w:hAnsi="宋体" w:eastAsia="宋体" w:cs="宋体"/>
          <w:color w:val="auto"/>
          <w:sz w:val="21"/>
          <w:szCs w:val="22"/>
          <w:highlight w:val="none"/>
          <w:lang w:val="zh-CN" w:eastAsia="zh-CN" w:bidi="zh-CN"/>
        </w:rPr>
        <w:t>因本保函发生的纠纷，由你我双方协商解决，协商不成的，通过诉讼程序解决，诉讼管辖地法院为   法院。</w:t>
      </w:r>
    </w:p>
    <w:p w14:paraId="417DA9AF">
      <w:pPr>
        <w:spacing w:before="0" w:line="267" w:lineRule="exact"/>
        <w:ind w:left="532" w:right="0" w:firstLine="0"/>
        <w:jc w:val="left"/>
        <w:outlineLvl w:val="1"/>
        <w:rPr>
          <w:b/>
          <w:color w:val="auto"/>
          <w:sz w:val="21"/>
          <w:highlight w:val="none"/>
        </w:rPr>
      </w:pPr>
      <w:bookmarkStart w:id="33" w:name="_Toc32141"/>
      <w:bookmarkStart w:id="34" w:name="_Toc24939"/>
      <w:bookmarkStart w:id="35" w:name="_Toc31888"/>
      <w:bookmarkStart w:id="36" w:name="_Toc2441"/>
      <w:r>
        <w:rPr>
          <w:b/>
          <w:color w:val="auto"/>
          <w:sz w:val="21"/>
          <w:highlight w:val="none"/>
        </w:rPr>
        <w:t>七、保函的生效</w:t>
      </w:r>
      <w:bookmarkEnd w:id="33"/>
      <w:bookmarkEnd w:id="34"/>
      <w:bookmarkEnd w:id="35"/>
      <w:bookmarkEnd w:id="36"/>
    </w:p>
    <w:p w14:paraId="47C4BB93">
      <w:pPr>
        <w:spacing w:before="135"/>
        <w:ind w:left="532" w:right="0" w:firstLine="0"/>
        <w:jc w:val="left"/>
        <w:rPr>
          <w:color w:val="auto"/>
          <w:sz w:val="21"/>
          <w:highlight w:val="none"/>
        </w:rPr>
      </w:pPr>
      <w:r>
        <w:rPr>
          <w:color w:val="auto"/>
          <w:sz w:val="21"/>
          <w:highlight w:val="none"/>
        </w:rPr>
        <w:t>本保函自我方加盖公章之日起生效。</w:t>
      </w:r>
    </w:p>
    <w:p w14:paraId="30E64DB9">
      <w:pPr>
        <w:pStyle w:val="11"/>
        <w:rPr>
          <w:color w:val="auto"/>
          <w:sz w:val="20"/>
          <w:highlight w:val="none"/>
        </w:rPr>
      </w:pPr>
    </w:p>
    <w:p w14:paraId="3F8441C0">
      <w:pPr>
        <w:pStyle w:val="11"/>
        <w:spacing w:before="8"/>
        <w:rPr>
          <w:color w:val="auto"/>
          <w:sz w:val="22"/>
          <w:highlight w:val="none"/>
        </w:rPr>
      </w:pPr>
    </w:p>
    <w:p w14:paraId="6CF324C8">
      <w:pPr>
        <w:spacing w:before="1"/>
        <w:ind w:left="2407" w:right="1339" w:firstLine="0"/>
        <w:jc w:val="center"/>
        <w:rPr>
          <w:rFonts w:hint="eastAsia" w:eastAsia="宋体"/>
          <w:color w:val="auto"/>
          <w:sz w:val="21"/>
          <w:highlight w:val="none"/>
          <w:lang w:eastAsia="zh-CN"/>
        </w:rPr>
      </w:pPr>
      <w:r>
        <w:rPr>
          <w:rFonts w:hint="eastAsia"/>
          <w:color w:val="auto"/>
          <w:sz w:val="21"/>
          <w:highlight w:val="none"/>
          <w:lang w:val="en-US" w:eastAsia="zh-CN"/>
        </w:rPr>
        <w:t xml:space="preserve">          </w:t>
      </w:r>
      <w:r>
        <w:rPr>
          <w:color w:val="auto"/>
          <w:sz w:val="21"/>
          <w:highlight w:val="none"/>
        </w:rPr>
        <w:t>保证人：（公章</w:t>
      </w:r>
      <w:r>
        <w:rPr>
          <w:rFonts w:hint="eastAsia"/>
          <w:color w:val="auto"/>
          <w:sz w:val="21"/>
          <w:highlight w:val="none"/>
          <w:lang w:eastAsia="zh-CN"/>
        </w:rPr>
        <w:t>）</w:t>
      </w:r>
    </w:p>
    <w:p w14:paraId="0B0BCF1A">
      <w:pPr>
        <w:pStyle w:val="11"/>
        <w:rPr>
          <w:color w:val="auto"/>
          <w:sz w:val="20"/>
          <w:highlight w:val="none"/>
        </w:rPr>
      </w:pPr>
    </w:p>
    <w:p w14:paraId="21B25919">
      <w:pPr>
        <w:pStyle w:val="11"/>
        <w:spacing w:before="3"/>
        <w:rPr>
          <w:color w:val="auto"/>
          <w:sz w:val="17"/>
          <w:highlight w:val="none"/>
        </w:rPr>
      </w:pPr>
    </w:p>
    <w:p w14:paraId="3A7AC591">
      <w:pPr>
        <w:tabs>
          <w:tab w:val="left" w:pos="5623"/>
          <w:tab w:val="left" w:pos="6203"/>
          <w:tab w:val="left" w:pos="6675"/>
        </w:tabs>
        <w:spacing w:before="69"/>
        <w:ind w:left="4837" w:right="0" w:firstLine="0"/>
        <w:jc w:val="left"/>
        <w:rPr>
          <w:color w:val="auto"/>
          <w:sz w:val="21"/>
          <w:highlight w:val="none"/>
        </w:rPr>
      </w:pPr>
      <w:r>
        <w:rPr>
          <w:rFonts w:ascii="Times New Roman" w:eastAsia="Times New Roman"/>
          <w:color w:val="auto"/>
          <w:w w:val="99"/>
          <w:sz w:val="21"/>
          <w:highlight w:val="none"/>
          <w:u w:val="single"/>
        </w:rPr>
        <w:t xml:space="preserve"> </w:t>
      </w:r>
      <w:r>
        <w:rPr>
          <w:rFonts w:ascii="Times New Roman" w:eastAsia="Times New Roman"/>
          <w:color w:val="auto"/>
          <w:sz w:val="21"/>
          <w:highlight w:val="none"/>
          <w:u w:val="single"/>
        </w:rPr>
        <w:tab/>
      </w:r>
      <w:r>
        <w:rPr>
          <w:rFonts w:ascii="Times New Roman" w:eastAsia="Times New Roman"/>
          <w:color w:val="auto"/>
          <w:spacing w:val="1"/>
          <w:sz w:val="21"/>
          <w:highlight w:val="none"/>
        </w:rPr>
        <w:t xml:space="preserve"> </w:t>
      </w:r>
      <w:r>
        <w:rPr>
          <w:color w:val="auto"/>
          <w:sz w:val="21"/>
          <w:highlight w:val="none"/>
        </w:rPr>
        <w:t>年</w:t>
      </w:r>
      <w:r>
        <w:rPr>
          <w:color w:val="auto"/>
          <w:sz w:val="21"/>
          <w:highlight w:val="none"/>
          <w:u w:val="single"/>
        </w:rPr>
        <w:t xml:space="preserve"> </w:t>
      </w:r>
      <w:r>
        <w:rPr>
          <w:rFonts w:hint="eastAsia"/>
          <w:color w:val="auto"/>
          <w:sz w:val="21"/>
          <w:highlight w:val="none"/>
          <w:u w:val="single"/>
          <w:lang w:val="en-US" w:eastAsia="zh-CN"/>
        </w:rPr>
        <w:t xml:space="preserve">    </w:t>
      </w:r>
      <w:r>
        <w:rPr>
          <w:color w:val="auto"/>
          <w:sz w:val="21"/>
          <w:highlight w:val="none"/>
          <w:u w:val="single"/>
        </w:rPr>
        <w:tab/>
      </w:r>
      <w:r>
        <w:rPr>
          <w:color w:val="auto"/>
          <w:sz w:val="21"/>
          <w:highlight w:val="none"/>
        </w:rPr>
        <w:t>月</w:t>
      </w:r>
      <w:r>
        <w:rPr>
          <w:color w:val="auto"/>
          <w:sz w:val="21"/>
          <w:highlight w:val="none"/>
          <w:u w:val="single"/>
        </w:rPr>
        <w:t xml:space="preserve"> </w:t>
      </w:r>
      <w:r>
        <w:rPr>
          <w:rFonts w:hint="eastAsia"/>
          <w:color w:val="auto"/>
          <w:sz w:val="21"/>
          <w:highlight w:val="none"/>
          <w:u w:val="single"/>
          <w:lang w:val="en-US" w:eastAsia="zh-CN"/>
        </w:rPr>
        <w:t xml:space="preserve">     </w:t>
      </w:r>
      <w:r>
        <w:rPr>
          <w:color w:val="auto"/>
          <w:sz w:val="21"/>
          <w:highlight w:val="none"/>
          <w:u w:val="single"/>
        </w:rPr>
        <w:tab/>
      </w:r>
      <w:r>
        <w:rPr>
          <w:color w:val="auto"/>
          <w:sz w:val="21"/>
          <w:highlight w:val="none"/>
        </w:rPr>
        <w:t>日</w:t>
      </w:r>
    </w:p>
    <w:p w14:paraId="2EE29407">
      <w:pPr>
        <w:spacing w:after="0"/>
        <w:jc w:val="left"/>
        <w:rPr>
          <w:color w:val="auto"/>
          <w:sz w:val="21"/>
          <w:highlight w:val="none"/>
        </w:rPr>
        <w:sectPr>
          <w:footerReference r:id="rId9" w:type="default"/>
          <w:pgSz w:w="11910" w:h="16840"/>
          <w:pgMar w:top="1360" w:right="600" w:bottom="1440" w:left="1020" w:header="0" w:footer="1234" w:gutter="0"/>
          <w:pgBorders>
            <w:top w:val="none" w:sz="0" w:space="0"/>
            <w:left w:val="none" w:sz="0" w:space="0"/>
            <w:bottom w:val="none" w:sz="0" w:space="0"/>
            <w:right w:val="none" w:sz="0" w:space="0"/>
          </w:pgBorders>
          <w:pgNumType w:fmt="decimal"/>
          <w:cols w:space="720" w:num="1"/>
        </w:sectPr>
      </w:pPr>
    </w:p>
    <w:p w14:paraId="42CC26E7">
      <w:pPr>
        <w:pStyle w:val="6"/>
        <w:spacing w:before="42"/>
        <w:ind w:left="0" w:right="299"/>
        <w:jc w:val="center"/>
        <w:rPr>
          <w:b/>
          <w:bCs/>
          <w:color w:val="auto"/>
          <w:highlight w:val="none"/>
        </w:rPr>
      </w:pPr>
      <w:r>
        <w:rPr>
          <w:b/>
          <w:bCs/>
          <w:color w:val="auto"/>
          <w:highlight w:val="none"/>
        </w:rPr>
        <w:t>磋商须知正文</w:t>
      </w:r>
    </w:p>
    <w:p w14:paraId="258E9033">
      <w:pPr>
        <w:pStyle w:val="11"/>
        <w:spacing w:before="1"/>
        <w:rPr>
          <w:color w:val="auto"/>
          <w:sz w:val="32"/>
          <w:highlight w:val="none"/>
        </w:rPr>
      </w:pPr>
    </w:p>
    <w:p w14:paraId="2FBC046C">
      <w:pPr>
        <w:spacing w:before="1"/>
        <w:ind w:left="112" w:right="0" w:firstLine="0"/>
        <w:jc w:val="left"/>
        <w:outlineLvl w:val="1"/>
        <w:rPr>
          <w:b/>
          <w:color w:val="auto"/>
          <w:sz w:val="28"/>
          <w:highlight w:val="none"/>
        </w:rPr>
      </w:pPr>
      <w:bookmarkStart w:id="37" w:name="_Toc17454"/>
      <w:bookmarkStart w:id="38" w:name="_Toc31020"/>
      <w:bookmarkStart w:id="39" w:name="_Toc1410"/>
      <w:bookmarkStart w:id="40" w:name="_Toc32414"/>
      <w:r>
        <w:rPr>
          <w:b/>
          <w:color w:val="auto"/>
          <w:sz w:val="28"/>
          <w:highlight w:val="none"/>
        </w:rPr>
        <w:t>一、说明</w:t>
      </w:r>
      <w:bookmarkEnd w:id="37"/>
      <w:bookmarkEnd w:id="38"/>
      <w:bookmarkEnd w:id="39"/>
      <w:bookmarkEnd w:id="40"/>
    </w:p>
    <w:p w14:paraId="1B193922">
      <w:pPr>
        <w:pStyle w:val="7"/>
        <w:numPr>
          <w:ilvl w:val="0"/>
          <w:numId w:val="14"/>
        </w:numPr>
        <w:tabs>
          <w:tab w:val="left" w:pos="357"/>
        </w:tabs>
        <w:spacing w:before="166" w:after="0" w:line="240" w:lineRule="auto"/>
        <w:ind w:left="356" w:right="0" w:hanging="245"/>
        <w:jc w:val="left"/>
        <w:rPr>
          <w:color w:val="auto"/>
          <w:highlight w:val="none"/>
        </w:rPr>
      </w:pPr>
      <w:r>
        <w:rPr>
          <w:color w:val="auto"/>
          <w:highlight w:val="none"/>
        </w:rPr>
        <w:t>适用范围</w:t>
      </w:r>
    </w:p>
    <w:p w14:paraId="091FCF84">
      <w:pPr>
        <w:pStyle w:val="50"/>
        <w:numPr>
          <w:ilvl w:val="1"/>
          <w:numId w:val="14"/>
        </w:numPr>
        <w:tabs>
          <w:tab w:val="left" w:pos="1076"/>
        </w:tabs>
        <w:spacing w:before="160" w:after="0" w:line="362" w:lineRule="auto"/>
        <w:ind w:left="112" w:right="525" w:firstLine="480"/>
        <w:jc w:val="left"/>
        <w:rPr>
          <w:color w:val="auto"/>
          <w:sz w:val="24"/>
          <w:highlight w:val="none"/>
        </w:rPr>
      </w:pPr>
      <w:r>
        <w:rPr>
          <w:color w:val="auto"/>
          <w:sz w:val="24"/>
          <w:highlight w:val="none"/>
        </w:rPr>
        <w:t>本磋商文件仅适用于磋商须知前附表(以下简称</w:t>
      </w:r>
      <w:r>
        <w:rPr>
          <w:b/>
          <w:color w:val="auto"/>
          <w:sz w:val="24"/>
          <w:highlight w:val="none"/>
        </w:rPr>
        <w:t>磋商须知前附表)</w:t>
      </w:r>
      <w:r>
        <w:rPr>
          <w:color w:val="auto"/>
          <w:sz w:val="24"/>
          <w:highlight w:val="none"/>
        </w:rPr>
        <w:t>中所叙述的采购项目。</w:t>
      </w:r>
    </w:p>
    <w:p w14:paraId="11DB363C">
      <w:pPr>
        <w:pStyle w:val="7"/>
        <w:numPr>
          <w:ilvl w:val="0"/>
          <w:numId w:val="14"/>
        </w:numPr>
        <w:tabs>
          <w:tab w:val="left" w:pos="357"/>
        </w:tabs>
        <w:spacing w:before="5" w:after="0" w:line="240" w:lineRule="auto"/>
        <w:ind w:left="356" w:right="0" w:hanging="245"/>
        <w:jc w:val="left"/>
        <w:rPr>
          <w:color w:val="auto"/>
          <w:highlight w:val="none"/>
        </w:rPr>
      </w:pPr>
      <w:r>
        <w:rPr>
          <w:color w:val="auto"/>
          <w:highlight w:val="none"/>
        </w:rPr>
        <w:t>定义</w:t>
      </w:r>
    </w:p>
    <w:p w14:paraId="01E316F2">
      <w:pPr>
        <w:pStyle w:val="50"/>
        <w:numPr>
          <w:ilvl w:val="1"/>
          <w:numId w:val="14"/>
        </w:numPr>
        <w:tabs>
          <w:tab w:val="left" w:pos="1076"/>
        </w:tabs>
        <w:spacing w:before="161" w:after="0" w:line="362" w:lineRule="auto"/>
        <w:ind w:left="112" w:right="532" w:firstLine="480"/>
        <w:jc w:val="both"/>
        <w:rPr>
          <w:color w:val="auto"/>
          <w:sz w:val="24"/>
          <w:highlight w:val="none"/>
        </w:rPr>
      </w:pPr>
      <w:r>
        <w:rPr>
          <w:color w:val="auto"/>
          <w:spacing w:val="-1"/>
          <w:sz w:val="24"/>
          <w:highlight w:val="none"/>
        </w:rPr>
        <w:t>“采购人”是指依法进行政府采购的国家机关、事业单位、团体组织。本次政府采</w:t>
      </w:r>
      <w:r>
        <w:rPr>
          <w:color w:val="auto"/>
          <w:sz w:val="24"/>
          <w:highlight w:val="none"/>
        </w:rPr>
        <w:t>购的采购人名称、地址、电话、联系人见</w:t>
      </w:r>
      <w:r>
        <w:rPr>
          <w:b/>
          <w:color w:val="auto"/>
          <w:sz w:val="24"/>
          <w:highlight w:val="none"/>
        </w:rPr>
        <w:t>磋商须知前附表</w:t>
      </w:r>
      <w:r>
        <w:rPr>
          <w:color w:val="auto"/>
          <w:sz w:val="24"/>
          <w:highlight w:val="none"/>
        </w:rPr>
        <w:t>。</w:t>
      </w:r>
    </w:p>
    <w:p w14:paraId="03D23833">
      <w:pPr>
        <w:pStyle w:val="50"/>
        <w:numPr>
          <w:ilvl w:val="1"/>
          <w:numId w:val="14"/>
        </w:numPr>
        <w:tabs>
          <w:tab w:val="left" w:pos="1076"/>
        </w:tabs>
        <w:spacing w:before="2" w:after="0" w:line="364" w:lineRule="auto"/>
        <w:ind w:left="112" w:right="532" w:firstLine="480"/>
        <w:jc w:val="both"/>
        <w:rPr>
          <w:b/>
          <w:color w:val="auto"/>
          <w:sz w:val="24"/>
          <w:highlight w:val="none"/>
        </w:rPr>
      </w:pPr>
      <w:r>
        <w:rPr>
          <w:color w:val="auto"/>
          <w:spacing w:val="-1"/>
          <w:sz w:val="24"/>
          <w:highlight w:val="none"/>
        </w:rPr>
        <w:t>“采购代理机构”是指接受采购人委托，代理采购项目的集中采购机构和其他采购</w:t>
      </w:r>
      <w:r>
        <w:rPr>
          <w:color w:val="auto"/>
          <w:sz w:val="24"/>
          <w:highlight w:val="none"/>
        </w:rPr>
        <w:t>代理机构。本次政府采购的采购代理机构名称、地址、电话、联系人见</w:t>
      </w:r>
      <w:r>
        <w:rPr>
          <w:b/>
          <w:color w:val="auto"/>
          <w:sz w:val="24"/>
          <w:highlight w:val="none"/>
        </w:rPr>
        <w:t>磋商须知前附表。</w:t>
      </w:r>
    </w:p>
    <w:p w14:paraId="22D5CD37">
      <w:pPr>
        <w:pStyle w:val="50"/>
        <w:numPr>
          <w:ilvl w:val="1"/>
          <w:numId w:val="14"/>
        </w:numPr>
        <w:tabs>
          <w:tab w:val="left" w:pos="1076"/>
        </w:tabs>
        <w:spacing w:before="0" w:after="0" w:line="364" w:lineRule="auto"/>
        <w:ind w:left="112" w:right="525" w:firstLine="480"/>
        <w:jc w:val="both"/>
        <w:rPr>
          <w:color w:val="auto"/>
          <w:sz w:val="24"/>
          <w:highlight w:val="none"/>
        </w:rPr>
      </w:pPr>
      <w:r>
        <w:rPr>
          <w:color w:val="auto"/>
          <w:sz w:val="24"/>
          <w:highlight w:val="none"/>
        </w:rPr>
        <w:t>“供应商”是指响应磋商文件要求、参加竞争性磋商采购的法人、其他组织或者自然人。本次政府采购项目邀请的供应商通过</w:t>
      </w:r>
      <w:r>
        <w:rPr>
          <w:b/>
          <w:color w:val="auto"/>
          <w:sz w:val="24"/>
          <w:highlight w:val="none"/>
        </w:rPr>
        <w:t>磋商须知前附表</w:t>
      </w:r>
      <w:r>
        <w:rPr>
          <w:color w:val="auto"/>
          <w:sz w:val="24"/>
          <w:highlight w:val="none"/>
        </w:rPr>
        <w:t>所述方式，邀请符合资格条件的供应商提交响应文件（含资格证明资料），参与竞争性磋商采购活动。</w:t>
      </w:r>
    </w:p>
    <w:p w14:paraId="380B9DDB">
      <w:pPr>
        <w:pStyle w:val="50"/>
        <w:numPr>
          <w:ilvl w:val="1"/>
          <w:numId w:val="14"/>
        </w:numPr>
        <w:tabs>
          <w:tab w:val="left" w:pos="1076"/>
        </w:tabs>
        <w:spacing w:before="0" w:after="0" w:line="364" w:lineRule="auto"/>
        <w:ind w:left="112" w:right="532" w:firstLine="480"/>
        <w:jc w:val="both"/>
        <w:rPr>
          <w:color w:val="auto"/>
          <w:sz w:val="24"/>
          <w:highlight w:val="none"/>
        </w:rPr>
      </w:pPr>
      <w:r>
        <w:rPr>
          <w:color w:val="auto"/>
          <w:spacing w:val="-1"/>
          <w:sz w:val="24"/>
          <w:highlight w:val="none"/>
        </w:rPr>
        <w:t>“磋商小组”是指依据财政部《政府采购竞争性磋商采购方式管理暂行办法》等有关规定组建，依法依规履行其职责和义务的机构，本项目磋商小组成员由采购人的代表和评</w:t>
      </w:r>
      <w:r>
        <w:rPr>
          <w:color w:val="auto"/>
          <w:spacing w:val="-5"/>
          <w:sz w:val="24"/>
          <w:highlight w:val="none"/>
        </w:rPr>
        <w:t xml:space="preserve">审专家组成，成员人数应当为 </w:t>
      </w:r>
      <w:r>
        <w:rPr>
          <w:color w:val="auto"/>
          <w:sz w:val="24"/>
          <w:highlight w:val="none"/>
        </w:rPr>
        <w:t>3</w:t>
      </w:r>
      <w:r>
        <w:rPr>
          <w:color w:val="auto"/>
          <w:spacing w:val="-8"/>
          <w:sz w:val="24"/>
          <w:highlight w:val="none"/>
        </w:rPr>
        <w:t xml:space="preserve"> 人以上单数，其中评审专家不得少于成员总数的三分之二。</w:t>
      </w:r>
    </w:p>
    <w:p w14:paraId="4E481F45">
      <w:pPr>
        <w:pStyle w:val="50"/>
        <w:numPr>
          <w:ilvl w:val="1"/>
          <w:numId w:val="14"/>
        </w:numPr>
        <w:tabs>
          <w:tab w:val="left" w:pos="1049"/>
        </w:tabs>
        <w:spacing w:before="0" w:after="0" w:line="362" w:lineRule="auto"/>
        <w:ind w:left="112" w:right="529" w:firstLine="480"/>
        <w:jc w:val="both"/>
        <w:rPr>
          <w:color w:val="auto"/>
          <w:sz w:val="24"/>
          <w:highlight w:val="none"/>
        </w:rPr>
      </w:pPr>
      <w:r>
        <w:rPr>
          <w:color w:val="auto"/>
          <w:spacing w:val="-13"/>
          <w:sz w:val="24"/>
          <w:highlight w:val="none"/>
        </w:rPr>
        <w:t>“货物”是指各种形态和种类的物品，包括原资料、燃料、设备、产品等，详见《政</w:t>
      </w:r>
      <w:r>
        <w:rPr>
          <w:color w:val="auto"/>
          <w:sz w:val="24"/>
          <w:highlight w:val="none"/>
        </w:rPr>
        <w:t>府采购品目分类目录》(财库[2013]189</w:t>
      </w:r>
      <w:r>
        <w:rPr>
          <w:color w:val="auto"/>
          <w:spacing w:val="-15"/>
          <w:sz w:val="24"/>
          <w:highlight w:val="none"/>
        </w:rPr>
        <w:t xml:space="preserve"> 号)。</w:t>
      </w:r>
    </w:p>
    <w:p w14:paraId="47596D38">
      <w:pPr>
        <w:pStyle w:val="50"/>
        <w:numPr>
          <w:ilvl w:val="1"/>
          <w:numId w:val="14"/>
        </w:numPr>
        <w:tabs>
          <w:tab w:val="left" w:pos="1076"/>
        </w:tabs>
        <w:spacing w:before="3" w:after="0" w:line="362" w:lineRule="auto"/>
        <w:ind w:left="112" w:right="530" w:firstLine="480"/>
        <w:jc w:val="both"/>
        <w:rPr>
          <w:color w:val="auto"/>
          <w:sz w:val="24"/>
          <w:highlight w:val="none"/>
        </w:rPr>
      </w:pPr>
      <w:r>
        <w:rPr>
          <w:color w:val="auto"/>
          <w:spacing w:val="-1"/>
          <w:sz w:val="24"/>
          <w:highlight w:val="none"/>
        </w:rPr>
        <w:t>“工程”是指建设工程，包括建筑物和构筑物的新建、改建、扩建、装修、拆除、</w:t>
      </w:r>
      <w:r>
        <w:rPr>
          <w:color w:val="auto"/>
          <w:sz w:val="24"/>
          <w:highlight w:val="none"/>
        </w:rPr>
        <w:t>修缮等，详见《政府采购品目分类目录》(财库[2013]189</w:t>
      </w:r>
      <w:r>
        <w:rPr>
          <w:color w:val="auto"/>
          <w:spacing w:val="-15"/>
          <w:sz w:val="24"/>
          <w:highlight w:val="none"/>
        </w:rPr>
        <w:t xml:space="preserve"> 号)。</w:t>
      </w:r>
    </w:p>
    <w:p w14:paraId="0EB0AC65">
      <w:pPr>
        <w:pStyle w:val="50"/>
        <w:numPr>
          <w:ilvl w:val="1"/>
          <w:numId w:val="14"/>
        </w:numPr>
        <w:tabs>
          <w:tab w:val="left" w:pos="1076"/>
        </w:tabs>
        <w:spacing w:before="5" w:after="0" w:line="362" w:lineRule="auto"/>
        <w:ind w:left="112" w:right="530" w:firstLine="480"/>
        <w:jc w:val="both"/>
        <w:rPr>
          <w:color w:val="auto"/>
          <w:sz w:val="24"/>
          <w:highlight w:val="none"/>
        </w:rPr>
      </w:pPr>
      <w:r>
        <w:rPr>
          <w:color w:val="auto"/>
          <w:spacing w:val="-1"/>
          <w:sz w:val="24"/>
          <w:highlight w:val="none"/>
        </w:rPr>
        <w:t>“服务”是指除货物和工程以外的其他政府采购对象，详见《政府采购品目分类目</w:t>
      </w:r>
      <w:r>
        <w:rPr>
          <w:color w:val="auto"/>
          <w:sz w:val="24"/>
          <w:highlight w:val="none"/>
        </w:rPr>
        <w:t>录》(财库[2013]189</w:t>
      </w:r>
      <w:r>
        <w:rPr>
          <w:color w:val="auto"/>
          <w:spacing w:val="-15"/>
          <w:sz w:val="24"/>
          <w:highlight w:val="none"/>
        </w:rPr>
        <w:t xml:space="preserve"> 号)。</w:t>
      </w:r>
    </w:p>
    <w:p w14:paraId="55067656">
      <w:pPr>
        <w:pStyle w:val="50"/>
        <w:numPr>
          <w:ilvl w:val="1"/>
          <w:numId w:val="14"/>
        </w:numPr>
        <w:tabs>
          <w:tab w:val="left" w:pos="1076"/>
        </w:tabs>
        <w:spacing w:before="5" w:after="0" w:line="240" w:lineRule="auto"/>
        <w:ind w:left="1075" w:right="0" w:hanging="484"/>
        <w:jc w:val="both"/>
        <w:rPr>
          <w:color w:val="auto"/>
          <w:sz w:val="24"/>
          <w:highlight w:val="none"/>
        </w:rPr>
      </w:pPr>
      <w:r>
        <w:rPr>
          <w:color w:val="auto"/>
          <w:sz w:val="24"/>
          <w:highlight w:val="none"/>
        </w:rPr>
        <w:t>“节能产品”或者“环保产品”是指财政部发布的《节能产品政府采购清单》或者</w:t>
      </w:r>
    </w:p>
    <w:p w14:paraId="628B0967">
      <w:pPr>
        <w:pStyle w:val="11"/>
        <w:spacing w:before="160" w:line="362" w:lineRule="auto"/>
        <w:ind w:left="112" w:right="532"/>
        <w:rPr>
          <w:color w:val="auto"/>
          <w:highlight w:val="none"/>
        </w:rPr>
      </w:pPr>
      <w:r>
        <w:rPr>
          <w:color w:val="auto"/>
          <w:highlight w:val="none"/>
        </w:rPr>
        <w:t>《环境标志产品政府采购清单》的产品，“两型产品”是指省财政厅发布的《两型产品政府采购目录》的产品。</w:t>
      </w:r>
    </w:p>
    <w:p w14:paraId="3D924CEE">
      <w:pPr>
        <w:pStyle w:val="7"/>
        <w:numPr>
          <w:ilvl w:val="0"/>
          <w:numId w:val="14"/>
        </w:numPr>
        <w:tabs>
          <w:tab w:val="left" w:pos="357"/>
        </w:tabs>
        <w:spacing w:before="3" w:after="0" w:line="240" w:lineRule="auto"/>
        <w:ind w:left="356" w:right="0" w:hanging="245"/>
        <w:jc w:val="left"/>
        <w:rPr>
          <w:color w:val="auto"/>
          <w:highlight w:val="none"/>
        </w:rPr>
      </w:pPr>
      <w:r>
        <w:rPr>
          <w:color w:val="auto"/>
          <w:highlight w:val="none"/>
        </w:rPr>
        <w:t>供应商的资格要求</w:t>
      </w:r>
    </w:p>
    <w:p w14:paraId="15E547FE">
      <w:pPr>
        <w:pStyle w:val="50"/>
        <w:numPr>
          <w:ilvl w:val="1"/>
          <w:numId w:val="14"/>
        </w:numPr>
        <w:tabs>
          <w:tab w:val="left" w:pos="1073"/>
        </w:tabs>
        <w:spacing w:before="160" w:after="0" w:line="240" w:lineRule="auto"/>
        <w:ind w:left="1072" w:right="0" w:hanging="481"/>
        <w:jc w:val="both"/>
        <w:rPr>
          <w:color w:val="auto"/>
          <w:sz w:val="24"/>
          <w:highlight w:val="none"/>
        </w:rPr>
      </w:pPr>
      <w:r>
        <w:rPr>
          <w:color w:val="auto"/>
          <w:sz w:val="24"/>
          <w:highlight w:val="none"/>
        </w:rPr>
        <w:t>供应商应当符合</w:t>
      </w:r>
      <w:r>
        <w:rPr>
          <w:b/>
          <w:color w:val="auto"/>
          <w:sz w:val="24"/>
          <w:highlight w:val="none"/>
        </w:rPr>
        <w:t>磋商须知前附表</w:t>
      </w:r>
      <w:r>
        <w:rPr>
          <w:color w:val="auto"/>
          <w:sz w:val="24"/>
          <w:highlight w:val="none"/>
        </w:rPr>
        <w:t>中规定的资格条件要求。</w:t>
      </w:r>
    </w:p>
    <w:p w14:paraId="59622EA2">
      <w:pPr>
        <w:pStyle w:val="50"/>
        <w:numPr>
          <w:ilvl w:val="1"/>
          <w:numId w:val="14"/>
        </w:numPr>
        <w:tabs>
          <w:tab w:val="left" w:pos="1013"/>
        </w:tabs>
        <w:spacing w:before="161" w:after="0" w:line="362" w:lineRule="auto"/>
        <w:ind w:left="112" w:right="631" w:firstLine="480"/>
        <w:jc w:val="both"/>
        <w:rPr>
          <w:color w:val="auto"/>
          <w:sz w:val="24"/>
          <w:highlight w:val="none"/>
        </w:rPr>
      </w:pPr>
      <w:r>
        <w:rPr>
          <w:color w:val="auto"/>
          <w:spacing w:val="-4"/>
          <w:sz w:val="24"/>
          <w:highlight w:val="none"/>
        </w:rPr>
        <w:t xml:space="preserve">供应商为联合体形式的，除应满足本章第 </w:t>
      </w:r>
      <w:r>
        <w:rPr>
          <w:color w:val="auto"/>
          <w:sz w:val="24"/>
          <w:highlight w:val="none"/>
        </w:rPr>
        <w:t>3.1</w:t>
      </w:r>
      <w:r>
        <w:rPr>
          <w:color w:val="auto"/>
          <w:spacing w:val="-13"/>
          <w:sz w:val="24"/>
          <w:highlight w:val="none"/>
        </w:rPr>
        <w:t xml:space="preserve"> 款资格条件要求及第 </w:t>
      </w:r>
      <w:r>
        <w:rPr>
          <w:color w:val="auto"/>
          <w:sz w:val="24"/>
          <w:highlight w:val="none"/>
        </w:rPr>
        <w:t>3.3</w:t>
      </w:r>
      <w:r>
        <w:rPr>
          <w:color w:val="auto"/>
          <w:spacing w:val="-13"/>
          <w:sz w:val="24"/>
          <w:highlight w:val="none"/>
        </w:rPr>
        <w:t xml:space="preserve"> 款规定外， </w:t>
      </w:r>
      <w:r>
        <w:rPr>
          <w:color w:val="auto"/>
          <w:sz w:val="24"/>
          <w:highlight w:val="none"/>
        </w:rPr>
        <w:t>还应遵守以下规定：</w:t>
      </w:r>
    </w:p>
    <w:p w14:paraId="2D18DD61">
      <w:pPr>
        <w:spacing w:after="0" w:line="362" w:lineRule="auto"/>
        <w:jc w:val="both"/>
        <w:rPr>
          <w:color w:val="auto"/>
          <w:sz w:val="24"/>
          <w:highlight w:val="none"/>
        </w:rPr>
        <w:sectPr>
          <w:pgSz w:w="11910" w:h="16840"/>
          <w:pgMar w:top="1360" w:right="600" w:bottom="1440" w:left="1020" w:header="0" w:footer="1234" w:gutter="0"/>
          <w:pgBorders>
            <w:top w:val="none" w:sz="0" w:space="0"/>
            <w:left w:val="none" w:sz="0" w:space="0"/>
            <w:bottom w:val="none" w:sz="0" w:space="0"/>
            <w:right w:val="none" w:sz="0" w:space="0"/>
          </w:pgBorders>
          <w:pgNumType w:fmt="decimal"/>
          <w:cols w:space="720" w:num="1"/>
        </w:sectPr>
      </w:pPr>
    </w:p>
    <w:p w14:paraId="2E2E4C47">
      <w:pPr>
        <w:pStyle w:val="50"/>
        <w:keepNext w:val="0"/>
        <w:keepLines w:val="0"/>
        <w:pageBreakBefore w:val="0"/>
        <w:widowControl w:val="0"/>
        <w:numPr>
          <w:ilvl w:val="0"/>
          <w:numId w:val="0"/>
        </w:numPr>
        <w:tabs>
          <w:tab w:val="left" w:pos="1194"/>
        </w:tabs>
        <w:kinsoku/>
        <w:wordWrap/>
        <w:overflowPunct/>
        <w:topLinePunct w:val="0"/>
        <w:autoSpaceDE w:val="0"/>
        <w:autoSpaceDN w:val="0"/>
        <w:bidi w:val="0"/>
        <w:adjustRightInd/>
        <w:snapToGrid/>
        <w:spacing w:before="41" w:after="0" w:line="362" w:lineRule="auto"/>
        <w:ind w:right="533" w:rightChars="0" w:firstLine="472" w:firstLineChars="200"/>
        <w:jc w:val="left"/>
        <w:textAlignment w:val="auto"/>
        <w:rPr>
          <w:color w:val="auto"/>
          <w:sz w:val="24"/>
          <w:highlight w:val="none"/>
        </w:rPr>
      </w:pPr>
      <w:r>
        <w:rPr>
          <w:rFonts w:hint="eastAsia"/>
          <w:color w:val="auto"/>
          <w:spacing w:val="-2"/>
          <w:sz w:val="24"/>
          <w:highlight w:val="none"/>
          <w:lang w:eastAsia="zh-CN"/>
        </w:rPr>
        <w:t>（</w:t>
      </w:r>
      <w:r>
        <w:rPr>
          <w:rFonts w:hint="eastAsia"/>
          <w:color w:val="auto"/>
          <w:spacing w:val="-2"/>
          <w:sz w:val="24"/>
          <w:highlight w:val="none"/>
          <w:lang w:val="en-US" w:eastAsia="zh-CN"/>
        </w:rPr>
        <w:t>1</w:t>
      </w:r>
      <w:r>
        <w:rPr>
          <w:rFonts w:hint="eastAsia"/>
          <w:color w:val="auto"/>
          <w:spacing w:val="-2"/>
          <w:sz w:val="24"/>
          <w:highlight w:val="none"/>
          <w:lang w:eastAsia="zh-CN"/>
        </w:rPr>
        <w:t>）</w:t>
      </w:r>
      <w:r>
        <w:rPr>
          <w:color w:val="auto"/>
          <w:spacing w:val="-2"/>
          <w:sz w:val="24"/>
          <w:highlight w:val="none"/>
        </w:rPr>
        <w:t>联合体各方应按磋商文件提供的格式签订联合体协议书，明确联合体牵头人和各</w:t>
      </w:r>
      <w:r>
        <w:rPr>
          <w:color w:val="auto"/>
          <w:spacing w:val="-4"/>
          <w:sz w:val="24"/>
          <w:highlight w:val="none"/>
        </w:rPr>
        <w:t>方权利义务(含承担工作及工作量比例)；</w:t>
      </w:r>
    </w:p>
    <w:p w14:paraId="50498660">
      <w:pPr>
        <w:pStyle w:val="50"/>
        <w:keepNext w:val="0"/>
        <w:keepLines w:val="0"/>
        <w:pageBreakBefore w:val="0"/>
        <w:widowControl w:val="0"/>
        <w:numPr>
          <w:ilvl w:val="0"/>
          <w:numId w:val="0"/>
        </w:numPr>
        <w:tabs>
          <w:tab w:val="left" w:pos="1194"/>
        </w:tabs>
        <w:kinsoku/>
        <w:wordWrap/>
        <w:overflowPunct/>
        <w:topLinePunct w:val="0"/>
        <w:autoSpaceDE w:val="0"/>
        <w:autoSpaceDN w:val="0"/>
        <w:bidi w:val="0"/>
        <w:adjustRightInd/>
        <w:snapToGrid/>
        <w:spacing w:before="5" w:after="0" w:line="364" w:lineRule="auto"/>
        <w:ind w:right="533" w:rightChars="0" w:firstLine="472" w:firstLineChars="200"/>
        <w:jc w:val="left"/>
        <w:textAlignment w:val="auto"/>
        <w:rPr>
          <w:color w:val="auto"/>
          <w:sz w:val="24"/>
          <w:highlight w:val="none"/>
        </w:rPr>
      </w:pPr>
      <w:r>
        <w:rPr>
          <w:rFonts w:hint="eastAsia"/>
          <w:color w:val="auto"/>
          <w:spacing w:val="-2"/>
          <w:sz w:val="24"/>
          <w:highlight w:val="none"/>
          <w:lang w:eastAsia="zh-CN"/>
        </w:rPr>
        <w:t>（</w:t>
      </w:r>
      <w:r>
        <w:rPr>
          <w:rFonts w:hint="eastAsia"/>
          <w:color w:val="auto"/>
          <w:spacing w:val="-2"/>
          <w:sz w:val="24"/>
          <w:highlight w:val="none"/>
          <w:lang w:val="en-US" w:eastAsia="zh-CN"/>
        </w:rPr>
        <w:t>2</w:t>
      </w:r>
      <w:r>
        <w:rPr>
          <w:rFonts w:hint="eastAsia"/>
          <w:color w:val="auto"/>
          <w:spacing w:val="-2"/>
          <w:sz w:val="24"/>
          <w:highlight w:val="none"/>
          <w:lang w:eastAsia="zh-CN"/>
        </w:rPr>
        <w:t>）</w:t>
      </w:r>
      <w:r>
        <w:rPr>
          <w:color w:val="auto"/>
          <w:spacing w:val="-2"/>
          <w:sz w:val="24"/>
          <w:highlight w:val="none"/>
        </w:rPr>
        <w:t>联合体中有同类资质的供应商按照联合体分工承担相同工作的，应当按照资质等</w:t>
      </w:r>
      <w:r>
        <w:rPr>
          <w:color w:val="auto"/>
          <w:spacing w:val="-4"/>
          <w:sz w:val="24"/>
          <w:highlight w:val="none"/>
        </w:rPr>
        <w:t>级较低的供应商确定资质等级；</w:t>
      </w:r>
    </w:p>
    <w:p w14:paraId="6B734888">
      <w:pPr>
        <w:pStyle w:val="50"/>
        <w:keepNext w:val="0"/>
        <w:keepLines w:val="0"/>
        <w:pageBreakBefore w:val="0"/>
        <w:widowControl w:val="0"/>
        <w:numPr>
          <w:ilvl w:val="0"/>
          <w:numId w:val="0"/>
        </w:numPr>
        <w:tabs>
          <w:tab w:val="left" w:pos="1194"/>
        </w:tabs>
        <w:kinsoku/>
        <w:wordWrap/>
        <w:overflowPunct/>
        <w:topLinePunct w:val="0"/>
        <w:autoSpaceDE w:val="0"/>
        <w:autoSpaceDN w:val="0"/>
        <w:bidi w:val="0"/>
        <w:adjustRightInd/>
        <w:snapToGrid/>
        <w:spacing w:before="0" w:after="0" w:line="364" w:lineRule="auto"/>
        <w:ind w:right="533" w:rightChars="0" w:firstLine="468" w:firstLineChars="200"/>
        <w:jc w:val="left"/>
        <w:textAlignment w:val="auto"/>
        <w:rPr>
          <w:color w:val="auto"/>
          <w:sz w:val="24"/>
          <w:highlight w:val="none"/>
        </w:rPr>
      </w:pPr>
      <w:r>
        <w:rPr>
          <w:rFonts w:hint="eastAsia"/>
          <w:color w:val="auto"/>
          <w:spacing w:val="-3"/>
          <w:sz w:val="24"/>
          <w:highlight w:val="none"/>
          <w:lang w:eastAsia="zh-CN"/>
        </w:rPr>
        <w:t>（</w:t>
      </w:r>
      <w:r>
        <w:rPr>
          <w:rFonts w:hint="eastAsia"/>
          <w:color w:val="auto"/>
          <w:spacing w:val="-3"/>
          <w:sz w:val="24"/>
          <w:highlight w:val="none"/>
          <w:lang w:val="en-US" w:eastAsia="zh-CN"/>
        </w:rPr>
        <w:t>3</w:t>
      </w:r>
      <w:r>
        <w:rPr>
          <w:rFonts w:hint="eastAsia"/>
          <w:color w:val="auto"/>
          <w:spacing w:val="-3"/>
          <w:sz w:val="24"/>
          <w:highlight w:val="none"/>
          <w:lang w:eastAsia="zh-CN"/>
        </w:rPr>
        <w:t>）</w:t>
      </w:r>
      <w:r>
        <w:rPr>
          <w:color w:val="auto"/>
          <w:spacing w:val="-3"/>
          <w:sz w:val="24"/>
          <w:highlight w:val="none"/>
        </w:rPr>
        <w:t>以联合体形式参加政府采购活动的，联合体各方不得再单独参加或者与其他供应</w:t>
      </w:r>
      <w:r>
        <w:rPr>
          <w:color w:val="auto"/>
          <w:spacing w:val="-4"/>
          <w:sz w:val="24"/>
          <w:highlight w:val="none"/>
        </w:rPr>
        <w:t>商另外组成联合体参加同一合同项下的政府采购活动。</w:t>
      </w:r>
    </w:p>
    <w:p w14:paraId="4AC1C124">
      <w:pPr>
        <w:pStyle w:val="50"/>
        <w:numPr>
          <w:ilvl w:val="1"/>
          <w:numId w:val="14"/>
        </w:numPr>
        <w:tabs>
          <w:tab w:val="left" w:pos="1073"/>
        </w:tabs>
        <w:spacing w:before="0" w:after="0" w:line="306" w:lineRule="exact"/>
        <w:ind w:left="1072" w:right="0" w:hanging="481"/>
        <w:jc w:val="left"/>
        <w:rPr>
          <w:color w:val="auto"/>
          <w:sz w:val="24"/>
          <w:highlight w:val="none"/>
        </w:rPr>
      </w:pPr>
      <w:r>
        <w:rPr>
          <w:color w:val="auto"/>
          <w:sz w:val="24"/>
          <w:highlight w:val="none"/>
        </w:rPr>
        <w:t>供应商不得存在下列情形之一：</w:t>
      </w:r>
    </w:p>
    <w:p w14:paraId="48543883">
      <w:pPr>
        <w:pStyle w:val="11"/>
        <w:spacing w:before="159"/>
        <w:ind w:firstLine="480" w:firstLineChars="200"/>
        <w:rPr>
          <w:color w:val="auto"/>
          <w:highlight w:val="none"/>
        </w:rPr>
      </w:pPr>
      <w:r>
        <w:rPr>
          <w:color w:val="auto"/>
          <w:highlight w:val="none"/>
        </w:rPr>
        <w:t>（l）与采购人、采购代理机构存在隶属关系或者其他利害关系。</w:t>
      </w:r>
    </w:p>
    <w:p w14:paraId="00D25FEB">
      <w:pPr>
        <w:pStyle w:val="50"/>
        <w:keepNext w:val="0"/>
        <w:keepLines w:val="0"/>
        <w:pageBreakBefore w:val="0"/>
        <w:widowControl w:val="0"/>
        <w:numPr>
          <w:ilvl w:val="0"/>
          <w:numId w:val="0"/>
        </w:numPr>
        <w:tabs>
          <w:tab w:val="left" w:pos="1194"/>
        </w:tabs>
        <w:kinsoku/>
        <w:wordWrap/>
        <w:overflowPunct/>
        <w:topLinePunct w:val="0"/>
        <w:autoSpaceDE w:val="0"/>
        <w:autoSpaceDN w:val="0"/>
        <w:bidi w:val="0"/>
        <w:adjustRightInd/>
        <w:snapToGrid/>
        <w:spacing w:before="41" w:after="0" w:line="362" w:lineRule="auto"/>
        <w:ind w:right="533" w:rightChars="0" w:firstLine="472" w:firstLineChars="200"/>
        <w:jc w:val="left"/>
        <w:textAlignment w:val="auto"/>
        <w:rPr>
          <w:rFonts w:hint="eastAsia" w:ascii="宋体" w:hAnsi="宋体" w:eastAsia="宋体" w:cs="宋体"/>
          <w:color w:val="auto"/>
          <w:spacing w:val="-2"/>
          <w:sz w:val="24"/>
          <w:highlight w:val="none"/>
          <w:lang w:eastAsia="zh-CN"/>
        </w:rPr>
      </w:pPr>
      <w:r>
        <w:rPr>
          <w:rFonts w:hint="eastAsia" w:ascii="宋体" w:hAnsi="宋体" w:eastAsia="宋体" w:cs="宋体"/>
          <w:color w:val="auto"/>
          <w:spacing w:val="-2"/>
          <w:sz w:val="24"/>
          <w:highlight w:val="none"/>
          <w:lang w:eastAsia="zh-CN"/>
        </w:rPr>
        <w:t>（</w:t>
      </w:r>
      <w:r>
        <w:rPr>
          <w:rFonts w:hint="eastAsia" w:ascii="宋体" w:hAnsi="宋体" w:eastAsia="宋体" w:cs="宋体"/>
          <w:color w:val="auto"/>
          <w:spacing w:val="-2"/>
          <w:sz w:val="24"/>
          <w:highlight w:val="none"/>
          <w:lang w:val="en-US" w:eastAsia="zh-CN"/>
        </w:rPr>
        <w:t>2</w:t>
      </w:r>
      <w:r>
        <w:rPr>
          <w:rFonts w:hint="eastAsia" w:ascii="宋体" w:hAnsi="宋体" w:eastAsia="宋体" w:cs="宋体"/>
          <w:color w:val="auto"/>
          <w:spacing w:val="-2"/>
          <w:sz w:val="24"/>
          <w:highlight w:val="none"/>
          <w:lang w:eastAsia="zh-CN"/>
        </w:rPr>
        <w:t>）与其他供应商的法定代表人（或者负责人）为同一人，或者与其他供应商存在控股、关联关系。</w:t>
      </w:r>
    </w:p>
    <w:p w14:paraId="7301A2CE">
      <w:pPr>
        <w:pStyle w:val="50"/>
        <w:keepNext w:val="0"/>
        <w:keepLines w:val="0"/>
        <w:pageBreakBefore w:val="0"/>
        <w:widowControl w:val="0"/>
        <w:numPr>
          <w:ilvl w:val="0"/>
          <w:numId w:val="0"/>
        </w:numPr>
        <w:tabs>
          <w:tab w:val="left" w:pos="1194"/>
        </w:tabs>
        <w:kinsoku/>
        <w:wordWrap/>
        <w:overflowPunct/>
        <w:topLinePunct w:val="0"/>
        <w:autoSpaceDE w:val="0"/>
        <w:autoSpaceDN w:val="0"/>
        <w:bidi w:val="0"/>
        <w:adjustRightInd/>
        <w:snapToGrid/>
        <w:spacing w:before="41" w:after="0" w:line="362" w:lineRule="auto"/>
        <w:ind w:right="533" w:rightChars="0" w:firstLine="472" w:firstLineChars="200"/>
        <w:jc w:val="left"/>
        <w:textAlignment w:val="auto"/>
        <w:rPr>
          <w:rFonts w:hint="eastAsia" w:ascii="宋体" w:hAnsi="宋体" w:eastAsia="宋体" w:cs="宋体"/>
          <w:color w:val="auto"/>
          <w:spacing w:val="-2"/>
          <w:sz w:val="24"/>
          <w:highlight w:val="none"/>
          <w:lang w:eastAsia="zh-CN"/>
        </w:rPr>
      </w:pPr>
      <w:r>
        <w:rPr>
          <w:rFonts w:hint="eastAsia" w:ascii="宋体" w:hAnsi="宋体" w:eastAsia="宋体" w:cs="宋体"/>
          <w:color w:val="auto"/>
          <w:spacing w:val="-2"/>
          <w:sz w:val="24"/>
          <w:highlight w:val="none"/>
          <w:lang w:eastAsia="zh-CN"/>
        </w:rPr>
        <w:t>（</w:t>
      </w:r>
      <w:r>
        <w:rPr>
          <w:rFonts w:hint="eastAsia" w:ascii="宋体" w:hAnsi="宋体" w:eastAsia="宋体" w:cs="宋体"/>
          <w:color w:val="auto"/>
          <w:spacing w:val="-2"/>
          <w:sz w:val="24"/>
          <w:highlight w:val="none"/>
          <w:lang w:val="en-US" w:eastAsia="zh-CN"/>
        </w:rPr>
        <w:t>3</w:t>
      </w:r>
      <w:r>
        <w:rPr>
          <w:rFonts w:hint="eastAsia" w:ascii="宋体" w:hAnsi="宋体" w:eastAsia="宋体" w:cs="宋体"/>
          <w:color w:val="auto"/>
          <w:spacing w:val="-2"/>
          <w:sz w:val="24"/>
          <w:highlight w:val="none"/>
          <w:lang w:eastAsia="zh-CN"/>
        </w:rPr>
        <w:t>）受到刑事处罚，或者受到三万元以上的罚款、责令停产停业、在一至三年内禁止参加政府采购活动、暂扣或者吊销许可证、暂扣或者吊销执照等情形之一的行政处罚，或者存在财政部门认定的其他重大违法记录。</w:t>
      </w:r>
    </w:p>
    <w:p w14:paraId="0C5E8D18">
      <w:pPr>
        <w:pStyle w:val="7"/>
        <w:numPr>
          <w:ilvl w:val="0"/>
          <w:numId w:val="14"/>
        </w:numPr>
        <w:tabs>
          <w:tab w:val="left" w:pos="357"/>
        </w:tabs>
        <w:spacing w:before="0" w:after="0" w:line="307" w:lineRule="exact"/>
        <w:ind w:left="356" w:right="0" w:hanging="245"/>
        <w:jc w:val="left"/>
        <w:rPr>
          <w:color w:val="auto"/>
          <w:highlight w:val="none"/>
        </w:rPr>
      </w:pPr>
      <w:r>
        <w:rPr>
          <w:color w:val="auto"/>
          <w:highlight w:val="none"/>
        </w:rPr>
        <w:t>参与磋商的费用</w:t>
      </w:r>
    </w:p>
    <w:p w14:paraId="4E62E32E">
      <w:pPr>
        <w:pStyle w:val="50"/>
        <w:numPr>
          <w:ilvl w:val="1"/>
          <w:numId w:val="14"/>
        </w:numPr>
        <w:tabs>
          <w:tab w:val="left" w:pos="1076"/>
        </w:tabs>
        <w:spacing w:before="160" w:after="0" w:line="362" w:lineRule="auto"/>
        <w:ind w:left="112" w:right="532" w:firstLine="480"/>
        <w:jc w:val="left"/>
        <w:rPr>
          <w:color w:val="auto"/>
          <w:sz w:val="24"/>
          <w:highlight w:val="none"/>
        </w:rPr>
      </w:pPr>
      <w:r>
        <w:rPr>
          <w:color w:val="auto"/>
          <w:spacing w:val="-1"/>
          <w:sz w:val="24"/>
          <w:highlight w:val="none"/>
        </w:rPr>
        <w:t>无论磋商的结果如何，供应商应自行承担所有与竞争性磋商采购活动有关的全部费</w:t>
      </w:r>
      <w:r>
        <w:rPr>
          <w:color w:val="auto"/>
          <w:sz w:val="24"/>
          <w:highlight w:val="none"/>
        </w:rPr>
        <w:t>用。</w:t>
      </w:r>
    </w:p>
    <w:p w14:paraId="3EBE2FAC">
      <w:pPr>
        <w:pStyle w:val="7"/>
        <w:numPr>
          <w:ilvl w:val="0"/>
          <w:numId w:val="14"/>
        </w:numPr>
        <w:tabs>
          <w:tab w:val="left" w:pos="476"/>
        </w:tabs>
        <w:spacing w:before="5" w:after="0" w:line="240" w:lineRule="auto"/>
        <w:ind w:left="475" w:right="0" w:hanging="364"/>
        <w:jc w:val="left"/>
        <w:rPr>
          <w:color w:val="auto"/>
          <w:highlight w:val="none"/>
        </w:rPr>
      </w:pPr>
      <w:r>
        <w:rPr>
          <w:color w:val="auto"/>
          <w:highlight w:val="none"/>
        </w:rPr>
        <w:t>授权委托</w:t>
      </w:r>
    </w:p>
    <w:p w14:paraId="2B3D95C0">
      <w:pPr>
        <w:pStyle w:val="50"/>
        <w:numPr>
          <w:ilvl w:val="1"/>
          <w:numId w:val="14"/>
        </w:numPr>
        <w:tabs>
          <w:tab w:val="left" w:pos="1016"/>
        </w:tabs>
        <w:spacing w:before="158" w:after="0" w:line="362" w:lineRule="auto"/>
        <w:ind w:left="112" w:right="533" w:firstLine="480"/>
        <w:jc w:val="left"/>
        <w:rPr>
          <w:color w:val="auto"/>
          <w:sz w:val="24"/>
          <w:highlight w:val="none"/>
        </w:rPr>
      </w:pPr>
      <w:r>
        <w:rPr>
          <w:color w:val="auto"/>
          <w:sz w:val="24"/>
          <w:highlight w:val="none"/>
        </w:rPr>
        <w:t>供应商代表为供应商法定代表人的，应持有法定代表人身份证明。供应商代表不是供应商法定代表人的，应持有法定代表人授权书，并附法定代表人身份证明。</w:t>
      </w:r>
    </w:p>
    <w:p w14:paraId="657D545B">
      <w:pPr>
        <w:pStyle w:val="7"/>
        <w:numPr>
          <w:ilvl w:val="0"/>
          <w:numId w:val="14"/>
        </w:numPr>
        <w:tabs>
          <w:tab w:val="left" w:pos="474"/>
        </w:tabs>
        <w:spacing w:before="5" w:after="0" w:line="240" w:lineRule="auto"/>
        <w:ind w:left="473" w:right="0" w:hanging="362"/>
        <w:jc w:val="left"/>
        <w:rPr>
          <w:color w:val="auto"/>
          <w:highlight w:val="none"/>
        </w:rPr>
      </w:pPr>
      <w:r>
        <w:rPr>
          <w:color w:val="auto"/>
          <w:highlight w:val="none"/>
        </w:rPr>
        <w:t>联合体形式</w:t>
      </w:r>
    </w:p>
    <w:p w14:paraId="07655BDE">
      <w:pPr>
        <w:pStyle w:val="50"/>
        <w:numPr>
          <w:ilvl w:val="1"/>
          <w:numId w:val="14"/>
        </w:numPr>
        <w:tabs>
          <w:tab w:val="left" w:pos="1013"/>
        </w:tabs>
        <w:spacing w:before="160" w:after="0" w:line="240" w:lineRule="auto"/>
        <w:ind w:left="1012" w:right="0" w:hanging="421"/>
        <w:jc w:val="left"/>
        <w:rPr>
          <w:color w:val="auto"/>
          <w:sz w:val="24"/>
          <w:highlight w:val="none"/>
        </w:rPr>
      </w:pPr>
      <w:r>
        <w:rPr>
          <w:color w:val="auto"/>
          <w:sz w:val="24"/>
          <w:highlight w:val="none"/>
        </w:rPr>
        <w:t>本次采购联合体要求详见</w:t>
      </w:r>
      <w:r>
        <w:rPr>
          <w:b/>
          <w:color w:val="auto"/>
          <w:sz w:val="24"/>
          <w:highlight w:val="none"/>
        </w:rPr>
        <w:t>磋商须知前附表</w:t>
      </w:r>
      <w:r>
        <w:rPr>
          <w:color w:val="auto"/>
          <w:sz w:val="24"/>
          <w:highlight w:val="none"/>
        </w:rPr>
        <w:t>。</w:t>
      </w:r>
    </w:p>
    <w:p w14:paraId="4A43430C">
      <w:pPr>
        <w:pStyle w:val="50"/>
        <w:numPr>
          <w:ilvl w:val="1"/>
          <w:numId w:val="14"/>
        </w:numPr>
        <w:tabs>
          <w:tab w:val="left" w:pos="1013"/>
        </w:tabs>
        <w:spacing w:before="158" w:after="0" w:line="240" w:lineRule="auto"/>
        <w:ind w:left="1012" w:right="0" w:hanging="421"/>
        <w:jc w:val="left"/>
        <w:rPr>
          <w:color w:val="auto"/>
          <w:sz w:val="24"/>
          <w:highlight w:val="none"/>
        </w:rPr>
      </w:pPr>
      <w:r>
        <w:rPr>
          <w:color w:val="auto"/>
          <w:spacing w:val="-4"/>
          <w:sz w:val="24"/>
          <w:highlight w:val="none"/>
        </w:rPr>
        <w:t xml:space="preserve">供应商为联合体形式的，除应符合本章第 </w:t>
      </w:r>
      <w:r>
        <w:rPr>
          <w:color w:val="auto"/>
          <w:sz w:val="24"/>
          <w:highlight w:val="none"/>
        </w:rPr>
        <w:t>3</w:t>
      </w:r>
      <w:r>
        <w:rPr>
          <w:color w:val="auto"/>
          <w:spacing w:val="-8"/>
          <w:sz w:val="24"/>
          <w:highlight w:val="none"/>
        </w:rPr>
        <w:t xml:space="preserve"> 条规定外，还应遵守以下规定：</w:t>
      </w:r>
    </w:p>
    <w:p w14:paraId="59F0D106">
      <w:pPr>
        <w:pStyle w:val="11"/>
        <w:spacing w:before="161" w:line="362" w:lineRule="auto"/>
        <w:ind w:left="112" w:right="455" w:firstLine="480"/>
        <w:rPr>
          <w:color w:val="auto"/>
          <w:highlight w:val="none"/>
        </w:rPr>
      </w:pPr>
      <w:r>
        <w:rPr>
          <w:color w:val="auto"/>
          <w:highlight w:val="none"/>
        </w:rPr>
        <w:t>（l）联合体各方必须签订联合体协议书，明确联合体牵头人和各方的义务、工作、合同工作量比例；</w:t>
      </w:r>
    </w:p>
    <w:p w14:paraId="4DFDA0BB">
      <w:pPr>
        <w:pStyle w:val="50"/>
        <w:numPr>
          <w:ilvl w:val="0"/>
          <w:numId w:val="0"/>
        </w:numPr>
        <w:tabs>
          <w:tab w:val="left" w:pos="1194"/>
        </w:tabs>
        <w:spacing w:before="5" w:after="0" w:line="240" w:lineRule="auto"/>
        <w:ind w:left="880" w:leftChars="0" w:right="0" w:rightChars="0"/>
        <w:jc w:val="left"/>
        <w:rPr>
          <w:color w:val="auto"/>
          <w:sz w:val="24"/>
          <w:highlight w:val="none"/>
        </w:rPr>
      </w:pPr>
      <w:r>
        <w:rPr>
          <w:rFonts w:hint="eastAsia"/>
          <w:color w:val="auto"/>
          <w:spacing w:val="-5"/>
          <w:sz w:val="24"/>
          <w:highlight w:val="none"/>
          <w:lang w:val="en-US" w:eastAsia="zh-CN"/>
        </w:rPr>
        <w:t>1、</w:t>
      </w:r>
      <w:r>
        <w:rPr>
          <w:color w:val="auto"/>
          <w:spacing w:val="-5"/>
          <w:sz w:val="24"/>
          <w:highlight w:val="none"/>
        </w:rPr>
        <w:t xml:space="preserve">联合体各方均应当符合本章第 </w:t>
      </w:r>
      <w:r>
        <w:rPr>
          <w:color w:val="auto"/>
          <w:sz w:val="24"/>
          <w:highlight w:val="none"/>
        </w:rPr>
        <w:t>3.1</w:t>
      </w:r>
      <w:r>
        <w:rPr>
          <w:color w:val="auto"/>
          <w:spacing w:val="-8"/>
          <w:sz w:val="24"/>
          <w:highlight w:val="none"/>
        </w:rPr>
        <w:t xml:space="preserve"> 款规定的供应商基本资格条件；</w:t>
      </w:r>
    </w:p>
    <w:p w14:paraId="4C6BC049">
      <w:pPr>
        <w:pStyle w:val="50"/>
        <w:numPr>
          <w:ilvl w:val="0"/>
          <w:numId w:val="0"/>
        </w:numPr>
        <w:tabs>
          <w:tab w:val="left" w:pos="1194"/>
        </w:tabs>
        <w:spacing w:before="158" w:after="0" w:line="364" w:lineRule="auto"/>
        <w:ind w:left="881" w:leftChars="0" w:right="532" w:rightChars="0"/>
        <w:jc w:val="left"/>
        <w:rPr>
          <w:color w:val="auto"/>
          <w:sz w:val="24"/>
          <w:highlight w:val="none"/>
        </w:rPr>
      </w:pPr>
      <w:r>
        <w:rPr>
          <w:rFonts w:hint="eastAsia"/>
          <w:color w:val="auto"/>
          <w:sz w:val="24"/>
          <w:highlight w:val="none"/>
          <w:lang w:val="en-US" w:eastAsia="zh-CN"/>
        </w:rPr>
        <w:t>2、</w:t>
      </w:r>
      <w:r>
        <w:rPr>
          <w:color w:val="auto"/>
          <w:sz w:val="24"/>
          <w:highlight w:val="none"/>
        </w:rPr>
        <w:t>除</w:t>
      </w:r>
      <w:r>
        <w:rPr>
          <w:b/>
          <w:color w:val="auto"/>
          <w:sz w:val="24"/>
          <w:highlight w:val="none"/>
        </w:rPr>
        <w:t>磋商须知前附表</w:t>
      </w:r>
      <w:r>
        <w:rPr>
          <w:color w:val="auto"/>
          <w:spacing w:val="-10"/>
          <w:sz w:val="24"/>
          <w:highlight w:val="none"/>
        </w:rPr>
        <w:t xml:space="preserve">中另有规定，联合体各方中至少有一方应当符合本章第 </w:t>
      </w:r>
      <w:r>
        <w:rPr>
          <w:color w:val="auto"/>
          <w:sz w:val="24"/>
          <w:highlight w:val="none"/>
        </w:rPr>
        <w:t>3.1</w:t>
      </w:r>
      <w:r>
        <w:rPr>
          <w:color w:val="auto"/>
          <w:spacing w:val="-30"/>
          <w:sz w:val="24"/>
          <w:highlight w:val="none"/>
        </w:rPr>
        <w:t xml:space="preserve"> 款</w:t>
      </w:r>
      <w:r>
        <w:rPr>
          <w:color w:val="auto"/>
          <w:spacing w:val="-4"/>
          <w:sz w:val="24"/>
          <w:highlight w:val="none"/>
        </w:rPr>
        <w:t>规定的供应商特定资格条件；</w:t>
      </w:r>
    </w:p>
    <w:p w14:paraId="0504BC69">
      <w:pPr>
        <w:pStyle w:val="50"/>
        <w:numPr>
          <w:ilvl w:val="0"/>
          <w:numId w:val="0"/>
        </w:numPr>
        <w:tabs>
          <w:tab w:val="left" w:pos="1194"/>
        </w:tabs>
        <w:spacing w:before="0" w:after="0" w:line="364" w:lineRule="auto"/>
        <w:ind w:left="881" w:leftChars="0" w:right="451" w:rightChars="0"/>
        <w:jc w:val="left"/>
        <w:rPr>
          <w:color w:val="auto"/>
          <w:spacing w:val="-1"/>
          <w:sz w:val="24"/>
          <w:highlight w:val="none"/>
        </w:rPr>
      </w:pPr>
      <w:r>
        <w:rPr>
          <w:rFonts w:hint="eastAsia"/>
          <w:color w:val="auto"/>
          <w:spacing w:val="-1"/>
          <w:sz w:val="24"/>
          <w:highlight w:val="none"/>
          <w:lang w:val="en-US" w:eastAsia="zh-CN"/>
        </w:rPr>
        <w:t>3、</w:t>
      </w:r>
      <w:r>
        <w:rPr>
          <w:color w:val="auto"/>
          <w:spacing w:val="-1"/>
          <w:sz w:val="24"/>
          <w:highlight w:val="none"/>
        </w:rPr>
        <w:t>联合体各方不得再单独或与其他供应商组成新的联合体参加同一项目的采购活动。</w:t>
      </w:r>
    </w:p>
    <w:p w14:paraId="348FBF32">
      <w:pPr>
        <w:pStyle w:val="50"/>
        <w:numPr>
          <w:ilvl w:val="0"/>
          <w:numId w:val="0"/>
        </w:numPr>
        <w:tabs>
          <w:tab w:val="left" w:pos="1194"/>
        </w:tabs>
        <w:spacing w:before="0" w:after="0" w:line="364" w:lineRule="auto"/>
        <w:ind w:right="451" w:rightChars="0" w:firstLine="241" w:firstLineChars="100"/>
        <w:jc w:val="left"/>
        <w:rPr>
          <w:b/>
          <w:color w:val="auto"/>
          <w:sz w:val="24"/>
          <w:highlight w:val="none"/>
        </w:rPr>
      </w:pPr>
      <w:r>
        <w:rPr>
          <w:b/>
          <w:color w:val="auto"/>
          <w:sz w:val="24"/>
          <w:highlight w:val="none"/>
        </w:rPr>
        <w:t>7.现场考察</w:t>
      </w:r>
    </w:p>
    <w:p w14:paraId="2D43E811">
      <w:pPr>
        <w:pStyle w:val="50"/>
        <w:numPr>
          <w:ilvl w:val="1"/>
          <w:numId w:val="15"/>
        </w:numPr>
        <w:tabs>
          <w:tab w:val="left" w:pos="1013"/>
        </w:tabs>
        <w:spacing w:before="0" w:after="0" w:line="306" w:lineRule="exact"/>
        <w:ind w:left="1012" w:right="0" w:hanging="421"/>
        <w:jc w:val="left"/>
        <w:rPr>
          <w:color w:val="auto"/>
          <w:sz w:val="24"/>
          <w:highlight w:val="none"/>
        </w:rPr>
      </w:pPr>
      <w:r>
        <w:rPr>
          <w:color w:val="auto"/>
          <w:sz w:val="24"/>
          <w:highlight w:val="none"/>
        </w:rPr>
        <w:t>供应商应按</w:t>
      </w:r>
      <w:r>
        <w:rPr>
          <w:b/>
          <w:color w:val="auto"/>
          <w:sz w:val="24"/>
          <w:highlight w:val="none"/>
        </w:rPr>
        <w:t>磋商须知前附表</w:t>
      </w:r>
      <w:r>
        <w:rPr>
          <w:color w:val="auto"/>
          <w:sz w:val="24"/>
          <w:highlight w:val="none"/>
        </w:rPr>
        <w:t>中规定对采购项目现场和周围环境的现场考察。</w:t>
      </w:r>
    </w:p>
    <w:p w14:paraId="4F3EC310">
      <w:pPr>
        <w:spacing w:after="0" w:line="306" w:lineRule="exact"/>
        <w:jc w:val="left"/>
        <w:rPr>
          <w:color w:val="auto"/>
          <w:sz w:val="24"/>
          <w:highlight w:val="none"/>
        </w:rPr>
        <w:sectPr>
          <w:pgSz w:w="11910" w:h="16840"/>
          <w:pgMar w:top="1360" w:right="600" w:bottom="1440" w:left="1020" w:header="0" w:footer="1234" w:gutter="0"/>
          <w:pgBorders>
            <w:top w:val="none" w:sz="0" w:space="0"/>
            <w:left w:val="none" w:sz="0" w:space="0"/>
            <w:bottom w:val="none" w:sz="0" w:space="0"/>
            <w:right w:val="none" w:sz="0" w:space="0"/>
          </w:pgBorders>
          <w:pgNumType w:fmt="decimal"/>
          <w:cols w:space="720" w:num="1"/>
        </w:sectPr>
      </w:pPr>
    </w:p>
    <w:p w14:paraId="4DF72499">
      <w:pPr>
        <w:pStyle w:val="50"/>
        <w:numPr>
          <w:ilvl w:val="1"/>
          <w:numId w:val="15"/>
        </w:numPr>
        <w:tabs>
          <w:tab w:val="left" w:pos="1016"/>
        </w:tabs>
        <w:spacing w:before="41" w:after="0" w:line="362" w:lineRule="auto"/>
        <w:ind w:left="112" w:right="533" w:firstLine="480"/>
        <w:jc w:val="left"/>
        <w:rPr>
          <w:color w:val="auto"/>
          <w:sz w:val="24"/>
          <w:highlight w:val="none"/>
        </w:rPr>
      </w:pPr>
      <w:r>
        <w:rPr>
          <w:color w:val="auto"/>
          <w:sz w:val="24"/>
          <w:highlight w:val="none"/>
        </w:rPr>
        <w:t>勘察现场的费用由供应商自己承担，勘察期间所发生的人身伤害及财产损失由供应商自己负责。</w:t>
      </w:r>
    </w:p>
    <w:p w14:paraId="75E128B0">
      <w:pPr>
        <w:pStyle w:val="50"/>
        <w:numPr>
          <w:ilvl w:val="1"/>
          <w:numId w:val="15"/>
        </w:numPr>
        <w:tabs>
          <w:tab w:val="left" w:pos="1013"/>
        </w:tabs>
        <w:spacing w:before="5" w:after="0" w:line="364" w:lineRule="auto"/>
        <w:ind w:left="112" w:right="631" w:firstLine="480"/>
        <w:jc w:val="left"/>
        <w:rPr>
          <w:color w:val="auto"/>
          <w:sz w:val="24"/>
          <w:highlight w:val="none"/>
        </w:rPr>
      </w:pPr>
      <w:r>
        <w:rPr>
          <w:color w:val="auto"/>
          <w:spacing w:val="-1"/>
          <w:sz w:val="24"/>
          <w:highlight w:val="none"/>
        </w:rPr>
        <w:t>采购人不对供应商据此而做出的推论、理解和结论等负责。一旦成交，供应商不得</w:t>
      </w:r>
      <w:r>
        <w:rPr>
          <w:color w:val="auto"/>
          <w:sz w:val="24"/>
          <w:highlight w:val="none"/>
        </w:rPr>
        <w:t>以任何借口，提出额外补偿，或延长合同期限的要求。</w:t>
      </w:r>
    </w:p>
    <w:p w14:paraId="30C5E4FF">
      <w:pPr>
        <w:pStyle w:val="7"/>
        <w:numPr>
          <w:ilvl w:val="0"/>
          <w:numId w:val="16"/>
        </w:numPr>
        <w:tabs>
          <w:tab w:val="left" w:pos="357"/>
        </w:tabs>
        <w:spacing w:before="0" w:after="0" w:line="306" w:lineRule="exact"/>
        <w:ind w:left="356" w:right="0" w:hanging="245"/>
        <w:jc w:val="left"/>
        <w:rPr>
          <w:color w:val="auto"/>
          <w:highlight w:val="none"/>
        </w:rPr>
      </w:pPr>
      <w:r>
        <w:rPr>
          <w:color w:val="auto"/>
          <w:highlight w:val="none"/>
        </w:rPr>
        <w:t>采购进口产品（或国外服务）</w:t>
      </w:r>
    </w:p>
    <w:p w14:paraId="664F67C4">
      <w:pPr>
        <w:pStyle w:val="50"/>
        <w:numPr>
          <w:ilvl w:val="1"/>
          <w:numId w:val="16"/>
        </w:numPr>
        <w:tabs>
          <w:tab w:val="left" w:pos="1013"/>
        </w:tabs>
        <w:spacing w:before="161" w:after="0" w:line="362" w:lineRule="auto"/>
        <w:ind w:left="112" w:right="625" w:firstLine="480"/>
        <w:jc w:val="left"/>
        <w:rPr>
          <w:color w:val="auto"/>
          <w:sz w:val="24"/>
          <w:highlight w:val="none"/>
        </w:rPr>
      </w:pPr>
      <w:r>
        <w:rPr>
          <w:color w:val="auto"/>
          <w:sz w:val="24"/>
          <w:highlight w:val="none"/>
        </w:rPr>
        <w:t>除</w:t>
      </w:r>
      <w:r>
        <w:rPr>
          <w:b/>
          <w:color w:val="auto"/>
          <w:sz w:val="24"/>
          <w:highlight w:val="none"/>
        </w:rPr>
        <w:t>磋商文件前附表</w:t>
      </w:r>
      <w:r>
        <w:rPr>
          <w:color w:val="auto"/>
          <w:sz w:val="24"/>
          <w:highlight w:val="none"/>
        </w:rPr>
        <w:t>另有规定外，本项目拒绝进口产品（或国外服务）</w:t>
      </w:r>
      <w:r>
        <w:rPr>
          <w:color w:val="auto"/>
          <w:spacing w:val="-3"/>
          <w:sz w:val="24"/>
          <w:highlight w:val="none"/>
        </w:rPr>
        <w:t>参加竞争性磋</w:t>
      </w:r>
      <w:r>
        <w:rPr>
          <w:color w:val="auto"/>
          <w:sz w:val="24"/>
          <w:highlight w:val="none"/>
        </w:rPr>
        <w:t>商采购活动。</w:t>
      </w:r>
    </w:p>
    <w:p w14:paraId="60AFB1CD">
      <w:pPr>
        <w:pStyle w:val="50"/>
        <w:numPr>
          <w:ilvl w:val="1"/>
          <w:numId w:val="16"/>
        </w:numPr>
        <w:tabs>
          <w:tab w:val="left" w:pos="1013"/>
        </w:tabs>
        <w:spacing w:before="4" w:after="0" w:line="362" w:lineRule="auto"/>
        <w:ind w:left="112" w:right="631" w:firstLine="480"/>
        <w:jc w:val="left"/>
        <w:rPr>
          <w:color w:val="auto"/>
          <w:sz w:val="24"/>
          <w:highlight w:val="none"/>
        </w:rPr>
      </w:pPr>
      <w:r>
        <w:rPr>
          <w:color w:val="auto"/>
          <w:spacing w:val="-15"/>
          <w:sz w:val="24"/>
          <w:highlight w:val="none"/>
        </w:rPr>
        <w:t xml:space="preserve">本章第 </w:t>
      </w:r>
      <w:r>
        <w:rPr>
          <w:color w:val="auto"/>
          <w:sz w:val="24"/>
          <w:highlight w:val="none"/>
        </w:rPr>
        <w:t>7.1</w:t>
      </w:r>
      <w:r>
        <w:rPr>
          <w:color w:val="auto"/>
          <w:spacing w:val="-8"/>
          <w:sz w:val="24"/>
          <w:highlight w:val="none"/>
        </w:rPr>
        <w:t xml:space="preserve"> 款规定同意购买进口产品</w:t>
      </w:r>
      <w:r>
        <w:rPr>
          <w:color w:val="auto"/>
          <w:sz w:val="24"/>
          <w:highlight w:val="none"/>
        </w:rPr>
        <w:t>（或国外服务）</w:t>
      </w:r>
      <w:r>
        <w:rPr>
          <w:color w:val="auto"/>
          <w:spacing w:val="-2"/>
          <w:sz w:val="24"/>
          <w:highlight w:val="none"/>
        </w:rPr>
        <w:t>的，本项目采购活动不限制满</w:t>
      </w:r>
      <w:r>
        <w:rPr>
          <w:color w:val="auto"/>
          <w:sz w:val="24"/>
          <w:highlight w:val="none"/>
        </w:rPr>
        <w:t>足磋商文件要求的国内产品参与竞争性磋商。</w:t>
      </w:r>
    </w:p>
    <w:p w14:paraId="7DD53986">
      <w:pPr>
        <w:pStyle w:val="7"/>
        <w:numPr>
          <w:ilvl w:val="0"/>
          <w:numId w:val="16"/>
        </w:numPr>
        <w:tabs>
          <w:tab w:val="left" w:pos="476"/>
        </w:tabs>
        <w:spacing w:before="5" w:after="0" w:line="240" w:lineRule="auto"/>
        <w:ind w:left="475" w:right="0" w:hanging="364"/>
        <w:jc w:val="left"/>
        <w:rPr>
          <w:color w:val="auto"/>
          <w:highlight w:val="none"/>
        </w:rPr>
      </w:pPr>
      <w:r>
        <w:rPr>
          <w:color w:val="auto"/>
          <w:highlight w:val="none"/>
        </w:rPr>
        <w:t>政府采购政策支持</w:t>
      </w:r>
    </w:p>
    <w:p w14:paraId="5DDED946">
      <w:pPr>
        <w:pStyle w:val="50"/>
        <w:numPr>
          <w:ilvl w:val="1"/>
          <w:numId w:val="16"/>
        </w:numPr>
        <w:tabs>
          <w:tab w:val="left" w:pos="1016"/>
        </w:tabs>
        <w:spacing w:before="159" w:after="0" w:line="364" w:lineRule="auto"/>
        <w:ind w:left="112" w:right="530" w:firstLine="480"/>
        <w:jc w:val="both"/>
        <w:rPr>
          <w:b/>
          <w:color w:val="auto"/>
          <w:sz w:val="24"/>
          <w:highlight w:val="none"/>
        </w:rPr>
      </w:pPr>
      <w:r>
        <w:rPr>
          <w:color w:val="auto"/>
          <w:sz w:val="24"/>
          <w:highlight w:val="none"/>
        </w:rPr>
        <w:t>对列入财政部、国家发展改革委发布的《节能产品政府采购</w:t>
      </w:r>
      <w:r>
        <w:rPr>
          <w:rFonts w:hint="eastAsia"/>
          <w:color w:val="auto"/>
          <w:sz w:val="24"/>
          <w:highlight w:val="none"/>
          <w:lang w:val="en-US" w:eastAsia="zh-CN"/>
        </w:rPr>
        <w:t>品目</w:t>
      </w:r>
      <w:r>
        <w:rPr>
          <w:color w:val="auto"/>
          <w:sz w:val="24"/>
          <w:highlight w:val="none"/>
        </w:rPr>
        <w:t>清单》且属于应当“强制采购的节能产品”，按照规定实行强制采购。实行政府采购强制采购的节能产品见</w:t>
      </w:r>
      <w:r>
        <w:rPr>
          <w:b/>
          <w:color w:val="auto"/>
          <w:spacing w:val="-4"/>
          <w:sz w:val="24"/>
          <w:highlight w:val="none"/>
        </w:rPr>
        <w:t>磋商文</w:t>
      </w:r>
      <w:r>
        <w:rPr>
          <w:b/>
          <w:color w:val="auto"/>
          <w:sz w:val="24"/>
          <w:highlight w:val="none"/>
        </w:rPr>
        <w:t>件前附表。</w:t>
      </w:r>
    </w:p>
    <w:p w14:paraId="50F4ABE2">
      <w:pPr>
        <w:pStyle w:val="50"/>
        <w:numPr>
          <w:ilvl w:val="1"/>
          <w:numId w:val="16"/>
        </w:numPr>
        <w:tabs>
          <w:tab w:val="left" w:pos="1016"/>
        </w:tabs>
        <w:spacing w:before="0" w:after="0" w:line="364" w:lineRule="auto"/>
        <w:ind w:left="112" w:right="410" w:firstLine="480"/>
        <w:jc w:val="left"/>
        <w:rPr>
          <w:b/>
          <w:color w:val="auto"/>
          <w:sz w:val="24"/>
          <w:highlight w:val="none"/>
        </w:rPr>
      </w:pPr>
      <w:r>
        <w:rPr>
          <w:color w:val="auto"/>
          <w:sz w:val="24"/>
          <w:highlight w:val="none"/>
        </w:rPr>
        <w:t>对列入财政部、国家发展改革委发布的《节能产品政府采购清单》的“非强制采购</w:t>
      </w:r>
      <w:r>
        <w:rPr>
          <w:color w:val="auto"/>
          <w:spacing w:val="-18"/>
          <w:sz w:val="24"/>
          <w:highlight w:val="none"/>
        </w:rPr>
        <w:t>节能产品”，财政部、环境保护部发布的《环境标志产品政府采购清单》的“环境标志产品”，</w:t>
      </w:r>
      <w:r>
        <w:rPr>
          <w:color w:val="auto"/>
          <w:sz w:val="24"/>
          <w:highlight w:val="none"/>
        </w:rPr>
        <w:t>省财政厅、省科学技术厅发布的《两型产品政府采购目录》的“两型产品”以及中小企业，实行优先采购，按照省级以上财政部门有关政策规定，评审时进行价格扣除或加分。实行政府采购优先采购的优惠率见</w:t>
      </w:r>
      <w:r>
        <w:rPr>
          <w:b/>
          <w:color w:val="auto"/>
          <w:sz w:val="24"/>
          <w:highlight w:val="none"/>
        </w:rPr>
        <w:t>磋商文件前附表。</w:t>
      </w:r>
    </w:p>
    <w:p w14:paraId="4DC350DF">
      <w:pPr>
        <w:pStyle w:val="50"/>
        <w:numPr>
          <w:ilvl w:val="1"/>
          <w:numId w:val="16"/>
        </w:numPr>
        <w:tabs>
          <w:tab w:val="left" w:pos="1016"/>
        </w:tabs>
        <w:spacing w:before="0" w:after="0" w:line="364" w:lineRule="auto"/>
        <w:ind w:left="112" w:right="451" w:firstLine="480"/>
        <w:jc w:val="left"/>
        <w:rPr>
          <w:color w:val="auto"/>
          <w:sz w:val="24"/>
          <w:highlight w:val="none"/>
        </w:rPr>
      </w:pPr>
      <w:r>
        <w:rPr>
          <w:color w:val="auto"/>
          <w:sz w:val="24"/>
          <w:highlight w:val="none"/>
        </w:rPr>
        <w:t>产品同时属于“非强制采购节能产品”、“环境标志产品”及“两型产品”的，评审时只有其中一项能享受优先待遇(供应商自行选择，并在报价文件中并填报相关信息及数</w:t>
      </w:r>
      <w:r>
        <w:rPr>
          <w:color w:val="auto"/>
          <w:spacing w:val="-1"/>
          <w:sz w:val="24"/>
          <w:highlight w:val="none"/>
        </w:rPr>
        <w:t xml:space="preserve">据)；中小企业可以与同时属于“非强制采购节能产品”、“环境标志产品”及“两型产品” </w:t>
      </w:r>
      <w:r>
        <w:rPr>
          <w:color w:val="auto"/>
          <w:sz w:val="24"/>
          <w:highlight w:val="none"/>
        </w:rPr>
        <w:t>中的一项重复计算。</w:t>
      </w:r>
    </w:p>
    <w:p w14:paraId="5A217CB5">
      <w:pPr>
        <w:pStyle w:val="50"/>
        <w:numPr>
          <w:ilvl w:val="1"/>
          <w:numId w:val="16"/>
        </w:numPr>
        <w:tabs>
          <w:tab w:val="left" w:pos="1013"/>
        </w:tabs>
        <w:spacing w:before="0" w:after="0" w:line="364" w:lineRule="auto"/>
        <w:ind w:left="112" w:right="631" w:firstLine="480"/>
        <w:jc w:val="left"/>
        <w:rPr>
          <w:color w:val="auto"/>
          <w:sz w:val="24"/>
          <w:highlight w:val="none"/>
        </w:rPr>
      </w:pPr>
      <w:r>
        <w:rPr>
          <w:color w:val="auto"/>
          <w:spacing w:val="-1"/>
          <w:sz w:val="24"/>
          <w:highlight w:val="none"/>
        </w:rPr>
        <w:t>同一项目中部分产品属于优先采购政策的，评审时只对该部分产品的报价实行价格</w:t>
      </w:r>
      <w:r>
        <w:rPr>
          <w:color w:val="auto"/>
          <w:sz w:val="24"/>
          <w:highlight w:val="none"/>
        </w:rPr>
        <w:t>扣除及加分。</w:t>
      </w:r>
    </w:p>
    <w:p w14:paraId="6CA3E604">
      <w:pPr>
        <w:pStyle w:val="50"/>
        <w:numPr>
          <w:ilvl w:val="1"/>
          <w:numId w:val="16"/>
        </w:numPr>
        <w:tabs>
          <w:tab w:val="left" w:pos="1013"/>
        </w:tabs>
        <w:spacing w:before="0" w:after="0" w:line="306" w:lineRule="exact"/>
        <w:ind w:left="1012" w:right="0" w:hanging="421"/>
        <w:jc w:val="left"/>
        <w:rPr>
          <w:color w:val="auto"/>
          <w:sz w:val="24"/>
          <w:highlight w:val="none"/>
        </w:rPr>
      </w:pPr>
      <w:r>
        <w:rPr>
          <w:color w:val="auto"/>
          <w:spacing w:val="-10"/>
          <w:sz w:val="24"/>
          <w:highlight w:val="none"/>
        </w:rPr>
        <w:t xml:space="preserve">符合本章第 </w:t>
      </w:r>
      <w:r>
        <w:rPr>
          <w:color w:val="auto"/>
          <w:sz w:val="24"/>
          <w:highlight w:val="none"/>
        </w:rPr>
        <w:t>9.1</w:t>
      </w:r>
      <w:r>
        <w:rPr>
          <w:color w:val="auto"/>
          <w:spacing w:val="-24"/>
          <w:sz w:val="24"/>
          <w:highlight w:val="none"/>
        </w:rPr>
        <w:t xml:space="preserve"> 款、第 </w:t>
      </w:r>
      <w:r>
        <w:rPr>
          <w:color w:val="auto"/>
          <w:sz w:val="24"/>
          <w:highlight w:val="none"/>
        </w:rPr>
        <w:t>9.2</w:t>
      </w:r>
      <w:r>
        <w:rPr>
          <w:color w:val="auto"/>
          <w:spacing w:val="-8"/>
          <w:sz w:val="24"/>
          <w:highlight w:val="none"/>
        </w:rPr>
        <w:t xml:space="preserve"> 款规定的，应提供相关证明资料。</w:t>
      </w:r>
    </w:p>
    <w:p w14:paraId="10271DA7">
      <w:pPr>
        <w:pStyle w:val="50"/>
        <w:numPr>
          <w:ilvl w:val="1"/>
          <w:numId w:val="16"/>
        </w:numPr>
        <w:tabs>
          <w:tab w:val="left" w:pos="1013"/>
        </w:tabs>
        <w:spacing w:before="153" w:after="0" w:line="362" w:lineRule="auto"/>
        <w:ind w:left="112" w:right="625" w:firstLine="480"/>
        <w:jc w:val="left"/>
        <w:rPr>
          <w:color w:val="auto"/>
          <w:sz w:val="24"/>
          <w:highlight w:val="none"/>
        </w:rPr>
      </w:pPr>
      <w:r>
        <w:rPr>
          <w:color w:val="auto"/>
          <w:sz w:val="24"/>
          <w:highlight w:val="none"/>
        </w:rPr>
        <w:t>供应商有融资、担保需求的，具体办理流程可向</w:t>
      </w:r>
      <w:r>
        <w:rPr>
          <w:b/>
          <w:color w:val="auto"/>
          <w:sz w:val="24"/>
          <w:highlight w:val="none"/>
        </w:rPr>
        <w:t>磋商须知前附表</w:t>
      </w:r>
      <w:r>
        <w:rPr>
          <w:color w:val="auto"/>
          <w:spacing w:val="-3"/>
          <w:sz w:val="24"/>
          <w:highlight w:val="none"/>
        </w:rPr>
        <w:t>所列金融机构和担</w:t>
      </w:r>
      <w:r>
        <w:rPr>
          <w:color w:val="auto"/>
          <w:sz w:val="24"/>
          <w:highlight w:val="none"/>
        </w:rPr>
        <w:t>保机构询问。</w:t>
      </w:r>
    </w:p>
    <w:p w14:paraId="51E333EB">
      <w:pPr>
        <w:pStyle w:val="11"/>
        <w:spacing w:before="1"/>
        <w:rPr>
          <w:color w:val="auto"/>
          <w:sz w:val="18"/>
          <w:highlight w:val="none"/>
        </w:rPr>
      </w:pPr>
    </w:p>
    <w:p w14:paraId="0602EC59">
      <w:pPr>
        <w:pStyle w:val="5"/>
        <w:ind w:left="112"/>
        <w:jc w:val="left"/>
        <w:outlineLvl w:val="1"/>
        <w:rPr>
          <w:color w:val="auto"/>
          <w:highlight w:val="none"/>
        </w:rPr>
      </w:pPr>
      <w:bookmarkStart w:id="41" w:name="_Toc12348"/>
      <w:bookmarkStart w:id="42" w:name="_Toc2011"/>
      <w:bookmarkStart w:id="43" w:name="_Toc6566"/>
      <w:bookmarkStart w:id="44" w:name="_Toc7632"/>
      <w:r>
        <w:rPr>
          <w:color w:val="auto"/>
          <w:highlight w:val="none"/>
        </w:rPr>
        <w:t>二、磋商文件</w:t>
      </w:r>
      <w:bookmarkEnd w:id="41"/>
      <w:bookmarkEnd w:id="42"/>
      <w:bookmarkEnd w:id="43"/>
      <w:bookmarkEnd w:id="44"/>
    </w:p>
    <w:p w14:paraId="6C17F446">
      <w:pPr>
        <w:spacing w:after="0"/>
        <w:jc w:val="left"/>
        <w:rPr>
          <w:color w:val="auto"/>
          <w:highlight w:val="none"/>
        </w:rPr>
        <w:sectPr>
          <w:pgSz w:w="11910" w:h="16840"/>
          <w:pgMar w:top="1360" w:right="600" w:bottom="1440" w:left="1020" w:header="0" w:footer="1234" w:gutter="0"/>
          <w:pgBorders>
            <w:top w:val="none" w:sz="0" w:space="0"/>
            <w:left w:val="none" w:sz="0" w:space="0"/>
            <w:bottom w:val="none" w:sz="0" w:space="0"/>
            <w:right w:val="none" w:sz="0" w:space="0"/>
          </w:pgBorders>
          <w:pgNumType w:fmt="decimal"/>
          <w:cols w:space="720" w:num="1"/>
        </w:sectPr>
      </w:pPr>
    </w:p>
    <w:p w14:paraId="20735962">
      <w:pPr>
        <w:pStyle w:val="7"/>
        <w:numPr>
          <w:ilvl w:val="0"/>
          <w:numId w:val="16"/>
        </w:numPr>
        <w:tabs>
          <w:tab w:val="left" w:pos="597"/>
        </w:tabs>
        <w:spacing w:before="41" w:after="0" w:line="240" w:lineRule="auto"/>
        <w:ind w:left="596" w:right="0" w:hanging="485"/>
        <w:jc w:val="left"/>
        <w:rPr>
          <w:color w:val="auto"/>
          <w:highlight w:val="none"/>
        </w:rPr>
      </w:pPr>
      <w:r>
        <w:rPr>
          <w:color w:val="auto"/>
          <w:highlight w:val="none"/>
        </w:rPr>
        <w:t>磋商文件的组成</w:t>
      </w:r>
    </w:p>
    <w:p w14:paraId="7F4B0A89">
      <w:pPr>
        <w:pStyle w:val="50"/>
        <w:numPr>
          <w:ilvl w:val="1"/>
          <w:numId w:val="16"/>
        </w:numPr>
        <w:tabs>
          <w:tab w:val="left" w:pos="1193"/>
        </w:tabs>
        <w:spacing w:before="158" w:after="0" w:line="240" w:lineRule="auto"/>
        <w:ind w:left="592" w:right="6211" w:firstLine="0"/>
        <w:jc w:val="left"/>
        <w:rPr>
          <w:color w:val="auto"/>
          <w:highlight w:val="none"/>
        </w:rPr>
      </w:pPr>
      <w:r>
        <w:rPr>
          <w:color w:val="auto"/>
          <w:spacing w:val="-2"/>
          <w:sz w:val="24"/>
          <w:highlight w:val="none"/>
        </w:rPr>
        <w:t xml:space="preserve">磋商文件由下列文件组成： </w:t>
      </w:r>
      <w:r>
        <w:rPr>
          <w:color w:val="auto"/>
          <w:sz w:val="24"/>
          <w:highlight w:val="none"/>
        </w:rPr>
        <w:t>第一章 磋商邀请</w:t>
      </w:r>
    </w:p>
    <w:p w14:paraId="248826BA">
      <w:pPr>
        <w:pStyle w:val="11"/>
        <w:spacing w:before="158" w:line="240" w:lineRule="auto"/>
        <w:ind w:left="592" w:right="6451"/>
        <w:rPr>
          <w:rFonts w:hint="eastAsia"/>
          <w:color w:val="auto"/>
          <w:spacing w:val="-2"/>
          <w:highlight w:val="none"/>
          <w:lang w:val="en-US" w:eastAsia="zh-CN"/>
        </w:rPr>
      </w:pPr>
      <w:r>
        <w:rPr>
          <w:rFonts w:hint="eastAsia"/>
          <w:color w:val="auto"/>
          <w:spacing w:val="-2"/>
          <w:highlight w:val="none"/>
          <w:lang w:val="en-US" w:eastAsia="zh-CN"/>
        </w:rPr>
        <w:t>第二章 磋商须知</w:t>
      </w:r>
    </w:p>
    <w:p w14:paraId="026C7EB0">
      <w:pPr>
        <w:pStyle w:val="11"/>
        <w:spacing w:before="158" w:line="240" w:lineRule="auto"/>
        <w:ind w:left="592" w:right="6451"/>
        <w:rPr>
          <w:rFonts w:hint="default" w:eastAsia="宋体"/>
          <w:color w:val="auto"/>
          <w:spacing w:val="-2"/>
          <w:highlight w:val="none"/>
          <w:lang w:val="en-US" w:eastAsia="zh-CN"/>
        </w:rPr>
      </w:pPr>
      <w:r>
        <w:rPr>
          <w:color w:val="auto"/>
          <w:spacing w:val="-2"/>
          <w:highlight w:val="none"/>
        </w:rPr>
        <w:t>第三章</w:t>
      </w:r>
      <w:r>
        <w:rPr>
          <w:rFonts w:hint="eastAsia"/>
          <w:color w:val="auto"/>
          <w:spacing w:val="-2"/>
          <w:highlight w:val="none"/>
          <w:lang w:val="en-US" w:eastAsia="zh-CN"/>
        </w:rPr>
        <w:t xml:space="preserve"> 评审办法</w:t>
      </w:r>
    </w:p>
    <w:p w14:paraId="167F7FE5">
      <w:pPr>
        <w:pStyle w:val="50"/>
        <w:numPr>
          <w:ilvl w:val="0"/>
          <w:numId w:val="0"/>
        </w:numPr>
        <w:tabs>
          <w:tab w:val="left" w:pos="1193"/>
        </w:tabs>
        <w:spacing w:before="158" w:after="0" w:line="240" w:lineRule="auto"/>
        <w:ind w:left="592" w:leftChars="0" w:right="6211" w:rightChars="0"/>
        <w:jc w:val="left"/>
        <w:rPr>
          <w:rFonts w:ascii="宋体" w:hAnsi="宋体" w:eastAsia="宋体" w:cs="宋体"/>
          <w:color w:val="auto"/>
          <w:sz w:val="24"/>
          <w:highlight w:val="none"/>
        </w:rPr>
      </w:pPr>
      <w:r>
        <w:rPr>
          <w:rFonts w:ascii="宋体" w:hAnsi="宋体" w:eastAsia="宋体" w:cs="宋体"/>
          <w:color w:val="auto"/>
          <w:sz w:val="24"/>
          <w:highlight w:val="none"/>
        </w:rPr>
        <w:t>第四章 政府采购合同格式条款</w:t>
      </w:r>
    </w:p>
    <w:p w14:paraId="3AA73665">
      <w:pPr>
        <w:pStyle w:val="50"/>
        <w:numPr>
          <w:ilvl w:val="0"/>
          <w:numId w:val="0"/>
        </w:numPr>
        <w:tabs>
          <w:tab w:val="left" w:pos="1193"/>
        </w:tabs>
        <w:spacing w:before="158" w:after="0" w:line="240" w:lineRule="auto"/>
        <w:ind w:left="592" w:leftChars="0" w:right="6211" w:rightChars="0"/>
        <w:jc w:val="left"/>
        <w:rPr>
          <w:rFonts w:ascii="宋体" w:hAnsi="宋体" w:eastAsia="宋体" w:cs="宋体"/>
          <w:color w:val="auto"/>
          <w:sz w:val="24"/>
          <w:highlight w:val="none"/>
        </w:rPr>
      </w:pPr>
      <w:r>
        <w:rPr>
          <w:rFonts w:hint="eastAsia" w:ascii="宋体" w:hAnsi="宋体" w:eastAsia="宋体" w:cs="宋体"/>
          <w:color w:val="auto"/>
          <w:sz w:val="24"/>
          <w:highlight w:val="none"/>
          <w:lang w:eastAsia="zh-CN"/>
        </w:rPr>
        <w:t>第五章</w:t>
      </w:r>
      <w:r>
        <w:rPr>
          <w:rFonts w:hint="eastAsia" w:ascii="宋体" w:hAnsi="宋体" w:eastAsia="宋体" w:cs="宋体"/>
          <w:color w:val="auto"/>
          <w:sz w:val="24"/>
          <w:highlight w:val="none"/>
          <w:lang w:val="en-US" w:eastAsia="zh-CN"/>
        </w:rPr>
        <w:t xml:space="preserve"> </w:t>
      </w:r>
      <w:r>
        <w:rPr>
          <w:rFonts w:ascii="宋体" w:hAnsi="宋体" w:eastAsia="宋体" w:cs="宋体"/>
          <w:color w:val="auto"/>
          <w:sz w:val="24"/>
          <w:highlight w:val="none"/>
        </w:rPr>
        <w:t>采购需求</w:t>
      </w:r>
    </w:p>
    <w:p w14:paraId="5C3B1C95">
      <w:pPr>
        <w:pStyle w:val="50"/>
        <w:numPr>
          <w:ilvl w:val="0"/>
          <w:numId w:val="0"/>
        </w:numPr>
        <w:tabs>
          <w:tab w:val="left" w:pos="1193"/>
        </w:tabs>
        <w:spacing w:before="158" w:after="0" w:line="240" w:lineRule="auto"/>
        <w:ind w:left="592" w:leftChars="0" w:right="6211" w:rightChars="0"/>
        <w:jc w:val="left"/>
        <w:rPr>
          <w:color w:val="auto"/>
          <w:highlight w:val="none"/>
        </w:rPr>
      </w:pPr>
      <w:r>
        <w:rPr>
          <w:rFonts w:ascii="宋体" w:hAnsi="宋体" w:eastAsia="宋体" w:cs="宋体"/>
          <w:color w:val="auto"/>
          <w:sz w:val="24"/>
          <w:highlight w:val="none"/>
        </w:rPr>
        <w:t>第</w:t>
      </w:r>
      <w:r>
        <w:rPr>
          <w:rFonts w:hint="eastAsia" w:ascii="宋体" w:hAnsi="宋体" w:eastAsia="宋体" w:cs="宋体"/>
          <w:color w:val="auto"/>
          <w:sz w:val="24"/>
          <w:highlight w:val="none"/>
          <w:lang w:eastAsia="zh-CN"/>
        </w:rPr>
        <w:t>六</w:t>
      </w:r>
      <w:r>
        <w:rPr>
          <w:rFonts w:ascii="宋体" w:hAnsi="宋体" w:eastAsia="宋体" w:cs="宋体"/>
          <w:color w:val="auto"/>
          <w:sz w:val="24"/>
          <w:highlight w:val="none"/>
        </w:rPr>
        <w:t>章 响应文件组成</w:t>
      </w:r>
    </w:p>
    <w:p w14:paraId="10938E79">
      <w:pPr>
        <w:pStyle w:val="50"/>
        <w:numPr>
          <w:ilvl w:val="1"/>
          <w:numId w:val="16"/>
        </w:numPr>
        <w:tabs>
          <w:tab w:val="left" w:pos="1133"/>
        </w:tabs>
        <w:spacing w:before="161" w:after="0" w:line="362" w:lineRule="auto"/>
        <w:ind w:left="112" w:right="511" w:firstLine="480"/>
        <w:jc w:val="left"/>
        <w:rPr>
          <w:color w:val="auto"/>
          <w:sz w:val="24"/>
          <w:highlight w:val="none"/>
        </w:rPr>
      </w:pPr>
      <w:r>
        <w:rPr>
          <w:color w:val="auto"/>
          <w:spacing w:val="-1"/>
          <w:sz w:val="24"/>
          <w:highlight w:val="none"/>
        </w:rPr>
        <w:t>磋商小组根据与供应商磋商情况可能实质性变动的内容，包括采购需求中的技术、</w:t>
      </w:r>
      <w:r>
        <w:rPr>
          <w:color w:val="auto"/>
          <w:sz w:val="24"/>
          <w:highlight w:val="none"/>
        </w:rPr>
        <w:t>服务要求以及合同条款，在</w:t>
      </w:r>
      <w:r>
        <w:rPr>
          <w:b/>
          <w:color w:val="auto"/>
          <w:sz w:val="24"/>
          <w:highlight w:val="none"/>
        </w:rPr>
        <w:t>磋商须知前附表</w:t>
      </w:r>
      <w:r>
        <w:rPr>
          <w:color w:val="auto"/>
          <w:sz w:val="24"/>
          <w:highlight w:val="none"/>
        </w:rPr>
        <w:t>中明确。</w:t>
      </w:r>
    </w:p>
    <w:p w14:paraId="15E822ED">
      <w:pPr>
        <w:pStyle w:val="50"/>
        <w:numPr>
          <w:ilvl w:val="1"/>
          <w:numId w:val="16"/>
        </w:numPr>
        <w:tabs>
          <w:tab w:val="left" w:pos="1133"/>
        </w:tabs>
        <w:spacing w:before="5" w:after="0" w:line="362" w:lineRule="auto"/>
        <w:ind w:left="112" w:right="532" w:firstLine="480"/>
        <w:jc w:val="left"/>
        <w:rPr>
          <w:color w:val="auto"/>
          <w:sz w:val="24"/>
          <w:highlight w:val="none"/>
        </w:rPr>
      </w:pPr>
      <w:r>
        <w:rPr>
          <w:color w:val="auto"/>
          <w:spacing w:val="-3"/>
          <w:sz w:val="24"/>
          <w:highlight w:val="none"/>
        </w:rPr>
        <w:t>供应商应仔细阅读磋商文件的全部内容，按照磋商文件要求编制响应文件。任何对</w:t>
      </w:r>
      <w:r>
        <w:rPr>
          <w:color w:val="auto"/>
          <w:sz w:val="24"/>
          <w:highlight w:val="none"/>
        </w:rPr>
        <w:t>磋商文件的忽略或误解不能作为响应文件存在缺陷或瑕疵的理由，其风险由供应商承担。</w:t>
      </w:r>
    </w:p>
    <w:p w14:paraId="37ADEDA4">
      <w:pPr>
        <w:pStyle w:val="7"/>
        <w:numPr>
          <w:ilvl w:val="0"/>
          <w:numId w:val="16"/>
        </w:numPr>
        <w:tabs>
          <w:tab w:val="left" w:pos="598"/>
        </w:tabs>
        <w:spacing w:before="5" w:after="0" w:line="240" w:lineRule="auto"/>
        <w:ind w:left="597" w:right="0" w:hanging="486"/>
        <w:jc w:val="left"/>
        <w:rPr>
          <w:color w:val="auto"/>
          <w:highlight w:val="none"/>
        </w:rPr>
      </w:pPr>
      <w:r>
        <w:rPr>
          <w:color w:val="auto"/>
          <w:highlight w:val="none"/>
        </w:rPr>
        <w:t>磋商文件的提供期限</w:t>
      </w:r>
    </w:p>
    <w:p w14:paraId="7FCE8CDF">
      <w:pPr>
        <w:pStyle w:val="50"/>
        <w:numPr>
          <w:ilvl w:val="1"/>
          <w:numId w:val="16"/>
        </w:numPr>
        <w:tabs>
          <w:tab w:val="left" w:pos="1133"/>
        </w:tabs>
        <w:spacing w:before="158" w:after="0" w:line="364" w:lineRule="auto"/>
        <w:ind w:left="112" w:right="532" w:firstLine="480"/>
        <w:jc w:val="left"/>
        <w:rPr>
          <w:color w:val="auto"/>
          <w:sz w:val="24"/>
          <w:highlight w:val="none"/>
        </w:rPr>
      </w:pPr>
      <w:r>
        <w:rPr>
          <w:color w:val="auto"/>
          <w:spacing w:val="-1"/>
          <w:sz w:val="24"/>
          <w:highlight w:val="none"/>
        </w:rPr>
        <w:t>磋商文件的提供期限自开始发出之日起不得少于五个工作日。具体提供期限见</w:t>
      </w:r>
      <w:r>
        <w:rPr>
          <w:b/>
          <w:color w:val="auto"/>
          <w:spacing w:val="-8"/>
          <w:sz w:val="24"/>
          <w:highlight w:val="none"/>
        </w:rPr>
        <w:t>磋商</w:t>
      </w:r>
      <w:r>
        <w:rPr>
          <w:b/>
          <w:color w:val="auto"/>
          <w:sz w:val="24"/>
          <w:highlight w:val="none"/>
        </w:rPr>
        <w:t>文件前附表</w:t>
      </w:r>
      <w:r>
        <w:rPr>
          <w:color w:val="auto"/>
          <w:sz w:val="24"/>
          <w:highlight w:val="none"/>
        </w:rPr>
        <w:t>。</w:t>
      </w:r>
    </w:p>
    <w:p w14:paraId="5442CBFC">
      <w:pPr>
        <w:pStyle w:val="50"/>
        <w:numPr>
          <w:ilvl w:val="0"/>
          <w:numId w:val="0"/>
        </w:numPr>
        <w:tabs>
          <w:tab w:val="left" w:pos="1133"/>
        </w:tabs>
        <w:spacing w:before="1" w:after="0" w:line="362" w:lineRule="auto"/>
        <w:ind w:left="592" w:leftChars="0" w:right="2665" w:rightChars="0"/>
        <w:jc w:val="left"/>
        <w:rPr>
          <w:color w:val="auto"/>
          <w:spacing w:val="-2"/>
          <w:sz w:val="24"/>
          <w:highlight w:val="none"/>
        </w:rPr>
      </w:pPr>
      <w:r>
        <w:rPr>
          <w:rFonts w:hint="eastAsia"/>
          <w:color w:val="auto"/>
          <w:sz w:val="24"/>
          <w:highlight w:val="none"/>
          <w:lang w:val="en-US" w:eastAsia="zh-CN"/>
        </w:rPr>
        <w:t>11.2</w:t>
      </w:r>
      <w:r>
        <w:rPr>
          <w:color w:val="auto"/>
          <w:sz w:val="24"/>
          <w:highlight w:val="none"/>
        </w:rPr>
        <w:t>供应商应持</w:t>
      </w:r>
      <w:r>
        <w:rPr>
          <w:b/>
          <w:color w:val="auto"/>
          <w:sz w:val="24"/>
          <w:highlight w:val="none"/>
        </w:rPr>
        <w:t>磋商文件前附表</w:t>
      </w:r>
      <w:r>
        <w:rPr>
          <w:color w:val="auto"/>
          <w:spacing w:val="-2"/>
          <w:sz w:val="24"/>
          <w:highlight w:val="none"/>
        </w:rPr>
        <w:t>规定的资料领取或购买磋商文件。</w:t>
      </w:r>
    </w:p>
    <w:p w14:paraId="387526C5">
      <w:pPr>
        <w:pStyle w:val="50"/>
        <w:numPr>
          <w:ilvl w:val="0"/>
          <w:numId w:val="0"/>
        </w:numPr>
        <w:tabs>
          <w:tab w:val="left" w:pos="1133"/>
        </w:tabs>
        <w:spacing w:before="1" w:after="0" w:line="362" w:lineRule="auto"/>
        <w:ind w:right="2665" w:rightChars="0"/>
        <w:jc w:val="left"/>
        <w:rPr>
          <w:b/>
          <w:color w:val="auto"/>
          <w:sz w:val="24"/>
          <w:highlight w:val="none"/>
        </w:rPr>
      </w:pPr>
      <w:r>
        <w:rPr>
          <w:b/>
          <w:color w:val="auto"/>
          <w:sz w:val="24"/>
          <w:highlight w:val="none"/>
        </w:rPr>
        <w:t>12.提交首次响应文件的截止时间</w:t>
      </w:r>
    </w:p>
    <w:p w14:paraId="0D616C5F">
      <w:pPr>
        <w:spacing w:before="5" w:line="362" w:lineRule="auto"/>
        <w:ind w:left="112" w:right="3318" w:firstLine="480"/>
        <w:jc w:val="left"/>
        <w:rPr>
          <w:b/>
          <w:color w:val="auto"/>
          <w:sz w:val="24"/>
          <w:highlight w:val="none"/>
        </w:rPr>
      </w:pPr>
      <w:r>
        <w:rPr>
          <w:color w:val="auto"/>
          <w:sz w:val="24"/>
          <w:highlight w:val="none"/>
        </w:rPr>
        <w:t>12.1 供应商提交首次响应文件截止时间见</w:t>
      </w:r>
      <w:r>
        <w:rPr>
          <w:b/>
          <w:color w:val="auto"/>
          <w:sz w:val="24"/>
          <w:highlight w:val="none"/>
        </w:rPr>
        <w:t>磋商须知前附表</w:t>
      </w:r>
      <w:r>
        <w:rPr>
          <w:color w:val="auto"/>
          <w:sz w:val="24"/>
          <w:highlight w:val="none"/>
        </w:rPr>
        <w:t>。</w:t>
      </w:r>
      <w:r>
        <w:rPr>
          <w:b/>
          <w:color w:val="auto"/>
          <w:sz w:val="24"/>
          <w:highlight w:val="none"/>
        </w:rPr>
        <w:t>13.磋商文件的澄清或者修改</w:t>
      </w:r>
    </w:p>
    <w:p w14:paraId="59F086EC">
      <w:pPr>
        <w:pStyle w:val="50"/>
        <w:numPr>
          <w:ilvl w:val="1"/>
          <w:numId w:val="17"/>
        </w:numPr>
        <w:tabs>
          <w:tab w:val="left" w:pos="1136"/>
        </w:tabs>
        <w:spacing w:before="3" w:after="0" w:line="364" w:lineRule="auto"/>
        <w:ind w:left="112" w:right="427" w:firstLine="480"/>
        <w:jc w:val="left"/>
        <w:rPr>
          <w:color w:val="auto"/>
          <w:sz w:val="24"/>
          <w:highlight w:val="none"/>
        </w:rPr>
      </w:pPr>
      <w:r>
        <w:rPr>
          <w:color w:val="auto"/>
          <w:sz w:val="24"/>
          <w:highlight w:val="none"/>
        </w:rPr>
        <w:t>在提交首次响应文件截止之日前，采购人、采购代理机构可以对已发出的磋商文件进行必要的澄清或者修改。</w:t>
      </w:r>
    </w:p>
    <w:p w14:paraId="299B2454">
      <w:pPr>
        <w:pStyle w:val="50"/>
        <w:numPr>
          <w:ilvl w:val="1"/>
          <w:numId w:val="17"/>
        </w:numPr>
        <w:tabs>
          <w:tab w:val="left" w:pos="1136"/>
        </w:tabs>
        <w:spacing w:before="1" w:after="0" w:line="364" w:lineRule="auto"/>
        <w:ind w:left="112" w:right="427" w:firstLine="480"/>
        <w:jc w:val="both"/>
        <w:rPr>
          <w:color w:val="auto"/>
          <w:sz w:val="24"/>
          <w:highlight w:val="none"/>
        </w:rPr>
      </w:pPr>
      <w:r>
        <w:rPr>
          <w:color w:val="auto"/>
          <w:sz w:val="24"/>
          <w:highlight w:val="none"/>
        </w:rPr>
        <w:t>澄清或者修改的内容可能影响响应文件编制的，采购人、采购代理机构应当在提交</w:t>
      </w:r>
      <w:r>
        <w:rPr>
          <w:color w:val="auto"/>
          <w:spacing w:val="-3"/>
          <w:sz w:val="24"/>
          <w:highlight w:val="none"/>
        </w:rPr>
        <w:t xml:space="preserve">首次响应文件截止之日 </w:t>
      </w:r>
      <w:r>
        <w:rPr>
          <w:color w:val="auto"/>
          <w:sz w:val="24"/>
          <w:highlight w:val="none"/>
        </w:rPr>
        <w:t>3</w:t>
      </w:r>
      <w:r>
        <w:rPr>
          <w:color w:val="auto"/>
          <w:spacing w:val="-5"/>
          <w:sz w:val="24"/>
          <w:highlight w:val="none"/>
        </w:rPr>
        <w:t xml:space="preserve"> 个工作日前，以书面形式通知所有接收磋商文件的供应商，不足 </w:t>
      </w:r>
      <w:r>
        <w:rPr>
          <w:color w:val="auto"/>
          <w:sz w:val="24"/>
          <w:highlight w:val="none"/>
        </w:rPr>
        <w:t>3 个工作日的，顺延供应商提交首次响应文件截止时间。</w:t>
      </w:r>
    </w:p>
    <w:p w14:paraId="0981F3FF">
      <w:pPr>
        <w:pStyle w:val="11"/>
        <w:spacing w:line="364" w:lineRule="auto"/>
        <w:ind w:left="112" w:right="532" w:firstLine="480"/>
        <w:jc w:val="both"/>
        <w:rPr>
          <w:color w:val="auto"/>
          <w:highlight w:val="none"/>
        </w:rPr>
      </w:pPr>
      <w:r>
        <w:rPr>
          <w:color w:val="auto"/>
          <w:highlight w:val="none"/>
        </w:rPr>
        <w:t>13.2</w:t>
      </w:r>
      <w:r>
        <w:rPr>
          <w:color w:val="auto"/>
          <w:spacing w:val="-10"/>
          <w:highlight w:val="none"/>
        </w:rPr>
        <w:t xml:space="preserve"> 提交首次响应文件截止时间前对磋商文件澄清或者修改内容，为磋商文件的组成部</w:t>
      </w:r>
      <w:r>
        <w:rPr>
          <w:color w:val="auto"/>
          <w:highlight w:val="none"/>
        </w:rPr>
        <w:t>分。</w:t>
      </w:r>
    </w:p>
    <w:p w14:paraId="48F30B9D">
      <w:pPr>
        <w:pStyle w:val="11"/>
        <w:spacing w:before="4"/>
        <w:rPr>
          <w:color w:val="auto"/>
          <w:sz w:val="17"/>
          <w:highlight w:val="none"/>
        </w:rPr>
      </w:pPr>
    </w:p>
    <w:p w14:paraId="6889D999">
      <w:pPr>
        <w:pStyle w:val="5"/>
        <w:ind w:left="112"/>
        <w:jc w:val="left"/>
        <w:outlineLvl w:val="1"/>
        <w:rPr>
          <w:color w:val="auto"/>
          <w:highlight w:val="none"/>
        </w:rPr>
      </w:pPr>
      <w:bookmarkStart w:id="45" w:name="_Toc21648"/>
      <w:bookmarkStart w:id="46" w:name="_Toc26726"/>
      <w:bookmarkStart w:id="47" w:name="_Toc15432"/>
      <w:bookmarkStart w:id="48" w:name="_Toc9064"/>
      <w:r>
        <w:rPr>
          <w:color w:val="auto"/>
          <w:highlight w:val="none"/>
        </w:rPr>
        <w:t>三、响应文件</w:t>
      </w:r>
      <w:bookmarkEnd w:id="45"/>
      <w:bookmarkEnd w:id="46"/>
      <w:bookmarkEnd w:id="47"/>
      <w:bookmarkEnd w:id="48"/>
    </w:p>
    <w:p w14:paraId="1F178EDB">
      <w:pPr>
        <w:pStyle w:val="7"/>
        <w:numPr>
          <w:ilvl w:val="0"/>
          <w:numId w:val="18"/>
        </w:numPr>
        <w:tabs>
          <w:tab w:val="left" w:pos="477"/>
        </w:tabs>
        <w:spacing w:before="166" w:after="0" w:line="240" w:lineRule="auto"/>
        <w:ind w:left="476" w:right="0" w:hanging="365"/>
        <w:jc w:val="left"/>
        <w:rPr>
          <w:color w:val="auto"/>
          <w:highlight w:val="none"/>
        </w:rPr>
      </w:pPr>
      <w:r>
        <w:rPr>
          <w:color w:val="auto"/>
          <w:highlight w:val="none"/>
        </w:rPr>
        <w:t>一般要求</w:t>
      </w:r>
    </w:p>
    <w:p w14:paraId="3891240F">
      <w:pPr>
        <w:pStyle w:val="50"/>
        <w:numPr>
          <w:ilvl w:val="0"/>
          <w:numId w:val="0"/>
        </w:numPr>
        <w:tabs>
          <w:tab w:val="left" w:pos="1193"/>
        </w:tabs>
        <w:spacing w:before="161" w:after="0" w:line="364" w:lineRule="auto"/>
        <w:ind w:left="592" w:leftChars="0" w:right="532" w:rightChars="0"/>
        <w:jc w:val="left"/>
        <w:rPr>
          <w:color w:val="auto"/>
          <w:sz w:val="24"/>
          <w:highlight w:val="none"/>
        </w:rPr>
      </w:pPr>
      <w:r>
        <w:rPr>
          <w:rFonts w:hint="eastAsia"/>
          <w:color w:val="auto"/>
          <w:spacing w:val="-6"/>
          <w:sz w:val="24"/>
          <w:highlight w:val="none"/>
          <w:lang w:val="en-US" w:eastAsia="zh-CN"/>
        </w:rPr>
        <w:t>14.1</w:t>
      </w:r>
      <w:r>
        <w:rPr>
          <w:color w:val="auto"/>
          <w:spacing w:val="-6"/>
          <w:sz w:val="24"/>
          <w:highlight w:val="none"/>
        </w:rPr>
        <w:t>供应商应仔细阅读磋商文件的所有内容，按磋商文件的要求编制响应文件，并保证</w:t>
      </w:r>
      <w:r>
        <w:rPr>
          <w:color w:val="auto"/>
          <w:sz w:val="24"/>
          <w:highlight w:val="none"/>
        </w:rPr>
        <w:t>所提供的全部资料的真实性，以使其响应文件对磋商文件做出实质性的响应。</w:t>
      </w:r>
    </w:p>
    <w:p w14:paraId="08BD9474">
      <w:pPr>
        <w:spacing w:after="0" w:line="364" w:lineRule="auto"/>
        <w:jc w:val="left"/>
        <w:rPr>
          <w:color w:val="auto"/>
          <w:sz w:val="24"/>
          <w:highlight w:val="none"/>
        </w:rPr>
        <w:sectPr>
          <w:pgSz w:w="11910" w:h="16840"/>
          <w:pgMar w:top="1360" w:right="600" w:bottom="1440" w:left="1020" w:header="0" w:footer="1234" w:gutter="0"/>
          <w:pgBorders>
            <w:top w:val="none" w:sz="0" w:space="0"/>
            <w:left w:val="none" w:sz="0" w:space="0"/>
            <w:bottom w:val="none" w:sz="0" w:space="0"/>
            <w:right w:val="none" w:sz="0" w:space="0"/>
          </w:pgBorders>
          <w:pgNumType w:fmt="decimal"/>
          <w:cols w:space="720" w:num="1"/>
        </w:sectPr>
      </w:pPr>
    </w:p>
    <w:p w14:paraId="6CAB320A">
      <w:pPr>
        <w:pStyle w:val="50"/>
        <w:numPr>
          <w:ilvl w:val="0"/>
          <w:numId w:val="0"/>
        </w:numPr>
        <w:tabs>
          <w:tab w:val="left" w:pos="1193"/>
        </w:tabs>
        <w:spacing w:before="41" w:after="0" w:line="364" w:lineRule="auto"/>
        <w:ind w:left="592" w:leftChars="0" w:right="532" w:rightChars="0"/>
        <w:jc w:val="both"/>
        <w:rPr>
          <w:color w:val="auto"/>
          <w:sz w:val="24"/>
          <w:highlight w:val="none"/>
        </w:rPr>
      </w:pPr>
      <w:r>
        <w:rPr>
          <w:rFonts w:hint="eastAsia"/>
          <w:color w:val="auto"/>
          <w:spacing w:val="-5"/>
          <w:sz w:val="24"/>
          <w:highlight w:val="none"/>
          <w:lang w:val="en-US" w:eastAsia="zh-CN"/>
        </w:rPr>
        <w:t>14.2</w:t>
      </w:r>
      <w:r>
        <w:rPr>
          <w:color w:val="auto"/>
          <w:spacing w:val="-5"/>
          <w:sz w:val="24"/>
          <w:highlight w:val="none"/>
        </w:rPr>
        <w:t>供应商提交的响应文件及供应商与采购人或采购代理机构、磋商小组就有关磋商的</w:t>
      </w:r>
      <w:r>
        <w:rPr>
          <w:color w:val="auto"/>
          <w:spacing w:val="-1"/>
          <w:sz w:val="24"/>
          <w:highlight w:val="none"/>
        </w:rPr>
        <w:t>所有来往函电均使用中文。供应商可以提交其它语言的资料，但应附中文注释，在有差异时</w:t>
      </w:r>
      <w:r>
        <w:rPr>
          <w:color w:val="auto"/>
          <w:sz w:val="24"/>
          <w:highlight w:val="none"/>
        </w:rPr>
        <w:t>以中文为准。</w:t>
      </w:r>
    </w:p>
    <w:p w14:paraId="21D28EA8">
      <w:pPr>
        <w:pStyle w:val="50"/>
        <w:numPr>
          <w:ilvl w:val="0"/>
          <w:numId w:val="0"/>
        </w:numPr>
        <w:tabs>
          <w:tab w:val="left" w:pos="1193"/>
        </w:tabs>
        <w:spacing w:before="41" w:after="0" w:line="364" w:lineRule="auto"/>
        <w:ind w:left="592" w:leftChars="0" w:right="532" w:rightChars="0"/>
        <w:jc w:val="both"/>
        <w:rPr>
          <w:color w:val="auto"/>
          <w:sz w:val="24"/>
          <w:highlight w:val="none"/>
        </w:rPr>
      </w:pPr>
      <w:r>
        <w:rPr>
          <w:rFonts w:hint="eastAsia"/>
          <w:color w:val="auto"/>
          <w:sz w:val="24"/>
          <w:highlight w:val="none"/>
          <w:lang w:val="en-US" w:eastAsia="zh-CN"/>
        </w:rPr>
        <w:t>14.3</w:t>
      </w:r>
      <w:r>
        <w:rPr>
          <w:color w:val="auto"/>
          <w:sz w:val="24"/>
          <w:highlight w:val="none"/>
        </w:rPr>
        <w:t>计量单位应使用我国法定计量单位，未列明时应默认为我国法定计量单位。</w:t>
      </w:r>
    </w:p>
    <w:p w14:paraId="4C556B71">
      <w:pPr>
        <w:pStyle w:val="50"/>
        <w:numPr>
          <w:ilvl w:val="0"/>
          <w:numId w:val="0"/>
        </w:numPr>
        <w:tabs>
          <w:tab w:val="left" w:pos="1193"/>
        </w:tabs>
        <w:spacing w:before="158" w:after="0" w:line="240" w:lineRule="auto"/>
        <w:ind w:left="591" w:leftChars="0" w:right="0" w:rightChars="0"/>
        <w:jc w:val="left"/>
        <w:rPr>
          <w:color w:val="auto"/>
          <w:sz w:val="24"/>
          <w:highlight w:val="none"/>
        </w:rPr>
      </w:pPr>
      <w:r>
        <w:rPr>
          <w:rFonts w:hint="eastAsia"/>
          <w:color w:val="auto"/>
          <w:sz w:val="24"/>
          <w:highlight w:val="none"/>
          <w:lang w:val="en-US" w:eastAsia="zh-CN"/>
        </w:rPr>
        <w:t>14.4</w:t>
      </w:r>
      <w:r>
        <w:rPr>
          <w:color w:val="auto"/>
          <w:sz w:val="24"/>
          <w:highlight w:val="none"/>
        </w:rPr>
        <w:t>响应文件应采用书面形式，电报、传真、电子邮件形式的响应文件概不接受。</w:t>
      </w:r>
    </w:p>
    <w:p w14:paraId="21D84143">
      <w:pPr>
        <w:pStyle w:val="50"/>
        <w:numPr>
          <w:ilvl w:val="0"/>
          <w:numId w:val="0"/>
        </w:numPr>
        <w:tabs>
          <w:tab w:val="left" w:pos="1193"/>
        </w:tabs>
        <w:spacing w:before="158" w:after="0" w:line="240" w:lineRule="auto"/>
        <w:ind w:left="591" w:leftChars="0" w:right="0" w:rightChars="0"/>
        <w:jc w:val="left"/>
        <w:rPr>
          <w:color w:val="auto"/>
          <w:spacing w:val="-1"/>
          <w:sz w:val="24"/>
          <w:highlight w:val="none"/>
        </w:rPr>
      </w:pPr>
      <w:r>
        <w:rPr>
          <w:rFonts w:hint="eastAsia"/>
          <w:color w:val="auto"/>
          <w:spacing w:val="-1"/>
          <w:sz w:val="24"/>
          <w:highlight w:val="none"/>
          <w:lang w:val="en-US" w:eastAsia="zh-CN"/>
        </w:rPr>
        <w:t>14.5</w:t>
      </w:r>
      <w:r>
        <w:rPr>
          <w:color w:val="auto"/>
          <w:spacing w:val="-1"/>
          <w:sz w:val="24"/>
          <w:highlight w:val="none"/>
        </w:rPr>
        <w:t>供应商应按磋商文件中提供的响应文件格式填写。</w:t>
      </w:r>
    </w:p>
    <w:p w14:paraId="1DAAE4F6">
      <w:pPr>
        <w:pStyle w:val="50"/>
        <w:numPr>
          <w:ilvl w:val="0"/>
          <w:numId w:val="0"/>
        </w:numPr>
        <w:tabs>
          <w:tab w:val="left" w:pos="1193"/>
        </w:tabs>
        <w:spacing w:before="158" w:after="0" w:line="240" w:lineRule="auto"/>
        <w:ind w:left="591" w:leftChars="0" w:right="0" w:rightChars="0"/>
        <w:jc w:val="left"/>
        <w:rPr>
          <w:b/>
          <w:color w:val="auto"/>
          <w:sz w:val="24"/>
          <w:highlight w:val="none"/>
        </w:rPr>
      </w:pPr>
      <w:r>
        <w:rPr>
          <w:b/>
          <w:color w:val="auto"/>
          <w:sz w:val="24"/>
          <w:highlight w:val="none"/>
        </w:rPr>
        <w:t>15.响应文件的组成</w:t>
      </w:r>
    </w:p>
    <w:p w14:paraId="0C552D3B">
      <w:pPr>
        <w:pStyle w:val="50"/>
        <w:numPr>
          <w:ilvl w:val="1"/>
          <w:numId w:val="19"/>
        </w:numPr>
        <w:tabs>
          <w:tab w:val="left" w:pos="1136"/>
        </w:tabs>
        <w:spacing w:before="1" w:after="0" w:line="362" w:lineRule="auto"/>
        <w:ind w:left="112" w:right="532" w:firstLine="480"/>
        <w:jc w:val="left"/>
        <w:rPr>
          <w:rFonts w:hint="eastAsia" w:ascii="宋体" w:hAnsi="宋体" w:eastAsia="宋体" w:cs="宋体"/>
          <w:color w:val="auto"/>
          <w:sz w:val="24"/>
          <w:highlight w:val="none"/>
        </w:rPr>
      </w:pPr>
      <w:r>
        <w:rPr>
          <w:rFonts w:ascii="宋体" w:hAnsi="宋体" w:eastAsia="宋体" w:cs="宋体"/>
          <w:color w:val="auto"/>
          <w:sz w:val="24"/>
          <w:highlight w:val="none"/>
        </w:rPr>
        <w:t>响应文件包括下列内容：</w:t>
      </w:r>
    </w:p>
    <w:p w14:paraId="261658C6">
      <w:pPr>
        <w:pStyle w:val="50"/>
        <w:numPr>
          <w:ilvl w:val="0"/>
          <w:numId w:val="0"/>
        </w:numPr>
        <w:tabs>
          <w:tab w:val="left" w:pos="1136"/>
        </w:tabs>
        <w:spacing w:before="1" w:after="0" w:line="362" w:lineRule="auto"/>
        <w:ind w:left="592" w:leftChars="0" w:right="532" w:rightChars="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一、磋商响应声明</w:t>
      </w:r>
    </w:p>
    <w:p w14:paraId="751F50D0">
      <w:pPr>
        <w:pStyle w:val="50"/>
        <w:numPr>
          <w:ilvl w:val="0"/>
          <w:numId w:val="0"/>
        </w:numPr>
        <w:tabs>
          <w:tab w:val="left" w:pos="1136"/>
        </w:tabs>
        <w:spacing w:before="1" w:after="0" w:line="362" w:lineRule="auto"/>
        <w:ind w:left="592" w:leftChars="0" w:right="532" w:rightChars="0"/>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二、</w:t>
      </w:r>
      <w:r>
        <w:rPr>
          <w:rFonts w:hint="eastAsia" w:ascii="宋体" w:hAnsi="宋体" w:eastAsia="宋体" w:cs="宋体"/>
          <w:color w:val="auto"/>
          <w:sz w:val="24"/>
          <w:highlight w:val="none"/>
        </w:rPr>
        <w:t>磋商保证金缴纳证明材料</w:t>
      </w:r>
    </w:p>
    <w:p w14:paraId="1CEE667D">
      <w:pPr>
        <w:pStyle w:val="50"/>
        <w:numPr>
          <w:ilvl w:val="0"/>
          <w:numId w:val="0"/>
        </w:numPr>
        <w:tabs>
          <w:tab w:val="left" w:pos="1136"/>
        </w:tabs>
        <w:spacing w:before="1" w:after="0" w:line="362" w:lineRule="auto"/>
        <w:ind w:left="592" w:leftChars="0" w:right="532" w:rightChars="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三、供应商的资格证明资料</w:t>
      </w:r>
    </w:p>
    <w:p w14:paraId="1622A338">
      <w:pPr>
        <w:pStyle w:val="50"/>
        <w:numPr>
          <w:ilvl w:val="0"/>
          <w:numId w:val="0"/>
        </w:numPr>
        <w:tabs>
          <w:tab w:val="left" w:pos="1136"/>
        </w:tabs>
        <w:spacing w:before="1" w:after="0" w:line="362" w:lineRule="auto"/>
        <w:ind w:left="592" w:leftChars="0" w:right="532" w:rightChars="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四、货物说明或者施工组织设计或者服务方案</w:t>
      </w:r>
    </w:p>
    <w:p w14:paraId="58A4ACA9">
      <w:pPr>
        <w:pStyle w:val="50"/>
        <w:numPr>
          <w:ilvl w:val="0"/>
          <w:numId w:val="0"/>
        </w:numPr>
        <w:tabs>
          <w:tab w:val="left" w:pos="1136"/>
        </w:tabs>
        <w:spacing w:before="1" w:after="0" w:line="362" w:lineRule="auto"/>
        <w:ind w:left="592" w:leftChars="0" w:right="532" w:rightChars="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五、报价表及报价文件(格式)</w:t>
      </w:r>
    </w:p>
    <w:p w14:paraId="1E0258A9">
      <w:pPr>
        <w:pStyle w:val="50"/>
        <w:numPr>
          <w:ilvl w:val="0"/>
          <w:numId w:val="0"/>
        </w:numPr>
        <w:tabs>
          <w:tab w:val="left" w:pos="1136"/>
        </w:tabs>
        <w:spacing w:before="1" w:after="0" w:line="362" w:lineRule="auto"/>
        <w:ind w:left="592" w:leftChars="0" w:right="532" w:rightChars="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六、技术/商务响应与偏离表</w:t>
      </w:r>
    </w:p>
    <w:p w14:paraId="26F9E628">
      <w:pPr>
        <w:pStyle w:val="50"/>
        <w:numPr>
          <w:ilvl w:val="0"/>
          <w:numId w:val="0"/>
        </w:numPr>
        <w:tabs>
          <w:tab w:val="left" w:pos="1136"/>
        </w:tabs>
        <w:spacing w:before="1" w:after="0" w:line="362" w:lineRule="auto"/>
        <w:ind w:left="592" w:leftChars="0" w:right="532" w:rightChars="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七、提供享受政府采购政策的证明资料</w:t>
      </w:r>
    </w:p>
    <w:p w14:paraId="2CDFDD29">
      <w:pPr>
        <w:pStyle w:val="50"/>
        <w:numPr>
          <w:ilvl w:val="0"/>
          <w:numId w:val="0"/>
        </w:numPr>
        <w:tabs>
          <w:tab w:val="left" w:pos="1136"/>
        </w:tabs>
        <w:spacing w:before="1" w:after="0" w:line="362" w:lineRule="auto"/>
        <w:ind w:left="592" w:leftChars="0" w:right="532" w:rightChars="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八、供应商认为需提供的其它资料</w:t>
      </w:r>
    </w:p>
    <w:p w14:paraId="700B4807">
      <w:pPr>
        <w:pStyle w:val="50"/>
        <w:numPr>
          <w:ilvl w:val="0"/>
          <w:numId w:val="0"/>
        </w:numPr>
        <w:tabs>
          <w:tab w:val="left" w:pos="1136"/>
        </w:tabs>
        <w:spacing w:before="1" w:after="0" w:line="362" w:lineRule="auto"/>
        <w:ind w:left="592" w:leftChars="0" w:right="532" w:rightChars="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九、最后报价</w:t>
      </w:r>
    </w:p>
    <w:p w14:paraId="3DE62C36">
      <w:pPr>
        <w:pStyle w:val="50"/>
        <w:numPr>
          <w:ilvl w:val="1"/>
          <w:numId w:val="19"/>
        </w:numPr>
        <w:tabs>
          <w:tab w:val="left" w:pos="1136"/>
        </w:tabs>
        <w:spacing w:before="1" w:after="0" w:line="362" w:lineRule="auto"/>
        <w:ind w:left="112" w:right="532" w:firstLine="480"/>
        <w:jc w:val="left"/>
        <w:rPr>
          <w:color w:val="auto"/>
          <w:sz w:val="24"/>
          <w:highlight w:val="none"/>
        </w:rPr>
      </w:pPr>
      <w:r>
        <w:rPr>
          <w:color w:val="auto"/>
          <w:sz w:val="24"/>
          <w:highlight w:val="none"/>
        </w:rPr>
        <w:t>在磋商过程中，供应商根据磋商小组书面形式要求提交的最后报价(或者重新提交的响应文件和最后报价)是响应文件的有效组成部分。</w:t>
      </w:r>
    </w:p>
    <w:p w14:paraId="51F0E7A6">
      <w:pPr>
        <w:pStyle w:val="50"/>
        <w:numPr>
          <w:ilvl w:val="1"/>
          <w:numId w:val="19"/>
        </w:numPr>
        <w:tabs>
          <w:tab w:val="left" w:pos="1136"/>
        </w:tabs>
        <w:spacing w:before="5" w:after="0" w:line="362" w:lineRule="auto"/>
        <w:ind w:left="112" w:right="532" w:firstLine="480"/>
        <w:jc w:val="left"/>
        <w:rPr>
          <w:color w:val="auto"/>
          <w:sz w:val="24"/>
          <w:highlight w:val="none"/>
        </w:rPr>
      </w:pPr>
      <w:r>
        <w:rPr>
          <w:color w:val="auto"/>
          <w:sz w:val="24"/>
          <w:highlight w:val="none"/>
        </w:rPr>
        <w:t>磋商文件规定可能发生实质性变动的，供应商应当在《技术/商务响应与偏离表》中对应内容注明。</w:t>
      </w:r>
    </w:p>
    <w:p w14:paraId="0C96F60D">
      <w:pPr>
        <w:pStyle w:val="50"/>
        <w:numPr>
          <w:ilvl w:val="1"/>
          <w:numId w:val="19"/>
        </w:numPr>
        <w:tabs>
          <w:tab w:val="left" w:pos="1133"/>
        </w:tabs>
        <w:spacing w:before="2" w:after="0" w:line="364" w:lineRule="auto"/>
        <w:ind w:left="112" w:right="530" w:firstLine="480"/>
        <w:jc w:val="left"/>
        <w:rPr>
          <w:color w:val="auto"/>
          <w:sz w:val="24"/>
          <w:highlight w:val="none"/>
        </w:rPr>
      </w:pPr>
      <w:r>
        <w:rPr>
          <w:color w:val="auto"/>
          <w:spacing w:val="-6"/>
          <w:sz w:val="24"/>
          <w:highlight w:val="none"/>
        </w:rPr>
        <w:t>根据《政府采购法》第四十二条的规定，供应商无论成交与否，其响应文件不予退</w:t>
      </w:r>
      <w:r>
        <w:rPr>
          <w:color w:val="auto"/>
          <w:sz w:val="24"/>
          <w:highlight w:val="none"/>
        </w:rPr>
        <w:t>还。</w:t>
      </w:r>
    </w:p>
    <w:p w14:paraId="4164F04D">
      <w:pPr>
        <w:pStyle w:val="7"/>
        <w:numPr>
          <w:ilvl w:val="0"/>
          <w:numId w:val="20"/>
        </w:numPr>
        <w:tabs>
          <w:tab w:val="left" w:pos="477"/>
        </w:tabs>
        <w:spacing w:before="2" w:after="0" w:line="240" w:lineRule="auto"/>
        <w:ind w:left="476" w:right="0" w:hanging="365"/>
        <w:jc w:val="left"/>
        <w:rPr>
          <w:color w:val="auto"/>
          <w:highlight w:val="none"/>
        </w:rPr>
      </w:pPr>
      <w:r>
        <w:rPr>
          <w:color w:val="auto"/>
          <w:highlight w:val="none"/>
        </w:rPr>
        <w:t>报价</w:t>
      </w:r>
    </w:p>
    <w:p w14:paraId="0F4DDB8A">
      <w:pPr>
        <w:pStyle w:val="50"/>
        <w:numPr>
          <w:ilvl w:val="1"/>
          <w:numId w:val="20"/>
        </w:numPr>
        <w:tabs>
          <w:tab w:val="left" w:pos="1133"/>
        </w:tabs>
        <w:spacing w:before="158" w:after="0" w:line="364" w:lineRule="auto"/>
        <w:ind w:left="112" w:right="530" w:firstLine="480"/>
        <w:jc w:val="left"/>
        <w:rPr>
          <w:color w:val="auto"/>
          <w:sz w:val="24"/>
          <w:highlight w:val="none"/>
        </w:rPr>
      </w:pPr>
      <w:r>
        <w:rPr>
          <w:color w:val="auto"/>
          <w:spacing w:val="-4"/>
          <w:sz w:val="24"/>
          <w:highlight w:val="none"/>
        </w:rPr>
        <w:t>供应商应当根据磋商文件要求和范围，以人民币报价，以元为单位，保留小数点后</w:t>
      </w:r>
      <w:r>
        <w:rPr>
          <w:color w:val="auto"/>
          <w:sz w:val="24"/>
          <w:highlight w:val="none"/>
        </w:rPr>
        <w:t>两位。</w:t>
      </w:r>
    </w:p>
    <w:p w14:paraId="4E60111F">
      <w:pPr>
        <w:pStyle w:val="50"/>
        <w:numPr>
          <w:ilvl w:val="1"/>
          <w:numId w:val="20"/>
        </w:numPr>
        <w:tabs>
          <w:tab w:val="left" w:pos="1133"/>
        </w:tabs>
        <w:spacing w:before="0" w:after="0" w:line="306" w:lineRule="exact"/>
        <w:ind w:left="1132" w:right="0" w:hanging="541"/>
        <w:jc w:val="left"/>
        <w:rPr>
          <w:color w:val="auto"/>
          <w:sz w:val="24"/>
          <w:highlight w:val="none"/>
        </w:rPr>
      </w:pPr>
      <w:r>
        <w:rPr>
          <w:color w:val="auto"/>
          <w:sz w:val="24"/>
          <w:highlight w:val="none"/>
        </w:rPr>
        <w:t>供应商应按第五章 响应文件组成格式填写。</w:t>
      </w:r>
    </w:p>
    <w:p w14:paraId="63A85BBB">
      <w:pPr>
        <w:pStyle w:val="50"/>
        <w:numPr>
          <w:ilvl w:val="1"/>
          <w:numId w:val="20"/>
        </w:numPr>
        <w:tabs>
          <w:tab w:val="left" w:pos="1112"/>
        </w:tabs>
        <w:spacing w:before="160" w:after="0" w:line="362" w:lineRule="auto"/>
        <w:ind w:left="112" w:right="412" w:firstLine="480"/>
        <w:jc w:val="left"/>
        <w:rPr>
          <w:color w:val="auto"/>
          <w:sz w:val="24"/>
          <w:highlight w:val="none"/>
        </w:rPr>
      </w:pPr>
      <w:r>
        <w:rPr>
          <w:color w:val="auto"/>
          <w:spacing w:val="-6"/>
          <w:sz w:val="24"/>
          <w:highlight w:val="none"/>
        </w:rPr>
        <w:t>响应文件中标明的价格在合同执行过程中是固定不变的，不得以任何理由予以变更。</w:t>
      </w:r>
      <w:r>
        <w:rPr>
          <w:color w:val="auto"/>
          <w:sz w:val="24"/>
          <w:highlight w:val="none"/>
        </w:rPr>
        <w:t>以可变动价格提交的报价将被认为是非实质响应而被拒绝。</w:t>
      </w:r>
    </w:p>
    <w:p w14:paraId="4135C66F">
      <w:pPr>
        <w:pStyle w:val="50"/>
        <w:numPr>
          <w:ilvl w:val="1"/>
          <w:numId w:val="20"/>
        </w:numPr>
        <w:tabs>
          <w:tab w:val="left" w:pos="1133"/>
        </w:tabs>
        <w:spacing w:before="5" w:after="0" w:line="362" w:lineRule="auto"/>
        <w:ind w:left="112" w:right="528" w:firstLine="480"/>
        <w:jc w:val="left"/>
        <w:rPr>
          <w:color w:val="auto"/>
          <w:sz w:val="24"/>
          <w:highlight w:val="none"/>
        </w:rPr>
      </w:pPr>
      <w:r>
        <w:rPr>
          <w:color w:val="auto"/>
          <w:spacing w:val="-2"/>
          <w:sz w:val="24"/>
          <w:highlight w:val="none"/>
        </w:rPr>
        <w:t>供应商的报价不得超过采购项目预算，采购项目预算或其计算方法见</w:t>
      </w:r>
      <w:r>
        <w:rPr>
          <w:b/>
          <w:color w:val="auto"/>
          <w:spacing w:val="-3"/>
          <w:sz w:val="24"/>
          <w:highlight w:val="none"/>
        </w:rPr>
        <w:t>磋商须知前附</w:t>
      </w:r>
      <w:r>
        <w:rPr>
          <w:b/>
          <w:color w:val="auto"/>
          <w:sz w:val="24"/>
          <w:highlight w:val="none"/>
        </w:rPr>
        <w:t>表</w:t>
      </w:r>
      <w:r>
        <w:rPr>
          <w:color w:val="auto"/>
          <w:sz w:val="24"/>
          <w:highlight w:val="none"/>
        </w:rPr>
        <w:t>。</w:t>
      </w:r>
    </w:p>
    <w:p w14:paraId="0545F5F5">
      <w:pPr>
        <w:pStyle w:val="50"/>
        <w:numPr>
          <w:ilvl w:val="1"/>
          <w:numId w:val="20"/>
        </w:numPr>
        <w:tabs>
          <w:tab w:val="left" w:pos="1133"/>
        </w:tabs>
        <w:spacing w:before="5" w:after="0" w:line="362" w:lineRule="auto"/>
        <w:ind w:left="112" w:right="528" w:firstLine="480"/>
        <w:jc w:val="left"/>
        <w:rPr>
          <w:color w:val="auto"/>
          <w:sz w:val="24"/>
          <w:highlight w:val="none"/>
        </w:rPr>
      </w:pPr>
      <w:r>
        <w:rPr>
          <w:rFonts w:hint="eastAsia"/>
          <w:color w:val="auto"/>
          <w:sz w:val="24"/>
          <w:highlight w:val="none"/>
        </w:rPr>
        <w:t>报价的其他要求见【谈判须知前附表】</w:t>
      </w:r>
    </w:p>
    <w:p w14:paraId="498006FF">
      <w:pPr>
        <w:pStyle w:val="7"/>
        <w:numPr>
          <w:ilvl w:val="0"/>
          <w:numId w:val="20"/>
        </w:numPr>
        <w:tabs>
          <w:tab w:val="left" w:pos="477"/>
        </w:tabs>
        <w:spacing w:before="5" w:after="0" w:line="240" w:lineRule="auto"/>
        <w:ind w:left="476" w:right="0" w:hanging="365"/>
        <w:jc w:val="left"/>
        <w:rPr>
          <w:color w:val="auto"/>
          <w:highlight w:val="none"/>
        </w:rPr>
      </w:pPr>
      <w:r>
        <w:rPr>
          <w:color w:val="auto"/>
          <w:highlight w:val="none"/>
        </w:rPr>
        <w:t>供应商符合磋商文件规定的证明文件</w:t>
      </w:r>
    </w:p>
    <w:p w14:paraId="0C0EE897">
      <w:pPr>
        <w:pStyle w:val="50"/>
        <w:numPr>
          <w:ilvl w:val="1"/>
          <w:numId w:val="20"/>
        </w:numPr>
        <w:tabs>
          <w:tab w:val="left" w:pos="1133"/>
        </w:tabs>
        <w:spacing w:before="158" w:after="0" w:line="240" w:lineRule="auto"/>
        <w:ind w:left="1132" w:right="0" w:hanging="541"/>
        <w:jc w:val="left"/>
        <w:rPr>
          <w:color w:val="auto"/>
          <w:sz w:val="24"/>
          <w:highlight w:val="none"/>
        </w:rPr>
      </w:pPr>
      <w:r>
        <w:rPr>
          <w:color w:val="auto"/>
          <w:spacing w:val="-5"/>
          <w:sz w:val="24"/>
          <w:highlight w:val="none"/>
        </w:rPr>
        <w:t xml:space="preserve">供应商应提交满足本章第 </w:t>
      </w:r>
      <w:r>
        <w:rPr>
          <w:color w:val="auto"/>
          <w:sz w:val="24"/>
          <w:highlight w:val="none"/>
        </w:rPr>
        <w:t>3.1</w:t>
      </w:r>
      <w:r>
        <w:rPr>
          <w:color w:val="auto"/>
          <w:spacing w:val="-8"/>
          <w:sz w:val="24"/>
          <w:highlight w:val="none"/>
        </w:rPr>
        <w:t xml:space="preserve"> 款规定的资格条件要求的证明文件,该证明文件作为</w:t>
      </w:r>
    </w:p>
    <w:p w14:paraId="5CF0FCB3">
      <w:pPr>
        <w:pStyle w:val="11"/>
        <w:spacing w:before="41"/>
        <w:ind w:left="112"/>
        <w:rPr>
          <w:color w:val="auto"/>
          <w:highlight w:val="none"/>
        </w:rPr>
      </w:pPr>
      <w:r>
        <w:rPr>
          <w:color w:val="auto"/>
          <w:highlight w:val="none"/>
        </w:rPr>
        <w:t>响应文件的一部分。</w:t>
      </w:r>
    </w:p>
    <w:p w14:paraId="13978BA8">
      <w:pPr>
        <w:pStyle w:val="50"/>
        <w:numPr>
          <w:ilvl w:val="1"/>
          <w:numId w:val="20"/>
        </w:numPr>
        <w:tabs>
          <w:tab w:val="left" w:pos="1133"/>
        </w:tabs>
        <w:spacing w:before="158" w:after="0" w:line="364" w:lineRule="auto"/>
        <w:ind w:left="112" w:right="532" w:firstLine="480"/>
        <w:jc w:val="left"/>
        <w:rPr>
          <w:color w:val="auto"/>
          <w:sz w:val="24"/>
          <w:highlight w:val="none"/>
        </w:rPr>
      </w:pPr>
      <w:r>
        <w:rPr>
          <w:color w:val="auto"/>
          <w:spacing w:val="-5"/>
          <w:sz w:val="24"/>
          <w:highlight w:val="none"/>
        </w:rPr>
        <w:t>如果供应商为联合体，则应提交联合体各方资格证明文件、联合体协议。否则，在</w:t>
      </w:r>
      <w:r>
        <w:rPr>
          <w:color w:val="auto"/>
          <w:sz w:val="24"/>
          <w:highlight w:val="none"/>
        </w:rPr>
        <w:t>评审时将其视为无效响应。</w:t>
      </w:r>
    </w:p>
    <w:p w14:paraId="409F57BC">
      <w:pPr>
        <w:pStyle w:val="50"/>
        <w:numPr>
          <w:ilvl w:val="1"/>
          <w:numId w:val="20"/>
        </w:numPr>
        <w:tabs>
          <w:tab w:val="left" w:pos="1193"/>
        </w:tabs>
        <w:spacing w:before="157" w:after="0" w:line="362" w:lineRule="auto"/>
        <w:ind w:left="112" w:right="685" w:firstLine="480"/>
        <w:jc w:val="left"/>
        <w:rPr>
          <w:color w:val="auto"/>
          <w:sz w:val="24"/>
          <w:highlight w:val="none"/>
        </w:rPr>
      </w:pPr>
      <w:r>
        <w:rPr>
          <w:color w:val="auto"/>
          <w:sz w:val="24"/>
          <w:highlight w:val="none"/>
        </w:rPr>
        <w:t>除</w:t>
      </w:r>
      <w:r>
        <w:rPr>
          <w:b/>
          <w:color w:val="auto"/>
          <w:sz w:val="24"/>
          <w:highlight w:val="none"/>
        </w:rPr>
        <w:t>磋商须知前附表</w:t>
      </w:r>
      <w:r>
        <w:rPr>
          <w:color w:val="auto"/>
          <w:spacing w:val="-1"/>
          <w:sz w:val="24"/>
          <w:highlight w:val="none"/>
        </w:rPr>
        <w:t>另有规定外，供应商提供的货物及服务不是供应商制造或拥有</w:t>
      </w:r>
      <w:r>
        <w:rPr>
          <w:color w:val="auto"/>
          <w:sz w:val="24"/>
          <w:highlight w:val="none"/>
        </w:rPr>
        <w:t>的，则必须提供经销、或代理采购货物、或采购货物提供售后服务的证明文件。</w:t>
      </w:r>
    </w:p>
    <w:p w14:paraId="705B4E5B">
      <w:pPr>
        <w:pStyle w:val="7"/>
        <w:numPr>
          <w:ilvl w:val="0"/>
          <w:numId w:val="20"/>
        </w:numPr>
        <w:tabs>
          <w:tab w:val="left" w:pos="597"/>
        </w:tabs>
        <w:spacing w:before="161" w:after="0" w:line="240" w:lineRule="auto"/>
        <w:ind w:left="596" w:right="0" w:hanging="485"/>
        <w:jc w:val="left"/>
        <w:rPr>
          <w:color w:val="auto"/>
          <w:highlight w:val="none"/>
        </w:rPr>
      </w:pPr>
      <w:r>
        <w:rPr>
          <w:color w:val="auto"/>
          <w:highlight w:val="none"/>
        </w:rPr>
        <w:t>样品提供</w:t>
      </w:r>
    </w:p>
    <w:p w14:paraId="461D9EF5">
      <w:pPr>
        <w:pStyle w:val="11"/>
        <w:spacing w:before="7"/>
        <w:rPr>
          <w:b/>
          <w:color w:val="auto"/>
          <w:highlight w:val="none"/>
        </w:rPr>
      </w:pPr>
    </w:p>
    <w:p w14:paraId="2A17B923">
      <w:pPr>
        <w:pStyle w:val="50"/>
        <w:numPr>
          <w:ilvl w:val="1"/>
          <w:numId w:val="20"/>
        </w:numPr>
        <w:tabs>
          <w:tab w:val="left" w:pos="1193"/>
        </w:tabs>
        <w:spacing w:before="0" w:after="0" w:line="364" w:lineRule="auto"/>
        <w:ind w:left="112" w:right="532" w:firstLine="480"/>
        <w:jc w:val="left"/>
        <w:rPr>
          <w:color w:val="auto"/>
          <w:sz w:val="24"/>
          <w:highlight w:val="none"/>
        </w:rPr>
      </w:pPr>
      <w:r>
        <w:rPr>
          <w:b/>
          <w:color w:val="auto"/>
          <w:sz w:val="24"/>
          <w:highlight w:val="none"/>
        </w:rPr>
        <w:t>磋商须知前附表</w:t>
      </w:r>
      <w:r>
        <w:rPr>
          <w:color w:val="auto"/>
          <w:spacing w:val="-6"/>
          <w:sz w:val="24"/>
          <w:highlight w:val="none"/>
        </w:rPr>
        <w:t>规定供应商在磋商时提供样品的，供应商有以下情形之一的，在评</w:t>
      </w:r>
      <w:r>
        <w:rPr>
          <w:color w:val="auto"/>
          <w:sz w:val="24"/>
          <w:highlight w:val="none"/>
        </w:rPr>
        <w:t>审时将其视为无效响应。</w:t>
      </w:r>
    </w:p>
    <w:p w14:paraId="2A9CBEB3">
      <w:pPr>
        <w:pStyle w:val="50"/>
        <w:numPr>
          <w:ilvl w:val="0"/>
          <w:numId w:val="21"/>
        </w:numPr>
        <w:tabs>
          <w:tab w:val="left" w:pos="1194"/>
        </w:tabs>
        <w:spacing w:before="155" w:after="0" w:line="240" w:lineRule="auto"/>
        <w:ind w:left="1193" w:right="0" w:hanging="602"/>
        <w:jc w:val="left"/>
        <w:rPr>
          <w:color w:val="auto"/>
          <w:sz w:val="24"/>
          <w:highlight w:val="none"/>
        </w:rPr>
      </w:pPr>
      <w:r>
        <w:rPr>
          <w:color w:val="auto"/>
          <w:sz w:val="24"/>
          <w:highlight w:val="none"/>
        </w:rPr>
        <w:t>未在</w:t>
      </w:r>
      <w:r>
        <w:rPr>
          <w:b/>
          <w:color w:val="auto"/>
          <w:sz w:val="24"/>
          <w:highlight w:val="none"/>
        </w:rPr>
        <w:t>磋商须知前附表</w:t>
      </w:r>
      <w:r>
        <w:rPr>
          <w:color w:val="auto"/>
          <w:sz w:val="24"/>
          <w:highlight w:val="none"/>
        </w:rPr>
        <w:t>规定的提交时间、地点提交的；</w:t>
      </w:r>
    </w:p>
    <w:p w14:paraId="72ED4C79">
      <w:pPr>
        <w:pStyle w:val="11"/>
        <w:spacing w:before="9"/>
        <w:rPr>
          <w:color w:val="auto"/>
          <w:highlight w:val="none"/>
        </w:rPr>
      </w:pPr>
    </w:p>
    <w:p w14:paraId="6D6D0A01">
      <w:pPr>
        <w:pStyle w:val="50"/>
        <w:numPr>
          <w:ilvl w:val="0"/>
          <w:numId w:val="21"/>
        </w:numPr>
        <w:tabs>
          <w:tab w:val="left" w:pos="1194"/>
        </w:tabs>
        <w:spacing w:before="0" w:after="0" w:line="240" w:lineRule="auto"/>
        <w:ind w:left="1193" w:right="0" w:hanging="602"/>
        <w:jc w:val="left"/>
        <w:rPr>
          <w:color w:val="auto"/>
          <w:sz w:val="24"/>
          <w:highlight w:val="none"/>
        </w:rPr>
      </w:pPr>
      <w:r>
        <w:rPr>
          <w:color w:val="auto"/>
          <w:sz w:val="24"/>
          <w:highlight w:val="none"/>
        </w:rPr>
        <w:t>供应商提供的样品与磋商文件中要求提供样品的型号、规格不一致的。</w:t>
      </w:r>
    </w:p>
    <w:p w14:paraId="334EDEDB">
      <w:pPr>
        <w:pStyle w:val="7"/>
        <w:numPr>
          <w:ilvl w:val="0"/>
          <w:numId w:val="20"/>
        </w:numPr>
        <w:tabs>
          <w:tab w:val="left" w:pos="596"/>
        </w:tabs>
        <w:spacing w:before="158" w:after="0" w:line="240" w:lineRule="auto"/>
        <w:ind w:left="595" w:right="0" w:hanging="484"/>
        <w:jc w:val="both"/>
        <w:rPr>
          <w:color w:val="auto"/>
          <w:highlight w:val="none"/>
        </w:rPr>
      </w:pPr>
      <w:r>
        <w:rPr>
          <w:color w:val="auto"/>
          <w:highlight w:val="none"/>
        </w:rPr>
        <w:t>磋商保证金</w:t>
      </w:r>
    </w:p>
    <w:p w14:paraId="718F0B03">
      <w:pPr>
        <w:pStyle w:val="50"/>
        <w:numPr>
          <w:ilvl w:val="1"/>
          <w:numId w:val="20"/>
        </w:numPr>
        <w:tabs>
          <w:tab w:val="left" w:pos="1133"/>
        </w:tabs>
        <w:spacing w:before="160" w:after="0" w:line="364" w:lineRule="auto"/>
        <w:ind w:left="112" w:right="520" w:firstLine="480"/>
        <w:jc w:val="both"/>
        <w:rPr>
          <w:color w:val="auto"/>
          <w:sz w:val="24"/>
          <w:highlight w:val="none"/>
        </w:rPr>
      </w:pPr>
      <w:r>
        <w:rPr>
          <w:b/>
          <w:color w:val="auto"/>
          <w:sz w:val="24"/>
          <w:highlight w:val="none"/>
        </w:rPr>
        <w:t>磋商须知前附表</w:t>
      </w:r>
      <w:r>
        <w:rPr>
          <w:color w:val="auto"/>
          <w:spacing w:val="-4"/>
          <w:sz w:val="24"/>
          <w:highlight w:val="none"/>
        </w:rPr>
        <w:t>规定交纳磋商保证金的，应按</w:t>
      </w:r>
      <w:r>
        <w:rPr>
          <w:b/>
          <w:color w:val="auto"/>
          <w:sz w:val="24"/>
          <w:highlight w:val="none"/>
        </w:rPr>
        <w:t>磋商须知前附表</w:t>
      </w:r>
      <w:r>
        <w:rPr>
          <w:color w:val="auto"/>
          <w:spacing w:val="-2"/>
          <w:sz w:val="24"/>
          <w:highlight w:val="none"/>
        </w:rPr>
        <w:t>规定的磋商保证金形</w:t>
      </w:r>
      <w:r>
        <w:rPr>
          <w:color w:val="auto"/>
          <w:sz w:val="24"/>
          <w:highlight w:val="none"/>
        </w:rPr>
        <w:t>式交纳，不得以现金方式交纳，在提交首次响应文件截止时间前，向采购代理机构交纳不超</w:t>
      </w:r>
      <w:r>
        <w:rPr>
          <w:color w:val="auto"/>
          <w:spacing w:val="-2"/>
          <w:sz w:val="24"/>
          <w:highlight w:val="none"/>
        </w:rPr>
        <w:t xml:space="preserve">过采购项目预算 </w:t>
      </w:r>
      <w:r>
        <w:rPr>
          <w:color w:val="auto"/>
          <w:sz w:val="24"/>
          <w:highlight w:val="none"/>
        </w:rPr>
        <w:t>2﹪的磋商保证金(数额采用四舍五入，计算至元)。磋商保证金有效期应当</w:t>
      </w:r>
      <w:r>
        <w:rPr>
          <w:color w:val="auto"/>
          <w:spacing w:val="-12"/>
          <w:sz w:val="24"/>
          <w:highlight w:val="none"/>
        </w:rPr>
        <w:t xml:space="preserve">与本章第 </w:t>
      </w:r>
      <w:r>
        <w:rPr>
          <w:color w:val="auto"/>
          <w:sz w:val="24"/>
          <w:highlight w:val="none"/>
        </w:rPr>
        <w:t>20.1</w:t>
      </w:r>
      <w:r>
        <w:rPr>
          <w:color w:val="auto"/>
          <w:spacing w:val="-8"/>
          <w:sz w:val="24"/>
          <w:highlight w:val="none"/>
        </w:rPr>
        <w:t xml:space="preserve"> 款规定的响应文件有效期一致。</w:t>
      </w:r>
    </w:p>
    <w:p w14:paraId="34FBC4B5">
      <w:pPr>
        <w:pStyle w:val="50"/>
        <w:numPr>
          <w:ilvl w:val="1"/>
          <w:numId w:val="20"/>
        </w:numPr>
        <w:tabs>
          <w:tab w:val="left" w:pos="1133"/>
        </w:tabs>
        <w:spacing w:before="0" w:after="0" w:line="364" w:lineRule="auto"/>
        <w:ind w:left="112" w:right="532" w:firstLine="480"/>
        <w:jc w:val="both"/>
        <w:rPr>
          <w:color w:val="auto"/>
          <w:sz w:val="24"/>
          <w:highlight w:val="none"/>
        </w:rPr>
      </w:pPr>
      <w:r>
        <w:rPr>
          <w:color w:val="auto"/>
          <w:spacing w:val="-4"/>
          <w:sz w:val="24"/>
          <w:highlight w:val="none"/>
        </w:rPr>
        <w:t>供应商为联合体的，可以由联合体中的一方或者共同交纳磋商保证金，其交纳的磋</w:t>
      </w:r>
      <w:r>
        <w:rPr>
          <w:color w:val="auto"/>
          <w:sz w:val="24"/>
          <w:highlight w:val="none"/>
        </w:rPr>
        <w:t>商保证金，对联合体各方均具有约束力。</w:t>
      </w:r>
    </w:p>
    <w:p w14:paraId="241B7E40">
      <w:pPr>
        <w:pStyle w:val="50"/>
        <w:numPr>
          <w:ilvl w:val="1"/>
          <w:numId w:val="20"/>
        </w:numPr>
        <w:tabs>
          <w:tab w:val="left" w:pos="1133"/>
        </w:tabs>
        <w:spacing w:before="0" w:after="0" w:line="306" w:lineRule="exact"/>
        <w:ind w:left="1132" w:right="0" w:hanging="541"/>
        <w:jc w:val="both"/>
        <w:rPr>
          <w:color w:val="auto"/>
          <w:sz w:val="24"/>
          <w:highlight w:val="none"/>
        </w:rPr>
      </w:pPr>
      <w:r>
        <w:rPr>
          <w:color w:val="auto"/>
          <w:sz w:val="24"/>
          <w:highlight w:val="none"/>
        </w:rPr>
        <w:t>供应商未按照磋商文件要求提交磋商保证金的，响应无效。</w:t>
      </w:r>
    </w:p>
    <w:p w14:paraId="5E00F192">
      <w:pPr>
        <w:pStyle w:val="50"/>
        <w:numPr>
          <w:ilvl w:val="1"/>
          <w:numId w:val="20"/>
        </w:numPr>
        <w:tabs>
          <w:tab w:val="left" w:pos="1133"/>
        </w:tabs>
        <w:spacing w:before="156" w:after="0" w:line="364" w:lineRule="auto"/>
        <w:ind w:left="112" w:right="511" w:firstLine="480"/>
        <w:jc w:val="both"/>
        <w:rPr>
          <w:color w:val="auto"/>
          <w:sz w:val="24"/>
          <w:highlight w:val="none"/>
        </w:rPr>
      </w:pPr>
      <w:r>
        <w:rPr>
          <w:color w:val="auto"/>
          <w:spacing w:val="-4"/>
          <w:sz w:val="24"/>
          <w:highlight w:val="none"/>
        </w:rPr>
        <w:t xml:space="preserve">采购代理机构在成交通知书发出后 </w:t>
      </w:r>
      <w:r>
        <w:rPr>
          <w:color w:val="auto"/>
          <w:sz w:val="24"/>
          <w:highlight w:val="none"/>
        </w:rPr>
        <w:t>5</w:t>
      </w:r>
      <w:r>
        <w:rPr>
          <w:color w:val="auto"/>
          <w:spacing w:val="-9"/>
          <w:sz w:val="24"/>
          <w:highlight w:val="none"/>
        </w:rPr>
        <w:t xml:space="preserve"> 个工作日内退还未成交供应商的磋商保证金； </w:t>
      </w:r>
      <w:r>
        <w:rPr>
          <w:color w:val="auto"/>
          <w:spacing w:val="-6"/>
          <w:sz w:val="24"/>
          <w:highlight w:val="none"/>
        </w:rPr>
        <w:t xml:space="preserve">在采购合同签定后 </w:t>
      </w:r>
      <w:r>
        <w:rPr>
          <w:color w:val="auto"/>
          <w:sz w:val="24"/>
          <w:highlight w:val="none"/>
        </w:rPr>
        <w:t>5</w:t>
      </w:r>
      <w:r>
        <w:rPr>
          <w:color w:val="auto"/>
          <w:spacing w:val="-7"/>
          <w:sz w:val="24"/>
          <w:highlight w:val="none"/>
        </w:rPr>
        <w:t xml:space="preserve"> 个工作日内退还成交供应商的磋商保证金，但因供应商自身原因导致无法及时退还的除外。</w:t>
      </w:r>
    </w:p>
    <w:p w14:paraId="128CC784">
      <w:pPr>
        <w:pStyle w:val="50"/>
        <w:numPr>
          <w:ilvl w:val="1"/>
          <w:numId w:val="20"/>
        </w:numPr>
        <w:tabs>
          <w:tab w:val="left" w:pos="1193"/>
        </w:tabs>
        <w:spacing w:before="0" w:after="0" w:line="307" w:lineRule="exact"/>
        <w:ind w:left="1192" w:right="0" w:hanging="601"/>
        <w:jc w:val="both"/>
        <w:rPr>
          <w:color w:val="auto"/>
          <w:sz w:val="24"/>
          <w:highlight w:val="none"/>
        </w:rPr>
      </w:pPr>
      <w:r>
        <w:rPr>
          <w:color w:val="auto"/>
          <w:sz w:val="24"/>
          <w:highlight w:val="none"/>
        </w:rPr>
        <w:t>有下列情形之一的，磋商保证金不予退还，并上缴本级财政国库：</w:t>
      </w:r>
    </w:p>
    <w:p w14:paraId="5F29A5DF">
      <w:pPr>
        <w:pStyle w:val="50"/>
        <w:numPr>
          <w:ilvl w:val="0"/>
          <w:numId w:val="22"/>
        </w:numPr>
        <w:tabs>
          <w:tab w:val="left" w:pos="1194"/>
        </w:tabs>
        <w:spacing w:before="161" w:after="0" w:line="240" w:lineRule="auto"/>
        <w:ind w:left="1193" w:right="0" w:hanging="602"/>
        <w:jc w:val="left"/>
        <w:rPr>
          <w:color w:val="auto"/>
          <w:sz w:val="24"/>
          <w:highlight w:val="none"/>
        </w:rPr>
      </w:pPr>
      <w:r>
        <w:rPr>
          <w:color w:val="auto"/>
          <w:sz w:val="24"/>
          <w:highlight w:val="none"/>
        </w:rPr>
        <w:t>供应商在提交首次响应文件截止时间后撤回响应文件的；</w:t>
      </w:r>
    </w:p>
    <w:p w14:paraId="6251E640">
      <w:pPr>
        <w:pStyle w:val="50"/>
        <w:numPr>
          <w:ilvl w:val="0"/>
          <w:numId w:val="22"/>
        </w:numPr>
        <w:tabs>
          <w:tab w:val="left" w:pos="1194"/>
        </w:tabs>
        <w:spacing w:before="158" w:after="0" w:line="240" w:lineRule="auto"/>
        <w:ind w:left="1193" w:right="0" w:hanging="602"/>
        <w:jc w:val="left"/>
        <w:rPr>
          <w:color w:val="auto"/>
          <w:sz w:val="24"/>
          <w:highlight w:val="none"/>
        </w:rPr>
      </w:pPr>
      <w:r>
        <w:rPr>
          <w:color w:val="auto"/>
          <w:sz w:val="24"/>
          <w:highlight w:val="none"/>
        </w:rPr>
        <w:t>供应商在响应文件中提供虚假资料的；</w:t>
      </w:r>
    </w:p>
    <w:p w14:paraId="78067CB8">
      <w:pPr>
        <w:pStyle w:val="50"/>
        <w:numPr>
          <w:ilvl w:val="0"/>
          <w:numId w:val="22"/>
        </w:numPr>
        <w:tabs>
          <w:tab w:val="left" w:pos="1194"/>
        </w:tabs>
        <w:spacing w:before="160" w:after="0" w:line="240" w:lineRule="auto"/>
        <w:ind w:left="1193" w:right="0" w:hanging="602"/>
        <w:jc w:val="left"/>
        <w:rPr>
          <w:color w:val="auto"/>
          <w:sz w:val="24"/>
          <w:highlight w:val="none"/>
        </w:rPr>
      </w:pPr>
      <w:r>
        <w:rPr>
          <w:color w:val="auto"/>
          <w:sz w:val="24"/>
          <w:highlight w:val="none"/>
        </w:rPr>
        <w:t>确定成交结果后，无正当理由放弃成交资格的；</w:t>
      </w:r>
    </w:p>
    <w:p w14:paraId="75C08DA2">
      <w:pPr>
        <w:pStyle w:val="11"/>
        <w:spacing w:before="158"/>
        <w:ind w:left="712"/>
        <w:rPr>
          <w:color w:val="auto"/>
          <w:highlight w:val="none"/>
        </w:rPr>
      </w:pPr>
      <w:r>
        <w:rPr>
          <w:color w:val="auto"/>
          <w:highlight w:val="none"/>
        </w:rPr>
        <w:t>(4) 除因不可抗力或磋商文件认可的情形以外，成交供应商不与采购人签订合同的；</w:t>
      </w:r>
    </w:p>
    <w:p w14:paraId="39346E61">
      <w:pPr>
        <w:pStyle w:val="50"/>
        <w:numPr>
          <w:ilvl w:val="0"/>
          <w:numId w:val="23"/>
        </w:numPr>
        <w:tabs>
          <w:tab w:val="left" w:pos="1194"/>
        </w:tabs>
        <w:spacing w:before="161" w:after="0" w:line="240" w:lineRule="auto"/>
        <w:ind w:left="1193" w:right="0" w:hanging="602"/>
        <w:jc w:val="left"/>
        <w:rPr>
          <w:color w:val="auto"/>
          <w:sz w:val="24"/>
          <w:highlight w:val="none"/>
        </w:rPr>
      </w:pPr>
      <w:r>
        <w:rPr>
          <w:color w:val="auto"/>
          <w:sz w:val="24"/>
          <w:highlight w:val="none"/>
        </w:rPr>
        <w:t>供应商与采购人、其他供应商或者采购代理机构恶意串通的；</w:t>
      </w:r>
    </w:p>
    <w:p w14:paraId="52FE338C">
      <w:pPr>
        <w:pStyle w:val="50"/>
        <w:numPr>
          <w:ilvl w:val="0"/>
          <w:numId w:val="23"/>
        </w:numPr>
        <w:tabs>
          <w:tab w:val="left" w:pos="1194"/>
        </w:tabs>
        <w:spacing w:before="158" w:after="0" w:line="240" w:lineRule="auto"/>
        <w:ind w:left="1193" w:right="0" w:hanging="602"/>
        <w:jc w:val="left"/>
        <w:rPr>
          <w:color w:val="auto"/>
          <w:sz w:val="24"/>
          <w:highlight w:val="none"/>
        </w:rPr>
      </w:pPr>
      <w:r>
        <w:rPr>
          <w:color w:val="auto"/>
          <w:sz w:val="24"/>
          <w:highlight w:val="none"/>
        </w:rPr>
        <w:t>磋商文件规定的其他情形。</w:t>
      </w:r>
    </w:p>
    <w:p w14:paraId="14C42655">
      <w:pPr>
        <w:pStyle w:val="7"/>
        <w:numPr>
          <w:ilvl w:val="0"/>
          <w:numId w:val="20"/>
        </w:numPr>
        <w:tabs>
          <w:tab w:val="left" w:pos="596"/>
        </w:tabs>
        <w:spacing w:before="41" w:after="0" w:line="240" w:lineRule="auto"/>
        <w:ind w:left="595" w:right="0" w:hanging="484"/>
        <w:jc w:val="left"/>
        <w:rPr>
          <w:color w:val="auto"/>
          <w:highlight w:val="none"/>
        </w:rPr>
      </w:pPr>
      <w:r>
        <w:rPr>
          <w:color w:val="auto"/>
          <w:highlight w:val="none"/>
        </w:rPr>
        <w:t>响应文件有效期</w:t>
      </w:r>
    </w:p>
    <w:p w14:paraId="3CF2FCCF">
      <w:pPr>
        <w:pStyle w:val="50"/>
        <w:numPr>
          <w:ilvl w:val="1"/>
          <w:numId w:val="20"/>
        </w:numPr>
        <w:tabs>
          <w:tab w:val="left" w:pos="1133"/>
        </w:tabs>
        <w:spacing w:before="158" w:after="0" w:line="364" w:lineRule="auto"/>
        <w:ind w:left="112" w:right="505" w:firstLine="480"/>
        <w:jc w:val="left"/>
        <w:rPr>
          <w:color w:val="auto"/>
          <w:sz w:val="24"/>
          <w:highlight w:val="none"/>
        </w:rPr>
      </w:pPr>
      <w:r>
        <w:rPr>
          <w:color w:val="auto"/>
          <w:sz w:val="24"/>
          <w:highlight w:val="none"/>
        </w:rPr>
        <w:t>响应文件有效期见</w:t>
      </w:r>
      <w:r>
        <w:rPr>
          <w:b/>
          <w:color w:val="auto"/>
          <w:sz w:val="24"/>
          <w:highlight w:val="none"/>
        </w:rPr>
        <w:t>磋商须知前附表</w:t>
      </w:r>
      <w:r>
        <w:rPr>
          <w:color w:val="auto"/>
          <w:spacing w:val="-1"/>
          <w:sz w:val="24"/>
          <w:highlight w:val="none"/>
        </w:rPr>
        <w:t xml:space="preserve">，在此期间响应文件对供应商具有法律约束力， </w:t>
      </w:r>
      <w:r>
        <w:rPr>
          <w:color w:val="auto"/>
          <w:sz w:val="24"/>
          <w:highlight w:val="none"/>
        </w:rPr>
        <w:t>从提交首次响应文件截止时间之日起计算。响应文件有效期不足的将被视为无效响应。</w:t>
      </w:r>
    </w:p>
    <w:p w14:paraId="6DCB600C">
      <w:pPr>
        <w:pStyle w:val="7"/>
        <w:numPr>
          <w:ilvl w:val="0"/>
          <w:numId w:val="20"/>
        </w:numPr>
        <w:tabs>
          <w:tab w:val="left" w:pos="477"/>
        </w:tabs>
        <w:spacing w:before="1" w:after="0" w:line="240" w:lineRule="auto"/>
        <w:ind w:left="476" w:right="0" w:hanging="365"/>
        <w:jc w:val="left"/>
        <w:rPr>
          <w:color w:val="auto"/>
          <w:highlight w:val="none"/>
        </w:rPr>
      </w:pPr>
      <w:r>
        <w:rPr>
          <w:color w:val="auto"/>
          <w:highlight w:val="none"/>
        </w:rPr>
        <w:t>响应文件的签署及规定</w:t>
      </w:r>
    </w:p>
    <w:p w14:paraId="50C72EEE">
      <w:pPr>
        <w:pStyle w:val="50"/>
        <w:numPr>
          <w:ilvl w:val="1"/>
          <w:numId w:val="20"/>
        </w:numPr>
        <w:tabs>
          <w:tab w:val="left" w:pos="1133"/>
        </w:tabs>
        <w:spacing w:before="158" w:after="0" w:line="364" w:lineRule="auto"/>
        <w:ind w:left="112" w:right="525" w:firstLine="480"/>
        <w:jc w:val="both"/>
        <w:rPr>
          <w:color w:val="auto"/>
          <w:sz w:val="24"/>
          <w:highlight w:val="none"/>
        </w:rPr>
      </w:pPr>
      <w:r>
        <w:rPr>
          <w:color w:val="auto"/>
          <w:spacing w:val="-2"/>
          <w:sz w:val="24"/>
          <w:highlight w:val="none"/>
        </w:rPr>
        <w:t>响应文件的正本和副本应装订成册，正本一份，副本份数见</w:t>
      </w:r>
      <w:r>
        <w:rPr>
          <w:b/>
          <w:color w:val="auto"/>
          <w:sz w:val="24"/>
          <w:highlight w:val="none"/>
        </w:rPr>
        <w:t>磋商须知前附表</w:t>
      </w:r>
      <w:r>
        <w:rPr>
          <w:color w:val="auto"/>
          <w:spacing w:val="-8"/>
          <w:sz w:val="24"/>
          <w:highlight w:val="none"/>
        </w:rPr>
        <w:t>。正本</w:t>
      </w:r>
      <w:r>
        <w:rPr>
          <w:color w:val="auto"/>
          <w:sz w:val="24"/>
          <w:highlight w:val="none"/>
        </w:rPr>
        <w:t>和副本的封面上应标记“正本”或“副本”的字样，当正本和副本有差异时，以正本为准。</w:t>
      </w:r>
    </w:p>
    <w:p w14:paraId="5FD0DA7D">
      <w:pPr>
        <w:pStyle w:val="50"/>
        <w:numPr>
          <w:ilvl w:val="1"/>
          <w:numId w:val="20"/>
        </w:numPr>
        <w:tabs>
          <w:tab w:val="left" w:pos="1198"/>
        </w:tabs>
        <w:spacing w:before="0" w:after="0" w:line="364" w:lineRule="auto"/>
        <w:ind w:left="112" w:right="532" w:firstLine="480"/>
        <w:jc w:val="both"/>
        <w:rPr>
          <w:color w:val="auto"/>
          <w:sz w:val="24"/>
          <w:highlight w:val="none"/>
        </w:rPr>
      </w:pPr>
      <w:r>
        <w:rPr>
          <w:color w:val="auto"/>
          <w:sz w:val="24"/>
          <w:highlight w:val="none"/>
        </w:rPr>
        <w:t>响应文件正本和副本应按磋商文件要求签章处盖单位章和由法定代表人或其委托</w:t>
      </w:r>
      <w:r>
        <w:rPr>
          <w:color w:val="auto"/>
          <w:spacing w:val="-1"/>
          <w:sz w:val="24"/>
          <w:highlight w:val="none"/>
        </w:rPr>
        <w:t xml:space="preserve">代理人签字；任何加行、涂改、增删，应有法定代表人或其委托代理人在旁边签字。否则， </w:t>
      </w:r>
      <w:r>
        <w:rPr>
          <w:color w:val="auto"/>
          <w:sz w:val="24"/>
          <w:highlight w:val="none"/>
        </w:rPr>
        <w:t>将导致响应文件无效。</w:t>
      </w:r>
    </w:p>
    <w:p w14:paraId="72DC217E">
      <w:pPr>
        <w:pStyle w:val="50"/>
        <w:numPr>
          <w:ilvl w:val="1"/>
          <w:numId w:val="20"/>
        </w:numPr>
        <w:tabs>
          <w:tab w:val="left" w:pos="1196"/>
        </w:tabs>
        <w:spacing w:before="0" w:after="0" w:line="364" w:lineRule="auto"/>
        <w:ind w:left="112" w:right="530" w:firstLine="480"/>
        <w:jc w:val="both"/>
        <w:rPr>
          <w:color w:val="auto"/>
          <w:sz w:val="24"/>
          <w:highlight w:val="none"/>
        </w:rPr>
      </w:pPr>
      <w:r>
        <w:rPr>
          <w:color w:val="auto"/>
          <w:sz w:val="24"/>
          <w:highlight w:val="none"/>
        </w:rPr>
        <w:t>在磋商过程中，供应商按磋商文件规定和磋商小组要求提交的最后报价(或者重新</w:t>
      </w:r>
      <w:r>
        <w:rPr>
          <w:color w:val="auto"/>
          <w:spacing w:val="-7"/>
          <w:sz w:val="24"/>
          <w:highlight w:val="none"/>
        </w:rPr>
        <w:t>提交的响应文件和最后报价)，一式两份，可打印或用不退色墨水书写，但需经法定代表人或</w:t>
      </w:r>
      <w:r>
        <w:rPr>
          <w:color w:val="auto"/>
          <w:sz w:val="24"/>
          <w:highlight w:val="none"/>
        </w:rPr>
        <w:t>其委托代理人签字，或者加盖供应商单位章。否则，将导致响应文件无效。</w:t>
      </w:r>
    </w:p>
    <w:p w14:paraId="0CF05B5A">
      <w:pPr>
        <w:pStyle w:val="11"/>
        <w:spacing w:before="6"/>
        <w:rPr>
          <w:color w:val="auto"/>
          <w:sz w:val="17"/>
          <w:highlight w:val="none"/>
        </w:rPr>
      </w:pPr>
    </w:p>
    <w:p w14:paraId="5B5A141B">
      <w:pPr>
        <w:pStyle w:val="5"/>
        <w:spacing w:before="1"/>
        <w:ind w:left="112"/>
        <w:jc w:val="left"/>
        <w:outlineLvl w:val="1"/>
        <w:rPr>
          <w:color w:val="auto"/>
          <w:highlight w:val="none"/>
        </w:rPr>
      </w:pPr>
      <w:bookmarkStart w:id="49" w:name="_Toc7340"/>
      <w:bookmarkStart w:id="50" w:name="_Toc11408"/>
      <w:bookmarkStart w:id="51" w:name="_Toc19058"/>
      <w:bookmarkStart w:id="52" w:name="_Toc13762"/>
      <w:r>
        <w:rPr>
          <w:color w:val="auto"/>
          <w:highlight w:val="none"/>
        </w:rPr>
        <w:t>四、响应文件的递交</w:t>
      </w:r>
      <w:bookmarkEnd w:id="49"/>
      <w:bookmarkEnd w:id="50"/>
      <w:bookmarkEnd w:id="51"/>
      <w:bookmarkEnd w:id="52"/>
    </w:p>
    <w:p w14:paraId="5701D026">
      <w:pPr>
        <w:pStyle w:val="7"/>
        <w:numPr>
          <w:ilvl w:val="0"/>
          <w:numId w:val="20"/>
        </w:numPr>
        <w:tabs>
          <w:tab w:val="left" w:pos="477"/>
        </w:tabs>
        <w:spacing w:before="166" w:after="0" w:line="240" w:lineRule="auto"/>
        <w:ind w:left="476" w:right="0" w:hanging="365"/>
        <w:jc w:val="left"/>
        <w:rPr>
          <w:color w:val="auto"/>
          <w:highlight w:val="none"/>
        </w:rPr>
      </w:pPr>
      <w:r>
        <w:rPr>
          <w:color w:val="auto"/>
          <w:highlight w:val="none"/>
        </w:rPr>
        <w:t>响应文件的密封和标记</w:t>
      </w:r>
    </w:p>
    <w:p w14:paraId="79CB96CE">
      <w:pPr>
        <w:pStyle w:val="50"/>
        <w:numPr>
          <w:ilvl w:val="1"/>
          <w:numId w:val="20"/>
        </w:numPr>
        <w:tabs>
          <w:tab w:val="left" w:pos="1133"/>
        </w:tabs>
        <w:spacing w:before="158" w:after="0" w:line="364" w:lineRule="auto"/>
        <w:ind w:left="112" w:right="532" w:firstLine="480"/>
        <w:jc w:val="both"/>
        <w:rPr>
          <w:color w:val="auto"/>
          <w:sz w:val="24"/>
          <w:highlight w:val="none"/>
        </w:rPr>
      </w:pPr>
      <w:r>
        <w:rPr>
          <w:color w:val="auto"/>
          <w:spacing w:val="-3"/>
          <w:sz w:val="24"/>
          <w:highlight w:val="none"/>
        </w:rPr>
        <w:t>响应文件应密封包装，加贴封条，并在封套的封口处盖供应商单位章或者由法定代</w:t>
      </w:r>
      <w:r>
        <w:rPr>
          <w:color w:val="auto"/>
          <w:sz w:val="24"/>
          <w:highlight w:val="none"/>
        </w:rPr>
        <w:t>表人或其委托代理人签字。</w:t>
      </w:r>
    </w:p>
    <w:p w14:paraId="0D57E9E5">
      <w:pPr>
        <w:pStyle w:val="50"/>
        <w:numPr>
          <w:ilvl w:val="1"/>
          <w:numId w:val="20"/>
        </w:numPr>
        <w:tabs>
          <w:tab w:val="left" w:pos="1133"/>
        </w:tabs>
        <w:spacing w:before="0" w:after="0" w:line="306" w:lineRule="exact"/>
        <w:ind w:left="1132" w:right="0" w:hanging="541"/>
        <w:jc w:val="both"/>
        <w:rPr>
          <w:b/>
          <w:color w:val="auto"/>
          <w:sz w:val="24"/>
          <w:highlight w:val="none"/>
        </w:rPr>
      </w:pPr>
      <w:r>
        <w:rPr>
          <w:color w:val="auto"/>
          <w:sz w:val="24"/>
          <w:highlight w:val="none"/>
        </w:rPr>
        <w:t>响应文件封套上应写明的内容见</w:t>
      </w:r>
      <w:r>
        <w:rPr>
          <w:b/>
          <w:color w:val="auto"/>
          <w:sz w:val="24"/>
          <w:highlight w:val="none"/>
        </w:rPr>
        <w:t>磋商须知前附表。</w:t>
      </w:r>
    </w:p>
    <w:p w14:paraId="2554031D">
      <w:pPr>
        <w:pStyle w:val="50"/>
        <w:numPr>
          <w:ilvl w:val="1"/>
          <w:numId w:val="20"/>
        </w:numPr>
        <w:tabs>
          <w:tab w:val="left" w:pos="1133"/>
        </w:tabs>
        <w:spacing w:before="160" w:after="0" w:line="362" w:lineRule="auto"/>
        <w:ind w:left="112" w:right="511" w:firstLine="480"/>
        <w:jc w:val="both"/>
        <w:rPr>
          <w:b/>
          <w:color w:val="auto"/>
          <w:sz w:val="24"/>
          <w:highlight w:val="none"/>
        </w:rPr>
      </w:pPr>
      <w:r>
        <w:rPr>
          <w:color w:val="auto"/>
          <w:spacing w:val="-1"/>
          <w:sz w:val="24"/>
          <w:highlight w:val="none"/>
        </w:rPr>
        <w:t>响应文件如果未按上述规定密封和加写标记，采购人或采购代理机构将拒绝接收。</w:t>
      </w:r>
      <w:r>
        <w:rPr>
          <w:b/>
          <w:color w:val="auto"/>
          <w:sz w:val="24"/>
          <w:highlight w:val="none"/>
        </w:rPr>
        <w:t>23.响应文件的补充、修改或者撤回</w:t>
      </w:r>
    </w:p>
    <w:p w14:paraId="45AB910A">
      <w:pPr>
        <w:pStyle w:val="50"/>
        <w:numPr>
          <w:ilvl w:val="1"/>
          <w:numId w:val="24"/>
        </w:numPr>
        <w:tabs>
          <w:tab w:val="left" w:pos="1133"/>
        </w:tabs>
        <w:spacing w:before="5" w:after="0" w:line="364" w:lineRule="auto"/>
        <w:ind w:left="112" w:right="511" w:firstLine="480"/>
        <w:jc w:val="both"/>
        <w:rPr>
          <w:color w:val="auto"/>
          <w:sz w:val="24"/>
          <w:highlight w:val="none"/>
        </w:rPr>
      </w:pPr>
      <w:r>
        <w:rPr>
          <w:color w:val="auto"/>
          <w:spacing w:val="-1"/>
          <w:sz w:val="24"/>
          <w:highlight w:val="none"/>
        </w:rPr>
        <w:t>供应商在提交首次响应文件截止时间前，可以对所提交的首次响应文件进行补充、</w:t>
      </w:r>
      <w:r>
        <w:rPr>
          <w:color w:val="auto"/>
          <w:sz w:val="24"/>
          <w:highlight w:val="none"/>
        </w:rPr>
        <w:t>修改或者撤回，并书面通知采购人、采购代理机构。该通知应有供应商法定代表人或其委托代理人签字。</w:t>
      </w:r>
    </w:p>
    <w:p w14:paraId="1C7447C3">
      <w:pPr>
        <w:pStyle w:val="50"/>
        <w:numPr>
          <w:ilvl w:val="1"/>
          <w:numId w:val="24"/>
        </w:numPr>
        <w:tabs>
          <w:tab w:val="left" w:pos="1133"/>
        </w:tabs>
        <w:spacing w:before="0" w:after="0" w:line="362" w:lineRule="auto"/>
        <w:ind w:left="112" w:right="1951" w:firstLine="480"/>
        <w:jc w:val="left"/>
        <w:rPr>
          <w:b/>
          <w:color w:val="auto"/>
          <w:sz w:val="24"/>
          <w:highlight w:val="none"/>
        </w:rPr>
      </w:pPr>
      <w:r>
        <w:rPr>
          <w:color w:val="auto"/>
          <w:spacing w:val="-1"/>
          <w:sz w:val="24"/>
          <w:highlight w:val="none"/>
        </w:rPr>
        <w:t>补充、修改的内容与响应文件不一致时，以补充、修改的内容为准。</w:t>
      </w:r>
      <w:r>
        <w:rPr>
          <w:b/>
          <w:color w:val="auto"/>
          <w:sz w:val="24"/>
          <w:highlight w:val="none"/>
        </w:rPr>
        <w:t>24.响应文件的递交与接收</w:t>
      </w:r>
    </w:p>
    <w:p w14:paraId="1EE18DD1">
      <w:pPr>
        <w:pStyle w:val="50"/>
        <w:numPr>
          <w:ilvl w:val="0"/>
          <w:numId w:val="0"/>
        </w:numPr>
        <w:tabs>
          <w:tab w:val="left" w:pos="1193"/>
        </w:tabs>
        <w:spacing w:before="5" w:after="0" w:line="362" w:lineRule="auto"/>
        <w:ind w:left="592" w:leftChars="0" w:right="525" w:rightChars="0"/>
        <w:jc w:val="left"/>
        <w:rPr>
          <w:color w:val="auto"/>
          <w:sz w:val="24"/>
          <w:highlight w:val="none"/>
        </w:rPr>
      </w:pPr>
      <w:r>
        <w:rPr>
          <w:rFonts w:hint="eastAsia"/>
          <w:color w:val="auto"/>
          <w:spacing w:val="-5"/>
          <w:sz w:val="24"/>
          <w:highlight w:val="none"/>
          <w:lang w:val="en-US" w:eastAsia="zh-CN"/>
        </w:rPr>
        <w:t>24.1</w:t>
      </w:r>
      <w:r>
        <w:rPr>
          <w:color w:val="auto"/>
          <w:spacing w:val="-5"/>
          <w:sz w:val="24"/>
          <w:highlight w:val="none"/>
        </w:rPr>
        <w:t>供应商应在提交首次响应文件截止时间前，将响应文件送达</w:t>
      </w:r>
      <w:r>
        <w:rPr>
          <w:b/>
          <w:color w:val="auto"/>
          <w:sz w:val="24"/>
          <w:highlight w:val="none"/>
        </w:rPr>
        <w:t>磋商须知前附表</w:t>
      </w:r>
      <w:r>
        <w:rPr>
          <w:color w:val="auto"/>
          <w:spacing w:val="-5"/>
          <w:sz w:val="24"/>
          <w:highlight w:val="none"/>
        </w:rPr>
        <w:t>中指定</w:t>
      </w:r>
      <w:r>
        <w:rPr>
          <w:color w:val="auto"/>
          <w:sz w:val="24"/>
          <w:highlight w:val="none"/>
        </w:rPr>
        <w:t>的地点。在截止时间后送达的响应文件，采购人、采购代理机构或者磋商小组应当拒收。</w:t>
      </w:r>
    </w:p>
    <w:p w14:paraId="1EF313C4">
      <w:pPr>
        <w:pStyle w:val="50"/>
        <w:numPr>
          <w:ilvl w:val="0"/>
          <w:numId w:val="0"/>
        </w:numPr>
        <w:tabs>
          <w:tab w:val="left" w:pos="1133"/>
        </w:tabs>
        <w:spacing w:before="2" w:after="0" w:line="364" w:lineRule="auto"/>
        <w:ind w:left="592" w:leftChars="0" w:right="532" w:rightChars="0"/>
        <w:jc w:val="left"/>
        <w:rPr>
          <w:color w:val="auto"/>
          <w:sz w:val="24"/>
          <w:highlight w:val="none"/>
        </w:rPr>
      </w:pPr>
      <w:r>
        <w:rPr>
          <w:rFonts w:hint="eastAsia"/>
          <w:color w:val="auto"/>
          <w:spacing w:val="-3"/>
          <w:sz w:val="24"/>
          <w:highlight w:val="none"/>
          <w:lang w:val="en-US" w:eastAsia="zh-CN"/>
        </w:rPr>
        <w:t>24.2</w:t>
      </w:r>
      <w:r>
        <w:rPr>
          <w:color w:val="auto"/>
          <w:spacing w:val="-3"/>
          <w:sz w:val="24"/>
          <w:highlight w:val="none"/>
        </w:rPr>
        <w:t>在提交首次响应文件截止时间后，由供应商代表当场查验响应文件的密封状况，采</w:t>
      </w:r>
      <w:r>
        <w:rPr>
          <w:color w:val="auto"/>
          <w:sz w:val="24"/>
          <w:highlight w:val="none"/>
        </w:rPr>
        <w:t>购人或采购代理机构不当场拆封响应文件。</w:t>
      </w:r>
    </w:p>
    <w:p w14:paraId="0A73202A">
      <w:pPr>
        <w:pStyle w:val="11"/>
        <w:spacing w:before="10"/>
        <w:rPr>
          <w:color w:val="auto"/>
          <w:sz w:val="17"/>
          <w:highlight w:val="none"/>
        </w:rPr>
      </w:pPr>
    </w:p>
    <w:p w14:paraId="7FA9F1B1">
      <w:pPr>
        <w:pStyle w:val="5"/>
        <w:numPr>
          <w:ilvl w:val="0"/>
          <w:numId w:val="25"/>
        </w:numPr>
        <w:ind w:left="112"/>
        <w:jc w:val="left"/>
        <w:outlineLvl w:val="1"/>
        <w:rPr>
          <w:color w:val="auto"/>
          <w:highlight w:val="none"/>
        </w:rPr>
      </w:pPr>
      <w:bookmarkStart w:id="53" w:name="_Toc27556"/>
      <w:bookmarkStart w:id="54" w:name="_Toc16505"/>
      <w:bookmarkStart w:id="55" w:name="_Toc12892"/>
      <w:bookmarkStart w:id="56" w:name="_Toc15111"/>
      <w:r>
        <w:rPr>
          <w:color w:val="auto"/>
          <w:highlight w:val="none"/>
        </w:rPr>
        <w:t>响应文件的磋商与评审</w:t>
      </w:r>
      <w:bookmarkEnd w:id="53"/>
      <w:bookmarkEnd w:id="54"/>
      <w:bookmarkEnd w:id="55"/>
      <w:bookmarkEnd w:id="56"/>
    </w:p>
    <w:p w14:paraId="67A2AE76">
      <w:pPr>
        <w:widowControl w:val="0"/>
        <w:numPr>
          <w:ilvl w:val="0"/>
          <w:numId w:val="0"/>
        </w:numPr>
        <w:autoSpaceDE w:val="0"/>
        <w:autoSpaceDN w:val="0"/>
        <w:spacing w:before="0" w:after="0" w:line="240" w:lineRule="auto"/>
        <w:ind w:right="0" w:rightChars="0"/>
        <w:jc w:val="left"/>
        <w:rPr>
          <w:color w:val="auto"/>
          <w:highlight w:val="none"/>
        </w:rPr>
      </w:pPr>
    </w:p>
    <w:p w14:paraId="63F9BDE5">
      <w:pPr>
        <w:pStyle w:val="7"/>
        <w:numPr>
          <w:ilvl w:val="0"/>
          <w:numId w:val="0"/>
        </w:numPr>
        <w:tabs>
          <w:tab w:val="left" w:pos="477"/>
        </w:tabs>
        <w:spacing w:before="41" w:after="0" w:line="240" w:lineRule="auto"/>
        <w:ind w:right="0" w:rightChars="0"/>
        <w:jc w:val="left"/>
        <w:rPr>
          <w:color w:val="auto"/>
          <w:highlight w:val="none"/>
        </w:rPr>
      </w:pPr>
      <w:r>
        <w:rPr>
          <w:rFonts w:hint="eastAsia"/>
          <w:color w:val="auto"/>
          <w:highlight w:val="none"/>
          <w:lang w:val="en-US" w:eastAsia="zh-CN"/>
        </w:rPr>
        <w:t>25.</w:t>
      </w:r>
      <w:r>
        <w:rPr>
          <w:color w:val="auto"/>
          <w:highlight w:val="none"/>
        </w:rPr>
        <w:t>磋商程序</w:t>
      </w:r>
    </w:p>
    <w:p w14:paraId="3CBC9560">
      <w:pPr>
        <w:pStyle w:val="50"/>
        <w:numPr>
          <w:ilvl w:val="1"/>
          <w:numId w:val="26"/>
        </w:numPr>
        <w:tabs>
          <w:tab w:val="left" w:pos="1073"/>
        </w:tabs>
        <w:spacing w:before="158" w:after="0" w:line="364" w:lineRule="auto"/>
        <w:ind w:left="112" w:right="571" w:firstLine="420"/>
        <w:jc w:val="left"/>
        <w:rPr>
          <w:color w:val="auto"/>
          <w:sz w:val="24"/>
          <w:highlight w:val="none"/>
        </w:rPr>
      </w:pPr>
      <w:r>
        <w:rPr>
          <w:color w:val="auto"/>
          <w:sz w:val="24"/>
          <w:highlight w:val="none"/>
        </w:rPr>
        <w:t>磋商程序：响应文件审查、磋商（包括澄清）</w:t>
      </w:r>
      <w:r>
        <w:rPr>
          <w:color w:val="auto"/>
          <w:spacing w:val="-2"/>
          <w:sz w:val="24"/>
          <w:highlight w:val="none"/>
        </w:rPr>
        <w:t>、响应文件评审、提出成交供应商。</w:t>
      </w:r>
      <w:r>
        <w:rPr>
          <w:color w:val="auto"/>
          <w:spacing w:val="-6"/>
          <w:sz w:val="24"/>
          <w:highlight w:val="none"/>
        </w:rPr>
        <w:t xml:space="preserve">其中，磋商按本章第 </w:t>
      </w:r>
      <w:r>
        <w:rPr>
          <w:color w:val="auto"/>
          <w:sz w:val="24"/>
          <w:highlight w:val="none"/>
        </w:rPr>
        <w:t>30.1</w:t>
      </w:r>
      <w:r>
        <w:rPr>
          <w:color w:val="auto"/>
          <w:spacing w:val="-20"/>
          <w:sz w:val="24"/>
          <w:highlight w:val="none"/>
        </w:rPr>
        <w:t xml:space="preserve"> 款或者第 </w:t>
      </w:r>
      <w:r>
        <w:rPr>
          <w:color w:val="auto"/>
          <w:sz w:val="24"/>
          <w:highlight w:val="none"/>
        </w:rPr>
        <w:t>30.2</w:t>
      </w:r>
      <w:r>
        <w:rPr>
          <w:color w:val="auto"/>
          <w:spacing w:val="-9"/>
          <w:sz w:val="24"/>
          <w:highlight w:val="none"/>
        </w:rPr>
        <w:t xml:space="preserve"> 款情形进行。</w:t>
      </w:r>
    </w:p>
    <w:p w14:paraId="2E34757E">
      <w:pPr>
        <w:pStyle w:val="7"/>
        <w:numPr>
          <w:ilvl w:val="0"/>
          <w:numId w:val="26"/>
        </w:numPr>
        <w:tabs>
          <w:tab w:val="left" w:pos="596"/>
        </w:tabs>
        <w:spacing w:before="1" w:after="0" w:line="240" w:lineRule="auto"/>
        <w:ind w:left="595" w:right="0" w:hanging="484"/>
        <w:jc w:val="left"/>
        <w:rPr>
          <w:color w:val="auto"/>
          <w:highlight w:val="none"/>
        </w:rPr>
      </w:pPr>
      <w:r>
        <w:rPr>
          <w:color w:val="auto"/>
          <w:highlight w:val="none"/>
        </w:rPr>
        <w:t>响应文件审查</w:t>
      </w:r>
    </w:p>
    <w:p w14:paraId="742E09EF">
      <w:pPr>
        <w:pStyle w:val="11"/>
        <w:spacing w:before="7"/>
        <w:rPr>
          <w:b/>
          <w:color w:val="auto"/>
          <w:highlight w:val="none"/>
        </w:rPr>
      </w:pPr>
    </w:p>
    <w:p w14:paraId="2059797F">
      <w:pPr>
        <w:pStyle w:val="50"/>
        <w:numPr>
          <w:ilvl w:val="1"/>
          <w:numId w:val="26"/>
        </w:numPr>
        <w:tabs>
          <w:tab w:val="left" w:pos="1193"/>
        </w:tabs>
        <w:spacing w:before="0" w:after="0" w:line="364" w:lineRule="auto"/>
        <w:ind w:left="112" w:right="532" w:firstLine="480"/>
        <w:jc w:val="both"/>
        <w:rPr>
          <w:color w:val="auto"/>
          <w:sz w:val="24"/>
          <w:highlight w:val="none"/>
        </w:rPr>
      </w:pPr>
      <w:r>
        <w:rPr>
          <w:color w:val="auto"/>
          <w:spacing w:val="-11"/>
          <w:sz w:val="24"/>
          <w:highlight w:val="none"/>
        </w:rPr>
        <w:t xml:space="preserve">资格性审查：根据本章第 </w:t>
      </w:r>
      <w:r>
        <w:rPr>
          <w:color w:val="auto"/>
          <w:sz w:val="24"/>
          <w:highlight w:val="none"/>
        </w:rPr>
        <w:t>3.1</w:t>
      </w:r>
      <w:r>
        <w:rPr>
          <w:color w:val="auto"/>
          <w:spacing w:val="-12"/>
          <w:sz w:val="24"/>
          <w:highlight w:val="none"/>
        </w:rPr>
        <w:t xml:space="preserve"> 项规定的供应商资格条件要求，对响应文件的资格证</w:t>
      </w:r>
      <w:r>
        <w:rPr>
          <w:color w:val="auto"/>
          <w:sz w:val="24"/>
          <w:highlight w:val="none"/>
        </w:rPr>
        <w:t>明等进行审查，以确定供应商是否具备磋商资格条件。</w:t>
      </w:r>
    </w:p>
    <w:p w14:paraId="6023B0C0">
      <w:pPr>
        <w:pStyle w:val="50"/>
        <w:numPr>
          <w:ilvl w:val="1"/>
          <w:numId w:val="26"/>
        </w:numPr>
        <w:tabs>
          <w:tab w:val="left" w:pos="1133"/>
        </w:tabs>
        <w:spacing w:before="0" w:after="0" w:line="364" w:lineRule="auto"/>
        <w:ind w:left="112" w:right="532" w:firstLine="480"/>
        <w:jc w:val="both"/>
        <w:rPr>
          <w:color w:val="auto"/>
          <w:sz w:val="24"/>
          <w:highlight w:val="none"/>
        </w:rPr>
      </w:pPr>
      <w:r>
        <w:rPr>
          <w:color w:val="auto"/>
          <w:spacing w:val="-2"/>
          <w:sz w:val="24"/>
          <w:highlight w:val="none"/>
        </w:rPr>
        <w:t>符合性审查: 对响应文件(包括首次提交的响应文件、重新提交的响应文件)的有效</w:t>
      </w:r>
      <w:r>
        <w:rPr>
          <w:color w:val="auto"/>
          <w:sz w:val="24"/>
          <w:highlight w:val="none"/>
        </w:rPr>
        <w:t>性、完整性和响应程度进行审查，以确定是否对磋商文件的实质性要求作出响应。</w:t>
      </w:r>
    </w:p>
    <w:p w14:paraId="37D8C238">
      <w:pPr>
        <w:pStyle w:val="50"/>
        <w:numPr>
          <w:ilvl w:val="0"/>
          <w:numId w:val="0"/>
        </w:numPr>
        <w:tabs>
          <w:tab w:val="left" w:pos="1133"/>
        </w:tabs>
        <w:spacing w:before="0" w:after="0" w:line="364" w:lineRule="auto"/>
        <w:ind w:left="232" w:leftChars="0" w:right="532" w:rightChars="0" w:firstLine="418" w:firstLineChars="179"/>
        <w:jc w:val="both"/>
        <w:rPr>
          <w:color w:val="auto"/>
          <w:sz w:val="24"/>
          <w:highlight w:val="none"/>
        </w:rPr>
      </w:pPr>
      <w:r>
        <w:rPr>
          <w:rFonts w:hint="eastAsia"/>
          <w:color w:val="auto"/>
          <w:spacing w:val="-3"/>
          <w:sz w:val="24"/>
          <w:highlight w:val="none"/>
          <w:lang w:val="en-US" w:eastAsia="zh-CN"/>
        </w:rPr>
        <w:t>26.3</w:t>
      </w:r>
      <w:r>
        <w:rPr>
          <w:color w:val="auto"/>
          <w:spacing w:val="-3"/>
          <w:sz w:val="24"/>
          <w:highlight w:val="none"/>
        </w:rPr>
        <w:t>响应文件审查结束后，磋商小组所有成员集中与单一供应商分别进行磋商，并给予</w:t>
      </w:r>
      <w:r>
        <w:rPr>
          <w:color w:val="auto"/>
          <w:sz w:val="24"/>
          <w:highlight w:val="none"/>
        </w:rPr>
        <w:t>所有参加磋商的供应商平等的磋商机会。供应商应派其法定代表人或委托代理人参加磋商。</w:t>
      </w:r>
    </w:p>
    <w:p w14:paraId="26B5F0B6">
      <w:pPr>
        <w:pStyle w:val="50"/>
        <w:numPr>
          <w:ilvl w:val="0"/>
          <w:numId w:val="0"/>
        </w:numPr>
        <w:tabs>
          <w:tab w:val="left" w:pos="1133"/>
        </w:tabs>
        <w:spacing w:before="0" w:after="0" w:line="364" w:lineRule="auto"/>
        <w:ind w:left="12" w:leftChars="0" w:right="532" w:rightChars="0" w:hanging="12" w:hangingChars="5"/>
        <w:jc w:val="both"/>
        <w:rPr>
          <w:b/>
          <w:color w:val="auto"/>
          <w:sz w:val="24"/>
          <w:highlight w:val="none"/>
        </w:rPr>
      </w:pPr>
      <w:r>
        <w:rPr>
          <w:b/>
          <w:color w:val="auto"/>
          <w:sz w:val="24"/>
          <w:highlight w:val="none"/>
        </w:rPr>
        <w:t>27.实质性响应</w:t>
      </w:r>
    </w:p>
    <w:p w14:paraId="1CBE4D6F">
      <w:pPr>
        <w:pStyle w:val="50"/>
        <w:numPr>
          <w:ilvl w:val="1"/>
          <w:numId w:val="27"/>
        </w:numPr>
        <w:tabs>
          <w:tab w:val="left" w:pos="1133"/>
        </w:tabs>
        <w:spacing w:before="0" w:after="0" w:line="362" w:lineRule="auto"/>
        <w:ind w:left="112" w:right="532" w:firstLine="480"/>
        <w:jc w:val="both"/>
        <w:rPr>
          <w:color w:val="auto"/>
          <w:sz w:val="24"/>
          <w:highlight w:val="none"/>
        </w:rPr>
      </w:pPr>
      <w:r>
        <w:rPr>
          <w:color w:val="auto"/>
          <w:spacing w:val="-3"/>
          <w:sz w:val="24"/>
          <w:highlight w:val="none"/>
        </w:rPr>
        <w:t>实质性响应是指响应文件(包括首次响应文件、重新提交的响应文件)与磋商文件要</w:t>
      </w:r>
      <w:r>
        <w:rPr>
          <w:color w:val="auto"/>
          <w:sz w:val="24"/>
          <w:highlight w:val="none"/>
        </w:rPr>
        <w:t>求的所有条款、条件和规格相符，没有偏离。偏离指不满足、或不响应磋商文件的要求。</w:t>
      </w:r>
    </w:p>
    <w:p w14:paraId="240BE496">
      <w:pPr>
        <w:pStyle w:val="50"/>
        <w:numPr>
          <w:ilvl w:val="0"/>
          <w:numId w:val="0"/>
        </w:numPr>
        <w:tabs>
          <w:tab w:val="left" w:pos="1133"/>
        </w:tabs>
        <w:spacing w:before="2" w:after="0" w:line="364" w:lineRule="auto"/>
        <w:ind w:right="554" w:rightChars="0" w:firstLine="468" w:firstLineChars="200"/>
        <w:jc w:val="left"/>
        <w:rPr>
          <w:color w:val="auto"/>
          <w:sz w:val="24"/>
          <w:highlight w:val="none"/>
        </w:rPr>
      </w:pPr>
      <w:r>
        <w:rPr>
          <w:rFonts w:hint="eastAsia"/>
          <w:color w:val="auto"/>
          <w:spacing w:val="-3"/>
          <w:sz w:val="24"/>
          <w:highlight w:val="none"/>
          <w:lang w:val="en-US" w:eastAsia="zh-CN"/>
        </w:rPr>
        <w:t>27.2</w:t>
      </w:r>
      <w:r>
        <w:rPr>
          <w:color w:val="auto"/>
          <w:spacing w:val="-3"/>
          <w:sz w:val="24"/>
          <w:highlight w:val="none"/>
        </w:rPr>
        <w:t>响应文件是否实质性响应磋商文件要求由磋商小组依据磋商文件规定认定。磋商小</w:t>
      </w:r>
      <w:r>
        <w:rPr>
          <w:color w:val="auto"/>
          <w:sz w:val="24"/>
          <w:highlight w:val="none"/>
        </w:rPr>
        <w:t>组决定响应文件的响应性只根据响应文件本身的真实无误的内容，而不依据外部的证据。</w:t>
      </w:r>
    </w:p>
    <w:p w14:paraId="658473C1">
      <w:pPr>
        <w:pStyle w:val="50"/>
        <w:numPr>
          <w:ilvl w:val="0"/>
          <w:numId w:val="0"/>
        </w:numPr>
        <w:tabs>
          <w:tab w:val="left" w:pos="1133"/>
        </w:tabs>
        <w:spacing w:before="2" w:after="0" w:line="364" w:lineRule="auto"/>
        <w:ind w:right="554" w:rightChars="0"/>
        <w:jc w:val="left"/>
        <w:rPr>
          <w:b/>
          <w:color w:val="auto"/>
          <w:sz w:val="24"/>
          <w:highlight w:val="none"/>
        </w:rPr>
      </w:pPr>
      <w:r>
        <w:rPr>
          <w:b/>
          <w:color w:val="auto"/>
          <w:sz w:val="24"/>
          <w:highlight w:val="none"/>
        </w:rPr>
        <w:t>28.无效响应</w:t>
      </w:r>
    </w:p>
    <w:p w14:paraId="7BD42F48">
      <w:pPr>
        <w:pStyle w:val="11"/>
        <w:spacing w:line="362" w:lineRule="auto"/>
        <w:ind w:left="112" w:right="532" w:firstLine="470"/>
        <w:rPr>
          <w:color w:val="auto"/>
          <w:highlight w:val="none"/>
        </w:rPr>
      </w:pPr>
      <w:r>
        <w:rPr>
          <w:color w:val="auto"/>
          <w:highlight w:val="none"/>
        </w:rPr>
        <w:t>28.1</w:t>
      </w:r>
      <w:r>
        <w:rPr>
          <w:color w:val="auto"/>
          <w:spacing w:val="-9"/>
          <w:highlight w:val="none"/>
        </w:rPr>
        <w:t xml:space="preserve"> 磋商小组在对资格性和符合性进行审查时，有下列情况之一的，属无效响应，磋商</w:t>
      </w:r>
      <w:r>
        <w:rPr>
          <w:color w:val="auto"/>
          <w:highlight w:val="none"/>
        </w:rPr>
        <w:t>小组应当告知有关供应商：</w:t>
      </w:r>
    </w:p>
    <w:p w14:paraId="70BDF7FF">
      <w:pPr>
        <w:pStyle w:val="50"/>
        <w:keepNext w:val="0"/>
        <w:keepLines w:val="0"/>
        <w:pageBreakBefore w:val="0"/>
        <w:widowControl w:val="0"/>
        <w:numPr>
          <w:ilvl w:val="0"/>
          <w:numId w:val="28"/>
        </w:numPr>
        <w:tabs>
          <w:tab w:val="left" w:pos="1194"/>
        </w:tabs>
        <w:kinsoku/>
        <w:wordWrap/>
        <w:overflowPunct/>
        <w:topLinePunct w:val="0"/>
        <w:autoSpaceDE w:val="0"/>
        <w:autoSpaceDN w:val="0"/>
        <w:bidi w:val="0"/>
        <w:adjustRightInd/>
        <w:snapToGrid/>
        <w:spacing w:before="2" w:after="0" w:line="364" w:lineRule="auto"/>
        <w:ind w:left="0" w:leftChars="0" w:right="532" w:rightChars="0" w:firstLine="567" w:firstLineChars="0"/>
        <w:jc w:val="left"/>
        <w:textAlignment w:val="auto"/>
        <w:rPr>
          <w:color w:val="auto"/>
          <w:spacing w:val="-6"/>
          <w:sz w:val="24"/>
          <w:highlight w:val="none"/>
        </w:rPr>
      </w:pPr>
      <w:r>
        <w:rPr>
          <w:color w:val="auto"/>
          <w:spacing w:val="-6"/>
          <w:sz w:val="24"/>
          <w:highlight w:val="none"/>
        </w:rPr>
        <w:t xml:space="preserve">供应商不具备本章第 </w:t>
      </w:r>
      <w:r>
        <w:rPr>
          <w:color w:val="auto"/>
          <w:sz w:val="24"/>
          <w:highlight w:val="none"/>
        </w:rPr>
        <w:t>3.1</w:t>
      </w:r>
      <w:r>
        <w:rPr>
          <w:color w:val="auto"/>
          <w:spacing w:val="-14"/>
          <w:sz w:val="24"/>
          <w:highlight w:val="none"/>
        </w:rPr>
        <w:t xml:space="preserve"> 款规定的供应商资格条件要求，或存在本章第 </w:t>
      </w:r>
      <w:r>
        <w:rPr>
          <w:color w:val="auto"/>
          <w:sz w:val="24"/>
          <w:highlight w:val="none"/>
        </w:rPr>
        <w:t>3.3</w:t>
      </w:r>
      <w:r>
        <w:rPr>
          <w:color w:val="auto"/>
          <w:spacing w:val="-20"/>
          <w:sz w:val="24"/>
          <w:highlight w:val="none"/>
        </w:rPr>
        <w:t xml:space="preserve"> 款情</w:t>
      </w:r>
      <w:r>
        <w:rPr>
          <w:color w:val="auto"/>
          <w:spacing w:val="-6"/>
          <w:sz w:val="24"/>
          <w:highlight w:val="none"/>
        </w:rPr>
        <w:t>形的；</w:t>
      </w:r>
    </w:p>
    <w:p w14:paraId="5AE81849">
      <w:pPr>
        <w:pStyle w:val="50"/>
        <w:keepNext w:val="0"/>
        <w:keepLines w:val="0"/>
        <w:pageBreakBefore w:val="0"/>
        <w:widowControl w:val="0"/>
        <w:numPr>
          <w:ilvl w:val="0"/>
          <w:numId w:val="28"/>
        </w:numPr>
        <w:tabs>
          <w:tab w:val="left" w:pos="1194"/>
        </w:tabs>
        <w:kinsoku/>
        <w:wordWrap/>
        <w:overflowPunct/>
        <w:topLinePunct w:val="0"/>
        <w:autoSpaceDE w:val="0"/>
        <w:autoSpaceDN w:val="0"/>
        <w:bidi w:val="0"/>
        <w:adjustRightInd/>
        <w:snapToGrid/>
        <w:spacing w:before="2" w:after="0" w:line="364" w:lineRule="auto"/>
        <w:ind w:left="0" w:leftChars="0" w:right="532" w:rightChars="0" w:firstLine="567" w:firstLineChars="0"/>
        <w:jc w:val="left"/>
        <w:textAlignment w:val="auto"/>
        <w:rPr>
          <w:color w:val="auto"/>
          <w:sz w:val="24"/>
          <w:highlight w:val="none"/>
        </w:rPr>
      </w:pPr>
      <w:r>
        <w:rPr>
          <w:color w:val="auto"/>
          <w:spacing w:val="-6"/>
          <w:sz w:val="24"/>
          <w:highlight w:val="none"/>
        </w:rPr>
        <w:t xml:space="preserve">联合体不符合本章第 </w:t>
      </w:r>
      <w:r>
        <w:rPr>
          <w:color w:val="auto"/>
          <w:sz w:val="24"/>
          <w:highlight w:val="none"/>
        </w:rPr>
        <w:t>3.2</w:t>
      </w:r>
      <w:r>
        <w:rPr>
          <w:color w:val="auto"/>
          <w:spacing w:val="-10"/>
          <w:sz w:val="24"/>
          <w:highlight w:val="none"/>
        </w:rPr>
        <w:t xml:space="preserve"> 款规定的；</w:t>
      </w:r>
    </w:p>
    <w:p w14:paraId="6CBF3294">
      <w:pPr>
        <w:pStyle w:val="50"/>
        <w:keepNext w:val="0"/>
        <w:keepLines w:val="0"/>
        <w:pageBreakBefore w:val="0"/>
        <w:widowControl w:val="0"/>
        <w:numPr>
          <w:ilvl w:val="0"/>
          <w:numId w:val="28"/>
        </w:numPr>
        <w:tabs>
          <w:tab w:val="left" w:pos="1194"/>
        </w:tabs>
        <w:kinsoku/>
        <w:wordWrap/>
        <w:overflowPunct/>
        <w:topLinePunct w:val="0"/>
        <w:autoSpaceDE w:val="0"/>
        <w:autoSpaceDN w:val="0"/>
        <w:bidi w:val="0"/>
        <w:adjustRightInd/>
        <w:snapToGrid/>
        <w:spacing w:before="158" w:after="0" w:line="240" w:lineRule="auto"/>
        <w:ind w:left="0" w:leftChars="0" w:right="0" w:rightChars="0" w:firstLine="567" w:firstLineChars="0"/>
        <w:jc w:val="left"/>
        <w:textAlignment w:val="auto"/>
        <w:rPr>
          <w:color w:val="auto"/>
          <w:sz w:val="24"/>
          <w:highlight w:val="none"/>
        </w:rPr>
      </w:pPr>
      <w:r>
        <w:rPr>
          <w:color w:val="auto"/>
          <w:sz w:val="24"/>
          <w:highlight w:val="none"/>
        </w:rPr>
        <w:t>应交未交磋商保证金或金额不足、磋商保证金缴纳形式不符合磋商文件要求的；</w:t>
      </w:r>
    </w:p>
    <w:p w14:paraId="258E6258">
      <w:pPr>
        <w:pStyle w:val="50"/>
        <w:keepNext w:val="0"/>
        <w:keepLines w:val="0"/>
        <w:pageBreakBefore w:val="0"/>
        <w:widowControl w:val="0"/>
        <w:numPr>
          <w:ilvl w:val="0"/>
          <w:numId w:val="28"/>
        </w:numPr>
        <w:tabs>
          <w:tab w:val="left" w:pos="1194"/>
        </w:tabs>
        <w:kinsoku/>
        <w:wordWrap/>
        <w:overflowPunct/>
        <w:topLinePunct w:val="0"/>
        <w:autoSpaceDE w:val="0"/>
        <w:autoSpaceDN w:val="0"/>
        <w:bidi w:val="0"/>
        <w:adjustRightInd/>
        <w:snapToGrid/>
        <w:spacing w:before="161" w:after="0" w:line="240" w:lineRule="auto"/>
        <w:ind w:left="0" w:leftChars="0" w:right="0" w:firstLine="567" w:firstLineChars="0"/>
        <w:jc w:val="left"/>
        <w:textAlignment w:val="auto"/>
        <w:rPr>
          <w:color w:val="auto"/>
          <w:sz w:val="24"/>
          <w:highlight w:val="none"/>
        </w:rPr>
      </w:pPr>
      <w:r>
        <w:rPr>
          <w:color w:val="auto"/>
          <w:sz w:val="24"/>
          <w:highlight w:val="none"/>
        </w:rPr>
        <w:t>响应文件未按照磋商文件要求签署、盖章的；</w:t>
      </w:r>
    </w:p>
    <w:p w14:paraId="737C282D">
      <w:pPr>
        <w:pStyle w:val="50"/>
        <w:keepNext w:val="0"/>
        <w:keepLines w:val="0"/>
        <w:pageBreakBefore w:val="0"/>
        <w:widowControl w:val="0"/>
        <w:numPr>
          <w:ilvl w:val="0"/>
          <w:numId w:val="28"/>
        </w:numPr>
        <w:tabs>
          <w:tab w:val="left" w:pos="1194"/>
        </w:tabs>
        <w:kinsoku/>
        <w:wordWrap/>
        <w:overflowPunct/>
        <w:topLinePunct w:val="0"/>
        <w:autoSpaceDE w:val="0"/>
        <w:autoSpaceDN w:val="0"/>
        <w:bidi w:val="0"/>
        <w:adjustRightInd/>
        <w:snapToGrid/>
        <w:spacing w:before="158" w:after="0" w:line="240" w:lineRule="auto"/>
        <w:ind w:left="0" w:leftChars="0" w:right="0" w:firstLine="567" w:firstLineChars="0"/>
        <w:jc w:val="left"/>
        <w:textAlignment w:val="auto"/>
        <w:rPr>
          <w:color w:val="auto"/>
          <w:sz w:val="24"/>
          <w:highlight w:val="none"/>
        </w:rPr>
      </w:pPr>
      <w:r>
        <w:rPr>
          <w:color w:val="auto"/>
          <w:spacing w:val="-6"/>
          <w:sz w:val="24"/>
          <w:highlight w:val="none"/>
        </w:rPr>
        <w:t xml:space="preserve">响应文件不满足本章第 </w:t>
      </w:r>
      <w:r>
        <w:rPr>
          <w:color w:val="auto"/>
          <w:sz w:val="24"/>
          <w:highlight w:val="none"/>
        </w:rPr>
        <w:t>27.1</w:t>
      </w:r>
      <w:r>
        <w:rPr>
          <w:color w:val="auto"/>
          <w:spacing w:val="-8"/>
          <w:sz w:val="24"/>
          <w:highlight w:val="none"/>
        </w:rPr>
        <w:t xml:space="preserve"> 款规定的实质性要求的；</w:t>
      </w:r>
    </w:p>
    <w:p w14:paraId="23B28746">
      <w:pPr>
        <w:pStyle w:val="50"/>
        <w:keepNext w:val="0"/>
        <w:keepLines w:val="0"/>
        <w:pageBreakBefore w:val="0"/>
        <w:widowControl w:val="0"/>
        <w:numPr>
          <w:ilvl w:val="0"/>
          <w:numId w:val="28"/>
        </w:numPr>
        <w:tabs>
          <w:tab w:val="left" w:pos="1194"/>
        </w:tabs>
        <w:kinsoku/>
        <w:wordWrap/>
        <w:overflowPunct/>
        <w:topLinePunct w:val="0"/>
        <w:autoSpaceDE w:val="0"/>
        <w:autoSpaceDN w:val="0"/>
        <w:bidi w:val="0"/>
        <w:adjustRightInd/>
        <w:snapToGrid/>
        <w:spacing w:before="160" w:after="0" w:line="240" w:lineRule="auto"/>
        <w:ind w:left="0" w:leftChars="0" w:right="0" w:firstLine="567" w:firstLineChars="0"/>
        <w:jc w:val="left"/>
        <w:textAlignment w:val="auto"/>
        <w:rPr>
          <w:color w:val="auto"/>
          <w:sz w:val="24"/>
          <w:highlight w:val="none"/>
        </w:rPr>
      </w:pPr>
      <w:r>
        <w:rPr>
          <w:color w:val="auto"/>
          <w:sz w:val="24"/>
          <w:highlight w:val="none"/>
        </w:rPr>
        <w:t>报价超过采购项目预算的；</w:t>
      </w:r>
    </w:p>
    <w:p w14:paraId="0023C82E">
      <w:pPr>
        <w:pStyle w:val="50"/>
        <w:keepNext w:val="0"/>
        <w:keepLines w:val="0"/>
        <w:pageBreakBefore w:val="0"/>
        <w:widowControl w:val="0"/>
        <w:numPr>
          <w:ilvl w:val="0"/>
          <w:numId w:val="28"/>
        </w:numPr>
        <w:tabs>
          <w:tab w:val="left" w:pos="1194"/>
        </w:tabs>
        <w:kinsoku/>
        <w:wordWrap/>
        <w:overflowPunct/>
        <w:topLinePunct w:val="0"/>
        <w:autoSpaceDE w:val="0"/>
        <w:autoSpaceDN w:val="0"/>
        <w:bidi w:val="0"/>
        <w:adjustRightInd/>
        <w:snapToGrid/>
        <w:spacing w:before="158" w:after="0" w:line="240" w:lineRule="auto"/>
        <w:ind w:left="0" w:leftChars="0" w:right="0" w:firstLine="567" w:firstLineChars="0"/>
        <w:jc w:val="left"/>
        <w:textAlignment w:val="auto"/>
        <w:rPr>
          <w:color w:val="auto"/>
          <w:sz w:val="24"/>
          <w:highlight w:val="none"/>
        </w:rPr>
      </w:pPr>
      <w:r>
        <w:rPr>
          <w:color w:val="auto"/>
          <w:sz w:val="24"/>
          <w:highlight w:val="none"/>
        </w:rPr>
        <w:t>响应文件有效期不足的；</w:t>
      </w:r>
    </w:p>
    <w:p w14:paraId="178857C9">
      <w:pPr>
        <w:pStyle w:val="50"/>
        <w:keepNext w:val="0"/>
        <w:keepLines w:val="0"/>
        <w:pageBreakBefore w:val="0"/>
        <w:widowControl w:val="0"/>
        <w:numPr>
          <w:ilvl w:val="0"/>
          <w:numId w:val="28"/>
        </w:numPr>
        <w:tabs>
          <w:tab w:val="left" w:pos="1194"/>
        </w:tabs>
        <w:kinsoku/>
        <w:wordWrap/>
        <w:overflowPunct/>
        <w:topLinePunct w:val="0"/>
        <w:autoSpaceDE w:val="0"/>
        <w:autoSpaceDN w:val="0"/>
        <w:bidi w:val="0"/>
        <w:adjustRightInd/>
        <w:snapToGrid/>
        <w:spacing w:before="161" w:after="0" w:line="362" w:lineRule="auto"/>
        <w:ind w:left="0" w:leftChars="0" w:right="1891" w:firstLine="567" w:firstLineChars="0"/>
        <w:jc w:val="left"/>
        <w:textAlignment w:val="auto"/>
        <w:rPr>
          <w:b/>
          <w:color w:val="auto"/>
          <w:sz w:val="24"/>
          <w:highlight w:val="none"/>
        </w:rPr>
      </w:pPr>
      <w:r>
        <w:rPr>
          <w:color w:val="auto"/>
          <w:spacing w:val="-1"/>
          <w:sz w:val="24"/>
          <w:highlight w:val="none"/>
        </w:rPr>
        <w:t>响应文件不符合法律、规章、规范性文件和磋商文件规定及要求的。</w:t>
      </w:r>
    </w:p>
    <w:p w14:paraId="3D57C1B7">
      <w:pPr>
        <w:pStyle w:val="50"/>
        <w:numPr>
          <w:ilvl w:val="0"/>
          <w:numId w:val="29"/>
        </w:numPr>
        <w:tabs>
          <w:tab w:val="left" w:pos="1194"/>
          <w:tab w:val="clear" w:pos="312"/>
        </w:tabs>
        <w:spacing w:before="161" w:after="0" w:line="362" w:lineRule="auto"/>
        <w:ind w:leftChars="0" w:right="1891" w:rightChars="0"/>
        <w:jc w:val="left"/>
        <w:rPr>
          <w:b/>
          <w:color w:val="auto"/>
          <w:sz w:val="24"/>
          <w:highlight w:val="none"/>
        </w:rPr>
      </w:pPr>
      <w:r>
        <w:rPr>
          <w:b/>
          <w:color w:val="auto"/>
          <w:sz w:val="24"/>
          <w:highlight w:val="none"/>
        </w:rPr>
        <w:t>澄清</w:t>
      </w:r>
    </w:p>
    <w:p w14:paraId="745A2FBC">
      <w:pPr>
        <w:pStyle w:val="50"/>
        <w:numPr>
          <w:ilvl w:val="1"/>
          <w:numId w:val="30"/>
        </w:numPr>
        <w:tabs>
          <w:tab w:val="left" w:pos="1133"/>
        </w:tabs>
        <w:spacing w:before="41" w:after="0" w:line="364" w:lineRule="auto"/>
        <w:ind w:left="112" w:right="532" w:firstLine="420"/>
        <w:jc w:val="both"/>
        <w:rPr>
          <w:color w:val="auto"/>
          <w:sz w:val="24"/>
          <w:highlight w:val="none"/>
        </w:rPr>
      </w:pPr>
      <w:r>
        <w:rPr>
          <w:color w:val="auto"/>
          <w:spacing w:val="-3"/>
          <w:sz w:val="24"/>
          <w:highlight w:val="none"/>
        </w:rPr>
        <w:t>磋商小组在对响应文件的有效性、完整性和对磋商文件的响应程度进行审查时，可</w:t>
      </w:r>
      <w:r>
        <w:rPr>
          <w:color w:val="auto"/>
          <w:sz w:val="24"/>
          <w:highlight w:val="none"/>
        </w:rPr>
        <w:t>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7878888C">
      <w:pPr>
        <w:pStyle w:val="50"/>
        <w:numPr>
          <w:ilvl w:val="1"/>
          <w:numId w:val="30"/>
        </w:numPr>
        <w:tabs>
          <w:tab w:val="left" w:pos="1133"/>
        </w:tabs>
        <w:spacing w:before="0" w:after="0" w:line="364" w:lineRule="auto"/>
        <w:ind w:left="112" w:right="532" w:firstLine="420"/>
        <w:jc w:val="both"/>
        <w:rPr>
          <w:color w:val="auto"/>
          <w:sz w:val="24"/>
          <w:highlight w:val="none"/>
        </w:rPr>
      </w:pPr>
      <w:r>
        <w:rPr>
          <w:color w:val="auto"/>
          <w:spacing w:val="-3"/>
          <w:sz w:val="24"/>
          <w:highlight w:val="none"/>
        </w:rPr>
        <w:t>最后报价计算错误修正的原则：最后报价的大写金额和小写金额不一致的，以大写</w:t>
      </w:r>
      <w:r>
        <w:rPr>
          <w:color w:val="auto"/>
          <w:sz w:val="24"/>
          <w:highlight w:val="none"/>
        </w:rPr>
        <w:t>金额为准；总价金额与按分项报价汇总金额不一致的，以分项报价金额计算结果为准；分项报价金额小数点有明显错位的，应以总价为准，并修改分项报价。</w:t>
      </w:r>
    </w:p>
    <w:p w14:paraId="08AEB7AC">
      <w:pPr>
        <w:pStyle w:val="7"/>
        <w:numPr>
          <w:ilvl w:val="0"/>
          <w:numId w:val="31"/>
        </w:numPr>
        <w:tabs>
          <w:tab w:val="left" w:pos="477"/>
        </w:tabs>
        <w:spacing w:before="0" w:after="0" w:line="304" w:lineRule="exact"/>
        <w:ind w:left="476" w:right="0" w:hanging="365"/>
        <w:jc w:val="left"/>
        <w:rPr>
          <w:color w:val="auto"/>
          <w:highlight w:val="none"/>
        </w:rPr>
      </w:pPr>
      <w:r>
        <w:rPr>
          <w:color w:val="auto"/>
          <w:highlight w:val="none"/>
        </w:rPr>
        <w:t>磋商</w:t>
      </w:r>
    </w:p>
    <w:p w14:paraId="49A0D1B6">
      <w:pPr>
        <w:pStyle w:val="50"/>
        <w:numPr>
          <w:ilvl w:val="1"/>
          <w:numId w:val="31"/>
        </w:numPr>
        <w:tabs>
          <w:tab w:val="left" w:pos="1073"/>
        </w:tabs>
        <w:spacing w:before="159" w:after="0" w:line="364" w:lineRule="auto"/>
        <w:ind w:left="112" w:right="532" w:firstLine="420"/>
        <w:jc w:val="both"/>
        <w:rPr>
          <w:color w:val="auto"/>
          <w:sz w:val="24"/>
          <w:highlight w:val="none"/>
        </w:rPr>
      </w:pPr>
      <w:r>
        <w:rPr>
          <w:color w:val="auto"/>
          <w:spacing w:val="-15"/>
          <w:sz w:val="24"/>
          <w:highlight w:val="none"/>
        </w:rPr>
        <w:t xml:space="preserve">本章第 </w:t>
      </w:r>
      <w:r>
        <w:rPr>
          <w:color w:val="auto"/>
          <w:sz w:val="24"/>
          <w:highlight w:val="none"/>
        </w:rPr>
        <w:t>10.2</w:t>
      </w:r>
      <w:r>
        <w:rPr>
          <w:color w:val="auto"/>
          <w:spacing w:val="-14"/>
          <w:sz w:val="24"/>
          <w:highlight w:val="none"/>
        </w:rPr>
        <w:t xml:space="preserve"> 项未明确磋商文件实质性变动内容的，或者磋商文件明确了可能发生实</w:t>
      </w:r>
      <w:r>
        <w:rPr>
          <w:color w:val="auto"/>
          <w:sz w:val="24"/>
          <w:highlight w:val="none"/>
        </w:rPr>
        <w:t>质性变动内容，但在磋商过程中，磋商小组根据磋商情况认为磋商文件无需发生实质性变动的，磋商小组应当直接与响应文件审查合格的供应商就价格组织多轮磋商。</w:t>
      </w:r>
    </w:p>
    <w:p w14:paraId="285804F8">
      <w:pPr>
        <w:pStyle w:val="50"/>
        <w:numPr>
          <w:ilvl w:val="0"/>
          <w:numId w:val="32"/>
        </w:numPr>
        <w:tabs>
          <w:tab w:val="left" w:pos="1134"/>
        </w:tabs>
        <w:spacing w:before="0" w:after="0" w:line="364" w:lineRule="auto"/>
        <w:ind w:left="460" w:leftChars="0" w:right="532" w:firstLine="420" w:firstLineChars="0"/>
        <w:jc w:val="left"/>
        <w:rPr>
          <w:color w:val="auto"/>
          <w:sz w:val="24"/>
          <w:highlight w:val="none"/>
        </w:rPr>
      </w:pPr>
      <w:r>
        <w:rPr>
          <w:color w:val="auto"/>
          <w:spacing w:val="-3"/>
          <w:sz w:val="24"/>
          <w:highlight w:val="none"/>
        </w:rPr>
        <w:t>磋商结束后，磋商小组应当要求所有继续参加磋商的供应商在磋商小组规定时间内</w:t>
      </w:r>
      <w:r>
        <w:rPr>
          <w:color w:val="auto"/>
          <w:sz w:val="24"/>
          <w:highlight w:val="none"/>
        </w:rPr>
        <w:t>提交最后报价。</w:t>
      </w:r>
    </w:p>
    <w:p w14:paraId="7F857936">
      <w:pPr>
        <w:pStyle w:val="50"/>
        <w:numPr>
          <w:ilvl w:val="0"/>
          <w:numId w:val="32"/>
        </w:numPr>
        <w:tabs>
          <w:tab w:val="left" w:pos="1134"/>
        </w:tabs>
        <w:spacing w:before="0" w:after="0" w:line="362" w:lineRule="auto"/>
        <w:ind w:left="460" w:leftChars="0" w:right="532" w:firstLine="420" w:firstLineChars="0"/>
        <w:jc w:val="left"/>
        <w:rPr>
          <w:color w:val="auto"/>
          <w:sz w:val="24"/>
          <w:highlight w:val="none"/>
        </w:rPr>
      </w:pPr>
      <w:r>
        <w:rPr>
          <w:color w:val="auto"/>
          <w:spacing w:val="-2"/>
          <w:sz w:val="24"/>
          <w:highlight w:val="none"/>
        </w:rPr>
        <w:t>磋商文件明确可能发生实质性变动，但在磋商过程中磋商小组根据磋商情况认为磋</w:t>
      </w:r>
      <w:r>
        <w:rPr>
          <w:color w:val="auto"/>
          <w:sz w:val="24"/>
          <w:highlight w:val="none"/>
        </w:rPr>
        <w:t>商文件无需发生实质性变动的，磋商小组不另行通知。</w:t>
      </w:r>
    </w:p>
    <w:p w14:paraId="3AF7D5B4">
      <w:pPr>
        <w:pStyle w:val="50"/>
        <w:numPr>
          <w:ilvl w:val="1"/>
          <w:numId w:val="31"/>
        </w:numPr>
        <w:tabs>
          <w:tab w:val="left" w:pos="1073"/>
        </w:tabs>
        <w:spacing w:before="3" w:after="0" w:line="364" w:lineRule="auto"/>
        <w:ind w:left="112" w:right="412" w:firstLine="420"/>
        <w:jc w:val="left"/>
        <w:rPr>
          <w:color w:val="auto"/>
          <w:sz w:val="24"/>
          <w:highlight w:val="none"/>
        </w:rPr>
      </w:pPr>
      <w:r>
        <w:rPr>
          <w:color w:val="auto"/>
          <w:spacing w:val="-15"/>
          <w:sz w:val="24"/>
          <w:highlight w:val="none"/>
        </w:rPr>
        <w:t xml:space="preserve">本章第 </w:t>
      </w:r>
      <w:r>
        <w:rPr>
          <w:color w:val="auto"/>
          <w:sz w:val="24"/>
          <w:highlight w:val="none"/>
        </w:rPr>
        <w:t>10.2</w:t>
      </w:r>
      <w:r>
        <w:rPr>
          <w:color w:val="auto"/>
          <w:spacing w:val="-12"/>
          <w:sz w:val="24"/>
          <w:highlight w:val="none"/>
        </w:rPr>
        <w:t xml:space="preserve"> 款明确磋商文件实质性变动内容的，磋商小组可以组织多轮磋商。在每</w:t>
      </w:r>
      <w:r>
        <w:rPr>
          <w:color w:val="auto"/>
          <w:spacing w:val="-14"/>
          <w:sz w:val="24"/>
          <w:highlight w:val="none"/>
        </w:rPr>
        <w:t>一轮磋商中，磋商小组可以根据磋商文件规定和磋商情况，对磋商文件的采购需求中的技术、</w:t>
      </w:r>
      <w:r>
        <w:rPr>
          <w:color w:val="auto"/>
          <w:sz w:val="24"/>
          <w:highlight w:val="none"/>
        </w:rPr>
        <w:t>服务要求以及合同草案条款作实质性变动(磋商文件的实质性变动内容为磋商文件的组成部分</w:t>
      </w:r>
      <w:r>
        <w:rPr>
          <w:color w:val="auto"/>
          <w:spacing w:val="-16"/>
          <w:sz w:val="24"/>
          <w:highlight w:val="none"/>
        </w:rPr>
        <w:t>)，并以书面形式要求响应文件审查合格的供应商，在规定的截止时间前重新提交响应文件。磋</w:t>
      </w:r>
      <w:r>
        <w:rPr>
          <w:color w:val="auto"/>
          <w:spacing w:val="-20"/>
          <w:sz w:val="24"/>
          <w:highlight w:val="none"/>
        </w:rPr>
        <w:t xml:space="preserve">商小组应当根据本章第 </w:t>
      </w:r>
      <w:r>
        <w:rPr>
          <w:color w:val="auto"/>
          <w:sz w:val="24"/>
          <w:highlight w:val="none"/>
        </w:rPr>
        <w:t>26.2</w:t>
      </w:r>
      <w:r>
        <w:rPr>
          <w:color w:val="auto"/>
          <w:spacing w:val="-12"/>
          <w:sz w:val="24"/>
          <w:highlight w:val="none"/>
        </w:rPr>
        <w:t xml:space="preserve"> 款规定对供应商重新提交的响应文件进行审查。供应商重新提交的响应文件审查不合格的，不得进入下一轮磋商，也不得要求提交最后报价。</w:t>
      </w:r>
    </w:p>
    <w:p w14:paraId="1F5F5760">
      <w:pPr>
        <w:pStyle w:val="50"/>
        <w:numPr>
          <w:ilvl w:val="0"/>
          <w:numId w:val="33"/>
        </w:numPr>
        <w:tabs>
          <w:tab w:val="left" w:pos="1194"/>
        </w:tabs>
        <w:spacing w:before="0" w:after="0" w:line="362" w:lineRule="auto"/>
        <w:ind w:left="112" w:right="530" w:firstLine="480"/>
        <w:jc w:val="left"/>
        <w:rPr>
          <w:color w:val="auto"/>
          <w:sz w:val="24"/>
          <w:highlight w:val="none"/>
        </w:rPr>
      </w:pPr>
      <w:r>
        <w:rPr>
          <w:color w:val="auto"/>
          <w:spacing w:val="-5"/>
          <w:sz w:val="24"/>
          <w:highlight w:val="none"/>
        </w:rPr>
        <w:t>磋商文件能够详细列明采购需求的技术、服务要求的，磋商结束后，磋商小组应当</w:t>
      </w:r>
      <w:r>
        <w:rPr>
          <w:color w:val="auto"/>
          <w:sz w:val="24"/>
          <w:highlight w:val="none"/>
        </w:rPr>
        <w:t>要求所有继续参加磋商的供应商在规定时间内提交最后报价。</w:t>
      </w:r>
    </w:p>
    <w:p w14:paraId="2EE372FC">
      <w:pPr>
        <w:pStyle w:val="50"/>
        <w:numPr>
          <w:ilvl w:val="0"/>
          <w:numId w:val="33"/>
        </w:numPr>
        <w:tabs>
          <w:tab w:val="left" w:pos="1134"/>
        </w:tabs>
        <w:spacing w:before="1" w:after="0" w:line="364" w:lineRule="auto"/>
        <w:ind w:left="112" w:right="532" w:firstLine="420"/>
        <w:jc w:val="both"/>
        <w:rPr>
          <w:color w:val="auto"/>
          <w:sz w:val="24"/>
          <w:highlight w:val="none"/>
        </w:rPr>
      </w:pPr>
      <w:r>
        <w:rPr>
          <w:color w:val="auto"/>
          <w:spacing w:val="-3"/>
          <w:sz w:val="24"/>
          <w:highlight w:val="none"/>
        </w:rPr>
        <w:t>磋商文件不能详细列明采购需求的技术、服务要求，需经磋商由供应商提供最终设</w:t>
      </w:r>
      <w:r>
        <w:rPr>
          <w:color w:val="auto"/>
          <w:spacing w:val="-2"/>
          <w:sz w:val="24"/>
          <w:highlight w:val="none"/>
        </w:rPr>
        <w:t xml:space="preserve">计方案或解决方案的，磋商结束后，磋商小组应当按照少数服从多数的原则投票推荐 </w:t>
      </w:r>
      <w:r>
        <w:rPr>
          <w:color w:val="auto"/>
          <w:sz w:val="24"/>
          <w:highlight w:val="none"/>
        </w:rPr>
        <w:t>3</w:t>
      </w:r>
      <w:r>
        <w:rPr>
          <w:color w:val="auto"/>
          <w:spacing w:val="-20"/>
          <w:sz w:val="24"/>
          <w:highlight w:val="none"/>
        </w:rPr>
        <w:t xml:space="preserve"> 家以上供应商的设计方案或者解决方案，并要求其在规定时间内提交最后报价。</w:t>
      </w:r>
    </w:p>
    <w:p w14:paraId="5DBF4A2C">
      <w:pPr>
        <w:pStyle w:val="50"/>
        <w:numPr>
          <w:ilvl w:val="1"/>
          <w:numId w:val="31"/>
        </w:numPr>
        <w:tabs>
          <w:tab w:val="left" w:pos="1073"/>
        </w:tabs>
        <w:spacing w:before="41" w:after="0" w:line="362" w:lineRule="auto"/>
        <w:ind w:left="112" w:right="571" w:firstLine="420"/>
        <w:jc w:val="both"/>
        <w:rPr>
          <w:color w:val="auto"/>
          <w:sz w:val="24"/>
          <w:highlight w:val="none"/>
        </w:rPr>
      </w:pPr>
      <w:r>
        <w:rPr>
          <w:color w:val="auto"/>
          <w:spacing w:val="-3"/>
          <w:sz w:val="24"/>
          <w:highlight w:val="none"/>
        </w:rPr>
        <w:t xml:space="preserve">重新提交的响应文件或者最后报价应按本章第 </w:t>
      </w:r>
      <w:r>
        <w:rPr>
          <w:color w:val="auto"/>
          <w:sz w:val="24"/>
          <w:highlight w:val="none"/>
        </w:rPr>
        <w:t>21.3</w:t>
      </w:r>
      <w:r>
        <w:rPr>
          <w:color w:val="auto"/>
          <w:spacing w:val="-9"/>
          <w:sz w:val="24"/>
          <w:highlight w:val="none"/>
        </w:rPr>
        <w:t xml:space="preserve"> 款规定，由其法定代表人或其</w:t>
      </w:r>
      <w:r>
        <w:rPr>
          <w:color w:val="auto"/>
          <w:sz w:val="24"/>
          <w:highlight w:val="none"/>
        </w:rPr>
        <w:t>委托代理人签字或者加盖供应商单位章，在规定时间内密封递交给磋商小组。</w:t>
      </w:r>
    </w:p>
    <w:p w14:paraId="2EA0920C">
      <w:pPr>
        <w:pStyle w:val="50"/>
        <w:numPr>
          <w:ilvl w:val="1"/>
          <w:numId w:val="31"/>
        </w:numPr>
        <w:tabs>
          <w:tab w:val="left" w:pos="1073"/>
        </w:tabs>
        <w:spacing w:before="41" w:after="0" w:line="362" w:lineRule="auto"/>
        <w:ind w:left="112" w:right="571" w:firstLine="420"/>
        <w:jc w:val="both"/>
        <w:rPr>
          <w:color w:val="auto"/>
          <w:sz w:val="24"/>
          <w:highlight w:val="none"/>
        </w:rPr>
      </w:pPr>
      <w:r>
        <w:rPr>
          <w:color w:val="auto"/>
          <w:spacing w:val="-1"/>
          <w:sz w:val="24"/>
          <w:highlight w:val="none"/>
        </w:rPr>
        <w:t>供应商的最后报价及政府采购政策规定的价格扣除情况，磋商小组应召集所有参加</w:t>
      </w:r>
      <w:r>
        <w:rPr>
          <w:color w:val="auto"/>
          <w:sz w:val="24"/>
          <w:highlight w:val="none"/>
        </w:rPr>
        <w:t>最后报价的供应商当场开封公布，并由供应商代表签字确认。</w:t>
      </w:r>
    </w:p>
    <w:p w14:paraId="4DE5F960">
      <w:pPr>
        <w:pStyle w:val="50"/>
        <w:numPr>
          <w:ilvl w:val="1"/>
          <w:numId w:val="31"/>
        </w:numPr>
        <w:tabs>
          <w:tab w:val="left" w:pos="1073"/>
        </w:tabs>
        <w:spacing w:before="5" w:after="0" w:line="364" w:lineRule="auto"/>
        <w:ind w:left="112" w:right="571" w:firstLine="420"/>
        <w:jc w:val="both"/>
        <w:rPr>
          <w:color w:val="auto"/>
          <w:sz w:val="24"/>
          <w:highlight w:val="none"/>
        </w:rPr>
      </w:pPr>
      <w:r>
        <w:rPr>
          <w:color w:val="auto"/>
          <w:spacing w:val="-1"/>
          <w:sz w:val="24"/>
          <w:highlight w:val="none"/>
        </w:rPr>
        <w:t>提交首次响应文件的供应商，在提交最后报价之前，可以根据磋商情况退出磋商， 并书面通知采购代理机构或者磋商小组。该通知由供应商法定代表人或其委托代理人签字。</w:t>
      </w:r>
      <w:r>
        <w:rPr>
          <w:color w:val="auto"/>
          <w:spacing w:val="-6"/>
          <w:sz w:val="24"/>
          <w:highlight w:val="none"/>
        </w:rPr>
        <w:t xml:space="preserve">采购代理机构按本章第 </w:t>
      </w:r>
      <w:r>
        <w:rPr>
          <w:color w:val="auto"/>
          <w:sz w:val="24"/>
          <w:highlight w:val="none"/>
        </w:rPr>
        <w:t>19.4</w:t>
      </w:r>
      <w:r>
        <w:rPr>
          <w:color w:val="auto"/>
          <w:spacing w:val="-8"/>
          <w:sz w:val="24"/>
          <w:highlight w:val="none"/>
        </w:rPr>
        <w:t xml:space="preserve"> 款规定退还退出磋商的供应商的磋商保证金。</w:t>
      </w:r>
    </w:p>
    <w:p w14:paraId="1F68B97A">
      <w:pPr>
        <w:pStyle w:val="50"/>
        <w:numPr>
          <w:ilvl w:val="1"/>
          <w:numId w:val="31"/>
        </w:numPr>
        <w:tabs>
          <w:tab w:val="left" w:pos="1136"/>
        </w:tabs>
        <w:spacing w:before="0" w:after="0" w:line="364" w:lineRule="auto"/>
        <w:ind w:left="112" w:right="532" w:firstLine="480"/>
        <w:jc w:val="both"/>
        <w:rPr>
          <w:color w:val="auto"/>
          <w:sz w:val="24"/>
          <w:highlight w:val="none"/>
        </w:rPr>
      </w:pPr>
      <w:r>
        <w:rPr>
          <w:color w:val="auto"/>
          <w:sz w:val="24"/>
          <w:highlight w:val="none"/>
        </w:rPr>
        <w:t>提交首次响应文件的供应商，未按磋商文件规定及磋商小组要求提交最后报价(或</w:t>
      </w:r>
      <w:r>
        <w:rPr>
          <w:color w:val="auto"/>
          <w:spacing w:val="-2"/>
          <w:sz w:val="24"/>
          <w:highlight w:val="none"/>
        </w:rPr>
        <w:t xml:space="preserve">者重新提交的响应文件和最后报价)，且又未按本章第 </w:t>
      </w:r>
      <w:r>
        <w:rPr>
          <w:color w:val="auto"/>
          <w:sz w:val="24"/>
          <w:highlight w:val="none"/>
        </w:rPr>
        <w:t>30.5</w:t>
      </w:r>
      <w:r>
        <w:rPr>
          <w:color w:val="auto"/>
          <w:spacing w:val="-8"/>
          <w:sz w:val="24"/>
          <w:highlight w:val="none"/>
        </w:rPr>
        <w:t xml:space="preserve"> 款规定退出磋商的，供应商的磋</w:t>
      </w:r>
      <w:r>
        <w:rPr>
          <w:color w:val="auto"/>
          <w:sz w:val="24"/>
          <w:highlight w:val="none"/>
        </w:rPr>
        <w:t>商保证金不予退还。</w:t>
      </w:r>
    </w:p>
    <w:p w14:paraId="5A961AF6">
      <w:pPr>
        <w:pStyle w:val="7"/>
        <w:numPr>
          <w:ilvl w:val="0"/>
          <w:numId w:val="31"/>
        </w:numPr>
        <w:tabs>
          <w:tab w:val="left" w:pos="477"/>
        </w:tabs>
        <w:spacing w:before="0" w:after="0" w:line="304" w:lineRule="exact"/>
        <w:ind w:left="476" w:right="0" w:hanging="365"/>
        <w:jc w:val="left"/>
        <w:rPr>
          <w:color w:val="auto"/>
          <w:highlight w:val="none"/>
        </w:rPr>
      </w:pPr>
      <w:r>
        <w:rPr>
          <w:color w:val="auto"/>
          <w:highlight w:val="none"/>
        </w:rPr>
        <w:t>响应文件评审</w:t>
      </w:r>
    </w:p>
    <w:p w14:paraId="3EF0D937">
      <w:pPr>
        <w:pStyle w:val="50"/>
        <w:numPr>
          <w:ilvl w:val="1"/>
          <w:numId w:val="31"/>
        </w:numPr>
        <w:tabs>
          <w:tab w:val="left" w:pos="1133"/>
        </w:tabs>
        <w:spacing w:before="160" w:after="0" w:line="362" w:lineRule="auto"/>
        <w:ind w:left="112" w:right="532" w:firstLine="480"/>
        <w:jc w:val="both"/>
        <w:rPr>
          <w:color w:val="auto"/>
          <w:sz w:val="24"/>
          <w:highlight w:val="none"/>
        </w:rPr>
      </w:pPr>
      <w:r>
        <w:rPr>
          <w:color w:val="auto"/>
          <w:spacing w:val="-2"/>
          <w:sz w:val="24"/>
          <w:highlight w:val="none"/>
        </w:rPr>
        <w:t>经磋商确定最终采购需求和提交最后报价的供应商后，由磋商小组采用综合评分法</w:t>
      </w:r>
      <w:r>
        <w:rPr>
          <w:color w:val="auto"/>
          <w:sz w:val="24"/>
          <w:highlight w:val="none"/>
        </w:rPr>
        <w:t>对提交最后报价的供应商的响应文件和最后报价进行综合评价。</w:t>
      </w:r>
    </w:p>
    <w:p w14:paraId="15DE8EF0">
      <w:pPr>
        <w:pStyle w:val="50"/>
        <w:numPr>
          <w:ilvl w:val="1"/>
          <w:numId w:val="31"/>
        </w:numPr>
        <w:tabs>
          <w:tab w:val="left" w:pos="1133"/>
        </w:tabs>
        <w:spacing w:before="5" w:after="0" w:line="364" w:lineRule="auto"/>
        <w:ind w:left="112" w:right="532" w:firstLine="480"/>
        <w:jc w:val="both"/>
        <w:rPr>
          <w:b/>
          <w:color w:val="auto"/>
          <w:sz w:val="24"/>
          <w:highlight w:val="none"/>
        </w:rPr>
      </w:pPr>
      <w:r>
        <w:rPr>
          <w:color w:val="auto"/>
          <w:spacing w:val="-5"/>
          <w:sz w:val="24"/>
          <w:highlight w:val="none"/>
        </w:rPr>
        <w:t>综合评分法，是指响应文件满足磋商文件全部实质性要求且按评审因素的量化指标</w:t>
      </w:r>
      <w:r>
        <w:rPr>
          <w:color w:val="auto"/>
          <w:sz w:val="24"/>
          <w:highlight w:val="none"/>
        </w:rPr>
        <w:t>评审得分最高的供应商为成交候选供应商的评审方法。本采购项目的评审因素和标准见</w:t>
      </w:r>
      <w:r>
        <w:rPr>
          <w:b/>
          <w:color w:val="auto"/>
          <w:sz w:val="24"/>
          <w:highlight w:val="none"/>
        </w:rPr>
        <w:t>磋商须知前附表。</w:t>
      </w:r>
    </w:p>
    <w:p w14:paraId="232AE21D">
      <w:pPr>
        <w:pStyle w:val="50"/>
        <w:numPr>
          <w:ilvl w:val="1"/>
          <w:numId w:val="31"/>
        </w:numPr>
        <w:tabs>
          <w:tab w:val="left" w:pos="1133"/>
        </w:tabs>
        <w:spacing w:before="155" w:after="0" w:line="364" w:lineRule="auto"/>
        <w:ind w:left="112" w:right="532" w:firstLine="480"/>
        <w:jc w:val="both"/>
        <w:rPr>
          <w:color w:val="auto"/>
          <w:sz w:val="24"/>
          <w:highlight w:val="none"/>
        </w:rPr>
      </w:pPr>
      <w:r>
        <w:rPr>
          <w:color w:val="auto"/>
          <w:spacing w:val="-4"/>
          <w:sz w:val="24"/>
          <w:highlight w:val="none"/>
        </w:rPr>
        <w:t>最后报价调整。磋商小组以各供应商最后报价为基础，按照符合政府采购支持中小</w:t>
      </w:r>
      <w:r>
        <w:rPr>
          <w:color w:val="auto"/>
          <w:sz w:val="24"/>
          <w:highlight w:val="none"/>
        </w:rPr>
        <w:t>企业发展的相应条件，对供应商的最后报价进行价格扣除，用扣除后的最后报价计算价格得分，具体价格扣除比例见</w:t>
      </w:r>
      <w:r>
        <w:rPr>
          <w:b/>
          <w:color w:val="auto"/>
          <w:sz w:val="24"/>
          <w:highlight w:val="none"/>
        </w:rPr>
        <w:t>磋商须知前附表</w:t>
      </w:r>
      <w:r>
        <w:rPr>
          <w:color w:val="auto"/>
          <w:sz w:val="24"/>
          <w:highlight w:val="none"/>
        </w:rPr>
        <w:t>。</w:t>
      </w:r>
    </w:p>
    <w:p w14:paraId="248E2744">
      <w:pPr>
        <w:pStyle w:val="50"/>
        <w:numPr>
          <w:ilvl w:val="1"/>
          <w:numId w:val="31"/>
        </w:numPr>
        <w:tabs>
          <w:tab w:val="left" w:pos="1133"/>
        </w:tabs>
        <w:spacing w:before="0" w:after="0" w:line="364" w:lineRule="auto"/>
        <w:ind w:left="112" w:right="532" w:firstLine="480"/>
        <w:jc w:val="both"/>
        <w:rPr>
          <w:color w:val="auto"/>
          <w:sz w:val="24"/>
          <w:highlight w:val="none"/>
        </w:rPr>
      </w:pPr>
      <w:r>
        <w:rPr>
          <w:color w:val="auto"/>
          <w:spacing w:val="-3"/>
          <w:sz w:val="24"/>
          <w:highlight w:val="none"/>
        </w:rPr>
        <w:t>综合评分法中的价格分采用低价优先法计算，即满足磋商文件要求且经调整后的最</w:t>
      </w:r>
      <w:r>
        <w:rPr>
          <w:color w:val="auto"/>
          <w:sz w:val="24"/>
          <w:highlight w:val="none"/>
        </w:rPr>
        <w:t>后报价最低的供应商的价格为磋商基准价，其价格分为满分。其他供应商的价格分按照下列公式计算：</w:t>
      </w:r>
    </w:p>
    <w:p w14:paraId="547D0D8A">
      <w:pPr>
        <w:pStyle w:val="11"/>
        <w:spacing w:before="155"/>
        <w:ind w:left="592"/>
        <w:rPr>
          <w:rFonts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磋商报价得分=（磋商基准价/最后磋商报价）×价格权值×100</w:t>
      </w:r>
    </w:p>
    <w:p w14:paraId="048D3330">
      <w:pPr>
        <w:pStyle w:val="11"/>
        <w:spacing w:before="155"/>
        <w:ind w:left="592"/>
        <w:rPr>
          <w:color w:val="auto"/>
          <w:highlight w:val="none"/>
        </w:rPr>
      </w:pPr>
      <w:r>
        <w:rPr>
          <w:color w:val="auto"/>
          <w:highlight w:val="none"/>
        </w:rPr>
        <w:t>项目评审过程中，不得去掉最后报价中的最高报价和最低报价。</w:t>
      </w:r>
    </w:p>
    <w:p w14:paraId="04161EF0">
      <w:pPr>
        <w:pStyle w:val="11"/>
        <w:spacing w:before="9"/>
        <w:rPr>
          <w:color w:val="auto"/>
          <w:highlight w:val="none"/>
        </w:rPr>
      </w:pPr>
    </w:p>
    <w:p w14:paraId="2A421ED8">
      <w:pPr>
        <w:pStyle w:val="50"/>
        <w:numPr>
          <w:ilvl w:val="1"/>
          <w:numId w:val="31"/>
        </w:numPr>
        <w:tabs>
          <w:tab w:val="left" w:pos="1133"/>
        </w:tabs>
        <w:spacing w:before="0" w:after="0" w:line="362" w:lineRule="auto"/>
        <w:ind w:left="112" w:right="532" w:firstLine="480"/>
        <w:jc w:val="both"/>
        <w:rPr>
          <w:color w:val="auto"/>
          <w:sz w:val="24"/>
          <w:highlight w:val="none"/>
        </w:rPr>
      </w:pPr>
      <w:r>
        <w:rPr>
          <w:color w:val="auto"/>
          <w:spacing w:val="-2"/>
          <w:sz w:val="24"/>
          <w:highlight w:val="none"/>
        </w:rPr>
        <w:t>涉及政府采购政策优惠对供应商分值进行调整的，按</w:t>
      </w:r>
      <w:r>
        <w:rPr>
          <w:b/>
          <w:color w:val="auto"/>
          <w:sz w:val="24"/>
          <w:highlight w:val="none"/>
        </w:rPr>
        <w:t>磋商须知前附表</w:t>
      </w:r>
      <w:r>
        <w:rPr>
          <w:color w:val="auto"/>
          <w:spacing w:val="-3"/>
          <w:sz w:val="24"/>
          <w:highlight w:val="none"/>
        </w:rPr>
        <w:t>规定调整供应</w:t>
      </w:r>
      <w:r>
        <w:rPr>
          <w:color w:val="auto"/>
          <w:sz w:val="24"/>
          <w:highlight w:val="none"/>
        </w:rPr>
        <w:t>商的技术、商务、价格得分或总得分。</w:t>
      </w:r>
    </w:p>
    <w:p w14:paraId="2DA9EC9A">
      <w:pPr>
        <w:pStyle w:val="50"/>
        <w:numPr>
          <w:ilvl w:val="1"/>
          <w:numId w:val="31"/>
        </w:numPr>
        <w:tabs>
          <w:tab w:val="left" w:pos="1133"/>
        </w:tabs>
        <w:spacing w:before="161" w:after="0" w:line="362" w:lineRule="auto"/>
        <w:ind w:left="112" w:right="532" w:firstLine="480"/>
        <w:jc w:val="both"/>
        <w:rPr>
          <w:color w:val="auto"/>
          <w:sz w:val="24"/>
          <w:highlight w:val="none"/>
        </w:rPr>
      </w:pPr>
      <w:r>
        <w:rPr>
          <w:color w:val="auto"/>
          <w:spacing w:val="-3"/>
          <w:sz w:val="24"/>
          <w:highlight w:val="none"/>
        </w:rPr>
        <w:t>涉及多处或部分获得政府采购政策优惠的，其多处或部分享受政府采购优惠政策的</w:t>
      </w:r>
      <w:r>
        <w:rPr>
          <w:color w:val="auto"/>
          <w:sz w:val="24"/>
          <w:highlight w:val="none"/>
        </w:rPr>
        <w:t>计算方法见</w:t>
      </w:r>
      <w:r>
        <w:rPr>
          <w:b/>
          <w:color w:val="auto"/>
          <w:sz w:val="24"/>
          <w:highlight w:val="none"/>
        </w:rPr>
        <w:t>磋商须知前附表</w:t>
      </w:r>
      <w:r>
        <w:rPr>
          <w:color w:val="auto"/>
          <w:sz w:val="24"/>
          <w:highlight w:val="none"/>
        </w:rPr>
        <w:t>相关规定。</w:t>
      </w:r>
    </w:p>
    <w:p w14:paraId="4915BF14">
      <w:pPr>
        <w:pStyle w:val="50"/>
        <w:numPr>
          <w:ilvl w:val="1"/>
          <w:numId w:val="31"/>
        </w:numPr>
        <w:tabs>
          <w:tab w:val="left" w:pos="1133"/>
        </w:tabs>
        <w:spacing w:before="41" w:after="0" w:line="364" w:lineRule="auto"/>
        <w:ind w:left="112" w:right="532" w:firstLine="480"/>
        <w:jc w:val="both"/>
        <w:rPr>
          <w:color w:val="auto"/>
          <w:sz w:val="24"/>
          <w:highlight w:val="none"/>
        </w:rPr>
      </w:pPr>
      <w:r>
        <w:rPr>
          <w:color w:val="auto"/>
          <w:spacing w:val="-5"/>
          <w:sz w:val="24"/>
          <w:highlight w:val="none"/>
        </w:rPr>
        <w:t>评审时，磋商小组各成员应当独立对每个供应商的响应文件进行评价、评分，并按</w:t>
      </w:r>
      <w:r>
        <w:rPr>
          <w:color w:val="auto"/>
          <w:sz w:val="24"/>
          <w:highlight w:val="none"/>
        </w:rPr>
        <w:t>照政府采购优惠政策对最后报价进行价格扣除和技术、商务、价格加分后，汇总各供应商的总得分。</w:t>
      </w:r>
    </w:p>
    <w:p w14:paraId="434C5F56">
      <w:pPr>
        <w:pStyle w:val="7"/>
        <w:numPr>
          <w:ilvl w:val="0"/>
          <w:numId w:val="31"/>
        </w:numPr>
        <w:tabs>
          <w:tab w:val="left" w:pos="477"/>
        </w:tabs>
        <w:spacing w:before="0" w:after="0" w:line="307" w:lineRule="exact"/>
        <w:ind w:left="476" w:right="0" w:hanging="365"/>
        <w:jc w:val="left"/>
        <w:rPr>
          <w:color w:val="auto"/>
          <w:highlight w:val="none"/>
        </w:rPr>
      </w:pPr>
      <w:r>
        <w:rPr>
          <w:color w:val="auto"/>
          <w:highlight w:val="none"/>
        </w:rPr>
        <w:t>提出成交供应商</w:t>
      </w:r>
    </w:p>
    <w:p w14:paraId="1941E5C7">
      <w:pPr>
        <w:pStyle w:val="11"/>
        <w:spacing w:before="7"/>
        <w:rPr>
          <w:b/>
          <w:color w:val="auto"/>
          <w:sz w:val="18"/>
          <w:highlight w:val="none"/>
        </w:rPr>
      </w:pPr>
    </w:p>
    <w:p w14:paraId="4938F4F4">
      <w:pPr>
        <w:pStyle w:val="50"/>
        <w:numPr>
          <w:ilvl w:val="1"/>
          <w:numId w:val="31"/>
        </w:numPr>
        <w:tabs>
          <w:tab w:val="left" w:pos="1133"/>
        </w:tabs>
        <w:spacing w:before="0" w:after="0" w:line="364" w:lineRule="auto"/>
        <w:ind w:left="112" w:right="412" w:firstLine="480"/>
        <w:jc w:val="left"/>
        <w:rPr>
          <w:color w:val="auto"/>
          <w:sz w:val="24"/>
          <w:highlight w:val="none"/>
        </w:rPr>
      </w:pPr>
      <w:r>
        <w:rPr>
          <w:color w:val="auto"/>
          <w:spacing w:val="-4"/>
          <w:sz w:val="24"/>
          <w:highlight w:val="none"/>
        </w:rPr>
        <w:t xml:space="preserve">磋商小组应当根据综合评分情况，按照评审得分由高到低顺序推荐 </w:t>
      </w:r>
      <w:r>
        <w:rPr>
          <w:color w:val="auto"/>
          <w:sz w:val="24"/>
          <w:highlight w:val="none"/>
        </w:rPr>
        <w:t>3</w:t>
      </w:r>
      <w:r>
        <w:rPr>
          <w:color w:val="auto"/>
          <w:spacing w:val="-9"/>
          <w:sz w:val="24"/>
          <w:highlight w:val="none"/>
        </w:rPr>
        <w:t xml:space="preserve"> 名以上成交候选供应商，并编写评审报告。评审得分相同的，按照最后报价由低到高的顺序推荐。评审得分且最后报价相同的，按照技术指标优劣顺序推荐。符合《政府采购竞争性磋商采购方式管理暂行办法》(财库〔2014〕214</w:t>
      </w:r>
      <w:r>
        <w:rPr>
          <w:color w:val="auto"/>
          <w:spacing w:val="-8"/>
          <w:sz w:val="24"/>
          <w:highlight w:val="none"/>
        </w:rPr>
        <w:t xml:space="preserve"> 号)和《财政部关于政府采购竞争性磋商采购方式管理暂行办法有关问题的补充通知》（财库〔2015〕124</w:t>
      </w:r>
      <w:r>
        <w:rPr>
          <w:color w:val="auto"/>
          <w:spacing w:val="-30"/>
          <w:sz w:val="24"/>
          <w:highlight w:val="none"/>
        </w:rPr>
        <w:t xml:space="preserve"> 号</w:t>
      </w:r>
      <w:r>
        <w:rPr>
          <w:color w:val="auto"/>
          <w:sz w:val="24"/>
          <w:highlight w:val="none"/>
        </w:rPr>
        <w:t>）所列“政府购买服务项目（含政府和社会资本合作项目</w:t>
      </w:r>
      <w:r>
        <w:rPr>
          <w:color w:val="auto"/>
          <w:spacing w:val="-27"/>
          <w:sz w:val="24"/>
          <w:highlight w:val="none"/>
        </w:rPr>
        <w:t>）</w:t>
      </w:r>
      <w:r>
        <w:rPr>
          <w:color w:val="auto"/>
          <w:spacing w:val="-8"/>
          <w:sz w:val="24"/>
          <w:highlight w:val="none"/>
        </w:rPr>
        <w:t xml:space="preserve">、市场竞争不充分的科研项目以及需要扶持的科技成果转化项目”情形的， </w:t>
      </w:r>
      <w:r>
        <w:rPr>
          <w:color w:val="auto"/>
          <w:spacing w:val="-12"/>
          <w:sz w:val="24"/>
          <w:highlight w:val="none"/>
        </w:rPr>
        <w:t xml:space="preserve">可以推荐 </w:t>
      </w:r>
      <w:r>
        <w:rPr>
          <w:color w:val="auto"/>
          <w:sz w:val="24"/>
          <w:highlight w:val="none"/>
        </w:rPr>
        <w:t>2</w:t>
      </w:r>
      <w:r>
        <w:rPr>
          <w:color w:val="auto"/>
          <w:spacing w:val="-8"/>
          <w:sz w:val="24"/>
          <w:highlight w:val="none"/>
        </w:rPr>
        <w:t xml:space="preserve"> 家成交候选供应商。</w:t>
      </w:r>
    </w:p>
    <w:p w14:paraId="6CC69F25">
      <w:pPr>
        <w:pStyle w:val="11"/>
        <w:spacing w:before="8"/>
        <w:rPr>
          <w:color w:val="auto"/>
          <w:sz w:val="30"/>
          <w:highlight w:val="none"/>
        </w:rPr>
      </w:pPr>
    </w:p>
    <w:p w14:paraId="09825645">
      <w:pPr>
        <w:pStyle w:val="7"/>
        <w:numPr>
          <w:ilvl w:val="0"/>
          <w:numId w:val="31"/>
        </w:numPr>
        <w:tabs>
          <w:tab w:val="left" w:pos="477"/>
        </w:tabs>
        <w:spacing w:before="0" w:after="0" w:line="240" w:lineRule="auto"/>
        <w:ind w:left="476" w:right="0" w:hanging="365"/>
        <w:jc w:val="left"/>
        <w:rPr>
          <w:color w:val="auto"/>
          <w:highlight w:val="none"/>
        </w:rPr>
      </w:pPr>
      <w:r>
        <w:rPr>
          <w:color w:val="auto"/>
          <w:highlight w:val="none"/>
        </w:rPr>
        <w:t>确定成交供应商</w:t>
      </w:r>
    </w:p>
    <w:p w14:paraId="40FCA098">
      <w:pPr>
        <w:pStyle w:val="50"/>
        <w:numPr>
          <w:ilvl w:val="1"/>
          <w:numId w:val="31"/>
        </w:numPr>
        <w:tabs>
          <w:tab w:val="left" w:pos="1133"/>
        </w:tabs>
        <w:spacing w:before="161" w:after="0" w:line="240" w:lineRule="auto"/>
        <w:ind w:left="1132" w:right="0" w:hanging="541"/>
        <w:jc w:val="left"/>
        <w:rPr>
          <w:color w:val="auto"/>
          <w:sz w:val="24"/>
          <w:highlight w:val="none"/>
        </w:rPr>
      </w:pPr>
      <w:r>
        <w:rPr>
          <w:color w:val="auto"/>
          <w:spacing w:val="-4"/>
          <w:sz w:val="24"/>
          <w:highlight w:val="none"/>
        </w:rPr>
        <w:t xml:space="preserve">采购代理机构应当在评审结束后 </w:t>
      </w:r>
      <w:r>
        <w:rPr>
          <w:color w:val="auto"/>
          <w:sz w:val="24"/>
          <w:highlight w:val="none"/>
        </w:rPr>
        <w:t>2</w:t>
      </w:r>
      <w:r>
        <w:rPr>
          <w:color w:val="auto"/>
          <w:spacing w:val="-8"/>
          <w:sz w:val="24"/>
          <w:highlight w:val="none"/>
        </w:rPr>
        <w:t xml:space="preserve"> 个工作日内将评审报告送采购人确认。</w:t>
      </w:r>
    </w:p>
    <w:p w14:paraId="4DDEE115">
      <w:pPr>
        <w:pStyle w:val="50"/>
        <w:numPr>
          <w:ilvl w:val="1"/>
          <w:numId w:val="31"/>
        </w:numPr>
        <w:tabs>
          <w:tab w:val="left" w:pos="1073"/>
        </w:tabs>
        <w:spacing w:before="158" w:after="0" w:line="364" w:lineRule="auto"/>
        <w:ind w:left="112" w:right="412" w:firstLine="420"/>
        <w:jc w:val="left"/>
        <w:rPr>
          <w:b/>
          <w:color w:val="auto"/>
          <w:sz w:val="24"/>
          <w:highlight w:val="none"/>
        </w:rPr>
      </w:pPr>
      <w:r>
        <w:rPr>
          <w:color w:val="auto"/>
          <w:spacing w:val="-5"/>
          <w:sz w:val="24"/>
          <w:highlight w:val="none"/>
        </w:rPr>
        <w:t xml:space="preserve">采购人应当在收到评审报告后 </w:t>
      </w:r>
      <w:r>
        <w:rPr>
          <w:color w:val="auto"/>
          <w:sz w:val="24"/>
          <w:highlight w:val="none"/>
        </w:rPr>
        <w:t>5</w:t>
      </w:r>
      <w:r>
        <w:rPr>
          <w:color w:val="auto"/>
          <w:spacing w:val="-14"/>
          <w:sz w:val="24"/>
          <w:highlight w:val="none"/>
        </w:rPr>
        <w:t xml:space="preserve"> 个工作日内，从评审报告提出的成交候选供应商中， </w:t>
      </w:r>
      <w:r>
        <w:rPr>
          <w:color w:val="auto"/>
          <w:sz w:val="24"/>
          <w:highlight w:val="none"/>
        </w:rPr>
        <w:t>按照排序由高到低的原则确定成交供应商，也可以书面授权磋商小组直接确定成交供应商。</w:t>
      </w:r>
    </w:p>
    <w:p w14:paraId="56D84790">
      <w:pPr>
        <w:pStyle w:val="50"/>
        <w:numPr>
          <w:ilvl w:val="0"/>
          <w:numId w:val="0"/>
        </w:numPr>
        <w:tabs>
          <w:tab w:val="left" w:pos="1073"/>
        </w:tabs>
        <w:spacing w:before="158" w:after="0" w:line="364" w:lineRule="auto"/>
        <w:ind w:right="412" w:rightChars="0" w:firstLine="241" w:firstLineChars="100"/>
        <w:jc w:val="left"/>
        <w:rPr>
          <w:b/>
          <w:color w:val="auto"/>
          <w:sz w:val="24"/>
          <w:highlight w:val="none"/>
        </w:rPr>
      </w:pPr>
      <w:r>
        <w:rPr>
          <w:b/>
          <w:color w:val="auto"/>
          <w:sz w:val="24"/>
          <w:highlight w:val="none"/>
        </w:rPr>
        <w:t>34.磋商终止</w:t>
      </w:r>
    </w:p>
    <w:p w14:paraId="08FD9AC7">
      <w:pPr>
        <w:pStyle w:val="11"/>
        <w:spacing w:line="362" w:lineRule="auto"/>
        <w:ind w:left="112" w:right="532" w:firstLine="480"/>
        <w:rPr>
          <w:color w:val="auto"/>
          <w:highlight w:val="none"/>
        </w:rPr>
      </w:pPr>
      <w:r>
        <w:rPr>
          <w:color w:val="auto"/>
          <w:highlight w:val="none"/>
        </w:rPr>
        <w:t>34.1</w:t>
      </w:r>
      <w:r>
        <w:rPr>
          <w:color w:val="auto"/>
          <w:spacing w:val="-11"/>
          <w:highlight w:val="none"/>
        </w:rPr>
        <w:t xml:space="preserve"> 出现下列情形之一的，采购人或者采购代理机构应当终止竞争性磋商采购活动，在</w:t>
      </w:r>
      <w:r>
        <w:rPr>
          <w:color w:val="auto"/>
          <w:spacing w:val="-15"/>
          <w:highlight w:val="none"/>
        </w:rPr>
        <w:t xml:space="preserve">本章第 </w:t>
      </w:r>
      <w:r>
        <w:rPr>
          <w:color w:val="auto"/>
          <w:highlight w:val="none"/>
        </w:rPr>
        <w:t>37.1</w:t>
      </w:r>
      <w:r>
        <w:rPr>
          <w:color w:val="auto"/>
          <w:spacing w:val="-8"/>
          <w:highlight w:val="none"/>
        </w:rPr>
        <w:t xml:space="preserve"> 款指定的媒体上发布项目终止公告并说明原因，重新开展采购活动：</w:t>
      </w:r>
    </w:p>
    <w:p w14:paraId="0341C777">
      <w:pPr>
        <w:pStyle w:val="50"/>
        <w:numPr>
          <w:ilvl w:val="0"/>
          <w:numId w:val="34"/>
        </w:numPr>
        <w:tabs>
          <w:tab w:val="left" w:pos="1194"/>
        </w:tabs>
        <w:spacing w:before="4" w:after="0" w:line="240" w:lineRule="auto"/>
        <w:ind w:left="1193" w:right="0" w:hanging="602"/>
        <w:jc w:val="left"/>
        <w:rPr>
          <w:color w:val="auto"/>
          <w:sz w:val="24"/>
          <w:highlight w:val="none"/>
        </w:rPr>
      </w:pPr>
      <w:r>
        <w:rPr>
          <w:color w:val="auto"/>
          <w:sz w:val="24"/>
          <w:highlight w:val="none"/>
        </w:rPr>
        <w:t>因情况变化，不再符合规定的竞争性磋商采购方式适用情形的；</w:t>
      </w:r>
    </w:p>
    <w:p w14:paraId="46A226E2">
      <w:pPr>
        <w:pStyle w:val="50"/>
        <w:numPr>
          <w:ilvl w:val="0"/>
          <w:numId w:val="34"/>
        </w:numPr>
        <w:tabs>
          <w:tab w:val="left" w:pos="1134"/>
        </w:tabs>
        <w:spacing w:before="158" w:after="0" w:line="240" w:lineRule="auto"/>
        <w:ind w:left="1133" w:right="0" w:hanging="602"/>
        <w:jc w:val="left"/>
        <w:rPr>
          <w:color w:val="auto"/>
          <w:sz w:val="24"/>
          <w:highlight w:val="none"/>
        </w:rPr>
      </w:pPr>
      <w:r>
        <w:rPr>
          <w:color w:val="auto"/>
          <w:sz w:val="24"/>
          <w:highlight w:val="none"/>
        </w:rPr>
        <w:t>出现影响采购公正的违法、违规行为的；</w:t>
      </w:r>
    </w:p>
    <w:p w14:paraId="216BD225">
      <w:pPr>
        <w:pStyle w:val="50"/>
        <w:numPr>
          <w:ilvl w:val="0"/>
          <w:numId w:val="34"/>
        </w:numPr>
        <w:tabs>
          <w:tab w:val="left" w:pos="1134"/>
        </w:tabs>
        <w:spacing w:before="161" w:after="0" w:line="364" w:lineRule="auto"/>
        <w:ind w:left="112" w:right="532" w:firstLine="420"/>
        <w:jc w:val="both"/>
        <w:rPr>
          <w:color w:val="auto"/>
          <w:sz w:val="24"/>
          <w:highlight w:val="none"/>
        </w:rPr>
      </w:pPr>
      <w:r>
        <w:rPr>
          <w:color w:val="auto"/>
          <w:spacing w:val="-6"/>
          <w:sz w:val="24"/>
          <w:highlight w:val="none"/>
        </w:rPr>
        <w:t>除《政府采购竞争性磋商采购方式管理暂行办法》(财库〔</w:t>
      </w:r>
      <w:r>
        <w:rPr>
          <w:color w:val="auto"/>
          <w:sz w:val="24"/>
          <w:highlight w:val="none"/>
        </w:rPr>
        <w:t>2014</w:t>
      </w:r>
      <w:r>
        <w:rPr>
          <w:color w:val="auto"/>
          <w:spacing w:val="-15"/>
          <w:sz w:val="24"/>
          <w:highlight w:val="none"/>
        </w:rPr>
        <w:t>〕</w:t>
      </w:r>
      <w:r>
        <w:rPr>
          <w:color w:val="auto"/>
          <w:sz w:val="24"/>
          <w:highlight w:val="none"/>
        </w:rPr>
        <w:t>214</w:t>
      </w:r>
      <w:r>
        <w:rPr>
          <w:color w:val="auto"/>
          <w:spacing w:val="-13"/>
          <w:sz w:val="24"/>
          <w:highlight w:val="none"/>
        </w:rPr>
        <w:t xml:space="preserve"> 号) 和《财政</w:t>
      </w:r>
      <w:r>
        <w:rPr>
          <w:color w:val="auto"/>
          <w:spacing w:val="-2"/>
          <w:sz w:val="24"/>
          <w:highlight w:val="none"/>
        </w:rPr>
        <w:t>部关于政府采购竞争性磋商采购方式管理暂行办法有关问题的补充通知》</w:t>
      </w:r>
      <w:r>
        <w:rPr>
          <w:color w:val="auto"/>
          <w:sz w:val="24"/>
          <w:highlight w:val="none"/>
        </w:rPr>
        <w:t>（</w:t>
      </w:r>
      <w:r>
        <w:rPr>
          <w:color w:val="auto"/>
          <w:spacing w:val="-7"/>
          <w:sz w:val="24"/>
          <w:highlight w:val="none"/>
        </w:rPr>
        <w:t>财库〔</w:t>
      </w:r>
      <w:r>
        <w:rPr>
          <w:color w:val="auto"/>
          <w:sz w:val="24"/>
          <w:highlight w:val="none"/>
        </w:rPr>
        <w:t>2015</w:t>
      </w:r>
      <w:r>
        <w:rPr>
          <w:color w:val="auto"/>
          <w:spacing w:val="-22"/>
          <w:sz w:val="24"/>
          <w:highlight w:val="none"/>
        </w:rPr>
        <w:t>〕</w:t>
      </w:r>
      <w:r>
        <w:rPr>
          <w:color w:val="auto"/>
          <w:spacing w:val="-5"/>
          <w:sz w:val="24"/>
          <w:highlight w:val="none"/>
        </w:rPr>
        <w:t xml:space="preserve">124 </w:t>
      </w:r>
      <w:r>
        <w:rPr>
          <w:color w:val="auto"/>
          <w:sz w:val="24"/>
          <w:highlight w:val="none"/>
        </w:rPr>
        <w:t>号）所列“政府购买服务项目（含政府和社会资本合作项目）、市场竞争不充分的科研项目以及需要扶持的科技成果转化项目”情形外，在采购过程中符合要求的供应商或者报价未超</w:t>
      </w:r>
      <w:r>
        <w:rPr>
          <w:color w:val="auto"/>
          <w:spacing w:val="-5"/>
          <w:sz w:val="24"/>
          <w:highlight w:val="none"/>
        </w:rPr>
        <w:t xml:space="preserve">过采购预算的供应商不足 </w:t>
      </w:r>
      <w:r>
        <w:rPr>
          <w:color w:val="auto"/>
          <w:sz w:val="24"/>
          <w:highlight w:val="none"/>
        </w:rPr>
        <w:t>3</w:t>
      </w:r>
      <w:r>
        <w:rPr>
          <w:color w:val="auto"/>
          <w:spacing w:val="-15"/>
          <w:sz w:val="24"/>
          <w:highlight w:val="none"/>
        </w:rPr>
        <w:t xml:space="preserve"> 家的；</w:t>
      </w:r>
    </w:p>
    <w:p w14:paraId="5CAF185E">
      <w:pPr>
        <w:pStyle w:val="50"/>
        <w:numPr>
          <w:ilvl w:val="0"/>
          <w:numId w:val="0"/>
        </w:numPr>
        <w:tabs>
          <w:tab w:val="left" w:pos="1134"/>
        </w:tabs>
        <w:spacing w:before="0" w:after="0" w:line="364" w:lineRule="auto"/>
        <w:ind w:left="532" w:leftChars="0" w:right="5791" w:rightChars="0"/>
        <w:jc w:val="left"/>
        <w:rPr>
          <w:b/>
          <w:color w:val="auto"/>
          <w:sz w:val="24"/>
          <w:highlight w:val="none"/>
        </w:rPr>
      </w:pPr>
      <w:r>
        <w:rPr>
          <w:rFonts w:hint="eastAsia"/>
          <w:color w:val="auto"/>
          <w:spacing w:val="-2"/>
          <w:sz w:val="24"/>
          <w:highlight w:val="none"/>
          <w:lang w:val="en-US" w:eastAsia="zh-CN"/>
        </w:rPr>
        <w:t>(4)</w:t>
      </w:r>
      <w:r>
        <w:rPr>
          <w:color w:val="auto"/>
          <w:spacing w:val="-2"/>
          <w:sz w:val="24"/>
          <w:highlight w:val="none"/>
        </w:rPr>
        <w:t>因重大变故，采购任务取消的。</w:t>
      </w:r>
      <w:r>
        <w:rPr>
          <w:b/>
          <w:color w:val="auto"/>
          <w:sz w:val="24"/>
          <w:highlight w:val="none"/>
        </w:rPr>
        <w:t>35．重新评审</w:t>
      </w:r>
    </w:p>
    <w:p w14:paraId="290FCA91">
      <w:pPr>
        <w:pStyle w:val="11"/>
        <w:spacing w:line="362" w:lineRule="auto"/>
        <w:ind w:left="112" w:right="532" w:firstLine="480"/>
        <w:rPr>
          <w:color w:val="auto"/>
          <w:highlight w:val="none"/>
        </w:rPr>
      </w:pPr>
      <w:r>
        <w:rPr>
          <w:color w:val="auto"/>
          <w:highlight w:val="none"/>
        </w:rPr>
        <w:t>35.1</w:t>
      </w:r>
      <w:r>
        <w:rPr>
          <w:color w:val="auto"/>
          <w:spacing w:val="-9"/>
          <w:highlight w:val="none"/>
        </w:rPr>
        <w:t xml:space="preserve"> 除资格性检查认定错误、分值汇总计算错误、分项评分超出评分标准范围、客观分</w:t>
      </w:r>
      <w:r>
        <w:rPr>
          <w:color w:val="auto"/>
          <w:highlight w:val="none"/>
        </w:rPr>
        <w:t>评分不一致、经磋商小组一致认定评分畸高、畸低的情形外，采购人或者采购代理机构不得</w:t>
      </w:r>
    </w:p>
    <w:p w14:paraId="05DBC362">
      <w:pPr>
        <w:pStyle w:val="11"/>
        <w:spacing w:before="41" w:line="362" w:lineRule="auto"/>
        <w:ind w:left="112" w:right="571"/>
        <w:rPr>
          <w:color w:val="auto"/>
          <w:highlight w:val="none"/>
        </w:rPr>
      </w:pPr>
      <w:r>
        <w:rPr>
          <w:color w:val="auto"/>
          <w:highlight w:val="none"/>
        </w:rPr>
        <w:t>以任何理由组织重新评审。采购人、采购代理机构发现磋商小组未按照磋商文件规定的评审标准进行评审的，应当重新开展采购活动。</w:t>
      </w:r>
    </w:p>
    <w:p w14:paraId="6629B82A">
      <w:pPr>
        <w:pStyle w:val="7"/>
        <w:numPr>
          <w:ilvl w:val="0"/>
          <w:numId w:val="35"/>
        </w:numPr>
        <w:tabs>
          <w:tab w:val="left" w:pos="477"/>
        </w:tabs>
        <w:spacing w:before="5" w:after="0" w:line="240" w:lineRule="auto"/>
        <w:ind w:left="476" w:right="0" w:hanging="365"/>
        <w:jc w:val="left"/>
        <w:rPr>
          <w:color w:val="auto"/>
          <w:highlight w:val="none"/>
        </w:rPr>
      </w:pPr>
      <w:r>
        <w:rPr>
          <w:color w:val="auto"/>
          <w:highlight w:val="none"/>
        </w:rPr>
        <w:t>保密及串通行为</w:t>
      </w:r>
    </w:p>
    <w:p w14:paraId="366F0EFF">
      <w:pPr>
        <w:pStyle w:val="50"/>
        <w:numPr>
          <w:ilvl w:val="1"/>
          <w:numId w:val="35"/>
        </w:numPr>
        <w:tabs>
          <w:tab w:val="left" w:pos="1112"/>
        </w:tabs>
        <w:spacing w:before="161" w:after="0" w:line="362" w:lineRule="auto"/>
        <w:ind w:left="112" w:right="532" w:firstLine="480"/>
        <w:jc w:val="both"/>
        <w:rPr>
          <w:color w:val="auto"/>
          <w:sz w:val="24"/>
          <w:highlight w:val="none"/>
        </w:rPr>
      </w:pPr>
      <w:r>
        <w:rPr>
          <w:color w:val="auto"/>
          <w:spacing w:val="-1"/>
          <w:sz w:val="24"/>
          <w:highlight w:val="none"/>
        </w:rPr>
        <w:t>磋商小组成员以及与评审工作有关的人员不得泄露评审情况以及评审过程中获悉的</w:t>
      </w:r>
      <w:r>
        <w:rPr>
          <w:color w:val="auto"/>
          <w:sz w:val="24"/>
          <w:highlight w:val="none"/>
        </w:rPr>
        <w:t>国家秘密、商业秘密。</w:t>
      </w:r>
    </w:p>
    <w:p w14:paraId="3C1B9A57">
      <w:pPr>
        <w:pStyle w:val="50"/>
        <w:numPr>
          <w:ilvl w:val="1"/>
          <w:numId w:val="35"/>
        </w:numPr>
        <w:tabs>
          <w:tab w:val="left" w:pos="1133"/>
        </w:tabs>
        <w:spacing w:before="5" w:after="0" w:line="364" w:lineRule="auto"/>
        <w:ind w:left="112" w:right="530" w:firstLine="480"/>
        <w:jc w:val="both"/>
        <w:rPr>
          <w:color w:val="auto"/>
          <w:sz w:val="24"/>
          <w:highlight w:val="none"/>
        </w:rPr>
      </w:pPr>
      <w:r>
        <w:rPr>
          <w:color w:val="auto"/>
          <w:spacing w:val="-5"/>
          <w:sz w:val="24"/>
          <w:highlight w:val="none"/>
        </w:rPr>
        <w:t>供应商不得与采购人、采购代理机构、其他供应商恶意串通；不得向采购人、采购</w:t>
      </w:r>
      <w:r>
        <w:rPr>
          <w:color w:val="auto"/>
          <w:sz w:val="24"/>
          <w:highlight w:val="none"/>
        </w:rPr>
        <w:t>代理机构或者磋商小组成员行贿或者提供其他不正当利益；不得提供虚假资料谋取成交；不得以任何方式干扰、影响采购工作。</w:t>
      </w:r>
    </w:p>
    <w:p w14:paraId="4675FE66">
      <w:pPr>
        <w:pStyle w:val="50"/>
        <w:numPr>
          <w:ilvl w:val="1"/>
          <w:numId w:val="35"/>
        </w:numPr>
        <w:tabs>
          <w:tab w:val="left" w:pos="1133"/>
        </w:tabs>
        <w:spacing w:before="0" w:after="0" w:line="364" w:lineRule="auto"/>
        <w:ind w:left="112" w:right="532" w:firstLine="480"/>
        <w:jc w:val="both"/>
        <w:rPr>
          <w:color w:val="auto"/>
          <w:sz w:val="24"/>
          <w:highlight w:val="none"/>
        </w:rPr>
      </w:pPr>
      <w:r>
        <w:rPr>
          <w:color w:val="auto"/>
          <w:spacing w:val="-4"/>
          <w:sz w:val="24"/>
          <w:highlight w:val="none"/>
        </w:rPr>
        <w:t>有下列情形之一的，属于恶意串通，对供应商依照政府采购法第七十七条第一款的</w:t>
      </w:r>
      <w:r>
        <w:rPr>
          <w:color w:val="auto"/>
          <w:sz w:val="24"/>
          <w:highlight w:val="none"/>
        </w:rPr>
        <w:t>规定追究法律责任：</w:t>
      </w:r>
    </w:p>
    <w:p w14:paraId="053E927A">
      <w:pPr>
        <w:pStyle w:val="11"/>
        <w:spacing w:line="364" w:lineRule="auto"/>
        <w:ind w:left="112" w:right="571" w:firstLine="480"/>
        <w:rPr>
          <w:color w:val="auto"/>
          <w:highlight w:val="none"/>
        </w:rPr>
      </w:pPr>
      <w:r>
        <w:rPr>
          <w:color w:val="auto"/>
          <w:highlight w:val="none"/>
        </w:rPr>
        <w:t>（一）供应商直接或者间接从采购人或者采购代理机构处获得其他供应商的相关情况并修改其</w:t>
      </w:r>
      <w:r>
        <w:rPr>
          <w:rFonts w:hint="eastAsia"/>
          <w:color w:val="auto"/>
          <w:highlight w:val="none"/>
          <w:lang w:eastAsia="zh-CN"/>
        </w:rPr>
        <w:t>响应文件</w:t>
      </w:r>
      <w:r>
        <w:rPr>
          <w:color w:val="auto"/>
          <w:highlight w:val="none"/>
        </w:rPr>
        <w:t>或者响应文件；</w:t>
      </w:r>
    </w:p>
    <w:p w14:paraId="7703A74B">
      <w:pPr>
        <w:pStyle w:val="11"/>
        <w:spacing w:line="306" w:lineRule="exact"/>
        <w:ind w:left="592"/>
        <w:rPr>
          <w:color w:val="auto"/>
          <w:highlight w:val="none"/>
        </w:rPr>
      </w:pPr>
      <w:r>
        <w:rPr>
          <w:color w:val="auto"/>
          <w:highlight w:val="none"/>
        </w:rPr>
        <w:t>（二）供应商按照采购人或者采购代理机构的授意撤换、修改</w:t>
      </w:r>
      <w:r>
        <w:rPr>
          <w:rFonts w:hint="eastAsia"/>
          <w:color w:val="auto"/>
          <w:highlight w:val="none"/>
          <w:lang w:eastAsia="zh-CN"/>
        </w:rPr>
        <w:t>响应文件</w:t>
      </w:r>
      <w:r>
        <w:rPr>
          <w:color w:val="auto"/>
          <w:highlight w:val="none"/>
        </w:rPr>
        <w:t>或者响应文件；</w:t>
      </w:r>
    </w:p>
    <w:p w14:paraId="13A9F241">
      <w:pPr>
        <w:pStyle w:val="11"/>
        <w:spacing w:before="156"/>
        <w:ind w:left="592"/>
        <w:rPr>
          <w:color w:val="auto"/>
          <w:highlight w:val="none"/>
        </w:rPr>
      </w:pPr>
      <w:r>
        <w:rPr>
          <w:color w:val="auto"/>
          <w:highlight w:val="none"/>
        </w:rPr>
        <w:t>（三）供应商之间协商报价、技术方案等</w:t>
      </w:r>
      <w:r>
        <w:rPr>
          <w:rFonts w:hint="eastAsia"/>
          <w:color w:val="auto"/>
          <w:highlight w:val="none"/>
          <w:lang w:eastAsia="zh-CN"/>
        </w:rPr>
        <w:t>响应文件</w:t>
      </w:r>
      <w:r>
        <w:rPr>
          <w:color w:val="auto"/>
          <w:highlight w:val="none"/>
        </w:rPr>
        <w:t>或者响应文件的实质性内容；</w:t>
      </w:r>
    </w:p>
    <w:p w14:paraId="1BA1033F">
      <w:pPr>
        <w:pStyle w:val="11"/>
        <w:spacing w:before="160" w:line="362" w:lineRule="auto"/>
        <w:ind w:left="112" w:right="571" w:firstLine="480"/>
        <w:rPr>
          <w:color w:val="auto"/>
          <w:highlight w:val="none"/>
        </w:rPr>
      </w:pPr>
      <w:r>
        <w:rPr>
          <w:color w:val="auto"/>
          <w:highlight w:val="none"/>
        </w:rPr>
        <w:t>（四）属于同一集团、协会、商会等组织成员的供应商按照该组织要求协同参加政府采购活动；</w:t>
      </w:r>
    </w:p>
    <w:p w14:paraId="1CD8F274">
      <w:pPr>
        <w:pStyle w:val="11"/>
        <w:spacing w:before="5"/>
        <w:ind w:left="592"/>
        <w:rPr>
          <w:color w:val="auto"/>
          <w:highlight w:val="none"/>
        </w:rPr>
      </w:pPr>
      <w:r>
        <w:rPr>
          <w:color w:val="auto"/>
          <w:highlight w:val="none"/>
        </w:rPr>
        <w:t>（五）供应商之间事先约定由某一特定供应商中标、成交；</w:t>
      </w:r>
    </w:p>
    <w:p w14:paraId="73BF7C42">
      <w:pPr>
        <w:pStyle w:val="11"/>
        <w:spacing w:before="158"/>
        <w:ind w:left="592"/>
        <w:rPr>
          <w:color w:val="auto"/>
          <w:highlight w:val="none"/>
        </w:rPr>
      </w:pPr>
      <w:r>
        <w:rPr>
          <w:color w:val="auto"/>
          <w:highlight w:val="none"/>
        </w:rPr>
        <w:t>（六）供应商之间商定部分供应商放弃参加政府采购活动或者放弃中标、成交；</w:t>
      </w:r>
    </w:p>
    <w:p w14:paraId="0313D838">
      <w:pPr>
        <w:pStyle w:val="11"/>
        <w:spacing w:before="158" w:line="364" w:lineRule="auto"/>
        <w:ind w:left="112" w:right="571" w:firstLine="480"/>
        <w:rPr>
          <w:color w:val="auto"/>
          <w:highlight w:val="none"/>
        </w:rPr>
      </w:pPr>
      <w:r>
        <w:rPr>
          <w:color w:val="auto"/>
          <w:highlight w:val="none"/>
        </w:rPr>
        <w:t>（七）供应商与采购人或者采购代理机构之间、供应商相互之间，为谋求特定供应商中标、成交或者排斥其他供应商的其他串通行为。</w:t>
      </w:r>
    </w:p>
    <w:p w14:paraId="2A8C3D12">
      <w:pPr>
        <w:pStyle w:val="11"/>
        <w:spacing w:before="10"/>
        <w:rPr>
          <w:color w:val="auto"/>
          <w:sz w:val="17"/>
          <w:highlight w:val="none"/>
        </w:rPr>
      </w:pPr>
    </w:p>
    <w:p w14:paraId="7402C12E">
      <w:pPr>
        <w:pStyle w:val="5"/>
        <w:ind w:left="112"/>
        <w:jc w:val="left"/>
        <w:outlineLvl w:val="1"/>
        <w:rPr>
          <w:color w:val="auto"/>
          <w:highlight w:val="none"/>
        </w:rPr>
      </w:pPr>
      <w:bookmarkStart w:id="57" w:name="_Toc16229"/>
      <w:bookmarkStart w:id="58" w:name="_Toc28492"/>
      <w:bookmarkStart w:id="59" w:name="_Toc1616"/>
      <w:bookmarkStart w:id="60" w:name="_Toc13086"/>
      <w:r>
        <w:rPr>
          <w:color w:val="auto"/>
          <w:highlight w:val="none"/>
        </w:rPr>
        <w:t>六、成交结果信息公布与授予合同</w:t>
      </w:r>
      <w:bookmarkEnd w:id="57"/>
      <w:bookmarkEnd w:id="58"/>
      <w:bookmarkEnd w:id="59"/>
      <w:bookmarkEnd w:id="60"/>
    </w:p>
    <w:p w14:paraId="54977751">
      <w:pPr>
        <w:pStyle w:val="7"/>
        <w:numPr>
          <w:ilvl w:val="0"/>
          <w:numId w:val="35"/>
        </w:numPr>
        <w:tabs>
          <w:tab w:val="left" w:pos="477"/>
        </w:tabs>
        <w:spacing w:before="166" w:after="0" w:line="240" w:lineRule="auto"/>
        <w:ind w:left="476" w:right="0" w:hanging="365"/>
        <w:jc w:val="left"/>
        <w:rPr>
          <w:color w:val="auto"/>
          <w:highlight w:val="none"/>
        </w:rPr>
      </w:pPr>
      <w:r>
        <w:rPr>
          <w:color w:val="auto"/>
          <w:highlight w:val="none"/>
        </w:rPr>
        <w:t>成交信息的公布</w:t>
      </w:r>
    </w:p>
    <w:p w14:paraId="1CC09165">
      <w:pPr>
        <w:pStyle w:val="50"/>
        <w:numPr>
          <w:ilvl w:val="1"/>
          <w:numId w:val="35"/>
        </w:numPr>
        <w:tabs>
          <w:tab w:val="left" w:pos="1133"/>
        </w:tabs>
        <w:spacing w:before="161" w:after="0" w:line="362" w:lineRule="auto"/>
        <w:ind w:left="112" w:right="525" w:firstLine="480"/>
        <w:jc w:val="left"/>
        <w:rPr>
          <w:color w:val="auto"/>
          <w:sz w:val="24"/>
          <w:highlight w:val="none"/>
        </w:rPr>
      </w:pPr>
      <w:r>
        <w:rPr>
          <w:color w:val="auto"/>
          <w:spacing w:val="-7"/>
          <w:sz w:val="24"/>
          <w:highlight w:val="none"/>
        </w:rPr>
        <w:t xml:space="preserve">成交供应商确定后 </w:t>
      </w:r>
      <w:r>
        <w:rPr>
          <w:color w:val="auto"/>
          <w:sz w:val="24"/>
          <w:highlight w:val="none"/>
        </w:rPr>
        <w:t>2</w:t>
      </w:r>
      <w:r>
        <w:rPr>
          <w:color w:val="auto"/>
          <w:spacing w:val="-10"/>
          <w:sz w:val="24"/>
          <w:highlight w:val="none"/>
        </w:rPr>
        <w:t xml:space="preserve"> 个工作日内，成交结果信息将在</w:t>
      </w:r>
      <w:r>
        <w:rPr>
          <w:b/>
          <w:color w:val="auto"/>
          <w:sz w:val="24"/>
          <w:highlight w:val="none"/>
        </w:rPr>
        <w:t>磋商须知前附表</w:t>
      </w:r>
      <w:r>
        <w:rPr>
          <w:color w:val="auto"/>
          <w:spacing w:val="-2"/>
          <w:sz w:val="24"/>
          <w:highlight w:val="none"/>
        </w:rPr>
        <w:t>指定的媒体上</w:t>
      </w:r>
      <w:r>
        <w:rPr>
          <w:color w:val="auto"/>
          <w:sz w:val="24"/>
          <w:highlight w:val="none"/>
        </w:rPr>
        <w:t>公布。</w:t>
      </w:r>
    </w:p>
    <w:p w14:paraId="1CB1E6AE">
      <w:pPr>
        <w:pStyle w:val="7"/>
        <w:numPr>
          <w:ilvl w:val="0"/>
          <w:numId w:val="35"/>
        </w:numPr>
        <w:tabs>
          <w:tab w:val="left" w:pos="477"/>
        </w:tabs>
        <w:spacing w:before="5" w:after="0" w:line="240" w:lineRule="auto"/>
        <w:ind w:left="476" w:right="0" w:hanging="365"/>
        <w:jc w:val="left"/>
        <w:rPr>
          <w:color w:val="auto"/>
          <w:highlight w:val="none"/>
        </w:rPr>
      </w:pPr>
      <w:r>
        <w:rPr>
          <w:color w:val="auto"/>
          <w:highlight w:val="none"/>
        </w:rPr>
        <w:t>询问及质疑</w:t>
      </w:r>
    </w:p>
    <w:p w14:paraId="1EEFAEE9">
      <w:pPr>
        <w:pStyle w:val="50"/>
        <w:numPr>
          <w:ilvl w:val="1"/>
          <w:numId w:val="35"/>
        </w:numPr>
        <w:tabs>
          <w:tab w:val="left" w:pos="1133"/>
        </w:tabs>
        <w:spacing w:before="158" w:after="0" w:line="240" w:lineRule="auto"/>
        <w:ind w:left="1132" w:right="0" w:hanging="541"/>
        <w:jc w:val="left"/>
        <w:rPr>
          <w:color w:val="auto"/>
          <w:sz w:val="24"/>
          <w:highlight w:val="none"/>
        </w:rPr>
      </w:pPr>
      <w:r>
        <w:rPr>
          <w:color w:val="auto"/>
          <w:sz w:val="24"/>
          <w:highlight w:val="none"/>
        </w:rPr>
        <w:t>供应商对政府采购活动事项有疑问的，可以向采购人或采购代理机构提出询问。</w:t>
      </w:r>
    </w:p>
    <w:p w14:paraId="75D81A25">
      <w:pPr>
        <w:pStyle w:val="50"/>
        <w:numPr>
          <w:ilvl w:val="1"/>
          <w:numId w:val="35"/>
        </w:numPr>
        <w:tabs>
          <w:tab w:val="left" w:pos="1133"/>
        </w:tabs>
        <w:spacing w:before="158" w:after="0" w:line="364" w:lineRule="auto"/>
        <w:ind w:left="112" w:right="412" w:firstLine="480"/>
        <w:jc w:val="left"/>
        <w:rPr>
          <w:color w:val="auto"/>
          <w:sz w:val="24"/>
          <w:highlight w:val="none"/>
        </w:rPr>
      </w:pPr>
      <w:r>
        <w:rPr>
          <w:color w:val="auto"/>
          <w:spacing w:val="-11"/>
          <w:sz w:val="24"/>
          <w:highlight w:val="none"/>
        </w:rPr>
        <w:t>供应商若认为磋商文件、采购过程和成交结果使自己的权益受到损害，可以按法律、</w:t>
      </w:r>
      <w:r>
        <w:rPr>
          <w:color w:val="auto"/>
          <w:sz w:val="24"/>
          <w:highlight w:val="none"/>
        </w:rPr>
        <w:t>行政法规及湖南省财政厅规范性文件规定向采购人或采购代理机构提出质疑。</w:t>
      </w:r>
    </w:p>
    <w:p w14:paraId="49F506B6">
      <w:pPr>
        <w:pStyle w:val="7"/>
        <w:numPr>
          <w:ilvl w:val="0"/>
          <w:numId w:val="35"/>
        </w:numPr>
        <w:tabs>
          <w:tab w:val="left" w:pos="477"/>
        </w:tabs>
        <w:spacing w:before="1" w:after="0" w:line="240" w:lineRule="auto"/>
        <w:ind w:left="476" w:right="0" w:hanging="365"/>
        <w:jc w:val="left"/>
        <w:rPr>
          <w:color w:val="auto"/>
          <w:highlight w:val="none"/>
        </w:rPr>
      </w:pPr>
      <w:r>
        <w:rPr>
          <w:color w:val="auto"/>
          <w:highlight w:val="none"/>
        </w:rPr>
        <w:t>成交通知</w:t>
      </w:r>
    </w:p>
    <w:p w14:paraId="44ECA715">
      <w:pPr>
        <w:spacing w:after="0" w:line="240" w:lineRule="auto"/>
        <w:jc w:val="left"/>
        <w:rPr>
          <w:color w:val="auto"/>
          <w:highlight w:val="none"/>
        </w:rPr>
      </w:pPr>
    </w:p>
    <w:p w14:paraId="63F0D32C">
      <w:pPr>
        <w:pStyle w:val="50"/>
        <w:numPr>
          <w:ilvl w:val="1"/>
          <w:numId w:val="35"/>
        </w:numPr>
        <w:tabs>
          <w:tab w:val="left" w:pos="1133"/>
        </w:tabs>
        <w:spacing w:before="41" w:after="0" w:line="362" w:lineRule="auto"/>
        <w:ind w:left="112" w:right="532" w:firstLine="480"/>
        <w:jc w:val="both"/>
        <w:rPr>
          <w:color w:val="auto"/>
          <w:sz w:val="24"/>
          <w:highlight w:val="none"/>
        </w:rPr>
      </w:pPr>
      <w:bookmarkStart w:id="61" w:name="第三章 评审方法"/>
      <w:bookmarkEnd w:id="61"/>
      <w:bookmarkStart w:id="62" w:name="第三章 评审方法"/>
      <w:bookmarkEnd w:id="62"/>
      <w:r>
        <w:rPr>
          <w:color w:val="auto"/>
          <w:spacing w:val="-4"/>
          <w:sz w:val="24"/>
          <w:highlight w:val="none"/>
        </w:rPr>
        <w:t>成交供应商确定后，采购人或采购代理机构将以书面形式向成交供应商发出成交通</w:t>
      </w:r>
      <w:r>
        <w:rPr>
          <w:color w:val="auto"/>
          <w:sz w:val="24"/>
          <w:highlight w:val="none"/>
        </w:rPr>
        <w:t>知书。成交通知书对采购人和成交供应商具有同等法律效力。</w:t>
      </w:r>
    </w:p>
    <w:p w14:paraId="5D5AFCBC">
      <w:pPr>
        <w:pStyle w:val="50"/>
        <w:numPr>
          <w:ilvl w:val="1"/>
          <w:numId w:val="35"/>
        </w:numPr>
        <w:tabs>
          <w:tab w:val="left" w:pos="1193"/>
        </w:tabs>
        <w:spacing w:before="5" w:after="0" w:line="240" w:lineRule="auto"/>
        <w:ind w:left="1192" w:right="0" w:hanging="601"/>
        <w:jc w:val="both"/>
        <w:rPr>
          <w:color w:val="auto"/>
          <w:sz w:val="24"/>
          <w:highlight w:val="none"/>
        </w:rPr>
      </w:pPr>
      <w:r>
        <w:rPr>
          <w:color w:val="auto"/>
          <w:sz w:val="24"/>
          <w:highlight w:val="none"/>
        </w:rPr>
        <w:t>成交通知书是合同文件的组成部分。</w:t>
      </w:r>
    </w:p>
    <w:p w14:paraId="1DF8E0CF">
      <w:pPr>
        <w:pStyle w:val="50"/>
        <w:numPr>
          <w:ilvl w:val="1"/>
          <w:numId w:val="35"/>
        </w:numPr>
        <w:tabs>
          <w:tab w:val="left" w:pos="1193"/>
        </w:tabs>
        <w:spacing w:before="161" w:after="0" w:line="364" w:lineRule="auto"/>
        <w:ind w:left="112" w:right="525" w:firstLine="480"/>
        <w:jc w:val="both"/>
        <w:rPr>
          <w:color w:val="auto"/>
          <w:sz w:val="24"/>
          <w:highlight w:val="none"/>
        </w:rPr>
      </w:pPr>
      <w:r>
        <w:rPr>
          <w:color w:val="auto"/>
          <w:sz w:val="24"/>
          <w:highlight w:val="none"/>
        </w:rPr>
        <w:t>成交供应商在收到采购代理机构的成交通知书后10</w:t>
      </w:r>
      <w:r>
        <w:rPr>
          <w:color w:val="auto"/>
          <w:spacing w:val="-16"/>
          <w:sz w:val="24"/>
          <w:highlight w:val="none"/>
        </w:rPr>
        <w:t>日内，应按照</w:t>
      </w:r>
      <w:r>
        <w:rPr>
          <w:b/>
          <w:color w:val="auto"/>
          <w:sz w:val="24"/>
          <w:highlight w:val="none"/>
        </w:rPr>
        <w:t>磋商须知前附表</w:t>
      </w:r>
      <w:r>
        <w:rPr>
          <w:color w:val="auto"/>
          <w:spacing w:val="-14"/>
          <w:sz w:val="24"/>
          <w:highlight w:val="none"/>
        </w:rPr>
        <w:t>的</w:t>
      </w:r>
      <w:r>
        <w:rPr>
          <w:color w:val="auto"/>
          <w:sz w:val="24"/>
          <w:highlight w:val="none"/>
        </w:rPr>
        <w:t>规定，向采购人提交履约担保。联合体成交的，履约担保由联合体各方或联合体中牵头人的名义提交。</w:t>
      </w:r>
    </w:p>
    <w:p w14:paraId="019B42BA">
      <w:pPr>
        <w:pStyle w:val="50"/>
        <w:numPr>
          <w:ilvl w:val="1"/>
          <w:numId w:val="35"/>
        </w:numPr>
        <w:tabs>
          <w:tab w:val="left" w:pos="1193"/>
        </w:tabs>
        <w:spacing w:before="0" w:after="0" w:line="364" w:lineRule="auto"/>
        <w:ind w:left="112" w:right="535" w:firstLine="480"/>
        <w:jc w:val="both"/>
        <w:rPr>
          <w:color w:val="auto"/>
          <w:sz w:val="24"/>
          <w:highlight w:val="none"/>
        </w:rPr>
      </w:pPr>
      <w:r>
        <w:rPr>
          <w:color w:val="auto"/>
          <w:spacing w:val="-3"/>
          <w:sz w:val="24"/>
          <w:highlight w:val="none"/>
        </w:rPr>
        <w:t xml:space="preserve">成交供应商没有按照本章第 </w:t>
      </w:r>
      <w:r>
        <w:rPr>
          <w:color w:val="auto"/>
          <w:sz w:val="24"/>
          <w:highlight w:val="none"/>
        </w:rPr>
        <w:t>39.3</w:t>
      </w:r>
      <w:r>
        <w:rPr>
          <w:color w:val="auto"/>
          <w:spacing w:val="-10"/>
          <w:sz w:val="24"/>
          <w:highlight w:val="none"/>
        </w:rPr>
        <w:t xml:space="preserve"> 款规定提交履约担保的，视为放弃成交资格，其</w:t>
      </w:r>
      <w:r>
        <w:rPr>
          <w:color w:val="auto"/>
          <w:sz w:val="24"/>
          <w:highlight w:val="none"/>
        </w:rPr>
        <w:t>保证金不予退还。</w:t>
      </w:r>
    </w:p>
    <w:p w14:paraId="2CC48328">
      <w:pPr>
        <w:pStyle w:val="7"/>
        <w:numPr>
          <w:ilvl w:val="0"/>
          <w:numId w:val="35"/>
        </w:numPr>
        <w:tabs>
          <w:tab w:val="left" w:pos="477"/>
        </w:tabs>
        <w:spacing w:before="0" w:after="0" w:line="306" w:lineRule="exact"/>
        <w:ind w:left="476" w:right="0" w:hanging="365"/>
        <w:jc w:val="left"/>
        <w:rPr>
          <w:color w:val="auto"/>
          <w:highlight w:val="none"/>
        </w:rPr>
      </w:pPr>
      <w:r>
        <w:rPr>
          <w:color w:val="auto"/>
          <w:highlight w:val="none"/>
        </w:rPr>
        <w:t>签订合同</w:t>
      </w:r>
    </w:p>
    <w:p w14:paraId="531672AD">
      <w:pPr>
        <w:pStyle w:val="50"/>
        <w:numPr>
          <w:ilvl w:val="1"/>
          <w:numId w:val="35"/>
        </w:numPr>
        <w:tabs>
          <w:tab w:val="left" w:pos="1133"/>
        </w:tabs>
        <w:spacing w:before="157" w:after="0" w:line="240" w:lineRule="auto"/>
        <w:ind w:left="1132" w:right="0" w:hanging="541"/>
        <w:jc w:val="both"/>
        <w:rPr>
          <w:color w:val="auto"/>
          <w:sz w:val="24"/>
          <w:highlight w:val="none"/>
        </w:rPr>
      </w:pPr>
      <w:r>
        <w:rPr>
          <w:color w:val="auto"/>
          <w:spacing w:val="-4"/>
          <w:sz w:val="24"/>
          <w:highlight w:val="none"/>
        </w:rPr>
        <w:t xml:space="preserve">成交供应商应当在成交通知书发出之日起 </w:t>
      </w:r>
      <w:r>
        <w:rPr>
          <w:color w:val="auto"/>
          <w:sz w:val="24"/>
          <w:highlight w:val="none"/>
        </w:rPr>
        <w:t>30</w:t>
      </w:r>
      <w:r>
        <w:rPr>
          <w:color w:val="auto"/>
          <w:spacing w:val="-8"/>
          <w:sz w:val="24"/>
          <w:highlight w:val="none"/>
        </w:rPr>
        <w:t xml:space="preserve"> 日内与采购人签订政府采购合同。</w:t>
      </w:r>
    </w:p>
    <w:p w14:paraId="5D8CFB91">
      <w:pPr>
        <w:pStyle w:val="50"/>
        <w:numPr>
          <w:ilvl w:val="1"/>
          <w:numId w:val="35"/>
        </w:numPr>
        <w:tabs>
          <w:tab w:val="left" w:pos="1133"/>
        </w:tabs>
        <w:spacing w:before="158" w:after="0" w:line="240" w:lineRule="auto"/>
        <w:ind w:left="1132" w:right="0" w:hanging="541"/>
        <w:jc w:val="left"/>
        <w:rPr>
          <w:color w:val="auto"/>
          <w:sz w:val="24"/>
          <w:highlight w:val="none"/>
        </w:rPr>
      </w:pPr>
      <w:r>
        <w:rPr>
          <w:color w:val="auto"/>
          <w:sz w:val="24"/>
          <w:highlight w:val="none"/>
        </w:rPr>
        <w:t>磋商文件、成交供应商的响应文件等均为签订政府采购合同的依据。</w:t>
      </w:r>
    </w:p>
    <w:p w14:paraId="36C0B5C8">
      <w:pPr>
        <w:pStyle w:val="50"/>
        <w:numPr>
          <w:ilvl w:val="1"/>
          <w:numId w:val="35"/>
        </w:numPr>
        <w:tabs>
          <w:tab w:val="left" w:pos="1193"/>
        </w:tabs>
        <w:spacing w:before="161" w:after="0" w:line="362" w:lineRule="auto"/>
        <w:ind w:left="112" w:right="532" w:firstLine="480"/>
        <w:jc w:val="left"/>
        <w:rPr>
          <w:color w:val="auto"/>
          <w:sz w:val="24"/>
          <w:highlight w:val="none"/>
        </w:rPr>
      </w:pPr>
      <w:r>
        <w:rPr>
          <w:color w:val="auto"/>
          <w:spacing w:val="-6"/>
          <w:sz w:val="24"/>
          <w:highlight w:val="none"/>
        </w:rPr>
        <w:t>成交供应商应当按照合同约定履行义务。成交供应商不得向他人转让成交项目，也</w:t>
      </w:r>
      <w:r>
        <w:rPr>
          <w:color w:val="auto"/>
          <w:sz w:val="24"/>
          <w:highlight w:val="none"/>
        </w:rPr>
        <w:t>不得将成交项目分包后分别向他人转让。</w:t>
      </w:r>
    </w:p>
    <w:p w14:paraId="2F6E7F97">
      <w:pPr>
        <w:pStyle w:val="50"/>
        <w:numPr>
          <w:ilvl w:val="1"/>
          <w:numId w:val="35"/>
        </w:numPr>
        <w:tabs>
          <w:tab w:val="left" w:pos="1193"/>
        </w:tabs>
        <w:spacing w:before="5" w:after="0" w:line="364" w:lineRule="auto"/>
        <w:ind w:left="112" w:right="530" w:firstLine="480"/>
        <w:jc w:val="left"/>
        <w:rPr>
          <w:color w:val="auto"/>
          <w:sz w:val="24"/>
          <w:highlight w:val="none"/>
        </w:rPr>
      </w:pPr>
      <w:r>
        <w:rPr>
          <w:color w:val="auto"/>
          <w:spacing w:val="-6"/>
          <w:sz w:val="24"/>
          <w:highlight w:val="none"/>
        </w:rPr>
        <w:t>成交供应商有下列情形之一的，责令限期改正，情节严重的，列入不良行为记录名</w:t>
      </w:r>
      <w:r>
        <w:rPr>
          <w:color w:val="auto"/>
          <w:spacing w:val="-15"/>
          <w:sz w:val="24"/>
          <w:highlight w:val="none"/>
        </w:rPr>
        <w:t xml:space="preserve">单，在 </w:t>
      </w:r>
      <w:r>
        <w:rPr>
          <w:color w:val="auto"/>
          <w:sz w:val="24"/>
          <w:highlight w:val="none"/>
        </w:rPr>
        <w:t>1</w:t>
      </w:r>
      <w:r>
        <w:rPr>
          <w:color w:val="auto"/>
          <w:spacing w:val="-40"/>
          <w:sz w:val="24"/>
          <w:highlight w:val="none"/>
        </w:rPr>
        <w:t xml:space="preserve"> 至 </w:t>
      </w:r>
      <w:r>
        <w:rPr>
          <w:color w:val="auto"/>
          <w:sz w:val="24"/>
          <w:highlight w:val="none"/>
        </w:rPr>
        <w:t>3</w:t>
      </w:r>
      <w:r>
        <w:rPr>
          <w:color w:val="auto"/>
          <w:spacing w:val="-8"/>
          <w:sz w:val="24"/>
          <w:highlight w:val="none"/>
        </w:rPr>
        <w:t xml:space="preserve"> 年内禁止参加政府采购活动，并予以通报：</w:t>
      </w:r>
    </w:p>
    <w:p w14:paraId="49553210">
      <w:pPr>
        <w:pStyle w:val="11"/>
        <w:spacing w:line="306" w:lineRule="exact"/>
        <w:ind w:left="592"/>
        <w:rPr>
          <w:color w:val="auto"/>
          <w:highlight w:val="none"/>
        </w:rPr>
      </w:pPr>
      <w:r>
        <w:rPr>
          <w:color w:val="auto"/>
          <w:highlight w:val="none"/>
        </w:rPr>
        <w:t>（一）成交后无正当理由不与采购人签订合同的；</w:t>
      </w:r>
    </w:p>
    <w:p w14:paraId="5F744D84">
      <w:pPr>
        <w:pStyle w:val="11"/>
        <w:spacing w:before="160" w:line="362" w:lineRule="auto"/>
        <w:ind w:left="112" w:right="532" w:firstLine="480"/>
        <w:rPr>
          <w:color w:val="auto"/>
          <w:highlight w:val="none"/>
        </w:rPr>
      </w:pPr>
      <w:r>
        <w:rPr>
          <w:color w:val="auto"/>
          <w:highlight w:val="none"/>
        </w:rPr>
        <w:t>（二）未按照采购文件确定的事项签订政府采购合同，或者与采购人另行订立背离合同实质性内容的协议的；</w:t>
      </w:r>
    </w:p>
    <w:p w14:paraId="31E05DE2">
      <w:pPr>
        <w:pStyle w:val="11"/>
        <w:spacing w:before="3"/>
        <w:ind w:left="592"/>
        <w:rPr>
          <w:color w:val="auto"/>
          <w:highlight w:val="none"/>
        </w:rPr>
      </w:pPr>
      <w:r>
        <w:rPr>
          <w:color w:val="auto"/>
          <w:highlight w:val="none"/>
        </w:rPr>
        <w:t>（三）拒绝履行合同义务的；</w:t>
      </w:r>
    </w:p>
    <w:p w14:paraId="63507E14">
      <w:pPr>
        <w:pStyle w:val="11"/>
        <w:spacing w:before="160"/>
        <w:ind w:left="592"/>
        <w:rPr>
          <w:color w:val="auto"/>
          <w:highlight w:val="none"/>
        </w:rPr>
      </w:pPr>
      <w:r>
        <w:rPr>
          <w:color w:val="auto"/>
          <w:highlight w:val="none"/>
        </w:rPr>
        <w:t>（四）违反法律、规章、规范性文件规定的。</w:t>
      </w:r>
    </w:p>
    <w:p w14:paraId="152C0D96">
      <w:pPr>
        <w:pStyle w:val="11"/>
        <w:spacing w:before="2"/>
        <w:rPr>
          <w:color w:val="auto"/>
          <w:sz w:val="30"/>
          <w:highlight w:val="none"/>
        </w:rPr>
      </w:pPr>
    </w:p>
    <w:p w14:paraId="560C57A1">
      <w:pPr>
        <w:pStyle w:val="5"/>
        <w:spacing w:before="1"/>
        <w:ind w:left="112"/>
        <w:jc w:val="left"/>
        <w:outlineLvl w:val="1"/>
        <w:rPr>
          <w:color w:val="auto"/>
          <w:highlight w:val="none"/>
        </w:rPr>
      </w:pPr>
      <w:bookmarkStart w:id="63" w:name="_Toc1674"/>
      <w:bookmarkStart w:id="64" w:name="_Toc14042"/>
      <w:bookmarkStart w:id="65" w:name="_Toc28041"/>
      <w:bookmarkStart w:id="66" w:name="_Toc5613"/>
      <w:r>
        <w:rPr>
          <w:color w:val="auto"/>
          <w:highlight w:val="none"/>
        </w:rPr>
        <w:t>七、其他规定</w:t>
      </w:r>
      <w:bookmarkEnd w:id="63"/>
      <w:bookmarkEnd w:id="64"/>
      <w:bookmarkEnd w:id="65"/>
      <w:bookmarkEnd w:id="66"/>
    </w:p>
    <w:p w14:paraId="75C8E5D7">
      <w:pPr>
        <w:pStyle w:val="7"/>
        <w:spacing w:before="166"/>
        <w:ind w:left="112" w:firstLine="0"/>
        <w:rPr>
          <w:color w:val="auto"/>
          <w:highlight w:val="none"/>
        </w:rPr>
      </w:pPr>
      <w:r>
        <w:rPr>
          <w:color w:val="auto"/>
          <w:highlight w:val="none"/>
        </w:rPr>
        <w:t>41.1 采购代理服务费</w:t>
      </w:r>
    </w:p>
    <w:p w14:paraId="2C82EFD7">
      <w:pPr>
        <w:pStyle w:val="50"/>
        <w:numPr>
          <w:ilvl w:val="1"/>
          <w:numId w:val="36"/>
        </w:numPr>
        <w:tabs>
          <w:tab w:val="left" w:pos="1133"/>
        </w:tabs>
        <w:spacing w:before="160" w:after="0" w:line="240" w:lineRule="auto"/>
        <w:ind w:left="1132" w:right="0" w:hanging="541"/>
        <w:jc w:val="left"/>
        <w:rPr>
          <w:color w:val="auto"/>
          <w:sz w:val="24"/>
          <w:highlight w:val="none"/>
        </w:rPr>
      </w:pPr>
      <w:r>
        <w:rPr>
          <w:color w:val="auto"/>
          <w:sz w:val="24"/>
          <w:highlight w:val="none"/>
        </w:rPr>
        <w:t>采购代理机构应按</w:t>
      </w:r>
      <w:r>
        <w:rPr>
          <w:b/>
          <w:color w:val="auto"/>
          <w:sz w:val="24"/>
          <w:highlight w:val="none"/>
        </w:rPr>
        <w:t>磋商须知前附表</w:t>
      </w:r>
      <w:r>
        <w:rPr>
          <w:color w:val="auto"/>
          <w:sz w:val="24"/>
          <w:highlight w:val="none"/>
        </w:rPr>
        <w:t>规定收取采购代理服务费。</w:t>
      </w:r>
    </w:p>
    <w:p w14:paraId="01CA6228">
      <w:pPr>
        <w:pStyle w:val="50"/>
        <w:numPr>
          <w:ilvl w:val="1"/>
          <w:numId w:val="36"/>
        </w:numPr>
        <w:tabs>
          <w:tab w:val="left" w:pos="1133"/>
        </w:tabs>
        <w:spacing w:before="158" w:after="0" w:line="240" w:lineRule="auto"/>
        <w:ind w:left="1132" w:right="0" w:hanging="541"/>
        <w:jc w:val="left"/>
        <w:rPr>
          <w:color w:val="auto"/>
          <w:sz w:val="24"/>
          <w:highlight w:val="none"/>
        </w:rPr>
      </w:pPr>
      <w:r>
        <w:rPr>
          <w:color w:val="auto"/>
          <w:sz w:val="24"/>
          <w:highlight w:val="none"/>
        </w:rPr>
        <w:t>集中采购机构不得收取采购代理服务费。</w:t>
      </w:r>
    </w:p>
    <w:p w14:paraId="1485877F">
      <w:pPr>
        <w:pStyle w:val="7"/>
        <w:numPr>
          <w:ilvl w:val="0"/>
          <w:numId w:val="37"/>
        </w:numPr>
        <w:tabs>
          <w:tab w:val="left" w:pos="598"/>
        </w:tabs>
        <w:spacing w:before="161" w:after="0" w:line="240" w:lineRule="auto"/>
        <w:ind w:left="597" w:right="0" w:hanging="486"/>
        <w:jc w:val="left"/>
        <w:rPr>
          <w:color w:val="auto"/>
          <w:highlight w:val="none"/>
        </w:rPr>
      </w:pPr>
      <w:r>
        <w:rPr>
          <w:color w:val="auto"/>
          <w:highlight w:val="none"/>
        </w:rPr>
        <w:t>其他规定</w:t>
      </w:r>
    </w:p>
    <w:p w14:paraId="762D1E07">
      <w:pPr>
        <w:pStyle w:val="50"/>
        <w:numPr>
          <w:ilvl w:val="1"/>
          <w:numId w:val="37"/>
        </w:numPr>
        <w:tabs>
          <w:tab w:val="left" w:pos="1133"/>
        </w:tabs>
        <w:spacing w:before="158" w:after="0" w:line="240" w:lineRule="auto"/>
        <w:ind w:left="1132" w:right="0" w:hanging="541"/>
        <w:jc w:val="left"/>
        <w:rPr>
          <w:color w:val="auto"/>
          <w:sz w:val="24"/>
          <w:highlight w:val="none"/>
        </w:rPr>
      </w:pPr>
      <w:r>
        <w:rPr>
          <w:color w:val="auto"/>
          <w:sz w:val="24"/>
          <w:highlight w:val="none"/>
        </w:rPr>
        <w:t>磋商文件的其他规定见</w:t>
      </w:r>
      <w:r>
        <w:rPr>
          <w:b/>
          <w:color w:val="auto"/>
          <w:sz w:val="24"/>
          <w:highlight w:val="none"/>
        </w:rPr>
        <w:t>磋商须知前附表</w:t>
      </w:r>
      <w:r>
        <w:rPr>
          <w:color w:val="auto"/>
          <w:sz w:val="24"/>
          <w:highlight w:val="none"/>
        </w:rPr>
        <w:t>。</w:t>
      </w:r>
    </w:p>
    <w:p w14:paraId="793AD237">
      <w:pPr>
        <w:pStyle w:val="50"/>
        <w:widowControl w:val="0"/>
        <w:numPr>
          <w:ilvl w:val="0"/>
          <w:numId w:val="0"/>
        </w:numPr>
        <w:tabs>
          <w:tab w:val="left" w:pos="1133"/>
        </w:tabs>
        <w:autoSpaceDE w:val="0"/>
        <w:autoSpaceDN w:val="0"/>
        <w:spacing w:before="41" w:after="0" w:line="364" w:lineRule="auto"/>
        <w:ind w:right="532" w:rightChars="0"/>
        <w:jc w:val="both"/>
        <w:rPr>
          <w:color w:val="auto"/>
          <w:sz w:val="24"/>
          <w:highlight w:val="none"/>
        </w:rPr>
        <w:sectPr>
          <w:footerReference r:id="rId10" w:type="default"/>
          <w:pgSz w:w="11910" w:h="16840"/>
          <w:pgMar w:top="1360" w:right="600" w:bottom="1420" w:left="1020" w:header="0" w:footer="1234" w:gutter="0"/>
          <w:pgBorders>
            <w:top w:val="none" w:sz="0" w:space="0"/>
            <w:left w:val="none" w:sz="0" w:space="0"/>
            <w:bottom w:val="none" w:sz="0" w:space="0"/>
            <w:right w:val="none" w:sz="0" w:space="0"/>
          </w:pgBorders>
          <w:pgNumType w:fmt="decimal"/>
          <w:cols w:space="720" w:num="1"/>
        </w:sectPr>
      </w:pPr>
    </w:p>
    <w:p w14:paraId="4B9D8653">
      <w:pPr>
        <w:pStyle w:val="4"/>
        <w:numPr>
          <w:ilvl w:val="0"/>
          <w:numId w:val="1"/>
        </w:numPr>
        <w:spacing w:before="28"/>
        <w:ind w:left="0" w:right="417"/>
        <w:jc w:val="center"/>
        <w:outlineLvl w:val="0"/>
        <w:rPr>
          <w:rFonts w:hint="eastAsia" w:ascii="宋体" w:hAnsi="宋体" w:eastAsia="宋体" w:cs="宋体"/>
          <w:color w:val="auto"/>
          <w:highlight w:val="none"/>
        </w:rPr>
      </w:pPr>
      <w:bookmarkStart w:id="67" w:name="_Toc24909"/>
      <w:r>
        <w:rPr>
          <w:rFonts w:hint="eastAsia" w:ascii="宋体" w:hAnsi="宋体" w:eastAsia="宋体" w:cs="宋体"/>
          <w:color w:val="auto"/>
          <w:highlight w:val="none"/>
          <w:lang w:val="zh-CN" w:eastAsia="zh-CN"/>
        </w:rPr>
        <w:t>评审方法</w:t>
      </w:r>
      <w:bookmarkEnd w:id="67"/>
    </w:p>
    <w:p w14:paraId="7F5E5F09">
      <w:pPr>
        <w:pStyle w:val="11"/>
        <w:rPr>
          <w:rFonts w:ascii="黑体"/>
          <w:color w:val="auto"/>
          <w:sz w:val="20"/>
          <w:highlight w:val="none"/>
        </w:rPr>
      </w:pPr>
    </w:p>
    <w:p w14:paraId="4F10FF04">
      <w:pPr>
        <w:pStyle w:val="11"/>
        <w:spacing w:before="8"/>
        <w:rPr>
          <w:rFonts w:ascii="黑体"/>
          <w:color w:val="auto"/>
          <w:sz w:val="14"/>
          <w:highlight w:val="none"/>
        </w:rPr>
      </w:pPr>
    </w:p>
    <w:p w14:paraId="40BA7A01">
      <w:pPr>
        <w:pStyle w:val="4"/>
        <w:spacing w:before="54"/>
        <w:outlineLvl w:val="1"/>
        <w:rPr>
          <w:color w:val="auto"/>
          <w:highlight w:val="none"/>
        </w:rPr>
      </w:pPr>
      <w:bookmarkStart w:id="68" w:name="一.总则"/>
      <w:bookmarkEnd w:id="68"/>
      <w:bookmarkStart w:id="69" w:name="_Toc11911"/>
      <w:bookmarkStart w:id="70" w:name="_Toc13453"/>
      <w:bookmarkStart w:id="71" w:name="_Toc30777"/>
      <w:r>
        <w:rPr>
          <w:color w:val="auto"/>
          <w:highlight w:val="none"/>
        </w:rPr>
        <w:t>一.总则</w:t>
      </w:r>
      <w:bookmarkEnd w:id="69"/>
      <w:bookmarkEnd w:id="70"/>
      <w:bookmarkEnd w:id="71"/>
    </w:p>
    <w:p w14:paraId="3C04A1EA">
      <w:pPr>
        <w:pStyle w:val="50"/>
        <w:numPr>
          <w:ilvl w:val="1"/>
          <w:numId w:val="38"/>
        </w:numPr>
        <w:tabs>
          <w:tab w:val="left" w:pos="1066"/>
        </w:tabs>
        <w:spacing w:before="186" w:after="0" w:line="240" w:lineRule="auto"/>
        <w:ind w:left="1065" w:right="0" w:hanging="483"/>
        <w:jc w:val="left"/>
        <w:rPr>
          <w:color w:val="auto"/>
          <w:sz w:val="24"/>
          <w:highlight w:val="none"/>
        </w:rPr>
      </w:pPr>
      <w:r>
        <w:rPr>
          <w:color w:val="auto"/>
          <w:sz w:val="24"/>
          <w:highlight w:val="none"/>
        </w:rPr>
        <w:t>根据《中华人民共和国政府采购法》、《中华人民共和国政府采购法实施条例》、</w:t>
      </w:r>
    </w:p>
    <w:p w14:paraId="21C6DA23">
      <w:pPr>
        <w:pStyle w:val="11"/>
        <w:spacing w:before="160" w:line="364" w:lineRule="auto"/>
        <w:ind w:left="112" w:right="532"/>
        <w:rPr>
          <w:color w:val="auto"/>
          <w:highlight w:val="none"/>
        </w:rPr>
      </w:pPr>
      <w:r>
        <w:rPr>
          <w:color w:val="auto"/>
          <w:highlight w:val="none"/>
        </w:rPr>
        <w:t>《政府采购竞争性磋商采购方式管理暂行办法》等法律制度，结合本采购项目特点制定本磋商方法。</w:t>
      </w:r>
    </w:p>
    <w:p w14:paraId="76153ADB">
      <w:pPr>
        <w:pStyle w:val="50"/>
        <w:numPr>
          <w:ilvl w:val="1"/>
          <w:numId w:val="38"/>
        </w:numPr>
        <w:tabs>
          <w:tab w:val="left" w:pos="1066"/>
        </w:tabs>
        <w:spacing w:before="2" w:after="0" w:line="364" w:lineRule="auto"/>
        <w:ind w:left="112" w:right="532" w:firstLine="470"/>
        <w:jc w:val="left"/>
        <w:rPr>
          <w:color w:val="auto"/>
          <w:sz w:val="24"/>
          <w:highlight w:val="none"/>
        </w:rPr>
      </w:pPr>
      <w:r>
        <w:rPr>
          <w:color w:val="auto"/>
          <w:sz w:val="24"/>
          <w:highlight w:val="none"/>
        </w:rPr>
        <w:t>磋商工作由采购人/采购代理机构负责组织，具体磋商由采购人/采购代理机构依法组建的磋商小组负责。</w:t>
      </w:r>
    </w:p>
    <w:p w14:paraId="4FBA8FF6">
      <w:pPr>
        <w:pStyle w:val="50"/>
        <w:numPr>
          <w:ilvl w:val="1"/>
          <w:numId w:val="38"/>
        </w:numPr>
        <w:tabs>
          <w:tab w:val="left" w:pos="1066"/>
        </w:tabs>
        <w:spacing w:before="1" w:after="0" w:line="364" w:lineRule="auto"/>
        <w:ind w:left="112" w:right="532" w:firstLine="470"/>
        <w:jc w:val="left"/>
        <w:rPr>
          <w:color w:val="auto"/>
          <w:sz w:val="24"/>
          <w:highlight w:val="none"/>
        </w:rPr>
      </w:pPr>
      <w:r>
        <w:rPr>
          <w:color w:val="auto"/>
          <w:sz w:val="24"/>
          <w:highlight w:val="none"/>
        </w:rPr>
        <w:t>磋商工作应遵循公平、公正、科学及择优的原则，并以相同的磋商程序和标准对待所有的供应商。</w:t>
      </w:r>
    </w:p>
    <w:p w14:paraId="7201A926">
      <w:pPr>
        <w:pStyle w:val="50"/>
        <w:numPr>
          <w:ilvl w:val="1"/>
          <w:numId w:val="38"/>
        </w:numPr>
        <w:tabs>
          <w:tab w:val="left" w:pos="1066"/>
        </w:tabs>
        <w:spacing w:before="1" w:after="0" w:line="364" w:lineRule="auto"/>
        <w:ind w:left="112" w:right="532" w:firstLine="470"/>
        <w:jc w:val="left"/>
        <w:rPr>
          <w:color w:val="auto"/>
          <w:sz w:val="24"/>
          <w:highlight w:val="none"/>
        </w:rPr>
      </w:pPr>
      <w:r>
        <w:rPr>
          <w:color w:val="auto"/>
          <w:sz w:val="24"/>
          <w:highlight w:val="none"/>
        </w:rPr>
        <w:t>磋商小组按照磋商文件规定的磋商程序、评分方法和标准进行评审，并独立履行下列职责：</w:t>
      </w:r>
    </w:p>
    <w:p w14:paraId="61FDF26D">
      <w:pPr>
        <w:pStyle w:val="11"/>
        <w:spacing w:before="1" w:line="364" w:lineRule="auto"/>
        <w:ind w:left="112" w:right="534" w:firstLine="470"/>
        <w:rPr>
          <w:color w:val="auto"/>
          <w:highlight w:val="none"/>
        </w:rPr>
      </w:pPr>
      <w:r>
        <w:rPr>
          <w:color w:val="auto"/>
          <w:highlight w:val="none"/>
        </w:rPr>
        <w:t>（一）熟悉和理解磋商文件，确定磋商文件内容是否违反国家有关强制性规定或者磋商文件存在歧义、重大缺陷，根据需要书面要求采购人、采购代理机构对磋商文件作出解释；</w:t>
      </w:r>
    </w:p>
    <w:p w14:paraId="68AFF6FB">
      <w:pPr>
        <w:pStyle w:val="11"/>
        <w:spacing w:before="1"/>
        <w:ind w:left="583"/>
        <w:rPr>
          <w:color w:val="auto"/>
          <w:highlight w:val="none"/>
        </w:rPr>
      </w:pPr>
      <w:r>
        <w:rPr>
          <w:color w:val="auto"/>
          <w:highlight w:val="none"/>
        </w:rPr>
        <w:t>（二）审查供应商响应文件是否满足磋商文件要求，并作出公正评价；</w:t>
      </w:r>
    </w:p>
    <w:p w14:paraId="21AEFD48">
      <w:pPr>
        <w:pStyle w:val="11"/>
        <w:spacing w:before="161" w:line="364" w:lineRule="auto"/>
        <w:ind w:left="112" w:right="534" w:firstLine="470"/>
        <w:rPr>
          <w:color w:val="auto"/>
          <w:highlight w:val="none"/>
        </w:rPr>
      </w:pPr>
      <w:r>
        <w:rPr>
          <w:color w:val="auto"/>
          <w:highlight w:val="none"/>
        </w:rPr>
        <w:t>（三）根据需要要求供应商对响应文件中含义不明确、同类问题表述不一致或者有明显文字和计算错误的内容等作出必要的澄清、说明或者更正；</w:t>
      </w:r>
    </w:p>
    <w:p w14:paraId="1E87A357">
      <w:pPr>
        <w:pStyle w:val="11"/>
        <w:spacing w:before="1"/>
        <w:ind w:left="583"/>
        <w:rPr>
          <w:color w:val="auto"/>
          <w:highlight w:val="none"/>
        </w:rPr>
      </w:pPr>
      <w:r>
        <w:rPr>
          <w:color w:val="auto"/>
          <w:highlight w:val="none"/>
        </w:rPr>
        <w:t>（四）推荐成交供应商，或者受采购人委托确定成交供应商；</w:t>
      </w:r>
    </w:p>
    <w:p w14:paraId="1701CB4E">
      <w:pPr>
        <w:pStyle w:val="11"/>
        <w:spacing w:before="161"/>
        <w:ind w:left="583"/>
        <w:rPr>
          <w:color w:val="auto"/>
          <w:highlight w:val="none"/>
        </w:rPr>
      </w:pPr>
      <w:r>
        <w:rPr>
          <w:color w:val="auto"/>
          <w:highlight w:val="none"/>
        </w:rPr>
        <w:t>（五）起草评审报告并进行签署；</w:t>
      </w:r>
    </w:p>
    <w:p w14:paraId="5E3C145B">
      <w:pPr>
        <w:pStyle w:val="11"/>
        <w:spacing w:before="160" w:line="364" w:lineRule="auto"/>
        <w:ind w:left="112" w:right="532" w:firstLine="470"/>
        <w:rPr>
          <w:color w:val="auto"/>
          <w:highlight w:val="none"/>
        </w:rPr>
      </w:pPr>
      <w:r>
        <w:rPr>
          <w:color w:val="auto"/>
          <w:highlight w:val="none"/>
        </w:rPr>
        <w:t>（六</w:t>
      </w:r>
      <w:r>
        <w:rPr>
          <w:color w:val="auto"/>
          <w:spacing w:val="-36"/>
          <w:highlight w:val="none"/>
        </w:rPr>
        <w:t>）</w:t>
      </w:r>
      <w:r>
        <w:rPr>
          <w:color w:val="auto"/>
          <w:highlight w:val="none"/>
        </w:rPr>
        <w:t>向采购人/</w:t>
      </w:r>
      <w:r>
        <w:rPr>
          <w:color w:val="auto"/>
          <w:spacing w:val="-7"/>
          <w:highlight w:val="none"/>
        </w:rPr>
        <w:t>采购代理机构、财政部门或者其他监督部门报告非法干预评审工作的行</w:t>
      </w:r>
      <w:r>
        <w:rPr>
          <w:color w:val="auto"/>
          <w:highlight w:val="none"/>
        </w:rPr>
        <w:t>为；</w:t>
      </w:r>
    </w:p>
    <w:p w14:paraId="60889A35">
      <w:pPr>
        <w:pStyle w:val="11"/>
        <w:spacing w:before="1"/>
        <w:ind w:left="583"/>
        <w:rPr>
          <w:color w:val="auto"/>
          <w:highlight w:val="none"/>
        </w:rPr>
      </w:pPr>
      <w:r>
        <w:rPr>
          <w:color w:val="auto"/>
          <w:highlight w:val="none"/>
        </w:rPr>
        <w:t>（七）法律、法规和规章规定的其他职责。</w:t>
      </w:r>
    </w:p>
    <w:p w14:paraId="7FF53699">
      <w:pPr>
        <w:pStyle w:val="50"/>
        <w:numPr>
          <w:ilvl w:val="1"/>
          <w:numId w:val="38"/>
        </w:numPr>
        <w:tabs>
          <w:tab w:val="left" w:pos="1066"/>
        </w:tabs>
        <w:spacing w:before="161" w:after="0" w:line="364" w:lineRule="auto"/>
        <w:ind w:left="112" w:right="532" w:firstLine="470"/>
        <w:jc w:val="left"/>
        <w:rPr>
          <w:color w:val="auto"/>
          <w:sz w:val="24"/>
          <w:highlight w:val="none"/>
        </w:rPr>
      </w:pPr>
      <w:r>
        <w:rPr>
          <w:color w:val="auto"/>
          <w:sz w:val="24"/>
          <w:highlight w:val="none"/>
        </w:rPr>
        <w:t>（实质性要求）磋商过程独立、保密。供应商非法干预磋商过程的，其响应文件作无效处理。</w:t>
      </w:r>
    </w:p>
    <w:p w14:paraId="3F08F199">
      <w:pPr>
        <w:pStyle w:val="11"/>
        <w:spacing w:before="8"/>
        <w:rPr>
          <w:color w:val="auto"/>
          <w:sz w:val="26"/>
          <w:highlight w:val="none"/>
        </w:rPr>
      </w:pPr>
    </w:p>
    <w:p w14:paraId="05C9216C">
      <w:pPr>
        <w:pStyle w:val="4"/>
        <w:outlineLvl w:val="1"/>
        <w:rPr>
          <w:color w:val="auto"/>
          <w:highlight w:val="none"/>
        </w:rPr>
      </w:pPr>
      <w:bookmarkStart w:id="72" w:name="二.磋商程序"/>
      <w:bookmarkEnd w:id="72"/>
      <w:bookmarkStart w:id="73" w:name="_Toc20758"/>
      <w:bookmarkStart w:id="74" w:name="_Toc30314"/>
      <w:bookmarkStart w:id="75" w:name="_Toc305"/>
      <w:r>
        <w:rPr>
          <w:color w:val="auto"/>
          <w:highlight w:val="none"/>
        </w:rPr>
        <w:t>二.磋商程序</w:t>
      </w:r>
      <w:bookmarkEnd w:id="73"/>
      <w:bookmarkEnd w:id="74"/>
      <w:bookmarkEnd w:id="75"/>
    </w:p>
    <w:p w14:paraId="7A773130">
      <w:pPr>
        <w:pStyle w:val="50"/>
        <w:numPr>
          <w:ilvl w:val="1"/>
          <w:numId w:val="39"/>
        </w:numPr>
        <w:tabs>
          <w:tab w:val="left" w:pos="1004"/>
        </w:tabs>
        <w:spacing w:before="186" w:after="0" w:line="240" w:lineRule="auto"/>
        <w:ind w:left="1003" w:right="0" w:hanging="421"/>
        <w:jc w:val="left"/>
        <w:rPr>
          <w:color w:val="auto"/>
          <w:sz w:val="24"/>
          <w:highlight w:val="none"/>
        </w:rPr>
      </w:pPr>
      <w:r>
        <w:rPr>
          <w:color w:val="auto"/>
          <w:sz w:val="24"/>
          <w:highlight w:val="none"/>
        </w:rPr>
        <w:t>审查磋商文件和停止评审。</w:t>
      </w:r>
    </w:p>
    <w:p w14:paraId="71DCEF23">
      <w:pPr>
        <w:pStyle w:val="50"/>
        <w:numPr>
          <w:ilvl w:val="2"/>
          <w:numId w:val="39"/>
        </w:numPr>
        <w:tabs>
          <w:tab w:val="left" w:pos="1306"/>
        </w:tabs>
        <w:spacing w:before="160" w:after="0" w:line="364" w:lineRule="auto"/>
        <w:ind w:left="112" w:right="532" w:firstLine="470"/>
        <w:jc w:val="left"/>
        <w:rPr>
          <w:color w:val="auto"/>
          <w:sz w:val="24"/>
          <w:highlight w:val="none"/>
        </w:rPr>
      </w:pPr>
      <w:r>
        <w:rPr>
          <w:color w:val="auto"/>
          <w:sz w:val="24"/>
          <w:highlight w:val="none"/>
        </w:rPr>
        <w:t>磋商小组正式评审前，应当对磋商文件进行熟悉和理解，内容主要包括磋商文件</w:t>
      </w:r>
      <w:r>
        <w:rPr>
          <w:color w:val="auto"/>
          <w:spacing w:val="-1"/>
          <w:sz w:val="24"/>
          <w:highlight w:val="none"/>
        </w:rPr>
        <w:t>中供应商资格条件要求、采购项目技术、服务和商务要求、磋商办法和标准、政府采购政策</w:t>
      </w:r>
    </w:p>
    <w:p w14:paraId="1E4ECB76">
      <w:pPr>
        <w:spacing w:after="0" w:line="364" w:lineRule="auto"/>
        <w:jc w:val="left"/>
        <w:rPr>
          <w:color w:val="auto"/>
          <w:sz w:val="24"/>
          <w:highlight w:val="none"/>
        </w:rPr>
        <w:sectPr>
          <w:footerReference r:id="rId11" w:type="default"/>
          <w:pgSz w:w="11910" w:h="16840"/>
          <w:pgMar w:top="1360" w:right="600" w:bottom="1440" w:left="1020" w:header="0" w:footer="1214" w:gutter="0"/>
          <w:pgBorders>
            <w:top w:val="none" w:sz="0" w:space="0"/>
            <w:left w:val="none" w:sz="0" w:space="0"/>
            <w:bottom w:val="none" w:sz="0" w:space="0"/>
            <w:right w:val="none" w:sz="0" w:space="0"/>
          </w:pgBorders>
          <w:pgNumType w:fmt="decimal"/>
          <w:cols w:space="720" w:num="1"/>
        </w:sectPr>
      </w:pPr>
    </w:p>
    <w:p w14:paraId="6AE3C0A4">
      <w:pPr>
        <w:pStyle w:val="11"/>
        <w:spacing w:before="40"/>
        <w:ind w:left="112"/>
        <w:rPr>
          <w:color w:val="auto"/>
          <w:highlight w:val="none"/>
        </w:rPr>
      </w:pPr>
      <w:r>
        <w:rPr>
          <w:color w:val="auto"/>
          <w:highlight w:val="none"/>
        </w:rPr>
        <w:t>要求以及政府采购合同主要条款等。</w:t>
      </w:r>
    </w:p>
    <w:p w14:paraId="5A1AB030">
      <w:pPr>
        <w:pStyle w:val="50"/>
        <w:numPr>
          <w:ilvl w:val="2"/>
          <w:numId w:val="39"/>
        </w:numPr>
        <w:tabs>
          <w:tab w:val="left" w:pos="1304"/>
        </w:tabs>
        <w:spacing w:before="161" w:after="0" w:line="240" w:lineRule="auto"/>
        <w:ind w:left="1303" w:right="0" w:hanging="721"/>
        <w:jc w:val="left"/>
        <w:rPr>
          <w:color w:val="auto"/>
          <w:sz w:val="24"/>
          <w:highlight w:val="none"/>
        </w:rPr>
      </w:pPr>
      <w:r>
        <w:rPr>
          <w:color w:val="auto"/>
          <w:sz w:val="24"/>
          <w:highlight w:val="none"/>
        </w:rPr>
        <w:t>本磋商文件有下列情形之一的，磋商小组应当停止评审：</w:t>
      </w:r>
    </w:p>
    <w:p w14:paraId="6E0D93A6">
      <w:pPr>
        <w:pStyle w:val="50"/>
        <w:numPr>
          <w:ilvl w:val="0"/>
          <w:numId w:val="40"/>
        </w:numPr>
        <w:tabs>
          <w:tab w:val="left" w:pos="1185"/>
        </w:tabs>
        <w:spacing w:before="160" w:after="0" w:line="240" w:lineRule="auto"/>
        <w:ind w:left="1184" w:right="0" w:hanging="602"/>
        <w:jc w:val="left"/>
        <w:rPr>
          <w:color w:val="auto"/>
          <w:sz w:val="24"/>
          <w:highlight w:val="none"/>
        </w:rPr>
      </w:pPr>
      <w:r>
        <w:rPr>
          <w:color w:val="auto"/>
          <w:sz w:val="24"/>
          <w:highlight w:val="none"/>
        </w:rPr>
        <w:t>磋商文件的规定存在歧义、重大缺陷的；</w:t>
      </w:r>
    </w:p>
    <w:p w14:paraId="07CC5E13">
      <w:pPr>
        <w:pStyle w:val="50"/>
        <w:numPr>
          <w:ilvl w:val="0"/>
          <w:numId w:val="40"/>
        </w:numPr>
        <w:tabs>
          <w:tab w:val="left" w:pos="1185"/>
        </w:tabs>
        <w:spacing w:before="161" w:after="0" w:line="240" w:lineRule="auto"/>
        <w:ind w:left="1184" w:right="0" w:hanging="602"/>
        <w:jc w:val="left"/>
        <w:rPr>
          <w:color w:val="auto"/>
          <w:sz w:val="24"/>
          <w:highlight w:val="none"/>
        </w:rPr>
      </w:pPr>
      <w:r>
        <w:rPr>
          <w:color w:val="auto"/>
          <w:sz w:val="24"/>
          <w:highlight w:val="none"/>
        </w:rPr>
        <w:t>磋商文件明显以不合理条件对供应商实行差别待遇或者歧视待遇的；</w:t>
      </w:r>
    </w:p>
    <w:p w14:paraId="62125D14">
      <w:pPr>
        <w:pStyle w:val="50"/>
        <w:numPr>
          <w:ilvl w:val="0"/>
          <w:numId w:val="40"/>
        </w:numPr>
        <w:tabs>
          <w:tab w:val="left" w:pos="1185"/>
        </w:tabs>
        <w:spacing w:before="160" w:after="0" w:line="364" w:lineRule="auto"/>
        <w:ind w:left="112" w:right="532" w:firstLine="470"/>
        <w:jc w:val="left"/>
        <w:rPr>
          <w:color w:val="auto"/>
          <w:sz w:val="24"/>
          <w:highlight w:val="none"/>
        </w:rPr>
      </w:pPr>
      <w:r>
        <w:rPr>
          <w:color w:val="auto"/>
          <w:spacing w:val="-5"/>
          <w:sz w:val="24"/>
          <w:highlight w:val="none"/>
        </w:rPr>
        <w:t>采购项目属于国家规定的优先、强制采购范围，但是磋商文件未依法体现优先、强</w:t>
      </w:r>
      <w:r>
        <w:rPr>
          <w:color w:val="auto"/>
          <w:sz w:val="24"/>
          <w:highlight w:val="none"/>
        </w:rPr>
        <w:t>制采购相关规定的；</w:t>
      </w:r>
    </w:p>
    <w:p w14:paraId="77B158C8">
      <w:pPr>
        <w:pStyle w:val="50"/>
        <w:numPr>
          <w:ilvl w:val="0"/>
          <w:numId w:val="40"/>
        </w:numPr>
        <w:tabs>
          <w:tab w:val="left" w:pos="1185"/>
        </w:tabs>
        <w:spacing w:before="1" w:after="0" w:line="364" w:lineRule="auto"/>
        <w:ind w:left="112" w:right="532" w:firstLine="470"/>
        <w:jc w:val="left"/>
        <w:rPr>
          <w:color w:val="auto"/>
          <w:sz w:val="24"/>
          <w:highlight w:val="none"/>
        </w:rPr>
      </w:pPr>
      <w:r>
        <w:rPr>
          <w:color w:val="auto"/>
          <w:spacing w:val="-2"/>
          <w:sz w:val="24"/>
          <w:highlight w:val="none"/>
        </w:rPr>
        <w:t>采购项目属于政府采购促进中小企业发展的范围，但是磋商文件未依法体现促进</w:t>
      </w:r>
      <w:r>
        <w:rPr>
          <w:color w:val="auto"/>
          <w:spacing w:val="-4"/>
          <w:sz w:val="24"/>
          <w:highlight w:val="none"/>
        </w:rPr>
        <w:t>中小企业发展相关规定的；</w:t>
      </w:r>
    </w:p>
    <w:p w14:paraId="3B366465">
      <w:pPr>
        <w:pStyle w:val="50"/>
        <w:numPr>
          <w:ilvl w:val="0"/>
          <w:numId w:val="40"/>
        </w:numPr>
        <w:tabs>
          <w:tab w:val="left" w:pos="1185"/>
        </w:tabs>
        <w:spacing w:before="2" w:after="0" w:line="240" w:lineRule="auto"/>
        <w:ind w:left="1184" w:right="0" w:hanging="602"/>
        <w:jc w:val="left"/>
        <w:rPr>
          <w:color w:val="auto"/>
          <w:sz w:val="24"/>
          <w:highlight w:val="none"/>
        </w:rPr>
      </w:pPr>
      <w:r>
        <w:rPr>
          <w:color w:val="auto"/>
          <w:sz w:val="24"/>
          <w:highlight w:val="none"/>
        </w:rPr>
        <w:t>磋商文件将供应商的资格条件列为评分因素的；</w:t>
      </w:r>
    </w:p>
    <w:p w14:paraId="577D8144">
      <w:pPr>
        <w:pStyle w:val="50"/>
        <w:numPr>
          <w:ilvl w:val="0"/>
          <w:numId w:val="40"/>
        </w:numPr>
        <w:tabs>
          <w:tab w:val="left" w:pos="1185"/>
        </w:tabs>
        <w:spacing w:before="160" w:after="0" w:line="240" w:lineRule="auto"/>
        <w:ind w:left="1184" w:right="0" w:hanging="602"/>
        <w:jc w:val="left"/>
        <w:rPr>
          <w:color w:val="auto"/>
          <w:sz w:val="24"/>
          <w:highlight w:val="none"/>
        </w:rPr>
      </w:pPr>
      <w:r>
        <w:rPr>
          <w:color w:val="auto"/>
          <w:sz w:val="24"/>
          <w:highlight w:val="none"/>
        </w:rPr>
        <w:t>磋商文件载明的成交原则不合法的；</w:t>
      </w:r>
    </w:p>
    <w:p w14:paraId="5C5D2AD7">
      <w:pPr>
        <w:pStyle w:val="50"/>
        <w:numPr>
          <w:ilvl w:val="0"/>
          <w:numId w:val="40"/>
        </w:numPr>
        <w:tabs>
          <w:tab w:val="left" w:pos="1185"/>
        </w:tabs>
        <w:spacing w:before="161" w:after="0" w:line="240" w:lineRule="auto"/>
        <w:ind w:left="1184" w:right="0" w:hanging="602"/>
        <w:jc w:val="left"/>
        <w:rPr>
          <w:color w:val="auto"/>
          <w:sz w:val="24"/>
          <w:highlight w:val="none"/>
        </w:rPr>
      </w:pPr>
      <w:r>
        <w:rPr>
          <w:color w:val="auto"/>
          <w:sz w:val="24"/>
          <w:highlight w:val="none"/>
        </w:rPr>
        <w:t>磋商文件有违反国家其他有关强制性规定的情形。</w:t>
      </w:r>
    </w:p>
    <w:p w14:paraId="6D0B50E7">
      <w:pPr>
        <w:pStyle w:val="50"/>
        <w:numPr>
          <w:ilvl w:val="2"/>
          <w:numId w:val="39"/>
        </w:numPr>
        <w:tabs>
          <w:tab w:val="left" w:pos="1304"/>
        </w:tabs>
        <w:spacing w:before="160" w:after="0" w:line="364" w:lineRule="auto"/>
        <w:ind w:left="112" w:right="412" w:firstLine="470"/>
        <w:jc w:val="left"/>
        <w:rPr>
          <w:color w:val="auto"/>
          <w:sz w:val="24"/>
          <w:highlight w:val="none"/>
        </w:rPr>
      </w:pPr>
      <w:r>
        <w:rPr>
          <w:color w:val="auto"/>
          <w:spacing w:val="-12"/>
          <w:sz w:val="24"/>
          <w:highlight w:val="none"/>
        </w:rPr>
        <w:t xml:space="preserve">出现本条 </w:t>
      </w:r>
      <w:r>
        <w:rPr>
          <w:color w:val="auto"/>
          <w:sz w:val="24"/>
          <w:highlight w:val="none"/>
        </w:rPr>
        <w:t>2.1.2</w:t>
      </w:r>
      <w:r>
        <w:rPr>
          <w:color w:val="auto"/>
          <w:spacing w:val="-14"/>
          <w:sz w:val="24"/>
          <w:highlight w:val="none"/>
        </w:rPr>
        <w:t xml:space="preserve"> 规定应当停止评审情形的，磋商小组应当向采购人书面说明情况。</w:t>
      </w:r>
      <w:r>
        <w:rPr>
          <w:color w:val="auto"/>
          <w:sz w:val="24"/>
          <w:highlight w:val="none"/>
        </w:rPr>
        <w:t>除本条规定的情形外，磋商小组不得以任何方式和理由停止评审。</w:t>
      </w:r>
    </w:p>
    <w:p w14:paraId="6AB4C86D">
      <w:pPr>
        <w:pStyle w:val="50"/>
        <w:numPr>
          <w:ilvl w:val="1"/>
          <w:numId w:val="39"/>
        </w:numPr>
        <w:tabs>
          <w:tab w:val="left" w:pos="1004"/>
        </w:tabs>
        <w:spacing w:before="1" w:after="0" w:line="240" w:lineRule="auto"/>
        <w:ind w:left="1003" w:right="0" w:hanging="421"/>
        <w:jc w:val="left"/>
        <w:rPr>
          <w:color w:val="auto"/>
          <w:sz w:val="24"/>
          <w:highlight w:val="none"/>
        </w:rPr>
      </w:pPr>
      <w:r>
        <w:rPr>
          <w:color w:val="auto"/>
          <w:sz w:val="24"/>
          <w:highlight w:val="none"/>
        </w:rPr>
        <w:t>资格性审查。</w:t>
      </w:r>
    </w:p>
    <w:p w14:paraId="35CDE6CD">
      <w:pPr>
        <w:pStyle w:val="50"/>
        <w:numPr>
          <w:ilvl w:val="2"/>
          <w:numId w:val="39"/>
        </w:numPr>
        <w:tabs>
          <w:tab w:val="left" w:pos="1244"/>
        </w:tabs>
        <w:spacing w:before="161" w:after="0" w:line="240" w:lineRule="auto"/>
        <w:ind w:left="1243" w:right="0" w:hanging="661"/>
        <w:jc w:val="left"/>
        <w:rPr>
          <w:color w:val="auto"/>
          <w:sz w:val="24"/>
          <w:highlight w:val="none"/>
        </w:rPr>
      </w:pPr>
      <w:r>
        <w:rPr>
          <w:color w:val="auto"/>
          <w:sz w:val="24"/>
          <w:highlight w:val="none"/>
        </w:rPr>
        <w:t>本项目需要磋商小组进行资格性检查。</w:t>
      </w:r>
    </w:p>
    <w:p w14:paraId="635C8E22">
      <w:pPr>
        <w:pStyle w:val="11"/>
        <w:spacing w:before="160" w:line="364" w:lineRule="auto"/>
        <w:ind w:left="112" w:right="534" w:firstLine="470"/>
        <w:rPr>
          <w:color w:val="auto"/>
          <w:highlight w:val="none"/>
        </w:rPr>
      </w:pPr>
      <w:r>
        <w:rPr>
          <w:color w:val="auto"/>
          <w:highlight w:val="none"/>
        </w:rPr>
        <w:t>磋商小组应依据法律法规和磋商文件的规定，对响应文件是否按照规定要求提供资格性证明材料、是否属于禁止参加磋商的供应商等进行审查，以确定供应商是否具备磋商资格。</w:t>
      </w:r>
    </w:p>
    <w:p w14:paraId="26AA7CDB">
      <w:pPr>
        <w:pStyle w:val="50"/>
        <w:numPr>
          <w:ilvl w:val="2"/>
          <w:numId w:val="39"/>
        </w:numPr>
        <w:tabs>
          <w:tab w:val="left" w:pos="1248"/>
        </w:tabs>
        <w:spacing w:before="2" w:after="0" w:line="364" w:lineRule="auto"/>
        <w:ind w:left="112" w:right="530" w:firstLine="470"/>
        <w:jc w:val="left"/>
        <w:rPr>
          <w:color w:val="auto"/>
          <w:sz w:val="24"/>
          <w:highlight w:val="none"/>
        </w:rPr>
      </w:pPr>
      <w:r>
        <w:rPr>
          <w:color w:val="auto"/>
          <w:sz w:val="24"/>
          <w:highlight w:val="none"/>
        </w:rPr>
        <w:t>资格性审查结束后，磋商小组应当出具资格性审查报告，没有通过资格审查的供应商，磋商小组应当在资格审查报告中说明原因。</w:t>
      </w:r>
    </w:p>
    <w:p w14:paraId="25E16683">
      <w:pPr>
        <w:pStyle w:val="50"/>
        <w:numPr>
          <w:ilvl w:val="2"/>
          <w:numId w:val="39"/>
        </w:numPr>
        <w:tabs>
          <w:tab w:val="left" w:pos="1244"/>
        </w:tabs>
        <w:spacing w:before="1" w:after="0" w:line="364" w:lineRule="auto"/>
        <w:ind w:left="112" w:right="412" w:firstLine="470"/>
        <w:jc w:val="left"/>
        <w:rPr>
          <w:color w:val="auto"/>
          <w:sz w:val="24"/>
          <w:highlight w:val="none"/>
        </w:rPr>
      </w:pPr>
      <w:r>
        <w:rPr>
          <w:color w:val="auto"/>
          <w:spacing w:val="-2"/>
          <w:sz w:val="24"/>
          <w:highlight w:val="none"/>
        </w:rPr>
        <w:t>磋商小组应依据磋商文件规定的实质性要求，对符合资格的响应文件进行有效性、</w:t>
      </w:r>
      <w:r>
        <w:rPr>
          <w:color w:val="auto"/>
          <w:sz w:val="24"/>
          <w:highlight w:val="none"/>
        </w:rPr>
        <w:t>完整性和响应程度审查，以确定参加磋商的供应商名单。</w:t>
      </w:r>
    </w:p>
    <w:p w14:paraId="66847F3E">
      <w:pPr>
        <w:pStyle w:val="50"/>
        <w:numPr>
          <w:ilvl w:val="2"/>
          <w:numId w:val="39"/>
        </w:numPr>
        <w:tabs>
          <w:tab w:val="left" w:pos="1248"/>
        </w:tabs>
        <w:spacing w:before="1" w:after="0" w:line="364" w:lineRule="auto"/>
        <w:ind w:left="112" w:right="530" w:firstLine="470"/>
        <w:jc w:val="left"/>
        <w:rPr>
          <w:color w:val="auto"/>
          <w:sz w:val="24"/>
          <w:highlight w:val="none"/>
        </w:rPr>
      </w:pPr>
      <w:r>
        <w:rPr>
          <w:color w:val="auto"/>
          <w:sz w:val="24"/>
          <w:highlight w:val="none"/>
        </w:rPr>
        <w:t>采购人或者采购代理机构宣布未通过资格性审查的供应商名单时，应当告知供应商未通过审查的原因。</w:t>
      </w:r>
    </w:p>
    <w:p w14:paraId="3AC09D1E">
      <w:pPr>
        <w:pStyle w:val="50"/>
        <w:numPr>
          <w:ilvl w:val="1"/>
          <w:numId w:val="39"/>
        </w:numPr>
        <w:tabs>
          <w:tab w:val="left" w:pos="1066"/>
        </w:tabs>
        <w:spacing w:before="1" w:after="0" w:line="364" w:lineRule="auto"/>
        <w:ind w:left="112" w:right="530" w:firstLine="470"/>
        <w:jc w:val="left"/>
        <w:rPr>
          <w:color w:val="auto"/>
          <w:sz w:val="24"/>
          <w:highlight w:val="none"/>
        </w:rPr>
      </w:pPr>
      <w:r>
        <w:rPr>
          <w:color w:val="auto"/>
          <w:spacing w:val="-4"/>
          <w:sz w:val="24"/>
          <w:highlight w:val="none"/>
        </w:rPr>
        <w:t xml:space="preserve">通过资格性审查的供应商不足 </w:t>
      </w:r>
      <w:r>
        <w:rPr>
          <w:color w:val="auto"/>
          <w:sz w:val="24"/>
          <w:highlight w:val="none"/>
        </w:rPr>
        <w:t>3</w:t>
      </w:r>
      <w:r>
        <w:rPr>
          <w:color w:val="auto"/>
          <w:spacing w:val="-7"/>
          <w:sz w:val="24"/>
          <w:highlight w:val="none"/>
        </w:rPr>
        <w:t xml:space="preserve"> 家的，终止本次采购活动，并发布终止采购活动公告。</w:t>
      </w:r>
    </w:p>
    <w:p w14:paraId="1E0122FE">
      <w:pPr>
        <w:pStyle w:val="50"/>
        <w:numPr>
          <w:ilvl w:val="1"/>
          <w:numId w:val="39"/>
        </w:numPr>
        <w:tabs>
          <w:tab w:val="left" w:pos="1004"/>
        </w:tabs>
        <w:spacing w:before="1" w:after="0" w:line="240" w:lineRule="auto"/>
        <w:ind w:left="1003" w:right="0" w:hanging="421"/>
        <w:jc w:val="left"/>
        <w:rPr>
          <w:color w:val="auto"/>
          <w:sz w:val="24"/>
          <w:highlight w:val="none"/>
        </w:rPr>
      </w:pPr>
      <w:r>
        <w:rPr>
          <w:color w:val="auto"/>
          <w:sz w:val="24"/>
          <w:highlight w:val="none"/>
        </w:rPr>
        <w:t>磋商。</w:t>
      </w:r>
    </w:p>
    <w:p w14:paraId="18427275">
      <w:pPr>
        <w:pStyle w:val="50"/>
        <w:numPr>
          <w:ilvl w:val="2"/>
          <w:numId w:val="39"/>
        </w:numPr>
        <w:tabs>
          <w:tab w:val="left" w:pos="1248"/>
        </w:tabs>
        <w:spacing w:before="161" w:after="0" w:line="364" w:lineRule="auto"/>
        <w:ind w:left="112" w:right="530" w:firstLine="470"/>
        <w:jc w:val="both"/>
        <w:rPr>
          <w:color w:val="auto"/>
          <w:sz w:val="24"/>
          <w:highlight w:val="none"/>
        </w:rPr>
      </w:pPr>
      <w:r>
        <w:rPr>
          <w:color w:val="auto"/>
          <w:sz w:val="24"/>
          <w:highlight w:val="none"/>
        </w:rPr>
        <w:t>磋商过程中，磋商小组可以根据磋商情况调整磋商轮次。</w:t>
      </w:r>
    </w:p>
    <w:p w14:paraId="6B4259B3">
      <w:pPr>
        <w:pStyle w:val="50"/>
        <w:numPr>
          <w:ilvl w:val="2"/>
          <w:numId w:val="39"/>
        </w:numPr>
        <w:tabs>
          <w:tab w:val="left" w:pos="1248"/>
        </w:tabs>
        <w:spacing w:before="2" w:after="0" w:line="240" w:lineRule="auto"/>
        <w:ind w:left="1248" w:right="0" w:hanging="665"/>
        <w:jc w:val="both"/>
        <w:rPr>
          <w:color w:val="auto"/>
          <w:sz w:val="24"/>
          <w:highlight w:val="none"/>
        </w:rPr>
      </w:pPr>
      <w:r>
        <w:rPr>
          <w:color w:val="auto"/>
          <w:sz w:val="24"/>
          <w:highlight w:val="none"/>
        </w:rPr>
        <w:t>每轮磋商开始前，磋商小组应根据磋商文件的规定，并结合各供应商的响应文件</w:t>
      </w:r>
    </w:p>
    <w:p w14:paraId="2A24BB23">
      <w:pPr>
        <w:spacing w:after="0" w:line="240" w:lineRule="auto"/>
        <w:jc w:val="both"/>
        <w:rPr>
          <w:color w:val="auto"/>
          <w:sz w:val="24"/>
          <w:highlight w:val="none"/>
        </w:rPr>
        <w:sectPr>
          <w:pgSz w:w="11910" w:h="16840"/>
          <w:pgMar w:top="1440" w:right="600" w:bottom="1400" w:left="1020" w:header="0" w:footer="1214" w:gutter="0"/>
          <w:pgBorders>
            <w:top w:val="none" w:sz="0" w:space="0"/>
            <w:left w:val="none" w:sz="0" w:space="0"/>
            <w:bottom w:val="none" w:sz="0" w:space="0"/>
            <w:right w:val="none" w:sz="0" w:space="0"/>
          </w:pgBorders>
          <w:pgNumType w:fmt="decimal"/>
          <w:cols w:space="720" w:num="1"/>
        </w:sectPr>
      </w:pPr>
    </w:p>
    <w:p w14:paraId="66121E83">
      <w:pPr>
        <w:pStyle w:val="11"/>
        <w:spacing w:before="40"/>
        <w:ind w:left="112"/>
        <w:rPr>
          <w:color w:val="auto"/>
          <w:highlight w:val="none"/>
        </w:rPr>
      </w:pPr>
      <w:r>
        <w:rPr>
          <w:color w:val="auto"/>
          <w:highlight w:val="none"/>
        </w:rPr>
        <w:t>拟定磋商内容。</w:t>
      </w:r>
    </w:p>
    <w:p w14:paraId="2E551F2A">
      <w:pPr>
        <w:pStyle w:val="50"/>
        <w:numPr>
          <w:ilvl w:val="2"/>
          <w:numId w:val="39"/>
        </w:numPr>
        <w:tabs>
          <w:tab w:val="left" w:pos="1248"/>
        </w:tabs>
        <w:spacing w:before="161" w:after="0" w:line="364" w:lineRule="auto"/>
        <w:ind w:left="112" w:right="530" w:firstLine="470"/>
        <w:jc w:val="both"/>
        <w:rPr>
          <w:color w:val="auto"/>
          <w:sz w:val="24"/>
          <w:highlight w:val="none"/>
        </w:rPr>
      </w:pPr>
      <w:r>
        <w:rPr>
          <w:color w:val="auto"/>
          <w:sz w:val="24"/>
          <w:highlight w:val="none"/>
        </w:rPr>
        <w:t>在磋商过程中，磋商小组可以根据磋商文件和磋商情况实质性变动磋商文件的技术、服务要求以及合同草案条款，但不得变动磋商文件中的其他内容。实质性变动的内容， 须经采购人代表书面确认。</w:t>
      </w:r>
    </w:p>
    <w:p w14:paraId="1A7F29AD">
      <w:pPr>
        <w:pStyle w:val="50"/>
        <w:numPr>
          <w:ilvl w:val="2"/>
          <w:numId w:val="39"/>
        </w:numPr>
        <w:tabs>
          <w:tab w:val="left" w:pos="1248"/>
        </w:tabs>
        <w:spacing w:before="2" w:after="0" w:line="364" w:lineRule="auto"/>
        <w:ind w:left="112" w:right="530" w:firstLine="470"/>
        <w:jc w:val="both"/>
        <w:rPr>
          <w:color w:val="auto"/>
          <w:sz w:val="24"/>
          <w:highlight w:val="none"/>
        </w:rPr>
      </w:pPr>
      <w:r>
        <w:rPr>
          <w:color w:val="auto"/>
          <w:sz w:val="24"/>
          <w:highlight w:val="none"/>
        </w:rPr>
        <w:t>对磋商文件作出的实质性变动是磋商文件的有效组成部分，磋商小组应当及时以书面形式同时通知所有参加磋商的供应商。</w:t>
      </w:r>
    </w:p>
    <w:p w14:paraId="6696A800">
      <w:pPr>
        <w:pStyle w:val="50"/>
        <w:numPr>
          <w:ilvl w:val="2"/>
          <w:numId w:val="39"/>
        </w:numPr>
        <w:tabs>
          <w:tab w:val="left" w:pos="1248"/>
        </w:tabs>
        <w:spacing w:before="1" w:after="0" w:line="364" w:lineRule="auto"/>
        <w:ind w:left="112" w:right="412" w:firstLine="470"/>
        <w:jc w:val="left"/>
        <w:rPr>
          <w:color w:val="auto"/>
          <w:sz w:val="24"/>
          <w:highlight w:val="none"/>
        </w:rPr>
      </w:pPr>
      <w:r>
        <w:rPr>
          <w:color w:val="auto"/>
          <w:sz w:val="24"/>
          <w:highlight w:val="none"/>
        </w:rPr>
        <w:t>磋商过程中，磋商文件变动的，供应商应当按照磋商文件的变动情况和磋商小组</w:t>
      </w:r>
      <w:r>
        <w:rPr>
          <w:color w:val="auto"/>
          <w:spacing w:val="-7"/>
          <w:sz w:val="24"/>
          <w:highlight w:val="none"/>
        </w:rPr>
        <w:t xml:space="preserve">的要求重新提交响应文件，并由其法定代表人或其授权代表签字或者加盖公章。磋商过程中， </w:t>
      </w:r>
      <w:r>
        <w:rPr>
          <w:color w:val="auto"/>
          <w:sz w:val="24"/>
          <w:highlight w:val="none"/>
        </w:rPr>
        <w:t>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33EE4206">
      <w:pPr>
        <w:pStyle w:val="50"/>
        <w:numPr>
          <w:ilvl w:val="2"/>
          <w:numId w:val="39"/>
        </w:numPr>
        <w:tabs>
          <w:tab w:val="left" w:pos="1248"/>
        </w:tabs>
        <w:spacing w:before="3" w:after="0" w:line="364" w:lineRule="auto"/>
        <w:ind w:left="112" w:right="530" w:firstLine="470"/>
        <w:jc w:val="left"/>
        <w:rPr>
          <w:color w:val="auto"/>
          <w:sz w:val="24"/>
          <w:highlight w:val="none"/>
        </w:rPr>
      </w:pPr>
      <w:r>
        <w:rPr>
          <w:color w:val="auto"/>
          <w:sz w:val="24"/>
          <w:highlight w:val="none"/>
        </w:rPr>
        <w:t>磋商过程中，磋商的任何一方不得透露与磋商有关的其他供应商的技术资料、价格和其他信息。</w:t>
      </w:r>
    </w:p>
    <w:p w14:paraId="74D5D6FF">
      <w:pPr>
        <w:pStyle w:val="50"/>
        <w:numPr>
          <w:ilvl w:val="2"/>
          <w:numId w:val="39"/>
        </w:numPr>
        <w:tabs>
          <w:tab w:val="left" w:pos="1248"/>
        </w:tabs>
        <w:spacing w:before="1" w:after="0" w:line="364" w:lineRule="auto"/>
        <w:ind w:left="112" w:right="530" w:firstLine="470"/>
        <w:jc w:val="left"/>
        <w:rPr>
          <w:color w:val="auto"/>
          <w:sz w:val="24"/>
          <w:highlight w:val="none"/>
        </w:rPr>
      </w:pPr>
      <w:r>
        <w:rPr>
          <w:color w:val="auto"/>
          <w:sz w:val="24"/>
          <w:highlight w:val="none"/>
        </w:rPr>
        <w:t>磋商过程中，磋商小组发现或者知晓供应商存在违法、违纪行为的，磋商小组应当将该供应商响应文件作无效处理，不允许其提交最后报价。</w:t>
      </w:r>
    </w:p>
    <w:p w14:paraId="03115A84">
      <w:pPr>
        <w:pStyle w:val="50"/>
        <w:numPr>
          <w:ilvl w:val="2"/>
          <w:numId w:val="39"/>
        </w:numPr>
        <w:tabs>
          <w:tab w:val="left" w:pos="1244"/>
        </w:tabs>
        <w:spacing w:before="1" w:after="0" w:line="364" w:lineRule="auto"/>
        <w:ind w:left="112" w:right="412" w:firstLine="470"/>
        <w:jc w:val="left"/>
        <w:rPr>
          <w:color w:val="auto"/>
          <w:sz w:val="24"/>
          <w:highlight w:val="none"/>
        </w:rPr>
      </w:pPr>
      <w:r>
        <w:rPr>
          <w:color w:val="auto"/>
          <w:spacing w:val="-3"/>
          <w:sz w:val="24"/>
          <w:highlight w:val="none"/>
        </w:rPr>
        <w:t>磋商完成后，磋商小组应出具磋商情况记录表，磋商情况记录表需包含磋商内容、</w:t>
      </w:r>
      <w:r>
        <w:rPr>
          <w:color w:val="auto"/>
          <w:sz w:val="24"/>
          <w:highlight w:val="none"/>
        </w:rPr>
        <w:t>磋商意见、实质性变动内容等。</w:t>
      </w:r>
    </w:p>
    <w:p w14:paraId="5493419B">
      <w:pPr>
        <w:pStyle w:val="50"/>
        <w:numPr>
          <w:ilvl w:val="1"/>
          <w:numId w:val="39"/>
        </w:numPr>
        <w:tabs>
          <w:tab w:val="left" w:pos="1013"/>
        </w:tabs>
        <w:spacing w:before="1" w:after="0" w:line="240" w:lineRule="auto"/>
        <w:ind w:left="1012" w:right="0" w:hanging="421"/>
        <w:jc w:val="left"/>
        <w:rPr>
          <w:color w:val="auto"/>
          <w:sz w:val="24"/>
          <w:highlight w:val="none"/>
        </w:rPr>
      </w:pPr>
      <w:r>
        <w:rPr>
          <w:color w:val="auto"/>
          <w:sz w:val="24"/>
          <w:highlight w:val="none"/>
        </w:rPr>
        <w:t>最后报价。</w:t>
      </w:r>
    </w:p>
    <w:p w14:paraId="5B9E2832">
      <w:pPr>
        <w:pStyle w:val="50"/>
        <w:numPr>
          <w:ilvl w:val="2"/>
          <w:numId w:val="39"/>
        </w:numPr>
        <w:tabs>
          <w:tab w:val="left" w:pos="1256"/>
        </w:tabs>
        <w:spacing w:before="161" w:after="0" w:line="364" w:lineRule="auto"/>
        <w:ind w:left="112" w:right="532" w:firstLine="480"/>
        <w:jc w:val="both"/>
        <w:rPr>
          <w:color w:val="auto"/>
          <w:sz w:val="24"/>
          <w:highlight w:val="none"/>
        </w:rPr>
      </w:pPr>
      <w:r>
        <w:rPr>
          <w:color w:val="auto"/>
          <w:sz w:val="24"/>
          <w:highlight w:val="none"/>
        </w:rPr>
        <w:t>磋商文件能够详细列明采购标的的技术、服务要求的，磋商结束后，磋商小组应</w:t>
      </w:r>
      <w:r>
        <w:rPr>
          <w:color w:val="auto"/>
          <w:spacing w:val="-1"/>
          <w:sz w:val="24"/>
          <w:highlight w:val="none"/>
        </w:rPr>
        <w:t>当要求所有实质性响应的供应商在规定时间内提交最后报价，提交最后报价的供应商不得少</w:t>
      </w:r>
      <w:r>
        <w:rPr>
          <w:color w:val="auto"/>
          <w:spacing w:val="-24"/>
          <w:sz w:val="24"/>
          <w:highlight w:val="none"/>
        </w:rPr>
        <w:t xml:space="preserve">于 </w:t>
      </w:r>
      <w:r>
        <w:rPr>
          <w:color w:val="auto"/>
          <w:sz w:val="24"/>
          <w:highlight w:val="none"/>
        </w:rPr>
        <w:t>3</w:t>
      </w:r>
      <w:r>
        <w:rPr>
          <w:color w:val="auto"/>
          <w:spacing w:val="-8"/>
          <w:sz w:val="24"/>
          <w:highlight w:val="none"/>
        </w:rPr>
        <w:t xml:space="preserve"> 家。或磋商文件不能详细列明采购标的的技术、服务要求，需经磋商由供应商提供最终</w:t>
      </w:r>
      <w:r>
        <w:rPr>
          <w:color w:val="auto"/>
          <w:spacing w:val="-2"/>
          <w:sz w:val="24"/>
          <w:highlight w:val="none"/>
        </w:rPr>
        <w:t xml:space="preserve">设计方案或解决方案的，磋商结束后，磋商小组应当按照少数服从多数的原则投票推荐 </w:t>
      </w:r>
      <w:r>
        <w:rPr>
          <w:color w:val="auto"/>
          <w:sz w:val="24"/>
          <w:highlight w:val="none"/>
        </w:rPr>
        <w:t>3</w:t>
      </w:r>
      <w:r>
        <w:rPr>
          <w:color w:val="auto"/>
          <w:spacing w:val="-29"/>
          <w:sz w:val="24"/>
          <w:highlight w:val="none"/>
        </w:rPr>
        <w:t xml:space="preserve"> 家</w:t>
      </w:r>
      <w:r>
        <w:rPr>
          <w:color w:val="auto"/>
          <w:sz w:val="24"/>
          <w:highlight w:val="none"/>
        </w:rPr>
        <w:t>以上供应商的设计方案或者解决方案，并要求其在规定时间内提交最后报价。</w:t>
      </w:r>
    </w:p>
    <w:p w14:paraId="200963B6">
      <w:pPr>
        <w:pStyle w:val="50"/>
        <w:numPr>
          <w:ilvl w:val="2"/>
          <w:numId w:val="39"/>
        </w:numPr>
        <w:tabs>
          <w:tab w:val="left" w:pos="1256"/>
        </w:tabs>
        <w:spacing w:before="3" w:after="0" w:line="364" w:lineRule="auto"/>
        <w:ind w:left="112" w:right="532" w:firstLine="480"/>
        <w:jc w:val="both"/>
        <w:rPr>
          <w:color w:val="auto"/>
          <w:sz w:val="24"/>
          <w:highlight w:val="none"/>
        </w:rPr>
      </w:pPr>
      <w:r>
        <w:rPr>
          <w:color w:val="auto"/>
          <w:sz w:val="24"/>
          <w:highlight w:val="none"/>
        </w:rPr>
        <w:t>磋商结束后，磋商小组应当要求所有实质性响应的供应商在规定时间内提交最后报价。两轮（若有）</w:t>
      </w:r>
      <w:r>
        <w:rPr>
          <w:color w:val="auto"/>
          <w:spacing w:val="-1"/>
          <w:sz w:val="24"/>
          <w:highlight w:val="none"/>
        </w:rPr>
        <w:t>以上报价的，供应商在未提高响应文件中承诺的产品及其服务质量的情况下，其最后报价不得高于对该项目之前的报价，否则，磋商小组应当对其响应文件按无效</w:t>
      </w:r>
      <w:r>
        <w:rPr>
          <w:color w:val="auto"/>
          <w:sz w:val="24"/>
          <w:highlight w:val="none"/>
        </w:rPr>
        <w:t>处理，不允许进入综合评分，并书面告知供应商，说明理由。</w:t>
      </w:r>
    </w:p>
    <w:p w14:paraId="5ABACEFE">
      <w:pPr>
        <w:pStyle w:val="50"/>
        <w:numPr>
          <w:ilvl w:val="2"/>
          <w:numId w:val="39"/>
        </w:numPr>
        <w:tabs>
          <w:tab w:val="left" w:pos="1256"/>
        </w:tabs>
        <w:spacing w:before="2" w:after="0" w:line="364" w:lineRule="auto"/>
        <w:ind w:left="112" w:right="533" w:firstLine="480"/>
        <w:jc w:val="both"/>
        <w:rPr>
          <w:color w:val="auto"/>
          <w:sz w:val="24"/>
          <w:highlight w:val="none"/>
        </w:rPr>
      </w:pPr>
      <w:r>
        <w:rPr>
          <w:color w:val="auto"/>
          <w:sz w:val="24"/>
          <w:highlight w:val="none"/>
        </w:rPr>
        <w:t>供应商最后报价应当由法定代表人或其授权代表签字确认或加盖公章。最后报价是供应商响应文件的有效组成部分。</w:t>
      </w:r>
    </w:p>
    <w:p w14:paraId="6D853194">
      <w:pPr>
        <w:pStyle w:val="50"/>
        <w:numPr>
          <w:ilvl w:val="2"/>
          <w:numId w:val="39"/>
        </w:numPr>
        <w:tabs>
          <w:tab w:val="left" w:pos="1256"/>
        </w:tabs>
        <w:spacing w:before="1" w:after="0" w:line="240" w:lineRule="auto"/>
        <w:ind w:left="1255" w:right="0" w:hanging="664"/>
        <w:jc w:val="both"/>
        <w:rPr>
          <w:color w:val="auto"/>
          <w:sz w:val="24"/>
          <w:highlight w:val="none"/>
        </w:rPr>
      </w:pPr>
      <w:r>
        <w:rPr>
          <w:color w:val="auto"/>
          <w:sz w:val="24"/>
          <w:highlight w:val="none"/>
        </w:rPr>
        <w:t>最后报价中的算术错误将按以下方法修正：响应文件的大写金额和小写金额不一</w:t>
      </w:r>
    </w:p>
    <w:p w14:paraId="03DED2CC">
      <w:pPr>
        <w:pStyle w:val="11"/>
        <w:spacing w:before="40" w:line="364" w:lineRule="auto"/>
        <w:ind w:right="532"/>
        <w:jc w:val="both"/>
        <w:rPr>
          <w:color w:val="auto"/>
          <w:highlight w:val="none"/>
        </w:rPr>
      </w:pPr>
      <w:r>
        <w:rPr>
          <w:color w:val="auto"/>
          <w:highlight w:val="none"/>
        </w:rPr>
        <w:t>致的，以大写金额为准；总价金额与按单价汇总金额不一致的，以单价金额计算结果为准； 单价金额小数点有明显错位的，应以总价为准，并修改单价。如果小写、大写金额和单价、总价金额出现明显文字错误，应当按照澄清、说明或者更正程序先纠正错误后，再行修正， 不得不经过澄清、说明或者更正，直接将供应商响应文件作为无效处理。对不同文字文本响应文件的解释发生异议的，以中文文本为准。</w:t>
      </w:r>
    </w:p>
    <w:p w14:paraId="436ACFB7">
      <w:pPr>
        <w:pStyle w:val="50"/>
        <w:numPr>
          <w:ilvl w:val="1"/>
          <w:numId w:val="39"/>
        </w:numPr>
        <w:tabs>
          <w:tab w:val="left" w:pos="1016"/>
        </w:tabs>
        <w:spacing w:before="3" w:after="0" w:line="364" w:lineRule="auto"/>
        <w:ind w:left="112" w:right="533" w:firstLine="480"/>
        <w:jc w:val="both"/>
        <w:rPr>
          <w:color w:val="auto"/>
          <w:sz w:val="24"/>
          <w:highlight w:val="none"/>
        </w:rPr>
      </w:pPr>
      <w:r>
        <w:rPr>
          <w:color w:val="auto"/>
          <w:sz w:val="24"/>
          <w:highlight w:val="none"/>
        </w:rPr>
        <w:t>比较与评价。由磋商小组采用综合评分法对提交最后报价的供应商的响应文件和最后报价进行综合评分，具体要求详见本章综合评分部分。</w:t>
      </w:r>
    </w:p>
    <w:p w14:paraId="6F2A0EAF">
      <w:pPr>
        <w:pStyle w:val="50"/>
        <w:numPr>
          <w:ilvl w:val="1"/>
          <w:numId w:val="39"/>
        </w:numPr>
        <w:tabs>
          <w:tab w:val="left" w:pos="1016"/>
        </w:tabs>
        <w:spacing w:before="2" w:after="0" w:line="364" w:lineRule="auto"/>
        <w:ind w:left="112" w:right="532" w:firstLine="480"/>
        <w:jc w:val="both"/>
        <w:rPr>
          <w:color w:val="auto"/>
          <w:sz w:val="24"/>
          <w:highlight w:val="none"/>
        </w:rPr>
      </w:pPr>
      <w:r>
        <w:rPr>
          <w:color w:val="auto"/>
          <w:sz w:val="24"/>
          <w:highlight w:val="none"/>
        </w:rPr>
        <w:t>推荐成交候选供应商。磋商小组应当根据综合评分情况，按照评审得分由高到低顺</w:t>
      </w:r>
      <w:r>
        <w:rPr>
          <w:color w:val="auto"/>
          <w:spacing w:val="-12"/>
          <w:sz w:val="24"/>
          <w:highlight w:val="none"/>
        </w:rPr>
        <w:t xml:space="preserve">序推荐 </w:t>
      </w:r>
      <w:r>
        <w:rPr>
          <w:color w:val="auto"/>
          <w:sz w:val="24"/>
          <w:highlight w:val="none"/>
        </w:rPr>
        <w:t>3</w:t>
      </w:r>
      <w:r>
        <w:rPr>
          <w:color w:val="auto"/>
          <w:spacing w:val="-7"/>
          <w:sz w:val="24"/>
          <w:highlight w:val="none"/>
        </w:rPr>
        <w:t xml:space="preserve"> 家以上成交候选供应商，并编写磋商报告。评审得分相同的，按照最后报价由低到</w:t>
      </w:r>
      <w:r>
        <w:rPr>
          <w:color w:val="auto"/>
          <w:spacing w:val="-8"/>
          <w:sz w:val="24"/>
          <w:highlight w:val="none"/>
        </w:rPr>
        <w:t>高的顺序推荐。评审得分且最后报价相同的，按照技术指标优劣顺序推荐。评审得分且最后</w:t>
      </w:r>
      <w:r>
        <w:rPr>
          <w:color w:val="auto"/>
          <w:sz w:val="24"/>
          <w:highlight w:val="none"/>
        </w:rPr>
        <w:t>报价且技术指标分项得分均相同的，成交候选供应商并列。</w:t>
      </w:r>
    </w:p>
    <w:p w14:paraId="4E1D88E2">
      <w:pPr>
        <w:pStyle w:val="50"/>
        <w:numPr>
          <w:ilvl w:val="1"/>
          <w:numId w:val="39"/>
        </w:numPr>
        <w:tabs>
          <w:tab w:val="left" w:pos="1016"/>
        </w:tabs>
        <w:spacing w:before="2" w:after="0" w:line="364" w:lineRule="auto"/>
        <w:ind w:left="112" w:right="532" w:firstLine="480"/>
        <w:jc w:val="both"/>
        <w:rPr>
          <w:color w:val="auto"/>
          <w:sz w:val="24"/>
          <w:highlight w:val="none"/>
        </w:rPr>
      </w:pPr>
      <w:r>
        <w:rPr>
          <w:color w:val="auto"/>
          <w:sz w:val="24"/>
          <w:highlight w:val="none"/>
        </w:rPr>
        <w:t>磋商小组复核。磋商小组评分汇总结束后，磋商小组应当进行评审复核，对拟推荐</w:t>
      </w:r>
      <w:r>
        <w:rPr>
          <w:color w:val="auto"/>
          <w:spacing w:val="-1"/>
          <w:sz w:val="24"/>
          <w:highlight w:val="none"/>
        </w:rPr>
        <w:t>为成交候选供应商的、报价最低的、供应商资格审查未通过的、供应商响应文件作无效处理</w:t>
      </w:r>
      <w:r>
        <w:rPr>
          <w:color w:val="auto"/>
          <w:sz w:val="24"/>
          <w:highlight w:val="none"/>
        </w:rPr>
        <w:t>的重点复核。</w:t>
      </w:r>
    </w:p>
    <w:p w14:paraId="099136A2">
      <w:pPr>
        <w:pStyle w:val="50"/>
        <w:numPr>
          <w:ilvl w:val="1"/>
          <w:numId w:val="39"/>
        </w:numPr>
        <w:tabs>
          <w:tab w:val="left" w:pos="1013"/>
        </w:tabs>
        <w:spacing w:before="2" w:after="0" w:line="240" w:lineRule="auto"/>
        <w:ind w:left="1012" w:right="0" w:hanging="421"/>
        <w:jc w:val="both"/>
        <w:rPr>
          <w:color w:val="auto"/>
          <w:sz w:val="24"/>
          <w:highlight w:val="none"/>
        </w:rPr>
      </w:pPr>
      <w:r>
        <w:rPr>
          <w:color w:val="auto"/>
          <w:sz w:val="24"/>
          <w:highlight w:val="none"/>
        </w:rPr>
        <w:t>采购组织单位现场复核评审结果。</w:t>
      </w:r>
    </w:p>
    <w:p w14:paraId="0D04AD09">
      <w:pPr>
        <w:pStyle w:val="50"/>
        <w:numPr>
          <w:ilvl w:val="2"/>
          <w:numId w:val="39"/>
        </w:numPr>
        <w:tabs>
          <w:tab w:val="left" w:pos="1253"/>
        </w:tabs>
        <w:spacing w:before="160" w:after="0" w:line="364" w:lineRule="auto"/>
        <w:ind w:left="112" w:right="530" w:firstLine="480"/>
        <w:jc w:val="both"/>
        <w:rPr>
          <w:color w:val="auto"/>
          <w:sz w:val="24"/>
          <w:highlight w:val="none"/>
        </w:rPr>
      </w:pPr>
      <w:r>
        <w:rPr>
          <w:color w:val="auto"/>
          <w:spacing w:val="-2"/>
          <w:sz w:val="24"/>
          <w:highlight w:val="none"/>
        </w:rPr>
        <w:t>评审结果汇总完成后，磋商小组拟出具磋商评审报告前，采购人</w:t>
      </w:r>
      <w:r>
        <w:rPr>
          <w:color w:val="auto"/>
          <w:sz w:val="24"/>
          <w:highlight w:val="none"/>
        </w:rPr>
        <w:t>/</w:t>
      </w:r>
      <w:r>
        <w:rPr>
          <w:color w:val="auto"/>
          <w:spacing w:val="-2"/>
          <w:sz w:val="24"/>
          <w:highlight w:val="none"/>
        </w:rPr>
        <w:t>采购代理机构应</w:t>
      </w:r>
      <w:r>
        <w:rPr>
          <w:color w:val="auto"/>
          <w:spacing w:val="-13"/>
          <w:sz w:val="24"/>
          <w:highlight w:val="none"/>
        </w:rPr>
        <w:t xml:space="preserve">当组织 </w:t>
      </w:r>
      <w:r>
        <w:rPr>
          <w:color w:val="auto"/>
          <w:sz w:val="24"/>
          <w:highlight w:val="none"/>
        </w:rPr>
        <w:t>2</w:t>
      </w:r>
      <w:r>
        <w:rPr>
          <w:color w:val="auto"/>
          <w:spacing w:val="-7"/>
          <w:sz w:val="24"/>
          <w:highlight w:val="none"/>
        </w:rPr>
        <w:t xml:space="preserve"> 名以上的本单位工作人员，在采购现场监督人员的监督之下，依据有关的法律制度</w:t>
      </w:r>
      <w:r>
        <w:rPr>
          <w:color w:val="auto"/>
          <w:spacing w:val="-11"/>
          <w:sz w:val="24"/>
          <w:highlight w:val="none"/>
        </w:rPr>
        <w:t>和磋商文件对评审结果进行复核，出具复核报告，存在下列情形之一的，采购人</w:t>
      </w:r>
      <w:r>
        <w:rPr>
          <w:color w:val="auto"/>
          <w:sz w:val="24"/>
          <w:highlight w:val="none"/>
        </w:rPr>
        <w:t>/</w:t>
      </w:r>
      <w:r>
        <w:rPr>
          <w:color w:val="auto"/>
          <w:spacing w:val="-3"/>
          <w:sz w:val="24"/>
          <w:highlight w:val="none"/>
        </w:rPr>
        <w:t>采购代理机</w:t>
      </w:r>
      <w:r>
        <w:rPr>
          <w:color w:val="auto"/>
          <w:sz w:val="24"/>
          <w:highlight w:val="none"/>
        </w:rPr>
        <w:t>构应当根据情况书面建议磋商小组现场修改评审结果：</w:t>
      </w:r>
    </w:p>
    <w:p w14:paraId="44C3C9F6">
      <w:pPr>
        <w:pStyle w:val="50"/>
        <w:numPr>
          <w:ilvl w:val="0"/>
          <w:numId w:val="41"/>
        </w:numPr>
        <w:tabs>
          <w:tab w:val="left" w:pos="1194"/>
        </w:tabs>
        <w:spacing w:before="3" w:after="0" w:line="240" w:lineRule="auto"/>
        <w:ind w:left="1193" w:right="0" w:hanging="602"/>
        <w:jc w:val="left"/>
        <w:rPr>
          <w:color w:val="auto"/>
          <w:sz w:val="24"/>
          <w:highlight w:val="none"/>
        </w:rPr>
      </w:pPr>
      <w:r>
        <w:rPr>
          <w:color w:val="auto"/>
          <w:sz w:val="24"/>
          <w:highlight w:val="none"/>
        </w:rPr>
        <w:t>资格性审查认定错误的；</w:t>
      </w:r>
    </w:p>
    <w:p w14:paraId="7CEE7708">
      <w:pPr>
        <w:pStyle w:val="50"/>
        <w:numPr>
          <w:ilvl w:val="0"/>
          <w:numId w:val="41"/>
        </w:numPr>
        <w:tabs>
          <w:tab w:val="left" w:pos="1194"/>
        </w:tabs>
        <w:spacing w:before="160" w:after="0" w:line="240" w:lineRule="auto"/>
        <w:ind w:left="1193" w:right="0" w:hanging="602"/>
        <w:jc w:val="left"/>
        <w:rPr>
          <w:color w:val="auto"/>
          <w:sz w:val="24"/>
          <w:highlight w:val="none"/>
        </w:rPr>
      </w:pPr>
      <w:r>
        <w:rPr>
          <w:color w:val="auto"/>
          <w:sz w:val="24"/>
          <w:highlight w:val="none"/>
        </w:rPr>
        <w:t>分值汇总计算错误的；</w:t>
      </w:r>
    </w:p>
    <w:p w14:paraId="3CB5944B">
      <w:pPr>
        <w:pStyle w:val="50"/>
        <w:numPr>
          <w:ilvl w:val="0"/>
          <w:numId w:val="41"/>
        </w:numPr>
        <w:tabs>
          <w:tab w:val="left" w:pos="1194"/>
        </w:tabs>
        <w:spacing w:before="161" w:after="0" w:line="240" w:lineRule="auto"/>
        <w:ind w:left="1193" w:right="0" w:hanging="602"/>
        <w:jc w:val="left"/>
        <w:rPr>
          <w:color w:val="auto"/>
          <w:sz w:val="24"/>
          <w:highlight w:val="none"/>
        </w:rPr>
      </w:pPr>
      <w:r>
        <w:rPr>
          <w:color w:val="auto"/>
          <w:sz w:val="24"/>
          <w:highlight w:val="none"/>
        </w:rPr>
        <w:t>分项评分超出评分标准范围的；</w:t>
      </w:r>
    </w:p>
    <w:p w14:paraId="2EEB8BE0">
      <w:pPr>
        <w:pStyle w:val="50"/>
        <w:numPr>
          <w:ilvl w:val="0"/>
          <w:numId w:val="41"/>
        </w:numPr>
        <w:tabs>
          <w:tab w:val="left" w:pos="1194"/>
        </w:tabs>
        <w:spacing w:before="160" w:after="0" w:line="240" w:lineRule="auto"/>
        <w:ind w:left="1193" w:right="0" w:hanging="602"/>
        <w:jc w:val="left"/>
        <w:rPr>
          <w:color w:val="auto"/>
          <w:sz w:val="24"/>
          <w:highlight w:val="none"/>
        </w:rPr>
      </w:pPr>
      <w:r>
        <w:rPr>
          <w:color w:val="auto"/>
          <w:sz w:val="24"/>
          <w:highlight w:val="none"/>
        </w:rPr>
        <w:t>客观评分不一致的。</w:t>
      </w:r>
    </w:p>
    <w:p w14:paraId="6392531B">
      <w:pPr>
        <w:pStyle w:val="11"/>
        <w:spacing w:before="161" w:line="364" w:lineRule="auto"/>
        <w:ind w:left="112" w:right="451" w:firstLine="480"/>
        <w:rPr>
          <w:color w:val="auto"/>
          <w:highlight w:val="none"/>
        </w:rPr>
      </w:pPr>
      <w:r>
        <w:rPr>
          <w:color w:val="auto"/>
          <w:highlight w:val="none"/>
        </w:rPr>
        <w:t>存在本条上述情形的，由磋商小组自主决定是否采纳采购人/</w:t>
      </w:r>
      <w:r>
        <w:rPr>
          <w:color w:val="auto"/>
          <w:spacing w:val="-2"/>
          <w:highlight w:val="none"/>
        </w:rPr>
        <w:t xml:space="preserve">采购代理机构的书面建议， </w:t>
      </w:r>
      <w:r>
        <w:rPr>
          <w:color w:val="auto"/>
          <w:spacing w:val="-5"/>
          <w:highlight w:val="none"/>
        </w:rPr>
        <w:t>并承担独立评审责任。磋商小组采纳采购人</w:t>
      </w:r>
      <w:r>
        <w:rPr>
          <w:color w:val="auto"/>
          <w:highlight w:val="none"/>
        </w:rPr>
        <w:t>/</w:t>
      </w:r>
      <w:r>
        <w:rPr>
          <w:color w:val="auto"/>
          <w:spacing w:val="-4"/>
          <w:highlight w:val="none"/>
        </w:rPr>
        <w:t>采购代理机构书面建议的，应当按照规定现场修</w:t>
      </w:r>
      <w:r>
        <w:rPr>
          <w:color w:val="auto"/>
          <w:spacing w:val="-10"/>
          <w:highlight w:val="none"/>
        </w:rPr>
        <w:t>改评审结果或者重新评审，并在磋商报告中详细记载有关事宜；不采纳采购人</w:t>
      </w:r>
      <w:r>
        <w:rPr>
          <w:color w:val="auto"/>
          <w:highlight w:val="none"/>
        </w:rPr>
        <w:t>/采购代理机构</w:t>
      </w:r>
      <w:r>
        <w:rPr>
          <w:color w:val="auto"/>
          <w:spacing w:val="-7"/>
          <w:highlight w:val="none"/>
        </w:rPr>
        <w:t>书面建议的，应当书面说明理由。采购人</w:t>
      </w:r>
      <w:r>
        <w:rPr>
          <w:color w:val="auto"/>
          <w:highlight w:val="none"/>
        </w:rPr>
        <w:t>/</w:t>
      </w:r>
      <w:r>
        <w:rPr>
          <w:color w:val="auto"/>
          <w:spacing w:val="-2"/>
          <w:highlight w:val="none"/>
        </w:rPr>
        <w:t>采购代理机构书面建议未被磋商小组采纳的，应当</w:t>
      </w:r>
      <w:r>
        <w:rPr>
          <w:color w:val="auto"/>
          <w:spacing w:val="-7"/>
          <w:highlight w:val="none"/>
        </w:rPr>
        <w:t>接照规定程序要求继续组织实施采购活动，不得擅自中止采购活动。采购人</w:t>
      </w:r>
      <w:r>
        <w:rPr>
          <w:color w:val="auto"/>
          <w:highlight w:val="none"/>
        </w:rPr>
        <w:t>/采购代理机构认为磋商小组评审结果不合法的，应当书面报告采购项目同级财政部门。</w:t>
      </w:r>
    </w:p>
    <w:p w14:paraId="5C5B9925">
      <w:pPr>
        <w:pStyle w:val="11"/>
        <w:spacing w:before="3" w:line="360" w:lineRule="auto"/>
        <w:ind w:left="592"/>
        <w:rPr>
          <w:color w:val="auto"/>
          <w:highlight w:val="none"/>
        </w:rPr>
      </w:pPr>
      <w:r>
        <w:rPr>
          <w:color w:val="auto"/>
          <w:highlight w:val="none"/>
        </w:rPr>
        <w:t>采购人/采购代理机构复核过程中，磋商小组成员不得离开评审现场。</w:t>
      </w:r>
    </w:p>
    <w:p w14:paraId="3701C706">
      <w:pPr>
        <w:pStyle w:val="50"/>
        <w:numPr>
          <w:ilvl w:val="2"/>
          <w:numId w:val="39"/>
        </w:numPr>
        <w:tabs>
          <w:tab w:val="left" w:pos="1253"/>
        </w:tabs>
        <w:spacing w:before="40" w:after="0" w:line="360" w:lineRule="auto"/>
        <w:ind w:left="1252" w:right="0" w:hanging="661"/>
        <w:jc w:val="both"/>
        <w:rPr>
          <w:color w:val="auto"/>
          <w:sz w:val="24"/>
          <w:highlight w:val="none"/>
        </w:rPr>
      </w:pPr>
      <w:r>
        <w:rPr>
          <w:color w:val="auto"/>
          <w:sz w:val="24"/>
          <w:highlight w:val="none"/>
        </w:rPr>
        <w:t>有下列情形之一的，不得现场修改评审结果：</w:t>
      </w:r>
    </w:p>
    <w:p w14:paraId="29A28CA6">
      <w:pPr>
        <w:pStyle w:val="50"/>
        <w:numPr>
          <w:ilvl w:val="0"/>
          <w:numId w:val="42"/>
        </w:numPr>
        <w:tabs>
          <w:tab w:val="left" w:pos="1194"/>
        </w:tabs>
        <w:spacing w:before="161" w:after="0" w:line="240" w:lineRule="auto"/>
        <w:ind w:left="1193" w:right="0" w:hanging="602"/>
        <w:jc w:val="left"/>
        <w:rPr>
          <w:color w:val="auto"/>
          <w:sz w:val="24"/>
          <w:highlight w:val="none"/>
        </w:rPr>
      </w:pPr>
      <w:r>
        <w:rPr>
          <w:color w:val="auto"/>
          <w:sz w:val="24"/>
          <w:highlight w:val="none"/>
        </w:rPr>
        <w:t>磋商小组已经出具磋商报告并且离开评审现场的；</w:t>
      </w:r>
    </w:p>
    <w:p w14:paraId="51CC01B7">
      <w:pPr>
        <w:pStyle w:val="50"/>
        <w:numPr>
          <w:ilvl w:val="0"/>
          <w:numId w:val="42"/>
        </w:numPr>
        <w:tabs>
          <w:tab w:val="left" w:pos="1194"/>
        </w:tabs>
        <w:spacing w:before="160" w:after="0" w:line="240" w:lineRule="auto"/>
        <w:ind w:left="1193" w:right="0" w:hanging="602"/>
        <w:jc w:val="left"/>
        <w:rPr>
          <w:color w:val="auto"/>
          <w:sz w:val="24"/>
          <w:highlight w:val="none"/>
        </w:rPr>
      </w:pPr>
      <w:r>
        <w:rPr>
          <w:color w:val="auto"/>
          <w:sz w:val="24"/>
          <w:highlight w:val="none"/>
        </w:rPr>
        <w:t>采购人/采购代理机构现场复核时，复核工作人员数量不足的；</w:t>
      </w:r>
    </w:p>
    <w:p w14:paraId="20F28C78">
      <w:pPr>
        <w:pStyle w:val="50"/>
        <w:numPr>
          <w:ilvl w:val="0"/>
          <w:numId w:val="42"/>
        </w:numPr>
        <w:tabs>
          <w:tab w:val="left" w:pos="1194"/>
        </w:tabs>
        <w:spacing w:before="161" w:after="0" w:line="240" w:lineRule="auto"/>
        <w:ind w:left="1193" w:right="0" w:hanging="602"/>
        <w:jc w:val="left"/>
        <w:rPr>
          <w:color w:val="auto"/>
          <w:sz w:val="24"/>
          <w:highlight w:val="none"/>
        </w:rPr>
      </w:pPr>
      <w:r>
        <w:rPr>
          <w:color w:val="auto"/>
          <w:sz w:val="24"/>
          <w:highlight w:val="none"/>
        </w:rPr>
        <w:t>采购人/采购代理机构现场复核时，没有采购监督人员现场监督的；</w:t>
      </w:r>
    </w:p>
    <w:p w14:paraId="5FF9262F">
      <w:pPr>
        <w:pStyle w:val="50"/>
        <w:numPr>
          <w:ilvl w:val="0"/>
          <w:numId w:val="42"/>
        </w:numPr>
        <w:tabs>
          <w:tab w:val="left" w:pos="1194"/>
        </w:tabs>
        <w:spacing w:before="160" w:after="0" w:line="240" w:lineRule="auto"/>
        <w:ind w:left="1193" w:right="0" w:hanging="602"/>
        <w:jc w:val="left"/>
        <w:rPr>
          <w:color w:val="auto"/>
          <w:sz w:val="24"/>
          <w:highlight w:val="none"/>
        </w:rPr>
      </w:pPr>
      <w:r>
        <w:rPr>
          <w:color w:val="auto"/>
          <w:sz w:val="24"/>
          <w:highlight w:val="none"/>
        </w:rPr>
        <w:t>采购人/采购代理机构现场复核内容超出规定范围的；</w:t>
      </w:r>
    </w:p>
    <w:p w14:paraId="1207C7FB">
      <w:pPr>
        <w:pStyle w:val="50"/>
        <w:numPr>
          <w:ilvl w:val="0"/>
          <w:numId w:val="42"/>
        </w:numPr>
        <w:tabs>
          <w:tab w:val="left" w:pos="1194"/>
        </w:tabs>
        <w:spacing w:before="161" w:after="0" w:line="240" w:lineRule="auto"/>
        <w:ind w:left="1193" w:right="0" w:hanging="602"/>
        <w:jc w:val="left"/>
        <w:rPr>
          <w:color w:val="auto"/>
          <w:sz w:val="24"/>
          <w:highlight w:val="none"/>
        </w:rPr>
      </w:pPr>
      <w:r>
        <w:rPr>
          <w:color w:val="auto"/>
          <w:sz w:val="24"/>
          <w:highlight w:val="none"/>
        </w:rPr>
        <w:t>采购人/采购代理机构未提供书面建议的。</w:t>
      </w:r>
    </w:p>
    <w:p w14:paraId="039889D3">
      <w:pPr>
        <w:pStyle w:val="50"/>
        <w:numPr>
          <w:ilvl w:val="1"/>
          <w:numId w:val="39"/>
        </w:numPr>
        <w:tabs>
          <w:tab w:val="left" w:pos="1136"/>
        </w:tabs>
        <w:spacing w:before="160" w:after="0" w:line="364" w:lineRule="auto"/>
        <w:ind w:left="112" w:right="532" w:firstLine="480"/>
        <w:jc w:val="left"/>
        <w:rPr>
          <w:color w:val="auto"/>
          <w:sz w:val="24"/>
          <w:highlight w:val="none"/>
        </w:rPr>
      </w:pPr>
      <w:r>
        <w:rPr>
          <w:color w:val="auto"/>
          <w:sz w:val="24"/>
          <w:highlight w:val="none"/>
        </w:rPr>
        <w:t>编写磋商报告。磋商小组推荐成交候选供应商后，应向采购人/采购代理机构出具磋商报告。磋商报告应当包括以下主要内容：</w:t>
      </w:r>
    </w:p>
    <w:p w14:paraId="45D10642">
      <w:pPr>
        <w:pStyle w:val="50"/>
        <w:numPr>
          <w:ilvl w:val="0"/>
          <w:numId w:val="43"/>
        </w:numPr>
        <w:tabs>
          <w:tab w:val="left" w:pos="1194"/>
        </w:tabs>
        <w:spacing w:before="1" w:after="0" w:line="240" w:lineRule="auto"/>
        <w:ind w:left="1193" w:right="0" w:hanging="602"/>
        <w:jc w:val="left"/>
        <w:rPr>
          <w:color w:val="auto"/>
          <w:sz w:val="24"/>
          <w:highlight w:val="none"/>
        </w:rPr>
      </w:pPr>
      <w:r>
        <w:rPr>
          <w:color w:val="auto"/>
          <w:sz w:val="24"/>
          <w:highlight w:val="none"/>
        </w:rPr>
        <w:t>邀请供应商参加采购活动的具体方式和相关情况；</w:t>
      </w:r>
    </w:p>
    <w:p w14:paraId="1309C185">
      <w:pPr>
        <w:pStyle w:val="50"/>
        <w:numPr>
          <w:ilvl w:val="0"/>
          <w:numId w:val="43"/>
        </w:numPr>
        <w:tabs>
          <w:tab w:val="left" w:pos="1194"/>
        </w:tabs>
        <w:spacing w:before="161" w:after="0" w:line="240" w:lineRule="auto"/>
        <w:ind w:left="1193" w:right="0" w:hanging="602"/>
        <w:jc w:val="left"/>
        <w:rPr>
          <w:color w:val="auto"/>
          <w:sz w:val="24"/>
          <w:highlight w:val="none"/>
        </w:rPr>
      </w:pPr>
      <w:r>
        <w:rPr>
          <w:color w:val="auto"/>
          <w:sz w:val="24"/>
          <w:highlight w:val="none"/>
        </w:rPr>
        <w:t>响应文件开启日期和地点；</w:t>
      </w:r>
    </w:p>
    <w:p w14:paraId="074B5B3A">
      <w:pPr>
        <w:pStyle w:val="50"/>
        <w:numPr>
          <w:ilvl w:val="0"/>
          <w:numId w:val="43"/>
        </w:numPr>
        <w:tabs>
          <w:tab w:val="left" w:pos="1194"/>
        </w:tabs>
        <w:spacing w:before="161" w:after="0" w:line="240" w:lineRule="auto"/>
        <w:ind w:left="1193" w:right="0" w:hanging="602"/>
        <w:jc w:val="left"/>
        <w:rPr>
          <w:color w:val="auto"/>
          <w:sz w:val="24"/>
          <w:highlight w:val="none"/>
        </w:rPr>
      </w:pPr>
      <w:r>
        <w:rPr>
          <w:color w:val="auto"/>
          <w:sz w:val="24"/>
          <w:highlight w:val="none"/>
        </w:rPr>
        <w:t>获取磋商文件的供应商名单和磋商小组成员名单；</w:t>
      </w:r>
    </w:p>
    <w:p w14:paraId="2FE5A60F">
      <w:pPr>
        <w:pStyle w:val="50"/>
        <w:numPr>
          <w:ilvl w:val="0"/>
          <w:numId w:val="43"/>
        </w:numPr>
        <w:tabs>
          <w:tab w:val="left" w:pos="1194"/>
        </w:tabs>
        <w:spacing w:before="160" w:after="0" w:line="364" w:lineRule="auto"/>
        <w:ind w:left="112" w:right="451" w:firstLine="480"/>
        <w:jc w:val="left"/>
        <w:rPr>
          <w:color w:val="auto"/>
          <w:sz w:val="24"/>
          <w:highlight w:val="none"/>
        </w:rPr>
      </w:pPr>
      <w:r>
        <w:rPr>
          <w:color w:val="auto"/>
          <w:spacing w:val="-1"/>
          <w:sz w:val="24"/>
          <w:highlight w:val="none"/>
        </w:rPr>
        <w:t>评审情况记录和说明，包括对供应商的资格审查情况、供应商响应文件审查情况、</w:t>
      </w:r>
      <w:r>
        <w:rPr>
          <w:color w:val="auto"/>
          <w:sz w:val="24"/>
          <w:highlight w:val="none"/>
        </w:rPr>
        <w:t>磋商情况、报价情况等；</w:t>
      </w:r>
    </w:p>
    <w:p w14:paraId="558E2AB4">
      <w:pPr>
        <w:pStyle w:val="50"/>
        <w:numPr>
          <w:ilvl w:val="0"/>
          <w:numId w:val="43"/>
        </w:numPr>
        <w:tabs>
          <w:tab w:val="left" w:pos="1194"/>
        </w:tabs>
        <w:spacing w:before="1" w:after="0" w:line="240" w:lineRule="auto"/>
        <w:ind w:left="1193" w:right="0" w:hanging="602"/>
        <w:jc w:val="left"/>
        <w:rPr>
          <w:color w:val="auto"/>
          <w:sz w:val="24"/>
          <w:highlight w:val="none"/>
        </w:rPr>
      </w:pPr>
      <w:r>
        <w:rPr>
          <w:color w:val="auto"/>
          <w:sz w:val="24"/>
          <w:highlight w:val="none"/>
        </w:rPr>
        <w:t>提出的成交候选供应商的排序名单及理由。</w:t>
      </w:r>
    </w:p>
    <w:p w14:paraId="6A7DDF69">
      <w:pPr>
        <w:pStyle w:val="11"/>
        <w:spacing w:before="161" w:line="364" w:lineRule="auto"/>
        <w:ind w:left="112" w:right="532" w:firstLine="480"/>
        <w:jc w:val="both"/>
        <w:rPr>
          <w:color w:val="auto"/>
          <w:highlight w:val="none"/>
        </w:rPr>
      </w:pPr>
      <w:r>
        <w:rPr>
          <w:color w:val="auto"/>
          <w:highlight w:val="none"/>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59171752">
      <w:pPr>
        <w:pStyle w:val="50"/>
        <w:numPr>
          <w:ilvl w:val="1"/>
          <w:numId w:val="39"/>
        </w:numPr>
        <w:tabs>
          <w:tab w:val="left" w:pos="1133"/>
        </w:tabs>
        <w:spacing w:before="2" w:after="0" w:line="364" w:lineRule="auto"/>
        <w:ind w:left="112" w:right="532" w:firstLine="480"/>
        <w:jc w:val="both"/>
        <w:rPr>
          <w:color w:val="auto"/>
          <w:sz w:val="24"/>
          <w:highlight w:val="none"/>
        </w:rPr>
      </w:pPr>
      <w:r>
        <w:rPr>
          <w:color w:val="auto"/>
          <w:spacing w:val="-4"/>
          <w:sz w:val="24"/>
          <w:highlight w:val="none"/>
        </w:rPr>
        <w:t>磋商异议处理规则。在磋商过程中，磋商小组成员对响应文件是否符合磋商文件规</w:t>
      </w:r>
      <w:r>
        <w:rPr>
          <w:color w:val="auto"/>
          <w:spacing w:val="-1"/>
          <w:sz w:val="24"/>
          <w:highlight w:val="none"/>
        </w:rPr>
        <w:t>定存在争议的，应当以少数服从多数的原则处理，但不违背磋商文件规定。有不同意见的磋商小组成员认为认定过程和结果不符合法律法规或者磋商文件规定的，应当在磋商报告中予</w:t>
      </w:r>
      <w:r>
        <w:rPr>
          <w:color w:val="auto"/>
          <w:sz w:val="24"/>
          <w:highlight w:val="none"/>
        </w:rPr>
        <w:t>以反映。</w:t>
      </w:r>
    </w:p>
    <w:p w14:paraId="1FD6D649">
      <w:pPr>
        <w:pStyle w:val="50"/>
        <w:numPr>
          <w:ilvl w:val="1"/>
          <w:numId w:val="39"/>
        </w:numPr>
        <w:tabs>
          <w:tab w:val="left" w:pos="1133"/>
        </w:tabs>
        <w:spacing w:before="3" w:after="0" w:line="240" w:lineRule="auto"/>
        <w:ind w:left="1132" w:right="0" w:hanging="541"/>
        <w:jc w:val="both"/>
        <w:rPr>
          <w:color w:val="auto"/>
          <w:sz w:val="24"/>
          <w:highlight w:val="none"/>
        </w:rPr>
      </w:pPr>
      <w:r>
        <w:rPr>
          <w:color w:val="auto"/>
          <w:sz w:val="24"/>
          <w:highlight w:val="none"/>
        </w:rPr>
        <w:t>供应商澄清、说明</w:t>
      </w:r>
    </w:p>
    <w:p w14:paraId="05EDB53C">
      <w:pPr>
        <w:pStyle w:val="50"/>
        <w:numPr>
          <w:ilvl w:val="2"/>
          <w:numId w:val="39"/>
        </w:numPr>
        <w:tabs>
          <w:tab w:val="left" w:pos="1373"/>
        </w:tabs>
        <w:spacing w:before="160" w:after="0" w:line="364" w:lineRule="auto"/>
        <w:ind w:left="112" w:right="532" w:firstLine="480"/>
        <w:jc w:val="both"/>
        <w:rPr>
          <w:color w:val="auto"/>
          <w:sz w:val="24"/>
          <w:highlight w:val="none"/>
        </w:rPr>
      </w:pPr>
      <w:r>
        <w:rPr>
          <w:color w:val="auto"/>
          <w:spacing w:val="-3"/>
          <w:sz w:val="24"/>
          <w:highlight w:val="none"/>
        </w:rPr>
        <w:t>磋商小组在对响应文件的有效性、完整性和响应程度进行审查时，可以要求供应</w:t>
      </w:r>
      <w:r>
        <w:rPr>
          <w:color w:val="auto"/>
          <w:spacing w:val="-1"/>
          <w:sz w:val="24"/>
          <w:highlight w:val="none"/>
        </w:rPr>
        <w:t>商对响应文件中含义不明确、同类问题表述不一致或者有明显文字和计算错误的内容等作出必要的澄清、说明或者更正。供应商的澄清、说明或者更正不得超出响应文件的范围或者改</w:t>
      </w:r>
      <w:r>
        <w:rPr>
          <w:color w:val="auto"/>
          <w:sz w:val="24"/>
          <w:highlight w:val="none"/>
        </w:rPr>
        <w:t>变响应文件的实质性内容。</w:t>
      </w:r>
    </w:p>
    <w:p w14:paraId="0E726100">
      <w:pPr>
        <w:pStyle w:val="50"/>
        <w:numPr>
          <w:ilvl w:val="2"/>
          <w:numId w:val="39"/>
        </w:numPr>
        <w:tabs>
          <w:tab w:val="left" w:pos="1373"/>
        </w:tabs>
        <w:spacing w:before="2" w:after="0" w:line="364" w:lineRule="auto"/>
        <w:ind w:left="112" w:right="532" w:firstLine="480"/>
        <w:jc w:val="both"/>
        <w:rPr>
          <w:color w:val="auto"/>
          <w:sz w:val="24"/>
          <w:highlight w:val="none"/>
        </w:rPr>
      </w:pPr>
      <w:r>
        <w:rPr>
          <w:color w:val="auto"/>
          <w:spacing w:val="-3"/>
          <w:sz w:val="24"/>
          <w:highlight w:val="none"/>
        </w:rPr>
        <w:t>磋商小组要求供应商澄清、说明或者更正响应文件应当以书面形式作出。供应商</w:t>
      </w:r>
      <w:r>
        <w:rPr>
          <w:color w:val="auto"/>
          <w:sz w:val="24"/>
          <w:highlight w:val="none"/>
        </w:rPr>
        <w:t>的澄清、说明或者更正应当由法定代表人或其授权代表签字或者加盖公章。</w:t>
      </w:r>
    </w:p>
    <w:p w14:paraId="463A0D4B">
      <w:pPr>
        <w:pStyle w:val="50"/>
        <w:numPr>
          <w:ilvl w:val="1"/>
          <w:numId w:val="39"/>
        </w:numPr>
        <w:tabs>
          <w:tab w:val="left" w:pos="1133"/>
        </w:tabs>
        <w:spacing w:before="2" w:after="0" w:line="240" w:lineRule="auto"/>
        <w:ind w:left="1132" w:right="0" w:hanging="541"/>
        <w:jc w:val="both"/>
        <w:rPr>
          <w:color w:val="auto"/>
          <w:sz w:val="24"/>
          <w:highlight w:val="none"/>
        </w:rPr>
      </w:pPr>
      <w:r>
        <w:rPr>
          <w:color w:val="auto"/>
          <w:sz w:val="24"/>
          <w:highlight w:val="none"/>
        </w:rPr>
        <w:t>终止磋商采购活动。</w:t>
      </w:r>
    </w:p>
    <w:p w14:paraId="7587D8C1">
      <w:pPr>
        <w:spacing w:after="0" w:line="240" w:lineRule="auto"/>
        <w:jc w:val="both"/>
        <w:rPr>
          <w:color w:val="auto"/>
          <w:sz w:val="24"/>
          <w:highlight w:val="none"/>
        </w:rPr>
      </w:pPr>
    </w:p>
    <w:p w14:paraId="0574C470">
      <w:pPr>
        <w:pStyle w:val="11"/>
        <w:spacing w:before="40" w:line="364" w:lineRule="auto"/>
        <w:ind w:left="112" w:right="532" w:firstLine="480"/>
        <w:rPr>
          <w:color w:val="auto"/>
          <w:highlight w:val="none"/>
        </w:rPr>
      </w:pPr>
      <w:r>
        <w:rPr>
          <w:color w:val="auto"/>
          <w:highlight w:val="none"/>
        </w:rPr>
        <w:t>出现下列情形之一的，采购人或者采购代理机构应当终止竞争性磋商采购活动，发布项目终止公告并说明原因，重新开展采购活动：</w:t>
      </w:r>
    </w:p>
    <w:p w14:paraId="61225720">
      <w:pPr>
        <w:pStyle w:val="50"/>
        <w:numPr>
          <w:ilvl w:val="0"/>
          <w:numId w:val="44"/>
        </w:numPr>
        <w:tabs>
          <w:tab w:val="left" w:pos="1194"/>
        </w:tabs>
        <w:spacing w:before="2" w:after="0" w:line="240" w:lineRule="auto"/>
        <w:ind w:left="1193" w:right="0" w:hanging="602"/>
        <w:jc w:val="left"/>
        <w:rPr>
          <w:color w:val="auto"/>
          <w:sz w:val="24"/>
          <w:highlight w:val="none"/>
        </w:rPr>
      </w:pPr>
      <w:r>
        <w:rPr>
          <w:color w:val="auto"/>
          <w:sz w:val="24"/>
          <w:highlight w:val="none"/>
        </w:rPr>
        <w:t>因情况变化，不再符合规定的竞争性磋商采购方式适用情形的；</w:t>
      </w:r>
    </w:p>
    <w:p w14:paraId="43424B9E">
      <w:pPr>
        <w:pStyle w:val="50"/>
        <w:numPr>
          <w:ilvl w:val="0"/>
          <w:numId w:val="44"/>
        </w:numPr>
        <w:tabs>
          <w:tab w:val="left" w:pos="1194"/>
        </w:tabs>
        <w:spacing w:before="160" w:after="0" w:line="240" w:lineRule="auto"/>
        <w:ind w:left="1193" w:right="0" w:hanging="602"/>
        <w:jc w:val="left"/>
        <w:rPr>
          <w:color w:val="auto"/>
          <w:sz w:val="24"/>
          <w:highlight w:val="none"/>
        </w:rPr>
      </w:pPr>
      <w:r>
        <w:rPr>
          <w:color w:val="auto"/>
          <w:sz w:val="24"/>
          <w:highlight w:val="none"/>
        </w:rPr>
        <w:t>出现影响采购公正的违法、违规行为的；</w:t>
      </w:r>
    </w:p>
    <w:p w14:paraId="55B142EF">
      <w:pPr>
        <w:pStyle w:val="50"/>
        <w:numPr>
          <w:ilvl w:val="0"/>
          <w:numId w:val="44"/>
        </w:numPr>
        <w:tabs>
          <w:tab w:val="left" w:pos="1194"/>
        </w:tabs>
        <w:spacing w:before="161" w:after="0" w:line="240" w:lineRule="auto"/>
        <w:ind w:left="1193" w:right="0" w:hanging="602"/>
        <w:jc w:val="left"/>
        <w:rPr>
          <w:color w:val="auto"/>
          <w:sz w:val="24"/>
          <w:highlight w:val="none"/>
        </w:rPr>
      </w:pPr>
      <w:r>
        <w:rPr>
          <w:color w:val="auto"/>
          <w:spacing w:val="-2"/>
          <w:sz w:val="24"/>
          <w:highlight w:val="none"/>
        </w:rPr>
        <w:t xml:space="preserve">在采购过程中符合要求的供应商或者报价未超过采购预算的供应商不足 </w:t>
      </w:r>
      <w:r>
        <w:rPr>
          <w:color w:val="auto"/>
          <w:sz w:val="24"/>
          <w:highlight w:val="none"/>
        </w:rPr>
        <w:t>3</w:t>
      </w:r>
      <w:r>
        <w:rPr>
          <w:color w:val="auto"/>
          <w:spacing w:val="-15"/>
          <w:sz w:val="24"/>
          <w:highlight w:val="none"/>
        </w:rPr>
        <w:t xml:space="preserve"> 家的。</w:t>
      </w:r>
    </w:p>
    <w:p w14:paraId="50599F3F">
      <w:pPr>
        <w:pStyle w:val="4"/>
        <w:spacing w:before="80" w:line="360" w:lineRule="auto"/>
        <w:outlineLvl w:val="1"/>
        <w:rPr>
          <w:color w:val="auto"/>
          <w:highlight w:val="none"/>
        </w:rPr>
      </w:pPr>
      <w:bookmarkStart w:id="76" w:name="三.综合评分"/>
      <w:bookmarkEnd w:id="76"/>
      <w:bookmarkStart w:id="77" w:name="_Toc4923"/>
      <w:bookmarkStart w:id="78" w:name="_Toc21677"/>
      <w:bookmarkStart w:id="79" w:name="_Toc19854"/>
      <w:r>
        <w:rPr>
          <w:color w:val="auto"/>
          <w:w w:val="95"/>
          <w:highlight w:val="none"/>
        </w:rPr>
        <w:t>三.综合评分</w:t>
      </w:r>
      <w:bookmarkEnd w:id="77"/>
      <w:bookmarkEnd w:id="78"/>
      <w:bookmarkEnd w:id="79"/>
    </w:p>
    <w:p w14:paraId="05F7BBA9">
      <w:pPr>
        <w:pStyle w:val="11"/>
        <w:spacing w:before="40" w:line="360" w:lineRule="auto"/>
        <w:ind w:left="112" w:right="532" w:firstLine="480"/>
        <w:rPr>
          <w:rFonts w:ascii="宋体" w:hAnsi="宋体" w:eastAsia="宋体" w:cs="宋体"/>
          <w:color w:val="auto"/>
          <w:highlight w:val="none"/>
        </w:rPr>
      </w:pPr>
      <w:r>
        <w:rPr>
          <w:rFonts w:hint="eastAsia" w:ascii="宋体" w:hAnsi="宋体" w:eastAsia="宋体" w:cs="宋体"/>
          <w:color w:val="auto"/>
          <w:highlight w:val="none"/>
          <w:lang w:val="en-US" w:eastAsia="zh-CN"/>
        </w:rPr>
        <w:t>3.1</w:t>
      </w:r>
      <w:r>
        <w:rPr>
          <w:rFonts w:ascii="宋体" w:hAnsi="宋体" w:eastAsia="宋体" w:cs="宋体"/>
          <w:color w:val="auto"/>
          <w:highlight w:val="none"/>
        </w:rPr>
        <w:t>本次综合评分的因素是：商务、技术等。</w:t>
      </w:r>
    </w:p>
    <w:p w14:paraId="3711304C">
      <w:pPr>
        <w:pStyle w:val="11"/>
        <w:spacing w:before="40" w:line="360" w:lineRule="auto"/>
        <w:ind w:left="112" w:right="532" w:firstLine="480"/>
        <w:rPr>
          <w:rFonts w:ascii="宋体" w:hAnsi="宋体" w:eastAsia="宋体" w:cs="宋体"/>
          <w:color w:val="auto"/>
          <w:highlight w:val="none"/>
        </w:rPr>
        <w:sectPr>
          <w:pgSz w:w="11910" w:h="16840"/>
          <w:pgMar w:top="1440" w:right="600" w:bottom="1400" w:left="1020" w:header="0" w:footer="1214"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highlight w:val="none"/>
          <w:lang w:val="en-US" w:eastAsia="zh-CN"/>
        </w:rPr>
        <w:t>3.2</w:t>
      </w:r>
      <w:r>
        <w:rPr>
          <w:rFonts w:ascii="宋体" w:hAnsi="宋体" w:eastAsia="宋体" w:cs="宋体"/>
          <w:color w:val="auto"/>
          <w:highlight w:val="none"/>
        </w:rPr>
        <w:t>除价格因素外，磋商小组成员应当根据自身专业情况独立对每个有效供应商的响应文件进行评价、打分。技术、与技术有关的服务及其他技术类评分因素由抽取的技术方面磋商小组成员独立评分。财务状况及其他经济类评分因素由抽取的经济方面磋商小组成员独立评分。政府采购政策功能、政府采购合同主要条款及其他政策合同类的评分因素由抽取的法律方面磋商小组成员独立评分。采购人代表原则上对技术、与技术有关的服务及其他技术类评分因素独立评分。其他不能明确区分的评分因素由磋商小组成员共同评分。</w:t>
      </w:r>
    </w:p>
    <w:p w14:paraId="319EE6C5">
      <w:pPr>
        <w:pStyle w:val="5"/>
        <w:spacing w:before="40"/>
        <w:jc w:val="left"/>
        <w:outlineLvl w:val="0"/>
        <w:rPr>
          <w:color w:val="auto"/>
          <w:highlight w:val="none"/>
        </w:rPr>
      </w:pPr>
      <w:bookmarkStart w:id="80" w:name="_Toc334"/>
      <w:r>
        <w:rPr>
          <w:color w:val="auto"/>
          <w:highlight w:val="none"/>
        </w:rPr>
        <w:t>附件：评审表样</w:t>
      </w:r>
      <w:bookmarkEnd w:id="80"/>
    </w:p>
    <w:p w14:paraId="05CBC6FD">
      <w:pPr>
        <w:pStyle w:val="11"/>
        <w:rPr>
          <w:b/>
          <w:color w:val="auto"/>
          <w:sz w:val="20"/>
          <w:highlight w:val="none"/>
        </w:rPr>
      </w:pPr>
    </w:p>
    <w:p w14:paraId="6DD92C0A">
      <w:pPr>
        <w:pStyle w:val="5"/>
        <w:spacing w:before="42"/>
        <w:ind w:right="419"/>
        <w:rPr>
          <w:color w:val="auto"/>
          <w:highlight w:val="none"/>
        </w:rPr>
      </w:pPr>
      <w:r>
        <w:rPr>
          <w:color w:val="auto"/>
          <w:highlight w:val="none"/>
        </w:rPr>
        <w:t>资格性评审表</w:t>
      </w:r>
    </w:p>
    <w:p w14:paraId="381AA996">
      <w:pPr>
        <w:pStyle w:val="11"/>
        <w:spacing w:before="3"/>
        <w:rPr>
          <w:b/>
          <w:color w:val="auto"/>
          <w:sz w:val="32"/>
          <w:highlight w:val="none"/>
        </w:rPr>
      </w:pPr>
    </w:p>
    <w:tbl>
      <w:tblPr>
        <w:tblStyle w:val="24"/>
        <w:tblW w:w="0" w:type="auto"/>
        <w:tblInd w:w="504"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2"/>
        <w:gridCol w:w="379"/>
        <w:gridCol w:w="2817"/>
        <w:gridCol w:w="2939"/>
        <w:gridCol w:w="785"/>
        <w:gridCol w:w="727"/>
        <w:gridCol w:w="729"/>
      </w:tblGrid>
      <w:tr w14:paraId="2881EB8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81" w:type="dxa"/>
            <w:gridSpan w:val="2"/>
            <w:vMerge w:val="restart"/>
            <w:tcBorders>
              <w:tl2br w:val="nil"/>
              <w:tr2bl w:val="nil"/>
            </w:tcBorders>
          </w:tcPr>
          <w:p w14:paraId="60DF61FD">
            <w:pPr>
              <w:pStyle w:val="49"/>
              <w:spacing w:before="1"/>
              <w:rPr>
                <w:color w:val="auto"/>
                <w:sz w:val="24"/>
                <w:highlight w:val="none"/>
              </w:rPr>
            </w:pPr>
          </w:p>
          <w:p w14:paraId="4FC8A58D">
            <w:pPr>
              <w:pStyle w:val="49"/>
              <w:ind w:left="199"/>
              <w:rPr>
                <w:b/>
                <w:color w:val="auto"/>
                <w:sz w:val="24"/>
                <w:highlight w:val="none"/>
              </w:rPr>
            </w:pPr>
            <w:r>
              <w:rPr>
                <w:b/>
                <w:color w:val="auto"/>
                <w:sz w:val="24"/>
                <w:highlight w:val="none"/>
              </w:rPr>
              <w:t>序号</w:t>
            </w:r>
          </w:p>
        </w:tc>
        <w:tc>
          <w:tcPr>
            <w:tcW w:w="2817" w:type="dxa"/>
            <w:vMerge w:val="restart"/>
            <w:tcBorders>
              <w:tl2br w:val="nil"/>
              <w:tr2bl w:val="nil"/>
            </w:tcBorders>
          </w:tcPr>
          <w:p w14:paraId="65C6A38C">
            <w:pPr>
              <w:pStyle w:val="49"/>
              <w:spacing w:before="1"/>
              <w:rPr>
                <w:color w:val="auto"/>
                <w:sz w:val="24"/>
                <w:highlight w:val="none"/>
              </w:rPr>
            </w:pPr>
          </w:p>
          <w:p w14:paraId="06452A25">
            <w:pPr>
              <w:pStyle w:val="49"/>
              <w:ind w:left="277"/>
              <w:rPr>
                <w:b/>
                <w:color w:val="auto"/>
                <w:sz w:val="24"/>
                <w:highlight w:val="none"/>
              </w:rPr>
            </w:pPr>
            <w:r>
              <w:rPr>
                <w:b/>
                <w:color w:val="auto"/>
                <w:sz w:val="24"/>
                <w:highlight w:val="none"/>
              </w:rPr>
              <w:t>资格性审查内容</w:t>
            </w:r>
          </w:p>
        </w:tc>
        <w:tc>
          <w:tcPr>
            <w:tcW w:w="2939" w:type="dxa"/>
            <w:vMerge w:val="restart"/>
            <w:tcBorders>
              <w:tl2br w:val="nil"/>
              <w:tr2bl w:val="nil"/>
            </w:tcBorders>
          </w:tcPr>
          <w:p w14:paraId="34784596">
            <w:pPr>
              <w:pStyle w:val="49"/>
              <w:spacing w:before="1"/>
              <w:rPr>
                <w:color w:val="auto"/>
                <w:sz w:val="24"/>
                <w:highlight w:val="none"/>
              </w:rPr>
            </w:pPr>
          </w:p>
          <w:p w14:paraId="7F759070">
            <w:pPr>
              <w:pStyle w:val="49"/>
              <w:jc w:val="center"/>
              <w:rPr>
                <w:b/>
                <w:color w:val="auto"/>
                <w:sz w:val="24"/>
                <w:highlight w:val="none"/>
              </w:rPr>
            </w:pPr>
            <w:r>
              <w:rPr>
                <w:b/>
                <w:color w:val="auto"/>
                <w:sz w:val="24"/>
                <w:highlight w:val="none"/>
              </w:rPr>
              <w:t>审查标准</w:t>
            </w:r>
          </w:p>
        </w:tc>
        <w:tc>
          <w:tcPr>
            <w:tcW w:w="2241" w:type="dxa"/>
            <w:gridSpan w:val="3"/>
            <w:tcBorders>
              <w:tl2br w:val="nil"/>
              <w:tr2bl w:val="nil"/>
            </w:tcBorders>
          </w:tcPr>
          <w:p w14:paraId="6B1FCF0E">
            <w:pPr>
              <w:pStyle w:val="49"/>
              <w:spacing w:before="138"/>
              <w:rPr>
                <w:color w:val="auto"/>
                <w:sz w:val="18"/>
                <w:highlight w:val="none"/>
              </w:rPr>
            </w:pPr>
            <w:r>
              <w:rPr>
                <w:rFonts w:hint="eastAsia"/>
                <w:b/>
                <w:bCs/>
                <w:color w:val="auto"/>
                <w:sz w:val="21"/>
                <w:szCs w:val="21"/>
                <w:highlight w:val="none"/>
              </w:rPr>
              <w:t>供应商</w:t>
            </w:r>
            <w:r>
              <w:rPr>
                <w:b/>
                <w:bCs/>
                <w:color w:val="auto"/>
                <w:sz w:val="21"/>
                <w:szCs w:val="21"/>
                <w:highlight w:val="none"/>
              </w:rPr>
              <w:t>名称及评审意见</w:t>
            </w:r>
          </w:p>
        </w:tc>
      </w:tr>
      <w:tr w14:paraId="27762FB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881" w:type="dxa"/>
            <w:gridSpan w:val="2"/>
            <w:vMerge w:val="continue"/>
            <w:tcBorders>
              <w:tl2br w:val="nil"/>
              <w:tr2bl w:val="nil"/>
            </w:tcBorders>
          </w:tcPr>
          <w:p w14:paraId="3C3602B4">
            <w:pPr>
              <w:rPr>
                <w:color w:val="auto"/>
                <w:sz w:val="2"/>
                <w:szCs w:val="2"/>
                <w:highlight w:val="none"/>
              </w:rPr>
            </w:pPr>
          </w:p>
        </w:tc>
        <w:tc>
          <w:tcPr>
            <w:tcW w:w="2817" w:type="dxa"/>
            <w:vMerge w:val="continue"/>
            <w:tcBorders>
              <w:tl2br w:val="nil"/>
              <w:tr2bl w:val="nil"/>
            </w:tcBorders>
          </w:tcPr>
          <w:p w14:paraId="5EC3F3EE">
            <w:pPr>
              <w:rPr>
                <w:color w:val="auto"/>
                <w:sz w:val="2"/>
                <w:szCs w:val="2"/>
                <w:highlight w:val="none"/>
              </w:rPr>
            </w:pPr>
          </w:p>
        </w:tc>
        <w:tc>
          <w:tcPr>
            <w:tcW w:w="2939" w:type="dxa"/>
            <w:vMerge w:val="continue"/>
            <w:tcBorders>
              <w:tl2br w:val="nil"/>
              <w:tr2bl w:val="nil"/>
            </w:tcBorders>
          </w:tcPr>
          <w:p w14:paraId="2D9B4A62">
            <w:pPr>
              <w:rPr>
                <w:color w:val="auto"/>
                <w:sz w:val="2"/>
                <w:szCs w:val="2"/>
                <w:highlight w:val="none"/>
              </w:rPr>
            </w:pPr>
          </w:p>
        </w:tc>
        <w:tc>
          <w:tcPr>
            <w:tcW w:w="785" w:type="dxa"/>
            <w:tcBorders>
              <w:tl2br w:val="nil"/>
              <w:tr2bl w:val="nil"/>
            </w:tcBorders>
          </w:tcPr>
          <w:p w14:paraId="2B0F2042">
            <w:pPr>
              <w:pStyle w:val="49"/>
              <w:rPr>
                <w:rFonts w:ascii="Times New Roman"/>
                <w:color w:val="auto"/>
                <w:sz w:val="18"/>
                <w:highlight w:val="none"/>
              </w:rPr>
            </w:pPr>
          </w:p>
        </w:tc>
        <w:tc>
          <w:tcPr>
            <w:tcW w:w="727" w:type="dxa"/>
            <w:tcBorders>
              <w:tl2br w:val="nil"/>
              <w:tr2bl w:val="nil"/>
            </w:tcBorders>
          </w:tcPr>
          <w:p w14:paraId="28F62997">
            <w:pPr>
              <w:pStyle w:val="49"/>
              <w:rPr>
                <w:rFonts w:ascii="Times New Roman"/>
                <w:color w:val="auto"/>
                <w:sz w:val="18"/>
                <w:highlight w:val="none"/>
              </w:rPr>
            </w:pPr>
          </w:p>
        </w:tc>
        <w:tc>
          <w:tcPr>
            <w:tcW w:w="729" w:type="dxa"/>
            <w:tcBorders>
              <w:tl2br w:val="nil"/>
              <w:tr2bl w:val="nil"/>
            </w:tcBorders>
          </w:tcPr>
          <w:p w14:paraId="71E5B76B">
            <w:pPr>
              <w:pStyle w:val="49"/>
              <w:rPr>
                <w:rFonts w:ascii="Times New Roman"/>
                <w:color w:val="auto"/>
                <w:sz w:val="18"/>
                <w:highlight w:val="none"/>
              </w:rPr>
            </w:pPr>
          </w:p>
        </w:tc>
      </w:tr>
      <w:tr w14:paraId="173013F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trPr>
        <w:tc>
          <w:tcPr>
            <w:tcW w:w="502" w:type="dxa"/>
            <w:vMerge w:val="restart"/>
            <w:tcBorders>
              <w:tl2br w:val="nil"/>
              <w:tr2bl w:val="nil"/>
            </w:tcBorders>
            <w:vAlign w:val="center"/>
          </w:tcPr>
          <w:p w14:paraId="3DE841AE">
            <w:pPr>
              <w:pStyle w:val="49"/>
              <w:spacing w:line="249" w:lineRule="auto"/>
              <w:ind w:left="69" w:right="51"/>
              <w:jc w:val="center"/>
              <w:rPr>
                <w:color w:val="auto"/>
                <w:sz w:val="18"/>
                <w:highlight w:val="none"/>
              </w:rPr>
            </w:pPr>
            <w:r>
              <w:rPr>
                <w:color w:val="auto"/>
                <w:sz w:val="18"/>
                <w:highlight w:val="none"/>
              </w:rPr>
              <w:t>基本资格条件</w:t>
            </w:r>
          </w:p>
        </w:tc>
        <w:tc>
          <w:tcPr>
            <w:tcW w:w="379" w:type="dxa"/>
            <w:tcBorders>
              <w:tl2br w:val="nil"/>
              <w:tr2bl w:val="nil"/>
            </w:tcBorders>
            <w:vAlign w:val="center"/>
          </w:tcPr>
          <w:p w14:paraId="16E3697E">
            <w:pPr>
              <w:pStyle w:val="49"/>
              <w:spacing w:before="65" w:line="249" w:lineRule="auto"/>
              <w:ind w:left="63" w:right="34" w:firstLine="2"/>
              <w:jc w:val="center"/>
              <w:rPr>
                <w:color w:val="auto"/>
                <w:sz w:val="18"/>
                <w:highlight w:val="none"/>
              </w:rPr>
            </w:pPr>
          </w:p>
          <w:p w14:paraId="1CAFE52B">
            <w:pPr>
              <w:pStyle w:val="49"/>
              <w:spacing w:before="65" w:line="249" w:lineRule="auto"/>
              <w:ind w:left="63" w:right="34" w:firstLine="2"/>
              <w:jc w:val="center"/>
              <w:rPr>
                <w:color w:val="auto"/>
                <w:sz w:val="18"/>
                <w:highlight w:val="none"/>
              </w:rPr>
            </w:pPr>
            <w:r>
              <w:rPr>
                <w:color w:val="auto"/>
                <w:sz w:val="18"/>
                <w:highlight w:val="none"/>
              </w:rPr>
              <w:t>1</w:t>
            </w:r>
          </w:p>
          <w:p w14:paraId="1C3915D9">
            <w:pPr>
              <w:pStyle w:val="49"/>
              <w:spacing w:before="65" w:line="249" w:lineRule="auto"/>
              <w:ind w:left="63" w:right="34" w:firstLine="2"/>
              <w:jc w:val="center"/>
              <w:rPr>
                <w:color w:val="auto"/>
                <w:sz w:val="18"/>
                <w:highlight w:val="none"/>
              </w:rPr>
            </w:pPr>
          </w:p>
        </w:tc>
        <w:tc>
          <w:tcPr>
            <w:tcW w:w="2817" w:type="dxa"/>
            <w:tcBorders>
              <w:tl2br w:val="nil"/>
              <w:tr2bl w:val="nil"/>
            </w:tcBorders>
            <w:vAlign w:val="center"/>
          </w:tcPr>
          <w:p w14:paraId="79885AE0">
            <w:pPr>
              <w:jc w:val="center"/>
              <w:rPr>
                <w:rFonts w:ascii="宋体" w:hAnsi="宋体" w:eastAsia="宋体" w:cs="宋体"/>
                <w:color w:val="auto"/>
                <w:sz w:val="18"/>
                <w:highlight w:val="none"/>
              </w:rPr>
            </w:pPr>
            <w:r>
              <w:rPr>
                <w:rFonts w:hint="eastAsia" w:ascii="宋体" w:hAnsi="宋体" w:eastAsia="宋体" w:cs="宋体"/>
                <w:color w:val="auto"/>
                <w:sz w:val="18"/>
                <w:highlight w:val="none"/>
              </w:rPr>
              <w:t>营业执照副本(或者法人登记证书)、组织机构代码证、《税务登记证》复印件或提供三证合一后的营业执照复印件加盖公章。</w:t>
            </w:r>
          </w:p>
        </w:tc>
        <w:tc>
          <w:tcPr>
            <w:tcW w:w="2939" w:type="dxa"/>
            <w:tcBorders>
              <w:tl2br w:val="nil"/>
              <w:tr2bl w:val="nil"/>
            </w:tcBorders>
            <w:vAlign w:val="center"/>
          </w:tcPr>
          <w:p w14:paraId="4EAC8C3F">
            <w:pPr>
              <w:jc w:val="center"/>
              <w:rPr>
                <w:rFonts w:hint="eastAsia" w:ascii="宋体" w:hAnsi="宋体" w:eastAsia="宋体" w:cs="宋体"/>
                <w:color w:val="auto"/>
                <w:sz w:val="18"/>
                <w:highlight w:val="none"/>
              </w:rPr>
            </w:pPr>
            <w:r>
              <w:rPr>
                <w:rFonts w:hint="eastAsia" w:ascii="宋体" w:hAnsi="宋体" w:eastAsia="宋体" w:cs="宋体"/>
                <w:color w:val="auto"/>
                <w:sz w:val="18"/>
                <w:highlight w:val="none"/>
              </w:rPr>
              <w:t>查验标书</w:t>
            </w:r>
          </w:p>
        </w:tc>
        <w:tc>
          <w:tcPr>
            <w:tcW w:w="785" w:type="dxa"/>
            <w:tcBorders>
              <w:tl2br w:val="nil"/>
              <w:tr2bl w:val="nil"/>
            </w:tcBorders>
          </w:tcPr>
          <w:p w14:paraId="389DF51E">
            <w:pPr>
              <w:pStyle w:val="49"/>
              <w:rPr>
                <w:rFonts w:ascii="Times New Roman"/>
                <w:color w:val="auto"/>
                <w:sz w:val="18"/>
                <w:highlight w:val="none"/>
              </w:rPr>
            </w:pPr>
          </w:p>
        </w:tc>
        <w:tc>
          <w:tcPr>
            <w:tcW w:w="727" w:type="dxa"/>
            <w:tcBorders>
              <w:tl2br w:val="nil"/>
              <w:tr2bl w:val="nil"/>
            </w:tcBorders>
          </w:tcPr>
          <w:p w14:paraId="512BBAF9">
            <w:pPr>
              <w:pStyle w:val="49"/>
              <w:rPr>
                <w:rFonts w:ascii="Times New Roman"/>
                <w:color w:val="auto"/>
                <w:sz w:val="18"/>
                <w:highlight w:val="none"/>
              </w:rPr>
            </w:pPr>
          </w:p>
        </w:tc>
        <w:tc>
          <w:tcPr>
            <w:tcW w:w="729" w:type="dxa"/>
            <w:tcBorders>
              <w:tl2br w:val="nil"/>
              <w:tr2bl w:val="nil"/>
            </w:tcBorders>
          </w:tcPr>
          <w:p w14:paraId="5C360A5A">
            <w:pPr>
              <w:pStyle w:val="49"/>
              <w:rPr>
                <w:rFonts w:ascii="Times New Roman"/>
                <w:color w:val="auto"/>
                <w:sz w:val="18"/>
                <w:highlight w:val="none"/>
              </w:rPr>
            </w:pPr>
          </w:p>
        </w:tc>
      </w:tr>
      <w:tr w14:paraId="679FD26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502" w:type="dxa"/>
            <w:vMerge w:val="continue"/>
            <w:tcBorders>
              <w:tl2br w:val="nil"/>
              <w:tr2bl w:val="nil"/>
            </w:tcBorders>
          </w:tcPr>
          <w:p w14:paraId="3F81E4CD">
            <w:pPr>
              <w:rPr>
                <w:color w:val="auto"/>
                <w:sz w:val="2"/>
                <w:szCs w:val="2"/>
                <w:highlight w:val="none"/>
              </w:rPr>
            </w:pPr>
          </w:p>
        </w:tc>
        <w:tc>
          <w:tcPr>
            <w:tcW w:w="379" w:type="dxa"/>
            <w:tcBorders>
              <w:tl2br w:val="nil"/>
              <w:tr2bl w:val="nil"/>
            </w:tcBorders>
            <w:vAlign w:val="center"/>
          </w:tcPr>
          <w:p w14:paraId="478208A3">
            <w:pPr>
              <w:pStyle w:val="49"/>
              <w:jc w:val="center"/>
              <w:rPr>
                <w:color w:val="auto"/>
                <w:sz w:val="18"/>
                <w:highlight w:val="none"/>
              </w:rPr>
            </w:pPr>
          </w:p>
          <w:p w14:paraId="5BDB7AFD">
            <w:pPr>
              <w:pStyle w:val="49"/>
              <w:spacing w:before="149"/>
              <w:ind w:left="26"/>
              <w:jc w:val="center"/>
              <w:rPr>
                <w:color w:val="auto"/>
                <w:sz w:val="18"/>
                <w:highlight w:val="none"/>
              </w:rPr>
            </w:pPr>
            <w:r>
              <w:rPr>
                <w:rFonts w:hint="eastAsia"/>
                <w:color w:val="auto"/>
                <w:sz w:val="18"/>
                <w:highlight w:val="none"/>
                <w:lang w:val="en-US"/>
              </w:rPr>
              <w:t>2</w:t>
            </w:r>
          </w:p>
        </w:tc>
        <w:tc>
          <w:tcPr>
            <w:tcW w:w="2817" w:type="dxa"/>
            <w:tcBorders>
              <w:tl2br w:val="nil"/>
              <w:tr2bl w:val="nil"/>
            </w:tcBorders>
            <w:vAlign w:val="center"/>
          </w:tcPr>
          <w:p w14:paraId="070BD534">
            <w:pPr>
              <w:jc w:val="center"/>
              <w:rPr>
                <w:rFonts w:ascii="宋体" w:hAnsi="宋体" w:eastAsia="宋体" w:cs="宋体"/>
                <w:color w:val="auto"/>
                <w:sz w:val="18"/>
                <w:highlight w:val="none"/>
              </w:rPr>
            </w:pPr>
            <w:r>
              <w:rPr>
                <w:rFonts w:hint="eastAsia" w:ascii="宋体" w:hAnsi="宋体" w:eastAsia="宋体" w:cs="宋体"/>
                <w:color w:val="auto"/>
                <w:sz w:val="18"/>
                <w:highlight w:val="none"/>
                <w:lang w:val="zh-CN"/>
              </w:rPr>
              <w:t>法定代表人</w:t>
            </w:r>
            <w:r>
              <w:rPr>
                <w:rFonts w:hint="eastAsia" w:ascii="宋体" w:hAnsi="宋体" w:eastAsia="宋体" w:cs="宋体"/>
                <w:color w:val="auto"/>
                <w:sz w:val="18"/>
                <w:highlight w:val="none"/>
              </w:rPr>
              <w:t>身份</w:t>
            </w:r>
            <w:r>
              <w:rPr>
                <w:rFonts w:hint="eastAsia" w:ascii="宋体" w:hAnsi="宋体" w:eastAsia="宋体" w:cs="宋体"/>
                <w:color w:val="auto"/>
                <w:sz w:val="18"/>
                <w:highlight w:val="none"/>
                <w:lang w:val="zh-CN"/>
              </w:rPr>
              <w:t>证明书、授权委托书及身份证。</w:t>
            </w:r>
          </w:p>
        </w:tc>
        <w:tc>
          <w:tcPr>
            <w:tcW w:w="2939" w:type="dxa"/>
            <w:tcBorders>
              <w:tl2br w:val="nil"/>
              <w:tr2bl w:val="nil"/>
            </w:tcBorders>
            <w:vAlign w:val="center"/>
          </w:tcPr>
          <w:p w14:paraId="4CCCC3BD">
            <w:pPr>
              <w:jc w:val="center"/>
              <w:rPr>
                <w:rFonts w:hint="eastAsia" w:ascii="宋体" w:hAnsi="宋体" w:eastAsia="宋体" w:cs="宋体"/>
                <w:color w:val="auto"/>
                <w:sz w:val="18"/>
                <w:highlight w:val="none"/>
              </w:rPr>
            </w:pPr>
            <w:r>
              <w:rPr>
                <w:rFonts w:hint="eastAsia" w:ascii="宋体" w:hAnsi="宋体" w:eastAsia="宋体" w:cs="宋体"/>
                <w:color w:val="auto"/>
                <w:sz w:val="18"/>
                <w:highlight w:val="none"/>
              </w:rPr>
              <w:t>查验标书</w:t>
            </w:r>
          </w:p>
        </w:tc>
        <w:tc>
          <w:tcPr>
            <w:tcW w:w="785" w:type="dxa"/>
            <w:tcBorders>
              <w:tl2br w:val="nil"/>
              <w:tr2bl w:val="nil"/>
            </w:tcBorders>
          </w:tcPr>
          <w:p w14:paraId="0B21104C">
            <w:pPr>
              <w:pStyle w:val="49"/>
              <w:rPr>
                <w:rFonts w:ascii="Times New Roman"/>
                <w:color w:val="auto"/>
                <w:sz w:val="18"/>
                <w:highlight w:val="none"/>
              </w:rPr>
            </w:pPr>
          </w:p>
        </w:tc>
        <w:tc>
          <w:tcPr>
            <w:tcW w:w="727" w:type="dxa"/>
            <w:tcBorders>
              <w:tl2br w:val="nil"/>
              <w:tr2bl w:val="nil"/>
            </w:tcBorders>
          </w:tcPr>
          <w:p w14:paraId="6F30DE2B">
            <w:pPr>
              <w:pStyle w:val="49"/>
              <w:rPr>
                <w:rFonts w:ascii="Times New Roman"/>
                <w:color w:val="auto"/>
                <w:sz w:val="18"/>
                <w:highlight w:val="none"/>
              </w:rPr>
            </w:pPr>
          </w:p>
        </w:tc>
        <w:tc>
          <w:tcPr>
            <w:tcW w:w="729" w:type="dxa"/>
            <w:tcBorders>
              <w:tl2br w:val="nil"/>
              <w:tr2bl w:val="nil"/>
            </w:tcBorders>
          </w:tcPr>
          <w:p w14:paraId="6496E601">
            <w:pPr>
              <w:pStyle w:val="49"/>
              <w:rPr>
                <w:rFonts w:ascii="Times New Roman"/>
                <w:color w:val="auto"/>
                <w:sz w:val="18"/>
                <w:highlight w:val="none"/>
              </w:rPr>
            </w:pPr>
          </w:p>
        </w:tc>
      </w:tr>
      <w:tr w14:paraId="4624FA29">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502" w:type="dxa"/>
            <w:vMerge w:val="continue"/>
            <w:tcBorders>
              <w:tl2br w:val="nil"/>
              <w:tr2bl w:val="nil"/>
            </w:tcBorders>
          </w:tcPr>
          <w:p w14:paraId="29B75590">
            <w:pPr>
              <w:rPr>
                <w:color w:val="auto"/>
                <w:sz w:val="2"/>
                <w:szCs w:val="2"/>
                <w:highlight w:val="none"/>
              </w:rPr>
            </w:pPr>
          </w:p>
        </w:tc>
        <w:tc>
          <w:tcPr>
            <w:tcW w:w="379" w:type="dxa"/>
            <w:tcBorders>
              <w:tl2br w:val="nil"/>
              <w:tr2bl w:val="nil"/>
            </w:tcBorders>
            <w:vAlign w:val="center"/>
          </w:tcPr>
          <w:p w14:paraId="3F6179D8">
            <w:pPr>
              <w:pStyle w:val="49"/>
              <w:ind w:left="26"/>
              <w:jc w:val="center"/>
              <w:rPr>
                <w:color w:val="auto"/>
                <w:sz w:val="18"/>
                <w:highlight w:val="none"/>
              </w:rPr>
            </w:pPr>
            <w:r>
              <w:rPr>
                <w:rFonts w:hint="eastAsia"/>
                <w:color w:val="auto"/>
                <w:sz w:val="18"/>
                <w:highlight w:val="none"/>
                <w:lang w:val="en-US"/>
              </w:rPr>
              <w:t>3</w:t>
            </w:r>
          </w:p>
        </w:tc>
        <w:tc>
          <w:tcPr>
            <w:tcW w:w="2817" w:type="dxa"/>
            <w:tcBorders>
              <w:tl2br w:val="nil"/>
              <w:tr2bl w:val="nil"/>
            </w:tcBorders>
            <w:vAlign w:val="center"/>
          </w:tcPr>
          <w:p w14:paraId="787237AD">
            <w:pPr>
              <w:pStyle w:val="49"/>
              <w:keepNext w:val="0"/>
              <w:keepLines w:val="0"/>
              <w:pageBreakBefore w:val="0"/>
              <w:widowControl w:val="0"/>
              <w:kinsoku/>
              <w:wordWrap w:val="0"/>
              <w:overflowPunct/>
              <w:topLinePunct w:val="0"/>
              <w:autoSpaceDE/>
              <w:autoSpaceDN/>
              <w:bidi w:val="0"/>
              <w:adjustRightInd/>
              <w:snapToGrid/>
              <w:spacing w:line="240" w:lineRule="auto"/>
              <w:ind w:left="0" w:leftChars="0" w:right="0" w:rightChars="0"/>
              <w:jc w:val="left"/>
              <w:textAlignment w:val="auto"/>
              <w:rPr>
                <w:rFonts w:hint="eastAsia" w:ascii="宋体" w:hAnsi="宋体" w:eastAsia="宋体" w:cs="宋体"/>
                <w:color w:val="auto"/>
                <w:sz w:val="18"/>
                <w:szCs w:val="22"/>
                <w:highlight w:val="none"/>
                <w:lang w:val="en-US" w:eastAsia="zh-CN" w:bidi="zh-CN"/>
              </w:rPr>
            </w:pPr>
            <w:r>
              <w:rPr>
                <w:rFonts w:hint="eastAsia" w:ascii="宋体" w:hAnsi="宋体" w:eastAsia="宋体" w:cs="宋体"/>
                <w:color w:val="auto"/>
                <w:sz w:val="18"/>
                <w:szCs w:val="22"/>
                <w:highlight w:val="none"/>
                <w:lang w:val="zh-CN" w:eastAsia="zh-CN" w:bidi="zh-CN"/>
              </w:rPr>
              <w:t>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w:t>
            </w:r>
          </w:p>
        </w:tc>
        <w:tc>
          <w:tcPr>
            <w:tcW w:w="2939" w:type="dxa"/>
            <w:tcBorders>
              <w:tl2br w:val="nil"/>
              <w:tr2bl w:val="nil"/>
            </w:tcBorders>
            <w:vAlign w:val="center"/>
          </w:tcPr>
          <w:p w14:paraId="2392C0FB">
            <w:pPr>
              <w:jc w:val="center"/>
              <w:rPr>
                <w:rFonts w:hint="eastAsia" w:ascii="宋体" w:hAnsi="宋体" w:eastAsia="宋体" w:cs="宋体"/>
                <w:color w:val="auto"/>
                <w:sz w:val="18"/>
                <w:highlight w:val="none"/>
                <w:lang w:val="en-US" w:eastAsia="zh-CN"/>
              </w:rPr>
            </w:pPr>
            <w:r>
              <w:rPr>
                <w:rFonts w:hint="eastAsia" w:ascii="宋体" w:hAnsi="宋体" w:eastAsia="宋体" w:cs="宋体"/>
                <w:color w:val="auto"/>
                <w:sz w:val="18"/>
                <w:highlight w:val="none"/>
              </w:rPr>
              <w:t>查验标书</w:t>
            </w:r>
          </w:p>
        </w:tc>
        <w:tc>
          <w:tcPr>
            <w:tcW w:w="785" w:type="dxa"/>
            <w:tcBorders>
              <w:tl2br w:val="nil"/>
              <w:tr2bl w:val="nil"/>
            </w:tcBorders>
          </w:tcPr>
          <w:p w14:paraId="54652F7C">
            <w:pPr>
              <w:pStyle w:val="49"/>
              <w:rPr>
                <w:rFonts w:ascii="Times New Roman"/>
                <w:color w:val="auto"/>
                <w:sz w:val="18"/>
                <w:highlight w:val="none"/>
              </w:rPr>
            </w:pPr>
          </w:p>
        </w:tc>
        <w:tc>
          <w:tcPr>
            <w:tcW w:w="727" w:type="dxa"/>
            <w:tcBorders>
              <w:tl2br w:val="nil"/>
              <w:tr2bl w:val="nil"/>
            </w:tcBorders>
          </w:tcPr>
          <w:p w14:paraId="24722CB2">
            <w:pPr>
              <w:pStyle w:val="49"/>
              <w:rPr>
                <w:rFonts w:ascii="Times New Roman"/>
                <w:color w:val="auto"/>
                <w:sz w:val="18"/>
                <w:highlight w:val="none"/>
              </w:rPr>
            </w:pPr>
          </w:p>
        </w:tc>
        <w:tc>
          <w:tcPr>
            <w:tcW w:w="729" w:type="dxa"/>
            <w:tcBorders>
              <w:tl2br w:val="nil"/>
              <w:tr2bl w:val="nil"/>
            </w:tcBorders>
          </w:tcPr>
          <w:p w14:paraId="2B96250B">
            <w:pPr>
              <w:pStyle w:val="49"/>
              <w:rPr>
                <w:rFonts w:ascii="Times New Roman"/>
                <w:color w:val="auto"/>
                <w:sz w:val="18"/>
                <w:highlight w:val="none"/>
              </w:rPr>
            </w:pPr>
          </w:p>
        </w:tc>
      </w:tr>
      <w:tr w14:paraId="129A469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502" w:type="dxa"/>
            <w:vMerge w:val="continue"/>
            <w:tcBorders>
              <w:tl2br w:val="nil"/>
              <w:tr2bl w:val="nil"/>
            </w:tcBorders>
          </w:tcPr>
          <w:p w14:paraId="1F7A86C9">
            <w:pPr>
              <w:rPr>
                <w:color w:val="auto"/>
                <w:sz w:val="2"/>
                <w:szCs w:val="2"/>
                <w:highlight w:val="none"/>
              </w:rPr>
            </w:pPr>
          </w:p>
        </w:tc>
        <w:tc>
          <w:tcPr>
            <w:tcW w:w="379" w:type="dxa"/>
            <w:tcBorders>
              <w:tl2br w:val="nil"/>
              <w:tr2bl w:val="nil"/>
            </w:tcBorders>
            <w:vAlign w:val="center"/>
          </w:tcPr>
          <w:p w14:paraId="5C4AEE3A">
            <w:pPr>
              <w:pStyle w:val="49"/>
              <w:jc w:val="center"/>
              <w:rPr>
                <w:color w:val="auto"/>
                <w:sz w:val="18"/>
                <w:highlight w:val="none"/>
                <w:lang w:val="en-US"/>
              </w:rPr>
            </w:pPr>
            <w:r>
              <w:rPr>
                <w:rFonts w:hint="eastAsia"/>
                <w:color w:val="auto"/>
                <w:sz w:val="18"/>
                <w:highlight w:val="none"/>
                <w:lang w:val="en-US"/>
              </w:rPr>
              <w:t>4</w:t>
            </w:r>
          </w:p>
        </w:tc>
        <w:tc>
          <w:tcPr>
            <w:tcW w:w="2817" w:type="dxa"/>
            <w:tcBorders>
              <w:tl2br w:val="nil"/>
              <w:tr2bl w:val="nil"/>
            </w:tcBorders>
            <w:shd w:val="clear" w:color="auto" w:fill="auto"/>
            <w:vAlign w:val="center"/>
          </w:tcPr>
          <w:p w14:paraId="2E97684B">
            <w:pPr>
              <w:pStyle w:val="49"/>
              <w:spacing w:line="240" w:lineRule="auto"/>
              <w:ind w:left="0" w:leftChars="0" w:right="0" w:rightChars="0"/>
              <w:jc w:val="left"/>
              <w:rPr>
                <w:rFonts w:hint="default" w:ascii="宋体" w:hAnsi="宋体" w:eastAsia="宋体" w:cs="宋体"/>
                <w:color w:val="auto"/>
                <w:sz w:val="18"/>
                <w:szCs w:val="22"/>
                <w:highlight w:val="none"/>
                <w:lang w:val="zh-CN" w:eastAsia="zh-CN" w:bidi="zh-CN"/>
              </w:rPr>
            </w:pPr>
            <w:r>
              <w:rPr>
                <w:rFonts w:hint="eastAsia" w:ascii="宋体" w:hAnsi="宋体" w:eastAsia="宋体" w:cs="宋体"/>
                <w:color w:val="auto"/>
                <w:sz w:val="18"/>
                <w:szCs w:val="22"/>
                <w:highlight w:val="none"/>
                <w:lang w:val="zh-CN" w:eastAsia="zh-CN" w:bidi="zh-CN"/>
              </w:rPr>
              <w:t>列入失信被执行人、重大税收违法失信主体名单、政府采购严重违法失信行为记录名单的，拒绝其参与政府采购活动。</w:t>
            </w:r>
          </w:p>
        </w:tc>
        <w:tc>
          <w:tcPr>
            <w:tcW w:w="2939" w:type="dxa"/>
            <w:tcBorders>
              <w:tl2br w:val="nil"/>
              <w:tr2bl w:val="nil"/>
            </w:tcBorders>
            <w:vAlign w:val="center"/>
          </w:tcPr>
          <w:p w14:paraId="01F74F18">
            <w:pPr>
              <w:pStyle w:val="49"/>
              <w:spacing w:line="240" w:lineRule="auto"/>
              <w:ind w:left="0" w:leftChars="0" w:right="0" w:rightChars="0"/>
              <w:jc w:val="center"/>
              <w:rPr>
                <w:rFonts w:hint="eastAsia" w:ascii="宋体" w:hAnsi="宋体" w:eastAsia="宋体" w:cs="宋体"/>
                <w:color w:val="auto"/>
                <w:sz w:val="18"/>
                <w:szCs w:val="22"/>
                <w:highlight w:val="none"/>
                <w:lang w:val="zh-CN" w:eastAsia="zh-CN" w:bidi="zh-CN"/>
              </w:rPr>
            </w:pPr>
            <w:r>
              <w:rPr>
                <w:rFonts w:hint="eastAsia" w:ascii="宋体" w:hAnsi="宋体" w:eastAsia="宋体" w:cs="宋体"/>
                <w:color w:val="auto"/>
                <w:sz w:val="18"/>
                <w:szCs w:val="22"/>
                <w:highlight w:val="none"/>
                <w:lang w:val="zh-CN" w:eastAsia="zh-CN" w:bidi="zh-CN"/>
              </w:rPr>
              <w:t>现场查询</w:t>
            </w:r>
          </w:p>
        </w:tc>
        <w:tc>
          <w:tcPr>
            <w:tcW w:w="785" w:type="dxa"/>
            <w:tcBorders>
              <w:tl2br w:val="nil"/>
              <w:tr2bl w:val="nil"/>
            </w:tcBorders>
          </w:tcPr>
          <w:p w14:paraId="38CFE3DF">
            <w:pPr>
              <w:pStyle w:val="49"/>
              <w:rPr>
                <w:rFonts w:ascii="Times New Roman"/>
                <w:color w:val="auto"/>
                <w:sz w:val="18"/>
                <w:highlight w:val="none"/>
              </w:rPr>
            </w:pPr>
          </w:p>
        </w:tc>
        <w:tc>
          <w:tcPr>
            <w:tcW w:w="727" w:type="dxa"/>
            <w:tcBorders>
              <w:tl2br w:val="nil"/>
              <w:tr2bl w:val="nil"/>
            </w:tcBorders>
          </w:tcPr>
          <w:p w14:paraId="52EE6453">
            <w:pPr>
              <w:pStyle w:val="49"/>
              <w:rPr>
                <w:rFonts w:ascii="Times New Roman"/>
                <w:color w:val="auto"/>
                <w:sz w:val="18"/>
                <w:highlight w:val="none"/>
              </w:rPr>
            </w:pPr>
          </w:p>
        </w:tc>
        <w:tc>
          <w:tcPr>
            <w:tcW w:w="729" w:type="dxa"/>
            <w:tcBorders>
              <w:tl2br w:val="nil"/>
              <w:tr2bl w:val="nil"/>
            </w:tcBorders>
          </w:tcPr>
          <w:p w14:paraId="02EFD294">
            <w:pPr>
              <w:pStyle w:val="49"/>
              <w:rPr>
                <w:rFonts w:ascii="Times New Roman"/>
                <w:color w:val="auto"/>
                <w:sz w:val="18"/>
                <w:highlight w:val="none"/>
              </w:rPr>
            </w:pPr>
          </w:p>
        </w:tc>
      </w:tr>
      <w:tr w14:paraId="75D0FFD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687" w:hRule="atLeast"/>
        </w:trPr>
        <w:tc>
          <w:tcPr>
            <w:tcW w:w="502" w:type="dxa"/>
            <w:vMerge w:val="continue"/>
            <w:tcBorders>
              <w:tl2br w:val="nil"/>
              <w:tr2bl w:val="nil"/>
            </w:tcBorders>
          </w:tcPr>
          <w:p w14:paraId="5AE32FBC">
            <w:pPr>
              <w:rPr>
                <w:color w:val="auto"/>
                <w:sz w:val="2"/>
                <w:szCs w:val="2"/>
                <w:highlight w:val="none"/>
              </w:rPr>
            </w:pPr>
          </w:p>
        </w:tc>
        <w:tc>
          <w:tcPr>
            <w:tcW w:w="379" w:type="dxa"/>
            <w:tcBorders>
              <w:tl2br w:val="nil"/>
              <w:tr2bl w:val="nil"/>
            </w:tcBorders>
            <w:vAlign w:val="center"/>
          </w:tcPr>
          <w:p w14:paraId="55495E09">
            <w:pPr>
              <w:pStyle w:val="49"/>
              <w:spacing w:before="8"/>
              <w:jc w:val="center"/>
              <w:rPr>
                <w:color w:val="auto"/>
                <w:sz w:val="23"/>
                <w:highlight w:val="none"/>
              </w:rPr>
            </w:pPr>
          </w:p>
          <w:p w14:paraId="22AC0C9D">
            <w:pPr>
              <w:pStyle w:val="49"/>
              <w:ind w:left="26"/>
              <w:jc w:val="center"/>
              <w:rPr>
                <w:color w:val="auto"/>
                <w:sz w:val="18"/>
                <w:highlight w:val="none"/>
                <w:lang w:val="en-US"/>
              </w:rPr>
            </w:pPr>
            <w:r>
              <w:rPr>
                <w:rFonts w:hint="eastAsia"/>
                <w:color w:val="auto"/>
                <w:sz w:val="18"/>
                <w:highlight w:val="none"/>
                <w:lang w:val="en-US"/>
              </w:rPr>
              <w:t>5</w:t>
            </w:r>
          </w:p>
        </w:tc>
        <w:tc>
          <w:tcPr>
            <w:tcW w:w="2817" w:type="dxa"/>
            <w:tcBorders>
              <w:tl2br w:val="nil"/>
              <w:tr2bl w:val="nil"/>
            </w:tcBorders>
            <w:shd w:val="clear" w:color="auto" w:fill="auto"/>
            <w:vAlign w:val="center"/>
          </w:tcPr>
          <w:p w14:paraId="4FC9C70E">
            <w:pPr>
              <w:pStyle w:val="49"/>
              <w:spacing w:line="240" w:lineRule="auto"/>
              <w:ind w:left="0" w:leftChars="0" w:right="0" w:rightChars="0"/>
              <w:jc w:val="left"/>
              <w:rPr>
                <w:rFonts w:hint="eastAsia" w:ascii="宋体" w:hAnsi="宋体" w:eastAsia="宋体" w:cs="宋体"/>
                <w:color w:val="auto"/>
                <w:sz w:val="18"/>
                <w:szCs w:val="22"/>
                <w:highlight w:val="none"/>
                <w:lang w:val="zh-CN" w:eastAsia="zh-CN" w:bidi="zh-CN"/>
              </w:rPr>
            </w:pPr>
            <w:r>
              <w:rPr>
                <w:rFonts w:hint="eastAsia" w:ascii="宋体" w:hAnsi="宋体" w:eastAsia="宋体" w:cs="宋体"/>
                <w:color w:val="auto"/>
                <w:sz w:val="18"/>
                <w:szCs w:val="22"/>
                <w:highlight w:val="none"/>
                <w:lang w:val="zh-CN" w:eastAsia="zh-CN" w:bidi="zh-CN"/>
              </w:rPr>
              <w:t>参加政府采购活动前三年内在经营活动中没有重大违法记录的书面声明。</w:t>
            </w:r>
          </w:p>
        </w:tc>
        <w:tc>
          <w:tcPr>
            <w:tcW w:w="2939" w:type="dxa"/>
            <w:tcBorders>
              <w:tl2br w:val="nil"/>
              <w:tr2bl w:val="nil"/>
            </w:tcBorders>
            <w:vAlign w:val="center"/>
          </w:tcPr>
          <w:p w14:paraId="5B480CD5">
            <w:pPr>
              <w:pStyle w:val="49"/>
              <w:spacing w:line="240" w:lineRule="auto"/>
              <w:ind w:left="0" w:leftChars="0" w:right="0" w:rightChars="0"/>
              <w:jc w:val="center"/>
              <w:rPr>
                <w:rFonts w:hint="eastAsia" w:ascii="宋体" w:hAnsi="宋体" w:eastAsia="宋体" w:cs="宋体"/>
                <w:color w:val="auto"/>
                <w:sz w:val="18"/>
                <w:szCs w:val="22"/>
                <w:highlight w:val="none"/>
                <w:lang w:val="zh-CN" w:eastAsia="zh-CN" w:bidi="zh-CN"/>
              </w:rPr>
            </w:pPr>
            <w:r>
              <w:rPr>
                <w:rFonts w:hint="eastAsia" w:ascii="宋体" w:hAnsi="宋体" w:eastAsia="宋体" w:cs="宋体"/>
                <w:color w:val="auto"/>
                <w:sz w:val="18"/>
                <w:szCs w:val="22"/>
                <w:highlight w:val="none"/>
                <w:lang w:val="zh-CN" w:eastAsia="zh-CN" w:bidi="zh-CN"/>
              </w:rPr>
              <w:t>查验标书</w:t>
            </w:r>
          </w:p>
        </w:tc>
        <w:tc>
          <w:tcPr>
            <w:tcW w:w="785" w:type="dxa"/>
            <w:tcBorders>
              <w:tl2br w:val="nil"/>
              <w:tr2bl w:val="nil"/>
            </w:tcBorders>
          </w:tcPr>
          <w:p w14:paraId="39106652">
            <w:pPr>
              <w:pStyle w:val="49"/>
              <w:rPr>
                <w:rFonts w:ascii="Times New Roman"/>
                <w:color w:val="auto"/>
                <w:sz w:val="18"/>
                <w:highlight w:val="none"/>
              </w:rPr>
            </w:pPr>
          </w:p>
        </w:tc>
        <w:tc>
          <w:tcPr>
            <w:tcW w:w="727" w:type="dxa"/>
            <w:tcBorders>
              <w:tl2br w:val="nil"/>
              <w:tr2bl w:val="nil"/>
            </w:tcBorders>
          </w:tcPr>
          <w:p w14:paraId="2488B681">
            <w:pPr>
              <w:pStyle w:val="49"/>
              <w:rPr>
                <w:rFonts w:ascii="Times New Roman"/>
                <w:color w:val="auto"/>
                <w:sz w:val="18"/>
                <w:highlight w:val="none"/>
              </w:rPr>
            </w:pPr>
          </w:p>
        </w:tc>
        <w:tc>
          <w:tcPr>
            <w:tcW w:w="729" w:type="dxa"/>
            <w:tcBorders>
              <w:tl2br w:val="nil"/>
              <w:tr2bl w:val="nil"/>
            </w:tcBorders>
          </w:tcPr>
          <w:p w14:paraId="695DD587">
            <w:pPr>
              <w:pStyle w:val="49"/>
              <w:rPr>
                <w:rFonts w:ascii="Times New Roman"/>
                <w:color w:val="auto"/>
                <w:sz w:val="18"/>
                <w:highlight w:val="none"/>
              </w:rPr>
            </w:pPr>
          </w:p>
        </w:tc>
      </w:tr>
      <w:tr w14:paraId="2ACFE85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6637" w:type="dxa"/>
            <w:gridSpan w:val="4"/>
            <w:tcBorders>
              <w:tl2br w:val="nil"/>
              <w:tr2bl w:val="nil"/>
            </w:tcBorders>
          </w:tcPr>
          <w:p w14:paraId="6744A97D">
            <w:pPr>
              <w:pStyle w:val="49"/>
              <w:spacing w:before="110"/>
              <w:ind w:left="2390" w:right="2375"/>
              <w:jc w:val="center"/>
              <w:rPr>
                <w:color w:val="auto"/>
                <w:sz w:val="21"/>
                <w:highlight w:val="none"/>
              </w:rPr>
            </w:pPr>
            <w:r>
              <w:rPr>
                <w:color w:val="auto"/>
                <w:sz w:val="21"/>
                <w:highlight w:val="none"/>
              </w:rPr>
              <w:t>结</w:t>
            </w:r>
            <w:r>
              <w:rPr>
                <w:rFonts w:hint="eastAsia"/>
                <w:color w:val="auto"/>
                <w:sz w:val="21"/>
                <w:highlight w:val="none"/>
                <w:lang w:val="en-US" w:eastAsia="zh-CN"/>
              </w:rPr>
              <w:t xml:space="preserve"> </w:t>
            </w:r>
            <w:r>
              <w:rPr>
                <w:color w:val="auto"/>
                <w:sz w:val="21"/>
                <w:highlight w:val="none"/>
              </w:rPr>
              <w:t>论</w:t>
            </w:r>
          </w:p>
        </w:tc>
        <w:tc>
          <w:tcPr>
            <w:tcW w:w="785" w:type="dxa"/>
            <w:tcBorders>
              <w:tl2br w:val="nil"/>
              <w:tr2bl w:val="nil"/>
            </w:tcBorders>
          </w:tcPr>
          <w:p w14:paraId="0E1227AD">
            <w:pPr>
              <w:pStyle w:val="49"/>
              <w:rPr>
                <w:rFonts w:ascii="Times New Roman"/>
                <w:color w:val="auto"/>
                <w:sz w:val="18"/>
                <w:highlight w:val="none"/>
              </w:rPr>
            </w:pPr>
          </w:p>
        </w:tc>
        <w:tc>
          <w:tcPr>
            <w:tcW w:w="727" w:type="dxa"/>
            <w:tcBorders>
              <w:tl2br w:val="nil"/>
              <w:tr2bl w:val="nil"/>
            </w:tcBorders>
          </w:tcPr>
          <w:p w14:paraId="52F8AB3F">
            <w:pPr>
              <w:pStyle w:val="49"/>
              <w:rPr>
                <w:rFonts w:ascii="Times New Roman"/>
                <w:color w:val="auto"/>
                <w:sz w:val="18"/>
                <w:highlight w:val="none"/>
              </w:rPr>
            </w:pPr>
          </w:p>
        </w:tc>
        <w:tc>
          <w:tcPr>
            <w:tcW w:w="729" w:type="dxa"/>
            <w:tcBorders>
              <w:tl2br w:val="nil"/>
              <w:tr2bl w:val="nil"/>
            </w:tcBorders>
          </w:tcPr>
          <w:p w14:paraId="12F508AD">
            <w:pPr>
              <w:pStyle w:val="49"/>
              <w:rPr>
                <w:rFonts w:ascii="Times New Roman"/>
                <w:color w:val="auto"/>
                <w:sz w:val="18"/>
                <w:highlight w:val="none"/>
              </w:rPr>
            </w:pPr>
          </w:p>
        </w:tc>
      </w:tr>
    </w:tbl>
    <w:p w14:paraId="367FA276">
      <w:pPr>
        <w:pStyle w:val="11"/>
        <w:spacing w:before="35" w:line="264" w:lineRule="auto"/>
        <w:ind w:left="780" w:right="1201"/>
        <w:rPr>
          <w:color w:val="auto"/>
          <w:sz w:val="18"/>
          <w:szCs w:val="18"/>
          <w:highlight w:val="none"/>
        </w:rPr>
      </w:pPr>
      <w:r>
        <w:rPr>
          <w:color w:val="auto"/>
          <w:spacing w:val="-9"/>
          <w:sz w:val="18"/>
          <w:szCs w:val="18"/>
          <w:highlight w:val="none"/>
        </w:rPr>
        <w:t>备注：以上内容合格的打“√”，不合格的打“×”，有一项不合格则结论为不</w:t>
      </w:r>
      <w:r>
        <w:rPr>
          <w:color w:val="auto"/>
          <w:sz w:val="18"/>
          <w:szCs w:val="18"/>
          <w:highlight w:val="none"/>
        </w:rPr>
        <w:t>合格。</w:t>
      </w:r>
    </w:p>
    <w:p w14:paraId="71F2D899">
      <w:pPr>
        <w:pStyle w:val="11"/>
        <w:tabs>
          <w:tab w:val="left" w:pos="599"/>
          <w:tab w:val="left" w:pos="1079"/>
        </w:tabs>
        <w:spacing w:before="4"/>
        <w:ind w:right="1449"/>
        <w:jc w:val="right"/>
        <w:rPr>
          <w:color w:val="auto"/>
          <w:highlight w:val="none"/>
        </w:rPr>
      </w:pPr>
    </w:p>
    <w:p w14:paraId="73751279">
      <w:pPr>
        <w:pStyle w:val="11"/>
        <w:tabs>
          <w:tab w:val="left" w:pos="599"/>
          <w:tab w:val="left" w:pos="1079"/>
        </w:tabs>
        <w:spacing w:before="4"/>
        <w:ind w:right="1449"/>
        <w:jc w:val="right"/>
        <w:rPr>
          <w:color w:val="auto"/>
          <w:highlight w:val="none"/>
        </w:rPr>
      </w:pPr>
    </w:p>
    <w:p w14:paraId="4D909298">
      <w:pPr>
        <w:pStyle w:val="11"/>
        <w:tabs>
          <w:tab w:val="left" w:pos="599"/>
          <w:tab w:val="left" w:pos="1079"/>
        </w:tabs>
        <w:spacing w:before="4"/>
        <w:ind w:right="1449"/>
        <w:jc w:val="right"/>
        <w:rPr>
          <w:color w:val="auto"/>
          <w:highlight w:val="none"/>
        </w:rPr>
      </w:pPr>
    </w:p>
    <w:p w14:paraId="6BBB97CB">
      <w:pPr>
        <w:rPr>
          <w:color w:val="auto"/>
          <w:highlight w:val="none"/>
        </w:rPr>
      </w:pPr>
      <w:r>
        <w:rPr>
          <w:color w:val="auto"/>
          <w:highlight w:val="none"/>
        </w:rPr>
        <w:br w:type="page"/>
      </w:r>
    </w:p>
    <w:p w14:paraId="2DBEAC48">
      <w:pPr>
        <w:pStyle w:val="5"/>
        <w:spacing w:before="155"/>
        <w:ind w:right="416"/>
        <w:rPr>
          <w:color w:val="auto"/>
          <w:highlight w:val="none"/>
        </w:rPr>
      </w:pPr>
      <w:r>
        <w:rPr>
          <w:color w:val="auto"/>
          <w:highlight w:val="none"/>
        </w:rPr>
        <w:t>符 合 性 评 审 表</w:t>
      </w:r>
    </w:p>
    <w:p w14:paraId="19F4CF1D">
      <w:pPr>
        <w:rPr>
          <w:color w:val="auto"/>
          <w:highlight w:val="none"/>
        </w:rPr>
      </w:pPr>
    </w:p>
    <w:tbl>
      <w:tblPr>
        <w:tblStyle w:val="24"/>
        <w:tblW w:w="0" w:type="auto"/>
        <w:tblInd w:w="312"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6"/>
        <w:gridCol w:w="1259"/>
        <w:gridCol w:w="3826"/>
        <w:gridCol w:w="1166"/>
        <w:gridCol w:w="1166"/>
        <w:gridCol w:w="1168"/>
      </w:tblGrid>
      <w:tr w14:paraId="35E627B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686" w:type="dxa"/>
            <w:vMerge w:val="restart"/>
            <w:tcBorders>
              <w:tl2br w:val="nil"/>
              <w:tr2bl w:val="nil"/>
            </w:tcBorders>
            <w:vAlign w:val="center"/>
          </w:tcPr>
          <w:p w14:paraId="324CE09F">
            <w:pPr>
              <w:pStyle w:val="49"/>
              <w:ind w:left="132"/>
              <w:jc w:val="center"/>
              <w:rPr>
                <w:color w:val="auto"/>
                <w:sz w:val="21"/>
                <w:highlight w:val="none"/>
              </w:rPr>
            </w:pPr>
            <w:r>
              <w:rPr>
                <w:color w:val="auto"/>
                <w:sz w:val="21"/>
                <w:highlight w:val="none"/>
              </w:rPr>
              <w:t>序号</w:t>
            </w:r>
          </w:p>
        </w:tc>
        <w:tc>
          <w:tcPr>
            <w:tcW w:w="1259" w:type="dxa"/>
            <w:vMerge w:val="restart"/>
            <w:tcBorders>
              <w:tl2br w:val="nil"/>
              <w:tr2bl w:val="nil"/>
            </w:tcBorders>
            <w:vAlign w:val="center"/>
          </w:tcPr>
          <w:p w14:paraId="0DCBB16E">
            <w:pPr>
              <w:pStyle w:val="49"/>
              <w:ind w:left="256" w:hanging="256" w:hangingChars="122"/>
              <w:jc w:val="center"/>
              <w:rPr>
                <w:color w:val="auto"/>
                <w:sz w:val="21"/>
                <w:highlight w:val="none"/>
              </w:rPr>
            </w:pPr>
            <w:r>
              <w:rPr>
                <w:color w:val="auto"/>
                <w:sz w:val="21"/>
                <w:highlight w:val="none"/>
              </w:rPr>
              <w:t>评审因素</w:t>
            </w:r>
          </w:p>
        </w:tc>
        <w:tc>
          <w:tcPr>
            <w:tcW w:w="3826" w:type="dxa"/>
            <w:vMerge w:val="restart"/>
            <w:tcBorders>
              <w:tl2br w:val="nil"/>
              <w:tr2bl w:val="nil"/>
            </w:tcBorders>
            <w:vAlign w:val="center"/>
          </w:tcPr>
          <w:p w14:paraId="2FC228C1">
            <w:pPr>
              <w:pStyle w:val="49"/>
              <w:ind w:left="808" w:hanging="808" w:hangingChars="385"/>
              <w:jc w:val="center"/>
              <w:rPr>
                <w:color w:val="auto"/>
                <w:sz w:val="21"/>
                <w:highlight w:val="none"/>
              </w:rPr>
            </w:pPr>
            <w:r>
              <w:rPr>
                <w:color w:val="auto"/>
                <w:sz w:val="21"/>
                <w:highlight w:val="none"/>
              </w:rPr>
              <w:t>评审标准</w:t>
            </w:r>
          </w:p>
        </w:tc>
        <w:tc>
          <w:tcPr>
            <w:tcW w:w="3500" w:type="dxa"/>
            <w:gridSpan w:val="3"/>
            <w:tcBorders>
              <w:tl2br w:val="nil"/>
              <w:tr2bl w:val="nil"/>
            </w:tcBorders>
            <w:vAlign w:val="center"/>
          </w:tcPr>
          <w:p w14:paraId="7088482A">
            <w:pPr>
              <w:pStyle w:val="49"/>
              <w:spacing w:before="62"/>
              <w:jc w:val="center"/>
              <w:rPr>
                <w:color w:val="auto"/>
                <w:sz w:val="18"/>
                <w:highlight w:val="none"/>
              </w:rPr>
            </w:pPr>
            <w:r>
              <w:rPr>
                <w:rFonts w:hint="eastAsia"/>
                <w:color w:val="auto"/>
                <w:sz w:val="21"/>
                <w:szCs w:val="21"/>
                <w:highlight w:val="none"/>
              </w:rPr>
              <w:t>供应商</w:t>
            </w:r>
            <w:r>
              <w:rPr>
                <w:color w:val="auto"/>
                <w:sz w:val="21"/>
                <w:szCs w:val="21"/>
                <w:highlight w:val="none"/>
              </w:rPr>
              <w:t>名称及评审意见</w:t>
            </w:r>
          </w:p>
        </w:tc>
      </w:tr>
      <w:tr w14:paraId="2D6339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575" w:hRule="atLeast"/>
        </w:trPr>
        <w:tc>
          <w:tcPr>
            <w:tcW w:w="686" w:type="dxa"/>
            <w:vMerge w:val="continue"/>
            <w:tcBorders>
              <w:tl2br w:val="nil"/>
              <w:tr2bl w:val="nil"/>
            </w:tcBorders>
            <w:vAlign w:val="center"/>
          </w:tcPr>
          <w:p w14:paraId="360B10D4">
            <w:pPr>
              <w:jc w:val="center"/>
              <w:rPr>
                <w:color w:val="auto"/>
                <w:sz w:val="2"/>
                <w:szCs w:val="2"/>
                <w:highlight w:val="none"/>
              </w:rPr>
            </w:pPr>
          </w:p>
        </w:tc>
        <w:tc>
          <w:tcPr>
            <w:tcW w:w="1259" w:type="dxa"/>
            <w:vMerge w:val="continue"/>
            <w:tcBorders>
              <w:tl2br w:val="nil"/>
              <w:tr2bl w:val="nil"/>
            </w:tcBorders>
            <w:vAlign w:val="center"/>
          </w:tcPr>
          <w:p w14:paraId="3AC5F9B6">
            <w:pPr>
              <w:jc w:val="center"/>
              <w:rPr>
                <w:color w:val="auto"/>
                <w:sz w:val="2"/>
                <w:szCs w:val="2"/>
                <w:highlight w:val="none"/>
              </w:rPr>
            </w:pPr>
          </w:p>
        </w:tc>
        <w:tc>
          <w:tcPr>
            <w:tcW w:w="3826" w:type="dxa"/>
            <w:vMerge w:val="continue"/>
            <w:tcBorders>
              <w:tl2br w:val="nil"/>
              <w:tr2bl w:val="nil"/>
            </w:tcBorders>
            <w:vAlign w:val="center"/>
          </w:tcPr>
          <w:p w14:paraId="4EABAA11">
            <w:pPr>
              <w:jc w:val="center"/>
              <w:rPr>
                <w:color w:val="auto"/>
                <w:sz w:val="2"/>
                <w:szCs w:val="2"/>
                <w:highlight w:val="none"/>
              </w:rPr>
            </w:pPr>
          </w:p>
        </w:tc>
        <w:tc>
          <w:tcPr>
            <w:tcW w:w="1166" w:type="dxa"/>
            <w:tcBorders>
              <w:tl2br w:val="nil"/>
              <w:tr2bl w:val="nil"/>
            </w:tcBorders>
            <w:vAlign w:val="center"/>
          </w:tcPr>
          <w:p w14:paraId="784F5FE5">
            <w:pPr>
              <w:pStyle w:val="49"/>
              <w:jc w:val="center"/>
              <w:rPr>
                <w:rFonts w:ascii="Times New Roman"/>
                <w:color w:val="auto"/>
                <w:sz w:val="20"/>
                <w:highlight w:val="none"/>
              </w:rPr>
            </w:pPr>
          </w:p>
        </w:tc>
        <w:tc>
          <w:tcPr>
            <w:tcW w:w="1166" w:type="dxa"/>
            <w:tcBorders>
              <w:tl2br w:val="nil"/>
              <w:tr2bl w:val="nil"/>
            </w:tcBorders>
            <w:vAlign w:val="center"/>
          </w:tcPr>
          <w:p w14:paraId="15A9777E">
            <w:pPr>
              <w:pStyle w:val="49"/>
              <w:jc w:val="center"/>
              <w:rPr>
                <w:rFonts w:ascii="Times New Roman"/>
                <w:color w:val="auto"/>
                <w:sz w:val="20"/>
                <w:highlight w:val="none"/>
              </w:rPr>
            </w:pPr>
          </w:p>
        </w:tc>
        <w:tc>
          <w:tcPr>
            <w:tcW w:w="1168" w:type="dxa"/>
            <w:tcBorders>
              <w:tl2br w:val="nil"/>
              <w:tr2bl w:val="nil"/>
            </w:tcBorders>
            <w:vAlign w:val="center"/>
          </w:tcPr>
          <w:p w14:paraId="52F951C3">
            <w:pPr>
              <w:pStyle w:val="49"/>
              <w:jc w:val="center"/>
              <w:rPr>
                <w:rFonts w:ascii="Times New Roman"/>
                <w:color w:val="auto"/>
                <w:sz w:val="20"/>
                <w:highlight w:val="none"/>
              </w:rPr>
            </w:pPr>
          </w:p>
        </w:tc>
      </w:tr>
      <w:tr w14:paraId="6C341F6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942" w:hRule="atLeast"/>
        </w:trPr>
        <w:tc>
          <w:tcPr>
            <w:tcW w:w="686" w:type="dxa"/>
            <w:tcBorders>
              <w:tl2br w:val="nil"/>
              <w:tr2bl w:val="nil"/>
            </w:tcBorders>
            <w:vAlign w:val="center"/>
          </w:tcPr>
          <w:p w14:paraId="0DB6988C">
            <w:pPr>
              <w:pStyle w:val="49"/>
              <w:ind w:left="19"/>
              <w:jc w:val="center"/>
              <w:rPr>
                <w:color w:val="auto"/>
                <w:sz w:val="21"/>
                <w:szCs w:val="21"/>
                <w:highlight w:val="none"/>
              </w:rPr>
            </w:pPr>
            <w:r>
              <w:rPr>
                <w:color w:val="auto"/>
                <w:w w:val="99"/>
                <w:sz w:val="21"/>
                <w:szCs w:val="21"/>
                <w:highlight w:val="none"/>
              </w:rPr>
              <w:t>1</w:t>
            </w:r>
          </w:p>
        </w:tc>
        <w:tc>
          <w:tcPr>
            <w:tcW w:w="1259" w:type="dxa"/>
            <w:tcBorders>
              <w:tl2br w:val="nil"/>
              <w:tr2bl w:val="nil"/>
            </w:tcBorders>
            <w:vAlign w:val="center"/>
          </w:tcPr>
          <w:p w14:paraId="619B54D9">
            <w:pPr>
              <w:pStyle w:val="49"/>
              <w:spacing w:line="278" w:lineRule="auto"/>
              <w:ind w:right="8"/>
              <w:jc w:val="center"/>
              <w:rPr>
                <w:color w:val="auto"/>
                <w:sz w:val="21"/>
                <w:szCs w:val="21"/>
                <w:highlight w:val="none"/>
              </w:rPr>
            </w:pPr>
            <w:r>
              <w:rPr>
                <w:color w:val="auto"/>
                <w:sz w:val="21"/>
                <w:szCs w:val="21"/>
                <w:highlight w:val="none"/>
              </w:rPr>
              <w:t>响应文件签字盖章</w:t>
            </w:r>
          </w:p>
        </w:tc>
        <w:tc>
          <w:tcPr>
            <w:tcW w:w="3826" w:type="dxa"/>
            <w:tcBorders>
              <w:tl2br w:val="nil"/>
              <w:tr2bl w:val="nil"/>
            </w:tcBorders>
            <w:vAlign w:val="center"/>
          </w:tcPr>
          <w:p w14:paraId="13B3CA0C">
            <w:pPr>
              <w:pStyle w:val="49"/>
              <w:spacing w:line="278" w:lineRule="auto"/>
              <w:ind w:right="8"/>
              <w:jc w:val="center"/>
              <w:rPr>
                <w:rFonts w:hint="eastAsia"/>
                <w:color w:val="auto"/>
                <w:sz w:val="21"/>
                <w:szCs w:val="21"/>
                <w:highlight w:val="none"/>
                <w:lang w:val="en-US" w:eastAsia="zh-CN"/>
              </w:rPr>
            </w:pPr>
            <w:r>
              <w:rPr>
                <w:rFonts w:hint="eastAsia"/>
                <w:color w:val="auto"/>
                <w:sz w:val="21"/>
                <w:szCs w:val="21"/>
                <w:highlight w:val="none"/>
                <w:lang w:val="en-US" w:eastAsia="zh-CN"/>
              </w:rPr>
              <w:t>是否符合竞争性磋商文件规定</w:t>
            </w:r>
          </w:p>
        </w:tc>
        <w:tc>
          <w:tcPr>
            <w:tcW w:w="1166" w:type="dxa"/>
            <w:tcBorders>
              <w:tl2br w:val="nil"/>
              <w:tr2bl w:val="nil"/>
            </w:tcBorders>
            <w:vAlign w:val="center"/>
          </w:tcPr>
          <w:p w14:paraId="0603D239">
            <w:pPr>
              <w:pStyle w:val="49"/>
              <w:jc w:val="center"/>
              <w:rPr>
                <w:rFonts w:ascii="Times New Roman"/>
                <w:color w:val="auto"/>
                <w:sz w:val="20"/>
                <w:highlight w:val="none"/>
              </w:rPr>
            </w:pPr>
          </w:p>
        </w:tc>
        <w:tc>
          <w:tcPr>
            <w:tcW w:w="1166" w:type="dxa"/>
            <w:tcBorders>
              <w:tl2br w:val="nil"/>
              <w:tr2bl w:val="nil"/>
            </w:tcBorders>
            <w:vAlign w:val="center"/>
          </w:tcPr>
          <w:p w14:paraId="76F79D83">
            <w:pPr>
              <w:pStyle w:val="49"/>
              <w:jc w:val="center"/>
              <w:rPr>
                <w:rFonts w:ascii="Times New Roman"/>
                <w:color w:val="auto"/>
                <w:sz w:val="20"/>
                <w:highlight w:val="none"/>
              </w:rPr>
            </w:pPr>
          </w:p>
        </w:tc>
        <w:tc>
          <w:tcPr>
            <w:tcW w:w="1168" w:type="dxa"/>
            <w:tcBorders>
              <w:tl2br w:val="nil"/>
              <w:tr2bl w:val="nil"/>
            </w:tcBorders>
            <w:vAlign w:val="center"/>
          </w:tcPr>
          <w:p w14:paraId="41024127">
            <w:pPr>
              <w:pStyle w:val="49"/>
              <w:jc w:val="center"/>
              <w:rPr>
                <w:rFonts w:ascii="Times New Roman"/>
                <w:color w:val="auto"/>
                <w:sz w:val="20"/>
                <w:highlight w:val="none"/>
              </w:rPr>
            </w:pPr>
          </w:p>
        </w:tc>
      </w:tr>
      <w:tr w14:paraId="33B0CF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809" w:hRule="atLeast"/>
        </w:trPr>
        <w:tc>
          <w:tcPr>
            <w:tcW w:w="686" w:type="dxa"/>
            <w:tcBorders>
              <w:tl2br w:val="nil"/>
              <w:tr2bl w:val="nil"/>
            </w:tcBorders>
            <w:vAlign w:val="center"/>
          </w:tcPr>
          <w:p w14:paraId="4A5B116E">
            <w:pPr>
              <w:pStyle w:val="49"/>
              <w:jc w:val="center"/>
              <w:rPr>
                <w:rFonts w:hint="eastAsia" w:eastAsia="宋体"/>
                <w:color w:val="auto"/>
                <w:sz w:val="21"/>
                <w:szCs w:val="21"/>
                <w:highlight w:val="none"/>
                <w:lang w:eastAsia="zh-CN"/>
              </w:rPr>
            </w:pPr>
            <w:r>
              <w:rPr>
                <w:rFonts w:hint="eastAsia"/>
                <w:color w:val="auto"/>
                <w:w w:val="99"/>
                <w:sz w:val="21"/>
                <w:szCs w:val="21"/>
                <w:highlight w:val="none"/>
                <w:lang w:val="en-US" w:eastAsia="zh-CN"/>
              </w:rPr>
              <w:t>2</w:t>
            </w:r>
          </w:p>
        </w:tc>
        <w:tc>
          <w:tcPr>
            <w:tcW w:w="1259" w:type="dxa"/>
            <w:tcBorders>
              <w:tl2br w:val="nil"/>
              <w:tr2bl w:val="nil"/>
            </w:tcBorders>
            <w:shd w:val="clear" w:color="auto" w:fill="auto"/>
            <w:vAlign w:val="center"/>
          </w:tcPr>
          <w:p w14:paraId="5F924BB7">
            <w:pPr>
              <w:pStyle w:val="49"/>
              <w:spacing w:line="278" w:lineRule="auto"/>
              <w:ind w:left="0" w:leftChars="0" w:right="8" w:rightChars="0"/>
              <w:jc w:val="center"/>
              <w:rPr>
                <w:rFonts w:hint="eastAsia" w:ascii="宋体" w:hAnsi="宋体" w:eastAsia="宋体" w:cs="宋体"/>
                <w:color w:val="auto"/>
                <w:sz w:val="21"/>
                <w:szCs w:val="21"/>
                <w:highlight w:val="none"/>
                <w:lang w:val="en-US" w:eastAsia="zh-CN" w:bidi="zh-CN"/>
              </w:rPr>
            </w:pPr>
            <w:r>
              <w:rPr>
                <w:rFonts w:ascii="宋体" w:hAnsi="宋体" w:eastAsia="宋体" w:cs="宋体"/>
                <w:color w:val="auto"/>
                <w:sz w:val="21"/>
                <w:szCs w:val="21"/>
                <w:highlight w:val="none"/>
              </w:rPr>
              <w:t>实质性</w:t>
            </w:r>
            <w:r>
              <w:rPr>
                <w:rFonts w:hint="eastAsia" w:ascii="宋体" w:hAnsi="宋体" w:eastAsia="宋体" w:cs="宋体"/>
                <w:color w:val="auto"/>
                <w:sz w:val="21"/>
                <w:szCs w:val="21"/>
                <w:highlight w:val="none"/>
                <w:lang w:val="en-US" w:eastAsia="zh-CN"/>
              </w:rPr>
              <w:t>响应</w:t>
            </w:r>
          </w:p>
        </w:tc>
        <w:tc>
          <w:tcPr>
            <w:tcW w:w="3826" w:type="dxa"/>
            <w:tcBorders>
              <w:tl2br w:val="nil"/>
              <w:tr2bl w:val="nil"/>
            </w:tcBorders>
            <w:shd w:val="clear" w:color="auto" w:fill="auto"/>
            <w:vAlign w:val="center"/>
          </w:tcPr>
          <w:p w14:paraId="04D51AC2">
            <w:pPr>
              <w:pStyle w:val="49"/>
              <w:spacing w:line="278" w:lineRule="auto"/>
              <w:ind w:left="0" w:leftChars="0" w:right="8" w:rightChars="0"/>
              <w:jc w:val="center"/>
              <w:rPr>
                <w:rFonts w:hint="eastAsia" w:ascii="宋体" w:hAnsi="宋体" w:eastAsia="宋体" w:cs="宋体"/>
                <w:color w:val="auto"/>
                <w:sz w:val="21"/>
                <w:szCs w:val="21"/>
                <w:highlight w:val="none"/>
                <w:lang w:val="en-US" w:eastAsia="zh-CN" w:bidi="zh-CN"/>
              </w:rPr>
            </w:pPr>
            <w:r>
              <w:rPr>
                <w:rFonts w:hint="eastAsia" w:ascii="宋体" w:hAnsi="宋体" w:eastAsia="宋体" w:cs="宋体"/>
                <w:color w:val="auto"/>
                <w:sz w:val="21"/>
                <w:szCs w:val="21"/>
                <w:highlight w:val="none"/>
                <w:lang w:val="en-US" w:eastAsia="zh-CN"/>
              </w:rPr>
              <w:t>是否</w:t>
            </w:r>
            <w:r>
              <w:rPr>
                <w:rFonts w:ascii="宋体" w:hAnsi="宋体" w:eastAsia="宋体" w:cs="宋体"/>
                <w:color w:val="auto"/>
                <w:sz w:val="21"/>
                <w:szCs w:val="21"/>
                <w:highlight w:val="none"/>
              </w:rPr>
              <w:t>满足</w:t>
            </w:r>
            <w:r>
              <w:rPr>
                <w:rFonts w:hint="eastAsia" w:ascii="宋体" w:hAnsi="宋体" w:eastAsia="宋体" w:cs="宋体"/>
                <w:color w:val="auto"/>
                <w:sz w:val="21"/>
                <w:szCs w:val="21"/>
                <w:highlight w:val="none"/>
                <w:lang w:val="en-US" w:eastAsia="zh-CN"/>
              </w:rPr>
              <w:t>文件</w:t>
            </w:r>
            <w:r>
              <w:rPr>
                <w:rFonts w:ascii="宋体" w:hAnsi="宋体" w:eastAsia="宋体" w:cs="宋体"/>
                <w:color w:val="auto"/>
                <w:sz w:val="21"/>
                <w:szCs w:val="21"/>
                <w:highlight w:val="none"/>
              </w:rPr>
              <w:t>规定的实质性要求</w:t>
            </w:r>
          </w:p>
        </w:tc>
        <w:tc>
          <w:tcPr>
            <w:tcW w:w="1166" w:type="dxa"/>
            <w:tcBorders>
              <w:tl2br w:val="nil"/>
              <w:tr2bl w:val="nil"/>
            </w:tcBorders>
            <w:vAlign w:val="center"/>
          </w:tcPr>
          <w:p w14:paraId="49FD8711">
            <w:pPr>
              <w:pStyle w:val="49"/>
              <w:jc w:val="center"/>
              <w:rPr>
                <w:rFonts w:ascii="Times New Roman"/>
                <w:color w:val="auto"/>
                <w:sz w:val="20"/>
                <w:highlight w:val="none"/>
              </w:rPr>
            </w:pPr>
          </w:p>
        </w:tc>
        <w:tc>
          <w:tcPr>
            <w:tcW w:w="1166" w:type="dxa"/>
            <w:tcBorders>
              <w:tl2br w:val="nil"/>
              <w:tr2bl w:val="nil"/>
            </w:tcBorders>
            <w:vAlign w:val="center"/>
          </w:tcPr>
          <w:p w14:paraId="690926FD">
            <w:pPr>
              <w:pStyle w:val="49"/>
              <w:jc w:val="center"/>
              <w:rPr>
                <w:rFonts w:ascii="Times New Roman"/>
                <w:color w:val="auto"/>
                <w:sz w:val="20"/>
                <w:highlight w:val="none"/>
              </w:rPr>
            </w:pPr>
          </w:p>
        </w:tc>
        <w:tc>
          <w:tcPr>
            <w:tcW w:w="1168" w:type="dxa"/>
            <w:tcBorders>
              <w:tl2br w:val="nil"/>
              <w:tr2bl w:val="nil"/>
            </w:tcBorders>
            <w:vAlign w:val="center"/>
          </w:tcPr>
          <w:p w14:paraId="566C51D4">
            <w:pPr>
              <w:pStyle w:val="49"/>
              <w:jc w:val="center"/>
              <w:rPr>
                <w:rFonts w:ascii="Times New Roman"/>
                <w:color w:val="auto"/>
                <w:sz w:val="20"/>
                <w:highlight w:val="none"/>
              </w:rPr>
            </w:pPr>
          </w:p>
        </w:tc>
      </w:tr>
      <w:tr w14:paraId="6F950C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686" w:type="dxa"/>
            <w:tcBorders>
              <w:tl2br w:val="nil"/>
              <w:tr2bl w:val="nil"/>
            </w:tcBorders>
            <w:vAlign w:val="center"/>
          </w:tcPr>
          <w:p w14:paraId="4660B612">
            <w:pPr>
              <w:pStyle w:val="49"/>
              <w:spacing w:before="133"/>
              <w:ind w:left="19"/>
              <w:jc w:val="center"/>
              <w:rPr>
                <w:rFonts w:hint="eastAsia" w:eastAsia="宋体"/>
                <w:color w:val="auto"/>
                <w:w w:val="99"/>
                <w:sz w:val="21"/>
                <w:szCs w:val="21"/>
                <w:highlight w:val="none"/>
                <w:lang w:val="en-US" w:eastAsia="zh-CN"/>
              </w:rPr>
            </w:pPr>
            <w:r>
              <w:rPr>
                <w:rFonts w:hint="eastAsia"/>
                <w:color w:val="auto"/>
                <w:w w:val="99"/>
                <w:sz w:val="21"/>
                <w:szCs w:val="21"/>
                <w:highlight w:val="none"/>
                <w:lang w:val="en-US" w:eastAsia="zh-CN"/>
              </w:rPr>
              <w:t>3</w:t>
            </w:r>
          </w:p>
        </w:tc>
        <w:tc>
          <w:tcPr>
            <w:tcW w:w="1259" w:type="dxa"/>
            <w:tcBorders>
              <w:tl2br w:val="nil"/>
              <w:tr2bl w:val="nil"/>
            </w:tcBorders>
            <w:shd w:val="clear" w:color="auto" w:fill="auto"/>
            <w:vAlign w:val="center"/>
          </w:tcPr>
          <w:p w14:paraId="68DA831C">
            <w:pPr>
              <w:pStyle w:val="49"/>
              <w:ind w:left="0" w:leftChars="0" w:right="8" w:rightChars="0"/>
              <w:jc w:val="center"/>
              <w:rPr>
                <w:rFonts w:ascii="宋体" w:hAnsi="宋体" w:eastAsia="宋体" w:cs="宋体"/>
                <w:color w:val="auto"/>
                <w:sz w:val="21"/>
                <w:szCs w:val="21"/>
                <w:highlight w:val="none"/>
                <w:lang w:val="zh-CN" w:eastAsia="zh-CN" w:bidi="zh-CN"/>
              </w:rPr>
            </w:pPr>
            <w:r>
              <w:rPr>
                <w:rFonts w:hint="eastAsia"/>
                <w:color w:val="auto"/>
                <w:sz w:val="21"/>
                <w:szCs w:val="21"/>
                <w:highlight w:val="none"/>
              </w:rPr>
              <w:t>报</w:t>
            </w:r>
            <w:r>
              <w:rPr>
                <w:rFonts w:hint="eastAsia"/>
                <w:color w:val="auto"/>
                <w:sz w:val="21"/>
                <w:szCs w:val="21"/>
                <w:highlight w:val="none"/>
                <w:lang w:val="en-US" w:eastAsia="zh-CN"/>
              </w:rPr>
              <w:t xml:space="preserve">  </w:t>
            </w:r>
            <w:r>
              <w:rPr>
                <w:rFonts w:hint="eastAsia"/>
                <w:color w:val="auto"/>
                <w:sz w:val="21"/>
                <w:szCs w:val="21"/>
                <w:highlight w:val="none"/>
              </w:rPr>
              <w:t>价</w:t>
            </w:r>
          </w:p>
        </w:tc>
        <w:tc>
          <w:tcPr>
            <w:tcW w:w="3826" w:type="dxa"/>
            <w:tcBorders>
              <w:tl2br w:val="nil"/>
              <w:tr2bl w:val="nil"/>
            </w:tcBorders>
            <w:shd w:val="clear" w:color="auto" w:fill="auto"/>
            <w:vAlign w:val="center"/>
          </w:tcPr>
          <w:p w14:paraId="7EF4271F">
            <w:pPr>
              <w:pStyle w:val="49"/>
              <w:spacing w:line="278" w:lineRule="auto"/>
              <w:ind w:left="0" w:leftChars="0" w:right="8" w:rightChars="0"/>
              <w:jc w:val="center"/>
              <w:rPr>
                <w:rFonts w:hint="eastAsia" w:ascii="宋体" w:hAnsi="宋体" w:eastAsia="宋体" w:cs="宋体"/>
                <w:color w:val="auto"/>
                <w:sz w:val="21"/>
                <w:szCs w:val="21"/>
                <w:highlight w:val="none"/>
                <w:lang w:val="en-US" w:eastAsia="zh-CN" w:bidi="zh-CN"/>
              </w:rPr>
            </w:pPr>
            <w:r>
              <w:rPr>
                <w:rFonts w:hint="eastAsia"/>
                <w:color w:val="auto"/>
                <w:sz w:val="21"/>
                <w:szCs w:val="21"/>
                <w:highlight w:val="none"/>
                <w:lang w:val="en-US" w:eastAsia="zh-CN"/>
              </w:rPr>
              <w:t>报价未超过采购项目预算的，认定为合格供应商</w:t>
            </w:r>
          </w:p>
        </w:tc>
        <w:tc>
          <w:tcPr>
            <w:tcW w:w="1166" w:type="dxa"/>
            <w:tcBorders>
              <w:tl2br w:val="nil"/>
              <w:tr2bl w:val="nil"/>
            </w:tcBorders>
            <w:vAlign w:val="center"/>
          </w:tcPr>
          <w:p w14:paraId="5555CDD1">
            <w:pPr>
              <w:pStyle w:val="49"/>
              <w:jc w:val="center"/>
              <w:rPr>
                <w:rFonts w:ascii="Times New Roman"/>
                <w:color w:val="auto"/>
                <w:sz w:val="20"/>
                <w:highlight w:val="none"/>
              </w:rPr>
            </w:pPr>
          </w:p>
        </w:tc>
        <w:tc>
          <w:tcPr>
            <w:tcW w:w="1166" w:type="dxa"/>
            <w:tcBorders>
              <w:tl2br w:val="nil"/>
              <w:tr2bl w:val="nil"/>
            </w:tcBorders>
            <w:vAlign w:val="center"/>
          </w:tcPr>
          <w:p w14:paraId="496BCB15">
            <w:pPr>
              <w:pStyle w:val="49"/>
              <w:jc w:val="center"/>
              <w:rPr>
                <w:rFonts w:ascii="Times New Roman"/>
                <w:color w:val="auto"/>
                <w:sz w:val="20"/>
                <w:highlight w:val="none"/>
              </w:rPr>
            </w:pPr>
          </w:p>
        </w:tc>
        <w:tc>
          <w:tcPr>
            <w:tcW w:w="1168" w:type="dxa"/>
            <w:tcBorders>
              <w:tl2br w:val="nil"/>
              <w:tr2bl w:val="nil"/>
            </w:tcBorders>
            <w:vAlign w:val="center"/>
          </w:tcPr>
          <w:p w14:paraId="7D18A431">
            <w:pPr>
              <w:pStyle w:val="49"/>
              <w:jc w:val="center"/>
              <w:rPr>
                <w:rFonts w:ascii="Times New Roman"/>
                <w:color w:val="auto"/>
                <w:sz w:val="20"/>
                <w:highlight w:val="none"/>
              </w:rPr>
            </w:pPr>
          </w:p>
        </w:tc>
      </w:tr>
      <w:tr w14:paraId="345F32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686" w:type="dxa"/>
            <w:tcBorders>
              <w:tl2br w:val="nil"/>
              <w:tr2bl w:val="nil"/>
            </w:tcBorders>
            <w:vAlign w:val="center"/>
          </w:tcPr>
          <w:p w14:paraId="77677EB6">
            <w:pPr>
              <w:pStyle w:val="49"/>
              <w:ind w:left="19" w:leftChars="0" w:right="0" w:rightChars="0"/>
              <w:jc w:val="center"/>
              <w:rPr>
                <w:rFonts w:hint="eastAsia" w:ascii="宋体" w:hAnsi="宋体" w:eastAsia="宋体" w:cs="宋体"/>
                <w:color w:val="auto"/>
                <w:w w:val="99"/>
                <w:sz w:val="21"/>
                <w:szCs w:val="21"/>
                <w:highlight w:val="none"/>
                <w:lang w:val="en-US" w:eastAsia="zh-CN" w:bidi="zh-CN"/>
              </w:rPr>
            </w:pPr>
            <w:r>
              <w:rPr>
                <w:rFonts w:hint="eastAsia"/>
                <w:color w:val="auto"/>
                <w:w w:val="99"/>
                <w:sz w:val="21"/>
                <w:szCs w:val="21"/>
                <w:highlight w:val="none"/>
                <w:lang w:val="en-US" w:eastAsia="zh-CN"/>
              </w:rPr>
              <w:t>4</w:t>
            </w:r>
          </w:p>
        </w:tc>
        <w:tc>
          <w:tcPr>
            <w:tcW w:w="1259" w:type="dxa"/>
            <w:tcBorders>
              <w:tl2br w:val="nil"/>
              <w:tr2bl w:val="nil"/>
            </w:tcBorders>
            <w:shd w:val="clear" w:color="auto" w:fill="auto"/>
            <w:vAlign w:val="center"/>
          </w:tcPr>
          <w:p w14:paraId="6D3F6245">
            <w:pPr>
              <w:pStyle w:val="49"/>
              <w:spacing w:before="138" w:line="278" w:lineRule="auto"/>
              <w:ind w:left="0" w:leftChars="0" w:right="8" w:rightChars="0"/>
              <w:jc w:val="center"/>
              <w:rPr>
                <w:rFonts w:hint="default" w:ascii="宋体" w:hAnsi="宋体" w:eastAsia="宋体" w:cs="宋体"/>
                <w:color w:val="auto"/>
                <w:sz w:val="21"/>
                <w:szCs w:val="21"/>
                <w:highlight w:val="none"/>
                <w:lang w:val="en-US" w:eastAsia="zh-CN" w:bidi="zh-CN"/>
              </w:rPr>
            </w:pPr>
            <w:r>
              <w:rPr>
                <w:color w:val="auto"/>
                <w:sz w:val="21"/>
                <w:highlight w:val="none"/>
              </w:rPr>
              <w:t>响应文件有效期</w:t>
            </w:r>
          </w:p>
        </w:tc>
        <w:tc>
          <w:tcPr>
            <w:tcW w:w="3826" w:type="dxa"/>
            <w:tcBorders>
              <w:tl2br w:val="nil"/>
              <w:tr2bl w:val="nil"/>
            </w:tcBorders>
            <w:shd w:val="clear" w:color="auto" w:fill="auto"/>
            <w:vAlign w:val="center"/>
          </w:tcPr>
          <w:p w14:paraId="762122AD">
            <w:pPr>
              <w:pStyle w:val="49"/>
              <w:spacing w:line="278" w:lineRule="auto"/>
              <w:ind w:left="0" w:leftChars="0" w:right="8" w:rightChars="0"/>
              <w:jc w:val="center"/>
              <w:rPr>
                <w:rFonts w:hint="eastAsia" w:ascii="宋体" w:hAnsi="宋体" w:eastAsia="宋体" w:cs="宋体"/>
                <w:color w:val="auto"/>
                <w:sz w:val="21"/>
                <w:szCs w:val="21"/>
                <w:highlight w:val="none"/>
                <w:lang w:val="en-US" w:eastAsia="zh-CN" w:bidi="zh-CN"/>
              </w:rPr>
            </w:pPr>
            <w:r>
              <w:rPr>
                <w:rFonts w:hint="eastAsia"/>
                <w:color w:val="auto"/>
                <w:sz w:val="21"/>
                <w:szCs w:val="21"/>
                <w:highlight w:val="none"/>
                <w:lang w:val="en-US" w:eastAsia="zh-CN"/>
              </w:rPr>
              <w:t>是否符合竞争性磋商文件规定</w:t>
            </w:r>
          </w:p>
        </w:tc>
        <w:tc>
          <w:tcPr>
            <w:tcW w:w="1166" w:type="dxa"/>
            <w:tcBorders>
              <w:tl2br w:val="nil"/>
              <w:tr2bl w:val="nil"/>
            </w:tcBorders>
            <w:vAlign w:val="center"/>
          </w:tcPr>
          <w:p w14:paraId="1C0F6E32">
            <w:pPr>
              <w:pStyle w:val="49"/>
              <w:jc w:val="center"/>
              <w:rPr>
                <w:rFonts w:ascii="Times New Roman"/>
                <w:color w:val="auto"/>
                <w:sz w:val="20"/>
                <w:highlight w:val="none"/>
              </w:rPr>
            </w:pPr>
          </w:p>
        </w:tc>
        <w:tc>
          <w:tcPr>
            <w:tcW w:w="1166" w:type="dxa"/>
            <w:tcBorders>
              <w:tl2br w:val="nil"/>
              <w:tr2bl w:val="nil"/>
            </w:tcBorders>
            <w:vAlign w:val="center"/>
          </w:tcPr>
          <w:p w14:paraId="6518A142">
            <w:pPr>
              <w:pStyle w:val="49"/>
              <w:jc w:val="center"/>
              <w:rPr>
                <w:rFonts w:ascii="Times New Roman"/>
                <w:color w:val="auto"/>
                <w:sz w:val="20"/>
                <w:highlight w:val="none"/>
              </w:rPr>
            </w:pPr>
          </w:p>
        </w:tc>
        <w:tc>
          <w:tcPr>
            <w:tcW w:w="1168" w:type="dxa"/>
            <w:tcBorders>
              <w:tl2br w:val="nil"/>
              <w:tr2bl w:val="nil"/>
            </w:tcBorders>
            <w:vAlign w:val="center"/>
          </w:tcPr>
          <w:p w14:paraId="144837E6">
            <w:pPr>
              <w:pStyle w:val="49"/>
              <w:jc w:val="center"/>
              <w:rPr>
                <w:rFonts w:ascii="Times New Roman"/>
                <w:color w:val="auto"/>
                <w:sz w:val="20"/>
                <w:highlight w:val="none"/>
              </w:rPr>
            </w:pPr>
          </w:p>
        </w:tc>
      </w:tr>
      <w:tr w14:paraId="712CC7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686" w:type="dxa"/>
            <w:tcBorders>
              <w:tl2br w:val="nil"/>
              <w:tr2bl w:val="nil"/>
            </w:tcBorders>
            <w:vAlign w:val="center"/>
          </w:tcPr>
          <w:p w14:paraId="5B0E78E9">
            <w:pPr>
              <w:pStyle w:val="49"/>
              <w:ind w:left="19" w:leftChars="0" w:right="0" w:rightChars="0"/>
              <w:jc w:val="center"/>
              <w:rPr>
                <w:rFonts w:hint="default" w:ascii="宋体" w:hAnsi="宋体" w:eastAsia="宋体" w:cs="宋体"/>
                <w:color w:val="auto"/>
                <w:w w:val="99"/>
                <w:sz w:val="21"/>
                <w:szCs w:val="21"/>
                <w:highlight w:val="none"/>
                <w:lang w:val="en-US" w:eastAsia="zh-CN" w:bidi="zh-CN"/>
              </w:rPr>
            </w:pPr>
            <w:r>
              <w:rPr>
                <w:rFonts w:hint="eastAsia"/>
                <w:color w:val="auto"/>
                <w:w w:val="99"/>
                <w:sz w:val="21"/>
                <w:szCs w:val="21"/>
                <w:highlight w:val="none"/>
                <w:lang w:val="en-US" w:eastAsia="zh-CN"/>
              </w:rPr>
              <w:t>5</w:t>
            </w:r>
          </w:p>
        </w:tc>
        <w:tc>
          <w:tcPr>
            <w:tcW w:w="1259" w:type="dxa"/>
            <w:tcBorders>
              <w:tl2br w:val="nil"/>
              <w:tr2bl w:val="nil"/>
            </w:tcBorders>
            <w:shd w:val="clear" w:color="auto" w:fill="auto"/>
            <w:vAlign w:val="center"/>
          </w:tcPr>
          <w:p w14:paraId="41E31262">
            <w:pPr>
              <w:pStyle w:val="49"/>
              <w:ind w:left="0" w:leftChars="0" w:right="8" w:rightChars="0"/>
              <w:jc w:val="center"/>
              <w:rPr>
                <w:rFonts w:hint="eastAsia" w:ascii="宋体" w:hAnsi="宋体" w:eastAsia="宋体" w:cs="宋体"/>
                <w:color w:val="auto"/>
                <w:sz w:val="21"/>
                <w:szCs w:val="21"/>
                <w:highlight w:val="none"/>
                <w:lang w:val="en-US" w:eastAsia="zh-CN" w:bidi="zh-CN"/>
              </w:rPr>
            </w:pPr>
            <w:r>
              <w:rPr>
                <w:rFonts w:hint="eastAsia"/>
                <w:color w:val="auto"/>
                <w:sz w:val="21"/>
                <w:szCs w:val="21"/>
                <w:highlight w:val="none"/>
                <w:lang w:val="en-US" w:eastAsia="zh-CN"/>
              </w:rPr>
              <w:t>其他</w:t>
            </w:r>
          </w:p>
        </w:tc>
        <w:tc>
          <w:tcPr>
            <w:tcW w:w="3826" w:type="dxa"/>
            <w:tcBorders>
              <w:tl2br w:val="nil"/>
              <w:tr2bl w:val="nil"/>
            </w:tcBorders>
            <w:shd w:val="clear" w:color="auto" w:fill="auto"/>
            <w:vAlign w:val="center"/>
          </w:tcPr>
          <w:p w14:paraId="2503E88B">
            <w:pPr>
              <w:pStyle w:val="49"/>
              <w:ind w:left="0" w:leftChars="0" w:right="8" w:rightChars="0"/>
              <w:jc w:val="center"/>
              <w:rPr>
                <w:rFonts w:hint="eastAsia" w:ascii="宋体" w:hAnsi="宋体" w:eastAsia="宋体" w:cs="宋体"/>
                <w:color w:val="auto"/>
                <w:sz w:val="21"/>
                <w:szCs w:val="21"/>
                <w:highlight w:val="none"/>
                <w:lang w:val="en-US" w:eastAsia="zh-CN" w:bidi="zh-CN"/>
              </w:rPr>
            </w:pPr>
            <w:r>
              <w:rPr>
                <w:rFonts w:hint="eastAsia" w:ascii="宋体" w:hAnsi="宋体" w:eastAsia="宋体" w:cs="宋体"/>
                <w:color w:val="auto"/>
                <w:sz w:val="21"/>
                <w:szCs w:val="21"/>
                <w:highlight w:val="none"/>
                <w:lang w:val="en-US" w:eastAsia="zh-CN"/>
              </w:rPr>
              <w:t>响应文件</w:t>
            </w:r>
            <w:r>
              <w:rPr>
                <w:rFonts w:hint="eastAsia" w:cs="宋体"/>
                <w:color w:val="auto"/>
                <w:sz w:val="21"/>
                <w:szCs w:val="21"/>
                <w:highlight w:val="none"/>
                <w:lang w:val="en-US" w:eastAsia="zh-CN"/>
              </w:rPr>
              <w:t>是否</w:t>
            </w:r>
            <w:r>
              <w:rPr>
                <w:rFonts w:hint="eastAsia" w:ascii="宋体" w:hAnsi="宋体" w:eastAsia="宋体" w:cs="宋体"/>
                <w:color w:val="auto"/>
                <w:sz w:val="21"/>
                <w:szCs w:val="21"/>
                <w:highlight w:val="none"/>
                <w:lang w:val="en-US" w:eastAsia="zh-CN"/>
              </w:rPr>
              <w:t>符合法律、规章、规范性文件和磋商文件规定及要求</w:t>
            </w:r>
          </w:p>
        </w:tc>
        <w:tc>
          <w:tcPr>
            <w:tcW w:w="1166" w:type="dxa"/>
            <w:tcBorders>
              <w:tl2br w:val="nil"/>
              <w:tr2bl w:val="nil"/>
            </w:tcBorders>
            <w:vAlign w:val="center"/>
          </w:tcPr>
          <w:p w14:paraId="7864B4C6">
            <w:pPr>
              <w:pStyle w:val="49"/>
              <w:jc w:val="center"/>
              <w:rPr>
                <w:rFonts w:ascii="Times New Roman"/>
                <w:color w:val="auto"/>
                <w:sz w:val="20"/>
                <w:highlight w:val="none"/>
              </w:rPr>
            </w:pPr>
          </w:p>
        </w:tc>
        <w:tc>
          <w:tcPr>
            <w:tcW w:w="1166" w:type="dxa"/>
            <w:tcBorders>
              <w:tl2br w:val="nil"/>
              <w:tr2bl w:val="nil"/>
            </w:tcBorders>
            <w:vAlign w:val="center"/>
          </w:tcPr>
          <w:p w14:paraId="6DFF8926">
            <w:pPr>
              <w:pStyle w:val="49"/>
              <w:jc w:val="center"/>
              <w:rPr>
                <w:rFonts w:ascii="Times New Roman"/>
                <w:color w:val="auto"/>
                <w:sz w:val="20"/>
                <w:highlight w:val="none"/>
              </w:rPr>
            </w:pPr>
          </w:p>
        </w:tc>
        <w:tc>
          <w:tcPr>
            <w:tcW w:w="1168" w:type="dxa"/>
            <w:tcBorders>
              <w:tl2br w:val="nil"/>
              <w:tr2bl w:val="nil"/>
            </w:tcBorders>
            <w:vAlign w:val="center"/>
          </w:tcPr>
          <w:p w14:paraId="06F89D42">
            <w:pPr>
              <w:pStyle w:val="49"/>
              <w:jc w:val="center"/>
              <w:rPr>
                <w:rFonts w:ascii="Times New Roman"/>
                <w:color w:val="auto"/>
                <w:sz w:val="20"/>
                <w:highlight w:val="none"/>
              </w:rPr>
            </w:pPr>
          </w:p>
        </w:tc>
      </w:tr>
      <w:tr w14:paraId="42595E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0" w:type="dxa"/>
            <w:bottom w:w="0" w:type="dxa"/>
            <w:right w:w="0" w:type="dxa"/>
          </w:tblCellMar>
        </w:tblPrEx>
        <w:trPr>
          <w:trHeight w:val="963" w:hRule="atLeast"/>
        </w:trPr>
        <w:tc>
          <w:tcPr>
            <w:tcW w:w="686" w:type="dxa"/>
            <w:tcBorders>
              <w:tl2br w:val="nil"/>
              <w:tr2bl w:val="nil"/>
            </w:tcBorders>
            <w:vAlign w:val="center"/>
          </w:tcPr>
          <w:p w14:paraId="1DEB4523">
            <w:pPr>
              <w:pStyle w:val="49"/>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6</w:t>
            </w:r>
          </w:p>
        </w:tc>
        <w:tc>
          <w:tcPr>
            <w:tcW w:w="1259" w:type="dxa"/>
            <w:tcBorders>
              <w:tl2br w:val="nil"/>
              <w:tr2bl w:val="nil"/>
            </w:tcBorders>
            <w:vAlign w:val="center"/>
          </w:tcPr>
          <w:p w14:paraId="2B48088F">
            <w:pPr>
              <w:pStyle w:val="49"/>
              <w:ind w:right="8"/>
              <w:jc w:val="center"/>
              <w:rPr>
                <w:color w:val="auto"/>
                <w:sz w:val="21"/>
                <w:szCs w:val="21"/>
                <w:highlight w:val="none"/>
              </w:rPr>
            </w:pPr>
            <w:r>
              <w:rPr>
                <w:color w:val="auto"/>
                <w:sz w:val="21"/>
                <w:szCs w:val="21"/>
                <w:highlight w:val="none"/>
              </w:rPr>
              <w:t>评审结论</w:t>
            </w:r>
          </w:p>
        </w:tc>
        <w:tc>
          <w:tcPr>
            <w:tcW w:w="3826" w:type="dxa"/>
            <w:tcBorders>
              <w:tl2br w:val="nil"/>
              <w:tr2bl w:val="nil"/>
            </w:tcBorders>
            <w:vAlign w:val="center"/>
          </w:tcPr>
          <w:p w14:paraId="21E9FBF5">
            <w:pPr>
              <w:pStyle w:val="49"/>
              <w:spacing w:line="278" w:lineRule="auto"/>
              <w:ind w:right="8"/>
              <w:jc w:val="center"/>
              <w:rPr>
                <w:rFonts w:hint="eastAsia"/>
                <w:color w:val="auto"/>
                <w:sz w:val="21"/>
                <w:szCs w:val="21"/>
                <w:highlight w:val="none"/>
                <w:lang w:val="en-US" w:eastAsia="zh-CN"/>
              </w:rPr>
            </w:pPr>
            <w:r>
              <w:rPr>
                <w:rFonts w:hint="eastAsia"/>
                <w:color w:val="auto"/>
                <w:sz w:val="21"/>
                <w:szCs w:val="21"/>
                <w:highlight w:val="none"/>
                <w:lang w:val="en-US" w:eastAsia="zh-CN"/>
              </w:rPr>
              <w:t>合格或不合格</w:t>
            </w:r>
          </w:p>
        </w:tc>
        <w:tc>
          <w:tcPr>
            <w:tcW w:w="1166" w:type="dxa"/>
            <w:tcBorders>
              <w:tl2br w:val="nil"/>
              <w:tr2bl w:val="nil"/>
            </w:tcBorders>
            <w:vAlign w:val="center"/>
          </w:tcPr>
          <w:p w14:paraId="7EB296EF">
            <w:pPr>
              <w:pStyle w:val="49"/>
              <w:jc w:val="center"/>
              <w:rPr>
                <w:rFonts w:ascii="Times New Roman"/>
                <w:color w:val="auto"/>
                <w:sz w:val="20"/>
                <w:highlight w:val="none"/>
              </w:rPr>
            </w:pPr>
          </w:p>
        </w:tc>
        <w:tc>
          <w:tcPr>
            <w:tcW w:w="1166" w:type="dxa"/>
            <w:tcBorders>
              <w:tl2br w:val="nil"/>
              <w:tr2bl w:val="nil"/>
            </w:tcBorders>
            <w:vAlign w:val="center"/>
          </w:tcPr>
          <w:p w14:paraId="22BC34B1">
            <w:pPr>
              <w:pStyle w:val="49"/>
              <w:jc w:val="center"/>
              <w:rPr>
                <w:rFonts w:ascii="Times New Roman"/>
                <w:color w:val="auto"/>
                <w:sz w:val="20"/>
                <w:highlight w:val="none"/>
              </w:rPr>
            </w:pPr>
          </w:p>
        </w:tc>
        <w:tc>
          <w:tcPr>
            <w:tcW w:w="1168" w:type="dxa"/>
            <w:tcBorders>
              <w:tl2br w:val="nil"/>
              <w:tr2bl w:val="nil"/>
            </w:tcBorders>
            <w:vAlign w:val="center"/>
          </w:tcPr>
          <w:p w14:paraId="2697D112">
            <w:pPr>
              <w:pStyle w:val="49"/>
              <w:jc w:val="center"/>
              <w:rPr>
                <w:rFonts w:ascii="Times New Roman"/>
                <w:color w:val="auto"/>
                <w:sz w:val="20"/>
                <w:highlight w:val="none"/>
              </w:rPr>
            </w:pPr>
          </w:p>
        </w:tc>
      </w:tr>
    </w:tbl>
    <w:p w14:paraId="0A8F9F83">
      <w:pPr>
        <w:pStyle w:val="11"/>
        <w:spacing w:before="35" w:line="264" w:lineRule="auto"/>
        <w:ind w:left="780" w:right="1201"/>
        <w:rPr>
          <w:color w:val="auto"/>
          <w:sz w:val="18"/>
          <w:szCs w:val="18"/>
          <w:highlight w:val="none"/>
        </w:rPr>
      </w:pPr>
      <w:r>
        <w:rPr>
          <w:color w:val="auto"/>
          <w:spacing w:val="-9"/>
          <w:sz w:val="18"/>
          <w:szCs w:val="18"/>
          <w:highlight w:val="none"/>
        </w:rPr>
        <w:t>备注：以上内容合格的打“√”，不合格的打“×”，有一项不合格则结论为不</w:t>
      </w:r>
      <w:r>
        <w:rPr>
          <w:color w:val="auto"/>
          <w:sz w:val="18"/>
          <w:szCs w:val="18"/>
          <w:highlight w:val="none"/>
        </w:rPr>
        <w:t>合格。</w:t>
      </w:r>
    </w:p>
    <w:p w14:paraId="79409499">
      <w:pPr>
        <w:jc w:val="right"/>
        <w:rPr>
          <w:color w:val="auto"/>
          <w:highlight w:val="none"/>
        </w:rPr>
        <w:sectPr>
          <w:headerReference r:id="rId12" w:type="default"/>
          <w:footerReference r:id="rId13" w:type="default"/>
          <w:pgSz w:w="11910" w:h="16840"/>
          <w:pgMar w:top="1580" w:right="600" w:bottom="1440" w:left="1020" w:header="0" w:footer="1241" w:gutter="0"/>
          <w:pgBorders>
            <w:top w:val="none" w:sz="0" w:space="0"/>
            <w:left w:val="none" w:sz="0" w:space="0"/>
            <w:bottom w:val="none" w:sz="0" w:space="0"/>
            <w:right w:val="none" w:sz="0" w:space="0"/>
          </w:pgBorders>
          <w:pgNumType w:fmt="decimal"/>
          <w:cols w:space="720" w:num="1"/>
        </w:sectPr>
      </w:pPr>
    </w:p>
    <w:p w14:paraId="51D13CF3">
      <w:pPr>
        <w:pStyle w:val="5"/>
        <w:spacing w:before="40"/>
        <w:jc w:val="left"/>
        <w:outlineLvl w:val="0"/>
        <w:rPr>
          <w:color w:val="auto"/>
          <w:highlight w:val="none"/>
        </w:rPr>
      </w:pPr>
    </w:p>
    <w:p w14:paraId="1BC7C449">
      <w:pPr>
        <w:pStyle w:val="11"/>
        <w:rPr>
          <w:b/>
          <w:color w:val="auto"/>
          <w:sz w:val="20"/>
          <w:highlight w:val="none"/>
        </w:rPr>
      </w:pPr>
    </w:p>
    <w:p w14:paraId="463F3857">
      <w:pPr>
        <w:pStyle w:val="11"/>
        <w:spacing w:before="6"/>
        <w:rPr>
          <w:b/>
          <w:color w:val="auto"/>
          <w:sz w:val="22"/>
          <w:highlight w:val="none"/>
        </w:rPr>
      </w:pPr>
    </w:p>
    <w:p w14:paraId="4AF30369">
      <w:pPr>
        <w:spacing w:before="62"/>
        <w:ind w:left="0" w:right="419" w:firstLine="0"/>
        <w:jc w:val="center"/>
        <w:rPr>
          <w:b/>
          <w:color w:val="auto"/>
          <w:sz w:val="28"/>
          <w:highlight w:val="none"/>
        </w:rPr>
      </w:pPr>
      <w:r>
        <w:rPr>
          <w:b/>
          <w:color w:val="auto"/>
          <w:sz w:val="28"/>
          <w:highlight w:val="none"/>
        </w:rPr>
        <w:t>权数取值表</w:t>
      </w:r>
    </w:p>
    <w:p w14:paraId="6DA10D46">
      <w:pPr>
        <w:pStyle w:val="11"/>
        <w:rPr>
          <w:b/>
          <w:color w:val="auto"/>
          <w:sz w:val="20"/>
          <w:highlight w:val="none"/>
        </w:rPr>
      </w:pPr>
    </w:p>
    <w:p w14:paraId="691393A5">
      <w:pPr>
        <w:pStyle w:val="11"/>
        <w:spacing w:before="7" w:after="1"/>
        <w:rPr>
          <w:b/>
          <w:color w:val="auto"/>
          <w:sz w:val="14"/>
          <w:highlight w:val="none"/>
        </w:rPr>
      </w:pPr>
    </w:p>
    <w:tbl>
      <w:tblPr>
        <w:tblStyle w:val="24"/>
        <w:tblW w:w="0" w:type="auto"/>
        <w:tblInd w:w="39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828"/>
        <w:gridCol w:w="4035"/>
        <w:gridCol w:w="4245"/>
      </w:tblGrid>
      <w:tr w14:paraId="7DE45E7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99" w:hRule="atLeast"/>
        </w:trPr>
        <w:tc>
          <w:tcPr>
            <w:tcW w:w="828" w:type="dxa"/>
            <w:tcBorders>
              <w:bottom w:val="single" w:color="000000" w:sz="6" w:space="0"/>
              <w:right w:val="single" w:color="000000" w:sz="6" w:space="0"/>
            </w:tcBorders>
          </w:tcPr>
          <w:p w14:paraId="14819AD6">
            <w:pPr>
              <w:pStyle w:val="49"/>
              <w:spacing w:before="9"/>
              <w:rPr>
                <w:b/>
                <w:color w:val="auto"/>
                <w:sz w:val="20"/>
                <w:highlight w:val="none"/>
              </w:rPr>
            </w:pPr>
          </w:p>
          <w:p w14:paraId="46E4E70F">
            <w:pPr>
              <w:pStyle w:val="49"/>
              <w:ind w:left="182" w:right="163"/>
              <w:jc w:val="center"/>
              <w:rPr>
                <w:color w:val="auto"/>
                <w:sz w:val="21"/>
                <w:highlight w:val="none"/>
              </w:rPr>
            </w:pPr>
            <w:r>
              <w:rPr>
                <w:color w:val="auto"/>
                <w:sz w:val="21"/>
                <w:highlight w:val="none"/>
              </w:rPr>
              <w:t>序号</w:t>
            </w:r>
          </w:p>
        </w:tc>
        <w:tc>
          <w:tcPr>
            <w:tcW w:w="4035" w:type="dxa"/>
            <w:tcBorders>
              <w:left w:val="single" w:color="000000" w:sz="6" w:space="0"/>
              <w:bottom w:val="single" w:color="000000" w:sz="6" w:space="0"/>
              <w:right w:val="single" w:color="000000" w:sz="6" w:space="0"/>
            </w:tcBorders>
          </w:tcPr>
          <w:p w14:paraId="58E01091">
            <w:pPr>
              <w:pStyle w:val="49"/>
              <w:spacing w:before="9"/>
              <w:rPr>
                <w:b/>
                <w:color w:val="auto"/>
                <w:sz w:val="20"/>
                <w:highlight w:val="none"/>
              </w:rPr>
            </w:pPr>
          </w:p>
          <w:p w14:paraId="18C32F9B">
            <w:pPr>
              <w:pStyle w:val="49"/>
              <w:ind w:left="1321" w:right="1293"/>
              <w:jc w:val="center"/>
              <w:rPr>
                <w:color w:val="auto"/>
                <w:sz w:val="21"/>
                <w:highlight w:val="none"/>
              </w:rPr>
            </w:pPr>
            <w:r>
              <w:rPr>
                <w:color w:val="auto"/>
                <w:sz w:val="21"/>
                <w:highlight w:val="none"/>
              </w:rPr>
              <w:t>计 分 权 数</w:t>
            </w:r>
          </w:p>
        </w:tc>
        <w:tc>
          <w:tcPr>
            <w:tcW w:w="4245" w:type="dxa"/>
            <w:tcBorders>
              <w:left w:val="single" w:color="000000" w:sz="6" w:space="0"/>
              <w:bottom w:val="single" w:color="000000" w:sz="6" w:space="0"/>
            </w:tcBorders>
          </w:tcPr>
          <w:p w14:paraId="7942E97A">
            <w:pPr>
              <w:pStyle w:val="49"/>
              <w:spacing w:before="9"/>
              <w:rPr>
                <w:b/>
                <w:color w:val="auto"/>
                <w:sz w:val="20"/>
                <w:highlight w:val="none"/>
              </w:rPr>
            </w:pPr>
          </w:p>
          <w:p w14:paraId="41DD8AFA">
            <w:pPr>
              <w:pStyle w:val="49"/>
              <w:ind w:left="1531" w:right="1495"/>
              <w:jc w:val="center"/>
              <w:rPr>
                <w:color w:val="auto"/>
                <w:sz w:val="21"/>
                <w:highlight w:val="none"/>
              </w:rPr>
            </w:pPr>
            <w:r>
              <w:rPr>
                <w:color w:val="auto"/>
                <w:sz w:val="21"/>
                <w:highlight w:val="none"/>
              </w:rPr>
              <w:t>取 值 范 围</w:t>
            </w:r>
          </w:p>
        </w:tc>
      </w:tr>
      <w:tr w14:paraId="0A202A6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90" w:hRule="atLeast"/>
        </w:trPr>
        <w:tc>
          <w:tcPr>
            <w:tcW w:w="828" w:type="dxa"/>
            <w:tcBorders>
              <w:top w:val="single" w:color="000000" w:sz="6" w:space="0"/>
              <w:bottom w:val="single" w:color="000000" w:sz="6" w:space="0"/>
              <w:right w:val="single" w:color="000000" w:sz="6" w:space="0"/>
            </w:tcBorders>
          </w:tcPr>
          <w:p w14:paraId="7388019E">
            <w:pPr>
              <w:pStyle w:val="49"/>
              <w:spacing w:before="159"/>
              <w:ind w:left="18"/>
              <w:jc w:val="center"/>
              <w:rPr>
                <w:color w:val="auto"/>
                <w:sz w:val="21"/>
                <w:highlight w:val="none"/>
              </w:rPr>
            </w:pPr>
            <w:r>
              <w:rPr>
                <w:color w:val="auto"/>
                <w:w w:val="99"/>
                <w:sz w:val="21"/>
                <w:highlight w:val="none"/>
              </w:rPr>
              <w:t>1</w:t>
            </w:r>
          </w:p>
        </w:tc>
        <w:tc>
          <w:tcPr>
            <w:tcW w:w="4035" w:type="dxa"/>
            <w:tcBorders>
              <w:top w:val="single" w:color="000000" w:sz="6" w:space="0"/>
              <w:left w:val="single" w:color="000000" w:sz="6" w:space="0"/>
              <w:bottom w:val="single" w:color="000000" w:sz="6" w:space="0"/>
              <w:right w:val="single" w:color="000000" w:sz="6" w:space="0"/>
            </w:tcBorders>
          </w:tcPr>
          <w:p w14:paraId="4FD33AA7">
            <w:pPr>
              <w:pStyle w:val="49"/>
              <w:spacing w:before="159"/>
              <w:ind w:left="1316" w:right="1293"/>
              <w:jc w:val="center"/>
              <w:rPr>
                <w:color w:val="auto"/>
                <w:sz w:val="21"/>
                <w:highlight w:val="none"/>
              </w:rPr>
            </w:pPr>
            <w:r>
              <w:rPr>
                <w:color w:val="auto"/>
                <w:sz w:val="21"/>
                <w:highlight w:val="none"/>
              </w:rPr>
              <w:t>价格部分</w:t>
            </w:r>
          </w:p>
        </w:tc>
        <w:tc>
          <w:tcPr>
            <w:tcW w:w="4245" w:type="dxa"/>
            <w:tcBorders>
              <w:top w:val="single" w:color="000000" w:sz="6" w:space="0"/>
              <w:left w:val="single" w:color="000000" w:sz="6" w:space="0"/>
              <w:bottom w:val="single" w:color="000000" w:sz="6" w:space="0"/>
            </w:tcBorders>
          </w:tcPr>
          <w:p w14:paraId="6CFE475E">
            <w:pPr>
              <w:pStyle w:val="49"/>
              <w:spacing w:before="159"/>
              <w:ind w:left="37"/>
              <w:jc w:val="center"/>
              <w:rPr>
                <w:rFonts w:hint="default" w:eastAsia="宋体"/>
                <w:color w:val="auto"/>
                <w:sz w:val="21"/>
                <w:highlight w:val="none"/>
                <w:lang w:val="en-US" w:eastAsia="zh-CN"/>
              </w:rPr>
            </w:pPr>
            <w:r>
              <w:rPr>
                <w:rFonts w:hint="eastAsia"/>
                <w:color w:val="auto"/>
                <w:sz w:val="21"/>
                <w:highlight w:val="none"/>
                <w:lang w:val="en-US" w:eastAsia="zh-CN"/>
              </w:rPr>
              <w:t>30%</w:t>
            </w:r>
          </w:p>
        </w:tc>
      </w:tr>
      <w:tr w14:paraId="2EF0AB4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91" w:hRule="atLeast"/>
        </w:trPr>
        <w:tc>
          <w:tcPr>
            <w:tcW w:w="828" w:type="dxa"/>
            <w:tcBorders>
              <w:top w:val="single" w:color="000000" w:sz="6" w:space="0"/>
              <w:bottom w:val="single" w:color="000000" w:sz="6" w:space="0"/>
              <w:right w:val="single" w:color="000000" w:sz="6" w:space="0"/>
            </w:tcBorders>
          </w:tcPr>
          <w:p w14:paraId="39D0C62E">
            <w:pPr>
              <w:pStyle w:val="49"/>
              <w:spacing w:before="160"/>
              <w:ind w:left="18"/>
              <w:jc w:val="center"/>
              <w:rPr>
                <w:color w:val="auto"/>
                <w:sz w:val="21"/>
                <w:highlight w:val="none"/>
              </w:rPr>
            </w:pPr>
            <w:r>
              <w:rPr>
                <w:color w:val="auto"/>
                <w:w w:val="99"/>
                <w:sz w:val="21"/>
                <w:highlight w:val="none"/>
              </w:rPr>
              <w:t>2</w:t>
            </w:r>
          </w:p>
        </w:tc>
        <w:tc>
          <w:tcPr>
            <w:tcW w:w="4035" w:type="dxa"/>
            <w:tcBorders>
              <w:top w:val="single" w:color="000000" w:sz="6" w:space="0"/>
              <w:left w:val="single" w:color="000000" w:sz="6" w:space="0"/>
              <w:bottom w:val="single" w:color="000000" w:sz="6" w:space="0"/>
              <w:right w:val="single" w:color="000000" w:sz="6" w:space="0"/>
            </w:tcBorders>
          </w:tcPr>
          <w:p w14:paraId="6AF370B2">
            <w:pPr>
              <w:pStyle w:val="49"/>
              <w:spacing w:before="160"/>
              <w:ind w:left="1316" w:right="1293"/>
              <w:jc w:val="center"/>
              <w:rPr>
                <w:color w:val="auto"/>
                <w:sz w:val="21"/>
                <w:highlight w:val="none"/>
              </w:rPr>
            </w:pPr>
            <w:r>
              <w:rPr>
                <w:color w:val="auto"/>
                <w:sz w:val="21"/>
                <w:highlight w:val="none"/>
              </w:rPr>
              <w:t>商务部分</w:t>
            </w:r>
          </w:p>
        </w:tc>
        <w:tc>
          <w:tcPr>
            <w:tcW w:w="4245" w:type="dxa"/>
            <w:tcBorders>
              <w:top w:val="single" w:color="000000" w:sz="6" w:space="0"/>
              <w:left w:val="single" w:color="000000" w:sz="6" w:space="0"/>
              <w:bottom w:val="single" w:color="000000" w:sz="4" w:space="0"/>
            </w:tcBorders>
          </w:tcPr>
          <w:p w14:paraId="7743DB77">
            <w:pPr>
              <w:pStyle w:val="49"/>
              <w:spacing w:before="160"/>
              <w:ind w:left="1531" w:right="1494"/>
              <w:jc w:val="center"/>
              <w:rPr>
                <w:color w:val="auto"/>
                <w:sz w:val="21"/>
                <w:highlight w:val="none"/>
              </w:rPr>
            </w:pPr>
            <w:r>
              <w:rPr>
                <w:rFonts w:hint="eastAsia"/>
                <w:color w:val="auto"/>
                <w:sz w:val="21"/>
                <w:highlight w:val="none"/>
                <w:lang w:val="en-US" w:eastAsia="zh-CN"/>
              </w:rPr>
              <w:t>30</w:t>
            </w:r>
            <w:r>
              <w:rPr>
                <w:color w:val="auto"/>
                <w:sz w:val="21"/>
                <w:highlight w:val="none"/>
              </w:rPr>
              <w:t>%</w:t>
            </w:r>
          </w:p>
        </w:tc>
      </w:tr>
      <w:tr w14:paraId="2449B09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10" w:hRule="atLeast"/>
        </w:trPr>
        <w:tc>
          <w:tcPr>
            <w:tcW w:w="828" w:type="dxa"/>
            <w:tcBorders>
              <w:top w:val="single" w:color="000000" w:sz="6" w:space="0"/>
              <w:bottom w:val="single" w:color="000000" w:sz="6" w:space="0"/>
              <w:right w:val="single" w:color="000000" w:sz="6" w:space="0"/>
            </w:tcBorders>
          </w:tcPr>
          <w:p w14:paraId="78535AA8">
            <w:pPr>
              <w:pStyle w:val="49"/>
              <w:spacing w:before="1"/>
              <w:rPr>
                <w:b/>
                <w:color w:val="auto"/>
                <w:sz w:val="17"/>
                <w:highlight w:val="none"/>
              </w:rPr>
            </w:pPr>
          </w:p>
          <w:p w14:paraId="379AE178">
            <w:pPr>
              <w:pStyle w:val="49"/>
              <w:ind w:left="18"/>
              <w:jc w:val="center"/>
              <w:rPr>
                <w:color w:val="auto"/>
                <w:sz w:val="21"/>
                <w:highlight w:val="none"/>
              </w:rPr>
            </w:pPr>
            <w:r>
              <w:rPr>
                <w:color w:val="auto"/>
                <w:w w:val="99"/>
                <w:sz w:val="21"/>
                <w:highlight w:val="none"/>
              </w:rPr>
              <w:t>3</w:t>
            </w:r>
          </w:p>
        </w:tc>
        <w:tc>
          <w:tcPr>
            <w:tcW w:w="4035" w:type="dxa"/>
            <w:tcBorders>
              <w:top w:val="single" w:color="000000" w:sz="6" w:space="0"/>
              <w:left w:val="single" w:color="000000" w:sz="6" w:space="0"/>
              <w:bottom w:val="single" w:color="000000" w:sz="6" w:space="0"/>
              <w:right w:val="single" w:color="000000" w:sz="6" w:space="0"/>
            </w:tcBorders>
          </w:tcPr>
          <w:p w14:paraId="09257632">
            <w:pPr>
              <w:pStyle w:val="49"/>
              <w:spacing w:before="1"/>
              <w:rPr>
                <w:b/>
                <w:color w:val="auto"/>
                <w:sz w:val="17"/>
                <w:highlight w:val="none"/>
              </w:rPr>
            </w:pPr>
          </w:p>
          <w:p w14:paraId="34732A84">
            <w:pPr>
              <w:pStyle w:val="49"/>
              <w:ind w:left="1316" w:right="1293"/>
              <w:jc w:val="center"/>
              <w:rPr>
                <w:color w:val="auto"/>
                <w:sz w:val="21"/>
                <w:highlight w:val="none"/>
              </w:rPr>
            </w:pPr>
            <w:r>
              <w:rPr>
                <w:color w:val="auto"/>
                <w:sz w:val="21"/>
                <w:highlight w:val="none"/>
              </w:rPr>
              <w:t>技术部分</w:t>
            </w:r>
          </w:p>
        </w:tc>
        <w:tc>
          <w:tcPr>
            <w:tcW w:w="4245" w:type="dxa"/>
            <w:tcBorders>
              <w:top w:val="single" w:color="000000" w:sz="4" w:space="0"/>
              <w:left w:val="single" w:color="000000" w:sz="6" w:space="0"/>
              <w:bottom w:val="single" w:color="000000" w:sz="6" w:space="0"/>
            </w:tcBorders>
          </w:tcPr>
          <w:p w14:paraId="1B1391E7">
            <w:pPr>
              <w:pStyle w:val="49"/>
              <w:spacing w:before="1"/>
              <w:rPr>
                <w:b/>
                <w:color w:val="auto"/>
                <w:sz w:val="17"/>
                <w:highlight w:val="none"/>
              </w:rPr>
            </w:pPr>
          </w:p>
          <w:p w14:paraId="5D4F41F2">
            <w:pPr>
              <w:pStyle w:val="49"/>
              <w:ind w:left="1531" w:right="1494"/>
              <w:jc w:val="center"/>
              <w:rPr>
                <w:color w:val="auto"/>
                <w:sz w:val="21"/>
                <w:highlight w:val="none"/>
              </w:rPr>
            </w:pPr>
            <w:r>
              <w:rPr>
                <w:rFonts w:hint="eastAsia"/>
                <w:color w:val="auto"/>
                <w:sz w:val="21"/>
                <w:highlight w:val="none"/>
                <w:lang w:val="en-US" w:eastAsia="zh-CN"/>
              </w:rPr>
              <w:t>40</w:t>
            </w:r>
            <w:r>
              <w:rPr>
                <w:color w:val="auto"/>
                <w:sz w:val="21"/>
                <w:highlight w:val="none"/>
              </w:rPr>
              <w:t>%</w:t>
            </w:r>
          </w:p>
        </w:tc>
      </w:tr>
      <w:tr w14:paraId="2CF5D61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85" w:hRule="atLeast"/>
        </w:trPr>
        <w:tc>
          <w:tcPr>
            <w:tcW w:w="828" w:type="dxa"/>
            <w:tcBorders>
              <w:top w:val="single" w:color="000000" w:sz="6" w:space="0"/>
              <w:bottom w:val="single" w:color="000000" w:sz="6" w:space="0"/>
              <w:right w:val="single" w:color="000000" w:sz="6" w:space="0"/>
            </w:tcBorders>
          </w:tcPr>
          <w:p w14:paraId="3EA6AB35">
            <w:pPr>
              <w:pStyle w:val="49"/>
              <w:spacing w:before="1"/>
              <w:rPr>
                <w:b/>
                <w:color w:val="auto"/>
                <w:sz w:val="16"/>
                <w:highlight w:val="none"/>
              </w:rPr>
            </w:pPr>
          </w:p>
          <w:p w14:paraId="7771BC54">
            <w:pPr>
              <w:pStyle w:val="49"/>
              <w:ind w:left="18"/>
              <w:jc w:val="center"/>
              <w:rPr>
                <w:color w:val="auto"/>
                <w:sz w:val="21"/>
                <w:highlight w:val="none"/>
              </w:rPr>
            </w:pPr>
            <w:r>
              <w:rPr>
                <w:color w:val="auto"/>
                <w:w w:val="99"/>
                <w:sz w:val="21"/>
                <w:highlight w:val="none"/>
              </w:rPr>
              <w:t>4</w:t>
            </w:r>
          </w:p>
        </w:tc>
        <w:tc>
          <w:tcPr>
            <w:tcW w:w="4035" w:type="dxa"/>
            <w:tcBorders>
              <w:top w:val="single" w:color="000000" w:sz="6" w:space="0"/>
              <w:left w:val="single" w:color="000000" w:sz="6" w:space="0"/>
              <w:bottom w:val="single" w:color="000000" w:sz="6" w:space="0"/>
              <w:right w:val="single" w:color="000000" w:sz="6" w:space="0"/>
            </w:tcBorders>
          </w:tcPr>
          <w:p w14:paraId="703E7305">
            <w:pPr>
              <w:pStyle w:val="49"/>
              <w:spacing w:before="1"/>
              <w:rPr>
                <w:b/>
                <w:color w:val="auto"/>
                <w:sz w:val="16"/>
                <w:highlight w:val="none"/>
              </w:rPr>
            </w:pPr>
          </w:p>
          <w:p w14:paraId="14CA3FAF">
            <w:pPr>
              <w:pStyle w:val="49"/>
              <w:ind w:left="1319" w:right="1293"/>
              <w:jc w:val="center"/>
              <w:rPr>
                <w:color w:val="auto"/>
                <w:sz w:val="21"/>
                <w:highlight w:val="none"/>
              </w:rPr>
            </w:pPr>
            <w:r>
              <w:rPr>
                <w:color w:val="auto"/>
                <w:sz w:val="21"/>
                <w:highlight w:val="none"/>
              </w:rPr>
              <w:t>其它</w:t>
            </w:r>
          </w:p>
        </w:tc>
        <w:tc>
          <w:tcPr>
            <w:tcW w:w="4245" w:type="dxa"/>
            <w:tcBorders>
              <w:top w:val="single" w:color="000000" w:sz="6" w:space="0"/>
              <w:left w:val="single" w:color="000000" w:sz="6" w:space="0"/>
              <w:bottom w:val="single" w:color="000000" w:sz="6" w:space="0"/>
            </w:tcBorders>
          </w:tcPr>
          <w:p w14:paraId="5B50D7F7">
            <w:pPr>
              <w:pStyle w:val="49"/>
              <w:spacing w:before="1"/>
              <w:rPr>
                <w:b/>
                <w:color w:val="auto"/>
                <w:sz w:val="16"/>
                <w:highlight w:val="none"/>
              </w:rPr>
            </w:pPr>
          </w:p>
          <w:p w14:paraId="0E54F060">
            <w:pPr>
              <w:pStyle w:val="49"/>
              <w:ind w:left="1531" w:right="1494"/>
              <w:jc w:val="center"/>
              <w:rPr>
                <w:color w:val="auto"/>
                <w:sz w:val="21"/>
                <w:highlight w:val="none"/>
              </w:rPr>
            </w:pPr>
            <w:r>
              <w:rPr>
                <w:color w:val="auto"/>
                <w:sz w:val="21"/>
                <w:highlight w:val="none"/>
              </w:rPr>
              <w:t>0.00</w:t>
            </w:r>
          </w:p>
        </w:tc>
      </w:tr>
      <w:tr w14:paraId="6DE5F47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84" w:hRule="atLeast"/>
        </w:trPr>
        <w:tc>
          <w:tcPr>
            <w:tcW w:w="828" w:type="dxa"/>
            <w:tcBorders>
              <w:top w:val="single" w:color="000000" w:sz="6" w:space="0"/>
              <w:right w:val="single" w:color="000000" w:sz="6" w:space="0"/>
            </w:tcBorders>
          </w:tcPr>
          <w:p w14:paraId="0180C250">
            <w:pPr>
              <w:pStyle w:val="49"/>
              <w:spacing w:before="1"/>
              <w:rPr>
                <w:b/>
                <w:color w:val="auto"/>
                <w:sz w:val="16"/>
                <w:highlight w:val="none"/>
              </w:rPr>
            </w:pPr>
          </w:p>
          <w:p w14:paraId="56E5C09E">
            <w:pPr>
              <w:pStyle w:val="49"/>
              <w:spacing w:before="1"/>
              <w:ind w:left="18"/>
              <w:jc w:val="center"/>
              <w:rPr>
                <w:color w:val="auto"/>
                <w:sz w:val="21"/>
                <w:highlight w:val="none"/>
              </w:rPr>
            </w:pPr>
            <w:r>
              <w:rPr>
                <w:color w:val="auto"/>
                <w:w w:val="99"/>
                <w:sz w:val="21"/>
                <w:highlight w:val="none"/>
              </w:rPr>
              <w:t>5</w:t>
            </w:r>
          </w:p>
        </w:tc>
        <w:tc>
          <w:tcPr>
            <w:tcW w:w="4035" w:type="dxa"/>
            <w:tcBorders>
              <w:top w:val="single" w:color="000000" w:sz="6" w:space="0"/>
              <w:left w:val="single" w:color="000000" w:sz="6" w:space="0"/>
              <w:right w:val="single" w:color="000000" w:sz="6" w:space="0"/>
            </w:tcBorders>
          </w:tcPr>
          <w:p w14:paraId="144F1DBF">
            <w:pPr>
              <w:pStyle w:val="49"/>
              <w:spacing w:before="1"/>
              <w:rPr>
                <w:b/>
                <w:color w:val="auto"/>
                <w:sz w:val="16"/>
                <w:highlight w:val="none"/>
              </w:rPr>
            </w:pPr>
          </w:p>
          <w:p w14:paraId="62B09ABD">
            <w:pPr>
              <w:pStyle w:val="49"/>
              <w:spacing w:before="1"/>
              <w:ind w:left="1322" w:right="1293"/>
              <w:jc w:val="center"/>
              <w:rPr>
                <w:color w:val="auto"/>
                <w:sz w:val="21"/>
                <w:highlight w:val="none"/>
              </w:rPr>
            </w:pPr>
            <w:r>
              <w:rPr>
                <w:color w:val="auto"/>
                <w:sz w:val="21"/>
                <w:highlight w:val="none"/>
              </w:rPr>
              <w:t>∑(1+2+3+4)=1</w:t>
            </w:r>
          </w:p>
        </w:tc>
        <w:tc>
          <w:tcPr>
            <w:tcW w:w="4245" w:type="dxa"/>
            <w:tcBorders>
              <w:top w:val="single" w:color="000000" w:sz="6" w:space="0"/>
              <w:left w:val="single" w:color="000000" w:sz="6" w:space="0"/>
            </w:tcBorders>
          </w:tcPr>
          <w:p w14:paraId="0802D969">
            <w:pPr>
              <w:pStyle w:val="49"/>
              <w:spacing w:before="1"/>
              <w:rPr>
                <w:b/>
                <w:color w:val="auto"/>
                <w:sz w:val="16"/>
                <w:highlight w:val="none"/>
              </w:rPr>
            </w:pPr>
          </w:p>
          <w:p w14:paraId="41F73780">
            <w:pPr>
              <w:pStyle w:val="49"/>
              <w:spacing w:before="1"/>
              <w:ind w:left="1531" w:right="1494"/>
              <w:jc w:val="center"/>
              <w:rPr>
                <w:color w:val="auto"/>
                <w:sz w:val="21"/>
                <w:highlight w:val="none"/>
              </w:rPr>
            </w:pPr>
            <w:r>
              <w:rPr>
                <w:color w:val="auto"/>
                <w:sz w:val="21"/>
                <w:highlight w:val="none"/>
              </w:rPr>
              <w:t>100%</w:t>
            </w:r>
          </w:p>
        </w:tc>
      </w:tr>
    </w:tbl>
    <w:p w14:paraId="6A34D939">
      <w:pPr>
        <w:spacing w:before="23" w:line="278" w:lineRule="auto"/>
        <w:ind w:left="780" w:right="1199" w:firstLine="0"/>
        <w:jc w:val="left"/>
        <w:rPr>
          <w:rFonts w:ascii="宋体" w:hAnsi="宋体" w:eastAsia="宋体" w:cs="宋体"/>
          <w:color w:val="auto"/>
          <w:spacing w:val="-9"/>
          <w:w w:val="95"/>
          <w:sz w:val="21"/>
          <w:highlight w:val="none"/>
        </w:rPr>
      </w:pPr>
      <w:r>
        <w:rPr>
          <w:color w:val="auto"/>
          <w:spacing w:val="-9"/>
          <w:w w:val="95"/>
          <w:sz w:val="21"/>
          <w:highlight w:val="none"/>
        </w:rPr>
        <w:t>备注：采购人应当在竞争性磋商文件中明确各评审因素的具体权数取值，各</w:t>
      </w:r>
      <w:r>
        <w:rPr>
          <w:rFonts w:ascii="宋体" w:hAnsi="宋体" w:eastAsia="宋体" w:cs="宋体"/>
          <w:color w:val="auto"/>
          <w:spacing w:val="-9"/>
          <w:w w:val="95"/>
          <w:sz w:val="21"/>
          <w:highlight w:val="none"/>
        </w:rPr>
        <w:t>评审因素的具体权数之和应等于 1。</w:t>
      </w:r>
    </w:p>
    <w:p w14:paraId="0A6F757B">
      <w:pPr>
        <w:spacing w:before="23" w:line="278" w:lineRule="auto"/>
        <w:ind w:left="780" w:right="1199" w:firstLine="0"/>
        <w:jc w:val="left"/>
        <w:rPr>
          <w:rFonts w:ascii="宋体" w:hAnsi="宋体" w:eastAsia="宋体" w:cs="宋体"/>
          <w:color w:val="auto"/>
          <w:spacing w:val="-9"/>
          <w:w w:val="95"/>
          <w:sz w:val="21"/>
          <w:highlight w:val="none"/>
        </w:rPr>
        <w:sectPr>
          <w:headerReference r:id="rId14" w:type="default"/>
          <w:footerReference r:id="rId15" w:type="default"/>
          <w:pgSz w:w="11910" w:h="16840"/>
          <w:pgMar w:top="1580" w:right="600" w:bottom="1440" w:left="1020" w:header="0" w:footer="1241" w:gutter="0"/>
          <w:pgBorders>
            <w:top w:val="none" w:sz="0" w:space="0"/>
            <w:left w:val="none" w:sz="0" w:space="0"/>
            <w:bottom w:val="none" w:sz="0" w:space="0"/>
            <w:right w:val="none" w:sz="0" w:space="0"/>
          </w:pgBorders>
          <w:pgNumType w:fmt="decimal"/>
          <w:cols w:space="720" w:num="1"/>
        </w:sectPr>
      </w:pPr>
    </w:p>
    <w:p w14:paraId="29828C35">
      <w:pPr>
        <w:pStyle w:val="5"/>
        <w:spacing w:before="35"/>
        <w:ind w:right="417"/>
        <w:rPr>
          <w:rFonts w:hint="eastAsia"/>
          <w:color w:val="auto"/>
          <w:highlight w:val="none"/>
          <w:lang w:eastAsia="zh-CN"/>
        </w:rPr>
      </w:pPr>
      <w:r>
        <w:rPr>
          <w:rFonts w:hint="eastAsia"/>
          <w:color w:val="auto"/>
          <w:highlight w:val="none"/>
          <w:lang w:eastAsia="zh-CN"/>
        </w:rPr>
        <w:t>评审因素和</w:t>
      </w:r>
      <w:r>
        <w:rPr>
          <w:color w:val="auto"/>
          <w:highlight w:val="none"/>
        </w:rPr>
        <w:t>标准</w:t>
      </w:r>
      <w:r>
        <w:rPr>
          <w:rFonts w:hint="eastAsia"/>
          <w:color w:val="auto"/>
          <w:highlight w:val="none"/>
          <w:lang w:eastAsia="zh-CN"/>
        </w:rPr>
        <w:t>（</w:t>
      </w:r>
      <w:r>
        <w:rPr>
          <w:rFonts w:hint="eastAsia"/>
          <w:color w:val="auto"/>
          <w:highlight w:val="none"/>
          <w:lang w:val="en-US" w:eastAsia="zh-CN"/>
        </w:rPr>
        <w:t>100分</w:t>
      </w:r>
      <w:r>
        <w:rPr>
          <w:rFonts w:hint="eastAsia"/>
          <w:color w:val="auto"/>
          <w:highlight w:val="none"/>
          <w:lang w:eastAsia="zh-CN"/>
        </w:rPr>
        <w:t>）</w:t>
      </w:r>
    </w:p>
    <w:p w14:paraId="7A3EE2F0">
      <w:pPr>
        <w:rPr>
          <w:rFonts w:hint="eastAsia"/>
          <w:color w:val="auto"/>
          <w:highlight w:val="none"/>
          <w:lang w:eastAsia="zh-CN"/>
        </w:rPr>
      </w:pPr>
    </w:p>
    <w:tbl>
      <w:tblPr>
        <w:tblStyle w:val="24"/>
        <w:tblW w:w="10898" w:type="dxa"/>
        <w:jc w:val="center"/>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3"/>
        <w:gridCol w:w="1173"/>
        <w:gridCol w:w="635"/>
        <w:gridCol w:w="8237"/>
      </w:tblGrid>
      <w:tr w14:paraId="16266B7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890" w:hRule="atLeast"/>
          <w:jc w:val="center"/>
        </w:trPr>
        <w:tc>
          <w:tcPr>
            <w:tcW w:w="853" w:type="dxa"/>
            <w:tcBorders>
              <w:tl2br w:val="nil"/>
              <w:tr2bl w:val="nil"/>
            </w:tcBorders>
            <w:noWrap w:val="0"/>
            <w:vAlign w:val="center"/>
          </w:tcPr>
          <w:p w14:paraId="476B0CC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bookmarkStart w:id="81" w:name="第四章  政府采购合同                   "/>
            <w:bookmarkEnd w:id="81"/>
            <w:bookmarkStart w:id="82" w:name="_Toc19574"/>
            <w:bookmarkStart w:id="83" w:name="_Toc30989"/>
            <w:r>
              <w:rPr>
                <w:rFonts w:hint="eastAsia" w:ascii="宋体" w:hAnsi="宋体" w:eastAsia="宋体" w:cs="宋体"/>
                <w:i w:val="0"/>
                <w:iCs w:val="0"/>
                <w:color w:val="auto"/>
                <w:kern w:val="0"/>
                <w:sz w:val="21"/>
                <w:szCs w:val="21"/>
                <w:highlight w:val="none"/>
                <w:u w:val="none"/>
                <w:lang w:val="en-US" w:eastAsia="zh-CN" w:bidi="ar"/>
              </w:rPr>
              <w:t>评审</w:t>
            </w:r>
          </w:p>
          <w:p w14:paraId="264AB0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项目</w:t>
            </w:r>
          </w:p>
        </w:tc>
        <w:tc>
          <w:tcPr>
            <w:tcW w:w="1173" w:type="dxa"/>
            <w:tcBorders>
              <w:tl2br w:val="nil"/>
              <w:tr2bl w:val="nil"/>
            </w:tcBorders>
            <w:noWrap w:val="0"/>
            <w:vAlign w:val="center"/>
          </w:tcPr>
          <w:p w14:paraId="3F32FC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评审内容</w:t>
            </w:r>
          </w:p>
        </w:tc>
        <w:tc>
          <w:tcPr>
            <w:tcW w:w="635" w:type="dxa"/>
            <w:tcBorders>
              <w:tl2br w:val="nil"/>
              <w:tr2bl w:val="nil"/>
            </w:tcBorders>
            <w:noWrap w:val="0"/>
            <w:vAlign w:val="center"/>
          </w:tcPr>
          <w:p w14:paraId="507312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分值</w:t>
            </w:r>
          </w:p>
        </w:tc>
        <w:tc>
          <w:tcPr>
            <w:tcW w:w="8237" w:type="dxa"/>
            <w:tcBorders>
              <w:tl2br w:val="nil"/>
              <w:tr2bl w:val="nil"/>
            </w:tcBorders>
            <w:noWrap w:val="0"/>
            <w:vAlign w:val="center"/>
          </w:tcPr>
          <w:p w14:paraId="65D057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评分标准</w:t>
            </w:r>
          </w:p>
        </w:tc>
      </w:tr>
      <w:tr w14:paraId="1CE4D56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936" w:hRule="atLeast"/>
          <w:jc w:val="center"/>
        </w:trPr>
        <w:tc>
          <w:tcPr>
            <w:tcW w:w="853" w:type="dxa"/>
            <w:tcBorders>
              <w:tl2br w:val="nil"/>
              <w:tr2bl w:val="nil"/>
            </w:tcBorders>
            <w:noWrap w:val="0"/>
            <w:vAlign w:val="center"/>
          </w:tcPr>
          <w:p w14:paraId="55224C8A">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价格</w:t>
            </w:r>
          </w:p>
          <w:p w14:paraId="21684EE8">
            <w:pPr>
              <w:keepNext w:val="0"/>
              <w:keepLines w:val="0"/>
              <w:widowControl/>
              <w:suppressLineNumbers w:val="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评审(</w:t>
            </w:r>
            <w:r>
              <w:rPr>
                <w:rFonts w:hint="eastAsia" w:cs="宋体"/>
                <w:i w:val="0"/>
                <w:iCs w:val="0"/>
                <w:color w:val="auto"/>
                <w:kern w:val="0"/>
                <w:sz w:val="20"/>
                <w:szCs w:val="20"/>
                <w:highlight w:val="none"/>
                <w:u w:val="none"/>
                <w:lang w:val="en-US" w:eastAsia="zh-CN" w:bidi="ar"/>
              </w:rPr>
              <w:t>3</w:t>
            </w:r>
            <w:r>
              <w:rPr>
                <w:rFonts w:hint="eastAsia" w:ascii="宋体" w:hAnsi="宋体" w:eastAsia="宋体" w:cs="宋体"/>
                <w:i w:val="0"/>
                <w:iCs w:val="0"/>
                <w:color w:val="auto"/>
                <w:kern w:val="0"/>
                <w:sz w:val="20"/>
                <w:szCs w:val="20"/>
                <w:highlight w:val="none"/>
                <w:u w:val="none"/>
                <w:lang w:val="en-US" w:eastAsia="zh-CN" w:bidi="ar"/>
              </w:rPr>
              <w:t>0%)</w:t>
            </w:r>
          </w:p>
        </w:tc>
        <w:tc>
          <w:tcPr>
            <w:tcW w:w="1173" w:type="dxa"/>
            <w:tcBorders>
              <w:tl2br w:val="nil"/>
              <w:tr2bl w:val="nil"/>
            </w:tcBorders>
            <w:noWrap w:val="0"/>
            <w:vAlign w:val="center"/>
          </w:tcPr>
          <w:p w14:paraId="319B50DF">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投标报价</w:t>
            </w:r>
          </w:p>
        </w:tc>
        <w:tc>
          <w:tcPr>
            <w:tcW w:w="635" w:type="dxa"/>
            <w:tcBorders>
              <w:tl2br w:val="nil"/>
              <w:tr2bl w:val="nil"/>
            </w:tcBorders>
            <w:noWrap w:val="0"/>
            <w:vAlign w:val="center"/>
          </w:tcPr>
          <w:p w14:paraId="1E7D9CB2">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cs="宋体"/>
                <w:i w:val="0"/>
                <w:iCs w:val="0"/>
                <w:color w:val="auto"/>
                <w:kern w:val="0"/>
                <w:sz w:val="20"/>
                <w:szCs w:val="20"/>
                <w:highlight w:val="none"/>
                <w:u w:val="none"/>
                <w:lang w:val="en-US" w:eastAsia="zh-CN" w:bidi="ar"/>
              </w:rPr>
              <w:t>100</w:t>
            </w:r>
          </w:p>
        </w:tc>
        <w:tc>
          <w:tcPr>
            <w:tcW w:w="8237" w:type="dxa"/>
            <w:tcBorders>
              <w:tl2br w:val="nil"/>
              <w:tr2bl w:val="nil"/>
            </w:tcBorders>
            <w:noWrap w:val="0"/>
            <w:vAlign w:val="center"/>
          </w:tcPr>
          <w:p w14:paraId="70470CD9">
            <w:pPr>
              <w:keepNext w:val="0"/>
              <w:keepLines w:val="0"/>
              <w:widowControl/>
              <w:suppressLineNumbers w:val="0"/>
              <w:jc w:val="both"/>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经评审专家一致认定满足采购文件要求且经评审后的最低投标报价为所投标段的评标基准价，其价格分为满分。其他投标人的价格得分统一按公式计算：报价得分＝（磋商基准价/最后磋商报价）×价格权值×</w:t>
            </w:r>
            <w:r>
              <w:rPr>
                <w:rFonts w:hint="eastAsia" w:cs="宋体"/>
                <w:i w:val="0"/>
                <w:iCs w:val="0"/>
                <w:color w:val="auto"/>
                <w:kern w:val="0"/>
                <w:sz w:val="20"/>
                <w:szCs w:val="20"/>
                <w:highlight w:val="none"/>
                <w:u w:val="none"/>
                <w:lang w:val="en-US" w:eastAsia="zh-CN" w:bidi="ar"/>
              </w:rPr>
              <w:t>权重</w:t>
            </w:r>
            <w:r>
              <w:rPr>
                <w:rFonts w:hint="eastAsia" w:ascii="宋体" w:hAnsi="宋体" w:eastAsia="宋体" w:cs="宋体"/>
                <w:i w:val="0"/>
                <w:iCs w:val="0"/>
                <w:color w:val="auto"/>
                <w:kern w:val="0"/>
                <w:sz w:val="20"/>
                <w:szCs w:val="20"/>
                <w:highlight w:val="none"/>
                <w:u w:val="none"/>
                <w:lang w:val="en-US" w:eastAsia="zh-CN" w:bidi="ar"/>
              </w:rPr>
              <w:t>。</w:t>
            </w:r>
          </w:p>
          <w:p w14:paraId="1BBDBD56">
            <w:pPr>
              <w:keepNext w:val="0"/>
              <w:keepLines w:val="0"/>
              <w:widowControl/>
              <w:suppressLineNumbers w:val="0"/>
              <w:jc w:val="both"/>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注：①因落实政府采购政策进行价格调整的，以调整后的价格计算评标基准价和投标报价；</w:t>
            </w:r>
          </w:p>
          <w:p w14:paraId="0A8A8D26">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②评标委员会认为投标人的报价明显低于其他通过符合性审查投标人的报价，有可能影响产品质量或者不能诚信履约的，有权要求其在评标现场合理的时间内提供书面说明，必要时提交相关证明材料；投标人不能证明其报价合理性的，评标委员会可将其作为无效投标处理。</w:t>
            </w:r>
          </w:p>
        </w:tc>
      </w:tr>
      <w:tr w14:paraId="03D885C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790" w:hRule="atLeast"/>
          <w:jc w:val="center"/>
        </w:trPr>
        <w:tc>
          <w:tcPr>
            <w:tcW w:w="853" w:type="dxa"/>
            <w:vMerge w:val="restart"/>
            <w:tcBorders>
              <w:tl2br w:val="nil"/>
              <w:tr2bl w:val="nil"/>
            </w:tcBorders>
            <w:noWrap w:val="0"/>
            <w:vAlign w:val="center"/>
          </w:tcPr>
          <w:p w14:paraId="752675A1">
            <w:pPr>
              <w:keepNext w:val="0"/>
              <w:keepLines w:val="0"/>
              <w:widowControl/>
              <w:suppressLineNumbers w:val="0"/>
              <w:jc w:val="center"/>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技术</w:t>
            </w:r>
          </w:p>
          <w:p w14:paraId="02407708">
            <w:pPr>
              <w:keepNext w:val="0"/>
              <w:keepLines w:val="0"/>
              <w:widowControl/>
              <w:suppressLineNumbers w:val="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部分(</w:t>
            </w:r>
            <w:r>
              <w:rPr>
                <w:rFonts w:hint="eastAsia" w:cs="宋体"/>
                <w:color w:val="auto"/>
                <w:sz w:val="20"/>
                <w:szCs w:val="20"/>
                <w:highlight w:val="none"/>
                <w:lang w:val="en-US" w:eastAsia="zh-CN"/>
              </w:rPr>
              <w:t>40</w:t>
            </w: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highlight w:val="none"/>
              </w:rPr>
              <w:t>)</w:t>
            </w:r>
          </w:p>
        </w:tc>
        <w:tc>
          <w:tcPr>
            <w:tcW w:w="1173" w:type="dxa"/>
            <w:tcBorders>
              <w:tl2br w:val="nil"/>
              <w:tr2bl w:val="nil"/>
            </w:tcBorders>
            <w:noWrap w:val="0"/>
            <w:vAlign w:val="center"/>
          </w:tcPr>
          <w:p w14:paraId="0E6E5132">
            <w:pPr>
              <w:keepNext w:val="0"/>
              <w:keepLines w:val="0"/>
              <w:widowControl/>
              <w:suppressLineNumbers w:val="0"/>
              <w:ind w:left="0" w:leftChars="0" w:right="0" w:rightChars="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实施方案</w:t>
            </w:r>
          </w:p>
        </w:tc>
        <w:tc>
          <w:tcPr>
            <w:tcW w:w="635" w:type="dxa"/>
            <w:tcBorders>
              <w:tl2br w:val="nil"/>
              <w:tr2bl w:val="nil"/>
            </w:tcBorders>
            <w:noWrap w:val="0"/>
            <w:vAlign w:val="center"/>
          </w:tcPr>
          <w:p w14:paraId="690880BB">
            <w:pPr>
              <w:keepNext w:val="0"/>
              <w:keepLines w:val="0"/>
              <w:widowControl/>
              <w:suppressLineNumbers w:val="0"/>
              <w:ind w:left="0" w:leftChars="0" w:right="0" w:rightChars="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cs="宋体"/>
                <w:i w:val="0"/>
                <w:iCs w:val="0"/>
                <w:color w:val="auto"/>
                <w:kern w:val="0"/>
                <w:sz w:val="20"/>
                <w:szCs w:val="20"/>
                <w:highlight w:val="none"/>
                <w:u w:val="none"/>
                <w:lang w:val="en-US" w:eastAsia="zh-CN" w:bidi="ar"/>
              </w:rPr>
              <w:t>60</w:t>
            </w:r>
          </w:p>
        </w:tc>
        <w:tc>
          <w:tcPr>
            <w:tcW w:w="8237" w:type="dxa"/>
            <w:tcBorders>
              <w:tl2br w:val="nil"/>
              <w:tr2bl w:val="nil"/>
            </w:tcBorders>
            <w:noWrap w:val="0"/>
            <w:vAlign w:val="center"/>
          </w:tcPr>
          <w:p w14:paraId="4370854F">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供应商须根据采购需求提供针对本项目的项目实施方案，包括但不限于；①总体计划进度方案；②供货时间、运输方案；③设备安装、调试方案；④技术人员配备；⑤质量保障措施等。方案内容完全符合采购文件要求的计</w:t>
            </w:r>
            <w:r>
              <w:rPr>
                <w:rFonts w:hint="eastAsia" w:cs="宋体"/>
                <w:i w:val="0"/>
                <w:iCs w:val="0"/>
                <w:color w:val="auto"/>
                <w:kern w:val="0"/>
                <w:sz w:val="20"/>
                <w:szCs w:val="20"/>
                <w:highlight w:val="none"/>
                <w:u w:val="none"/>
                <w:lang w:val="en-US" w:eastAsia="zh-CN" w:bidi="ar"/>
              </w:rPr>
              <w:t>60</w:t>
            </w:r>
            <w:r>
              <w:rPr>
                <w:rFonts w:hint="eastAsia" w:ascii="宋体" w:hAnsi="宋体" w:eastAsia="宋体" w:cs="宋体"/>
                <w:i w:val="0"/>
                <w:iCs w:val="0"/>
                <w:color w:val="auto"/>
                <w:kern w:val="0"/>
                <w:sz w:val="20"/>
                <w:szCs w:val="20"/>
                <w:highlight w:val="none"/>
                <w:u w:val="none"/>
                <w:lang w:val="en-US" w:eastAsia="zh-CN" w:bidi="ar"/>
              </w:rPr>
              <w:t>分，每出现一处方案缺漏项或有标题无实质性描述的扣</w:t>
            </w:r>
            <w:r>
              <w:rPr>
                <w:rFonts w:hint="eastAsia" w:cs="宋体"/>
                <w:i w:val="0"/>
                <w:iCs w:val="0"/>
                <w:color w:val="auto"/>
                <w:kern w:val="0"/>
                <w:sz w:val="20"/>
                <w:szCs w:val="20"/>
                <w:highlight w:val="none"/>
                <w:u w:val="none"/>
                <w:lang w:val="en-US" w:eastAsia="zh-CN" w:bidi="ar"/>
              </w:rPr>
              <w:t>12</w:t>
            </w:r>
            <w:r>
              <w:rPr>
                <w:rFonts w:hint="eastAsia" w:ascii="宋体" w:hAnsi="宋体" w:eastAsia="宋体" w:cs="宋体"/>
                <w:i w:val="0"/>
                <w:iCs w:val="0"/>
                <w:color w:val="auto"/>
                <w:kern w:val="0"/>
                <w:sz w:val="20"/>
                <w:szCs w:val="20"/>
                <w:highlight w:val="none"/>
                <w:u w:val="none"/>
                <w:lang w:val="en-US" w:eastAsia="zh-CN" w:bidi="ar"/>
              </w:rPr>
              <w:t>分，每有一处缺陷的扣</w:t>
            </w:r>
            <w:r>
              <w:rPr>
                <w:rFonts w:hint="eastAsia" w:cs="宋体"/>
                <w:i w:val="0"/>
                <w:iCs w:val="0"/>
                <w:color w:val="auto"/>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分，以上累计扣完为止，未提供方案不得分。</w:t>
            </w:r>
          </w:p>
          <w:p w14:paraId="23102BA0">
            <w:pPr>
              <w:keepNext w:val="0"/>
              <w:keepLines w:val="0"/>
              <w:widowControl/>
              <w:suppressLineNumbers w:val="0"/>
              <w:ind w:right="0" w:rightChars="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注：缺陷是指：非专门针对本项目或不适用项目特性的情形、内容不完整或缺少关键节点、套用其他项目方案、内容前后矛盾、涉及的规范及标准错误、不利于项目实施、不可能实现的情形等任意一种情形。</w:t>
            </w:r>
          </w:p>
        </w:tc>
      </w:tr>
      <w:tr w14:paraId="49840F99">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1509" w:hRule="atLeast"/>
          <w:jc w:val="center"/>
        </w:trPr>
        <w:tc>
          <w:tcPr>
            <w:tcW w:w="853" w:type="dxa"/>
            <w:vMerge w:val="continue"/>
            <w:tcBorders>
              <w:tl2br w:val="nil"/>
              <w:tr2bl w:val="nil"/>
            </w:tcBorders>
            <w:noWrap w:val="0"/>
            <w:vAlign w:val="center"/>
          </w:tcPr>
          <w:p w14:paraId="05DC5EDD">
            <w:pPr>
              <w:keepNext w:val="0"/>
              <w:keepLines w:val="0"/>
              <w:widowControl/>
              <w:suppressLineNumbers w:val="0"/>
              <w:jc w:val="center"/>
              <w:textAlignment w:val="center"/>
              <w:rPr>
                <w:rFonts w:hint="eastAsia" w:ascii="宋体" w:hAnsi="宋体" w:eastAsia="宋体" w:cs="宋体"/>
                <w:color w:val="auto"/>
                <w:sz w:val="20"/>
                <w:szCs w:val="20"/>
                <w:highlight w:val="none"/>
              </w:rPr>
            </w:pPr>
          </w:p>
        </w:tc>
        <w:tc>
          <w:tcPr>
            <w:tcW w:w="1173" w:type="dxa"/>
            <w:tcBorders>
              <w:tl2br w:val="nil"/>
              <w:tr2bl w:val="nil"/>
            </w:tcBorders>
            <w:noWrap w:val="0"/>
            <w:vAlign w:val="center"/>
          </w:tcPr>
          <w:p w14:paraId="0D06167C">
            <w:pPr>
              <w:keepNext w:val="0"/>
              <w:keepLines w:val="0"/>
              <w:widowControl/>
              <w:suppressLineNumbers w:val="0"/>
              <w:ind w:left="0" w:leftChars="0" w:right="0" w:rightChars="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满足磋商文件的技术要求程度</w:t>
            </w:r>
          </w:p>
        </w:tc>
        <w:tc>
          <w:tcPr>
            <w:tcW w:w="635" w:type="dxa"/>
            <w:tcBorders>
              <w:tl2br w:val="nil"/>
              <w:tr2bl w:val="nil"/>
            </w:tcBorders>
            <w:noWrap w:val="0"/>
            <w:vAlign w:val="center"/>
          </w:tcPr>
          <w:p w14:paraId="5B502EBD">
            <w:pPr>
              <w:keepNext w:val="0"/>
              <w:keepLines w:val="0"/>
              <w:widowControl/>
              <w:suppressLineNumbers w:val="0"/>
              <w:ind w:left="0" w:leftChars="0" w:right="0" w:rightChars="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cs="宋体"/>
                <w:i w:val="0"/>
                <w:iCs w:val="0"/>
                <w:color w:val="auto"/>
                <w:kern w:val="0"/>
                <w:sz w:val="20"/>
                <w:szCs w:val="20"/>
                <w:highlight w:val="none"/>
                <w:u w:val="none"/>
                <w:lang w:val="en-US" w:eastAsia="zh-CN" w:bidi="ar"/>
              </w:rPr>
              <w:t>40</w:t>
            </w:r>
          </w:p>
        </w:tc>
        <w:tc>
          <w:tcPr>
            <w:tcW w:w="8237" w:type="dxa"/>
            <w:tcBorders>
              <w:tl2br w:val="nil"/>
              <w:tr2bl w:val="nil"/>
            </w:tcBorders>
            <w:noWrap w:val="0"/>
            <w:vAlign w:val="center"/>
          </w:tcPr>
          <w:p w14:paraId="2FB30111">
            <w:pPr>
              <w:adjustRightInd w:val="0"/>
              <w:snapToGrid w:val="0"/>
              <w:ind w:left="0" w:leftChars="0" w:right="0" w:rightChars="0"/>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技术参数或功能全部满足招标文件要求得40分；每有一项不满足（负偏离）扣1分，扣完为止。</w:t>
            </w:r>
          </w:p>
        </w:tc>
      </w:tr>
      <w:tr w14:paraId="7D5F65F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2324" w:hRule="atLeast"/>
          <w:jc w:val="center"/>
        </w:trPr>
        <w:tc>
          <w:tcPr>
            <w:tcW w:w="853" w:type="dxa"/>
            <w:vMerge w:val="restart"/>
            <w:tcBorders>
              <w:tl2br w:val="nil"/>
              <w:tr2bl w:val="nil"/>
            </w:tcBorders>
            <w:noWrap w:val="0"/>
            <w:vAlign w:val="center"/>
          </w:tcPr>
          <w:p w14:paraId="1B5EEFC5">
            <w:pPr>
              <w:keepNext w:val="0"/>
              <w:keepLines w:val="0"/>
              <w:widowControl/>
              <w:suppressLineNumbers w:val="0"/>
              <w:jc w:val="center"/>
              <w:textAlignment w:val="center"/>
              <w:rPr>
                <w:rFonts w:hint="eastAsia" w:cs="宋体"/>
                <w:color w:val="auto"/>
                <w:sz w:val="20"/>
                <w:szCs w:val="20"/>
                <w:highlight w:val="none"/>
                <w:lang w:val="en-US" w:eastAsia="zh-CN"/>
              </w:rPr>
            </w:pPr>
            <w:r>
              <w:rPr>
                <w:rFonts w:hint="eastAsia" w:cs="宋体"/>
                <w:color w:val="auto"/>
                <w:sz w:val="20"/>
                <w:szCs w:val="20"/>
                <w:highlight w:val="none"/>
                <w:lang w:val="en-US" w:eastAsia="zh-CN"/>
              </w:rPr>
              <w:t>商务</w:t>
            </w:r>
          </w:p>
          <w:p w14:paraId="2DD448A0">
            <w:pPr>
              <w:keepNext w:val="0"/>
              <w:keepLines w:val="0"/>
              <w:widowControl/>
              <w:suppressLineNumbers w:val="0"/>
              <w:jc w:val="center"/>
              <w:textAlignment w:val="center"/>
              <w:rPr>
                <w:rFonts w:hint="default" w:ascii="宋体" w:hAnsi="宋体" w:eastAsia="宋体" w:cs="宋体"/>
                <w:color w:val="auto"/>
                <w:sz w:val="20"/>
                <w:szCs w:val="20"/>
                <w:highlight w:val="none"/>
                <w:lang w:val="en-US" w:eastAsia="zh-CN"/>
              </w:rPr>
            </w:pPr>
            <w:r>
              <w:rPr>
                <w:rFonts w:hint="eastAsia" w:cs="宋体"/>
                <w:color w:val="auto"/>
                <w:sz w:val="20"/>
                <w:szCs w:val="20"/>
                <w:highlight w:val="none"/>
                <w:lang w:val="en-US" w:eastAsia="zh-CN"/>
              </w:rPr>
              <w:t>部分（30</w:t>
            </w:r>
            <w:r>
              <w:rPr>
                <w:rFonts w:hint="eastAsia" w:ascii="宋体" w:hAnsi="宋体" w:eastAsia="宋体" w:cs="宋体"/>
                <w:color w:val="auto"/>
                <w:sz w:val="20"/>
                <w:szCs w:val="20"/>
                <w:highlight w:val="none"/>
                <w:lang w:val="en-US" w:eastAsia="zh-CN"/>
              </w:rPr>
              <w:t>%</w:t>
            </w:r>
            <w:r>
              <w:rPr>
                <w:rFonts w:hint="eastAsia" w:cs="宋体"/>
                <w:color w:val="auto"/>
                <w:sz w:val="20"/>
                <w:szCs w:val="20"/>
                <w:highlight w:val="none"/>
                <w:lang w:val="en-US" w:eastAsia="zh-CN"/>
              </w:rPr>
              <w:t>）</w:t>
            </w:r>
          </w:p>
        </w:tc>
        <w:tc>
          <w:tcPr>
            <w:tcW w:w="1173" w:type="dxa"/>
            <w:tcBorders>
              <w:tl2br w:val="nil"/>
              <w:tr2bl w:val="nil"/>
            </w:tcBorders>
            <w:noWrap w:val="0"/>
            <w:vAlign w:val="center"/>
          </w:tcPr>
          <w:p w14:paraId="771B04B3">
            <w:pPr>
              <w:keepNext w:val="0"/>
              <w:keepLines w:val="0"/>
              <w:widowControl/>
              <w:suppressLineNumbers w:val="0"/>
              <w:ind w:left="0" w:leftChars="0" w:right="0" w:rightChars="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售后服务</w:t>
            </w:r>
          </w:p>
        </w:tc>
        <w:tc>
          <w:tcPr>
            <w:tcW w:w="635" w:type="dxa"/>
            <w:tcBorders>
              <w:tl2br w:val="nil"/>
              <w:tr2bl w:val="nil"/>
            </w:tcBorders>
            <w:noWrap w:val="0"/>
            <w:vAlign w:val="center"/>
          </w:tcPr>
          <w:p w14:paraId="23659ECE">
            <w:pPr>
              <w:keepNext w:val="0"/>
              <w:keepLines w:val="0"/>
              <w:widowControl/>
              <w:suppressLineNumbers w:val="0"/>
              <w:ind w:left="0" w:leftChars="0" w:right="0" w:rightChars="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cs="宋体"/>
                <w:i w:val="0"/>
                <w:iCs w:val="0"/>
                <w:color w:val="auto"/>
                <w:kern w:val="0"/>
                <w:sz w:val="20"/>
                <w:szCs w:val="20"/>
                <w:highlight w:val="none"/>
                <w:u w:val="none"/>
                <w:lang w:val="en-US" w:eastAsia="zh-CN" w:bidi="ar"/>
              </w:rPr>
              <w:t>55</w:t>
            </w:r>
          </w:p>
        </w:tc>
        <w:tc>
          <w:tcPr>
            <w:tcW w:w="8237" w:type="dxa"/>
            <w:tcBorders>
              <w:tl2br w:val="nil"/>
              <w:tr2bl w:val="nil"/>
            </w:tcBorders>
            <w:noWrap w:val="0"/>
            <w:vAlign w:val="center"/>
          </w:tcPr>
          <w:p w14:paraId="510F6F1F">
            <w:pPr>
              <w:adjustRightInd w:val="0"/>
              <w:snapToGrid w:val="0"/>
              <w:ind w:left="0" w:leftChars="0" w:right="0" w:rightChars="0"/>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投标人针对本项目提供的售后服务方案，内容包括但不限于①售后</w:t>
            </w:r>
            <w:r>
              <w:rPr>
                <w:rFonts w:hint="eastAsia" w:cs="宋体"/>
                <w:i w:val="0"/>
                <w:iCs w:val="0"/>
                <w:color w:val="auto"/>
                <w:kern w:val="0"/>
                <w:sz w:val="20"/>
                <w:szCs w:val="20"/>
                <w:highlight w:val="none"/>
                <w:u w:val="none"/>
                <w:lang w:val="en-US" w:eastAsia="zh-CN" w:bidi="ar"/>
              </w:rPr>
              <w:t>服务</w:t>
            </w:r>
            <w:r>
              <w:rPr>
                <w:rFonts w:hint="eastAsia" w:ascii="宋体" w:hAnsi="宋体" w:eastAsia="宋体" w:cs="宋体"/>
                <w:i w:val="0"/>
                <w:iCs w:val="0"/>
                <w:color w:val="auto"/>
                <w:kern w:val="0"/>
                <w:sz w:val="20"/>
                <w:szCs w:val="20"/>
                <w:highlight w:val="none"/>
                <w:u w:val="none"/>
                <w:lang w:val="en-US" w:eastAsia="zh-CN" w:bidi="ar"/>
              </w:rPr>
              <w:t>保证措施②专业技术人员售后服务方案</w:t>
            </w:r>
            <w:r>
              <w:rPr>
                <w:rFonts w:hint="eastAsia" w:ascii="宋体" w:hAnsi="宋体" w:eastAsia="宋体" w:cs="宋体"/>
                <w:sz w:val="21"/>
                <w:szCs w:val="21"/>
              </w:rPr>
              <w:t>；</w:t>
            </w:r>
            <w:r>
              <w:rPr>
                <w:rFonts w:hint="eastAsia" w:ascii="宋体" w:hAnsi="宋体" w:eastAsia="宋体" w:cs="宋体"/>
                <w:i w:val="0"/>
                <w:iCs w:val="0"/>
                <w:color w:val="auto"/>
                <w:kern w:val="0"/>
                <w:sz w:val="20"/>
                <w:szCs w:val="20"/>
                <w:highlight w:val="none"/>
                <w:u w:val="none"/>
                <w:lang w:val="en-US" w:eastAsia="zh-CN" w:bidi="ar"/>
              </w:rPr>
              <w:t>③备品、备件供应计划④维修响应时间等综合情况；⑤总体培训计划和目标</w:t>
            </w:r>
            <w:r>
              <w:rPr>
                <w:rFonts w:hint="eastAsia" w:cs="宋体"/>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方案内容完全符合采购文件要求的计</w:t>
            </w:r>
            <w:r>
              <w:rPr>
                <w:rFonts w:hint="eastAsia" w:cs="宋体"/>
                <w:i w:val="0"/>
                <w:iCs w:val="0"/>
                <w:color w:val="auto"/>
                <w:kern w:val="0"/>
                <w:sz w:val="20"/>
                <w:szCs w:val="20"/>
                <w:highlight w:val="none"/>
                <w:u w:val="none"/>
                <w:lang w:val="en-US" w:eastAsia="zh-CN" w:bidi="ar"/>
              </w:rPr>
              <w:t>55</w:t>
            </w:r>
            <w:r>
              <w:rPr>
                <w:rFonts w:hint="eastAsia" w:ascii="宋体" w:hAnsi="宋体" w:eastAsia="宋体" w:cs="宋体"/>
                <w:i w:val="0"/>
                <w:iCs w:val="0"/>
                <w:color w:val="auto"/>
                <w:kern w:val="0"/>
                <w:sz w:val="20"/>
                <w:szCs w:val="20"/>
                <w:highlight w:val="none"/>
                <w:u w:val="none"/>
                <w:lang w:val="en-US" w:eastAsia="zh-CN" w:bidi="ar"/>
              </w:rPr>
              <w:t>分，每出现一处方案缺漏项或有标题无实质性描述的扣</w:t>
            </w:r>
            <w:r>
              <w:rPr>
                <w:rFonts w:hint="eastAsia" w:cs="宋体"/>
                <w:i w:val="0"/>
                <w:iCs w:val="0"/>
                <w:color w:val="auto"/>
                <w:kern w:val="0"/>
                <w:sz w:val="20"/>
                <w:szCs w:val="20"/>
                <w:highlight w:val="none"/>
                <w:u w:val="none"/>
                <w:lang w:val="en-US" w:eastAsia="zh-CN" w:bidi="ar"/>
              </w:rPr>
              <w:t>11</w:t>
            </w:r>
            <w:r>
              <w:rPr>
                <w:rFonts w:hint="eastAsia" w:ascii="宋体" w:hAnsi="宋体" w:eastAsia="宋体" w:cs="宋体"/>
                <w:i w:val="0"/>
                <w:iCs w:val="0"/>
                <w:color w:val="auto"/>
                <w:kern w:val="0"/>
                <w:sz w:val="20"/>
                <w:szCs w:val="20"/>
                <w:highlight w:val="none"/>
                <w:u w:val="none"/>
                <w:lang w:val="en-US" w:eastAsia="zh-CN" w:bidi="ar"/>
              </w:rPr>
              <w:t>分，每有一处缺陷的扣</w:t>
            </w:r>
            <w:r>
              <w:rPr>
                <w:rFonts w:hint="eastAsia" w:cs="宋体"/>
                <w:i w:val="0"/>
                <w:iCs w:val="0"/>
                <w:color w:val="auto"/>
                <w:kern w:val="0"/>
                <w:sz w:val="20"/>
                <w:szCs w:val="20"/>
                <w:highlight w:val="none"/>
                <w:u w:val="none"/>
                <w:lang w:val="en-US" w:eastAsia="zh-CN" w:bidi="ar"/>
              </w:rPr>
              <w:t>5.5</w:t>
            </w:r>
            <w:r>
              <w:rPr>
                <w:rFonts w:hint="eastAsia" w:ascii="宋体" w:hAnsi="宋体" w:eastAsia="宋体" w:cs="宋体"/>
                <w:i w:val="0"/>
                <w:iCs w:val="0"/>
                <w:color w:val="auto"/>
                <w:kern w:val="0"/>
                <w:sz w:val="20"/>
                <w:szCs w:val="20"/>
                <w:highlight w:val="none"/>
                <w:u w:val="none"/>
                <w:lang w:val="en-US" w:eastAsia="zh-CN" w:bidi="ar"/>
              </w:rPr>
              <w:t>分，以上累计扣完为止，未提供方案不得分。</w:t>
            </w:r>
          </w:p>
          <w:p w14:paraId="1783F847">
            <w:pPr>
              <w:adjustRightInd w:val="0"/>
              <w:snapToGrid w:val="0"/>
              <w:ind w:left="0" w:leftChars="0" w:right="0" w:rightChars="0"/>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注：缺陷是指：非专门针对本项目或不适用项目特性的情形、内容不完整或缺少关键节点、套用其他项目方案、内容前后矛盾、涉及的规范及标准错误、不利于项目实施、不可能实现的情形等任意一种情形。</w:t>
            </w:r>
          </w:p>
        </w:tc>
      </w:tr>
      <w:tr w14:paraId="7D26704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1447" w:hRule="atLeast"/>
          <w:jc w:val="center"/>
        </w:trPr>
        <w:tc>
          <w:tcPr>
            <w:tcW w:w="853" w:type="dxa"/>
            <w:vMerge w:val="continue"/>
            <w:tcBorders>
              <w:tl2br w:val="nil"/>
              <w:tr2bl w:val="nil"/>
            </w:tcBorders>
            <w:noWrap w:val="0"/>
            <w:vAlign w:val="center"/>
          </w:tcPr>
          <w:p w14:paraId="3A2558C1">
            <w:pPr>
              <w:keepNext w:val="0"/>
              <w:keepLines w:val="0"/>
              <w:widowControl/>
              <w:suppressLineNumbers w:val="0"/>
              <w:jc w:val="center"/>
              <w:textAlignment w:val="center"/>
              <w:rPr>
                <w:rFonts w:hint="eastAsia" w:ascii="宋体" w:hAnsi="宋体" w:eastAsia="宋体" w:cs="宋体"/>
                <w:color w:val="auto"/>
                <w:sz w:val="18"/>
                <w:szCs w:val="18"/>
                <w:highlight w:val="none"/>
              </w:rPr>
            </w:pPr>
          </w:p>
        </w:tc>
        <w:tc>
          <w:tcPr>
            <w:tcW w:w="1173" w:type="dxa"/>
            <w:tcBorders>
              <w:tl2br w:val="nil"/>
              <w:tr2bl w:val="nil"/>
            </w:tcBorders>
            <w:noWrap w:val="0"/>
            <w:vAlign w:val="center"/>
          </w:tcPr>
          <w:p w14:paraId="41ED628C">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类似业绩</w:t>
            </w:r>
          </w:p>
        </w:tc>
        <w:tc>
          <w:tcPr>
            <w:tcW w:w="635" w:type="dxa"/>
            <w:tcBorders>
              <w:tl2br w:val="nil"/>
              <w:tr2bl w:val="nil"/>
            </w:tcBorders>
            <w:noWrap w:val="0"/>
            <w:vAlign w:val="center"/>
          </w:tcPr>
          <w:p w14:paraId="0F56767A">
            <w:pPr>
              <w:keepNext w:val="0"/>
              <w:keepLines w:val="0"/>
              <w:widowControl/>
              <w:suppressLineNumbers w:val="0"/>
              <w:jc w:val="center"/>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cs="宋体"/>
                <w:i w:val="0"/>
                <w:iCs w:val="0"/>
                <w:color w:val="auto"/>
                <w:kern w:val="0"/>
                <w:sz w:val="20"/>
                <w:szCs w:val="20"/>
                <w:highlight w:val="none"/>
                <w:u w:val="none"/>
                <w:lang w:val="en-US" w:eastAsia="zh-CN" w:bidi="ar"/>
              </w:rPr>
              <w:t>45</w:t>
            </w:r>
          </w:p>
        </w:tc>
        <w:tc>
          <w:tcPr>
            <w:tcW w:w="8237" w:type="dxa"/>
            <w:tcBorders>
              <w:tl2br w:val="nil"/>
              <w:tr2bl w:val="nil"/>
            </w:tcBorders>
            <w:noWrap w:val="0"/>
            <w:vAlign w:val="center"/>
          </w:tcPr>
          <w:p w14:paraId="77EF6ED6">
            <w:pPr>
              <w:adjustRightInd w:val="0"/>
              <w:snapToGrid w:val="0"/>
              <w:ind w:left="0" w:leftChars="0" w:right="0" w:rightChars="0"/>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投标人或所投产品制造商投标截止时间前近三年内（2023年8月1日至投标截止时间前）具有类似项目业绩的，每提供一个计</w:t>
            </w:r>
            <w:r>
              <w:rPr>
                <w:rFonts w:hint="eastAsia" w:cs="宋体"/>
                <w:i w:val="0"/>
                <w:iCs w:val="0"/>
                <w:color w:val="auto"/>
                <w:kern w:val="0"/>
                <w:sz w:val="20"/>
                <w:szCs w:val="20"/>
                <w:highlight w:val="none"/>
                <w:u w:val="none"/>
                <w:lang w:val="en-US" w:eastAsia="zh-CN" w:bidi="ar"/>
              </w:rPr>
              <w:t>15</w:t>
            </w:r>
            <w:r>
              <w:rPr>
                <w:rFonts w:hint="eastAsia" w:ascii="宋体" w:hAnsi="宋体" w:eastAsia="宋体" w:cs="宋体"/>
                <w:i w:val="0"/>
                <w:iCs w:val="0"/>
                <w:color w:val="auto"/>
                <w:kern w:val="0"/>
                <w:sz w:val="20"/>
                <w:szCs w:val="20"/>
                <w:highlight w:val="none"/>
                <w:u w:val="none"/>
                <w:lang w:val="en-US" w:eastAsia="zh-CN" w:bidi="ar"/>
              </w:rPr>
              <w:t>分，最多计</w:t>
            </w:r>
            <w:r>
              <w:rPr>
                <w:rFonts w:hint="eastAsia" w:cs="宋体"/>
                <w:i w:val="0"/>
                <w:iCs w:val="0"/>
                <w:color w:val="auto"/>
                <w:kern w:val="0"/>
                <w:sz w:val="20"/>
                <w:szCs w:val="20"/>
                <w:highlight w:val="none"/>
                <w:u w:val="none"/>
                <w:lang w:val="en-US" w:eastAsia="zh-CN" w:bidi="ar"/>
              </w:rPr>
              <w:t>45</w:t>
            </w:r>
            <w:r>
              <w:rPr>
                <w:rFonts w:hint="eastAsia" w:ascii="宋体" w:hAnsi="宋体" w:eastAsia="宋体" w:cs="宋体"/>
                <w:i w:val="0"/>
                <w:iCs w:val="0"/>
                <w:color w:val="auto"/>
                <w:kern w:val="0"/>
                <w:sz w:val="20"/>
                <w:szCs w:val="20"/>
                <w:highlight w:val="none"/>
                <w:u w:val="none"/>
                <w:lang w:val="en-US" w:eastAsia="zh-CN" w:bidi="ar"/>
              </w:rPr>
              <w:t>分。</w:t>
            </w:r>
          </w:p>
          <w:p w14:paraId="5B4C07D1">
            <w:pPr>
              <w:adjustRightInd w:val="0"/>
              <w:snapToGrid w:val="0"/>
              <w:ind w:left="0" w:leftChars="0" w:right="0" w:rightChars="0"/>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证明材料为合同关键页面，至少包含合同首页、标的物页、签字盖章页并加盖投标人公章，业绩日期以签订合同日期为准。不提供或者提供不全的，计0分。</w:t>
            </w:r>
            <w:r>
              <w:rPr>
                <w:rFonts w:hint="eastAsia" w:ascii="宋体" w:hAnsi="宋体" w:eastAsia="宋体" w:cs="宋体"/>
                <w:i w:val="0"/>
                <w:iCs w:val="0"/>
                <w:color w:val="auto"/>
                <w:kern w:val="0"/>
                <w:sz w:val="20"/>
                <w:szCs w:val="20"/>
                <w:highlight w:val="none"/>
                <w:u w:val="none"/>
                <w:lang w:val="en-US" w:eastAsia="zh-CN" w:bidi="ar"/>
              </w:rPr>
              <w:t xml:space="preserve"> </w:t>
            </w:r>
          </w:p>
        </w:tc>
      </w:tr>
    </w:tbl>
    <w:p w14:paraId="50BB3D6C">
      <w:pPr>
        <w:adjustRightInd w:val="0"/>
        <w:snapToGrid w:val="0"/>
        <w:ind w:left="0" w:leftChars="0" w:right="0" w:rightChars="0"/>
        <w:rPr>
          <w:rFonts w:hint="eastAsia" w:ascii="宋体" w:hAnsi="宋体" w:eastAsia="宋体" w:cs="宋体"/>
          <w:b/>
          <w:bCs/>
          <w:i w:val="0"/>
          <w:iCs w:val="0"/>
          <w:color w:val="auto"/>
          <w:kern w:val="0"/>
          <w:sz w:val="20"/>
          <w:szCs w:val="20"/>
          <w:highlight w:val="none"/>
          <w:u w:val="none"/>
          <w:lang w:val="en-US" w:eastAsia="zh-CN" w:bidi="ar"/>
        </w:rPr>
        <w:sectPr>
          <w:footerReference r:id="rId16" w:type="default"/>
          <w:pgSz w:w="11906" w:h="16838"/>
          <w:pgMar w:top="1418" w:right="1134" w:bottom="1134" w:left="1418" w:header="851" w:footer="850" w:gutter="0"/>
          <w:pgNumType w:fmt="decimal"/>
          <w:cols w:space="720" w:num="1"/>
          <w:docGrid w:type="lines" w:linePitch="312" w:charSpace="0"/>
        </w:sectPr>
      </w:pPr>
    </w:p>
    <w:tbl>
      <w:tblPr>
        <w:tblStyle w:val="24"/>
        <w:tblW w:w="10898" w:type="dxa"/>
        <w:jc w:val="center"/>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98"/>
      </w:tblGrid>
      <w:tr w14:paraId="08731D3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1447" w:hRule="atLeast"/>
          <w:jc w:val="center"/>
        </w:trPr>
        <w:tc>
          <w:tcPr>
            <w:tcW w:w="10898" w:type="dxa"/>
            <w:tcBorders>
              <w:tl2br w:val="nil"/>
              <w:tr2bl w:val="nil"/>
            </w:tcBorders>
            <w:noWrap w:val="0"/>
            <w:vAlign w:val="center"/>
          </w:tcPr>
          <w:p w14:paraId="5B3383E8">
            <w:pPr>
              <w:adjustRightInd w:val="0"/>
              <w:snapToGrid w:val="0"/>
              <w:ind w:left="0" w:leftChars="0" w:right="0" w:rightChars="0"/>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说明：1、供应商参与政府采购应提供真实有效的证明材料，应当诚信守法、公平竞争。如有以提供虚假材料（包括但不限于虚假技术参数响应、虚假制造商产品彩页、虚假业绩、虚假证书等）、隐瞒失信信息等谋取中标的行为，一经发现，将报行政监管部门严肃查处。</w:t>
            </w:r>
          </w:p>
          <w:p w14:paraId="51355729">
            <w:pPr>
              <w:adjustRightInd w:val="0"/>
              <w:snapToGrid w:val="0"/>
              <w:ind w:left="0" w:leftChars="0" w:right="0" w:rightChars="0"/>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如评标委员会认为供应商报价明显低于其他通过符合性审查供应商的报价，有可能影响服务质量或者不能诚信履约的，需提交相关证明材料；供应商不能证明其报价合理性的，评标委员会应当将其作为无效投标处理。</w:t>
            </w:r>
          </w:p>
          <w:p w14:paraId="53B41A0C">
            <w:pPr>
              <w:adjustRightInd w:val="0"/>
              <w:snapToGrid w:val="0"/>
              <w:ind w:left="0" w:leftChars="0" w:right="0" w:rightChars="0"/>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3、根据《关于推动解决政府采购异常低价问题的通知》财库〔2026〕2号</w:t>
            </w:r>
          </w:p>
          <w:p w14:paraId="7A1BD2A3">
            <w:pPr>
              <w:adjustRightInd w:val="0"/>
              <w:snapToGrid w:val="0"/>
              <w:ind w:left="0" w:leftChars="0" w:right="0" w:rightChars="0"/>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政府采购评审中出现下列情形之一的，评审委员会应当启动异常低价投标（响应）审查程序： </w:t>
            </w:r>
          </w:p>
          <w:p w14:paraId="00673374">
            <w:pPr>
              <w:adjustRightInd w:val="0"/>
              <w:snapToGrid w:val="0"/>
              <w:ind w:left="0" w:leftChars="0" w:right="0" w:rightChars="0"/>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1.投标（响应）报价低于全部通过符合性审查供应商投标（响应）报价平均值65%的，即投标（响应）报价&lt;全部通过符合性审查供应商投标（响应）报价平均值×65%； </w:t>
            </w:r>
          </w:p>
          <w:p w14:paraId="4126105D">
            <w:pPr>
              <w:adjustRightInd w:val="0"/>
              <w:snapToGrid w:val="0"/>
              <w:ind w:left="0" w:leftChars="0" w:right="0" w:rightChars="0"/>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2.投标（响应）报价低于通过符合性审查的次低报价供应商投标（响应）报价65%的，即投标（响应）报价&lt;通过符合性审查的次低报价供应商投标（响应）报价×65%； </w:t>
            </w:r>
          </w:p>
          <w:p w14:paraId="0445607E">
            <w:pPr>
              <w:adjustRightInd w:val="0"/>
              <w:snapToGrid w:val="0"/>
              <w:ind w:left="0" w:leftChars="0" w:right="0" w:rightChars="0"/>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3.投标（响应）报价低于采购项目最高限价65%的，即投标（响应）报价&lt;采购项目最高限价×65%； </w:t>
            </w:r>
          </w:p>
          <w:p w14:paraId="7466081F">
            <w:pPr>
              <w:adjustRightInd w:val="0"/>
              <w:snapToGrid w:val="0"/>
              <w:ind w:left="0" w:leftChars="0" w:right="0" w:rightChars="0"/>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4.评审委员会基于专业判断，认为供应商报价过低，有可能影响产品质量或者不能诚信履约的其他情形。 </w:t>
            </w:r>
          </w:p>
          <w:p w14:paraId="3CE2ED39">
            <w:pPr>
              <w:adjustRightInd w:val="0"/>
              <w:snapToGrid w:val="0"/>
              <w:ind w:left="0" w:leftChars="0" w:right="0" w:rightChars="0"/>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采购人可以结合具体项目实际情况，提高上述第1项至第3项中启动异常低价投标（响应）审查的数值标准，但是最高不得超过65%。 </w:t>
            </w:r>
          </w:p>
        </w:tc>
      </w:tr>
    </w:tbl>
    <w:p w14:paraId="086C77E9"/>
    <w:p w14:paraId="41BBAB94">
      <w:pPr>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br w:type="page"/>
      </w:r>
    </w:p>
    <w:p w14:paraId="08F55A54">
      <w:pPr>
        <w:pStyle w:val="4"/>
        <w:numPr>
          <w:ilvl w:val="0"/>
          <w:numId w:val="1"/>
        </w:numPr>
        <w:spacing w:before="28"/>
        <w:ind w:left="0" w:right="417"/>
        <w:jc w:val="center"/>
        <w:outlineLvl w:val="0"/>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合同草案条款</w:t>
      </w:r>
      <w:bookmarkEnd w:id="82"/>
      <w:bookmarkEnd w:id="83"/>
    </w:p>
    <w:p w14:paraId="42A7A207">
      <w:pPr>
        <w:pStyle w:val="3"/>
        <w:adjustRightInd w:val="0"/>
        <w:snapToGrid w:val="0"/>
        <w:spacing w:before="156" w:beforeLines="50"/>
        <w:jc w:val="center"/>
        <w:outlineLvl w:val="1"/>
        <w:rPr>
          <w:rFonts w:ascii="黑体" w:hAnsi="华文中宋" w:eastAsia="黑体"/>
          <w:color w:val="auto"/>
          <w:sz w:val="28"/>
          <w:szCs w:val="28"/>
          <w:highlight w:val="none"/>
        </w:rPr>
      </w:pPr>
      <w:bookmarkStart w:id="84" w:name="_Toc22201110"/>
      <w:bookmarkStart w:id="85" w:name="_Toc18520"/>
      <w:bookmarkStart w:id="86" w:name="_Toc23129"/>
      <w:bookmarkStart w:id="87" w:name="_Toc18935"/>
      <w:bookmarkStart w:id="88" w:name="_Toc10817"/>
      <w:bookmarkStart w:id="89" w:name="_Toc25842"/>
      <w:bookmarkStart w:id="90" w:name="_Toc11013"/>
      <w:r>
        <w:rPr>
          <w:rFonts w:hint="eastAsia" w:hAnsi="华文中宋"/>
          <w:color w:val="auto"/>
          <w:sz w:val="28"/>
          <w:szCs w:val="28"/>
          <w:highlight w:val="none"/>
          <w:lang w:eastAsia="zh-CN"/>
        </w:rPr>
        <w:t>第一节</w:t>
      </w:r>
      <w:r>
        <w:rPr>
          <w:rFonts w:hint="eastAsia" w:hAnsi="华文中宋"/>
          <w:color w:val="auto"/>
          <w:sz w:val="28"/>
          <w:szCs w:val="28"/>
          <w:highlight w:val="none"/>
          <w:lang w:val="en-US" w:eastAsia="zh-CN"/>
        </w:rPr>
        <w:t xml:space="preserve"> </w:t>
      </w:r>
      <w:r>
        <w:rPr>
          <w:rFonts w:hint="eastAsia" w:ascii="黑体" w:hAnsi="华文中宋" w:eastAsia="黑体"/>
          <w:color w:val="auto"/>
          <w:sz w:val="28"/>
          <w:szCs w:val="28"/>
          <w:highlight w:val="none"/>
        </w:rPr>
        <w:t>合同协议书</w:t>
      </w:r>
      <w:bookmarkEnd w:id="84"/>
      <w:bookmarkEnd w:id="85"/>
      <w:bookmarkEnd w:id="86"/>
      <w:bookmarkEnd w:id="87"/>
      <w:bookmarkEnd w:id="88"/>
      <w:bookmarkEnd w:id="89"/>
      <w:bookmarkEnd w:id="90"/>
    </w:p>
    <w:p w14:paraId="3E3C9830">
      <w:pPr>
        <w:adjustRightInd w:val="0"/>
        <w:snapToGrid w:val="0"/>
        <w:spacing w:before="156" w:beforeLines="50" w:line="360" w:lineRule="auto"/>
        <w:ind w:firstLine="5720" w:firstLineChars="2600"/>
        <w:rPr>
          <w:rFonts w:ascii="宋体" w:hAnsi="宋体"/>
          <w:b/>
          <w:color w:val="auto"/>
          <w:szCs w:val="21"/>
          <w:highlight w:val="none"/>
        </w:rPr>
      </w:pPr>
      <w:r>
        <w:rPr>
          <w:rFonts w:hint="eastAsia" w:ascii="宋体" w:hAnsi="宋体"/>
          <w:color w:val="auto"/>
          <w:szCs w:val="21"/>
          <w:highlight w:val="none"/>
        </w:rPr>
        <w:t>采购合同编号：</w:t>
      </w:r>
      <w:r>
        <w:rPr>
          <w:rFonts w:ascii="宋体" w:hAnsi="宋体"/>
          <w:color w:val="auto"/>
          <w:szCs w:val="21"/>
          <w:highlight w:val="none"/>
          <w:u w:val="single"/>
        </w:rPr>
        <w:t xml:space="preserve">                 </w:t>
      </w:r>
    </w:p>
    <w:p w14:paraId="6FB33716">
      <w:pPr>
        <w:adjustRightInd w:val="0"/>
        <w:snapToGrid w:val="0"/>
        <w:spacing w:before="156" w:beforeLines="50" w:line="360" w:lineRule="auto"/>
        <w:jc w:val="center"/>
        <w:rPr>
          <w:rFonts w:ascii="宋体" w:hAnsi="宋体"/>
          <w:b/>
          <w:color w:val="auto"/>
          <w:szCs w:val="21"/>
          <w:highlight w:val="none"/>
        </w:rPr>
      </w:pPr>
    </w:p>
    <w:p w14:paraId="798BBF4B">
      <w:pPr>
        <w:adjustRightInd w:val="0"/>
        <w:snapToGrid w:val="0"/>
        <w:spacing w:before="156" w:beforeLines="50" w:line="240" w:lineRule="auto"/>
        <w:rPr>
          <w:rFonts w:ascii="宋体" w:hAnsi="宋体"/>
          <w:color w:val="auto"/>
          <w:szCs w:val="21"/>
          <w:highlight w:val="none"/>
        </w:rPr>
      </w:pPr>
      <w:r>
        <w:rPr>
          <w:rFonts w:hint="eastAsia" w:ascii="宋体" w:hAnsi="宋体"/>
          <w:color w:val="auto"/>
          <w:szCs w:val="21"/>
          <w:highlight w:val="none"/>
        </w:rPr>
        <w:t>采购人（全称）：</w:t>
      </w:r>
      <w:r>
        <w:rPr>
          <w:rFonts w:hint="eastAsia" w:ascii="宋体" w:hAnsi="宋体"/>
          <w:color w:val="auto"/>
          <w:szCs w:val="21"/>
          <w:highlight w:val="none"/>
          <w:u w:val="single"/>
        </w:rPr>
        <w:t xml:space="preserve">                             </w:t>
      </w:r>
      <w:r>
        <w:rPr>
          <w:rFonts w:hint="eastAsia" w:ascii="宋体" w:hAnsi="宋体"/>
          <w:color w:val="auto"/>
          <w:szCs w:val="21"/>
          <w:highlight w:val="none"/>
        </w:rPr>
        <w:t>（甲方）</w:t>
      </w:r>
    </w:p>
    <w:p w14:paraId="6BBFC683">
      <w:pPr>
        <w:adjustRightInd w:val="0"/>
        <w:snapToGrid w:val="0"/>
        <w:spacing w:before="156" w:beforeLines="50" w:line="240" w:lineRule="auto"/>
        <w:rPr>
          <w:rFonts w:ascii="宋体" w:hAnsi="宋体"/>
          <w:color w:val="auto"/>
          <w:szCs w:val="21"/>
          <w:highlight w:val="none"/>
        </w:rPr>
      </w:pPr>
      <w:r>
        <w:rPr>
          <w:rFonts w:hint="eastAsia" w:ascii="宋体" w:hAnsi="宋体"/>
          <w:color w:val="auto"/>
          <w:szCs w:val="21"/>
          <w:highlight w:val="none"/>
        </w:rPr>
        <w:t>供应商（全称）：</w:t>
      </w:r>
      <w:r>
        <w:rPr>
          <w:rFonts w:hint="eastAsia" w:ascii="宋体" w:hAnsi="宋体"/>
          <w:color w:val="auto"/>
          <w:szCs w:val="21"/>
          <w:highlight w:val="none"/>
          <w:u w:val="single"/>
        </w:rPr>
        <w:t xml:space="preserve">                             </w:t>
      </w:r>
      <w:r>
        <w:rPr>
          <w:rFonts w:hint="eastAsia" w:ascii="宋体" w:hAnsi="宋体"/>
          <w:color w:val="auto"/>
          <w:szCs w:val="21"/>
          <w:highlight w:val="none"/>
        </w:rPr>
        <w:t>（乙方）</w:t>
      </w:r>
    </w:p>
    <w:p w14:paraId="24C68277">
      <w:pPr>
        <w:pStyle w:val="12"/>
        <w:adjustRightInd w:val="0"/>
        <w:snapToGrid w:val="0"/>
        <w:spacing w:before="156" w:beforeLines="50" w:after="0" w:line="240" w:lineRule="auto"/>
        <w:rPr>
          <w:rFonts w:ascii="宋体" w:hAnsi="宋体"/>
          <w:color w:val="auto"/>
          <w:szCs w:val="21"/>
          <w:highlight w:val="none"/>
        </w:rPr>
      </w:pPr>
    </w:p>
    <w:p w14:paraId="1ED4CD26">
      <w:pPr>
        <w:pStyle w:val="12"/>
        <w:adjustRightInd w:val="0"/>
        <w:snapToGrid w:val="0"/>
        <w:spacing w:before="156" w:beforeLines="50" w:after="0" w:line="240" w:lineRule="auto"/>
        <w:ind w:left="0" w:leftChars="0" w:firstLine="440" w:firstLineChars="200"/>
        <w:rPr>
          <w:rFonts w:ascii="宋体" w:hAnsi="宋体"/>
          <w:color w:val="auto"/>
          <w:szCs w:val="21"/>
          <w:highlight w:val="none"/>
        </w:rPr>
      </w:pPr>
      <w:r>
        <w:rPr>
          <w:rFonts w:hint="eastAsia" w:ascii="宋体" w:hAnsi="宋体"/>
          <w:color w:val="auto"/>
          <w:szCs w:val="21"/>
          <w:highlight w:val="none"/>
        </w:rPr>
        <w:t>为了保护甲、乙双方合法权益，根据《中华人民共和国</w:t>
      </w:r>
      <w:r>
        <w:rPr>
          <w:rFonts w:hint="eastAsia"/>
          <w:color w:val="auto"/>
          <w:szCs w:val="21"/>
          <w:highlight w:val="none"/>
          <w:lang w:val="en-US" w:eastAsia="zh-CN"/>
        </w:rPr>
        <w:t>民法典</w:t>
      </w:r>
      <w:r>
        <w:rPr>
          <w:rFonts w:hint="eastAsia" w:ascii="宋体" w:hAnsi="宋体"/>
          <w:color w:val="auto"/>
          <w:szCs w:val="21"/>
          <w:highlight w:val="none"/>
        </w:rPr>
        <w:t>》、《中华人民共和国政府采购法》及其他有关法律、法规、规章，双方签订本合同协议书。</w:t>
      </w:r>
    </w:p>
    <w:p w14:paraId="4FE7D297">
      <w:pPr>
        <w:pStyle w:val="4"/>
        <w:adjustRightInd w:val="0"/>
        <w:snapToGrid w:val="0"/>
        <w:spacing w:before="50" w:after="0" w:line="240" w:lineRule="auto"/>
        <w:rPr>
          <w:rFonts w:ascii="黑体" w:hAnsi="黑体" w:eastAsia="黑体"/>
          <w:color w:val="auto"/>
          <w:sz w:val="24"/>
          <w:szCs w:val="24"/>
          <w:highlight w:val="none"/>
        </w:rPr>
      </w:pPr>
      <w:bookmarkStart w:id="91" w:name="_Toc17100"/>
      <w:bookmarkStart w:id="92" w:name="_Toc14500"/>
      <w:r>
        <w:rPr>
          <w:rFonts w:hint="eastAsia" w:ascii="黑体" w:hAnsi="黑体" w:eastAsia="黑体"/>
          <w:color w:val="auto"/>
          <w:sz w:val="24"/>
          <w:szCs w:val="24"/>
          <w:highlight w:val="none"/>
        </w:rPr>
        <w:t>1.项目信息</w:t>
      </w:r>
      <w:bookmarkEnd w:id="91"/>
      <w:bookmarkEnd w:id="92"/>
    </w:p>
    <w:p w14:paraId="52A7815B">
      <w:pPr>
        <w:pStyle w:val="12"/>
        <w:adjustRightInd w:val="0"/>
        <w:snapToGrid w:val="0"/>
        <w:spacing w:before="156" w:beforeLines="50" w:after="0" w:line="240" w:lineRule="auto"/>
        <w:rPr>
          <w:rFonts w:ascii="宋体" w:hAnsi="宋体"/>
          <w:color w:val="auto"/>
          <w:szCs w:val="21"/>
          <w:highlight w:val="none"/>
        </w:rPr>
      </w:pPr>
      <w:r>
        <w:rPr>
          <w:rFonts w:hint="eastAsia" w:ascii="宋体" w:hAnsi="宋体"/>
          <w:color w:val="auto"/>
          <w:szCs w:val="21"/>
          <w:highlight w:val="none"/>
        </w:rPr>
        <w:t>（1）采购项目名称：</w:t>
      </w:r>
      <w:r>
        <w:rPr>
          <w:rFonts w:ascii="宋体" w:hAnsi="宋体"/>
          <w:color w:val="auto"/>
          <w:szCs w:val="21"/>
          <w:highlight w:val="none"/>
          <w:u w:val="single"/>
        </w:rPr>
        <w:t xml:space="preserve">                                          </w:t>
      </w:r>
    </w:p>
    <w:p w14:paraId="02149A0F">
      <w:pPr>
        <w:pStyle w:val="12"/>
        <w:adjustRightInd w:val="0"/>
        <w:snapToGrid w:val="0"/>
        <w:spacing w:before="156" w:beforeLines="50" w:after="0" w:line="240" w:lineRule="auto"/>
        <w:rPr>
          <w:rFonts w:ascii="宋体" w:hAnsi="宋体"/>
          <w:color w:val="auto"/>
          <w:szCs w:val="21"/>
          <w:highlight w:val="none"/>
        </w:rPr>
      </w:pPr>
      <w:r>
        <w:rPr>
          <w:rFonts w:hint="eastAsia" w:ascii="宋体" w:hAnsi="宋体"/>
          <w:color w:val="auto"/>
          <w:szCs w:val="21"/>
          <w:highlight w:val="none"/>
        </w:rPr>
        <w:t>（2）采购计划编号：</w:t>
      </w:r>
      <w:r>
        <w:rPr>
          <w:rFonts w:ascii="宋体" w:hAnsi="宋体"/>
          <w:color w:val="auto"/>
          <w:szCs w:val="21"/>
          <w:highlight w:val="none"/>
          <w:u w:val="single"/>
        </w:rPr>
        <w:t xml:space="preserve">                          </w:t>
      </w:r>
      <w:r>
        <w:rPr>
          <w:rFonts w:ascii="宋体" w:hAnsi="宋体"/>
          <w:color w:val="auto"/>
          <w:szCs w:val="21"/>
          <w:highlight w:val="none"/>
        </w:rPr>
        <w:t xml:space="preserve"> </w:t>
      </w:r>
    </w:p>
    <w:p w14:paraId="2341448A">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（3）项目内容：</w:t>
      </w:r>
      <w:r>
        <w:rPr>
          <w:rFonts w:hint="eastAsia" w:ascii="宋体" w:hAnsi="宋体"/>
          <w:color w:val="auto"/>
          <w:szCs w:val="21"/>
          <w:highlight w:val="none"/>
          <w:u w:val="single"/>
        </w:rPr>
        <w:t xml:space="preserve">                             </w:t>
      </w:r>
    </w:p>
    <w:p w14:paraId="6E834C2A">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（4）项目负责人：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3AAAEFD">
      <w:pPr>
        <w:pStyle w:val="4"/>
        <w:adjustRightInd w:val="0"/>
        <w:snapToGrid w:val="0"/>
        <w:spacing w:before="50" w:after="0" w:line="240" w:lineRule="auto"/>
        <w:rPr>
          <w:rFonts w:ascii="黑体" w:hAnsi="黑体" w:eastAsia="黑体"/>
          <w:color w:val="auto"/>
          <w:sz w:val="24"/>
          <w:szCs w:val="24"/>
          <w:highlight w:val="none"/>
        </w:rPr>
      </w:pPr>
      <w:bookmarkStart w:id="93" w:name="_Toc1874"/>
      <w:bookmarkStart w:id="94" w:name="_Toc30748"/>
      <w:r>
        <w:rPr>
          <w:rFonts w:hint="eastAsia" w:ascii="黑体" w:hAnsi="黑体" w:eastAsia="黑体"/>
          <w:color w:val="auto"/>
          <w:sz w:val="24"/>
          <w:szCs w:val="24"/>
          <w:highlight w:val="none"/>
        </w:rPr>
        <w:t>2.合同金额</w:t>
      </w:r>
      <w:bookmarkEnd w:id="93"/>
      <w:bookmarkEnd w:id="94"/>
    </w:p>
    <w:p w14:paraId="2228B0C0">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（1）合同金额小写：</w:t>
      </w:r>
      <w:r>
        <w:rPr>
          <w:rFonts w:hint="eastAsia" w:ascii="宋体" w:hAnsi="宋体"/>
          <w:color w:val="auto"/>
          <w:szCs w:val="21"/>
          <w:highlight w:val="none"/>
          <w:u w:val="single"/>
        </w:rPr>
        <w:t xml:space="preserve">                      </w:t>
      </w:r>
    </w:p>
    <w:p w14:paraId="2C7D52A6">
      <w:pPr>
        <w:adjustRightInd w:val="0"/>
        <w:snapToGrid w:val="0"/>
        <w:spacing w:before="156" w:beforeLines="50" w:line="240" w:lineRule="auto"/>
        <w:ind w:firstLine="1320" w:firstLineChars="600"/>
        <w:rPr>
          <w:rFonts w:ascii="宋体" w:hAnsi="宋体"/>
          <w:b/>
          <w:color w:val="auto"/>
          <w:szCs w:val="21"/>
          <w:highlight w:val="none"/>
        </w:rPr>
      </w:pPr>
      <w:r>
        <w:rPr>
          <w:rFonts w:hint="eastAsia" w:ascii="宋体" w:hAnsi="宋体"/>
          <w:color w:val="auto"/>
          <w:szCs w:val="21"/>
          <w:highlight w:val="none"/>
        </w:rPr>
        <w:t>大写：</w:t>
      </w:r>
      <w:r>
        <w:rPr>
          <w:rFonts w:hint="eastAsia" w:ascii="宋体" w:hAnsi="宋体"/>
          <w:color w:val="auto"/>
          <w:szCs w:val="21"/>
          <w:highlight w:val="none"/>
          <w:u w:val="single"/>
        </w:rPr>
        <w:t xml:space="preserve">                      </w:t>
      </w:r>
    </w:p>
    <w:p w14:paraId="535AD6CF">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（2）具体标的见附件。</w:t>
      </w:r>
    </w:p>
    <w:p w14:paraId="20724F2B">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（3）合同价格形式：</w:t>
      </w:r>
      <w:r>
        <w:rPr>
          <w:rFonts w:hint="eastAsia" w:ascii="宋体" w:hAnsi="宋体"/>
          <w:color w:val="auto"/>
          <w:szCs w:val="21"/>
          <w:highlight w:val="none"/>
          <w:u w:val="single"/>
        </w:rPr>
        <w:t xml:space="preserve"> </w:t>
      </w:r>
      <w:r>
        <w:rPr>
          <w:rFonts w:hint="eastAsia"/>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B2B42BE">
      <w:pPr>
        <w:pStyle w:val="4"/>
        <w:adjustRightInd w:val="0"/>
        <w:snapToGrid w:val="0"/>
        <w:spacing w:before="50" w:after="0" w:line="240" w:lineRule="auto"/>
        <w:rPr>
          <w:rFonts w:ascii="黑体" w:hAnsi="黑体" w:eastAsia="黑体"/>
          <w:color w:val="auto"/>
          <w:sz w:val="24"/>
          <w:szCs w:val="24"/>
          <w:highlight w:val="none"/>
          <w:u w:val="single"/>
        </w:rPr>
      </w:pPr>
      <w:bookmarkStart w:id="95" w:name="_Toc22575"/>
      <w:bookmarkStart w:id="96" w:name="_Toc9161"/>
      <w:r>
        <w:rPr>
          <w:rFonts w:hint="eastAsia" w:ascii="黑体" w:hAnsi="黑体" w:eastAsia="黑体"/>
          <w:color w:val="auto"/>
          <w:sz w:val="24"/>
          <w:szCs w:val="24"/>
          <w:highlight w:val="none"/>
        </w:rPr>
        <w:t>3.履行合同的时间、地点及方式</w:t>
      </w:r>
      <w:bookmarkEnd w:id="95"/>
      <w:bookmarkEnd w:id="96"/>
    </w:p>
    <w:p w14:paraId="2B2A919D">
      <w:pPr>
        <w:adjustRightInd w:val="0"/>
        <w:snapToGrid w:val="0"/>
        <w:spacing w:before="156" w:beforeLines="50" w:line="240" w:lineRule="auto"/>
        <w:ind w:firstLine="660" w:firstLineChars="300"/>
        <w:rPr>
          <w:rFonts w:ascii="宋体" w:hAnsi="宋体"/>
          <w:color w:val="auto"/>
          <w:szCs w:val="21"/>
          <w:highlight w:val="none"/>
        </w:rPr>
      </w:pPr>
      <w:r>
        <w:rPr>
          <w:rFonts w:hint="eastAsia" w:ascii="宋体" w:hAnsi="宋体"/>
          <w:color w:val="auto"/>
          <w:szCs w:val="21"/>
          <w:highlight w:val="none"/>
        </w:rPr>
        <w:t>起始日期：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日，完成日期：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日。总日历天数：</w:t>
      </w:r>
      <w:r>
        <w:rPr>
          <w:rFonts w:hint="eastAsia" w:ascii="宋体" w:hAnsi="宋体"/>
          <w:color w:val="auto"/>
          <w:szCs w:val="21"/>
          <w:highlight w:val="none"/>
          <w:u w:val="single"/>
        </w:rPr>
        <w:t xml:space="preserve">     </w:t>
      </w:r>
      <w:r>
        <w:rPr>
          <w:rFonts w:hint="eastAsia" w:ascii="宋体" w:hAnsi="宋体"/>
          <w:color w:val="auto"/>
          <w:szCs w:val="21"/>
          <w:highlight w:val="none"/>
        </w:rPr>
        <w:t>天。</w:t>
      </w:r>
    </w:p>
    <w:p w14:paraId="7A4B07AA">
      <w:pPr>
        <w:adjustRightInd w:val="0"/>
        <w:snapToGrid w:val="0"/>
        <w:spacing w:before="156" w:beforeLines="50" w:line="240" w:lineRule="auto"/>
        <w:ind w:firstLine="660" w:firstLineChars="300"/>
        <w:rPr>
          <w:rFonts w:ascii="宋体" w:hAnsi="宋体"/>
          <w:color w:val="auto"/>
          <w:szCs w:val="21"/>
          <w:highlight w:val="none"/>
          <w:u w:val="single"/>
        </w:rPr>
      </w:pPr>
      <w:r>
        <w:rPr>
          <w:rFonts w:hint="eastAsia" w:ascii="宋体" w:hAnsi="宋体"/>
          <w:color w:val="auto"/>
          <w:szCs w:val="21"/>
          <w:highlight w:val="none"/>
        </w:rPr>
        <w:t>地点</w:t>
      </w:r>
      <w:r>
        <w:rPr>
          <w:rFonts w:hint="eastAsia" w:ascii="宋体" w:hAnsi="宋体"/>
          <w:b/>
          <w:color w:val="auto"/>
          <w:szCs w:val="21"/>
          <w:highlight w:val="none"/>
        </w:rPr>
        <w:t>：</w:t>
      </w:r>
      <w:r>
        <w:rPr>
          <w:rFonts w:hint="eastAsia" w:ascii="宋体" w:hAnsi="宋体"/>
          <w:color w:val="auto"/>
          <w:szCs w:val="21"/>
          <w:highlight w:val="none"/>
          <w:u w:val="single"/>
        </w:rPr>
        <w:t xml:space="preserve">                             </w:t>
      </w:r>
    </w:p>
    <w:p w14:paraId="643DF542">
      <w:pPr>
        <w:adjustRightInd w:val="0"/>
        <w:snapToGrid w:val="0"/>
        <w:spacing w:before="156" w:beforeLines="50" w:line="240" w:lineRule="auto"/>
        <w:ind w:firstLine="660" w:firstLineChars="300"/>
        <w:rPr>
          <w:rFonts w:ascii="宋体" w:hAnsi="宋体"/>
          <w:color w:val="auto"/>
          <w:szCs w:val="21"/>
          <w:highlight w:val="none"/>
        </w:rPr>
      </w:pPr>
      <w:r>
        <w:rPr>
          <w:rFonts w:hint="eastAsia" w:ascii="宋体" w:hAnsi="宋体"/>
          <w:color w:val="auto"/>
          <w:szCs w:val="21"/>
          <w:highlight w:val="none"/>
        </w:rPr>
        <w:t>方式：</w:t>
      </w:r>
      <w:r>
        <w:rPr>
          <w:rFonts w:hint="eastAsia" w:ascii="宋体" w:hAnsi="宋体"/>
          <w:color w:val="auto"/>
          <w:szCs w:val="21"/>
          <w:highlight w:val="none"/>
          <w:u w:val="single"/>
        </w:rPr>
        <w:t xml:space="preserve">                             </w:t>
      </w:r>
    </w:p>
    <w:p w14:paraId="3CDFC022">
      <w:pPr>
        <w:pStyle w:val="4"/>
        <w:adjustRightInd w:val="0"/>
        <w:snapToGrid w:val="0"/>
        <w:spacing w:before="50" w:after="0" w:line="240" w:lineRule="auto"/>
        <w:rPr>
          <w:rFonts w:ascii="黑体" w:hAnsi="黑体" w:eastAsia="黑体"/>
          <w:color w:val="auto"/>
          <w:sz w:val="24"/>
          <w:szCs w:val="24"/>
          <w:highlight w:val="none"/>
        </w:rPr>
      </w:pPr>
      <w:bookmarkStart w:id="97" w:name="_Toc5665"/>
      <w:bookmarkStart w:id="98" w:name="_Toc9552"/>
      <w:r>
        <w:rPr>
          <w:rFonts w:hint="eastAsia" w:ascii="黑体" w:hAnsi="黑体" w:eastAsia="黑体"/>
          <w:color w:val="auto"/>
          <w:sz w:val="24"/>
          <w:szCs w:val="24"/>
          <w:highlight w:val="none"/>
        </w:rPr>
        <w:t>4.</w:t>
      </w:r>
      <w:r>
        <w:rPr>
          <w:rFonts w:hint="eastAsia" w:ascii="黑体" w:hAnsi="黑体" w:eastAsia="黑体"/>
          <w:color w:val="auto"/>
          <w:sz w:val="24"/>
          <w:szCs w:val="24"/>
          <w:highlight w:val="none"/>
          <w:lang w:val="en-US" w:eastAsia="zh-CN"/>
        </w:rPr>
        <w:t>付</w:t>
      </w:r>
      <w:r>
        <w:rPr>
          <w:rFonts w:hint="eastAsia" w:ascii="黑体" w:hAnsi="黑体" w:eastAsia="黑体"/>
          <w:color w:val="auto"/>
          <w:sz w:val="24"/>
          <w:szCs w:val="24"/>
          <w:highlight w:val="none"/>
        </w:rPr>
        <w:t>款</w:t>
      </w:r>
      <w:bookmarkEnd w:id="97"/>
      <w:bookmarkEnd w:id="98"/>
    </w:p>
    <w:p w14:paraId="0AF4518C">
      <w:pPr>
        <w:adjustRightInd w:val="0"/>
        <w:snapToGrid w:val="0"/>
        <w:spacing w:before="156" w:beforeLines="50" w:line="240" w:lineRule="auto"/>
        <w:ind w:firstLine="660" w:firstLineChars="300"/>
        <w:rPr>
          <w:rFonts w:ascii="宋体" w:hAnsi="宋体"/>
          <w:bCs/>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0035AAD">
      <w:pPr>
        <w:adjustRightInd w:val="0"/>
        <w:snapToGrid w:val="0"/>
        <w:spacing w:before="156" w:beforeLines="50" w:line="240" w:lineRule="auto"/>
        <w:ind w:firstLine="660" w:firstLineChars="300"/>
        <w:rPr>
          <w:rFonts w:ascii="宋体" w:hAnsi="宋体"/>
          <w:color w:val="auto"/>
          <w:szCs w:val="21"/>
          <w:highlight w:val="none"/>
        </w:rPr>
      </w:pPr>
      <w:r>
        <w:rPr>
          <w:rFonts w:hint="eastAsia" w:ascii="宋体" w:hAnsi="宋体"/>
          <w:bCs/>
          <w:color w:val="auto"/>
          <w:szCs w:val="21"/>
          <w:highlight w:val="none"/>
        </w:rPr>
        <w:t>2、预</w:t>
      </w:r>
      <w:r>
        <w:rPr>
          <w:rFonts w:hint="eastAsia"/>
          <w:bCs/>
          <w:color w:val="auto"/>
          <w:szCs w:val="21"/>
          <w:highlight w:val="none"/>
          <w:lang w:val="en-US" w:eastAsia="zh-CN"/>
        </w:rPr>
        <w:t>付</w:t>
      </w:r>
      <w:r>
        <w:rPr>
          <w:rFonts w:hint="eastAsia" w:ascii="宋体" w:hAnsi="宋体"/>
          <w:bCs/>
          <w:color w:val="auto"/>
          <w:szCs w:val="21"/>
          <w:highlight w:val="none"/>
        </w:rPr>
        <w:t>款根据采购文件的约定，在合同签订前提交不超过合同金额10%的履约担保。</w:t>
      </w:r>
    </w:p>
    <w:p w14:paraId="408EAC8A">
      <w:pPr>
        <w:pStyle w:val="4"/>
        <w:adjustRightInd w:val="0"/>
        <w:snapToGrid w:val="0"/>
        <w:spacing w:before="50" w:after="0" w:line="240" w:lineRule="auto"/>
        <w:rPr>
          <w:rFonts w:ascii="黑体" w:hAnsi="黑体" w:eastAsia="黑体"/>
          <w:color w:val="auto"/>
          <w:sz w:val="24"/>
          <w:szCs w:val="24"/>
          <w:highlight w:val="none"/>
        </w:rPr>
      </w:pPr>
      <w:bookmarkStart w:id="99" w:name="_Toc26428"/>
      <w:bookmarkStart w:id="100" w:name="_Toc2728"/>
      <w:r>
        <w:rPr>
          <w:rFonts w:hint="eastAsia" w:ascii="黑体" w:hAnsi="黑体" w:eastAsia="黑体"/>
          <w:color w:val="auto"/>
          <w:sz w:val="24"/>
          <w:szCs w:val="24"/>
          <w:highlight w:val="none"/>
        </w:rPr>
        <w:t>5.解决合同纠纷方式</w:t>
      </w:r>
      <w:bookmarkEnd w:id="99"/>
      <w:bookmarkEnd w:id="100"/>
    </w:p>
    <w:p w14:paraId="56EE54EC">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首先通过双方协商解决，协商解决不成，则通过以下途径之一解决纠纷：</w:t>
      </w:r>
    </w:p>
    <w:p w14:paraId="3BD7826E">
      <w:pPr>
        <w:adjustRightInd w:val="0"/>
        <w:snapToGrid w:val="0"/>
        <w:spacing w:before="156" w:beforeLines="50" w:line="240" w:lineRule="auto"/>
        <w:ind w:firstLine="880" w:firstLineChars="400"/>
        <w:rPr>
          <w:rFonts w:ascii="宋体" w:hAnsi="宋体"/>
          <w:color w:val="auto"/>
          <w:szCs w:val="21"/>
          <w:highlight w:val="none"/>
        </w:rPr>
      </w:pPr>
      <w:r>
        <w:rPr>
          <w:rFonts w:hint="eastAsia" w:ascii="宋体" w:hAnsi="宋体"/>
          <w:color w:val="auto"/>
          <w:szCs w:val="21"/>
          <w:highlight w:val="none"/>
        </w:rPr>
        <w:t xml:space="preserve">□ 提请仲裁       </w:t>
      </w:r>
      <w:r>
        <w:rPr>
          <w:rFonts w:hint="eastAsia"/>
          <w:color w:val="auto"/>
          <w:szCs w:val="21"/>
          <w:highlight w:val="none"/>
          <w:lang w:eastAsia="zh-CN"/>
        </w:rPr>
        <w:t>☑</w:t>
      </w:r>
      <w:r>
        <w:rPr>
          <w:rFonts w:hint="eastAsia" w:ascii="宋体" w:hAnsi="宋体"/>
          <w:color w:val="auto"/>
          <w:szCs w:val="21"/>
          <w:highlight w:val="none"/>
        </w:rPr>
        <w:t xml:space="preserve"> 向</w:t>
      </w:r>
      <w:r>
        <w:rPr>
          <w:rFonts w:hint="eastAsia"/>
          <w:color w:val="auto"/>
          <w:szCs w:val="21"/>
          <w:highlight w:val="none"/>
          <w:lang w:val="en-US" w:eastAsia="zh-CN"/>
        </w:rPr>
        <w:t>汨罗市</w:t>
      </w:r>
      <w:r>
        <w:rPr>
          <w:rFonts w:hint="eastAsia" w:ascii="宋体" w:hAnsi="宋体"/>
          <w:color w:val="auto"/>
          <w:szCs w:val="21"/>
          <w:highlight w:val="none"/>
        </w:rPr>
        <w:t>人民法院提起诉讼</w:t>
      </w:r>
    </w:p>
    <w:p w14:paraId="6FA7B755">
      <w:pPr>
        <w:pStyle w:val="4"/>
        <w:adjustRightInd w:val="0"/>
        <w:snapToGrid w:val="0"/>
        <w:spacing w:before="50" w:after="0" w:line="240" w:lineRule="auto"/>
        <w:rPr>
          <w:rFonts w:ascii="黑体" w:hAnsi="黑体" w:eastAsia="黑体"/>
          <w:color w:val="auto"/>
          <w:sz w:val="24"/>
          <w:szCs w:val="24"/>
          <w:highlight w:val="none"/>
        </w:rPr>
      </w:pPr>
      <w:bookmarkStart w:id="101" w:name="_Toc4299"/>
      <w:bookmarkStart w:id="102" w:name="_Toc8907"/>
      <w:r>
        <w:rPr>
          <w:rFonts w:hint="eastAsia" w:ascii="黑体" w:hAnsi="黑体" w:eastAsia="黑体"/>
          <w:color w:val="auto"/>
          <w:sz w:val="24"/>
          <w:szCs w:val="24"/>
          <w:highlight w:val="none"/>
        </w:rPr>
        <w:t>6.组成合同的文件</w:t>
      </w:r>
      <w:bookmarkEnd w:id="101"/>
      <w:bookmarkEnd w:id="102"/>
    </w:p>
    <w:p w14:paraId="0BE4266B">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14:paraId="0A687E94">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（1）在采购或合同履行过程中乙方作出的承诺以及双方协商达成的变更或补充协议</w:t>
      </w:r>
    </w:p>
    <w:p w14:paraId="30BC4FA2">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（2）本合同协议书</w:t>
      </w:r>
    </w:p>
    <w:p w14:paraId="0F826BB7">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（3）成交通知书</w:t>
      </w:r>
    </w:p>
    <w:p w14:paraId="4B15CDF7">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（4）响应文件</w:t>
      </w:r>
    </w:p>
    <w:p w14:paraId="04BC0C04">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（5）政府采购合同</w:t>
      </w:r>
    </w:p>
    <w:p w14:paraId="6252E209">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（6）</w:t>
      </w:r>
      <w:r>
        <w:rPr>
          <w:rFonts w:hint="eastAsia"/>
          <w:color w:val="auto"/>
          <w:szCs w:val="21"/>
          <w:highlight w:val="none"/>
          <w:lang w:eastAsia="zh-CN"/>
        </w:rPr>
        <w:t>磋商</w:t>
      </w:r>
      <w:r>
        <w:rPr>
          <w:rFonts w:hint="eastAsia" w:ascii="宋体" w:hAnsi="宋体"/>
          <w:color w:val="auto"/>
          <w:szCs w:val="21"/>
          <w:highlight w:val="none"/>
        </w:rPr>
        <w:t>文件</w:t>
      </w:r>
    </w:p>
    <w:p w14:paraId="09E95594">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（7）标准、规范及有关技术文件，图纸。</w:t>
      </w:r>
    </w:p>
    <w:p w14:paraId="16DD646D">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（8）其他合同文件。</w:t>
      </w:r>
    </w:p>
    <w:p w14:paraId="7F572B9E">
      <w:pPr>
        <w:pStyle w:val="4"/>
        <w:adjustRightInd w:val="0"/>
        <w:snapToGrid w:val="0"/>
        <w:spacing w:before="50" w:after="0" w:line="240" w:lineRule="auto"/>
        <w:rPr>
          <w:rFonts w:ascii="黑体" w:hAnsi="黑体" w:eastAsia="黑体"/>
          <w:color w:val="auto"/>
          <w:sz w:val="24"/>
          <w:szCs w:val="24"/>
          <w:highlight w:val="none"/>
        </w:rPr>
      </w:pPr>
      <w:bookmarkStart w:id="103" w:name="_Toc13423"/>
      <w:bookmarkStart w:id="104" w:name="_Toc16400"/>
      <w:r>
        <w:rPr>
          <w:rFonts w:hint="eastAsia" w:ascii="黑体" w:hAnsi="黑体" w:eastAsia="黑体"/>
          <w:color w:val="auto"/>
          <w:sz w:val="24"/>
          <w:szCs w:val="24"/>
          <w:highlight w:val="none"/>
        </w:rPr>
        <w:t>7.合同生效</w:t>
      </w:r>
      <w:bookmarkEnd w:id="103"/>
      <w:bookmarkEnd w:id="104"/>
    </w:p>
    <w:p w14:paraId="3D5B2D92">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本合同自</w:t>
      </w:r>
      <w:r>
        <w:rPr>
          <w:rFonts w:hint="eastAsia" w:ascii="宋体" w:hAnsi="宋体"/>
          <w:color w:val="auto"/>
          <w:szCs w:val="21"/>
          <w:highlight w:val="none"/>
          <w:u w:val="single"/>
        </w:rPr>
        <w:t xml:space="preserve">                               </w:t>
      </w:r>
      <w:r>
        <w:rPr>
          <w:rFonts w:hint="eastAsia" w:ascii="宋体" w:hAnsi="宋体"/>
          <w:color w:val="auto"/>
          <w:szCs w:val="21"/>
          <w:highlight w:val="none"/>
        </w:rPr>
        <w:t>生效。</w:t>
      </w:r>
    </w:p>
    <w:p w14:paraId="2AE6A105">
      <w:pPr>
        <w:pStyle w:val="4"/>
        <w:adjustRightInd w:val="0"/>
        <w:snapToGrid w:val="0"/>
        <w:spacing w:before="50" w:after="0" w:line="240" w:lineRule="auto"/>
        <w:rPr>
          <w:rFonts w:ascii="黑体" w:hAnsi="黑体" w:eastAsia="黑体"/>
          <w:color w:val="auto"/>
          <w:sz w:val="24"/>
          <w:szCs w:val="24"/>
          <w:highlight w:val="none"/>
        </w:rPr>
      </w:pPr>
      <w:bookmarkStart w:id="105" w:name="_Toc166"/>
      <w:bookmarkStart w:id="106" w:name="_Toc32700"/>
      <w:r>
        <w:rPr>
          <w:rFonts w:hint="eastAsia" w:ascii="黑体" w:hAnsi="黑体" w:eastAsia="黑体"/>
          <w:color w:val="auto"/>
          <w:sz w:val="24"/>
          <w:szCs w:val="24"/>
          <w:highlight w:val="none"/>
        </w:rPr>
        <w:t>8.合同份数</w:t>
      </w:r>
      <w:bookmarkEnd w:id="105"/>
      <w:bookmarkEnd w:id="106"/>
    </w:p>
    <w:p w14:paraId="2777ACAC">
      <w:pPr>
        <w:adjustRightInd w:val="0"/>
        <w:snapToGrid w:val="0"/>
        <w:spacing w:before="156" w:beforeLines="50" w:line="240" w:lineRule="auto"/>
        <w:ind w:firstLine="440" w:firstLineChars="200"/>
        <w:rPr>
          <w:rFonts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rPr>
        <w:t xml:space="preserve">    </w:t>
      </w:r>
      <w:r>
        <w:rPr>
          <w:rFonts w:hint="eastAsia" w:ascii="宋体" w:hAnsi="宋体"/>
          <w:color w:val="auto"/>
          <w:szCs w:val="21"/>
          <w:highlight w:val="none"/>
        </w:rPr>
        <w:t>份，采购人执</w:t>
      </w:r>
      <w:r>
        <w:rPr>
          <w:rFonts w:hint="eastAsia" w:ascii="宋体" w:hAnsi="宋体"/>
          <w:color w:val="auto"/>
          <w:szCs w:val="21"/>
          <w:highlight w:val="none"/>
          <w:u w:val="single"/>
        </w:rPr>
        <w:t xml:space="preserve">   </w:t>
      </w:r>
      <w:r>
        <w:rPr>
          <w:rFonts w:hint="eastAsia" w:ascii="宋体" w:hAnsi="宋体"/>
          <w:color w:val="auto"/>
          <w:szCs w:val="21"/>
          <w:highlight w:val="none"/>
        </w:rPr>
        <w:t>份，供应商执</w:t>
      </w:r>
      <w:r>
        <w:rPr>
          <w:rFonts w:hint="eastAsia" w:ascii="宋体" w:hAnsi="宋体"/>
          <w:color w:val="auto"/>
          <w:szCs w:val="21"/>
          <w:highlight w:val="none"/>
          <w:u w:val="single"/>
        </w:rPr>
        <w:t xml:space="preserve">   </w:t>
      </w:r>
      <w:r>
        <w:rPr>
          <w:rFonts w:hint="eastAsia" w:ascii="宋体" w:hAnsi="宋体"/>
          <w:color w:val="auto"/>
          <w:szCs w:val="21"/>
          <w:highlight w:val="none"/>
        </w:rPr>
        <w:t>份，政府采购监管部门1 份，采购代理机构 1份均具有同等法律效力。</w:t>
      </w:r>
    </w:p>
    <w:tbl>
      <w:tblPr>
        <w:tblStyle w:val="24"/>
        <w:tblpPr w:leftFromText="180" w:rightFromText="180" w:vertAnchor="text" w:horzAnchor="page" w:tblpX="1521" w:tblpY="382"/>
        <w:tblOverlap w:val="never"/>
        <w:tblW w:w="8952" w:type="dxa"/>
        <w:tblInd w:w="0" w:type="dxa"/>
        <w:tblLayout w:type="fixed"/>
        <w:tblCellMar>
          <w:top w:w="0" w:type="dxa"/>
          <w:left w:w="108" w:type="dxa"/>
          <w:bottom w:w="0" w:type="dxa"/>
          <w:right w:w="108" w:type="dxa"/>
        </w:tblCellMar>
      </w:tblPr>
      <w:tblGrid>
        <w:gridCol w:w="4874"/>
        <w:gridCol w:w="4078"/>
      </w:tblGrid>
      <w:tr w14:paraId="5E43FC9B">
        <w:tblPrEx>
          <w:tblCellMar>
            <w:top w:w="0" w:type="dxa"/>
            <w:left w:w="108" w:type="dxa"/>
            <w:bottom w:w="0" w:type="dxa"/>
            <w:right w:w="108" w:type="dxa"/>
          </w:tblCellMar>
        </w:tblPrEx>
        <w:trPr>
          <w:cantSplit/>
          <w:trHeight w:val="3469" w:hRule="atLeast"/>
        </w:trPr>
        <w:tc>
          <w:tcPr>
            <w:tcW w:w="4874" w:type="dxa"/>
            <w:noWrap w:val="0"/>
            <w:vAlign w:val="top"/>
          </w:tcPr>
          <w:p w14:paraId="117316B1">
            <w:pPr>
              <w:adjustRightInd w:val="0"/>
              <w:snapToGrid w:val="0"/>
              <w:spacing w:before="120" w:beforeLines="50" w:line="320" w:lineRule="exact"/>
              <w:rPr>
                <w:rFonts w:hint="eastAsia" w:ascii="宋体" w:hAnsi="宋体"/>
                <w:color w:val="auto"/>
                <w:szCs w:val="21"/>
                <w:highlight w:val="none"/>
              </w:rPr>
            </w:pPr>
            <w:bookmarkStart w:id="107" w:name="_Toc22882"/>
            <w:bookmarkStart w:id="108" w:name="_Toc22201111"/>
            <w:r>
              <w:rPr>
                <w:rFonts w:hint="eastAsia" w:ascii="宋体" w:hAnsi="宋体"/>
                <w:color w:val="auto"/>
                <w:szCs w:val="21"/>
                <w:highlight w:val="none"/>
              </w:rPr>
              <w:t>甲方（盖章）：</w:t>
            </w:r>
          </w:p>
          <w:p w14:paraId="38E9D381">
            <w:pPr>
              <w:adjustRightInd w:val="0"/>
              <w:snapToGrid w:val="0"/>
              <w:spacing w:before="120" w:beforeLines="50" w:line="320" w:lineRule="exact"/>
              <w:rPr>
                <w:rFonts w:hint="eastAsia"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p>
          <w:p w14:paraId="17658288">
            <w:pPr>
              <w:adjustRightInd w:val="0"/>
              <w:snapToGrid w:val="0"/>
              <w:spacing w:before="120" w:beforeLines="50" w:line="320" w:lineRule="exact"/>
              <w:rPr>
                <w:rFonts w:ascii="宋体" w:hAnsi="宋体"/>
                <w:color w:val="auto"/>
                <w:szCs w:val="21"/>
                <w:highlight w:val="none"/>
              </w:rPr>
            </w:pPr>
            <w:r>
              <w:rPr>
                <w:rFonts w:hint="eastAsia" w:ascii="宋体" w:hAnsi="宋体"/>
                <w:color w:val="auto"/>
                <w:szCs w:val="21"/>
                <w:highlight w:val="none"/>
              </w:rPr>
              <w:t>委托代理人：</w:t>
            </w:r>
            <w:r>
              <w:rPr>
                <w:rFonts w:hint="eastAsia" w:ascii="宋体" w:hAnsi="宋体"/>
                <w:color w:val="auto"/>
                <w:szCs w:val="21"/>
                <w:highlight w:val="none"/>
                <w:u w:val="single"/>
              </w:rPr>
              <w:t xml:space="preserve">           </w:t>
            </w:r>
          </w:p>
          <w:p w14:paraId="136B3DA1">
            <w:pPr>
              <w:adjustRightInd w:val="0"/>
              <w:snapToGrid w:val="0"/>
              <w:spacing w:before="120" w:beforeLines="50" w:line="320" w:lineRule="exact"/>
              <w:rPr>
                <w:rFonts w:ascii="宋体" w:hAnsi="宋体"/>
                <w:color w:val="auto"/>
                <w:szCs w:val="21"/>
                <w:highlight w:val="none"/>
                <w:u w:val="single"/>
              </w:rPr>
            </w:pPr>
            <w:r>
              <w:rPr>
                <w:rFonts w:hint="eastAsia" w:ascii="宋体" w:hAnsi="宋体"/>
                <w:color w:val="auto"/>
                <w:szCs w:val="21"/>
                <w:highlight w:val="none"/>
              </w:rPr>
              <w:t>联系电话：</w:t>
            </w:r>
            <w:r>
              <w:rPr>
                <w:rFonts w:hint="eastAsia" w:ascii="宋体" w:hAnsi="宋体"/>
                <w:color w:val="auto"/>
                <w:szCs w:val="21"/>
                <w:highlight w:val="none"/>
                <w:u w:val="single"/>
              </w:rPr>
              <w:t xml:space="preserve">             </w:t>
            </w:r>
          </w:p>
          <w:p w14:paraId="7475CC5A">
            <w:pPr>
              <w:adjustRightInd w:val="0"/>
              <w:snapToGrid w:val="0"/>
              <w:spacing w:before="120" w:beforeLines="50" w:line="320" w:lineRule="exact"/>
              <w:rPr>
                <w:rFonts w:hint="eastAsia" w:ascii="宋体" w:hAnsi="宋体"/>
                <w:color w:val="auto"/>
                <w:szCs w:val="21"/>
                <w:highlight w:val="none"/>
                <w:u w:val="single"/>
              </w:rPr>
            </w:pPr>
            <w:r>
              <w:rPr>
                <w:rFonts w:hint="eastAsia" w:ascii="宋体" w:hAnsi="宋体"/>
                <w:color w:val="auto"/>
                <w:szCs w:val="21"/>
                <w:highlight w:val="none"/>
              </w:rPr>
              <w:t>单位地址：</w:t>
            </w:r>
            <w:r>
              <w:rPr>
                <w:rFonts w:hint="eastAsia" w:ascii="宋体" w:hAnsi="宋体"/>
                <w:color w:val="auto"/>
                <w:szCs w:val="21"/>
                <w:highlight w:val="none"/>
                <w:u w:val="single"/>
              </w:rPr>
              <w:t xml:space="preserve">             </w:t>
            </w:r>
          </w:p>
          <w:p w14:paraId="2214491F">
            <w:pPr>
              <w:adjustRightInd w:val="0"/>
              <w:snapToGrid w:val="0"/>
              <w:spacing w:before="120" w:beforeLines="50" w:line="320" w:lineRule="exact"/>
              <w:ind w:firstLine="440" w:firstLineChars="200"/>
              <w:rPr>
                <w:rFonts w:hint="eastAsia" w:ascii="宋体" w:hAnsi="宋体"/>
                <w:color w:val="auto"/>
                <w:szCs w:val="21"/>
                <w:highlight w:val="none"/>
              </w:rPr>
            </w:pPr>
          </w:p>
        </w:tc>
        <w:tc>
          <w:tcPr>
            <w:tcW w:w="4078" w:type="dxa"/>
            <w:noWrap w:val="0"/>
            <w:vAlign w:val="top"/>
          </w:tcPr>
          <w:p w14:paraId="11AE857D">
            <w:pPr>
              <w:adjustRightInd w:val="0"/>
              <w:snapToGrid w:val="0"/>
              <w:spacing w:before="120" w:beforeLines="50" w:line="320" w:lineRule="exact"/>
              <w:rPr>
                <w:rFonts w:hint="eastAsia" w:ascii="宋体" w:hAnsi="宋体"/>
                <w:color w:val="auto"/>
                <w:szCs w:val="21"/>
                <w:highlight w:val="none"/>
              </w:rPr>
            </w:pPr>
            <w:r>
              <w:rPr>
                <w:rFonts w:hint="eastAsia" w:ascii="宋体" w:hAnsi="宋体"/>
                <w:color w:val="auto"/>
                <w:szCs w:val="21"/>
                <w:highlight w:val="none"/>
              </w:rPr>
              <w:t>乙方（盖章）：</w:t>
            </w:r>
          </w:p>
          <w:p w14:paraId="263D5E78">
            <w:pPr>
              <w:adjustRightInd w:val="0"/>
              <w:snapToGrid w:val="0"/>
              <w:spacing w:before="120" w:beforeLines="50" w:line="320" w:lineRule="exact"/>
              <w:rPr>
                <w:rFonts w:hint="eastAsia"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p>
          <w:p w14:paraId="0F24A79F">
            <w:pPr>
              <w:adjustRightInd w:val="0"/>
              <w:snapToGrid w:val="0"/>
              <w:spacing w:before="120" w:beforeLines="50" w:line="320" w:lineRule="exact"/>
              <w:rPr>
                <w:rFonts w:hint="eastAsia" w:ascii="宋体" w:hAnsi="宋体"/>
                <w:color w:val="auto"/>
                <w:szCs w:val="21"/>
                <w:highlight w:val="none"/>
              </w:rPr>
            </w:pPr>
            <w:r>
              <w:rPr>
                <w:rFonts w:hint="eastAsia" w:ascii="宋体" w:hAnsi="宋体"/>
                <w:color w:val="auto"/>
                <w:szCs w:val="21"/>
                <w:highlight w:val="none"/>
              </w:rPr>
              <w:t>委托代理人：</w:t>
            </w:r>
            <w:r>
              <w:rPr>
                <w:rFonts w:hint="eastAsia" w:ascii="宋体" w:hAnsi="宋体"/>
                <w:color w:val="auto"/>
                <w:szCs w:val="21"/>
                <w:highlight w:val="none"/>
                <w:u w:val="single"/>
              </w:rPr>
              <w:t xml:space="preserve">           </w:t>
            </w:r>
          </w:p>
          <w:p w14:paraId="0A84F17B">
            <w:pPr>
              <w:adjustRightInd w:val="0"/>
              <w:snapToGrid w:val="0"/>
              <w:spacing w:before="120" w:beforeLines="50" w:line="320" w:lineRule="exact"/>
              <w:rPr>
                <w:rFonts w:ascii="宋体" w:hAnsi="宋体"/>
                <w:color w:val="auto"/>
                <w:szCs w:val="21"/>
                <w:highlight w:val="none"/>
                <w:u w:val="single"/>
              </w:rPr>
            </w:pPr>
            <w:r>
              <w:rPr>
                <w:rFonts w:hint="eastAsia" w:ascii="宋体" w:hAnsi="宋体"/>
                <w:color w:val="auto"/>
                <w:szCs w:val="21"/>
                <w:highlight w:val="none"/>
              </w:rPr>
              <w:t>联系电话：</w:t>
            </w:r>
            <w:r>
              <w:rPr>
                <w:rFonts w:hint="eastAsia" w:ascii="宋体" w:hAnsi="宋体"/>
                <w:color w:val="auto"/>
                <w:szCs w:val="21"/>
                <w:highlight w:val="none"/>
                <w:u w:val="single"/>
              </w:rPr>
              <w:t xml:space="preserve">             </w:t>
            </w:r>
          </w:p>
          <w:p w14:paraId="29961426">
            <w:pPr>
              <w:adjustRightInd w:val="0"/>
              <w:snapToGrid w:val="0"/>
              <w:spacing w:before="120" w:beforeLines="50" w:line="320" w:lineRule="exact"/>
              <w:rPr>
                <w:rFonts w:ascii="宋体" w:hAnsi="宋体"/>
                <w:color w:val="auto"/>
                <w:szCs w:val="21"/>
                <w:highlight w:val="none"/>
                <w:u w:val="single"/>
              </w:rPr>
            </w:pPr>
            <w:r>
              <w:rPr>
                <w:rFonts w:hint="eastAsia" w:ascii="宋体" w:hAnsi="宋体"/>
                <w:color w:val="auto"/>
                <w:szCs w:val="21"/>
                <w:highlight w:val="none"/>
              </w:rPr>
              <w:t>单位地址：</w:t>
            </w:r>
            <w:r>
              <w:rPr>
                <w:rFonts w:hint="eastAsia" w:ascii="宋体" w:hAnsi="宋体"/>
                <w:color w:val="auto"/>
                <w:szCs w:val="21"/>
                <w:highlight w:val="none"/>
                <w:u w:val="single"/>
              </w:rPr>
              <w:t xml:space="preserve">             </w:t>
            </w:r>
          </w:p>
          <w:p w14:paraId="5C63DBBE">
            <w:pPr>
              <w:adjustRightInd w:val="0"/>
              <w:snapToGrid w:val="0"/>
              <w:spacing w:before="120" w:beforeLines="50" w:line="320" w:lineRule="exact"/>
              <w:rPr>
                <w:rFonts w:ascii="宋体" w:hAnsi="宋体"/>
                <w:color w:val="auto"/>
                <w:szCs w:val="21"/>
                <w:highlight w:val="none"/>
                <w:u w:val="singl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p>
          <w:p w14:paraId="0F610305">
            <w:pPr>
              <w:adjustRightInd w:val="0"/>
              <w:snapToGrid w:val="0"/>
              <w:spacing w:before="120" w:beforeLines="50" w:line="320" w:lineRule="exact"/>
              <w:rPr>
                <w:rFonts w:hint="eastAsia" w:ascii="宋体" w:hAnsi="宋体"/>
                <w:color w:val="auto"/>
                <w:szCs w:val="21"/>
                <w:highlight w:val="none"/>
                <w:u w:val="single"/>
              </w:rPr>
            </w:pPr>
            <w:r>
              <w:rPr>
                <w:rFonts w:hint="eastAsia" w:ascii="宋体" w:hAnsi="宋体"/>
                <w:color w:val="auto"/>
                <w:szCs w:val="21"/>
                <w:highlight w:val="none"/>
              </w:rPr>
              <w:t>账    号：</w:t>
            </w:r>
            <w:r>
              <w:rPr>
                <w:rFonts w:hint="eastAsia" w:ascii="宋体" w:hAnsi="宋体"/>
                <w:color w:val="auto"/>
                <w:szCs w:val="21"/>
                <w:highlight w:val="none"/>
                <w:u w:val="single"/>
              </w:rPr>
              <w:t xml:space="preserve">              </w:t>
            </w:r>
          </w:p>
        </w:tc>
      </w:tr>
    </w:tbl>
    <w:p w14:paraId="7C59388A">
      <w:pPr>
        <w:rPr>
          <w:rFonts w:hint="eastAsia" w:ascii="黑体" w:hAnsi="黑体" w:eastAsia="黑体"/>
          <w:color w:val="auto"/>
          <w:sz w:val="28"/>
          <w:szCs w:val="28"/>
          <w:highlight w:val="none"/>
        </w:rPr>
      </w:pPr>
      <w:r>
        <w:rPr>
          <w:rFonts w:hint="eastAsia" w:ascii="黑体" w:hAnsi="黑体" w:eastAsia="黑体"/>
          <w:color w:val="auto"/>
          <w:sz w:val="28"/>
          <w:szCs w:val="28"/>
          <w:highlight w:val="none"/>
        </w:rPr>
        <w:br w:type="page"/>
      </w:r>
    </w:p>
    <w:bookmarkEnd w:id="107"/>
    <w:bookmarkEnd w:id="108"/>
    <w:p w14:paraId="4B3CC2F0">
      <w:pPr>
        <w:pStyle w:val="11"/>
        <w:rPr>
          <w:color w:val="auto"/>
          <w:sz w:val="20"/>
          <w:highlight w:val="none"/>
        </w:rPr>
      </w:pPr>
    </w:p>
    <w:p w14:paraId="571ACA0D">
      <w:pPr>
        <w:pStyle w:val="11"/>
        <w:spacing w:before="12"/>
        <w:rPr>
          <w:color w:val="auto"/>
          <w:sz w:val="26"/>
          <w:highlight w:val="none"/>
        </w:rPr>
      </w:pPr>
    </w:p>
    <w:p w14:paraId="76355B5E">
      <w:pPr>
        <w:pStyle w:val="3"/>
        <w:numPr>
          <w:ilvl w:val="0"/>
          <w:numId w:val="0"/>
        </w:numPr>
        <w:tabs>
          <w:tab w:val="left" w:pos="0"/>
        </w:tabs>
        <w:jc w:val="center"/>
        <w:rPr>
          <w:rFonts w:ascii="宋体" w:hAnsi="宋体"/>
          <w:b w:val="0"/>
          <w:sz w:val="28"/>
          <w:szCs w:val="28"/>
        </w:rPr>
      </w:pPr>
      <w:r>
        <w:rPr>
          <w:rFonts w:hint="eastAsia" w:ascii="宋体" w:hAnsi="宋体"/>
          <w:b w:val="0"/>
          <w:sz w:val="28"/>
          <w:szCs w:val="28"/>
        </w:rPr>
        <w:t>第二节政府采购合同通用条款</w:t>
      </w:r>
    </w:p>
    <w:p w14:paraId="0039D1F9">
      <w:pPr>
        <w:tabs>
          <w:tab w:val="left" w:pos="8820"/>
          <w:tab w:val="left" w:pos="9345"/>
          <w:tab w:val="left" w:pos="9765"/>
        </w:tabs>
        <w:snapToGrid w:val="0"/>
        <w:spacing w:line="360" w:lineRule="auto"/>
        <w:ind w:firstLine="420"/>
        <w:jc w:val="left"/>
        <w:rPr>
          <w:rFonts w:ascii="宋体" w:hAnsi="宋体"/>
          <w:sz w:val="24"/>
        </w:rPr>
      </w:pPr>
      <w:r>
        <w:rPr>
          <w:rFonts w:hint="eastAsia" w:ascii="宋体" w:hAnsi="宋体" w:cs="宋体"/>
          <w:b/>
          <w:sz w:val="24"/>
        </w:rPr>
        <w:t>1.</w:t>
      </w:r>
      <w:r>
        <w:rPr>
          <w:rFonts w:hint="eastAsia" w:ascii="宋体" w:hAnsi="宋体" w:cs="宋体"/>
          <w:b/>
          <w:bCs/>
          <w:sz w:val="24"/>
        </w:rPr>
        <w:t>定义</w:t>
      </w:r>
    </w:p>
    <w:p w14:paraId="70CCDB11">
      <w:pPr>
        <w:autoSpaceDE w:val="0"/>
        <w:snapToGrid w:val="0"/>
        <w:spacing w:line="360" w:lineRule="auto"/>
        <w:ind w:firstLine="420"/>
        <w:jc w:val="left"/>
        <w:rPr>
          <w:rFonts w:ascii="宋体" w:hAnsi="宋体"/>
          <w:sz w:val="24"/>
        </w:rPr>
      </w:pPr>
      <w:r>
        <w:rPr>
          <w:rFonts w:hint="eastAsia" w:ascii="宋体" w:hAnsi="宋体" w:cs="宋体"/>
          <w:sz w:val="24"/>
        </w:rPr>
        <w:t>1.1合同当事人</w:t>
      </w:r>
    </w:p>
    <w:p w14:paraId="799E41FB">
      <w:pPr>
        <w:autoSpaceDE w:val="0"/>
        <w:snapToGrid w:val="0"/>
        <w:spacing w:line="360" w:lineRule="auto"/>
        <w:ind w:firstLine="420"/>
        <w:jc w:val="left"/>
        <w:rPr>
          <w:rFonts w:ascii="宋体" w:hAnsi="宋体"/>
          <w:sz w:val="24"/>
        </w:rPr>
      </w:pPr>
      <w:r>
        <w:rPr>
          <w:rFonts w:hint="eastAsia" w:ascii="宋体" w:hAnsi="宋体" w:cs="宋体"/>
          <w:sz w:val="24"/>
        </w:rPr>
        <w:t>（1）采购人（以下称甲方）是指使用财政性资金，通过政府采购程序向投标人购买货物、服务的国家机关、事业单位、团体组织。本次采购的甲方名称、地址见</w:t>
      </w:r>
      <w:r>
        <w:rPr>
          <w:rFonts w:hint="eastAsia" w:ascii="宋体" w:hAnsi="宋体" w:cs="宋体"/>
          <w:b/>
          <w:sz w:val="24"/>
        </w:rPr>
        <w:t>【政府采购合同专用条款】。</w:t>
      </w:r>
    </w:p>
    <w:p w14:paraId="66E01178">
      <w:pPr>
        <w:autoSpaceDE w:val="0"/>
        <w:snapToGrid w:val="0"/>
        <w:spacing w:line="360" w:lineRule="auto"/>
        <w:ind w:firstLine="420"/>
        <w:jc w:val="left"/>
        <w:rPr>
          <w:rFonts w:ascii="宋体" w:hAnsi="宋体"/>
          <w:sz w:val="24"/>
        </w:rPr>
      </w:pPr>
      <w:r>
        <w:rPr>
          <w:rFonts w:hint="eastAsia" w:ascii="宋体" w:hAnsi="宋体" w:cs="宋体"/>
          <w:sz w:val="24"/>
        </w:rPr>
        <w:t>（2）投标人（以下称乙方）是指参加政府采购活动而取得中标结果，并向采购人提供货物、服务的法人、其他组织或者自然人。</w:t>
      </w:r>
    </w:p>
    <w:p w14:paraId="1BEFE24A">
      <w:pPr>
        <w:tabs>
          <w:tab w:val="left" w:pos="570"/>
          <w:tab w:val="left" w:pos="9240"/>
          <w:tab w:val="left" w:pos="9555"/>
        </w:tabs>
        <w:snapToGrid w:val="0"/>
        <w:spacing w:line="360" w:lineRule="auto"/>
        <w:ind w:firstLine="420"/>
        <w:jc w:val="left"/>
        <w:rPr>
          <w:rFonts w:ascii="宋体" w:hAnsi="宋体"/>
          <w:sz w:val="24"/>
        </w:rPr>
      </w:pPr>
      <w:r>
        <w:rPr>
          <w:rFonts w:hint="eastAsia" w:ascii="宋体" w:hAnsi="宋体" w:cs="宋体"/>
          <w:sz w:val="24"/>
        </w:rPr>
        <w:t>1.2本合同下列术语应解释为：</w:t>
      </w:r>
    </w:p>
    <w:p w14:paraId="259E0782">
      <w:pPr>
        <w:tabs>
          <w:tab w:val="left" w:pos="570"/>
          <w:tab w:val="left" w:pos="9240"/>
          <w:tab w:val="left" w:pos="9555"/>
        </w:tabs>
        <w:snapToGrid w:val="0"/>
        <w:spacing w:line="360" w:lineRule="auto"/>
        <w:ind w:firstLine="420"/>
        <w:jc w:val="left"/>
        <w:rPr>
          <w:rFonts w:ascii="宋体" w:hAnsi="宋体"/>
          <w:sz w:val="24"/>
        </w:rPr>
      </w:pPr>
      <w:r>
        <w:rPr>
          <w:rFonts w:hint="eastAsia" w:ascii="宋体" w:hAnsi="宋体" w:cs="宋体"/>
          <w:sz w:val="24"/>
        </w:rPr>
        <w:t>（1）“合同”系指甲乙双方签署的、政府采购合同协议书中载明的甲乙双方所达成的协议，包括所有的附页、附录和上述文件所提到的构成合同的所有文件。</w:t>
      </w:r>
    </w:p>
    <w:p w14:paraId="4C6360F4">
      <w:pPr>
        <w:tabs>
          <w:tab w:val="left" w:pos="570"/>
          <w:tab w:val="left" w:pos="9240"/>
          <w:tab w:val="left" w:pos="9555"/>
        </w:tabs>
        <w:snapToGrid w:val="0"/>
        <w:spacing w:line="360" w:lineRule="auto"/>
        <w:ind w:firstLine="420"/>
        <w:jc w:val="left"/>
        <w:rPr>
          <w:rFonts w:ascii="宋体" w:hAnsi="宋体"/>
          <w:sz w:val="24"/>
        </w:rPr>
      </w:pPr>
      <w:r>
        <w:rPr>
          <w:rFonts w:hint="eastAsia" w:ascii="宋体" w:hAnsi="宋体" w:cs="宋体"/>
          <w:sz w:val="24"/>
        </w:rPr>
        <w:t>（2）“合同价”系指根据本合同规定乙方在正确地完全履行合同义务后甲方应支付给乙方的价款。</w:t>
      </w:r>
    </w:p>
    <w:p w14:paraId="4740FB39">
      <w:pPr>
        <w:tabs>
          <w:tab w:val="left" w:pos="570"/>
          <w:tab w:val="left" w:pos="9240"/>
          <w:tab w:val="left" w:pos="9555"/>
        </w:tabs>
        <w:snapToGrid w:val="0"/>
        <w:spacing w:line="360" w:lineRule="auto"/>
        <w:ind w:firstLine="420"/>
        <w:jc w:val="left"/>
        <w:rPr>
          <w:rFonts w:ascii="宋体" w:hAnsi="宋体"/>
          <w:sz w:val="24"/>
        </w:rPr>
      </w:pPr>
      <w:r>
        <w:rPr>
          <w:rFonts w:hint="eastAsia" w:ascii="宋体" w:hAnsi="宋体" w:cs="宋体"/>
          <w:sz w:val="24"/>
        </w:rPr>
        <w:t>（3）“货物”系指乙方根据本合同规定须向甲方提供的各种形态和种类的物品，包括原材料、设备、产品（包括软件）及相关的其备品备件、工具、手册及其它技术资料和材料。</w:t>
      </w:r>
    </w:p>
    <w:p w14:paraId="56A8DEEB">
      <w:pPr>
        <w:tabs>
          <w:tab w:val="left" w:pos="570"/>
          <w:tab w:val="left" w:pos="8880"/>
          <w:tab w:val="left" w:pos="9555"/>
        </w:tabs>
        <w:snapToGrid w:val="0"/>
        <w:spacing w:line="360" w:lineRule="auto"/>
        <w:ind w:firstLine="420"/>
        <w:jc w:val="left"/>
        <w:rPr>
          <w:rFonts w:ascii="宋体" w:hAnsi="宋体"/>
          <w:sz w:val="24"/>
        </w:rPr>
      </w:pPr>
      <w:r>
        <w:rPr>
          <w:rFonts w:hint="eastAsia" w:ascii="宋体" w:hAnsi="宋体" w:cs="宋体"/>
          <w:sz w:val="24"/>
        </w:rPr>
        <w:t>（4）“伴随服务”系指根据本合同规定乙方承担与供货有关的辅助服务，如运输、保</w:t>
      </w:r>
      <w:r>
        <w:rPr>
          <w:rFonts w:hint="eastAsia" w:ascii="宋体" w:hAnsi="宋体" w:cs="宋体"/>
          <w:spacing w:val="2"/>
          <w:sz w:val="24"/>
        </w:rPr>
        <w:t>险以及其它的伴随服务，例如安装、调试、提供技术</w:t>
      </w:r>
      <w:r>
        <w:rPr>
          <w:rFonts w:hint="eastAsia" w:ascii="宋体" w:hAnsi="宋体" w:cs="宋体"/>
          <w:sz w:val="24"/>
        </w:rPr>
        <w:t>协</w:t>
      </w:r>
      <w:r>
        <w:rPr>
          <w:rFonts w:hint="eastAsia" w:ascii="宋体" w:hAnsi="宋体" w:cs="宋体"/>
          <w:spacing w:val="2"/>
          <w:sz w:val="24"/>
        </w:rPr>
        <w:t>助、培训和合同中规定</w:t>
      </w:r>
      <w:r>
        <w:rPr>
          <w:rFonts w:hint="eastAsia" w:ascii="宋体" w:hAnsi="宋体" w:cs="宋体"/>
          <w:sz w:val="24"/>
        </w:rPr>
        <w:t>乙方应承担的其它义务。</w:t>
      </w:r>
    </w:p>
    <w:p w14:paraId="3F7C9D9F">
      <w:pPr>
        <w:tabs>
          <w:tab w:val="left" w:pos="570"/>
          <w:tab w:val="left" w:pos="9240"/>
          <w:tab w:val="left" w:pos="9555"/>
        </w:tabs>
        <w:snapToGrid w:val="0"/>
        <w:spacing w:line="360" w:lineRule="auto"/>
        <w:ind w:firstLine="420"/>
        <w:jc w:val="left"/>
        <w:rPr>
          <w:rFonts w:ascii="宋体" w:hAnsi="宋体"/>
          <w:sz w:val="24"/>
        </w:rPr>
      </w:pPr>
      <w:r>
        <w:rPr>
          <w:rFonts w:hint="eastAsia" w:ascii="宋体" w:hAnsi="宋体" w:cs="宋体"/>
          <w:sz w:val="24"/>
        </w:rPr>
        <w:t>（5）“合同条款”系指本合同条款。</w:t>
      </w:r>
    </w:p>
    <w:p w14:paraId="33BA9F13">
      <w:pPr>
        <w:tabs>
          <w:tab w:val="left" w:pos="570"/>
          <w:tab w:val="left" w:pos="9240"/>
          <w:tab w:val="left" w:pos="9555"/>
        </w:tabs>
        <w:snapToGrid w:val="0"/>
        <w:spacing w:line="360" w:lineRule="auto"/>
        <w:ind w:firstLine="420"/>
        <w:jc w:val="left"/>
        <w:rPr>
          <w:rFonts w:ascii="宋体" w:hAnsi="宋体"/>
          <w:sz w:val="24"/>
        </w:rPr>
      </w:pPr>
      <w:r>
        <w:rPr>
          <w:rFonts w:hint="eastAsia" w:ascii="宋体" w:hAnsi="宋体" w:cs="宋体"/>
          <w:sz w:val="24"/>
        </w:rPr>
        <w:t>（6）“项目现场”系指本合同项下货物安装、运行的现场，其名称见</w:t>
      </w:r>
      <w:r>
        <w:rPr>
          <w:rFonts w:hint="eastAsia" w:ascii="宋体" w:hAnsi="宋体" w:cs="宋体"/>
          <w:b/>
          <w:sz w:val="24"/>
        </w:rPr>
        <w:t>【政府采购合同专用条款】</w:t>
      </w:r>
      <w:r>
        <w:rPr>
          <w:rFonts w:hint="eastAsia" w:ascii="宋体" w:hAnsi="宋体" w:cs="宋体"/>
          <w:sz w:val="24"/>
        </w:rPr>
        <w:t>。</w:t>
      </w:r>
    </w:p>
    <w:p w14:paraId="08B709F1">
      <w:pPr>
        <w:autoSpaceDE w:val="0"/>
        <w:snapToGrid w:val="0"/>
        <w:spacing w:line="360" w:lineRule="auto"/>
        <w:ind w:firstLine="420"/>
        <w:jc w:val="left"/>
        <w:rPr>
          <w:rFonts w:ascii="宋体" w:hAnsi="宋体"/>
          <w:sz w:val="24"/>
        </w:rPr>
      </w:pPr>
      <w:r>
        <w:rPr>
          <w:rFonts w:hint="eastAsia" w:ascii="宋体" w:hAnsi="宋体" w:cs="宋体"/>
          <w:b/>
          <w:sz w:val="24"/>
        </w:rPr>
        <w:t>2.合同的适用范围</w:t>
      </w:r>
    </w:p>
    <w:p w14:paraId="66FFC554">
      <w:pPr>
        <w:autoSpaceDE w:val="0"/>
        <w:snapToGrid w:val="0"/>
        <w:spacing w:line="360" w:lineRule="auto"/>
        <w:ind w:firstLine="420"/>
        <w:jc w:val="left"/>
        <w:rPr>
          <w:rFonts w:ascii="宋体" w:hAnsi="宋体"/>
          <w:sz w:val="24"/>
        </w:rPr>
      </w:pPr>
      <w:r>
        <w:rPr>
          <w:rFonts w:hint="eastAsia" w:ascii="宋体" w:hAnsi="宋体" w:cs="宋体"/>
          <w:sz w:val="24"/>
        </w:rPr>
        <w:t>2.1 本合同条款适用于没有被本合同其他部分的条款所取代的范围。</w:t>
      </w:r>
    </w:p>
    <w:p w14:paraId="43D5FD24">
      <w:pPr>
        <w:autoSpaceDE w:val="0"/>
        <w:snapToGrid w:val="0"/>
        <w:spacing w:line="360" w:lineRule="auto"/>
        <w:ind w:firstLine="420"/>
        <w:jc w:val="left"/>
        <w:rPr>
          <w:rFonts w:ascii="宋体" w:hAnsi="宋体"/>
          <w:sz w:val="24"/>
        </w:rPr>
      </w:pPr>
      <w:r>
        <w:rPr>
          <w:rFonts w:hint="eastAsia" w:ascii="宋体" w:hAnsi="宋体" w:cs="宋体"/>
          <w:sz w:val="24"/>
        </w:rPr>
        <w:t>2.2 合同内容根据招标文件、投标文件而确定。</w:t>
      </w:r>
    </w:p>
    <w:p w14:paraId="021BB56B">
      <w:pPr>
        <w:autoSpaceDE w:val="0"/>
        <w:snapToGrid w:val="0"/>
        <w:spacing w:line="360" w:lineRule="auto"/>
        <w:ind w:firstLine="420"/>
        <w:jc w:val="left"/>
        <w:rPr>
          <w:rFonts w:ascii="宋体" w:hAnsi="宋体"/>
          <w:sz w:val="24"/>
        </w:rPr>
      </w:pPr>
      <w:r>
        <w:rPr>
          <w:rFonts w:hint="eastAsia" w:ascii="宋体" w:hAnsi="宋体" w:cs="宋体"/>
          <w:b/>
          <w:bCs/>
          <w:sz w:val="24"/>
        </w:rPr>
        <w:t>3.</w:t>
      </w:r>
      <w:r>
        <w:rPr>
          <w:rFonts w:hint="eastAsia" w:ascii="宋体" w:hAnsi="宋体" w:cs="宋体"/>
          <w:b/>
          <w:sz w:val="24"/>
        </w:rPr>
        <w:t>合同标的及金额</w:t>
      </w:r>
    </w:p>
    <w:p w14:paraId="0BB0E2CA">
      <w:pPr>
        <w:autoSpaceDE w:val="0"/>
        <w:snapToGrid w:val="0"/>
        <w:spacing w:line="360" w:lineRule="auto"/>
        <w:ind w:firstLine="420"/>
        <w:jc w:val="left"/>
        <w:rPr>
          <w:rFonts w:ascii="宋体" w:hAnsi="宋体"/>
          <w:sz w:val="24"/>
        </w:rPr>
      </w:pPr>
      <w:r>
        <w:rPr>
          <w:rFonts w:hint="eastAsia" w:ascii="宋体" w:hAnsi="宋体" w:cs="宋体"/>
          <w:sz w:val="24"/>
        </w:rPr>
        <w:t>3.1 合同标的及金额应与中标结果一致。</w:t>
      </w:r>
    </w:p>
    <w:p w14:paraId="614765AF">
      <w:pPr>
        <w:autoSpaceDE w:val="0"/>
        <w:snapToGrid w:val="0"/>
        <w:spacing w:line="360" w:lineRule="auto"/>
        <w:ind w:firstLine="420"/>
        <w:jc w:val="left"/>
        <w:rPr>
          <w:rFonts w:ascii="宋体" w:hAnsi="宋体"/>
          <w:sz w:val="24"/>
        </w:rPr>
      </w:pPr>
      <w:r>
        <w:rPr>
          <w:rFonts w:hint="eastAsia" w:ascii="宋体" w:hAnsi="宋体" w:cs="宋体"/>
          <w:b/>
          <w:bCs/>
          <w:sz w:val="24"/>
        </w:rPr>
        <w:t>4.</w:t>
      </w:r>
      <w:r>
        <w:rPr>
          <w:rFonts w:hint="eastAsia" w:ascii="宋体" w:hAnsi="宋体" w:cs="宋体"/>
          <w:b/>
          <w:sz w:val="24"/>
        </w:rPr>
        <w:t>合同价款</w:t>
      </w:r>
    </w:p>
    <w:p w14:paraId="6D93AEF8">
      <w:pPr>
        <w:snapToGrid w:val="0"/>
        <w:spacing w:line="360" w:lineRule="auto"/>
        <w:ind w:firstLine="420"/>
        <w:jc w:val="left"/>
        <w:rPr>
          <w:rFonts w:ascii="宋体" w:hAnsi="宋体"/>
          <w:sz w:val="24"/>
        </w:rPr>
      </w:pPr>
      <w:r>
        <w:rPr>
          <w:rFonts w:hint="eastAsia" w:ascii="宋体" w:hAnsi="宋体" w:cs="宋体"/>
          <w:sz w:val="24"/>
        </w:rPr>
        <w:t>4.1具体合同价款见本合同第3.1条。乙方为履行本合同而发生的所有费用均应包含在合同价款中，甲方不再另行支付其它任何费用。</w:t>
      </w:r>
    </w:p>
    <w:p w14:paraId="06DA886C">
      <w:pPr>
        <w:snapToGrid w:val="0"/>
        <w:spacing w:line="360" w:lineRule="auto"/>
        <w:ind w:firstLine="420"/>
        <w:jc w:val="left"/>
        <w:rPr>
          <w:rFonts w:ascii="宋体" w:hAnsi="宋体"/>
          <w:sz w:val="24"/>
        </w:rPr>
      </w:pPr>
      <w:r>
        <w:rPr>
          <w:rFonts w:hint="eastAsia" w:ascii="宋体" w:hAnsi="宋体" w:cs="宋体"/>
          <w:b/>
          <w:sz w:val="24"/>
        </w:rPr>
        <w:t>5.履行合同的期限、地点和方式</w:t>
      </w:r>
    </w:p>
    <w:p w14:paraId="67FAE3E8">
      <w:pPr>
        <w:autoSpaceDE w:val="0"/>
        <w:snapToGrid w:val="0"/>
        <w:spacing w:line="360" w:lineRule="auto"/>
        <w:ind w:firstLine="420"/>
        <w:jc w:val="left"/>
        <w:rPr>
          <w:rFonts w:ascii="宋体" w:hAnsi="宋体"/>
          <w:sz w:val="24"/>
        </w:rPr>
      </w:pPr>
      <w:r>
        <w:rPr>
          <w:rFonts w:hint="eastAsia" w:ascii="宋体" w:hAnsi="宋体" w:cs="宋体"/>
          <w:sz w:val="24"/>
        </w:rPr>
        <w:t>5.1 乙方应当在甲方确定的时间、指定的地点履行合同，具体的交货时间、地点和方式见</w:t>
      </w:r>
      <w:r>
        <w:rPr>
          <w:rFonts w:hint="eastAsia" w:ascii="宋体" w:hAnsi="宋体" w:cs="宋体"/>
          <w:b/>
          <w:sz w:val="24"/>
        </w:rPr>
        <w:t>【政府采购合同专用条款】</w:t>
      </w:r>
      <w:r>
        <w:rPr>
          <w:rFonts w:hint="eastAsia" w:ascii="宋体" w:hAnsi="宋体" w:cs="宋体"/>
          <w:sz w:val="24"/>
        </w:rPr>
        <w:t>。</w:t>
      </w:r>
    </w:p>
    <w:p w14:paraId="41C4C3CF">
      <w:pPr>
        <w:autoSpaceDE w:val="0"/>
        <w:snapToGrid w:val="0"/>
        <w:spacing w:line="360" w:lineRule="auto"/>
        <w:ind w:firstLine="420"/>
        <w:jc w:val="left"/>
        <w:rPr>
          <w:rFonts w:ascii="宋体" w:hAnsi="宋体"/>
          <w:sz w:val="24"/>
        </w:rPr>
      </w:pPr>
      <w:r>
        <w:rPr>
          <w:rFonts w:hint="eastAsia" w:ascii="宋体" w:hAnsi="宋体" w:cs="宋体"/>
          <w:sz w:val="24"/>
        </w:rPr>
        <w:t>5.2 乙方提供服务的应当在甲方指定的地点完成服务项目。</w:t>
      </w:r>
    </w:p>
    <w:p w14:paraId="709B1217">
      <w:pPr>
        <w:snapToGrid w:val="0"/>
        <w:spacing w:line="360" w:lineRule="auto"/>
        <w:ind w:firstLine="420"/>
        <w:jc w:val="left"/>
        <w:rPr>
          <w:rFonts w:ascii="宋体" w:hAnsi="宋体"/>
          <w:sz w:val="24"/>
        </w:rPr>
      </w:pPr>
      <w:r>
        <w:rPr>
          <w:rFonts w:hint="eastAsia" w:ascii="宋体" w:hAnsi="宋体" w:cs="宋体"/>
          <w:b/>
          <w:bCs/>
          <w:sz w:val="24"/>
        </w:rPr>
        <w:t>6.</w:t>
      </w:r>
      <w:r>
        <w:rPr>
          <w:rFonts w:hint="eastAsia" w:ascii="宋体" w:hAnsi="宋体" w:cs="宋体"/>
          <w:b/>
          <w:sz w:val="24"/>
        </w:rPr>
        <w:t>货物的验收</w:t>
      </w:r>
    </w:p>
    <w:p w14:paraId="496C1360">
      <w:pPr>
        <w:autoSpaceDE w:val="0"/>
        <w:snapToGrid w:val="0"/>
        <w:spacing w:line="360" w:lineRule="auto"/>
        <w:ind w:firstLine="420"/>
        <w:jc w:val="left"/>
        <w:rPr>
          <w:rFonts w:ascii="宋体" w:hAnsi="宋体"/>
          <w:sz w:val="24"/>
        </w:rPr>
      </w:pPr>
      <w:r>
        <w:rPr>
          <w:rFonts w:hint="eastAsia" w:ascii="宋体" w:hAnsi="宋体" w:cs="宋体"/>
          <w:sz w:val="24"/>
        </w:rPr>
        <w:t>6.1 甲方在收到乙方交付的货物后应当及时组织验收。</w:t>
      </w:r>
    </w:p>
    <w:p w14:paraId="539C0CBB">
      <w:pPr>
        <w:autoSpaceDE w:val="0"/>
        <w:snapToGrid w:val="0"/>
        <w:spacing w:line="360" w:lineRule="auto"/>
        <w:ind w:firstLine="420"/>
        <w:jc w:val="left"/>
        <w:rPr>
          <w:rFonts w:ascii="宋体" w:hAnsi="宋体"/>
          <w:sz w:val="24"/>
        </w:rPr>
      </w:pPr>
      <w:r>
        <w:rPr>
          <w:rFonts w:hint="eastAsia" w:ascii="宋体" w:hAnsi="宋体" w:cs="宋体"/>
          <w:sz w:val="24"/>
        </w:rPr>
        <w:t>6.2 货物的表面瑕疵，甲方应在验收时当面提出；对质量问题有异议的应在安装调试后十个工作日内提出。</w:t>
      </w:r>
    </w:p>
    <w:p w14:paraId="186052AD">
      <w:pPr>
        <w:autoSpaceDE w:val="0"/>
        <w:snapToGrid w:val="0"/>
        <w:spacing w:line="360" w:lineRule="auto"/>
        <w:ind w:firstLine="420"/>
        <w:jc w:val="left"/>
        <w:rPr>
          <w:rFonts w:ascii="宋体" w:hAnsi="宋体"/>
          <w:sz w:val="24"/>
        </w:rPr>
      </w:pPr>
      <w:r>
        <w:rPr>
          <w:rFonts w:hint="eastAsia" w:ascii="宋体" w:hAnsi="宋体" w:cs="宋体"/>
          <w:sz w:val="24"/>
        </w:rPr>
        <w:t>6.3 在验收过程中发现数量不足或有质量、技术等问题，乙方应负责按照甲方的要求采取补足、更换或退货等处理措施，并承担由此发生的一切费用和损失。</w:t>
      </w:r>
    </w:p>
    <w:p w14:paraId="3E3B784B">
      <w:pPr>
        <w:autoSpaceDE w:val="0"/>
        <w:snapToGrid w:val="0"/>
        <w:spacing w:line="360" w:lineRule="auto"/>
        <w:ind w:firstLine="420"/>
        <w:jc w:val="left"/>
        <w:rPr>
          <w:rFonts w:ascii="宋体" w:hAnsi="宋体"/>
          <w:sz w:val="24"/>
        </w:rPr>
      </w:pPr>
      <w:r>
        <w:rPr>
          <w:rFonts w:hint="eastAsia" w:ascii="宋体" w:hAnsi="宋体" w:cs="宋体"/>
          <w:sz w:val="24"/>
        </w:rPr>
        <w:t>6.4 甲方在乙方按合同规定交货或安装、调试后，无正当理由而拖延接收、验收或拒绝接收、验收的，应承担因此给乙方造成的直接损失。</w:t>
      </w:r>
    </w:p>
    <w:p w14:paraId="084F1470">
      <w:pPr>
        <w:autoSpaceDE w:val="0"/>
        <w:snapToGrid w:val="0"/>
        <w:spacing w:line="360" w:lineRule="auto"/>
        <w:ind w:firstLine="420"/>
        <w:jc w:val="left"/>
        <w:rPr>
          <w:rFonts w:ascii="宋体" w:hAnsi="宋体"/>
          <w:sz w:val="24"/>
        </w:rPr>
      </w:pPr>
      <w:r>
        <w:rPr>
          <w:rFonts w:hint="eastAsia" w:ascii="宋体" w:hAnsi="宋体" w:cs="宋体"/>
          <w:sz w:val="24"/>
        </w:rPr>
        <w:t>6.5 甲方对货物进行检查验收合格后，应当收取发票并在《交货验收单》上签署验收意见及加盖单位印章。</w:t>
      </w:r>
    </w:p>
    <w:p w14:paraId="175CA075">
      <w:pPr>
        <w:autoSpaceDE w:val="0"/>
        <w:snapToGrid w:val="0"/>
        <w:spacing w:line="360" w:lineRule="auto"/>
        <w:ind w:firstLine="420"/>
        <w:jc w:val="left"/>
        <w:rPr>
          <w:rFonts w:ascii="宋体" w:hAnsi="宋体"/>
          <w:sz w:val="24"/>
        </w:rPr>
      </w:pPr>
      <w:r>
        <w:rPr>
          <w:rFonts w:hint="eastAsia" w:ascii="宋体" w:hAnsi="宋体" w:cs="宋体"/>
          <w:sz w:val="24"/>
        </w:rPr>
        <w:t>6.6 大型或者复杂的货物采购项目，甲方可以邀请国家认可的质量检测机构参加验收工作，并由其出具验收报告单。</w:t>
      </w:r>
    </w:p>
    <w:p w14:paraId="5CDDA7D7">
      <w:pPr>
        <w:autoSpaceDE w:val="0"/>
        <w:snapToGrid w:val="0"/>
        <w:spacing w:line="360" w:lineRule="auto"/>
        <w:ind w:firstLine="420"/>
        <w:jc w:val="left"/>
        <w:rPr>
          <w:rFonts w:ascii="宋体" w:hAnsi="宋体"/>
          <w:sz w:val="24"/>
        </w:rPr>
      </w:pPr>
      <w:r>
        <w:rPr>
          <w:rFonts w:hint="eastAsia" w:ascii="宋体" w:hAnsi="宋体" w:cs="宋体"/>
          <w:sz w:val="24"/>
        </w:rPr>
        <w:t>6.7 乙方提供的进口产品，乙方应出示中华人民共和国进出口商品检验部门出具的检验证书（招标文件第四章“技术规格、参数及要求”另有约定的除外）。</w:t>
      </w:r>
    </w:p>
    <w:p w14:paraId="3A79578D">
      <w:pPr>
        <w:snapToGrid w:val="0"/>
        <w:spacing w:line="360" w:lineRule="auto"/>
        <w:ind w:firstLine="420"/>
        <w:jc w:val="left"/>
        <w:rPr>
          <w:rFonts w:ascii="宋体" w:hAnsi="宋体"/>
          <w:sz w:val="24"/>
        </w:rPr>
      </w:pPr>
      <w:r>
        <w:rPr>
          <w:rFonts w:hint="eastAsia" w:ascii="宋体" w:hAnsi="宋体" w:cs="宋体"/>
          <w:b/>
          <w:bCs/>
          <w:sz w:val="24"/>
        </w:rPr>
        <w:t>7.货物包装要求</w:t>
      </w:r>
    </w:p>
    <w:p w14:paraId="63468C7C">
      <w:pPr>
        <w:autoSpaceDE w:val="0"/>
        <w:snapToGrid w:val="0"/>
        <w:spacing w:line="360" w:lineRule="auto"/>
        <w:ind w:firstLine="420"/>
        <w:jc w:val="left"/>
        <w:rPr>
          <w:rFonts w:ascii="宋体" w:hAnsi="宋体"/>
          <w:sz w:val="24"/>
        </w:rPr>
      </w:pPr>
      <w:r>
        <w:rPr>
          <w:rFonts w:hint="eastAsia" w:ascii="宋体" w:hAnsi="宋体" w:cs="宋体"/>
          <w:sz w:val="24"/>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60FC5494">
      <w:pPr>
        <w:autoSpaceDE w:val="0"/>
        <w:snapToGrid w:val="0"/>
        <w:spacing w:line="360" w:lineRule="auto"/>
        <w:ind w:firstLine="420"/>
        <w:jc w:val="left"/>
        <w:rPr>
          <w:rFonts w:ascii="宋体" w:hAnsi="宋体"/>
          <w:sz w:val="24"/>
        </w:rPr>
      </w:pPr>
      <w:r>
        <w:rPr>
          <w:rFonts w:hint="eastAsia" w:ascii="宋体" w:hAnsi="宋体" w:cs="宋体"/>
          <w:sz w:val="24"/>
        </w:rPr>
        <w:t>7.2 每一个包装箱内应附一份详细装箱单、质量证书和保修保养证书。</w:t>
      </w:r>
    </w:p>
    <w:p w14:paraId="014930B2">
      <w:pPr>
        <w:snapToGrid w:val="0"/>
        <w:spacing w:line="360" w:lineRule="auto"/>
        <w:ind w:firstLine="420"/>
        <w:jc w:val="left"/>
        <w:rPr>
          <w:rFonts w:ascii="宋体" w:hAnsi="宋体"/>
          <w:sz w:val="24"/>
        </w:rPr>
      </w:pPr>
      <w:r>
        <w:rPr>
          <w:rFonts w:hint="eastAsia" w:ascii="宋体" w:hAnsi="宋体" w:cs="宋体"/>
          <w:b/>
          <w:sz w:val="24"/>
        </w:rPr>
        <w:t>8.运输和保险</w:t>
      </w:r>
    </w:p>
    <w:p w14:paraId="48FC8868">
      <w:pPr>
        <w:snapToGrid w:val="0"/>
        <w:spacing w:line="360" w:lineRule="auto"/>
        <w:ind w:firstLine="420"/>
        <w:jc w:val="left"/>
        <w:rPr>
          <w:rFonts w:ascii="宋体" w:hAnsi="宋体"/>
          <w:sz w:val="24"/>
        </w:rPr>
      </w:pPr>
      <w:r>
        <w:rPr>
          <w:rFonts w:hint="eastAsia" w:ascii="宋体" w:hAnsi="宋体" w:cs="宋体"/>
          <w:sz w:val="24"/>
        </w:rPr>
        <w:t>8.1乙方负责办理将货物运抵本合同第5.1条规定的交货地点的一切运输事项，相关费用应包括在合同总价中。</w:t>
      </w:r>
    </w:p>
    <w:p w14:paraId="5BA1B04C">
      <w:pPr>
        <w:snapToGrid w:val="0"/>
        <w:spacing w:line="360" w:lineRule="auto"/>
        <w:ind w:firstLine="420"/>
        <w:jc w:val="left"/>
        <w:rPr>
          <w:rFonts w:ascii="宋体" w:hAnsi="宋体"/>
          <w:sz w:val="24"/>
        </w:rPr>
      </w:pPr>
      <w:r>
        <w:rPr>
          <w:rFonts w:hint="eastAsia" w:ascii="宋体" w:hAnsi="宋体" w:cs="宋体"/>
          <w:sz w:val="24"/>
        </w:rPr>
        <w:t>8.2乙方应向保险公司投保以甲方为受益人的发运合同货物发票金额的110％运输一切险。</w:t>
      </w:r>
    </w:p>
    <w:p w14:paraId="56D2F885">
      <w:pPr>
        <w:snapToGrid w:val="0"/>
        <w:spacing w:line="360" w:lineRule="auto"/>
        <w:ind w:firstLine="420"/>
        <w:jc w:val="left"/>
        <w:rPr>
          <w:rFonts w:ascii="宋体" w:hAnsi="宋体"/>
          <w:sz w:val="24"/>
        </w:rPr>
      </w:pPr>
      <w:r>
        <w:rPr>
          <w:rFonts w:hint="eastAsia" w:ascii="宋体" w:hAnsi="宋体" w:cs="宋体"/>
          <w:b/>
          <w:sz w:val="24"/>
        </w:rPr>
        <w:t>9.质量标准和保证</w:t>
      </w:r>
    </w:p>
    <w:p w14:paraId="39B986DF">
      <w:pPr>
        <w:pStyle w:val="14"/>
        <w:snapToGrid w:val="0"/>
        <w:spacing w:line="360" w:lineRule="auto"/>
        <w:ind w:firstLine="400"/>
        <w:jc w:val="left"/>
        <w:rPr>
          <w:sz w:val="24"/>
          <w:szCs w:val="24"/>
        </w:rPr>
      </w:pPr>
      <w:r>
        <w:rPr>
          <w:rFonts w:hint="eastAsia" w:cs="宋体"/>
          <w:sz w:val="24"/>
          <w:szCs w:val="24"/>
        </w:rPr>
        <w:t>9.1 质量标准</w:t>
      </w:r>
    </w:p>
    <w:p w14:paraId="69171A95">
      <w:pPr>
        <w:autoSpaceDE w:val="0"/>
        <w:snapToGrid w:val="0"/>
        <w:spacing w:line="360" w:lineRule="auto"/>
        <w:ind w:firstLine="420"/>
        <w:jc w:val="left"/>
        <w:rPr>
          <w:rFonts w:ascii="宋体" w:hAnsi="宋体"/>
          <w:sz w:val="24"/>
        </w:rPr>
      </w:pPr>
      <w:r>
        <w:rPr>
          <w:rFonts w:hint="eastAsia" w:ascii="宋体" w:hAnsi="宋体" w:cs="宋体"/>
          <w:sz w:val="24"/>
        </w:rPr>
        <w:t>（1）本合同下交付的货物应符合招标文件第四章“技术规格、参数与要求”所述的标准。如果没有提及适用标准，则应符合中华人民共和国有关机构发布的最新版本的标准。</w:t>
      </w:r>
    </w:p>
    <w:p w14:paraId="62939ED8">
      <w:pPr>
        <w:pStyle w:val="14"/>
        <w:snapToGrid w:val="0"/>
        <w:spacing w:line="360" w:lineRule="auto"/>
        <w:ind w:firstLine="400"/>
        <w:jc w:val="left"/>
        <w:rPr>
          <w:sz w:val="24"/>
          <w:szCs w:val="24"/>
        </w:rPr>
      </w:pPr>
      <w:r>
        <w:rPr>
          <w:rFonts w:hint="eastAsia" w:cs="宋体"/>
          <w:sz w:val="24"/>
          <w:szCs w:val="24"/>
        </w:rPr>
        <w:t>（2）采用中华人民共和国法定计量单位。</w:t>
      </w:r>
    </w:p>
    <w:p w14:paraId="0B71D6E4">
      <w:pPr>
        <w:autoSpaceDE w:val="0"/>
        <w:snapToGrid w:val="0"/>
        <w:spacing w:line="360" w:lineRule="auto"/>
        <w:ind w:firstLine="420"/>
        <w:jc w:val="left"/>
        <w:rPr>
          <w:rFonts w:ascii="宋体" w:hAnsi="宋体"/>
          <w:sz w:val="24"/>
        </w:rPr>
      </w:pPr>
      <w:r>
        <w:rPr>
          <w:rFonts w:hint="eastAsia" w:ascii="宋体" w:hAnsi="宋体" w:cs="宋体"/>
          <w:sz w:val="24"/>
        </w:rPr>
        <w:t>（3）乙方所出售的货物还应符合国家有关安全、环保、卫生之规定。</w:t>
      </w:r>
    </w:p>
    <w:p w14:paraId="6FF7E08B">
      <w:pPr>
        <w:autoSpaceDE w:val="0"/>
        <w:snapToGrid w:val="0"/>
        <w:spacing w:line="360" w:lineRule="auto"/>
        <w:ind w:firstLine="420"/>
        <w:jc w:val="left"/>
        <w:rPr>
          <w:rFonts w:ascii="宋体" w:hAnsi="宋体"/>
          <w:sz w:val="24"/>
        </w:rPr>
      </w:pPr>
      <w:r>
        <w:rPr>
          <w:rFonts w:hint="eastAsia" w:ascii="宋体" w:hAnsi="宋体" w:cs="宋体"/>
          <w:sz w:val="24"/>
        </w:rPr>
        <w:t>9.2 保证</w:t>
      </w:r>
    </w:p>
    <w:p w14:paraId="21C07272">
      <w:pPr>
        <w:autoSpaceDE w:val="0"/>
        <w:snapToGrid w:val="0"/>
        <w:spacing w:line="360" w:lineRule="auto"/>
        <w:ind w:firstLine="420"/>
        <w:jc w:val="left"/>
        <w:rPr>
          <w:rFonts w:ascii="宋体" w:hAnsi="宋体"/>
          <w:sz w:val="24"/>
        </w:rPr>
      </w:pPr>
      <w:r>
        <w:rPr>
          <w:rFonts w:hint="eastAsia" w:ascii="宋体" w:hAnsi="宋体" w:cs="宋体"/>
          <w:sz w:val="24"/>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cs="宋体"/>
          <w:b/>
          <w:sz w:val="24"/>
        </w:rPr>
        <w:t>【政府采购合同专用条款】</w:t>
      </w:r>
      <w:r>
        <w:rPr>
          <w:rFonts w:hint="eastAsia" w:ascii="宋体" w:hAnsi="宋体" w:cs="宋体"/>
          <w:sz w:val="24"/>
        </w:rPr>
        <w:t>规定或乙方承诺（两者以较长的为准）的质量保证期内，本保证保持有效。</w:t>
      </w:r>
    </w:p>
    <w:p w14:paraId="0F54D796">
      <w:pPr>
        <w:autoSpaceDE w:val="0"/>
        <w:snapToGrid w:val="0"/>
        <w:spacing w:line="360" w:lineRule="auto"/>
        <w:ind w:firstLine="420"/>
        <w:jc w:val="left"/>
        <w:rPr>
          <w:rFonts w:ascii="宋体" w:hAnsi="宋体"/>
          <w:sz w:val="24"/>
        </w:rPr>
      </w:pPr>
      <w:r>
        <w:rPr>
          <w:rFonts w:hint="eastAsia" w:ascii="宋体" w:hAnsi="宋体" w:cs="宋体"/>
          <w:sz w:val="24"/>
        </w:rPr>
        <w:t>（2）在质量保证期内所发现的缺陷，甲方应尽快以书面形式通知乙方。</w:t>
      </w:r>
    </w:p>
    <w:p w14:paraId="14A51BFC">
      <w:pPr>
        <w:autoSpaceDE w:val="0"/>
        <w:snapToGrid w:val="0"/>
        <w:spacing w:line="360" w:lineRule="auto"/>
        <w:ind w:firstLine="420"/>
        <w:jc w:val="left"/>
        <w:rPr>
          <w:rFonts w:ascii="宋体" w:hAnsi="宋体"/>
          <w:sz w:val="24"/>
        </w:rPr>
      </w:pPr>
      <w:r>
        <w:rPr>
          <w:rFonts w:hint="eastAsia" w:ascii="宋体" w:hAnsi="宋体" w:cs="宋体"/>
          <w:sz w:val="24"/>
        </w:rPr>
        <w:t>（3）乙方收到通知后应在</w:t>
      </w:r>
      <w:r>
        <w:rPr>
          <w:rFonts w:hint="eastAsia" w:ascii="宋体" w:hAnsi="宋体" w:cs="宋体"/>
          <w:b/>
          <w:sz w:val="24"/>
        </w:rPr>
        <w:t>【政府采购合同专用条款】</w:t>
      </w:r>
      <w:r>
        <w:rPr>
          <w:rFonts w:hint="eastAsia" w:ascii="宋体" w:hAnsi="宋体" w:cs="宋体"/>
          <w:sz w:val="24"/>
        </w:rPr>
        <w:t>规定的响应时间内以合理的速度免费维修或更换有缺陷的货物或部件。</w:t>
      </w:r>
    </w:p>
    <w:p w14:paraId="337A5770">
      <w:pPr>
        <w:autoSpaceDE w:val="0"/>
        <w:snapToGrid w:val="0"/>
        <w:spacing w:line="360" w:lineRule="auto"/>
        <w:ind w:firstLine="420"/>
        <w:jc w:val="left"/>
        <w:rPr>
          <w:rFonts w:ascii="宋体" w:hAnsi="宋体"/>
          <w:sz w:val="24"/>
        </w:rPr>
      </w:pPr>
      <w:r>
        <w:rPr>
          <w:rFonts w:hint="eastAsia" w:ascii="宋体" w:hAnsi="宋体" w:cs="宋体"/>
          <w:sz w:val="24"/>
        </w:rPr>
        <w:t>（4）在质量保证期内，如果货物的质量或规格与合同不符，或证实货物是有缺陷的，包括潜在的缺陷或使用不符合要求的材料等，甲方可以根据本合同第15.1条规定以书面形式向乙方提出补救措施或索赔。</w:t>
      </w:r>
    </w:p>
    <w:p w14:paraId="77FEE482">
      <w:pPr>
        <w:snapToGrid w:val="0"/>
        <w:spacing w:line="360" w:lineRule="auto"/>
        <w:ind w:firstLine="420"/>
        <w:jc w:val="left"/>
        <w:rPr>
          <w:rFonts w:ascii="宋体" w:hAnsi="宋体"/>
          <w:sz w:val="24"/>
        </w:rPr>
      </w:pPr>
      <w:r>
        <w:rPr>
          <w:rFonts w:hint="eastAsia" w:ascii="宋体" w:hAnsi="宋体" w:cs="宋体"/>
          <w:sz w:val="24"/>
        </w:rPr>
        <w:t>（5）乙方在约定的时间内未能弥补缺陷，甲方可采取必要的补救措施，但其风险和费用将由乙方承担，甲方根据合同规定对乙方行使的其他权利不受影响。</w:t>
      </w:r>
    </w:p>
    <w:p w14:paraId="0682B985">
      <w:pPr>
        <w:snapToGrid w:val="0"/>
        <w:spacing w:line="360" w:lineRule="auto"/>
        <w:ind w:firstLine="420"/>
        <w:jc w:val="left"/>
        <w:rPr>
          <w:rFonts w:ascii="宋体" w:hAnsi="宋体"/>
          <w:sz w:val="24"/>
        </w:rPr>
      </w:pPr>
      <w:r>
        <w:rPr>
          <w:rFonts w:hint="eastAsia" w:ascii="宋体" w:hAnsi="宋体" w:cs="宋体"/>
          <w:b/>
          <w:bCs/>
          <w:sz w:val="24"/>
        </w:rPr>
        <w:t>10.权利瑕疵担保</w:t>
      </w:r>
    </w:p>
    <w:p w14:paraId="2A29D612">
      <w:pPr>
        <w:autoSpaceDE w:val="0"/>
        <w:snapToGrid w:val="0"/>
        <w:spacing w:line="360" w:lineRule="auto"/>
        <w:ind w:firstLine="420"/>
        <w:jc w:val="left"/>
        <w:rPr>
          <w:rFonts w:ascii="宋体" w:hAnsi="宋体"/>
          <w:sz w:val="24"/>
        </w:rPr>
      </w:pPr>
      <w:r>
        <w:rPr>
          <w:rFonts w:hint="eastAsia" w:ascii="宋体" w:hAnsi="宋体" w:cs="宋体"/>
          <w:sz w:val="24"/>
        </w:rPr>
        <w:t>10.1 乙方保证对其出售的货物享有合法的权利。</w:t>
      </w:r>
    </w:p>
    <w:p w14:paraId="10F06042">
      <w:pPr>
        <w:autoSpaceDE w:val="0"/>
        <w:snapToGrid w:val="0"/>
        <w:spacing w:line="360" w:lineRule="auto"/>
        <w:ind w:firstLine="420"/>
        <w:jc w:val="left"/>
        <w:rPr>
          <w:rFonts w:ascii="宋体" w:hAnsi="宋体"/>
          <w:sz w:val="24"/>
        </w:rPr>
      </w:pPr>
      <w:r>
        <w:rPr>
          <w:rFonts w:hint="eastAsia" w:ascii="宋体" w:hAnsi="宋体" w:cs="宋体"/>
          <w:sz w:val="24"/>
        </w:rPr>
        <w:t>10.2 乙方保证在其出售的货物上不存在任何未曾向甲方透露的担保物权，如抵押权、质押权、留置权等。</w:t>
      </w:r>
    </w:p>
    <w:p w14:paraId="24C93B07">
      <w:pPr>
        <w:autoSpaceDE w:val="0"/>
        <w:snapToGrid w:val="0"/>
        <w:spacing w:line="360" w:lineRule="auto"/>
        <w:ind w:firstLine="420"/>
        <w:jc w:val="left"/>
        <w:rPr>
          <w:rFonts w:ascii="宋体" w:hAnsi="宋体"/>
          <w:sz w:val="24"/>
        </w:rPr>
      </w:pPr>
      <w:r>
        <w:rPr>
          <w:rFonts w:hint="eastAsia" w:ascii="宋体" w:hAnsi="宋体" w:cs="宋体"/>
          <w:sz w:val="24"/>
        </w:rPr>
        <w:t>10.3 如甲方使用该货物构成上述侵权的，则由乙方承担全部责任。</w:t>
      </w:r>
    </w:p>
    <w:p w14:paraId="70CC027D">
      <w:pPr>
        <w:autoSpaceDE w:val="0"/>
        <w:snapToGrid w:val="0"/>
        <w:spacing w:line="360" w:lineRule="auto"/>
        <w:ind w:firstLine="420"/>
        <w:jc w:val="left"/>
        <w:rPr>
          <w:rFonts w:ascii="宋体" w:hAnsi="宋体"/>
          <w:sz w:val="24"/>
        </w:rPr>
      </w:pPr>
      <w:r>
        <w:rPr>
          <w:rFonts w:hint="eastAsia" w:ascii="宋体" w:hAnsi="宋体" w:cs="宋体"/>
          <w:b/>
          <w:bCs/>
          <w:sz w:val="24"/>
        </w:rPr>
        <w:t>11.知识产权保护</w:t>
      </w:r>
    </w:p>
    <w:p w14:paraId="0588C852">
      <w:pPr>
        <w:autoSpaceDE w:val="0"/>
        <w:snapToGrid w:val="0"/>
        <w:spacing w:line="360" w:lineRule="auto"/>
        <w:ind w:firstLine="420"/>
        <w:jc w:val="left"/>
        <w:rPr>
          <w:rFonts w:ascii="宋体" w:hAnsi="宋体"/>
          <w:sz w:val="24"/>
        </w:rPr>
      </w:pPr>
      <w:r>
        <w:rPr>
          <w:rFonts w:hint="eastAsia" w:ascii="宋体" w:hAnsi="宋体" w:cs="宋体"/>
          <w:sz w:val="24"/>
        </w:rPr>
        <w:t>11.1 乙方对其所销售的货物应当享有知识产权或经权利人合法授权，保证没有侵犯任何第三人的知识产权和商业秘密等权利。</w:t>
      </w:r>
    </w:p>
    <w:p w14:paraId="51A091C8">
      <w:pPr>
        <w:autoSpaceDE w:val="0"/>
        <w:snapToGrid w:val="0"/>
        <w:spacing w:line="360" w:lineRule="auto"/>
        <w:ind w:firstLine="420"/>
        <w:jc w:val="left"/>
        <w:rPr>
          <w:rFonts w:ascii="宋体" w:hAnsi="宋体"/>
          <w:sz w:val="24"/>
        </w:rPr>
      </w:pPr>
      <w:r>
        <w:rPr>
          <w:rFonts w:hint="eastAsia" w:ascii="宋体" w:hAnsi="宋体" w:cs="宋体"/>
          <w:sz w:val="24"/>
        </w:rPr>
        <w:t>11.2 甲方使用乙方提供的货物对第三人构成侵权的，应当由乙方承担全部法律责任，给甲方造成损害的，乙方应当承担赔偿责任。</w:t>
      </w:r>
    </w:p>
    <w:p w14:paraId="00912D86">
      <w:pPr>
        <w:autoSpaceDE w:val="0"/>
        <w:snapToGrid w:val="0"/>
        <w:spacing w:line="360" w:lineRule="auto"/>
        <w:ind w:firstLine="420"/>
        <w:jc w:val="left"/>
        <w:rPr>
          <w:rFonts w:ascii="宋体" w:hAnsi="宋体"/>
          <w:sz w:val="24"/>
        </w:rPr>
      </w:pPr>
      <w:r>
        <w:rPr>
          <w:rFonts w:hint="eastAsia" w:ascii="宋体" w:hAnsi="宋体" w:cs="宋体"/>
          <w:sz w:val="24"/>
        </w:rPr>
        <w:t>11.3 甲方委托乙方开发的产品，甲方享有知识产权，未经甲方许可不得转让任何第三人。</w:t>
      </w:r>
    </w:p>
    <w:p w14:paraId="49DECC6D">
      <w:pPr>
        <w:autoSpaceDE w:val="0"/>
        <w:snapToGrid w:val="0"/>
        <w:spacing w:line="360" w:lineRule="auto"/>
        <w:ind w:firstLine="420"/>
        <w:jc w:val="left"/>
        <w:rPr>
          <w:rFonts w:ascii="宋体" w:hAnsi="宋体"/>
          <w:sz w:val="24"/>
        </w:rPr>
      </w:pPr>
      <w:r>
        <w:rPr>
          <w:rFonts w:hint="eastAsia" w:ascii="宋体" w:hAnsi="宋体" w:cs="宋体"/>
          <w:b/>
          <w:bCs/>
          <w:sz w:val="24"/>
        </w:rPr>
        <w:t>12.保密义务</w:t>
      </w:r>
    </w:p>
    <w:p w14:paraId="0DBD1DF8">
      <w:pPr>
        <w:autoSpaceDE w:val="0"/>
        <w:snapToGrid w:val="0"/>
        <w:spacing w:line="360" w:lineRule="auto"/>
        <w:ind w:firstLine="420"/>
        <w:jc w:val="left"/>
        <w:rPr>
          <w:rFonts w:ascii="宋体" w:hAnsi="宋体"/>
          <w:sz w:val="24"/>
        </w:rPr>
      </w:pPr>
      <w:r>
        <w:rPr>
          <w:rFonts w:hint="eastAsia" w:ascii="宋体" w:hAnsi="宋体" w:cs="宋体"/>
          <w:sz w:val="24"/>
        </w:rPr>
        <w:t>12.1 甲、乙双方在采购和履行合同过程中所获悉的对方属于保密的内容，双方均有保密义务。</w:t>
      </w:r>
    </w:p>
    <w:p w14:paraId="46D63A29">
      <w:pPr>
        <w:autoSpaceDE w:val="0"/>
        <w:snapToGrid w:val="0"/>
        <w:spacing w:line="360" w:lineRule="auto"/>
        <w:ind w:firstLine="420"/>
        <w:jc w:val="left"/>
        <w:rPr>
          <w:rFonts w:ascii="宋体" w:hAnsi="宋体"/>
          <w:sz w:val="24"/>
        </w:rPr>
      </w:pPr>
      <w:r>
        <w:rPr>
          <w:rFonts w:hint="eastAsia" w:ascii="宋体" w:hAnsi="宋体" w:cs="宋体"/>
          <w:b/>
          <w:bCs/>
          <w:sz w:val="24"/>
        </w:rPr>
        <w:t>13.合同价款支付</w:t>
      </w:r>
    </w:p>
    <w:p w14:paraId="7C69A41B">
      <w:pPr>
        <w:snapToGrid w:val="0"/>
        <w:spacing w:line="360" w:lineRule="auto"/>
        <w:ind w:firstLine="420"/>
        <w:jc w:val="left"/>
        <w:rPr>
          <w:rFonts w:ascii="宋体" w:hAnsi="宋体"/>
          <w:sz w:val="24"/>
        </w:rPr>
      </w:pPr>
      <w:r>
        <w:rPr>
          <w:rFonts w:hint="eastAsia" w:ascii="宋体" w:hAnsi="宋体" w:cs="宋体"/>
          <w:sz w:val="24"/>
        </w:rPr>
        <w:t>13.1验收合格后，乙方出具正规发票给甲方，凭甲方开具的《政府采购合同验收报告单》办理合同价</w:t>
      </w:r>
      <w:r>
        <w:rPr>
          <w:rFonts w:hint="eastAsia" w:ascii="宋体" w:hAnsi="宋体" w:cs="宋体"/>
          <w:bCs/>
          <w:sz w:val="24"/>
        </w:rPr>
        <w:t>款</w:t>
      </w:r>
      <w:r>
        <w:rPr>
          <w:rFonts w:hint="eastAsia" w:ascii="宋体" w:hAnsi="宋体" w:cs="宋体"/>
          <w:sz w:val="24"/>
        </w:rPr>
        <w:t>结算手续。</w:t>
      </w:r>
    </w:p>
    <w:p w14:paraId="17883E9F">
      <w:pPr>
        <w:autoSpaceDE w:val="0"/>
        <w:snapToGrid w:val="0"/>
        <w:spacing w:line="360" w:lineRule="auto"/>
        <w:ind w:firstLine="420"/>
        <w:jc w:val="left"/>
        <w:rPr>
          <w:rFonts w:ascii="宋体" w:hAnsi="宋体"/>
          <w:sz w:val="24"/>
        </w:rPr>
      </w:pPr>
      <w:r>
        <w:rPr>
          <w:rFonts w:hint="eastAsia" w:ascii="宋体" w:hAnsi="宋体" w:cs="宋体"/>
          <w:sz w:val="24"/>
        </w:rPr>
        <w:t>13.2 合同价款构成中应当由财政支付的部分，甲方应当在货物验收合格后的十五个工作日内向国库管理部门申请支付，经国库管理部门审核后直接支付给乙方。</w:t>
      </w:r>
    </w:p>
    <w:p w14:paraId="63EF2F60">
      <w:pPr>
        <w:snapToGrid w:val="0"/>
        <w:spacing w:line="360" w:lineRule="auto"/>
        <w:ind w:firstLine="420"/>
        <w:jc w:val="left"/>
        <w:rPr>
          <w:rFonts w:ascii="宋体" w:hAnsi="宋体"/>
          <w:sz w:val="24"/>
        </w:rPr>
      </w:pPr>
      <w:r>
        <w:rPr>
          <w:rFonts w:hint="eastAsia" w:ascii="宋体" w:hAnsi="宋体" w:cs="宋体"/>
          <w:sz w:val="24"/>
        </w:rPr>
        <w:t>13.3 合同价款构成中应当由甲方自行支付的部分，甲方应当在货物验收合格后十五个工作内支付。</w:t>
      </w:r>
    </w:p>
    <w:p w14:paraId="6DB900B4">
      <w:pPr>
        <w:snapToGrid w:val="0"/>
        <w:spacing w:line="360" w:lineRule="auto"/>
        <w:ind w:firstLine="420"/>
        <w:jc w:val="left"/>
        <w:rPr>
          <w:rFonts w:ascii="宋体" w:hAnsi="宋体"/>
          <w:sz w:val="24"/>
        </w:rPr>
      </w:pPr>
      <w:r>
        <w:rPr>
          <w:rFonts w:hint="eastAsia" w:ascii="宋体" w:hAnsi="宋体" w:cs="宋体"/>
          <w:sz w:val="24"/>
        </w:rPr>
        <w:t>13.4支付合同价</w:t>
      </w:r>
      <w:r>
        <w:rPr>
          <w:rFonts w:hint="eastAsia" w:ascii="宋体" w:hAnsi="宋体" w:cs="宋体"/>
          <w:bCs/>
          <w:sz w:val="24"/>
        </w:rPr>
        <w:t>款</w:t>
      </w:r>
      <w:r>
        <w:rPr>
          <w:rFonts w:hint="eastAsia" w:ascii="宋体" w:hAnsi="宋体" w:cs="宋体"/>
          <w:sz w:val="24"/>
        </w:rPr>
        <w:t>时，一律不向乙方以外的任何第三方办理付款手续。开户行和帐号以签订的政府采购合同为准，如果乙方要求变更，则乙方必须提供加盖了财务专用章、法定代表人签字的证明文件，报经甲方审查同意。</w:t>
      </w:r>
    </w:p>
    <w:p w14:paraId="714BFA5D">
      <w:pPr>
        <w:autoSpaceDE w:val="0"/>
        <w:snapToGrid w:val="0"/>
        <w:spacing w:line="360" w:lineRule="auto"/>
        <w:ind w:firstLine="420"/>
        <w:jc w:val="left"/>
        <w:rPr>
          <w:rFonts w:ascii="宋体" w:hAnsi="宋体"/>
          <w:sz w:val="24"/>
        </w:rPr>
      </w:pPr>
      <w:r>
        <w:rPr>
          <w:rFonts w:hint="eastAsia" w:ascii="宋体" w:hAnsi="宋体" w:cs="宋体"/>
          <w:sz w:val="24"/>
        </w:rPr>
        <w:t>13.5 合同价款支付方式</w:t>
      </w:r>
      <w:r>
        <w:rPr>
          <w:rFonts w:hint="eastAsia" w:ascii="宋体" w:hAnsi="宋体" w:cs="宋体"/>
          <w:bCs/>
          <w:sz w:val="24"/>
        </w:rPr>
        <w:t>和条件在</w:t>
      </w:r>
      <w:r>
        <w:rPr>
          <w:rFonts w:hint="eastAsia" w:ascii="宋体" w:hAnsi="宋体" w:cs="宋体"/>
          <w:b/>
          <w:sz w:val="24"/>
        </w:rPr>
        <w:t>【政府采购合同专用条款】</w:t>
      </w:r>
      <w:r>
        <w:rPr>
          <w:rFonts w:hint="eastAsia" w:ascii="宋体" w:hAnsi="宋体" w:cs="宋体"/>
          <w:sz w:val="24"/>
        </w:rPr>
        <w:t>中另有规定。</w:t>
      </w:r>
    </w:p>
    <w:p w14:paraId="5A6C0AE7">
      <w:pPr>
        <w:autoSpaceDE w:val="0"/>
        <w:snapToGrid w:val="0"/>
        <w:spacing w:line="360" w:lineRule="auto"/>
        <w:ind w:firstLine="420"/>
        <w:jc w:val="left"/>
        <w:rPr>
          <w:rFonts w:ascii="宋体" w:hAnsi="宋体"/>
          <w:sz w:val="24"/>
        </w:rPr>
      </w:pPr>
      <w:r>
        <w:rPr>
          <w:rFonts w:hint="eastAsia" w:ascii="宋体" w:hAnsi="宋体" w:cs="宋体"/>
          <w:b/>
          <w:bCs/>
          <w:sz w:val="24"/>
        </w:rPr>
        <w:t>14.</w:t>
      </w:r>
      <w:r>
        <w:rPr>
          <w:rFonts w:hint="eastAsia" w:ascii="宋体" w:hAnsi="宋体" w:cs="宋体"/>
          <w:b/>
          <w:sz w:val="24"/>
        </w:rPr>
        <w:t>伴随服务</w:t>
      </w:r>
    </w:p>
    <w:p w14:paraId="32D18F41">
      <w:pPr>
        <w:autoSpaceDE w:val="0"/>
        <w:snapToGrid w:val="0"/>
        <w:spacing w:line="360" w:lineRule="auto"/>
        <w:ind w:firstLine="420"/>
        <w:jc w:val="left"/>
        <w:rPr>
          <w:rFonts w:ascii="宋体" w:hAnsi="宋体"/>
          <w:sz w:val="24"/>
        </w:rPr>
      </w:pPr>
      <w:r>
        <w:rPr>
          <w:rFonts w:hint="eastAsia" w:ascii="宋体" w:hAnsi="宋体" w:cs="宋体"/>
          <w:sz w:val="24"/>
        </w:rPr>
        <w:t>14.1 乙方应向甲方提交所提供货物的技术文件，包括相应的中文技术文件，如：产品目录、图纸、操作手册、使用说明、维护手册或服务指南。这些文件应包装好随同货物一起发运。</w:t>
      </w:r>
    </w:p>
    <w:p w14:paraId="071E2548">
      <w:pPr>
        <w:autoSpaceDE w:val="0"/>
        <w:snapToGrid w:val="0"/>
        <w:spacing w:line="360" w:lineRule="auto"/>
        <w:ind w:firstLine="420"/>
        <w:jc w:val="left"/>
        <w:rPr>
          <w:rFonts w:ascii="宋体" w:hAnsi="宋体"/>
          <w:sz w:val="24"/>
        </w:rPr>
      </w:pPr>
      <w:r>
        <w:rPr>
          <w:rFonts w:hint="eastAsia" w:ascii="宋体" w:hAnsi="宋体" w:cs="宋体"/>
          <w:sz w:val="24"/>
        </w:rPr>
        <w:t>14.2 乙方还应提供下列服务：</w:t>
      </w:r>
    </w:p>
    <w:p w14:paraId="43C71870">
      <w:pPr>
        <w:autoSpaceDE w:val="0"/>
        <w:snapToGrid w:val="0"/>
        <w:spacing w:line="360" w:lineRule="auto"/>
        <w:ind w:firstLine="420"/>
        <w:jc w:val="left"/>
        <w:rPr>
          <w:rFonts w:ascii="宋体" w:hAnsi="宋体"/>
          <w:sz w:val="24"/>
        </w:rPr>
      </w:pPr>
      <w:r>
        <w:rPr>
          <w:rFonts w:hint="eastAsia" w:ascii="宋体" w:hAnsi="宋体" w:cs="宋体"/>
          <w:sz w:val="24"/>
        </w:rPr>
        <w:t>（1）货物的现场移动、安装、调试、启动监督及技术支持；</w:t>
      </w:r>
    </w:p>
    <w:p w14:paraId="186B5EAF">
      <w:pPr>
        <w:autoSpaceDE w:val="0"/>
        <w:snapToGrid w:val="0"/>
        <w:spacing w:line="360" w:lineRule="auto"/>
        <w:ind w:firstLine="420"/>
        <w:jc w:val="left"/>
        <w:rPr>
          <w:rFonts w:ascii="宋体" w:hAnsi="宋体"/>
          <w:sz w:val="24"/>
        </w:rPr>
      </w:pPr>
      <w:r>
        <w:rPr>
          <w:rFonts w:hint="eastAsia" w:ascii="宋体" w:hAnsi="宋体" w:cs="宋体"/>
          <w:sz w:val="24"/>
        </w:rPr>
        <w:t>（2）提供货物组装和维修所需的专用工具和辅助材料；</w:t>
      </w:r>
    </w:p>
    <w:p w14:paraId="01F9302F">
      <w:pPr>
        <w:autoSpaceDE w:val="0"/>
        <w:snapToGrid w:val="0"/>
        <w:spacing w:line="360" w:lineRule="auto"/>
        <w:ind w:firstLine="420"/>
        <w:jc w:val="left"/>
        <w:rPr>
          <w:rFonts w:ascii="宋体" w:hAnsi="宋体"/>
          <w:sz w:val="24"/>
        </w:rPr>
      </w:pPr>
      <w:r>
        <w:rPr>
          <w:rFonts w:hint="eastAsia" w:ascii="宋体" w:hAnsi="宋体" w:cs="宋体"/>
          <w:sz w:val="24"/>
        </w:rPr>
        <w:t>（3）在合同各方商定的一定期限内对所有的货物实施运行监督、维修，但前提条件是该服务并不能免除乙方在质量保证期内所承担的义务；</w:t>
      </w:r>
    </w:p>
    <w:p w14:paraId="62791CFA">
      <w:pPr>
        <w:autoSpaceDE w:val="0"/>
        <w:snapToGrid w:val="0"/>
        <w:spacing w:line="360" w:lineRule="auto"/>
        <w:ind w:firstLine="420"/>
        <w:jc w:val="left"/>
        <w:rPr>
          <w:rFonts w:ascii="宋体" w:hAnsi="宋体"/>
          <w:sz w:val="24"/>
        </w:rPr>
      </w:pPr>
      <w:r>
        <w:rPr>
          <w:rFonts w:hint="eastAsia" w:ascii="宋体" w:hAnsi="宋体" w:cs="宋体"/>
          <w:sz w:val="24"/>
        </w:rPr>
        <w:t>（4）在制造商或项目现场就货物的安装、启动、运营、维护对甲方操作人员进行培训。</w:t>
      </w:r>
    </w:p>
    <w:p w14:paraId="454778CF">
      <w:pPr>
        <w:autoSpaceDE w:val="0"/>
        <w:snapToGrid w:val="0"/>
        <w:spacing w:line="360" w:lineRule="auto"/>
        <w:ind w:firstLine="420"/>
        <w:jc w:val="left"/>
        <w:rPr>
          <w:rFonts w:ascii="宋体" w:hAnsi="宋体"/>
          <w:sz w:val="24"/>
        </w:rPr>
      </w:pPr>
      <w:r>
        <w:rPr>
          <w:rFonts w:hint="eastAsia" w:ascii="宋体" w:hAnsi="宋体" w:cs="宋体"/>
          <w:sz w:val="24"/>
        </w:rPr>
        <w:t>（5）</w:t>
      </w:r>
      <w:r>
        <w:rPr>
          <w:rFonts w:hint="eastAsia" w:ascii="宋体" w:hAnsi="宋体" w:cs="宋体"/>
          <w:b/>
          <w:sz w:val="24"/>
        </w:rPr>
        <w:t>【政府采购合同专用条款】</w:t>
      </w:r>
      <w:r>
        <w:rPr>
          <w:rFonts w:hint="eastAsia" w:ascii="宋体" w:hAnsi="宋体" w:cs="宋体"/>
          <w:sz w:val="24"/>
        </w:rPr>
        <w:t>与招标文件第四章“技术规格、参数和要求”规定的其他伴随服务</w:t>
      </w:r>
    </w:p>
    <w:p w14:paraId="58519931">
      <w:pPr>
        <w:autoSpaceDE w:val="0"/>
        <w:snapToGrid w:val="0"/>
        <w:spacing w:line="360" w:lineRule="auto"/>
        <w:ind w:firstLine="420"/>
        <w:jc w:val="left"/>
        <w:rPr>
          <w:rFonts w:ascii="宋体" w:hAnsi="宋体"/>
          <w:sz w:val="24"/>
        </w:rPr>
      </w:pPr>
      <w:r>
        <w:rPr>
          <w:rFonts w:hint="eastAsia" w:ascii="宋体" w:hAnsi="宋体" w:cs="宋体"/>
          <w:sz w:val="24"/>
        </w:rPr>
        <w:t>14.3 乙方提供的伴随服务的费用应包含在合同价款中，甲方不再另行支付。</w:t>
      </w:r>
    </w:p>
    <w:p w14:paraId="53D918D4">
      <w:pPr>
        <w:snapToGrid w:val="0"/>
        <w:spacing w:line="360" w:lineRule="auto"/>
        <w:ind w:firstLine="420"/>
        <w:jc w:val="left"/>
        <w:rPr>
          <w:rFonts w:ascii="宋体" w:hAnsi="宋体"/>
          <w:sz w:val="24"/>
        </w:rPr>
      </w:pPr>
      <w:r>
        <w:rPr>
          <w:rFonts w:hint="eastAsia" w:ascii="宋体" w:hAnsi="宋体" w:cs="宋体"/>
          <w:b/>
          <w:bCs/>
          <w:sz w:val="24"/>
        </w:rPr>
        <w:t>15.违约责任</w:t>
      </w:r>
    </w:p>
    <w:p w14:paraId="68620D7F">
      <w:pPr>
        <w:snapToGrid w:val="0"/>
        <w:spacing w:line="360" w:lineRule="auto"/>
        <w:ind w:firstLine="420"/>
        <w:jc w:val="left"/>
        <w:rPr>
          <w:rFonts w:ascii="宋体" w:hAnsi="宋体"/>
          <w:sz w:val="24"/>
        </w:rPr>
      </w:pPr>
      <w:r>
        <w:rPr>
          <w:rFonts w:hint="eastAsia" w:ascii="宋体" w:hAnsi="宋体" w:cs="宋体"/>
          <w:bCs/>
          <w:sz w:val="24"/>
        </w:rPr>
        <w:t>15.1质量瑕疵的补救措施和索赔</w:t>
      </w:r>
    </w:p>
    <w:p w14:paraId="072EDC15">
      <w:pPr>
        <w:autoSpaceDE w:val="0"/>
        <w:snapToGrid w:val="0"/>
        <w:spacing w:line="360" w:lineRule="auto"/>
        <w:ind w:firstLine="420"/>
        <w:jc w:val="left"/>
        <w:rPr>
          <w:rFonts w:ascii="宋体" w:hAnsi="宋体"/>
          <w:sz w:val="24"/>
        </w:rPr>
      </w:pPr>
      <w:r>
        <w:rPr>
          <w:rFonts w:hint="eastAsia" w:ascii="宋体" w:hAnsi="宋体" w:cs="宋体"/>
          <w:sz w:val="24"/>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53B52236">
      <w:pPr>
        <w:autoSpaceDE w:val="0"/>
        <w:snapToGrid w:val="0"/>
        <w:spacing w:line="360" w:lineRule="auto"/>
        <w:ind w:firstLine="420"/>
        <w:jc w:val="left"/>
        <w:rPr>
          <w:rFonts w:ascii="宋体" w:hAnsi="宋体"/>
          <w:sz w:val="24"/>
        </w:rPr>
      </w:pPr>
      <w:r>
        <w:rPr>
          <w:rFonts w:hint="eastAsia" w:ascii="宋体" w:hAnsi="宋体" w:cs="宋体"/>
          <w:sz w:val="24"/>
        </w:rPr>
        <w:t>①乙方同意退货并将货款退还给甲方，由此发生的一切费用和损失由乙方承担。</w:t>
      </w:r>
    </w:p>
    <w:p w14:paraId="38FDA4DF">
      <w:pPr>
        <w:autoSpaceDE w:val="0"/>
        <w:snapToGrid w:val="0"/>
        <w:spacing w:line="360" w:lineRule="auto"/>
        <w:ind w:firstLine="420"/>
        <w:jc w:val="left"/>
        <w:rPr>
          <w:rFonts w:ascii="宋体" w:hAnsi="宋体"/>
          <w:sz w:val="24"/>
        </w:rPr>
      </w:pPr>
      <w:r>
        <w:rPr>
          <w:rFonts w:hint="eastAsia" w:ascii="宋体" w:hAnsi="宋体" w:cs="宋体"/>
          <w:sz w:val="24"/>
        </w:rPr>
        <w:t>②根据货物的质量状况以及甲方所遭受的损失，经过甲乙双方商定降低货物的价格。</w:t>
      </w:r>
    </w:p>
    <w:p w14:paraId="3F9408EE">
      <w:pPr>
        <w:autoSpaceDE w:val="0"/>
        <w:snapToGrid w:val="0"/>
        <w:spacing w:line="360" w:lineRule="auto"/>
        <w:ind w:firstLine="420"/>
        <w:jc w:val="left"/>
        <w:rPr>
          <w:rFonts w:ascii="宋体" w:hAnsi="宋体"/>
          <w:sz w:val="24"/>
        </w:rPr>
      </w:pPr>
      <w:r>
        <w:rPr>
          <w:rFonts w:hint="eastAsia" w:ascii="宋体" w:hAnsi="宋体" w:cs="宋体"/>
          <w:sz w:val="24"/>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09C24B1F">
      <w:pPr>
        <w:autoSpaceDE w:val="0"/>
        <w:snapToGrid w:val="0"/>
        <w:spacing w:line="360" w:lineRule="auto"/>
        <w:ind w:firstLine="420"/>
        <w:jc w:val="left"/>
        <w:rPr>
          <w:rFonts w:ascii="宋体" w:hAnsi="宋体"/>
          <w:sz w:val="24"/>
        </w:rPr>
      </w:pPr>
      <w:r>
        <w:rPr>
          <w:rFonts w:hint="eastAsia" w:ascii="宋体" w:hAnsi="宋体" w:cs="宋体"/>
          <w:sz w:val="24"/>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FA58AD3">
      <w:pPr>
        <w:autoSpaceDE w:val="0"/>
        <w:snapToGrid w:val="0"/>
        <w:spacing w:line="360" w:lineRule="auto"/>
        <w:ind w:firstLine="420"/>
        <w:jc w:val="left"/>
        <w:rPr>
          <w:rFonts w:ascii="宋体" w:hAnsi="宋体"/>
          <w:sz w:val="24"/>
        </w:rPr>
      </w:pPr>
      <w:r>
        <w:rPr>
          <w:rFonts w:hint="eastAsia" w:ascii="宋体" w:hAnsi="宋体" w:cs="宋体"/>
          <w:bCs/>
          <w:sz w:val="24"/>
        </w:rPr>
        <w:t>15.2 迟延交货的违约责任</w:t>
      </w:r>
    </w:p>
    <w:p w14:paraId="4B3022E5">
      <w:pPr>
        <w:autoSpaceDE w:val="0"/>
        <w:snapToGrid w:val="0"/>
        <w:spacing w:line="360" w:lineRule="auto"/>
        <w:ind w:firstLine="420"/>
        <w:jc w:val="left"/>
        <w:rPr>
          <w:rFonts w:ascii="宋体" w:hAnsi="宋体"/>
          <w:sz w:val="24"/>
        </w:rPr>
      </w:pPr>
      <w:r>
        <w:rPr>
          <w:rFonts w:hint="eastAsia" w:ascii="宋体" w:hAnsi="宋体" w:cs="宋体"/>
          <w:sz w:val="24"/>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2C123371">
      <w:pPr>
        <w:autoSpaceDE w:val="0"/>
        <w:snapToGrid w:val="0"/>
        <w:spacing w:line="360" w:lineRule="auto"/>
        <w:ind w:firstLine="420"/>
        <w:jc w:val="left"/>
        <w:rPr>
          <w:rFonts w:ascii="宋体" w:hAnsi="宋体"/>
          <w:sz w:val="24"/>
        </w:rPr>
      </w:pPr>
      <w:r>
        <w:rPr>
          <w:rFonts w:hint="eastAsia" w:ascii="宋体" w:hAnsi="宋体" w:cs="宋体"/>
          <w:sz w:val="24"/>
        </w:rPr>
        <w:t>（2）除本合同</w:t>
      </w:r>
      <w:r>
        <w:rPr>
          <w:rFonts w:hint="eastAsia" w:ascii="宋体" w:hAnsi="宋体" w:cs="宋体"/>
          <w:bCs/>
          <w:sz w:val="24"/>
        </w:rPr>
        <w:t>第20条</w:t>
      </w:r>
      <w:r>
        <w:rPr>
          <w:rFonts w:hint="eastAsia" w:ascii="宋体" w:hAnsi="宋体" w:cs="宋体"/>
          <w:sz w:val="24"/>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4BB0968E">
      <w:pPr>
        <w:autoSpaceDE w:val="0"/>
        <w:snapToGrid w:val="0"/>
        <w:spacing w:line="360" w:lineRule="auto"/>
        <w:ind w:firstLine="420"/>
        <w:jc w:val="left"/>
        <w:rPr>
          <w:rFonts w:ascii="宋体" w:hAnsi="宋体"/>
          <w:sz w:val="24"/>
        </w:rPr>
      </w:pPr>
      <w:r>
        <w:rPr>
          <w:rFonts w:hint="eastAsia" w:ascii="宋体" w:hAnsi="宋体" w:cs="宋体"/>
          <w:sz w:val="24"/>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75F78C18">
      <w:pPr>
        <w:autoSpaceDE w:val="0"/>
        <w:snapToGrid w:val="0"/>
        <w:spacing w:line="360" w:lineRule="auto"/>
        <w:ind w:firstLine="420"/>
        <w:jc w:val="left"/>
        <w:rPr>
          <w:rFonts w:ascii="宋体" w:hAnsi="宋体"/>
          <w:sz w:val="24"/>
        </w:rPr>
      </w:pPr>
      <w:r>
        <w:rPr>
          <w:rFonts w:hint="eastAsia" w:ascii="宋体" w:hAnsi="宋体" w:cs="宋体"/>
          <w:b/>
          <w:sz w:val="24"/>
        </w:rPr>
        <w:t>16.合同的变更</w:t>
      </w:r>
    </w:p>
    <w:p w14:paraId="265AEA4A">
      <w:pPr>
        <w:autoSpaceDE w:val="0"/>
        <w:snapToGrid w:val="0"/>
        <w:spacing w:line="360" w:lineRule="auto"/>
        <w:ind w:firstLine="420"/>
        <w:jc w:val="left"/>
        <w:rPr>
          <w:rFonts w:ascii="宋体" w:hAnsi="宋体"/>
          <w:sz w:val="24"/>
        </w:rPr>
      </w:pPr>
      <w:r>
        <w:rPr>
          <w:rFonts w:hint="eastAsia" w:ascii="宋体" w:hAnsi="宋体" w:cs="宋体"/>
          <w:sz w:val="24"/>
        </w:rPr>
        <w:t>16.1 在合同履行过程中，甲、乙双方可就合同履行的时间、地点和方式等协商进行变更。协商一致后，双方应签订书面的补充协议。</w:t>
      </w:r>
    </w:p>
    <w:p w14:paraId="642ED672">
      <w:pPr>
        <w:autoSpaceDE w:val="0"/>
        <w:snapToGrid w:val="0"/>
        <w:spacing w:line="360" w:lineRule="auto"/>
        <w:ind w:firstLine="420"/>
        <w:jc w:val="left"/>
        <w:rPr>
          <w:rFonts w:ascii="宋体" w:hAnsi="宋体"/>
          <w:sz w:val="24"/>
        </w:rPr>
      </w:pPr>
      <w:r>
        <w:rPr>
          <w:rFonts w:hint="eastAsia" w:ascii="宋体" w:hAnsi="宋体" w:cs="宋体"/>
          <w:sz w:val="24"/>
        </w:rPr>
        <w:t>16.2 在不改变合同其他条款的前提下，甲方有权在合同价款百分之十的范围内追加与合同标的相同的货物或服务，并就此与乙方签订补充合同，乙方不得拒绝。</w:t>
      </w:r>
    </w:p>
    <w:p w14:paraId="70F05C9D">
      <w:pPr>
        <w:autoSpaceDE w:val="0"/>
        <w:snapToGrid w:val="0"/>
        <w:spacing w:line="360" w:lineRule="auto"/>
        <w:ind w:firstLine="420"/>
        <w:jc w:val="left"/>
        <w:rPr>
          <w:rFonts w:ascii="宋体" w:hAnsi="宋体"/>
          <w:sz w:val="24"/>
        </w:rPr>
      </w:pPr>
      <w:r>
        <w:rPr>
          <w:rFonts w:hint="eastAsia" w:ascii="宋体" w:hAnsi="宋体" w:cs="宋体"/>
          <w:sz w:val="24"/>
        </w:rPr>
        <w:t>16.3 除双方签署书面协议，并成为合同不可分割的一部分外，本合同条件不得有任何变更。</w:t>
      </w:r>
    </w:p>
    <w:p w14:paraId="40366030">
      <w:pPr>
        <w:autoSpaceDE w:val="0"/>
        <w:snapToGrid w:val="0"/>
        <w:spacing w:line="360" w:lineRule="auto"/>
        <w:ind w:firstLine="420"/>
        <w:jc w:val="left"/>
        <w:rPr>
          <w:rFonts w:ascii="宋体" w:hAnsi="宋体"/>
          <w:sz w:val="24"/>
        </w:rPr>
      </w:pPr>
      <w:r>
        <w:rPr>
          <w:rFonts w:hint="eastAsia" w:ascii="宋体" w:hAnsi="宋体" w:cs="宋体"/>
          <w:b/>
          <w:sz w:val="24"/>
        </w:rPr>
        <w:t>17.合同中止与终止</w:t>
      </w:r>
    </w:p>
    <w:p w14:paraId="37DA9B25">
      <w:pPr>
        <w:snapToGrid w:val="0"/>
        <w:spacing w:line="360" w:lineRule="auto"/>
        <w:ind w:firstLine="420"/>
        <w:jc w:val="left"/>
        <w:rPr>
          <w:rFonts w:ascii="宋体" w:hAnsi="宋体"/>
          <w:sz w:val="24"/>
        </w:rPr>
      </w:pPr>
      <w:r>
        <w:rPr>
          <w:rFonts w:hint="eastAsia" w:ascii="宋体" w:hAnsi="宋体" w:cs="宋体"/>
          <w:sz w:val="24"/>
        </w:rPr>
        <w:t>17.1合同的中止</w:t>
      </w:r>
    </w:p>
    <w:p w14:paraId="604150A6">
      <w:pPr>
        <w:autoSpaceDE w:val="0"/>
        <w:snapToGrid w:val="0"/>
        <w:spacing w:line="360" w:lineRule="auto"/>
        <w:ind w:firstLine="420"/>
        <w:jc w:val="left"/>
        <w:rPr>
          <w:rFonts w:ascii="宋体" w:hAnsi="宋体"/>
          <w:sz w:val="24"/>
        </w:rPr>
      </w:pPr>
      <w:r>
        <w:rPr>
          <w:rFonts w:hint="eastAsia" w:ascii="宋体" w:hAnsi="宋体" w:cs="宋体"/>
          <w:sz w:val="24"/>
        </w:rPr>
        <w:t>（1）合同在履行过程中，因采购计划调整，甲方可以要求中止履行，待计划确定后继续履行；</w:t>
      </w:r>
    </w:p>
    <w:p w14:paraId="029BBF94">
      <w:pPr>
        <w:autoSpaceDE w:val="0"/>
        <w:snapToGrid w:val="0"/>
        <w:spacing w:line="360" w:lineRule="auto"/>
        <w:ind w:firstLine="420"/>
        <w:jc w:val="left"/>
        <w:rPr>
          <w:rFonts w:ascii="宋体" w:hAnsi="宋体"/>
          <w:sz w:val="24"/>
        </w:rPr>
      </w:pPr>
      <w:r>
        <w:rPr>
          <w:rFonts w:hint="eastAsia" w:ascii="宋体" w:hAnsi="宋体" w:cs="宋体"/>
          <w:sz w:val="24"/>
        </w:rPr>
        <w:t>（2）合同履行过程中因投标人就采购过程或结果提起投诉的，甲方认为有必要或财政部门责令中止的，应当中止合同的履行。</w:t>
      </w:r>
    </w:p>
    <w:p w14:paraId="5D69E03B">
      <w:pPr>
        <w:snapToGrid w:val="0"/>
        <w:spacing w:line="360" w:lineRule="auto"/>
        <w:ind w:firstLine="420"/>
        <w:jc w:val="left"/>
        <w:rPr>
          <w:rFonts w:ascii="宋体" w:hAnsi="宋体"/>
          <w:sz w:val="24"/>
        </w:rPr>
      </w:pPr>
      <w:r>
        <w:rPr>
          <w:rFonts w:hint="eastAsia" w:ascii="宋体" w:hAnsi="宋体" w:cs="宋体"/>
          <w:sz w:val="24"/>
        </w:rPr>
        <w:t>17.2合同的终止</w:t>
      </w:r>
    </w:p>
    <w:p w14:paraId="15777A39">
      <w:pPr>
        <w:autoSpaceDE w:val="0"/>
        <w:snapToGrid w:val="0"/>
        <w:spacing w:line="360" w:lineRule="auto"/>
        <w:ind w:firstLine="420"/>
        <w:jc w:val="left"/>
        <w:rPr>
          <w:rFonts w:ascii="宋体" w:hAnsi="宋体"/>
          <w:sz w:val="24"/>
        </w:rPr>
      </w:pPr>
      <w:r>
        <w:rPr>
          <w:rFonts w:hint="eastAsia" w:ascii="宋体" w:hAnsi="宋体" w:cs="宋体"/>
          <w:sz w:val="24"/>
        </w:rPr>
        <w:t>（1）合同因有效期限届满而终止；</w:t>
      </w:r>
    </w:p>
    <w:p w14:paraId="2C145D3D">
      <w:pPr>
        <w:autoSpaceDE w:val="0"/>
        <w:snapToGrid w:val="0"/>
        <w:spacing w:line="360" w:lineRule="auto"/>
        <w:ind w:firstLine="420"/>
        <w:jc w:val="left"/>
        <w:rPr>
          <w:rFonts w:ascii="宋体" w:hAnsi="宋体"/>
          <w:sz w:val="24"/>
        </w:rPr>
      </w:pPr>
      <w:r>
        <w:rPr>
          <w:rFonts w:hint="eastAsia" w:ascii="宋体" w:hAnsi="宋体" w:cs="宋体"/>
          <w:sz w:val="24"/>
        </w:rPr>
        <w:t>（2）乙方未能依照本合同约定条件履行合同，已构成根本性违约的，甲方有权终止本合同，并追究乙方的违约责任。</w:t>
      </w:r>
    </w:p>
    <w:p w14:paraId="5ED4A93D">
      <w:pPr>
        <w:autoSpaceDE w:val="0"/>
        <w:snapToGrid w:val="0"/>
        <w:spacing w:line="360" w:lineRule="auto"/>
        <w:ind w:firstLine="420"/>
        <w:jc w:val="left"/>
        <w:rPr>
          <w:rFonts w:ascii="宋体" w:hAnsi="宋体"/>
          <w:sz w:val="24"/>
        </w:rPr>
      </w:pPr>
      <w:r>
        <w:rPr>
          <w:rFonts w:hint="eastAsia" w:ascii="宋体" w:hAnsi="宋体" w:cs="宋体"/>
          <w:sz w:val="24"/>
        </w:rPr>
        <w:t>（3）如果乙方丧失履约能力或被宣告破产，甲方可在任何时候以书面形式通知乙方终止合同而不给乙方补偿。</w:t>
      </w:r>
    </w:p>
    <w:p w14:paraId="7D958833">
      <w:pPr>
        <w:autoSpaceDE w:val="0"/>
        <w:snapToGrid w:val="0"/>
        <w:spacing w:line="360" w:lineRule="auto"/>
        <w:ind w:firstLine="420"/>
        <w:jc w:val="left"/>
        <w:rPr>
          <w:rFonts w:ascii="宋体" w:hAnsi="宋体"/>
          <w:sz w:val="24"/>
        </w:rPr>
      </w:pPr>
      <w:r>
        <w:rPr>
          <w:rFonts w:hint="eastAsia" w:ascii="宋体" w:hAnsi="宋体" w:cs="宋体"/>
          <w:sz w:val="24"/>
        </w:rPr>
        <w:t>（4）如果乙方在履行合同过程中有不正当竞争行为，甲方有权解除合同，并按《中华人民共和国反不正当竞争法》规定由有关部门追究其法律责任。</w:t>
      </w:r>
    </w:p>
    <w:p w14:paraId="5388A341">
      <w:pPr>
        <w:autoSpaceDE w:val="0"/>
        <w:snapToGrid w:val="0"/>
        <w:spacing w:line="360" w:lineRule="auto"/>
        <w:ind w:firstLine="420"/>
        <w:jc w:val="left"/>
        <w:rPr>
          <w:rFonts w:ascii="宋体" w:hAnsi="宋体"/>
          <w:sz w:val="24"/>
        </w:rPr>
      </w:pPr>
      <w:r>
        <w:rPr>
          <w:rFonts w:hint="eastAsia" w:ascii="宋体" w:hAnsi="宋体" w:cs="宋体"/>
          <w:sz w:val="24"/>
        </w:rPr>
        <w:t>（5）如果合同的履行将损害国家利益或社会公共利益，甲方有权终止合同的履行，给乙方造成损失的予以相应补偿。</w:t>
      </w:r>
    </w:p>
    <w:p w14:paraId="117DE4C4">
      <w:pPr>
        <w:autoSpaceDE w:val="0"/>
        <w:snapToGrid w:val="0"/>
        <w:spacing w:line="360" w:lineRule="auto"/>
        <w:ind w:firstLine="420"/>
        <w:jc w:val="left"/>
        <w:rPr>
          <w:rFonts w:ascii="宋体" w:hAnsi="宋体"/>
          <w:sz w:val="24"/>
        </w:rPr>
      </w:pPr>
      <w:r>
        <w:rPr>
          <w:rFonts w:hint="eastAsia" w:ascii="宋体" w:hAnsi="宋体" w:cs="宋体"/>
          <w:b/>
          <w:bCs/>
          <w:sz w:val="24"/>
        </w:rPr>
        <w:t>18.合同转让和分包</w:t>
      </w:r>
    </w:p>
    <w:p w14:paraId="53C49508">
      <w:pPr>
        <w:autoSpaceDE w:val="0"/>
        <w:snapToGrid w:val="0"/>
        <w:spacing w:line="360" w:lineRule="auto"/>
        <w:ind w:firstLine="420"/>
        <w:jc w:val="left"/>
        <w:rPr>
          <w:rFonts w:ascii="宋体" w:hAnsi="宋体"/>
          <w:sz w:val="24"/>
        </w:rPr>
      </w:pPr>
      <w:r>
        <w:rPr>
          <w:rFonts w:hint="eastAsia" w:ascii="宋体" w:hAnsi="宋体" w:cs="宋体"/>
          <w:sz w:val="24"/>
        </w:rPr>
        <w:t>18.1 乙方不得以任何形式将合同转包。</w:t>
      </w:r>
    </w:p>
    <w:p w14:paraId="413358E8">
      <w:pPr>
        <w:autoSpaceDE w:val="0"/>
        <w:snapToGrid w:val="0"/>
        <w:spacing w:line="360" w:lineRule="auto"/>
        <w:ind w:firstLine="420"/>
        <w:jc w:val="left"/>
        <w:rPr>
          <w:rFonts w:ascii="宋体" w:hAnsi="宋体"/>
          <w:sz w:val="24"/>
        </w:rPr>
      </w:pPr>
      <w:r>
        <w:rPr>
          <w:rFonts w:hint="eastAsia" w:ascii="宋体" w:hAnsi="宋体" w:cs="宋体"/>
          <w:sz w:val="24"/>
        </w:rPr>
        <w:t>18.2 乙方未在投标文件中说明，不得将</w:t>
      </w:r>
      <w:r>
        <w:rPr>
          <w:rFonts w:hint="eastAsia" w:ascii="宋体" w:hAnsi="宋体" w:cs="宋体"/>
          <w:bCs/>
          <w:sz w:val="24"/>
        </w:rPr>
        <w:t>合同</w:t>
      </w:r>
      <w:r>
        <w:rPr>
          <w:rFonts w:hint="eastAsia" w:ascii="宋体" w:hAnsi="宋体" w:cs="宋体"/>
          <w:sz w:val="24"/>
        </w:rPr>
        <w:t>的非主体、非关键性工作分包给他人。</w:t>
      </w:r>
    </w:p>
    <w:p w14:paraId="4ECE756B">
      <w:pPr>
        <w:autoSpaceDE w:val="0"/>
        <w:snapToGrid w:val="0"/>
        <w:spacing w:line="360" w:lineRule="auto"/>
        <w:ind w:firstLine="420"/>
        <w:jc w:val="left"/>
        <w:rPr>
          <w:rFonts w:ascii="宋体" w:hAnsi="宋体"/>
          <w:sz w:val="24"/>
        </w:rPr>
      </w:pPr>
      <w:r>
        <w:rPr>
          <w:rFonts w:hint="eastAsia" w:ascii="宋体" w:hAnsi="宋体" w:cs="宋体"/>
          <w:sz w:val="24"/>
        </w:rPr>
        <w:t>18.3 根据政府采购</w:t>
      </w:r>
      <w:r>
        <w:rPr>
          <w:rFonts w:hint="eastAsia" w:ascii="宋体" w:hAnsi="宋体" w:cs="宋体"/>
          <w:bCs/>
          <w:kern w:val="0"/>
          <w:sz w:val="24"/>
        </w:rPr>
        <w:t>支持</w:t>
      </w:r>
      <w:r>
        <w:rPr>
          <w:rFonts w:hint="eastAsia" w:ascii="宋体" w:hAnsi="宋体" w:cs="宋体"/>
          <w:sz w:val="24"/>
        </w:rPr>
        <w:t>中小企业发展政策规定，经甲方同意，获得政府采购合同的大型企业可依法向中小企业分包。</w:t>
      </w:r>
    </w:p>
    <w:p w14:paraId="297AC498">
      <w:pPr>
        <w:autoSpaceDE w:val="0"/>
        <w:snapToGrid w:val="0"/>
        <w:spacing w:line="360" w:lineRule="auto"/>
        <w:ind w:firstLine="420"/>
        <w:jc w:val="left"/>
        <w:rPr>
          <w:rFonts w:ascii="宋体" w:hAnsi="宋体"/>
          <w:sz w:val="24"/>
        </w:rPr>
      </w:pPr>
      <w:r>
        <w:rPr>
          <w:rFonts w:hint="eastAsia" w:ascii="宋体" w:hAnsi="宋体" w:cs="宋体"/>
          <w:b/>
          <w:bCs/>
          <w:sz w:val="24"/>
        </w:rPr>
        <w:t>19.不可抗力</w:t>
      </w:r>
    </w:p>
    <w:p w14:paraId="16823C93">
      <w:pPr>
        <w:autoSpaceDE w:val="0"/>
        <w:snapToGrid w:val="0"/>
        <w:spacing w:line="360" w:lineRule="auto"/>
        <w:ind w:firstLine="420"/>
        <w:jc w:val="left"/>
        <w:rPr>
          <w:rFonts w:ascii="宋体" w:hAnsi="宋体"/>
          <w:sz w:val="24"/>
        </w:rPr>
      </w:pPr>
      <w:r>
        <w:rPr>
          <w:rFonts w:hint="eastAsia" w:ascii="宋体" w:hAnsi="宋体" w:cs="宋体"/>
          <w:sz w:val="24"/>
        </w:rPr>
        <w:t>19.1 不可抗力是指合同双方不可预见、不可避免、不可克服的自然灾害和社会事件。</w:t>
      </w:r>
    </w:p>
    <w:p w14:paraId="42F2CBDD">
      <w:pPr>
        <w:autoSpaceDE w:val="0"/>
        <w:snapToGrid w:val="0"/>
        <w:spacing w:line="360" w:lineRule="auto"/>
        <w:ind w:firstLine="420"/>
        <w:jc w:val="left"/>
        <w:rPr>
          <w:rFonts w:ascii="宋体" w:hAnsi="宋体"/>
          <w:sz w:val="24"/>
        </w:rPr>
      </w:pPr>
      <w:r>
        <w:rPr>
          <w:rFonts w:hint="eastAsia" w:ascii="宋体" w:hAnsi="宋体" w:cs="宋体"/>
          <w:sz w:val="24"/>
        </w:rPr>
        <w:t>19.2 任何一方对由于不可抗力造成的部分或全部不能履行合同不承担违约责任。但迟延履行后发生不可抗力的，不能免除责任。</w:t>
      </w:r>
    </w:p>
    <w:p w14:paraId="0A9B9F10">
      <w:pPr>
        <w:autoSpaceDE w:val="0"/>
        <w:snapToGrid w:val="0"/>
        <w:spacing w:line="360" w:lineRule="auto"/>
        <w:ind w:firstLine="420"/>
        <w:jc w:val="left"/>
        <w:rPr>
          <w:rFonts w:ascii="宋体" w:hAnsi="宋体"/>
          <w:sz w:val="24"/>
        </w:rPr>
      </w:pPr>
      <w:r>
        <w:rPr>
          <w:rFonts w:hint="eastAsia" w:ascii="宋体" w:hAnsi="宋体" w:cs="宋体"/>
          <w:sz w:val="24"/>
        </w:rPr>
        <w:t>19.3 遇有不可抗力的一方，应在三日内将事件的情况以书面形式通知另一方，并在事件发生后十日内，向另一方提交合同不能履行或部分不能履行或需要延期履行理由的报告。</w:t>
      </w:r>
    </w:p>
    <w:p w14:paraId="60F13B46">
      <w:pPr>
        <w:autoSpaceDE w:val="0"/>
        <w:snapToGrid w:val="0"/>
        <w:spacing w:line="360" w:lineRule="auto"/>
        <w:ind w:firstLine="420"/>
        <w:jc w:val="left"/>
        <w:rPr>
          <w:rFonts w:ascii="宋体" w:hAnsi="宋体"/>
          <w:sz w:val="24"/>
        </w:rPr>
      </w:pPr>
      <w:r>
        <w:rPr>
          <w:rFonts w:hint="eastAsia" w:ascii="宋体" w:hAnsi="宋体" w:cs="宋体"/>
          <w:b/>
          <w:bCs/>
          <w:sz w:val="24"/>
        </w:rPr>
        <w:t>20.解决争议的方法</w:t>
      </w:r>
    </w:p>
    <w:p w14:paraId="1BAA4141">
      <w:pPr>
        <w:autoSpaceDE w:val="0"/>
        <w:snapToGrid w:val="0"/>
        <w:spacing w:line="360" w:lineRule="auto"/>
        <w:ind w:firstLine="420"/>
        <w:jc w:val="left"/>
        <w:rPr>
          <w:rFonts w:ascii="宋体" w:hAnsi="宋体"/>
          <w:sz w:val="24"/>
        </w:rPr>
      </w:pPr>
      <w:r>
        <w:rPr>
          <w:rFonts w:hint="eastAsia" w:ascii="宋体" w:hAnsi="宋体" w:cs="宋体"/>
          <w:sz w:val="24"/>
        </w:rPr>
        <w:t>20.1 合同各方应通过友好协商，解决在执行合同过程中所发生的或与合同有关的一切争端。如从协商开始后十日内仍不能解决，可以向财政部门提请调解。</w:t>
      </w:r>
    </w:p>
    <w:p w14:paraId="739F7B3E">
      <w:pPr>
        <w:autoSpaceDE w:val="0"/>
        <w:snapToGrid w:val="0"/>
        <w:spacing w:line="360" w:lineRule="auto"/>
        <w:ind w:firstLine="420"/>
        <w:jc w:val="left"/>
        <w:rPr>
          <w:rFonts w:ascii="宋体" w:hAnsi="宋体"/>
          <w:sz w:val="24"/>
        </w:rPr>
      </w:pPr>
      <w:r>
        <w:rPr>
          <w:rFonts w:hint="eastAsia" w:ascii="宋体" w:hAnsi="宋体" w:cs="宋体"/>
          <w:sz w:val="24"/>
        </w:rPr>
        <w:t>20.2 调解不成可以按</w:t>
      </w:r>
      <w:r>
        <w:rPr>
          <w:rFonts w:hint="eastAsia" w:ascii="宋体" w:hAnsi="宋体" w:cs="宋体"/>
          <w:b/>
          <w:sz w:val="24"/>
        </w:rPr>
        <w:t>【政府采购合同专用条款】</w:t>
      </w:r>
      <w:r>
        <w:rPr>
          <w:rFonts w:hint="eastAsia" w:ascii="宋体" w:hAnsi="宋体" w:cs="宋体"/>
          <w:sz w:val="24"/>
        </w:rPr>
        <w:t>中约定中规定下列方式之一提起仲裁或诉讼：</w:t>
      </w:r>
    </w:p>
    <w:p w14:paraId="00F1AFC2">
      <w:pPr>
        <w:autoSpaceDE w:val="0"/>
        <w:snapToGrid w:val="0"/>
        <w:spacing w:line="360" w:lineRule="auto"/>
        <w:ind w:firstLine="420"/>
        <w:jc w:val="left"/>
        <w:rPr>
          <w:rFonts w:ascii="宋体" w:hAnsi="宋体"/>
          <w:sz w:val="24"/>
        </w:rPr>
      </w:pPr>
      <w:r>
        <w:rPr>
          <w:rFonts w:hint="eastAsia" w:ascii="宋体" w:hAnsi="宋体" w:cs="宋体"/>
          <w:sz w:val="24"/>
        </w:rPr>
        <w:t>（1）向甲方所在地仲裁机构提起仲裁；</w:t>
      </w:r>
    </w:p>
    <w:p w14:paraId="0E114C87">
      <w:pPr>
        <w:autoSpaceDE w:val="0"/>
        <w:snapToGrid w:val="0"/>
        <w:spacing w:line="360" w:lineRule="auto"/>
        <w:ind w:firstLine="420"/>
        <w:jc w:val="left"/>
        <w:rPr>
          <w:rFonts w:ascii="宋体" w:hAnsi="宋体"/>
          <w:sz w:val="24"/>
        </w:rPr>
      </w:pPr>
      <w:r>
        <w:rPr>
          <w:rFonts w:hint="eastAsia" w:ascii="宋体" w:hAnsi="宋体" w:cs="宋体"/>
          <w:sz w:val="24"/>
        </w:rPr>
        <w:t>（2）向甲方所在地人民法院提起诉讼。</w:t>
      </w:r>
    </w:p>
    <w:p w14:paraId="60F3B8DD">
      <w:pPr>
        <w:autoSpaceDE w:val="0"/>
        <w:snapToGrid w:val="0"/>
        <w:spacing w:line="360" w:lineRule="auto"/>
        <w:ind w:firstLine="420"/>
        <w:jc w:val="left"/>
        <w:rPr>
          <w:rFonts w:ascii="宋体" w:hAnsi="宋体"/>
          <w:sz w:val="24"/>
        </w:rPr>
      </w:pPr>
      <w:r>
        <w:rPr>
          <w:rFonts w:hint="eastAsia" w:ascii="宋体" w:hAnsi="宋体" w:cs="宋体"/>
          <w:sz w:val="24"/>
        </w:rPr>
        <w:t>20.3 如仲裁或诉讼事项不影响合同其它部分的履行，则在仲裁或诉讼期间，除正在进行仲裁或诉讼的部分外，合同的其它部分应继续执行。</w:t>
      </w:r>
    </w:p>
    <w:p w14:paraId="07BE25A4">
      <w:pPr>
        <w:autoSpaceDE w:val="0"/>
        <w:snapToGrid w:val="0"/>
        <w:spacing w:line="360" w:lineRule="auto"/>
        <w:ind w:firstLine="420"/>
        <w:jc w:val="left"/>
        <w:rPr>
          <w:rFonts w:ascii="宋体" w:hAnsi="宋体"/>
          <w:sz w:val="24"/>
        </w:rPr>
      </w:pPr>
      <w:r>
        <w:rPr>
          <w:rFonts w:hint="eastAsia" w:ascii="宋体" w:hAnsi="宋体" w:cs="宋体"/>
          <w:b/>
          <w:sz w:val="24"/>
        </w:rPr>
        <w:t>21.法律适用</w:t>
      </w:r>
    </w:p>
    <w:p w14:paraId="6A67D2E3">
      <w:pPr>
        <w:autoSpaceDE w:val="0"/>
        <w:snapToGrid w:val="0"/>
        <w:spacing w:line="360" w:lineRule="auto"/>
        <w:ind w:firstLine="420"/>
        <w:jc w:val="left"/>
        <w:rPr>
          <w:rFonts w:ascii="宋体" w:hAnsi="宋体"/>
          <w:sz w:val="24"/>
        </w:rPr>
      </w:pPr>
      <w:r>
        <w:rPr>
          <w:rFonts w:hint="eastAsia" w:ascii="宋体" w:hAnsi="宋体" w:cs="宋体"/>
          <w:sz w:val="24"/>
        </w:rPr>
        <w:t>21.1 本合同适用中华人民共和国现行法律、行政法规和规章，如合同条款与法律、行政法规和规章不一致的，按照法律、行政法规和规章修改本合同。</w:t>
      </w:r>
    </w:p>
    <w:p w14:paraId="3ECA35F5">
      <w:pPr>
        <w:autoSpaceDE w:val="0"/>
        <w:snapToGrid w:val="0"/>
        <w:spacing w:line="360" w:lineRule="auto"/>
        <w:ind w:firstLine="420"/>
        <w:jc w:val="left"/>
        <w:rPr>
          <w:rFonts w:ascii="宋体" w:hAnsi="宋体"/>
          <w:sz w:val="24"/>
        </w:rPr>
      </w:pPr>
      <w:r>
        <w:rPr>
          <w:rFonts w:hint="eastAsia" w:ascii="宋体" w:hAnsi="宋体" w:cs="宋体"/>
          <w:b/>
          <w:bCs/>
          <w:sz w:val="24"/>
        </w:rPr>
        <w:t>22.</w:t>
      </w:r>
      <w:r>
        <w:rPr>
          <w:rFonts w:hint="eastAsia" w:ascii="宋体" w:hAnsi="宋体" w:cs="宋体"/>
          <w:b/>
          <w:sz w:val="24"/>
        </w:rPr>
        <w:t>通知</w:t>
      </w:r>
    </w:p>
    <w:p w14:paraId="78924361">
      <w:pPr>
        <w:snapToGrid w:val="0"/>
        <w:spacing w:line="360" w:lineRule="auto"/>
        <w:ind w:firstLine="420"/>
        <w:jc w:val="left"/>
        <w:rPr>
          <w:rFonts w:ascii="宋体" w:hAnsi="宋体"/>
          <w:sz w:val="24"/>
        </w:rPr>
      </w:pPr>
      <w:r>
        <w:rPr>
          <w:rFonts w:hint="eastAsia" w:ascii="宋体" w:hAnsi="宋体" w:cs="宋体"/>
          <w:sz w:val="24"/>
        </w:rPr>
        <w:t>22.1本合同一方给另一方的通知均应采用书面形式，传真或快递送到本合同中规定的对方的地址和办理签收手续，</w:t>
      </w:r>
    </w:p>
    <w:p w14:paraId="4A7E96C4">
      <w:pPr>
        <w:snapToGrid w:val="0"/>
        <w:spacing w:line="360" w:lineRule="auto"/>
        <w:ind w:firstLine="420"/>
        <w:jc w:val="left"/>
        <w:rPr>
          <w:rFonts w:ascii="宋体" w:hAnsi="宋体"/>
          <w:sz w:val="24"/>
        </w:rPr>
      </w:pPr>
      <w:r>
        <w:rPr>
          <w:rFonts w:hint="eastAsia" w:ascii="宋体" w:hAnsi="宋体" w:cs="宋体"/>
          <w:sz w:val="24"/>
        </w:rPr>
        <w:t>22.2通知以送到之日或通知书中规定的生效之日起生效，两者中以较迟之日为准。</w:t>
      </w:r>
    </w:p>
    <w:p w14:paraId="5F41E0A9">
      <w:pPr>
        <w:snapToGrid w:val="0"/>
        <w:spacing w:line="360" w:lineRule="auto"/>
        <w:ind w:firstLine="420"/>
        <w:jc w:val="left"/>
        <w:rPr>
          <w:rFonts w:ascii="宋体" w:hAnsi="宋体"/>
          <w:sz w:val="24"/>
        </w:rPr>
      </w:pPr>
      <w:r>
        <w:rPr>
          <w:rFonts w:hint="eastAsia" w:ascii="宋体" w:hAnsi="宋体" w:cs="宋体"/>
          <w:b/>
          <w:bCs/>
          <w:sz w:val="24"/>
        </w:rPr>
        <w:t>23. 合同未尽事项</w:t>
      </w:r>
    </w:p>
    <w:p w14:paraId="4B77FE7D">
      <w:pPr>
        <w:snapToGrid w:val="0"/>
        <w:spacing w:line="360" w:lineRule="auto"/>
        <w:ind w:firstLine="420"/>
        <w:jc w:val="left"/>
        <w:rPr>
          <w:rFonts w:ascii="宋体" w:hAnsi="宋体"/>
          <w:sz w:val="24"/>
        </w:rPr>
      </w:pPr>
      <w:r>
        <w:rPr>
          <w:rFonts w:hint="eastAsia" w:ascii="宋体" w:hAnsi="宋体" w:cs="宋体"/>
          <w:bCs/>
          <w:sz w:val="24"/>
        </w:rPr>
        <w:t>23.1合同未尽事项见</w:t>
      </w:r>
      <w:r>
        <w:rPr>
          <w:rFonts w:hint="eastAsia" w:ascii="宋体" w:hAnsi="宋体" w:cs="宋体"/>
          <w:b/>
          <w:sz w:val="24"/>
        </w:rPr>
        <w:t>【政府采购合同专用条款】。</w:t>
      </w:r>
    </w:p>
    <w:p w14:paraId="3ED43489">
      <w:pPr>
        <w:snapToGrid w:val="0"/>
        <w:spacing w:line="360" w:lineRule="auto"/>
        <w:ind w:firstLine="420"/>
        <w:jc w:val="left"/>
        <w:rPr>
          <w:rFonts w:ascii="宋体" w:hAnsi="宋体"/>
          <w:sz w:val="24"/>
        </w:rPr>
      </w:pPr>
      <w:r>
        <w:rPr>
          <w:rFonts w:hint="eastAsia" w:ascii="宋体" w:hAnsi="宋体" w:cs="宋体"/>
          <w:b/>
          <w:bCs/>
          <w:sz w:val="24"/>
        </w:rPr>
        <w:t>24.合同生效</w:t>
      </w:r>
    </w:p>
    <w:p w14:paraId="05C7CA86">
      <w:pPr>
        <w:autoSpaceDE w:val="0"/>
        <w:snapToGrid w:val="0"/>
        <w:spacing w:line="360" w:lineRule="auto"/>
        <w:ind w:firstLine="420"/>
        <w:jc w:val="left"/>
        <w:rPr>
          <w:rFonts w:ascii="宋体" w:hAnsi="宋体"/>
          <w:sz w:val="24"/>
        </w:rPr>
      </w:pPr>
      <w:r>
        <w:rPr>
          <w:rFonts w:hint="eastAsia" w:ascii="宋体" w:hAnsi="宋体" w:cs="宋体"/>
          <w:sz w:val="24"/>
        </w:rPr>
        <w:t>24.1 本合同在合同双方签字盖章后生效。</w:t>
      </w:r>
    </w:p>
    <w:p w14:paraId="7B6468DA">
      <w:pPr>
        <w:pStyle w:val="40"/>
        <w:rPr>
          <w:rFonts w:ascii="宋体" w:hAnsi="宋体"/>
          <w:bCs/>
          <w:color w:val="auto"/>
          <w:szCs w:val="21"/>
          <w:highlight w:val="none"/>
        </w:rPr>
      </w:pPr>
      <w:r>
        <w:rPr>
          <w:rFonts w:ascii="宋体" w:hAnsi="宋体"/>
          <w:b/>
          <w:bCs/>
          <w:sz w:val="24"/>
        </w:rPr>
        <w:br w:type="page"/>
      </w:r>
    </w:p>
    <w:p w14:paraId="1EA8FE62">
      <w:pPr>
        <w:pStyle w:val="40"/>
        <w:rPr>
          <w:rFonts w:ascii="宋体" w:hAnsi="宋体"/>
          <w:bCs/>
          <w:color w:val="auto"/>
          <w:szCs w:val="21"/>
          <w:highlight w:val="none"/>
        </w:rPr>
      </w:pPr>
    </w:p>
    <w:p w14:paraId="2AFF80DF">
      <w:pPr>
        <w:pStyle w:val="11"/>
        <w:snapToGrid w:val="0"/>
        <w:ind w:left="110" w:leftChars="50"/>
        <w:rPr>
          <w:rFonts w:ascii="宋体" w:hAnsi="宋体"/>
          <w:bCs/>
          <w:color w:val="auto"/>
          <w:szCs w:val="21"/>
          <w:highlight w:val="none"/>
        </w:rPr>
      </w:pPr>
    </w:p>
    <w:p w14:paraId="59942790">
      <w:pPr>
        <w:pStyle w:val="11"/>
        <w:rPr>
          <w:rFonts w:ascii="黑体"/>
          <w:b/>
          <w:color w:val="auto"/>
          <w:sz w:val="32"/>
          <w:highlight w:val="none"/>
        </w:rPr>
      </w:pPr>
    </w:p>
    <w:p w14:paraId="2EDF16E2">
      <w:pPr>
        <w:pStyle w:val="11"/>
        <w:snapToGrid w:val="0"/>
        <w:ind w:left="110" w:leftChars="50"/>
        <w:jc w:val="center"/>
        <w:outlineLvl w:val="0"/>
        <w:rPr>
          <w:rFonts w:hint="eastAsia" w:ascii="新宋体" w:hAnsi="新宋体" w:eastAsia="新宋体" w:cs="新宋体"/>
          <w:b/>
          <w:bCs/>
          <w:color w:val="auto"/>
          <w:sz w:val="28"/>
          <w:szCs w:val="28"/>
          <w:highlight w:val="none"/>
        </w:rPr>
      </w:pPr>
      <w:r>
        <w:rPr>
          <w:rFonts w:hint="eastAsia" w:ascii="黑体" w:eastAsia="黑体"/>
          <w:b/>
          <w:color w:val="auto"/>
          <w:sz w:val="36"/>
          <w:highlight w:val="none"/>
          <w:lang w:val="en-US" w:eastAsia="zh-CN"/>
        </w:rPr>
        <w:t xml:space="preserve"> </w:t>
      </w:r>
      <w:bookmarkStart w:id="109" w:name="_Toc27915"/>
      <w:bookmarkStart w:id="110" w:name="_Toc28976"/>
      <w:bookmarkStart w:id="111" w:name="_Toc22057"/>
      <w:r>
        <w:rPr>
          <w:rFonts w:hint="eastAsia" w:ascii="新宋体" w:hAnsi="新宋体" w:eastAsia="新宋体" w:cs="新宋体"/>
          <w:b/>
          <w:bCs/>
          <w:color w:val="auto"/>
          <w:sz w:val="28"/>
          <w:szCs w:val="28"/>
          <w:highlight w:val="none"/>
        </w:rPr>
        <w:t>政府采购合同专用条款</w:t>
      </w:r>
      <w:bookmarkEnd w:id="109"/>
      <w:bookmarkEnd w:id="110"/>
      <w:bookmarkEnd w:id="111"/>
    </w:p>
    <w:p w14:paraId="520ADC85">
      <w:pPr>
        <w:pStyle w:val="40"/>
        <w:rPr>
          <w:rFonts w:hint="eastAsia" w:ascii="新宋体" w:hAnsi="新宋体" w:eastAsia="新宋体" w:cs="新宋体"/>
          <w:b/>
          <w:bCs/>
          <w:color w:val="auto"/>
          <w:sz w:val="28"/>
          <w:szCs w:val="28"/>
          <w:highlight w:val="none"/>
        </w:rPr>
      </w:pPr>
    </w:p>
    <w:p w14:paraId="4EE6B2B5">
      <w:pPr>
        <w:pStyle w:val="40"/>
        <w:rPr>
          <w:rFonts w:hint="eastAsia" w:ascii="新宋体" w:hAnsi="新宋体" w:eastAsia="新宋体" w:cs="新宋体"/>
          <w:b/>
          <w:bCs/>
          <w:color w:val="auto"/>
          <w:sz w:val="28"/>
          <w:szCs w:val="28"/>
          <w:highlight w:val="none"/>
        </w:rPr>
      </w:pPr>
    </w:p>
    <w:tbl>
      <w:tblPr>
        <w:tblStyle w:val="25"/>
        <w:tblW w:w="0" w:type="auto"/>
        <w:tblInd w:w="84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905"/>
        <w:gridCol w:w="5822"/>
      </w:tblGrid>
      <w:tr w14:paraId="7C9B90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933" w:type="dxa"/>
            <w:tcBorders>
              <w:tl2br w:val="nil"/>
              <w:tr2bl w:val="nil"/>
            </w:tcBorders>
            <w:vAlign w:val="center"/>
          </w:tcPr>
          <w:p w14:paraId="6AF48775">
            <w:pPr>
              <w:pStyle w:val="40"/>
              <w:jc w:val="center"/>
              <w:rPr>
                <w:rFonts w:hint="eastAsia" w:ascii="新宋体" w:hAnsi="新宋体" w:eastAsia="新宋体" w:cs="新宋体"/>
                <w:b/>
                <w:bCs/>
                <w:color w:val="auto"/>
                <w:sz w:val="22"/>
                <w:szCs w:val="22"/>
                <w:highlight w:val="none"/>
                <w:vertAlign w:val="baseline"/>
              </w:rPr>
            </w:pPr>
            <w:r>
              <w:rPr>
                <w:rFonts w:hint="eastAsia" w:ascii="新宋体" w:hAnsi="新宋体" w:eastAsia="新宋体" w:cs="新宋体"/>
                <w:b/>
                <w:bCs/>
                <w:color w:val="auto"/>
                <w:sz w:val="22"/>
                <w:szCs w:val="22"/>
                <w:highlight w:val="none"/>
                <w:vertAlign w:val="baseline"/>
              </w:rPr>
              <w:t>条款名称</w:t>
            </w:r>
          </w:p>
        </w:tc>
        <w:tc>
          <w:tcPr>
            <w:tcW w:w="5886" w:type="dxa"/>
            <w:tcBorders>
              <w:tl2br w:val="nil"/>
              <w:tr2bl w:val="nil"/>
            </w:tcBorders>
            <w:vAlign w:val="center"/>
          </w:tcPr>
          <w:p w14:paraId="150E78C3">
            <w:pPr>
              <w:pStyle w:val="40"/>
              <w:jc w:val="center"/>
              <w:rPr>
                <w:rFonts w:hint="eastAsia" w:ascii="新宋体" w:hAnsi="新宋体" w:eastAsia="新宋体" w:cs="新宋体"/>
                <w:b/>
                <w:bCs/>
                <w:color w:val="auto"/>
                <w:sz w:val="22"/>
                <w:szCs w:val="22"/>
                <w:highlight w:val="none"/>
                <w:vertAlign w:val="baseline"/>
              </w:rPr>
            </w:pPr>
            <w:r>
              <w:rPr>
                <w:rFonts w:hint="eastAsia" w:ascii="新宋体" w:hAnsi="新宋体" w:eastAsia="新宋体" w:cs="新宋体"/>
                <w:b/>
                <w:bCs/>
                <w:color w:val="auto"/>
                <w:sz w:val="22"/>
                <w:szCs w:val="22"/>
                <w:highlight w:val="none"/>
                <w:vertAlign w:val="baseline"/>
              </w:rPr>
              <w:t>编列内容规定</w:t>
            </w:r>
          </w:p>
        </w:tc>
      </w:tr>
      <w:tr w14:paraId="60683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933" w:type="dxa"/>
            <w:tcBorders>
              <w:tl2br w:val="nil"/>
              <w:tr2bl w:val="nil"/>
            </w:tcBorders>
            <w:vAlign w:val="center"/>
          </w:tcPr>
          <w:p w14:paraId="609AECC5">
            <w:pPr>
              <w:pStyle w:val="40"/>
              <w:jc w:val="center"/>
              <w:rPr>
                <w:rFonts w:hint="eastAsia" w:ascii="新宋体" w:hAnsi="新宋体" w:eastAsia="新宋体" w:cs="新宋体"/>
                <w:b w:val="0"/>
                <w:bCs w:val="0"/>
                <w:color w:val="auto"/>
                <w:sz w:val="22"/>
                <w:szCs w:val="22"/>
                <w:highlight w:val="none"/>
                <w:vertAlign w:val="baseline"/>
              </w:rPr>
            </w:pPr>
            <w:r>
              <w:rPr>
                <w:rFonts w:hint="eastAsia" w:ascii="新宋体" w:hAnsi="新宋体" w:eastAsia="新宋体" w:cs="新宋体"/>
                <w:b w:val="0"/>
                <w:bCs w:val="0"/>
                <w:color w:val="auto"/>
                <w:sz w:val="22"/>
                <w:szCs w:val="22"/>
                <w:highlight w:val="none"/>
                <w:vertAlign w:val="baseline"/>
              </w:rPr>
              <w:t>项目现场</w:t>
            </w:r>
          </w:p>
        </w:tc>
        <w:tc>
          <w:tcPr>
            <w:tcW w:w="5886" w:type="dxa"/>
            <w:tcBorders>
              <w:tl2br w:val="nil"/>
              <w:tr2bl w:val="nil"/>
            </w:tcBorders>
            <w:vAlign w:val="center"/>
          </w:tcPr>
          <w:p w14:paraId="503E6E8C">
            <w:pPr>
              <w:pStyle w:val="40"/>
              <w:jc w:val="both"/>
              <w:rPr>
                <w:rFonts w:hint="default" w:ascii="新宋体" w:hAnsi="新宋体" w:eastAsia="新宋体" w:cs="新宋体"/>
                <w:b w:val="0"/>
                <w:bCs w:val="0"/>
                <w:color w:val="auto"/>
                <w:sz w:val="22"/>
                <w:szCs w:val="22"/>
                <w:highlight w:val="none"/>
                <w:vertAlign w:val="baseline"/>
                <w:lang w:val="en-US" w:eastAsia="zh-CN"/>
              </w:rPr>
            </w:pPr>
            <w:r>
              <w:rPr>
                <w:rFonts w:hint="eastAsia" w:ascii="新宋体" w:hAnsi="新宋体" w:eastAsia="新宋体" w:cs="新宋体"/>
                <w:b w:val="0"/>
                <w:bCs w:val="0"/>
                <w:color w:val="auto"/>
                <w:sz w:val="22"/>
                <w:szCs w:val="22"/>
                <w:highlight w:val="none"/>
                <w:vertAlign w:val="baseline"/>
                <w:lang w:val="en-US" w:eastAsia="zh-CN"/>
              </w:rPr>
              <w:t>汨罗市教育体育局</w:t>
            </w:r>
          </w:p>
        </w:tc>
      </w:tr>
      <w:tr w14:paraId="41477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933" w:type="dxa"/>
            <w:tcBorders>
              <w:tl2br w:val="nil"/>
              <w:tr2bl w:val="nil"/>
            </w:tcBorders>
            <w:vAlign w:val="center"/>
          </w:tcPr>
          <w:p w14:paraId="28D57D98">
            <w:pPr>
              <w:pStyle w:val="40"/>
              <w:jc w:val="center"/>
              <w:rPr>
                <w:rFonts w:hint="eastAsia" w:ascii="新宋体" w:hAnsi="新宋体" w:eastAsia="新宋体" w:cs="新宋体"/>
                <w:b w:val="0"/>
                <w:bCs w:val="0"/>
                <w:color w:val="auto"/>
                <w:sz w:val="22"/>
                <w:szCs w:val="22"/>
                <w:highlight w:val="none"/>
                <w:vertAlign w:val="baseline"/>
              </w:rPr>
            </w:pPr>
            <w:r>
              <w:rPr>
                <w:rFonts w:hint="eastAsia" w:ascii="新宋体" w:hAnsi="新宋体" w:eastAsia="新宋体" w:cs="新宋体"/>
                <w:b w:val="0"/>
                <w:bCs w:val="0"/>
                <w:color w:val="auto"/>
                <w:sz w:val="22"/>
                <w:szCs w:val="22"/>
                <w:highlight w:val="none"/>
                <w:vertAlign w:val="baseline"/>
              </w:rPr>
              <w:t>履行合同的</w:t>
            </w:r>
            <w:r>
              <w:rPr>
                <w:rFonts w:hint="eastAsia" w:ascii="新宋体" w:hAnsi="新宋体" w:eastAsia="新宋体" w:cs="新宋体"/>
                <w:b w:val="0"/>
                <w:bCs w:val="0"/>
                <w:color w:val="auto"/>
                <w:sz w:val="22"/>
                <w:szCs w:val="22"/>
                <w:highlight w:val="none"/>
                <w:vertAlign w:val="baseline"/>
                <w:lang w:val="en-US" w:eastAsia="zh-CN"/>
              </w:rPr>
              <w:t>期限</w:t>
            </w:r>
            <w:r>
              <w:rPr>
                <w:rFonts w:hint="eastAsia" w:ascii="新宋体" w:hAnsi="新宋体" w:eastAsia="新宋体" w:cs="新宋体"/>
                <w:b w:val="0"/>
                <w:bCs w:val="0"/>
                <w:color w:val="auto"/>
                <w:sz w:val="22"/>
                <w:szCs w:val="22"/>
                <w:highlight w:val="none"/>
                <w:vertAlign w:val="baseline"/>
              </w:rPr>
              <w:t>、地点</w:t>
            </w:r>
          </w:p>
        </w:tc>
        <w:tc>
          <w:tcPr>
            <w:tcW w:w="5886" w:type="dxa"/>
            <w:tcBorders>
              <w:tl2br w:val="nil"/>
              <w:tr2bl w:val="nil"/>
            </w:tcBorders>
            <w:vAlign w:val="center"/>
          </w:tcPr>
          <w:p w14:paraId="4D7EEE3B">
            <w:pPr>
              <w:pStyle w:val="40"/>
              <w:jc w:val="both"/>
              <w:rPr>
                <w:rFonts w:hint="default" w:ascii="新宋体" w:hAnsi="新宋体" w:eastAsia="新宋体" w:cs="新宋体"/>
                <w:b w:val="0"/>
                <w:bCs w:val="0"/>
                <w:color w:val="auto"/>
                <w:sz w:val="22"/>
                <w:szCs w:val="22"/>
                <w:highlight w:val="none"/>
                <w:vertAlign w:val="baseline"/>
                <w:lang w:val="en-US" w:eastAsia="zh-CN"/>
              </w:rPr>
            </w:pPr>
            <w:r>
              <w:rPr>
                <w:rFonts w:hint="eastAsia" w:ascii="新宋体" w:hAnsi="新宋体" w:eastAsia="新宋体" w:cs="新宋体"/>
                <w:b w:val="0"/>
                <w:bCs w:val="0"/>
                <w:color w:val="auto"/>
                <w:sz w:val="22"/>
                <w:szCs w:val="22"/>
                <w:highlight w:val="none"/>
                <w:vertAlign w:val="baseline"/>
                <w:lang w:val="en-US" w:eastAsia="zh-CN"/>
              </w:rPr>
              <w:t>工期:合同签订之日起15天内到货、安装、调试完成。</w:t>
            </w:r>
          </w:p>
          <w:p w14:paraId="0E99A95F">
            <w:pPr>
              <w:pStyle w:val="40"/>
              <w:jc w:val="both"/>
              <w:rPr>
                <w:rFonts w:hint="eastAsia" w:ascii="新宋体" w:hAnsi="新宋体" w:eastAsia="新宋体" w:cs="新宋体"/>
                <w:b w:val="0"/>
                <w:bCs w:val="0"/>
                <w:color w:val="auto"/>
                <w:sz w:val="22"/>
                <w:szCs w:val="22"/>
                <w:highlight w:val="none"/>
                <w:vertAlign w:val="baseline"/>
                <w:lang w:val="en-US" w:eastAsia="zh-CN"/>
              </w:rPr>
            </w:pPr>
            <w:r>
              <w:rPr>
                <w:rFonts w:hint="eastAsia" w:ascii="新宋体" w:hAnsi="新宋体" w:eastAsia="新宋体" w:cs="新宋体"/>
                <w:b w:val="0"/>
                <w:bCs w:val="0"/>
                <w:color w:val="auto"/>
                <w:sz w:val="22"/>
                <w:szCs w:val="22"/>
                <w:highlight w:val="none"/>
                <w:vertAlign w:val="baseline"/>
              </w:rPr>
              <w:t>地</w:t>
            </w:r>
            <w:r>
              <w:rPr>
                <w:rFonts w:hint="eastAsia" w:ascii="新宋体" w:hAnsi="新宋体" w:eastAsia="新宋体" w:cs="新宋体"/>
                <w:b w:val="0"/>
                <w:bCs w:val="0"/>
                <w:color w:val="auto"/>
                <w:sz w:val="22"/>
                <w:szCs w:val="22"/>
                <w:highlight w:val="none"/>
                <w:vertAlign w:val="baseline"/>
                <w:lang w:val="en-US" w:eastAsia="zh-CN"/>
              </w:rPr>
              <w:t xml:space="preserve">  </w:t>
            </w:r>
            <w:r>
              <w:rPr>
                <w:rFonts w:hint="eastAsia" w:ascii="新宋体" w:hAnsi="新宋体" w:eastAsia="新宋体" w:cs="新宋体"/>
                <w:b w:val="0"/>
                <w:bCs w:val="0"/>
                <w:color w:val="auto"/>
                <w:sz w:val="22"/>
                <w:szCs w:val="22"/>
                <w:highlight w:val="none"/>
                <w:vertAlign w:val="baseline"/>
              </w:rPr>
              <w:t>点:</w:t>
            </w:r>
            <w:r>
              <w:rPr>
                <w:rFonts w:hint="eastAsia" w:ascii="新宋体" w:hAnsi="新宋体" w:eastAsia="新宋体" w:cs="新宋体"/>
                <w:b w:val="0"/>
                <w:bCs w:val="0"/>
                <w:color w:val="auto"/>
                <w:sz w:val="22"/>
                <w:szCs w:val="22"/>
                <w:highlight w:val="none"/>
                <w:vertAlign w:val="baseline"/>
                <w:lang w:val="en-US" w:eastAsia="zh-CN"/>
              </w:rPr>
              <w:t>汨罗市</w:t>
            </w:r>
          </w:p>
        </w:tc>
      </w:tr>
      <w:tr w14:paraId="0417D9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933" w:type="dxa"/>
            <w:tcBorders>
              <w:tl2br w:val="nil"/>
              <w:tr2bl w:val="nil"/>
            </w:tcBorders>
            <w:vAlign w:val="center"/>
          </w:tcPr>
          <w:p w14:paraId="082F2B83">
            <w:pPr>
              <w:pStyle w:val="40"/>
              <w:jc w:val="center"/>
              <w:rPr>
                <w:rFonts w:hint="eastAsia" w:ascii="新宋体" w:hAnsi="新宋体" w:eastAsia="新宋体" w:cs="新宋体"/>
                <w:b w:val="0"/>
                <w:bCs w:val="0"/>
                <w:color w:val="auto"/>
                <w:sz w:val="22"/>
                <w:szCs w:val="22"/>
                <w:highlight w:val="none"/>
                <w:vertAlign w:val="baseline"/>
              </w:rPr>
            </w:pPr>
            <w:r>
              <w:rPr>
                <w:rFonts w:hint="eastAsia" w:ascii="新宋体" w:hAnsi="新宋体" w:eastAsia="新宋体" w:cs="新宋体"/>
                <w:b w:val="0"/>
                <w:bCs w:val="0"/>
                <w:color w:val="auto"/>
                <w:sz w:val="22"/>
                <w:szCs w:val="22"/>
                <w:highlight w:val="none"/>
                <w:vertAlign w:val="baseline"/>
              </w:rPr>
              <w:t>伴随服务</w:t>
            </w:r>
          </w:p>
        </w:tc>
        <w:tc>
          <w:tcPr>
            <w:tcW w:w="5886" w:type="dxa"/>
            <w:tcBorders>
              <w:tl2br w:val="nil"/>
              <w:tr2bl w:val="nil"/>
            </w:tcBorders>
            <w:vAlign w:val="center"/>
          </w:tcPr>
          <w:p w14:paraId="2A563271">
            <w:pPr>
              <w:pStyle w:val="40"/>
              <w:jc w:val="left"/>
              <w:rPr>
                <w:rFonts w:hint="eastAsia" w:ascii="新宋体" w:hAnsi="新宋体" w:eastAsia="新宋体" w:cs="新宋体"/>
                <w:b w:val="0"/>
                <w:bCs w:val="0"/>
                <w:color w:val="auto"/>
                <w:sz w:val="22"/>
                <w:szCs w:val="22"/>
                <w:highlight w:val="none"/>
                <w:vertAlign w:val="baseline"/>
              </w:rPr>
            </w:pPr>
            <w:r>
              <w:rPr>
                <w:rFonts w:hint="eastAsia" w:ascii="新宋体" w:hAnsi="新宋体" w:eastAsia="新宋体" w:cs="新宋体"/>
                <w:b w:val="0"/>
                <w:bCs w:val="0"/>
                <w:color w:val="auto"/>
                <w:sz w:val="22"/>
                <w:szCs w:val="22"/>
                <w:highlight w:val="none"/>
                <w:vertAlign w:val="baseline"/>
              </w:rPr>
              <w:t>详见采购需求</w:t>
            </w:r>
          </w:p>
        </w:tc>
      </w:tr>
      <w:tr w14:paraId="7051D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933" w:type="dxa"/>
            <w:tcBorders>
              <w:tl2br w:val="nil"/>
              <w:tr2bl w:val="nil"/>
            </w:tcBorders>
            <w:vAlign w:val="center"/>
          </w:tcPr>
          <w:p w14:paraId="24DED971">
            <w:pPr>
              <w:pStyle w:val="40"/>
              <w:jc w:val="center"/>
              <w:rPr>
                <w:rFonts w:hint="eastAsia" w:ascii="新宋体" w:hAnsi="新宋体" w:eastAsia="新宋体" w:cs="新宋体"/>
                <w:b w:val="0"/>
                <w:bCs w:val="0"/>
                <w:color w:val="auto"/>
                <w:sz w:val="22"/>
                <w:szCs w:val="22"/>
                <w:highlight w:val="none"/>
                <w:vertAlign w:val="baseline"/>
              </w:rPr>
            </w:pPr>
            <w:r>
              <w:rPr>
                <w:rFonts w:hint="eastAsia" w:ascii="新宋体" w:hAnsi="新宋体" w:eastAsia="新宋体" w:cs="新宋体"/>
                <w:b w:val="0"/>
                <w:bCs w:val="0"/>
                <w:color w:val="auto"/>
                <w:sz w:val="22"/>
                <w:szCs w:val="22"/>
                <w:highlight w:val="none"/>
                <w:vertAlign w:val="baseline"/>
              </w:rPr>
              <w:t>响应时间</w:t>
            </w:r>
          </w:p>
        </w:tc>
        <w:tc>
          <w:tcPr>
            <w:tcW w:w="5886" w:type="dxa"/>
            <w:tcBorders>
              <w:tl2br w:val="nil"/>
              <w:tr2bl w:val="nil"/>
            </w:tcBorders>
            <w:vAlign w:val="center"/>
          </w:tcPr>
          <w:p w14:paraId="431EA86E">
            <w:pPr>
              <w:pStyle w:val="40"/>
              <w:jc w:val="both"/>
              <w:rPr>
                <w:rFonts w:hint="eastAsia" w:ascii="新宋体" w:hAnsi="新宋体" w:eastAsia="新宋体" w:cs="新宋体"/>
                <w:b w:val="0"/>
                <w:bCs w:val="0"/>
                <w:color w:val="auto"/>
                <w:sz w:val="22"/>
                <w:szCs w:val="22"/>
                <w:highlight w:val="none"/>
                <w:vertAlign w:val="baseline"/>
              </w:rPr>
            </w:pPr>
            <w:r>
              <w:rPr>
                <w:rFonts w:hint="eastAsia" w:ascii="新宋体" w:hAnsi="新宋体" w:eastAsia="新宋体" w:cs="新宋体"/>
                <w:b w:val="0"/>
                <w:bCs w:val="0"/>
                <w:color w:val="auto"/>
                <w:sz w:val="22"/>
                <w:szCs w:val="22"/>
                <w:highlight w:val="none"/>
                <w:vertAlign w:val="baseline"/>
              </w:rPr>
              <w:t>接到采购人通知起</w:t>
            </w:r>
            <w:r>
              <w:rPr>
                <w:rFonts w:hint="eastAsia" w:ascii="新宋体" w:hAnsi="新宋体" w:eastAsia="新宋体" w:cs="新宋体"/>
                <w:b w:val="0"/>
                <w:bCs w:val="0"/>
                <w:color w:val="auto"/>
                <w:sz w:val="22"/>
                <w:szCs w:val="22"/>
                <w:highlight w:val="none"/>
                <w:vertAlign w:val="baseline"/>
                <w:lang w:val="en-US" w:eastAsia="zh-CN"/>
              </w:rPr>
              <w:t>0.5</w:t>
            </w:r>
            <w:r>
              <w:rPr>
                <w:rFonts w:hint="eastAsia" w:ascii="新宋体" w:hAnsi="新宋体" w:eastAsia="新宋体" w:cs="新宋体"/>
                <w:b w:val="0"/>
                <w:bCs w:val="0"/>
                <w:color w:val="auto"/>
                <w:sz w:val="22"/>
                <w:szCs w:val="22"/>
                <w:highlight w:val="none"/>
                <w:vertAlign w:val="baseline"/>
              </w:rPr>
              <w:t>小时内响应，</w:t>
            </w:r>
            <w:r>
              <w:rPr>
                <w:rFonts w:hint="eastAsia" w:ascii="新宋体" w:hAnsi="新宋体" w:eastAsia="新宋体" w:cs="新宋体"/>
                <w:b w:val="0"/>
                <w:bCs w:val="0"/>
                <w:color w:val="auto"/>
                <w:sz w:val="22"/>
                <w:szCs w:val="22"/>
                <w:highlight w:val="none"/>
                <w:vertAlign w:val="baseline"/>
                <w:lang w:val="en-US" w:eastAsia="zh-CN"/>
              </w:rPr>
              <w:t>2</w:t>
            </w:r>
            <w:r>
              <w:rPr>
                <w:rFonts w:hint="eastAsia" w:ascii="新宋体" w:hAnsi="新宋体" w:eastAsia="新宋体" w:cs="新宋体"/>
                <w:b w:val="0"/>
                <w:bCs w:val="0"/>
                <w:color w:val="auto"/>
                <w:sz w:val="22"/>
                <w:szCs w:val="22"/>
                <w:highlight w:val="none"/>
                <w:vertAlign w:val="baseline"/>
              </w:rPr>
              <w:t>小时内到达现场。</w:t>
            </w:r>
          </w:p>
        </w:tc>
      </w:tr>
      <w:tr w14:paraId="0C08C5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933" w:type="dxa"/>
            <w:tcBorders>
              <w:tl2br w:val="nil"/>
              <w:tr2bl w:val="nil"/>
            </w:tcBorders>
            <w:vAlign w:val="center"/>
          </w:tcPr>
          <w:p w14:paraId="5800DCE4">
            <w:pPr>
              <w:pStyle w:val="40"/>
              <w:jc w:val="center"/>
              <w:rPr>
                <w:rFonts w:hint="eastAsia" w:ascii="新宋体" w:hAnsi="新宋体" w:eastAsia="新宋体" w:cs="新宋体"/>
                <w:b w:val="0"/>
                <w:bCs w:val="0"/>
                <w:color w:val="auto"/>
                <w:sz w:val="22"/>
                <w:szCs w:val="22"/>
                <w:highlight w:val="none"/>
                <w:vertAlign w:val="baseline"/>
              </w:rPr>
            </w:pPr>
            <w:r>
              <w:rPr>
                <w:rFonts w:hint="eastAsia" w:ascii="新宋体" w:hAnsi="新宋体" w:eastAsia="新宋体" w:cs="新宋体"/>
                <w:b w:val="0"/>
                <w:bCs w:val="0"/>
                <w:color w:val="auto"/>
                <w:sz w:val="22"/>
                <w:szCs w:val="22"/>
                <w:highlight w:val="none"/>
                <w:vertAlign w:val="baseline"/>
              </w:rPr>
              <w:t>合同价款支付方式和条件</w:t>
            </w:r>
          </w:p>
        </w:tc>
        <w:tc>
          <w:tcPr>
            <w:tcW w:w="5886" w:type="dxa"/>
            <w:tcBorders>
              <w:tl2br w:val="nil"/>
              <w:tr2bl w:val="nil"/>
            </w:tcBorders>
            <w:vAlign w:val="center"/>
          </w:tcPr>
          <w:p w14:paraId="166FB549">
            <w:pPr>
              <w:pStyle w:val="40"/>
              <w:jc w:val="both"/>
              <w:rPr>
                <w:rFonts w:hint="default" w:ascii="新宋体" w:hAnsi="新宋体" w:eastAsia="新宋体" w:cs="新宋体"/>
                <w:b w:val="0"/>
                <w:bCs w:val="0"/>
                <w:color w:val="auto"/>
                <w:sz w:val="22"/>
                <w:szCs w:val="22"/>
                <w:highlight w:val="none"/>
                <w:vertAlign w:val="baseline"/>
                <w:lang w:val="en-US"/>
              </w:rPr>
            </w:pPr>
            <w:r>
              <w:rPr>
                <w:rFonts w:hint="eastAsia" w:ascii="新宋体" w:hAnsi="新宋体" w:eastAsia="新宋体" w:cs="新宋体"/>
                <w:b w:val="0"/>
                <w:bCs w:val="0"/>
                <w:color w:val="auto"/>
                <w:sz w:val="22"/>
                <w:szCs w:val="22"/>
                <w:highlight w:val="none"/>
                <w:vertAlign w:val="baseline"/>
                <w:lang w:val="en-US" w:eastAsia="zh-CN"/>
              </w:rPr>
              <w:t>付款方式：按合同约定</w:t>
            </w:r>
          </w:p>
        </w:tc>
      </w:tr>
      <w:tr w14:paraId="67D5B3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2933" w:type="dxa"/>
            <w:tcBorders>
              <w:tl2br w:val="nil"/>
              <w:tr2bl w:val="nil"/>
            </w:tcBorders>
            <w:vAlign w:val="center"/>
          </w:tcPr>
          <w:p w14:paraId="1A7CBFEB">
            <w:pPr>
              <w:pStyle w:val="40"/>
              <w:jc w:val="center"/>
              <w:rPr>
                <w:rFonts w:hint="eastAsia" w:ascii="新宋体" w:hAnsi="新宋体" w:eastAsia="新宋体" w:cs="新宋体"/>
                <w:b w:val="0"/>
                <w:bCs w:val="0"/>
                <w:color w:val="auto"/>
                <w:sz w:val="22"/>
                <w:szCs w:val="22"/>
                <w:highlight w:val="none"/>
                <w:vertAlign w:val="baseline"/>
              </w:rPr>
            </w:pPr>
            <w:r>
              <w:rPr>
                <w:rFonts w:hint="eastAsia" w:ascii="新宋体" w:hAnsi="新宋体" w:eastAsia="新宋体" w:cs="新宋体"/>
                <w:b w:val="0"/>
                <w:bCs w:val="0"/>
                <w:color w:val="auto"/>
                <w:sz w:val="22"/>
                <w:szCs w:val="22"/>
                <w:highlight w:val="none"/>
                <w:vertAlign w:val="baseline"/>
              </w:rPr>
              <w:t>解决争议的方式</w:t>
            </w:r>
          </w:p>
        </w:tc>
        <w:tc>
          <w:tcPr>
            <w:tcW w:w="5886" w:type="dxa"/>
            <w:tcBorders>
              <w:tl2br w:val="nil"/>
              <w:tr2bl w:val="nil"/>
            </w:tcBorders>
            <w:vAlign w:val="center"/>
          </w:tcPr>
          <w:p w14:paraId="2B02D274">
            <w:pPr>
              <w:pStyle w:val="40"/>
              <w:jc w:val="both"/>
              <w:rPr>
                <w:rFonts w:hint="eastAsia" w:ascii="新宋体" w:hAnsi="新宋体" w:eastAsia="新宋体" w:cs="新宋体"/>
                <w:b w:val="0"/>
                <w:bCs w:val="0"/>
                <w:color w:val="auto"/>
                <w:sz w:val="22"/>
                <w:szCs w:val="22"/>
                <w:highlight w:val="none"/>
                <w:vertAlign w:val="baseline"/>
              </w:rPr>
            </w:pPr>
            <w:r>
              <w:rPr>
                <w:rFonts w:hint="eastAsia" w:ascii="新宋体" w:hAnsi="新宋体" w:eastAsia="新宋体" w:cs="新宋体"/>
                <w:b w:val="0"/>
                <w:bCs w:val="0"/>
                <w:color w:val="auto"/>
                <w:sz w:val="22"/>
                <w:szCs w:val="22"/>
                <w:highlight w:val="none"/>
                <w:vertAlign w:val="baseline"/>
              </w:rPr>
              <w:t>■ 诉讼</w:t>
            </w:r>
          </w:p>
          <w:p w14:paraId="4FB084AC">
            <w:pPr>
              <w:pStyle w:val="40"/>
              <w:jc w:val="both"/>
              <w:rPr>
                <w:rFonts w:hint="eastAsia" w:ascii="新宋体" w:hAnsi="新宋体" w:eastAsia="新宋体" w:cs="新宋体"/>
                <w:b w:val="0"/>
                <w:bCs w:val="0"/>
                <w:color w:val="auto"/>
                <w:sz w:val="22"/>
                <w:szCs w:val="22"/>
                <w:highlight w:val="none"/>
                <w:vertAlign w:val="baseline"/>
              </w:rPr>
            </w:pPr>
            <w:r>
              <w:rPr>
                <w:rFonts w:hint="eastAsia" w:ascii="新宋体" w:hAnsi="新宋体" w:eastAsia="新宋体" w:cs="新宋体"/>
                <w:b w:val="0"/>
                <w:bCs w:val="0"/>
                <w:color w:val="auto"/>
                <w:sz w:val="22"/>
                <w:szCs w:val="22"/>
                <w:highlight w:val="none"/>
                <w:vertAlign w:val="baseline"/>
              </w:rPr>
              <w:t>□ 仲裁</w:t>
            </w:r>
          </w:p>
        </w:tc>
      </w:tr>
      <w:tr w14:paraId="5ABA98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933" w:type="dxa"/>
            <w:tcBorders>
              <w:tl2br w:val="nil"/>
              <w:tr2bl w:val="nil"/>
            </w:tcBorders>
            <w:vAlign w:val="center"/>
          </w:tcPr>
          <w:p w14:paraId="443AB761">
            <w:pPr>
              <w:pStyle w:val="40"/>
              <w:jc w:val="center"/>
              <w:rPr>
                <w:rFonts w:hint="eastAsia" w:ascii="新宋体" w:hAnsi="新宋体" w:eastAsia="新宋体" w:cs="新宋体"/>
                <w:b w:val="0"/>
                <w:bCs w:val="0"/>
                <w:color w:val="auto"/>
                <w:sz w:val="22"/>
                <w:szCs w:val="22"/>
                <w:highlight w:val="none"/>
                <w:vertAlign w:val="baseline"/>
              </w:rPr>
            </w:pPr>
            <w:r>
              <w:rPr>
                <w:rFonts w:hint="eastAsia" w:ascii="新宋体" w:hAnsi="新宋体" w:eastAsia="新宋体" w:cs="新宋体"/>
                <w:b w:val="0"/>
                <w:bCs w:val="0"/>
                <w:color w:val="auto"/>
                <w:sz w:val="22"/>
                <w:szCs w:val="22"/>
                <w:highlight w:val="none"/>
                <w:vertAlign w:val="baseline"/>
              </w:rPr>
              <w:t>合同未尽事项</w:t>
            </w:r>
          </w:p>
        </w:tc>
        <w:tc>
          <w:tcPr>
            <w:tcW w:w="5886" w:type="dxa"/>
            <w:tcBorders>
              <w:tl2br w:val="nil"/>
              <w:tr2bl w:val="nil"/>
            </w:tcBorders>
            <w:vAlign w:val="center"/>
          </w:tcPr>
          <w:p w14:paraId="362E3C5A">
            <w:pPr>
              <w:pStyle w:val="40"/>
              <w:jc w:val="both"/>
              <w:rPr>
                <w:rFonts w:hint="eastAsia" w:ascii="新宋体" w:hAnsi="新宋体" w:eastAsia="新宋体" w:cs="新宋体"/>
                <w:b w:val="0"/>
                <w:bCs w:val="0"/>
                <w:color w:val="auto"/>
                <w:sz w:val="22"/>
                <w:szCs w:val="22"/>
                <w:highlight w:val="none"/>
                <w:vertAlign w:val="baseline"/>
              </w:rPr>
            </w:pPr>
            <w:r>
              <w:rPr>
                <w:rFonts w:hint="eastAsia" w:ascii="新宋体" w:hAnsi="新宋体" w:eastAsia="新宋体" w:cs="新宋体"/>
                <w:b w:val="0"/>
                <w:bCs w:val="0"/>
                <w:color w:val="auto"/>
                <w:sz w:val="22"/>
                <w:szCs w:val="22"/>
                <w:highlight w:val="none"/>
                <w:vertAlign w:val="baseline"/>
              </w:rPr>
              <w:t>由双方协商解决</w:t>
            </w:r>
          </w:p>
        </w:tc>
      </w:tr>
    </w:tbl>
    <w:p w14:paraId="37DBC2B0">
      <w:pPr>
        <w:pStyle w:val="40"/>
        <w:rPr>
          <w:rFonts w:hint="eastAsia" w:ascii="新宋体" w:hAnsi="新宋体" w:eastAsia="新宋体" w:cs="新宋体"/>
          <w:b/>
          <w:bCs/>
          <w:color w:val="auto"/>
          <w:sz w:val="28"/>
          <w:szCs w:val="28"/>
          <w:highlight w:val="none"/>
        </w:rPr>
      </w:pPr>
    </w:p>
    <w:p w14:paraId="428F179C">
      <w:pPr>
        <w:tabs>
          <w:tab w:val="left" w:pos="2466"/>
          <w:tab w:val="left" w:pos="5464"/>
        </w:tabs>
        <w:adjustRightInd w:val="0"/>
        <w:snapToGrid w:val="0"/>
        <w:spacing w:line="360" w:lineRule="auto"/>
        <w:ind w:left="108"/>
        <w:jc w:val="left"/>
        <w:rPr>
          <w:rFonts w:hint="eastAsia" w:ascii="新宋体" w:hAnsi="新宋体" w:eastAsia="新宋体" w:cs="新宋体"/>
          <w:b/>
          <w:color w:val="auto"/>
          <w:szCs w:val="21"/>
          <w:highlight w:val="none"/>
        </w:rPr>
      </w:pPr>
      <w:r>
        <w:rPr>
          <w:rFonts w:hint="eastAsia" w:ascii="新宋体" w:hAnsi="新宋体" w:eastAsia="新宋体" w:cs="新宋体"/>
          <w:b/>
          <w:color w:val="auto"/>
          <w:szCs w:val="21"/>
          <w:highlight w:val="none"/>
        </w:rPr>
        <w:tab/>
      </w:r>
      <w:r>
        <w:rPr>
          <w:rFonts w:hint="eastAsia" w:ascii="新宋体" w:hAnsi="新宋体" w:eastAsia="新宋体" w:cs="新宋体"/>
          <w:b/>
          <w:color w:val="auto"/>
          <w:szCs w:val="21"/>
          <w:highlight w:val="none"/>
        </w:rPr>
        <w:tab/>
      </w:r>
    </w:p>
    <w:p w14:paraId="0C389624">
      <w:pPr>
        <w:pStyle w:val="4"/>
        <w:tabs>
          <w:tab w:val="left" w:pos="4675"/>
        </w:tabs>
        <w:spacing w:before="34"/>
        <w:ind w:left="3391"/>
        <w:outlineLvl w:val="9"/>
        <w:rPr>
          <w:color w:val="auto"/>
          <w:highlight w:val="none"/>
        </w:rPr>
      </w:pPr>
    </w:p>
    <w:p w14:paraId="1B5F8878">
      <w:pPr>
        <w:pStyle w:val="4"/>
        <w:tabs>
          <w:tab w:val="left" w:pos="4675"/>
        </w:tabs>
        <w:spacing w:before="34"/>
        <w:ind w:left="3391"/>
        <w:outlineLvl w:val="9"/>
        <w:rPr>
          <w:color w:val="auto"/>
          <w:highlight w:val="none"/>
        </w:rPr>
      </w:pPr>
    </w:p>
    <w:p w14:paraId="6B6893B0">
      <w:pPr>
        <w:pStyle w:val="4"/>
        <w:tabs>
          <w:tab w:val="left" w:pos="4675"/>
        </w:tabs>
        <w:spacing w:before="34"/>
        <w:ind w:left="3391"/>
        <w:outlineLvl w:val="9"/>
        <w:rPr>
          <w:color w:val="auto"/>
          <w:highlight w:val="none"/>
        </w:rPr>
      </w:pPr>
    </w:p>
    <w:p w14:paraId="4DA0B8DF">
      <w:pPr>
        <w:rPr>
          <w:color w:val="auto"/>
          <w:highlight w:val="none"/>
        </w:rPr>
      </w:pPr>
    </w:p>
    <w:p w14:paraId="52BDA572">
      <w:pPr>
        <w:rPr>
          <w:color w:val="auto"/>
          <w:highlight w:val="none"/>
        </w:rPr>
      </w:pPr>
    </w:p>
    <w:p w14:paraId="481EE015">
      <w:pPr>
        <w:rPr>
          <w:rFonts w:hint="default" w:ascii="宋体" w:hAnsi="宋体" w:eastAsia="宋体" w:cs="宋体"/>
          <w:sz w:val="22"/>
          <w:szCs w:val="22"/>
          <w:lang w:val="en-US" w:eastAsia="zh-CN" w:bidi="zh-CN"/>
        </w:rPr>
      </w:pPr>
    </w:p>
    <w:p w14:paraId="0FF95FFB">
      <w:pPr>
        <w:pStyle w:val="4"/>
        <w:numPr>
          <w:ilvl w:val="0"/>
          <w:numId w:val="1"/>
        </w:numPr>
        <w:spacing w:before="28"/>
        <w:ind w:left="0" w:right="417"/>
        <w:jc w:val="center"/>
        <w:outlineLvl w:val="0"/>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en-US" w:eastAsia="zh-CN"/>
        </w:rPr>
        <w:t xml:space="preserve"> </w:t>
      </w:r>
      <w:bookmarkStart w:id="112" w:name="_Toc26434"/>
      <w:r>
        <w:rPr>
          <w:rFonts w:hint="eastAsia" w:ascii="宋体" w:hAnsi="宋体" w:eastAsia="宋体" w:cs="宋体"/>
          <w:color w:val="auto"/>
          <w:highlight w:val="none"/>
          <w:lang w:val="zh-CN" w:eastAsia="zh-CN"/>
        </w:rPr>
        <w:t>采购需求</w:t>
      </w:r>
      <w:bookmarkEnd w:id="112"/>
    </w:p>
    <w:p w14:paraId="16F387A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00" w:beforeAutospacing="1" w:after="100" w:afterAutospacing="1" w:line="240" w:lineRule="auto"/>
        <w:ind w:right="0" w:rightChars="0"/>
        <w:jc w:val="left"/>
        <w:rPr>
          <w:rFonts w:hint="eastAsia" w:ascii="宋体" w:hAnsi="宋体" w:eastAsia="宋体" w:cs="宋体"/>
          <w:b/>
          <w:color w:val="auto"/>
          <w:kern w:val="0"/>
          <w:sz w:val="22"/>
          <w:szCs w:val="22"/>
          <w:highlight w:val="none"/>
          <w:lang w:val="en-US" w:eastAsia="zh-CN" w:bidi="zh-CN"/>
        </w:rPr>
      </w:pPr>
      <w:bookmarkStart w:id="113" w:name="_bookmark17"/>
      <w:bookmarkEnd w:id="113"/>
      <w:bookmarkStart w:id="114" w:name="EB9baad02da2434c97bf3bd9a509fffe9a_0"/>
      <w:r>
        <w:rPr>
          <w:rFonts w:hint="eastAsia" w:cs="宋体"/>
          <w:b/>
          <w:color w:val="auto"/>
          <w:kern w:val="0"/>
          <w:sz w:val="22"/>
          <w:szCs w:val="22"/>
          <w:highlight w:val="none"/>
          <w:lang w:val="en-US" w:eastAsia="zh-CN" w:bidi="zh-CN"/>
        </w:rPr>
        <w:t>一、</w:t>
      </w:r>
      <w:r>
        <w:rPr>
          <w:rFonts w:hint="eastAsia" w:ascii="宋体" w:hAnsi="宋体" w:eastAsia="宋体" w:cs="宋体"/>
          <w:b/>
          <w:color w:val="auto"/>
          <w:kern w:val="0"/>
          <w:sz w:val="22"/>
          <w:szCs w:val="22"/>
          <w:highlight w:val="none"/>
          <w:lang w:val="en-US" w:eastAsia="zh-CN" w:bidi="zh-CN"/>
        </w:rPr>
        <w:t>项目名称、预算金额</w:t>
      </w:r>
    </w:p>
    <w:p w14:paraId="592937E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00" w:beforeAutospacing="1" w:after="100" w:afterAutospacing="1" w:line="240" w:lineRule="auto"/>
        <w:ind w:right="0" w:rightChars="0" w:firstLine="440" w:firstLineChars="200"/>
        <w:jc w:val="left"/>
        <w:rPr>
          <w:rFonts w:hint="eastAsia" w:ascii="Arial" w:hAnsi="Arial" w:eastAsia="Arial" w:cs="Arial"/>
          <w:i w:val="0"/>
          <w:iCs w:val="0"/>
          <w:caps w:val="0"/>
          <w:color w:val="333333"/>
          <w:spacing w:val="0"/>
          <w:sz w:val="24"/>
          <w:szCs w:val="24"/>
          <w:shd w:val="clear" w:color="auto" w:fill="FFFFFF"/>
          <w:lang w:val="en-US" w:eastAsia="zh-CN"/>
        </w:rPr>
      </w:pPr>
      <w:r>
        <w:rPr>
          <w:rFonts w:hint="eastAsia" w:ascii="宋体" w:hAnsi="宋体" w:eastAsia="宋体" w:cs="宋体"/>
          <w:color w:val="auto"/>
          <w:sz w:val="22"/>
          <w:szCs w:val="22"/>
          <w:lang w:val="en-US" w:eastAsia="zh-CN"/>
        </w:rPr>
        <w:t>项目名称：</w:t>
      </w:r>
      <w:r>
        <w:rPr>
          <w:rFonts w:hint="eastAsia" w:ascii="Arial" w:hAnsi="Arial" w:eastAsia="Arial" w:cs="Arial"/>
          <w:i w:val="0"/>
          <w:iCs w:val="0"/>
          <w:caps w:val="0"/>
          <w:color w:val="333333"/>
          <w:spacing w:val="0"/>
          <w:sz w:val="24"/>
          <w:szCs w:val="24"/>
          <w:shd w:val="clear" w:color="auto" w:fill="FFFFFF"/>
          <w:lang w:val="en-US" w:eastAsia="zh-CN"/>
        </w:rPr>
        <w:t>汨罗市校车接入省“三客一危”监管平台项目</w:t>
      </w:r>
    </w:p>
    <w:p w14:paraId="6BC96E8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00" w:beforeAutospacing="1" w:after="100" w:afterAutospacing="1" w:line="240" w:lineRule="auto"/>
        <w:ind w:right="0" w:rightChars="0" w:firstLine="440" w:firstLineChars="200"/>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预算金额：569480.00元</w:t>
      </w:r>
    </w:p>
    <w:p w14:paraId="264D78F3">
      <w:pPr>
        <w:pStyle w:val="3"/>
        <w:pageBreakBefore w:val="0"/>
        <w:numPr>
          <w:ilvl w:val="0"/>
          <w:numId w:val="45"/>
        </w:numPr>
        <w:kinsoku/>
        <w:wordWrap/>
        <w:overflowPunct/>
        <w:topLinePunct w:val="0"/>
        <w:autoSpaceDE/>
        <w:autoSpaceDN/>
        <w:bidi w:val="0"/>
        <w:adjustRightInd/>
        <w:snapToGrid/>
        <w:spacing w:line="240" w:lineRule="auto"/>
        <w:ind w:leftChars="0"/>
        <w:jc w:val="both"/>
        <w:textAlignment w:val="auto"/>
        <w:rPr>
          <w:rFonts w:hint="eastAsia" w:ascii="宋体" w:hAnsi="宋体" w:eastAsia="宋体" w:cs="宋体"/>
          <w:b/>
          <w:color w:val="auto"/>
          <w:kern w:val="0"/>
          <w:sz w:val="22"/>
          <w:szCs w:val="22"/>
          <w:highlight w:val="none"/>
          <w:lang w:val="en-US" w:eastAsia="zh-CN" w:bidi="zh-CN"/>
        </w:rPr>
      </w:pPr>
      <w:r>
        <w:rPr>
          <w:rFonts w:hint="eastAsia" w:ascii="宋体" w:hAnsi="宋体" w:eastAsia="宋体" w:cs="宋体"/>
          <w:b/>
          <w:color w:val="auto"/>
          <w:kern w:val="0"/>
          <w:sz w:val="22"/>
          <w:szCs w:val="22"/>
          <w:highlight w:val="none"/>
          <w:lang w:val="en-US" w:eastAsia="zh-CN" w:bidi="zh-CN"/>
        </w:rPr>
        <w:t>项目概况</w:t>
      </w:r>
    </w:p>
    <w:p w14:paraId="38DBBED9">
      <w:pPr>
        <w:keepNext w:val="0"/>
        <w:keepLines w:val="0"/>
        <w:pageBreakBefore w:val="0"/>
        <w:widowControl w:val="0"/>
        <w:kinsoku/>
        <w:wordWrap/>
        <w:overflowPunct/>
        <w:topLinePunct w:val="0"/>
        <w:bidi w:val="0"/>
        <w:snapToGrid/>
        <w:spacing w:line="360" w:lineRule="auto"/>
        <w:ind w:firstLine="440" w:firstLineChars="200"/>
        <w:jc w:val="left"/>
        <w:textAlignment w:val="auto"/>
        <w:rPr>
          <w:rFonts w:hint="eastAsia" w:ascii="宋体" w:hAnsi="宋体" w:cs="宋体"/>
          <w:color w:val="000000"/>
          <w:szCs w:val="21"/>
        </w:rPr>
      </w:pPr>
      <w:r>
        <w:rPr>
          <w:rFonts w:hint="eastAsia" w:ascii="宋体" w:hAnsi="宋体" w:eastAsia="宋体" w:cs="宋体"/>
          <w:color w:val="auto"/>
          <w:sz w:val="22"/>
          <w:szCs w:val="22"/>
          <w:lang w:val="en-US" w:eastAsia="zh-CN"/>
        </w:rPr>
        <w:t>本项目为</w:t>
      </w:r>
      <w:r>
        <w:rPr>
          <w:rFonts w:hint="eastAsia" w:ascii="Arial" w:hAnsi="Arial" w:eastAsia="Arial" w:cs="Arial"/>
          <w:i w:val="0"/>
          <w:iCs w:val="0"/>
          <w:caps w:val="0"/>
          <w:color w:val="333333"/>
          <w:spacing w:val="0"/>
          <w:sz w:val="24"/>
          <w:szCs w:val="24"/>
          <w:shd w:val="clear" w:color="auto" w:fill="FFFFFF"/>
          <w:lang w:val="en-US" w:eastAsia="zh-CN"/>
        </w:rPr>
        <w:t>汨罗市校车接入省“三客一危”监管平台项目，</w:t>
      </w:r>
      <w:r>
        <w:rPr>
          <w:rFonts w:ascii="Arial" w:hAnsi="Arial" w:eastAsia="Arial" w:cs="Arial"/>
          <w:i w:val="0"/>
          <w:iCs w:val="0"/>
          <w:caps w:val="0"/>
          <w:color w:val="333333"/>
          <w:spacing w:val="0"/>
          <w:sz w:val="24"/>
          <w:szCs w:val="24"/>
          <w:shd w:val="clear" w:color="auto" w:fill="FFFFFF"/>
        </w:rPr>
        <w:t>为贯彻落实湖南省交通运输厅关于构建“三客一危一校”一体化智能监管体系的部署要求，全面提升校车安全监管水平，汨罗市依托省级平台升级改造契机，将全市校车纳入统一动态监管系统。实现对校车运行状态、驾驶员行为、行驶路线的全链条、全天候、智能化监管。</w:t>
      </w:r>
    </w:p>
    <w:p w14:paraId="68A6048E">
      <w:pPr>
        <w:pStyle w:val="40"/>
        <w:numPr>
          <w:ilvl w:val="0"/>
          <w:numId w:val="0"/>
        </w:numPr>
        <w:spacing w:line="360" w:lineRule="auto"/>
        <w:rPr>
          <w:color w:val="auto"/>
          <w:highlight w:val="none"/>
        </w:rPr>
      </w:pPr>
      <w:r>
        <w:rPr>
          <w:rFonts w:hint="eastAsia" w:ascii="宋体" w:hAnsi="宋体" w:eastAsia="宋体" w:cs="宋体"/>
          <w:b/>
          <w:color w:val="auto"/>
          <w:sz w:val="22"/>
          <w:szCs w:val="22"/>
          <w:highlight w:val="none"/>
          <w:lang w:val="en-US" w:eastAsia="zh-CN" w:bidi="zh-CN"/>
        </w:rPr>
        <w:t>三、项目采购清单及技术参数</w:t>
      </w:r>
      <w:bookmarkEnd w:id="114"/>
      <w:bookmarkStart w:id="115" w:name="_Toc7536"/>
      <w:bookmarkStart w:id="116" w:name="_Toc29871"/>
      <w:bookmarkStart w:id="117" w:name="OLE_LINK19"/>
    </w:p>
    <w:tbl>
      <w:tblPr>
        <w:tblStyle w:val="24"/>
        <w:tblpPr w:leftFromText="180" w:rightFromText="180" w:vertAnchor="text" w:tblpXSpec="center" w:tblpY="1"/>
        <w:tblOverlap w:val="never"/>
        <w:tblW w:w="98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7133"/>
        <w:gridCol w:w="597"/>
        <w:gridCol w:w="439"/>
        <w:gridCol w:w="422"/>
        <w:gridCol w:w="500"/>
      </w:tblGrid>
      <w:tr w14:paraId="3D579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9848" w:type="dxa"/>
            <w:gridSpan w:val="6"/>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6CBC9252">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bCs/>
                <w:i w:val="0"/>
                <w:iCs w:val="0"/>
                <w:color w:val="000000"/>
                <w:kern w:val="0"/>
                <w:sz w:val="24"/>
                <w:szCs w:val="24"/>
                <w:u w:val="none"/>
                <w:lang w:val="en-US" w:eastAsia="zh-CN" w:bidi="ar"/>
              </w:rPr>
            </w:pPr>
            <w:r>
              <w:rPr>
                <w:rFonts w:hint="eastAsia" w:ascii="宋体" w:hAnsi="宋体" w:eastAsia="宋体" w:cs="宋体"/>
                <w:b w:val="0"/>
                <w:bCs/>
                <w:i w:val="0"/>
                <w:iCs w:val="0"/>
                <w:color w:val="000000"/>
                <w:kern w:val="0"/>
                <w:sz w:val="24"/>
                <w:szCs w:val="24"/>
                <w:u w:val="none"/>
                <w:lang w:val="en-US" w:eastAsia="zh-CN" w:bidi="ar"/>
              </w:rPr>
              <w:t>汨罗市校车监控平台升级接入省平台</w:t>
            </w:r>
          </w:p>
        </w:tc>
      </w:tr>
      <w:tr w14:paraId="55524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7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F897F">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21"/>
                <w:szCs w:val="21"/>
                <w:u w:val="none"/>
                <w:lang w:val="en-US" w:eastAsia="zh-CN" w:bidi="ar"/>
              </w:rPr>
            </w:pPr>
            <w:r>
              <w:rPr>
                <w:rFonts w:hint="eastAsia" w:ascii="宋体" w:hAnsi="宋体" w:eastAsia="宋体" w:cs="宋体"/>
                <w:b w:val="0"/>
                <w:i w:val="0"/>
                <w:iCs w:val="0"/>
                <w:color w:val="000000"/>
                <w:kern w:val="0"/>
                <w:sz w:val="21"/>
                <w:szCs w:val="21"/>
                <w:u w:val="none"/>
                <w:lang w:val="en-US" w:eastAsia="zh-CN" w:bidi="ar"/>
              </w:rPr>
              <w:t>品名</w:t>
            </w:r>
          </w:p>
        </w:tc>
        <w:tc>
          <w:tcPr>
            <w:tcW w:w="713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A72F2C">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21"/>
                <w:szCs w:val="21"/>
                <w:u w:val="none"/>
                <w:lang w:val="en-US" w:eastAsia="zh-CN" w:bidi="ar"/>
              </w:rPr>
            </w:pPr>
            <w:r>
              <w:rPr>
                <w:rFonts w:hint="eastAsia" w:ascii="宋体" w:hAnsi="宋体" w:eastAsia="宋体" w:cs="宋体"/>
                <w:b w:val="0"/>
                <w:i w:val="0"/>
                <w:iCs w:val="0"/>
                <w:color w:val="000000"/>
                <w:kern w:val="0"/>
                <w:sz w:val="21"/>
                <w:szCs w:val="21"/>
                <w:u w:val="none"/>
                <w:lang w:val="en-US" w:eastAsia="zh-CN" w:bidi="ar"/>
              </w:rPr>
              <w:t>产品功能简介</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41AFE0">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21"/>
                <w:szCs w:val="21"/>
                <w:u w:val="none"/>
                <w:lang w:val="en-US" w:eastAsia="zh-CN" w:bidi="ar"/>
              </w:rPr>
            </w:pPr>
            <w:r>
              <w:rPr>
                <w:rFonts w:hint="eastAsia" w:ascii="宋体" w:hAnsi="宋体" w:eastAsia="宋体" w:cs="宋体"/>
                <w:b w:val="0"/>
                <w:i w:val="0"/>
                <w:iCs w:val="0"/>
                <w:color w:val="000000"/>
                <w:kern w:val="0"/>
                <w:sz w:val="21"/>
                <w:szCs w:val="21"/>
                <w:u w:val="none"/>
                <w:lang w:val="en-US" w:eastAsia="zh-CN" w:bidi="ar"/>
              </w:rPr>
              <w:t>数量</w:t>
            </w:r>
          </w:p>
        </w:tc>
        <w:tc>
          <w:tcPr>
            <w:tcW w:w="43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D2A264">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21"/>
                <w:szCs w:val="21"/>
                <w:u w:val="none"/>
                <w:lang w:val="en-US" w:eastAsia="zh-CN" w:bidi="ar"/>
              </w:rPr>
            </w:pPr>
            <w:r>
              <w:rPr>
                <w:rFonts w:hint="eastAsia" w:ascii="宋体" w:hAnsi="宋体" w:eastAsia="宋体" w:cs="宋体"/>
                <w:b w:val="0"/>
                <w:i w:val="0"/>
                <w:iCs w:val="0"/>
                <w:color w:val="000000"/>
                <w:kern w:val="0"/>
                <w:sz w:val="21"/>
                <w:szCs w:val="21"/>
                <w:u w:val="none"/>
                <w:lang w:val="en-US" w:eastAsia="zh-CN" w:bidi="ar"/>
              </w:rPr>
              <w:t>单位</w:t>
            </w:r>
          </w:p>
        </w:tc>
        <w:tc>
          <w:tcPr>
            <w:tcW w:w="4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C5BD3F">
            <w:pPr>
              <w:keepNext w:val="0"/>
              <w:keepLines w:val="0"/>
              <w:widowControl/>
              <w:suppressLineNumbers w:val="0"/>
              <w:snapToGrid w:val="0"/>
              <w:ind w:left="0" w:leftChars="0" w:right="0" w:rightChars="0" w:firstLine="0" w:firstLineChars="0"/>
              <w:jc w:val="center"/>
              <w:textAlignment w:val="top"/>
              <w:rPr>
                <w:rFonts w:hint="default" w:ascii="宋体" w:hAnsi="宋体" w:eastAsia="宋体" w:cs="宋体"/>
                <w:b w:val="0"/>
                <w:i w:val="0"/>
                <w:iCs w:val="0"/>
                <w:color w:val="000000"/>
                <w:kern w:val="0"/>
                <w:sz w:val="21"/>
                <w:szCs w:val="21"/>
                <w:u w:val="none"/>
                <w:lang w:val="en-US" w:eastAsia="zh-CN" w:bidi="ar"/>
              </w:rPr>
            </w:pPr>
            <w:r>
              <w:rPr>
                <w:rFonts w:hint="eastAsia" w:cs="宋体"/>
                <w:b w:val="0"/>
                <w:i w:val="0"/>
                <w:iCs w:val="0"/>
                <w:color w:val="000000"/>
                <w:kern w:val="0"/>
                <w:sz w:val="21"/>
                <w:szCs w:val="21"/>
                <w:u w:val="none"/>
                <w:lang w:val="en-US" w:eastAsia="zh-CN" w:bidi="ar"/>
              </w:rPr>
              <w:t>单价</w:t>
            </w: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16C3BF">
            <w:pPr>
              <w:keepNext w:val="0"/>
              <w:keepLines w:val="0"/>
              <w:widowControl/>
              <w:suppressLineNumbers w:val="0"/>
              <w:snapToGrid w:val="0"/>
              <w:ind w:left="0" w:leftChars="0" w:right="0" w:rightChars="0" w:firstLine="0" w:firstLineChars="0"/>
              <w:jc w:val="center"/>
              <w:textAlignment w:val="top"/>
              <w:rPr>
                <w:rFonts w:hint="default" w:ascii="宋体" w:hAnsi="宋体" w:eastAsia="宋体" w:cs="宋体"/>
                <w:b w:val="0"/>
                <w:i w:val="0"/>
                <w:iCs w:val="0"/>
                <w:color w:val="000000"/>
                <w:kern w:val="0"/>
                <w:sz w:val="21"/>
                <w:szCs w:val="21"/>
                <w:u w:val="none"/>
                <w:lang w:val="en-US" w:eastAsia="zh-CN" w:bidi="ar"/>
              </w:rPr>
            </w:pPr>
            <w:r>
              <w:rPr>
                <w:rFonts w:hint="eastAsia" w:cs="宋体"/>
                <w:b w:val="0"/>
                <w:i w:val="0"/>
                <w:iCs w:val="0"/>
                <w:color w:val="000000"/>
                <w:kern w:val="0"/>
                <w:sz w:val="21"/>
                <w:szCs w:val="21"/>
                <w:u w:val="none"/>
                <w:lang w:val="en-US" w:eastAsia="zh-CN" w:bidi="ar"/>
              </w:rPr>
              <w:t>合价</w:t>
            </w:r>
          </w:p>
        </w:tc>
      </w:tr>
      <w:tr w14:paraId="769AF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080F53">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主动安全智能防控终端</w:t>
            </w:r>
          </w:p>
        </w:tc>
        <w:tc>
          <w:tcPr>
            <w:tcW w:w="713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DF4EC3">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1、4G网络通讯；</w:t>
            </w:r>
            <w:r>
              <w:rPr>
                <w:rFonts w:hint="eastAsia" w:ascii="宋体" w:hAnsi="宋体" w:eastAsia="宋体" w:cs="宋体"/>
                <w:b w:val="0"/>
                <w:i w:val="0"/>
                <w:iCs w:val="0"/>
                <w:color w:val="000000"/>
                <w:kern w:val="0"/>
                <w:sz w:val="18"/>
                <w:szCs w:val="18"/>
                <w:u w:val="none"/>
                <w:lang w:val="en-US" w:eastAsia="zh-CN" w:bidi="ar"/>
              </w:rPr>
              <w:br w:type="textWrapping"/>
            </w:r>
            <w:r>
              <w:rPr>
                <w:rFonts w:hint="eastAsia" w:ascii="宋体" w:hAnsi="宋体" w:eastAsia="宋体" w:cs="宋体"/>
                <w:b w:val="0"/>
                <w:i w:val="0"/>
                <w:iCs w:val="0"/>
                <w:color w:val="000000"/>
                <w:kern w:val="0"/>
                <w:sz w:val="18"/>
                <w:szCs w:val="18"/>
                <w:u w:val="none"/>
                <w:lang w:val="en-US" w:eastAsia="zh-CN" w:bidi="ar"/>
              </w:rPr>
              <w:t>2、支持单北斗卫星定位</w:t>
            </w:r>
          </w:p>
          <w:p w14:paraId="3A04FD88">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3、支持6路视频；</w:t>
            </w:r>
            <w:r>
              <w:rPr>
                <w:rFonts w:hint="eastAsia" w:ascii="宋体" w:hAnsi="宋体" w:eastAsia="宋体" w:cs="宋体"/>
                <w:b w:val="0"/>
                <w:i w:val="0"/>
                <w:iCs w:val="0"/>
                <w:color w:val="000000"/>
                <w:kern w:val="0"/>
                <w:sz w:val="18"/>
                <w:szCs w:val="18"/>
                <w:u w:val="none"/>
                <w:lang w:val="en-US" w:eastAsia="zh-CN" w:bidi="ar"/>
              </w:rPr>
              <w:br w:type="textWrapping"/>
            </w:r>
            <w:r>
              <w:rPr>
                <w:rFonts w:hint="eastAsia" w:ascii="宋体" w:hAnsi="宋体" w:eastAsia="宋体" w:cs="宋体"/>
                <w:b w:val="0"/>
                <w:i w:val="0"/>
                <w:iCs w:val="0"/>
                <w:color w:val="000000"/>
                <w:kern w:val="0"/>
                <w:sz w:val="18"/>
                <w:szCs w:val="18"/>
                <w:u w:val="none"/>
                <w:lang w:val="en-US" w:eastAsia="zh-CN" w:bidi="ar"/>
              </w:rPr>
              <w:t>4、支持ADAS（前向碰撞/车道偏离）、DSM（疲劳/分心）、BSD（盲区监测）功能；</w:t>
            </w:r>
          </w:p>
          <w:p w14:paraId="5E0F3C09">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5、硬盘+SD卡双存储，硬盘最大支持≥2TB；</w:t>
            </w:r>
          </w:p>
          <w:p w14:paraId="32A5E1E2">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6、</w:t>
            </w:r>
            <w:r>
              <w:rPr>
                <w:rFonts w:hint="eastAsia" w:ascii="宋体" w:hAnsi="宋体" w:eastAsia="宋体" w:cs="宋体"/>
                <w:b w:val="0"/>
                <w:i w:val="0"/>
                <w:iCs w:val="0"/>
                <w:color w:val="000000"/>
                <w:kern w:val="0"/>
                <w:sz w:val="18"/>
                <w:szCs w:val="18"/>
                <w:u w:val="none"/>
                <w:lang w:val="en-US" w:eastAsia="zh-CN" w:bidi="ar"/>
              </w:rPr>
              <w:t>断电保护录像≥5秒，保证断电瞬间视频不丢失；</w:t>
            </w:r>
          </w:p>
          <w:p w14:paraId="7F590FDF">
            <w:pPr>
              <w:keepNext w:val="0"/>
              <w:keepLines w:val="0"/>
              <w:widowControl/>
              <w:suppressLineNumbers w:val="0"/>
              <w:snapToGrid w:val="0"/>
              <w:ind w:left="0" w:leftChars="0" w:right="0" w:rightChars="0" w:firstLine="0" w:firstLineChars="0"/>
              <w:jc w:val="left"/>
              <w:textAlignment w:val="top"/>
              <w:rPr>
                <w:rFonts w:hint="default" w:ascii="宋体" w:hAnsi="宋体" w:eastAsia="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7、</w:t>
            </w:r>
            <w:r>
              <w:rPr>
                <w:rFonts w:hint="default" w:ascii="宋体" w:hAnsi="宋体" w:eastAsia="宋体" w:cs="宋体"/>
                <w:b w:val="0"/>
                <w:i w:val="0"/>
                <w:iCs w:val="0"/>
                <w:color w:val="000000"/>
                <w:kern w:val="0"/>
                <w:sz w:val="18"/>
                <w:szCs w:val="18"/>
                <w:u w:val="none"/>
                <w:lang w:val="en-US" w:eastAsia="zh-CN" w:bidi="ar"/>
              </w:rPr>
              <w:t>采用专用车载视频文件系统，具备异常断电恢复、数据完整性校验、防覆盖错乱机制</w:t>
            </w:r>
            <w:r>
              <w:rPr>
                <w:rFonts w:hint="eastAsia" w:ascii="宋体" w:hAnsi="宋体" w:cs="宋体"/>
                <w:b w:val="0"/>
                <w:i w:val="0"/>
                <w:iCs w:val="0"/>
                <w:color w:val="000000"/>
                <w:kern w:val="0"/>
                <w:sz w:val="18"/>
                <w:szCs w:val="18"/>
                <w:u w:val="none"/>
                <w:lang w:val="en-US" w:eastAsia="zh-CN" w:bidi="ar"/>
              </w:rPr>
              <w:t>。</w:t>
            </w:r>
          </w:p>
          <w:p w14:paraId="1CFD1B5D">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8、</w:t>
            </w:r>
            <w:r>
              <w:rPr>
                <w:rFonts w:hint="default" w:ascii="宋体" w:hAnsi="宋体" w:eastAsia="宋体" w:cs="宋体"/>
                <w:b w:val="0"/>
                <w:i w:val="0"/>
                <w:iCs w:val="0"/>
                <w:color w:val="000000"/>
                <w:kern w:val="0"/>
                <w:sz w:val="18"/>
                <w:szCs w:val="18"/>
                <w:u w:val="none"/>
                <w:lang w:val="en-US" w:eastAsia="zh-CN" w:bidi="ar"/>
              </w:rPr>
              <w:t>静态功耗：≤</w:t>
            </w:r>
            <w:r>
              <w:rPr>
                <w:rFonts w:hint="eastAsia" w:ascii="宋体" w:hAnsi="宋体" w:eastAsia="宋体" w:cs="宋体"/>
                <w:b w:val="0"/>
                <w:i w:val="0"/>
                <w:iCs w:val="0"/>
                <w:color w:val="000000"/>
                <w:kern w:val="0"/>
                <w:sz w:val="18"/>
                <w:szCs w:val="18"/>
                <w:u w:val="none"/>
                <w:lang w:val="en-US" w:eastAsia="zh-CN" w:bidi="ar"/>
              </w:rPr>
              <w:t>5</w:t>
            </w:r>
            <w:r>
              <w:rPr>
                <w:rFonts w:hint="default" w:ascii="宋体" w:hAnsi="宋体" w:eastAsia="宋体" w:cs="宋体"/>
                <w:b w:val="0"/>
                <w:i w:val="0"/>
                <w:iCs w:val="0"/>
                <w:color w:val="000000"/>
                <w:kern w:val="0"/>
                <w:sz w:val="18"/>
                <w:szCs w:val="18"/>
                <w:u w:val="none"/>
                <w:lang w:val="en-US" w:eastAsia="zh-CN" w:bidi="ar"/>
              </w:rPr>
              <w:t>mA</w:t>
            </w:r>
            <w:r>
              <w:rPr>
                <w:rFonts w:hint="eastAsia" w:ascii="宋体" w:hAnsi="宋体" w:eastAsia="宋体" w:cs="宋体"/>
                <w:b w:val="0"/>
                <w:i w:val="0"/>
                <w:iCs w:val="0"/>
                <w:color w:val="000000"/>
                <w:kern w:val="0"/>
                <w:sz w:val="18"/>
                <w:szCs w:val="18"/>
                <w:u w:val="none"/>
                <w:lang w:val="en-US" w:eastAsia="zh-CN" w:bidi="ar"/>
              </w:rPr>
              <w:t>@</w:t>
            </w:r>
            <w:r>
              <w:rPr>
                <w:rFonts w:hint="default" w:ascii="宋体" w:hAnsi="宋体" w:eastAsia="宋体" w:cs="宋体"/>
                <w:b w:val="0"/>
                <w:i w:val="0"/>
                <w:iCs w:val="0"/>
                <w:color w:val="000000"/>
                <w:kern w:val="0"/>
                <w:sz w:val="18"/>
                <w:szCs w:val="18"/>
                <w:u w:val="none"/>
                <w:lang w:val="en-US" w:eastAsia="zh-CN" w:bidi="ar"/>
              </w:rPr>
              <w:t>24V或提供同等低功耗证明</w:t>
            </w:r>
            <w:r>
              <w:rPr>
                <w:rFonts w:hint="eastAsia" w:ascii="宋体" w:hAnsi="宋体" w:eastAsia="宋体" w:cs="宋体"/>
                <w:b w:val="0"/>
                <w:i w:val="0"/>
                <w:iCs w:val="0"/>
                <w:color w:val="000000"/>
                <w:kern w:val="0"/>
                <w:sz w:val="18"/>
                <w:szCs w:val="18"/>
                <w:u w:val="none"/>
                <w:lang w:val="en-US" w:eastAsia="zh-CN" w:bidi="ar"/>
              </w:rPr>
              <w:t>。</w:t>
            </w:r>
          </w:p>
          <w:p w14:paraId="38852DDC">
            <w:pPr>
              <w:keepNext w:val="0"/>
              <w:keepLines w:val="0"/>
              <w:widowControl/>
              <w:suppressLineNumbers w:val="0"/>
              <w:snapToGrid w:val="0"/>
              <w:ind w:left="0" w:leftChars="0" w:right="0" w:rightChars="0" w:firstLine="0" w:firstLineChars="0"/>
              <w:jc w:val="left"/>
              <w:textAlignment w:val="top"/>
              <w:rPr>
                <w:rFonts w:hint="default" w:ascii="宋体" w:hAnsi="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9、终端设备必须符合一下标准：</w:t>
            </w:r>
          </w:p>
          <w:p w14:paraId="48F41BEF">
            <w:pPr>
              <w:keepNext w:val="0"/>
              <w:keepLines w:val="0"/>
              <w:widowControl/>
              <w:suppressLineNumbers w:val="0"/>
              <w:snapToGrid w:val="0"/>
              <w:ind w:left="0" w:leftChars="0" w:right="0" w:rightChars="0" w:firstLine="0" w:firstLineChars="0"/>
              <w:jc w:val="left"/>
              <w:textAlignment w:val="top"/>
              <w:rPr>
                <w:rFonts w:hint="eastAsia" w:ascii="宋体" w:hAnsi="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GB/T 19056-2021</w:t>
            </w:r>
            <w:r>
              <w:rPr>
                <w:rFonts w:hint="eastAsia" w:ascii="宋体" w:hAnsi="宋体" w:cs="宋体"/>
                <w:b w:val="0"/>
                <w:i w:val="0"/>
                <w:iCs w:val="0"/>
                <w:color w:val="000000"/>
                <w:kern w:val="0"/>
                <w:sz w:val="18"/>
                <w:szCs w:val="18"/>
                <w:u w:val="none"/>
                <w:lang w:val="en-US" w:eastAsia="zh-CN" w:bidi="ar"/>
              </w:rPr>
              <w:tab/>
            </w:r>
            <w:r>
              <w:rPr>
                <w:rFonts w:hint="eastAsia" w:ascii="宋体" w:hAnsi="宋体" w:cs="宋体"/>
                <w:b w:val="0"/>
                <w:i w:val="0"/>
                <w:iCs w:val="0"/>
                <w:color w:val="000000"/>
                <w:kern w:val="0"/>
                <w:sz w:val="18"/>
                <w:szCs w:val="18"/>
                <w:u w:val="none"/>
                <w:lang w:val="en-US" w:eastAsia="zh-CN" w:bidi="ar"/>
              </w:rPr>
              <w:t>汽车行驶记录仪</w:t>
            </w:r>
            <w:r>
              <w:rPr>
                <w:rFonts w:hint="eastAsia" w:ascii="宋体" w:hAnsi="宋体" w:cs="宋体"/>
                <w:b w:val="0"/>
                <w:i w:val="0"/>
                <w:iCs w:val="0"/>
                <w:color w:val="000000"/>
                <w:kern w:val="0"/>
                <w:sz w:val="18"/>
                <w:szCs w:val="18"/>
                <w:u w:val="none"/>
                <w:lang w:val="en-US" w:eastAsia="zh-CN" w:bidi="ar"/>
              </w:rPr>
              <w:tab/>
            </w:r>
            <w:r>
              <w:rPr>
                <w:rFonts w:hint="eastAsia" w:ascii="宋体" w:hAnsi="宋体" w:cs="宋体"/>
                <w:b w:val="0"/>
                <w:i w:val="0"/>
                <w:iCs w:val="0"/>
                <w:color w:val="000000"/>
                <w:kern w:val="0"/>
                <w:sz w:val="18"/>
                <w:szCs w:val="18"/>
                <w:u w:val="none"/>
                <w:lang w:val="en-US" w:eastAsia="zh-CN" w:bidi="ar"/>
              </w:rPr>
              <w:t xml:space="preserve">     2021</w:t>
            </w:r>
          </w:p>
          <w:p w14:paraId="07AD2FC2">
            <w:pPr>
              <w:keepNext w:val="0"/>
              <w:keepLines w:val="0"/>
              <w:widowControl/>
              <w:suppressLineNumbers w:val="0"/>
              <w:snapToGrid w:val="0"/>
              <w:ind w:left="0" w:leftChars="0" w:right="0" w:rightChars="0" w:firstLine="0" w:firstLineChars="0"/>
              <w:jc w:val="left"/>
              <w:textAlignment w:val="top"/>
              <w:rPr>
                <w:rFonts w:hint="eastAsia" w:ascii="宋体" w:hAnsi="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JT/T 794-2019</w:t>
            </w:r>
            <w:r>
              <w:rPr>
                <w:rFonts w:hint="eastAsia" w:ascii="宋体" w:hAnsi="宋体" w:cs="宋体"/>
                <w:b w:val="0"/>
                <w:i w:val="0"/>
                <w:iCs w:val="0"/>
                <w:color w:val="000000"/>
                <w:kern w:val="0"/>
                <w:sz w:val="18"/>
                <w:szCs w:val="18"/>
                <w:u w:val="none"/>
                <w:lang w:val="en-US" w:eastAsia="zh-CN" w:bidi="ar"/>
              </w:rPr>
              <w:tab/>
            </w:r>
            <w:r>
              <w:rPr>
                <w:rFonts w:hint="eastAsia" w:ascii="宋体" w:hAnsi="宋体" w:cs="宋体"/>
                <w:b w:val="0"/>
                <w:i w:val="0"/>
                <w:iCs w:val="0"/>
                <w:color w:val="000000"/>
                <w:kern w:val="0"/>
                <w:sz w:val="18"/>
                <w:szCs w:val="18"/>
                <w:u w:val="none"/>
                <w:lang w:val="en-US" w:eastAsia="zh-CN" w:bidi="ar"/>
              </w:rPr>
              <w:t>道路运输车辆卫星定位系统车载终端技术要求</w:t>
            </w:r>
            <w:r>
              <w:rPr>
                <w:rFonts w:hint="eastAsia" w:ascii="宋体" w:hAnsi="宋体" w:cs="宋体"/>
                <w:b w:val="0"/>
                <w:i w:val="0"/>
                <w:iCs w:val="0"/>
                <w:color w:val="000000"/>
                <w:kern w:val="0"/>
                <w:sz w:val="18"/>
                <w:szCs w:val="18"/>
                <w:u w:val="none"/>
                <w:lang w:val="en-US" w:eastAsia="zh-CN" w:bidi="ar"/>
              </w:rPr>
              <w:tab/>
            </w:r>
            <w:r>
              <w:rPr>
                <w:rFonts w:hint="eastAsia" w:ascii="宋体" w:hAnsi="宋体" w:cs="宋体"/>
                <w:b w:val="0"/>
                <w:i w:val="0"/>
                <w:iCs w:val="0"/>
                <w:color w:val="000000"/>
                <w:kern w:val="0"/>
                <w:sz w:val="18"/>
                <w:szCs w:val="18"/>
                <w:u w:val="none"/>
                <w:lang w:val="en-US" w:eastAsia="zh-CN" w:bidi="ar"/>
              </w:rPr>
              <w:t>2019</w:t>
            </w:r>
          </w:p>
          <w:p w14:paraId="4DFC2941">
            <w:pPr>
              <w:keepNext w:val="0"/>
              <w:keepLines w:val="0"/>
              <w:widowControl/>
              <w:suppressLineNumbers w:val="0"/>
              <w:snapToGrid w:val="0"/>
              <w:ind w:left="0" w:leftChars="0" w:right="0" w:rightChars="0" w:firstLine="0" w:firstLineChars="0"/>
              <w:jc w:val="left"/>
              <w:textAlignment w:val="top"/>
              <w:rPr>
                <w:rFonts w:hint="eastAsia" w:ascii="宋体" w:hAnsi="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JT/T 808-2019</w:t>
            </w:r>
            <w:r>
              <w:rPr>
                <w:rFonts w:hint="eastAsia" w:ascii="宋体" w:hAnsi="宋体" w:cs="宋体"/>
                <w:b w:val="0"/>
                <w:i w:val="0"/>
                <w:iCs w:val="0"/>
                <w:color w:val="000000"/>
                <w:kern w:val="0"/>
                <w:sz w:val="18"/>
                <w:szCs w:val="18"/>
                <w:u w:val="none"/>
                <w:lang w:val="en-US" w:eastAsia="zh-CN" w:bidi="ar"/>
              </w:rPr>
              <w:tab/>
            </w:r>
            <w:r>
              <w:rPr>
                <w:rFonts w:hint="eastAsia" w:ascii="宋体" w:hAnsi="宋体" w:cs="宋体"/>
                <w:b w:val="0"/>
                <w:i w:val="0"/>
                <w:iCs w:val="0"/>
                <w:color w:val="000000"/>
                <w:kern w:val="0"/>
                <w:sz w:val="18"/>
                <w:szCs w:val="18"/>
                <w:u w:val="none"/>
                <w:lang w:val="en-US" w:eastAsia="zh-CN" w:bidi="ar"/>
              </w:rPr>
              <w:t>道路运输车辆卫星定位系统终端通讯协议及数据格式</w:t>
            </w:r>
            <w:r>
              <w:rPr>
                <w:rFonts w:hint="eastAsia" w:ascii="宋体" w:hAnsi="宋体" w:cs="宋体"/>
                <w:b w:val="0"/>
                <w:i w:val="0"/>
                <w:iCs w:val="0"/>
                <w:color w:val="000000"/>
                <w:kern w:val="0"/>
                <w:sz w:val="18"/>
                <w:szCs w:val="18"/>
                <w:u w:val="none"/>
                <w:lang w:val="en-US" w:eastAsia="zh-CN" w:bidi="ar"/>
              </w:rPr>
              <w:tab/>
            </w:r>
            <w:r>
              <w:rPr>
                <w:rFonts w:hint="eastAsia" w:ascii="宋体" w:hAnsi="宋体" w:cs="宋体"/>
                <w:b w:val="0"/>
                <w:i w:val="0"/>
                <w:iCs w:val="0"/>
                <w:color w:val="000000"/>
                <w:kern w:val="0"/>
                <w:sz w:val="18"/>
                <w:szCs w:val="18"/>
                <w:u w:val="none"/>
                <w:lang w:val="en-US" w:eastAsia="zh-CN" w:bidi="ar"/>
              </w:rPr>
              <w:t>2019</w:t>
            </w:r>
          </w:p>
          <w:p w14:paraId="5218C953">
            <w:pPr>
              <w:keepNext w:val="0"/>
              <w:keepLines w:val="0"/>
              <w:widowControl/>
              <w:suppressLineNumbers w:val="0"/>
              <w:snapToGrid w:val="0"/>
              <w:ind w:left="0" w:leftChars="0" w:right="0" w:rightChars="0" w:firstLine="0" w:firstLineChars="0"/>
              <w:jc w:val="left"/>
              <w:textAlignment w:val="top"/>
              <w:rPr>
                <w:rFonts w:hint="eastAsia" w:ascii="宋体" w:hAnsi="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JT/T 1076-2016</w:t>
            </w:r>
            <w:r>
              <w:rPr>
                <w:rFonts w:hint="eastAsia" w:ascii="宋体" w:hAnsi="宋体" w:cs="宋体"/>
                <w:b w:val="0"/>
                <w:i w:val="0"/>
                <w:iCs w:val="0"/>
                <w:color w:val="000000"/>
                <w:kern w:val="0"/>
                <w:sz w:val="18"/>
                <w:szCs w:val="18"/>
                <w:u w:val="none"/>
                <w:lang w:val="en-US" w:eastAsia="zh-CN" w:bidi="ar"/>
              </w:rPr>
              <w:tab/>
            </w:r>
            <w:r>
              <w:rPr>
                <w:rFonts w:hint="eastAsia" w:ascii="宋体" w:hAnsi="宋体" w:cs="宋体"/>
                <w:b w:val="0"/>
                <w:i w:val="0"/>
                <w:iCs w:val="0"/>
                <w:color w:val="000000"/>
                <w:kern w:val="0"/>
                <w:sz w:val="18"/>
                <w:szCs w:val="18"/>
                <w:u w:val="none"/>
                <w:lang w:val="en-US" w:eastAsia="zh-CN" w:bidi="ar"/>
              </w:rPr>
              <w:t>道路运输车辆卫星定位系统 车载视频终端技术要求</w:t>
            </w:r>
            <w:r>
              <w:rPr>
                <w:rFonts w:hint="eastAsia" w:ascii="宋体" w:hAnsi="宋体" w:cs="宋体"/>
                <w:b w:val="0"/>
                <w:i w:val="0"/>
                <w:iCs w:val="0"/>
                <w:color w:val="000000"/>
                <w:kern w:val="0"/>
                <w:sz w:val="18"/>
                <w:szCs w:val="18"/>
                <w:u w:val="none"/>
                <w:lang w:val="en-US" w:eastAsia="zh-CN" w:bidi="ar"/>
              </w:rPr>
              <w:tab/>
            </w:r>
            <w:r>
              <w:rPr>
                <w:rFonts w:hint="eastAsia" w:ascii="宋体" w:hAnsi="宋体" w:cs="宋体"/>
                <w:b w:val="0"/>
                <w:i w:val="0"/>
                <w:iCs w:val="0"/>
                <w:color w:val="000000"/>
                <w:kern w:val="0"/>
                <w:sz w:val="18"/>
                <w:szCs w:val="18"/>
                <w:u w:val="none"/>
                <w:lang w:val="en-US" w:eastAsia="zh-CN" w:bidi="ar"/>
              </w:rPr>
              <w:t>2016</w:t>
            </w:r>
          </w:p>
          <w:p w14:paraId="1C630CD6">
            <w:pPr>
              <w:keepNext w:val="0"/>
              <w:keepLines w:val="0"/>
              <w:widowControl/>
              <w:suppressLineNumbers w:val="0"/>
              <w:snapToGrid w:val="0"/>
              <w:ind w:left="0" w:leftChars="0" w:right="0" w:rightChars="0" w:firstLine="0" w:firstLineChars="0"/>
              <w:jc w:val="left"/>
              <w:textAlignment w:val="top"/>
              <w:rPr>
                <w:rFonts w:hint="eastAsia" w:ascii="宋体" w:hAnsi="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JT/T 1078-2016</w:t>
            </w:r>
            <w:r>
              <w:rPr>
                <w:rFonts w:hint="eastAsia" w:ascii="宋体" w:hAnsi="宋体" w:cs="宋体"/>
                <w:b w:val="0"/>
                <w:i w:val="0"/>
                <w:iCs w:val="0"/>
                <w:color w:val="000000"/>
                <w:kern w:val="0"/>
                <w:sz w:val="18"/>
                <w:szCs w:val="18"/>
                <w:u w:val="none"/>
                <w:lang w:val="en-US" w:eastAsia="zh-CN" w:bidi="ar"/>
              </w:rPr>
              <w:tab/>
            </w:r>
            <w:r>
              <w:rPr>
                <w:rFonts w:hint="eastAsia" w:ascii="宋体" w:hAnsi="宋体" w:cs="宋体"/>
                <w:b w:val="0"/>
                <w:i w:val="0"/>
                <w:iCs w:val="0"/>
                <w:color w:val="000000"/>
                <w:kern w:val="0"/>
                <w:sz w:val="18"/>
                <w:szCs w:val="18"/>
                <w:u w:val="none"/>
                <w:lang w:val="en-US" w:eastAsia="zh-CN" w:bidi="ar"/>
              </w:rPr>
              <w:t>道路运输车辆卫星定位系统 视频通讯协议</w:t>
            </w:r>
            <w:r>
              <w:rPr>
                <w:rFonts w:hint="eastAsia" w:ascii="宋体" w:hAnsi="宋体" w:cs="宋体"/>
                <w:b w:val="0"/>
                <w:i w:val="0"/>
                <w:iCs w:val="0"/>
                <w:color w:val="000000"/>
                <w:kern w:val="0"/>
                <w:sz w:val="18"/>
                <w:szCs w:val="18"/>
                <w:u w:val="none"/>
                <w:lang w:val="en-US" w:eastAsia="zh-CN" w:bidi="ar"/>
              </w:rPr>
              <w:tab/>
            </w:r>
            <w:r>
              <w:rPr>
                <w:rFonts w:hint="eastAsia" w:cs="宋体"/>
                <w:b w:val="0"/>
                <w:i w:val="0"/>
                <w:iCs w:val="0"/>
                <w:color w:val="000000"/>
                <w:kern w:val="0"/>
                <w:sz w:val="18"/>
                <w:szCs w:val="18"/>
                <w:u w:val="none"/>
                <w:lang w:val="en-US" w:eastAsia="zh-CN" w:bidi="ar"/>
              </w:rPr>
              <w:t xml:space="preserve"> </w:t>
            </w:r>
            <w:r>
              <w:rPr>
                <w:rFonts w:hint="eastAsia" w:ascii="宋体" w:hAnsi="宋体" w:cs="宋体"/>
                <w:b w:val="0"/>
                <w:i w:val="0"/>
                <w:iCs w:val="0"/>
                <w:color w:val="000000"/>
                <w:kern w:val="0"/>
                <w:sz w:val="18"/>
                <w:szCs w:val="18"/>
                <w:u w:val="none"/>
                <w:lang w:val="en-US" w:eastAsia="zh-CN" w:bidi="ar"/>
              </w:rPr>
              <w:t>2016</w:t>
            </w:r>
          </w:p>
          <w:p w14:paraId="5AACD24E">
            <w:pPr>
              <w:keepNext w:val="0"/>
              <w:keepLines w:val="0"/>
              <w:widowControl/>
              <w:suppressLineNumbers w:val="0"/>
              <w:snapToGrid w:val="0"/>
              <w:ind w:left="0" w:leftChars="0" w:right="0" w:rightChars="0" w:firstLine="0" w:firstLineChars="0"/>
              <w:jc w:val="left"/>
              <w:textAlignment w:val="top"/>
              <w:rPr>
                <w:rFonts w:hint="eastAsia" w:ascii="宋体" w:hAnsi="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GB/T 33577-2017</w:t>
            </w:r>
            <w:r>
              <w:rPr>
                <w:rFonts w:hint="eastAsia" w:ascii="宋体" w:hAnsi="宋体" w:cs="宋体"/>
                <w:b w:val="0"/>
                <w:i w:val="0"/>
                <w:iCs w:val="0"/>
                <w:color w:val="000000"/>
                <w:kern w:val="0"/>
                <w:sz w:val="18"/>
                <w:szCs w:val="18"/>
                <w:u w:val="none"/>
                <w:lang w:val="en-US" w:eastAsia="zh-CN" w:bidi="ar"/>
              </w:rPr>
              <w:tab/>
            </w:r>
            <w:r>
              <w:rPr>
                <w:rFonts w:hint="eastAsia" w:ascii="宋体" w:hAnsi="宋体" w:cs="宋体"/>
                <w:b w:val="0"/>
                <w:i w:val="0"/>
                <w:iCs w:val="0"/>
                <w:color w:val="000000"/>
                <w:kern w:val="0"/>
                <w:sz w:val="18"/>
                <w:szCs w:val="18"/>
                <w:u w:val="none"/>
                <w:lang w:val="en-US" w:eastAsia="zh-CN" w:bidi="ar"/>
              </w:rPr>
              <w:t>智能运输系统 车辆前向碰撞报警系统 性能要求与检测方法</w:t>
            </w:r>
            <w:r>
              <w:rPr>
                <w:rFonts w:hint="eastAsia" w:cs="宋体"/>
                <w:b w:val="0"/>
                <w:i w:val="0"/>
                <w:iCs w:val="0"/>
                <w:color w:val="000000"/>
                <w:kern w:val="0"/>
                <w:sz w:val="18"/>
                <w:szCs w:val="18"/>
                <w:u w:val="none"/>
                <w:lang w:val="en-US" w:eastAsia="zh-CN" w:bidi="ar"/>
              </w:rPr>
              <w:t xml:space="preserve">  </w:t>
            </w:r>
            <w:r>
              <w:rPr>
                <w:rFonts w:hint="eastAsia" w:ascii="宋体" w:hAnsi="宋体" w:cs="宋体"/>
                <w:b w:val="0"/>
                <w:i w:val="0"/>
                <w:iCs w:val="0"/>
                <w:color w:val="000000"/>
                <w:kern w:val="0"/>
                <w:sz w:val="18"/>
                <w:szCs w:val="18"/>
                <w:u w:val="none"/>
                <w:lang w:val="en-US" w:eastAsia="zh-CN" w:bidi="ar"/>
              </w:rPr>
              <w:t>2017</w:t>
            </w:r>
          </w:p>
          <w:p w14:paraId="606CEAC0">
            <w:pPr>
              <w:keepNext w:val="0"/>
              <w:keepLines w:val="0"/>
              <w:widowControl/>
              <w:suppressLineNumbers w:val="0"/>
              <w:snapToGrid w:val="0"/>
              <w:ind w:left="0" w:leftChars="0" w:right="0" w:rightChars="0" w:firstLine="0" w:firstLineChars="0"/>
              <w:jc w:val="left"/>
              <w:textAlignment w:val="top"/>
              <w:rPr>
                <w:rFonts w:hint="eastAsia" w:ascii="宋体" w:hAnsi="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JT/T 883-2014</w:t>
            </w:r>
            <w:r>
              <w:rPr>
                <w:rFonts w:hint="eastAsia" w:ascii="宋体" w:hAnsi="宋体" w:cs="宋体"/>
                <w:b w:val="0"/>
                <w:i w:val="0"/>
                <w:iCs w:val="0"/>
                <w:color w:val="000000"/>
                <w:kern w:val="0"/>
                <w:sz w:val="18"/>
                <w:szCs w:val="18"/>
                <w:u w:val="none"/>
                <w:lang w:val="en-US" w:eastAsia="zh-CN" w:bidi="ar"/>
              </w:rPr>
              <w:tab/>
            </w:r>
            <w:r>
              <w:rPr>
                <w:rFonts w:hint="eastAsia" w:ascii="宋体" w:hAnsi="宋体" w:cs="宋体"/>
                <w:b w:val="0"/>
                <w:i w:val="0"/>
                <w:iCs w:val="0"/>
                <w:color w:val="000000"/>
                <w:kern w:val="0"/>
                <w:sz w:val="18"/>
                <w:szCs w:val="18"/>
                <w:u w:val="none"/>
                <w:lang w:val="en-US" w:eastAsia="zh-CN" w:bidi="ar"/>
              </w:rPr>
              <w:t>营运车辆行驶危险预警系统技术要求和试验方法</w:t>
            </w:r>
            <w:r>
              <w:rPr>
                <w:rFonts w:hint="eastAsia" w:ascii="宋体" w:hAnsi="宋体" w:cs="宋体"/>
                <w:b w:val="0"/>
                <w:i w:val="0"/>
                <w:iCs w:val="0"/>
                <w:color w:val="000000"/>
                <w:kern w:val="0"/>
                <w:sz w:val="18"/>
                <w:szCs w:val="18"/>
                <w:u w:val="none"/>
                <w:lang w:val="en-US" w:eastAsia="zh-CN" w:bidi="ar"/>
              </w:rPr>
              <w:tab/>
            </w:r>
            <w:r>
              <w:rPr>
                <w:rFonts w:hint="eastAsia" w:ascii="宋体" w:hAnsi="宋体" w:cs="宋体"/>
                <w:b w:val="0"/>
                <w:i w:val="0"/>
                <w:iCs w:val="0"/>
                <w:color w:val="000000"/>
                <w:kern w:val="0"/>
                <w:sz w:val="18"/>
                <w:szCs w:val="18"/>
                <w:u w:val="none"/>
                <w:lang w:val="en-US" w:eastAsia="zh-CN" w:bidi="ar"/>
              </w:rPr>
              <w:t>2014</w:t>
            </w:r>
          </w:p>
          <w:p w14:paraId="00972912">
            <w:pPr>
              <w:keepNext w:val="0"/>
              <w:keepLines w:val="0"/>
              <w:widowControl/>
              <w:suppressLineNumbers w:val="0"/>
              <w:snapToGrid w:val="0"/>
              <w:ind w:left="0" w:leftChars="0" w:right="0" w:rightChars="0" w:firstLine="0" w:firstLineChars="0"/>
              <w:jc w:val="left"/>
              <w:textAlignment w:val="top"/>
              <w:rPr>
                <w:rFonts w:hint="default" w:ascii="宋体" w:hAnsi="宋体" w:eastAsia="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GB/T 26773-2011</w:t>
            </w:r>
            <w:r>
              <w:rPr>
                <w:rFonts w:hint="eastAsia" w:ascii="宋体" w:hAnsi="宋体" w:cs="宋体"/>
                <w:b w:val="0"/>
                <w:i w:val="0"/>
                <w:iCs w:val="0"/>
                <w:color w:val="000000"/>
                <w:kern w:val="0"/>
                <w:sz w:val="18"/>
                <w:szCs w:val="18"/>
                <w:u w:val="none"/>
                <w:lang w:val="en-US" w:eastAsia="zh-CN" w:bidi="ar"/>
              </w:rPr>
              <w:tab/>
            </w:r>
            <w:r>
              <w:rPr>
                <w:rFonts w:hint="eastAsia" w:ascii="宋体" w:hAnsi="宋体" w:cs="宋体"/>
                <w:b w:val="0"/>
                <w:i w:val="0"/>
                <w:iCs w:val="0"/>
                <w:color w:val="000000"/>
                <w:kern w:val="0"/>
                <w:sz w:val="18"/>
                <w:szCs w:val="18"/>
                <w:u w:val="none"/>
                <w:lang w:val="en-US" w:eastAsia="zh-CN" w:bidi="ar"/>
              </w:rPr>
              <w:t>智能运输系统 车道偏离报警系统 性能要求与检测方法</w:t>
            </w:r>
            <w:r>
              <w:rPr>
                <w:rFonts w:hint="eastAsia" w:ascii="宋体" w:hAnsi="宋体" w:cs="宋体"/>
                <w:b w:val="0"/>
                <w:i w:val="0"/>
                <w:iCs w:val="0"/>
                <w:color w:val="000000"/>
                <w:kern w:val="0"/>
                <w:sz w:val="18"/>
                <w:szCs w:val="18"/>
                <w:u w:val="none"/>
                <w:lang w:val="en-US" w:eastAsia="zh-CN" w:bidi="ar"/>
              </w:rPr>
              <w:tab/>
            </w:r>
            <w:r>
              <w:rPr>
                <w:rFonts w:hint="eastAsia" w:ascii="宋体" w:hAnsi="宋体" w:cs="宋体"/>
                <w:b w:val="0"/>
                <w:i w:val="0"/>
                <w:iCs w:val="0"/>
                <w:color w:val="000000"/>
                <w:kern w:val="0"/>
                <w:sz w:val="18"/>
                <w:szCs w:val="18"/>
                <w:u w:val="none"/>
                <w:lang w:val="en-US" w:eastAsia="zh-CN" w:bidi="ar"/>
              </w:rPr>
              <w:t>2011</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F9623F">
            <w:pPr>
              <w:keepNext w:val="0"/>
              <w:keepLines w:val="0"/>
              <w:widowControl/>
              <w:suppressLineNumbers w:val="0"/>
              <w:snapToGrid w:val="0"/>
              <w:ind w:left="0" w:leftChars="0" w:right="0" w:rightChars="0" w:firstLine="0" w:firstLineChars="0"/>
              <w:jc w:val="center"/>
              <w:textAlignment w:val="top"/>
              <w:rPr>
                <w:rFonts w:hint="default" w:ascii="宋体" w:hAnsi="宋体" w:eastAsia="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230</w:t>
            </w:r>
          </w:p>
        </w:tc>
        <w:tc>
          <w:tcPr>
            <w:tcW w:w="43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0FB510">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套</w:t>
            </w:r>
          </w:p>
        </w:tc>
        <w:tc>
          <w:tcPr>
            <w:tcW w:w="4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F42011">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18"/>
                <w:szCs w:val="18"/>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7D16EE">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18"/>
                <w:szCs w:val="18"/>
                <w:u w:val="none"/>
                <w:lang w:val="en-US" w:eastAsia="zh-CN" w:bidi="ar"/>
              </w:rPr>
            </w:pPr>
          </w:p>
        </w:tc>
      </w:tr>
      <w:tr w14:paraId="554BC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656A3D">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DSM摄像头</w:t>
            </w:r>
          </w:p>
        </w:tc>
        <w:tc>
          <w:tcPr>
            <w:tcW w:w="713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00DBF1">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图像传感器：≥100万像素；</w:t>
            </w:r>
          </w:p>
          <w:p w14:paraId="1D97C721">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视频制式：AHD模拟高清接入或IPC数字接入；</w:t>
            </w:r>
          </w:p>
          <w:p w14:paraId="385C658D">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有效像素：≥1280(H)×720(V)；帧率：≥25fps；</w:t>
            </w:r>
          </w:p>
          <w:p w14:paraId="2C84607B">
            <w:pPr>
              <w:keepNext w:val="0"/>
              <w:keepLines w:val="0"/>
              <w:widowControl/>
              <w:suppressLineNumbers w:val="0"/>
              <w:snapToGrid w:val="0"/>
              <w:ind w:left="0" w:leftChars="0" w:right="0" w:rightChars="0" w:firstLine="0" w:firstLineChars="0"/>
              <w:jc w:val="left"/>
              <w:textAlignment w:val="top"/>
              <w:rPr>
                <w:rFonts w:hint="default"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信噪比：≥38dB；</w:t>
            </w:r>
          </w:p>
          <w:p w14:paraId="7C4E32F8">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滤光片：支持红外不可见补光（850~950nm波段）；</w:t>
            </w:r>
          </w:p>
          <w:p w14:paraId="4135B9A3">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水平视场角 40°~60°，清晰覆盖驾驶员面部区域；</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CBDEB2">
            <w:pPr>
              <w:keepNext w:val="0"/>
              <w:keepLines w:val="0"/>
              <w:widowControl/>
              <w:suppressLineNumbers w:val="0"/>
              <w:snapToGrid w:val="0"/>
              <w:ind w:left="0" w:leftChars="0" w:right="0" w:rightChars="0" w:firstLine="0" w:firstLineChars="0"/>
              <w:jc w:val="center"/>
              <w:textAlignment w:val="top"/>
              <w:rPr>
                <w:rFonts w:hint="default" w:ascii="宋体" w:hAnsi="宋体" w:eastAsia="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230</w:t>
            </w:r>
          </w:p>
        </w:tc>
        <w:tc>
          <w:tcPr>
            <w:tcW w:w="43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7DA7E4">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个</w:t>
            </w:r>
          </w:p>
        </w:tc>
        <w:tc>
          <w:tcPr>
            <w:tcW w:w="4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34C039">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18"/>
                <w:szCs w:val="18"/>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638C12">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18"/>
                <w:szCs w:val="18"/>
                <w:u w:val="none"/>
                <w:lang w:val="en-US" w:eastAsia="zh-CN" w:bidi="ar"/>
              </w:rPr>
            </w:pPr>
          </w:p>
        </w:tc>
      </w:tr>
      <w:tr w14:paraId="7715A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24982D">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ADAS摄像头</w:t>
            </w:r>
          </w:p>
        </w:tc>
        <w:tc>
          <w:tcPr>
            <w:tcW w:w="713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8AD0E8">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图像传感器：≥100 万像素 CMOS；</w:t>
            </w:r>
          </w:p>
          <w:p w14:paraId="60A58047">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视频制式：AHD模拟高清接入或IPC数字接入；</w:t>
            </w:r>
          </w:p>
          <w:p w14:paraId="2FA183B3">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有效像素：≥1280(H)×720(V)；</w:t>
            </w:r>
          </w:p>
          <w:p w14:paraId="5F0CF0A0">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白平衡：自动（色温 2800K~9000K 自适应）；</w:t>
            </w:r>
          </w:p>
          <w:p w14:paraId="50D61D29">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信噪比：≥38dB；</w:t>
            </w:r>
          </w:p>
          <w:p w14:paraId="3C29E466">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帧率：≥25fps；</w:t>
            </w:r>
          </w:p>
          <w:p w14:paraId="360C9FBF">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滤光片：可见光带通滤光片；</w:t>
            </w:r>
          </w:p>
          <w:p w14:paraId="6862809F">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水平视场角45°~60°，满足前方路况监测需求；</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D8CC49">
            <w:pPr>
              <w:keepNext w:val="0"/>
              <w:keepLines w:val="0"/>
              <w:widowControl/>
              <w:suppressLineNumbers w:val="0"/>
              <w:snapToGrid w:val="0"/>
              <w:ind w:left="0" w:leftChars="0" w:right="0" w:rightChars="0" w:firstLine="0" w:firstLineChars="0"/>
              <w:jc w:val="center"/>
              <w:textAlignment w:val="top"/>
              <w:rPr>
                <w:rFonts w:hint="default" w:ascii="宋体" w:hAnsi="宋体" w:eastAsia="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230</w:t>
            </w:r>
          </w:p>
        </w:tc>
        <w:tc>
          <w:tcPr>
            <w:tcW w:w="43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62A02A">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个</w:t>
            </w:r>
          </w:p>
        </w:tc>
        <w:tc>
          <w:tcPr>
            <w:tcW w:w="4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CD05E">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18"/>
                <w:szCs w:val="18"/>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7215E8">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18"/>
                <w:szCs w:val="18"/>
                <w:u w:val="none"/>
                <w:lang w:val="en-US" w:eastAsia="zh-CN" w:bidi="ar"/>
              </w:rPr>
            </w:pPr>
          </w:p>
        </w:tc>
      </w:tr>
      <w:tr w14:paraId="6FA80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2EEB3">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驾驶室监控</w:t>
            </w:r>
          </w:p>
          <w:p w14:paraId="00BB078C">
            <w:pPr>
              <w:keepNext w:val="0"/>
              <w:keepLines w:val="0"/>
              <w:widowControl/>
              <w:suppressLineNumbers w:val="0"/>
              <w:snapToGrid w:val="0"/>
              <w:ind w:left="0" w:leftChars="0" w:right="0" w:rightChars="0" w:firstLine="0" w:firstLineChars="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摄像头</w:t>
            </w:r>
          </w:p>
        </w:tc>
        <w:tc>
          <w:tcPr>
            <w:tcW w:w="713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09671F">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驾驶室摄像头：</w:t>
            </w:r>
          </w:p>
          <w:p w14:paraId="2721F6A7">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图像传感器：≥100万像素CMOS；</w:t>
            </w:r>
          </w:p>
          <w:p w14:paraId="21FEC6AA">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视频制式：AHD模拟高清接入或IPC数字接入；</w:t>
            </w:r>
          </w:p>
          <w:p w14:paraId="0E4766F2">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有效像素：≥1280(H)×720(V)；</w:t>
            </w:r>
          </w:p>
          <w:p w14:paraId="7D16E53A">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帧率：≥25fps；</w:t>
            </w:r>
          </w:p>
          <w:p w14:paraId="5E4407ED">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最低照度：彩色≤0.1Lux，黑白（红外）≤0.01Lux；</w:t>
            </w:r>
          </w:p>
          <w:p w14:paraId="58B43E77">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水平视场角60-90°，覆盖驾驶员及仪表台；</w:t>
            </w:r>
          </w:p>
          <w:p w14:paraId="22E90ED7">
            <w:pPr>
              <w:keepNext w:val="0"/>
              <w:keepLines w:val="0"/>
              <w:widowControl/>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音频：内置拾音器。</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7EA7B1">
            <w:pPr>
              <w:keepNext w:val="0"/>
              <w:keepLines w:val="0"/>
              <w:widowControl/>
              <w:suppressLineNumbers w:val="0"/>
              <w:snapToGrid w:val="0"/>
              <w:ind w:left="0" w:leftChars="0" w:right="0" w:rightChars="0" w:firstLine="0" w:firstLineChars="0"/>
              <w:jc w:val="center"/>
              <w:textAlignment w:val="top"/>
              <w:rPr>
                <w:rFonts w:hint="default" w:ascii="宋体" w:hAnsi="宋体" w:eastAsia="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230</w:t>
            </w:r>
          </w:p>
        </w:tc>
        <w:tc>
          <w:tcPr>
            <w:tcW w:w="43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D53304">
            <w:pPr>
              <w:keepNext w:val="0"/>
              <w:keepLines w:val="0"/>
              <w:widowControl/>
              <w:suppressLineNumbers w:val="0"/>
              <w:snapToGrid w:val="0"/>
              <w:ind w:left="0" w:leftChars="0" w:right="0" w:rightChars="0" w:firstLine="0" w:firstLineChars="0"/>
              <w:jc w:val="center"/>
              <w:textAlignment w:val="top"/>
              <w:rPr>
                <w:rFonts w:hint="default" w:ascii="宋体" w:hAnsi="宋体" w:eastAsia="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个</w:t>
            </w:r>
          </w:p>
        </w:tc>
        <w:tc>
          <w:tcPr>
            <w:tcW w:w="4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A9F5A2">
            <w:pPr>
              <w:keepNext w:val="0"/>
              <w:keepLines w:val="0"/>
              <w:widowControl/>
              <w:suppressLineNumbers w:val="0"/>
              <w:snapToGrid w:val="0"/>
              <w:ind w:left="0" w:leftChars="0" w:right="0" w:rightChars="0" w:firstLine="0" w:firstLineChars="0"/>
              <w:jc w:val="center"/>
              <w:textAlignment w:val="top"/>
              <w:rPr>
                <w:rFonts w:hint="eastAsia" w:ascii="宋体" w:hAnsi="宋体" w:cs="宋体"/>
                <w:b w:val="0"/>
                <w:i w:val="0"/>
                <w:iCs w:val="0"/>
                <w:color w:val="000000"/>
                <w:kern w:val="0"/>
                <w:sz w:val="18"/>
                <w:szCs w:val="18"/>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CD7EC5">
            <w:pPr>
              <w:keepNext w:val="0"/>
              <w:keepLines w:val="0"/>
              <w:widowControl/>
              <w:suppressLineNumbers w:val="0"/>
              <w:snapToGrid w:val="0"/>
              <w:ind w:left="0" w:leftChars="0" w:right="0" w:rightChars="0" w:firstLine="0" w:firstLineChars="0"/>
              <w:jc w:val="center"/>
              <w:textAlignment w:val="top"/>
              <w:rPr>
                <w:rFonts w:hint="eastAsia" w:ascii="宋体" w:hAnsi="宋体" w:cs="宋体"/>
                <w:b w:val="0"/>
                <w:i w:val="0"/>
                <w:iCs w:val="0"/>
                <w:color w:val="000000"/>
                <w:kern w:val="0"/>
                <w:sz w:val="18"/>
                <w:szCs w:val="18"/>
                <w:u w:val="none"/>
                <w:lang w:val="en-US" w:eastAsia="zh-CN" w:bidi="ar"/>
              </w:rPr>
            </w:pPr>
          </w:p>
        </w:tc>
      </w:tr>
      <w:tr w14:paraId="41633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1B82D4">
            <w:pPr>
              <w:keepNext w:val="0"/>
              <w:keepLines w:val="0"/>
              <w:widowControl/>
              <w:suppressLineNumbers w:val="0"/>
              <w:snapToGrid w:val="0"/>
              <w:ind w:left="0" w:leftChars="0" w:right="0" w:rightChars="0" w:firstLine="0" w:firstLineChars="0"/>
              <w:jc w:val="center"/>
              <w:textAlignment w:val="top"/>
              <w:rPr>
                <w:rFonts w:hint="default" w:ascii="宋体" w:hAnsi="宋体" w:eastAsia="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前视摄像头延长线</w:t>
            </w:r>
          </w:p>
        </w:tc>
        <w:tc>
          <w:tcPr>
            <w:tcW w:w="713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1BB781">
            <w:pPr>
              <w:keepNext w:val="0"/>
              <w:keepLines w:val="0"/>
              <w:widowControl/>
              <w:numPr>
                <w:ilvl w:val="0"/>
                <w:numId w:val="46"/>
              </w:numPr>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功能要求：用于连接车载前视摄像头与主机的视频及电源线延长。</w:t>
            </w:r>
          </w:p>
          <w:p w14:paraId="0CD27172">
            <w:pPr>
              <w:keepNext w:val="0"/>
              <w:keepLines w:val="0"/>
              <w:widowControl/>
              <w:numPr>
                <w:ilvl w:val="0"/>
                <w:numId w:val="46"/>
              </w:numPr>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线缆规格：线径≥RVV 4×0.5mm²，耐高低温（-40℃~+85℃），阻燃特性。</w:t>
            </w:r>
          </w:p>
          <w:p w14:paraId="515919F0">
            <w:pPr>
              <w:keepNext w:val="0"/>
              <w:keepLines w:val="0"/>
              <w:widowControl/>
              <w:numPr>
                <w:ilvl w:val="0"/>
                <w:numId w:val="46"/>
              </w:numPr>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接口要求：一端为航空公头（适配车载摄像头端），另一端为航空母头（适配主机端），接口具备防水防尘功能（IP67及以上）。</w:t>
            </w:r>
          </w:p>
          <w:p w14:paraId="266DE9EF">
            <w:pPr>
              <w:keepNext w:val="0"/>
              <w:keepLines w:val="0"/>
              <w:widowControl/>
              <w:numPr>
                <w:ilvl w:val="0"/>
                <w:numId w:val="46"/>
              </w:numPr>
              <w:suppressLineNumbers w:val="0"/>
              <w:snapToGrid w:val="0"/>
              <w:ind w:left="0" w:leftChars="0" w:right="0" w:rightChars="0" w:firstLine="0" w:firstLine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安装配件：随缆附赠波纹管护套或尼龙扎带，便于穿线固定。</w:t>
            </w:r>
          </w:p>
          <w:p w14:paraId="6BDF063A">
            <w:pPr>
              <w:keepNext w:val="0"/>
              <w:keepLines w:val="0"/>
              <w:widowControl/>
              <w:numPr>
                <w:ilvl w:val="0"/>
                <w:numId w:val="0"/>
              </w:numPr>
              <w:suppressLineNumbers w:val="0"/>
              <w:snapToGrid w:val="0"/>
              <w:ind w:leftChars="0" w:right="0" w:rightChars="0"/>
              <w:jc w:val="left"/>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5. 长度要求：5米。</w:t>
            </w:r>
          </w:p>
        </w:tc>
        <w:tc>
          <w:tcPr>
            <w:tcW w:w="59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C111E6">
            <w:pPr>
              <w:keepNext w:val="0"/>
              <w:keepLines w:val="0"/>
              <w:widowControl/>
              <w:suppressLineNumbers w:val="0"/>
              <w:snapToGrid w:val="0"/>
              <w:ind w:left="0" w:leftChars="0" w:right="0" w:rightChars="0" w:firstLine="0" w:firstLineChars="0"/>
              <w:jc w:val="center"/>
              <w:textAlignment w:val="top"/>
              <w:rPr>
                <w:rFonts w:hint="default" w:ascii="宋体" w:hAnsi="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690</w:t>
            </w:r>
          </w:p>
        </w:tc>
        <w:tc>
          <w:tcPr>
            <w:tcW w:w="43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8AC271">
            <w:pPr>
              <w:keepNext w:val="0"/>
              <w:keepLines w:val="0"/>
              <w:widowControl/>
              <w:suppressLineNumbers w:val="0"/>
              <w:snapToGrid w:val="0"/>
              <w:ind w:left="0" w:leftChars="0" w:right="0" w:rightChars="0" w:firstLine="0" w:firstLineChars="0"/>
              <w:jc w:val="center"/>
              <w:textAlignment w:val="top"/>
              <w:rPr>
                <w:rFonts w:hint="default" w:ascii="宋体" w:hAnsi="宋体" w:cs="宋体"/>
                <w:b w:val="0"/>
                <w:i w:val="0"/>
                <w:iCs w:val="0"/>
                <w:color w:val="000000"/>
                <w:kern w:val="0"/>
                <w:sz w:val="18"/>
                <w:szCs w:val="18"/>
                <w:u w:val="none"/>
                <w:lang w:val="en-US" w:eastAsia="zh-CN" w:bidi="ar"/>
              </w:rPr>
            </w:pPr>
            <w:r>
              <w:rPr>
                <w:rFonts w:hint="eastAsia" w:ascii="宋体" w:hAnsi="宋体" w:cs="宋体"/>
                <w:b w:val="0"/>
                <w:i w:val="0"/>
                <w:iCs w:val="0"/>
                <w:color w:val="000000"/>
                <w:kern w:val="0"/>
                <w:sz w:val="18"/>
                <w:szCs w:val="18"/>
                <w:u w:val="none"/>
                <w:lang w:val="en-US" w:eastAsia="zh-CN" w:bidi="ar"/>
              </w:rPr>
              <w:t>根</w:t>
            </w:r>
          </w:p>
        </w:tc>
        <w:tc>
          <w:tcPr>
            <w:tcW w:w="4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A9A1C0">
            <w:pPr>
              <w:keepNext w:val="0"/>
              <w:keepLines w:val="0"/>
              <w:widowControl/>
              <w:suppressLineNumbers w:val="0"/>
              <w:snapToGrid w:val="0"/>
              <w:ind w:left="0" w:leftChars="0" w:right="0" w:rightChars="0" w:firstLine="0" w:firstLineChars="0"/>
              <w:jc w:val="center"/>
              <w:textAlignment w:val="top"/>
              <w:rPr>
                <w:rFonts w:hint="eastAsia" w:ascii="宋体" w:hAnsi="宋体" w:cs="宋体"/>
                <w:b w:val="0"/>
                <w:i w:val="0"/>
                <w:iCs w:val="0"/>
                <w:color w:val="000000"/>
                <w:kern w:val="0"/>
                <w:sz w:val="18"/>
                <w:szCs w:val="18"/>
                <w:u w:val="none"/>
                <w:lang w:val="en-US" w:eastAsia="zh-CN" w:bidi="ar"/>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01A39">
            <w:pPr>
              <w:keepNext w:val="0"/>
              <w:keepLines w:val="0"/>
              <w:widowControl/>
              <w:suppressLineNumbers w:val="0"/>
              <w:snapToGrid w:val="0"/>
              <w:ind w:left="0" w:leftChars="0" w:right="0" w:rightChars="0" w:firstLine="0" w:firstLineChars="0"/>
              <w:jc w:val="center"/>
              <w:textAlignment w:val="top"/>
              <w:rPr>
                <w:rFonts w:hint="eastAsia" w:ascii="宋体" w:hAnsi="宋体" w:cs="宋体"/>
                <w:b w:val="0"/>
                <w:i w:val="0"/>
                <w:iCs w:val="0"/>
                <w:color w:val="000000"/>
                <w:kern w:val="0"/>
                <w:sz w:val="18"/>
                <w:szCs w:val="18"/>
                <w:u w:val="none"/>
                <w:lang w:val="en-US" w:eastAsia="zh-CN" w:bidi="ar"/>
              </w:rPr>
            </w:pPr>
          </w:p>
        </w:tc>
      </w:tr>
      <w:tr w14:paraId="5D001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9848" w:type="dxa"/>
            <w:gridSpan w:val="6"/>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9450ED">
            <w:pPr>
              <w:pStyle w:val="22"/>
              <w:keepNext w:val="0"/>
              <w:keepLines w:val="0"/>
              <w:widowControl/>
              <w:suppressLineNumbers w:val="0"/>
              <w:rPr>
                <w:rFonts w:hint="eastAsia" w:ascii="宋体" w:hAnsi="宋体" w:eastAsia="宋体" w:cs="宋体"/>
                <w:color w:val="auto"/>
                <w:kern w:val="0"/>
                <w:sz w:val="22"/>
                <w:szCs w:val="22"/>
                <w:highlight w:val="none"/>
                <w:lang w:val="en-US" w:eastAsia="zh-CN" w:bidi="zh-CN"/>
              </w:rPr>
            </w:pPr>
            <w:r>
              <w:rPr>
                <w:rFonts w:hint="eastAsia" w:cs="宋体"/>
                <w:color w:val="auto"/>
                <w:kern w:val="0"/>
                <w:sz w:val="22"/>
                <w:szCs w:val="22"/>
                <w:highlight w:val="none"/>
                <w:lang w:val="en-US" w:eastAsia="zh-CN" w:bidi="zh-CN"/>
              </w:rPr>
              <w:t>备注：</w:t>
            </w:r>
            <w:r>
              <w:rPr>
                <w:rFonts w:hint="eastAsia" w:ascii="宋体" w:hAnsi="宋体" w:eastAsia="宋体" w:cs="宋体"/>
                <w:color w:val="auto"/>
                <w:kern w:val="0"/>
                <w:sz w:val="22"/>
                <w:szCs w:val="22"/>
                <w:highlight w:val="none"/>
                <w:lang w:val="en-US" w:eastAsia="zh-CN" w:bidi="zh-CN"/>
              </w:rPr>
              <w:t>1、本次采购的车载终端须与采购人现有校车所配 10英寸智能PAD 实现无缝对接，确保通过PAD端实时显示车载终端的实时画面，且显示画面清晰，无明显延迟或卡顿。</w:t>
            </w:r>
          </w:p>
          <w:p w14:paraId="080A9461">
            <w:pPr>
              <w:pStyle w:val="22"/>
              <w:keepNext w:val="0"/>
              <w:keepLines w:val="0"/>
              <w:widowControl/>
              <w:suppressLineNumbers w:val="0"/>
              <w:rPr>
                <w:rFonts w:hint="eastAsia" w:ascii="宋体" w:hAnsi="宋体" w:eastAsia="宋体" w:cs="宋体"/>
                <w:color w:val="auto"/>
                <w:kern w:val="0"/>
                <w:sz w:val="22"/>
                <w:szCs w:val="22"/>
                <w:highlight w:val="none"/>
                <w:lang w:val="en-US" w:eastAsia="zh-CN" w:bidi="zh-CN"/>
              </w:rPr>
            </w:pPr>
            <w:r>
              <w:rPr>
                <w:rFonts w:hint="eastAsia" w:ascii="宋体" w:hAnsi="宋体" w:eastAsia="宋体" w:cs="宋体"/>
                <w:color w:val="auto"/>
                <w:kern w:val="0"/>
                <w:sz w:val="22"/>
                <w:szCs w:val="22"/>
                <w:highlight w:val="none"/>
                <w:lang w:val="en-US" w:eastAsia="zh-CN" w:bidi="zh-CN"/>
              </w:rPr>
              <w:t>2、投标人须在投标阶段提供详细的对接技术方案（含通信协议、接口规范等），并承诺中标后无条件配合PAD厂商完成系统联调。</w:t>
            </w:r>
          </w:p>
          <w:p w14:paraId="32B7A645">
            <w:pPr>
              <w:pStyle w:val="22"/>
              <w:keepNext w:val="0"/>
              <w:keepLines w:val="0"/>
              <w:widowControl/>
              <w:suppressLineNumbers w:val="0"/>
              <w:rPr>
                <w:rFonts w:hint="default" w:ascii="宋体" w:hAnsi="宋体" w:eastAsia="宋体" w:cs="宋体"/>
                <w:color w:val="auto"/>
                <w:kern w:val="0"/>
                <w:sz w:val="22"/>
                <w:szCs w:val="22"/>
                <w:highlight w:val="none"/>
                <w:lang w:val="en-US" w:eastAsia="zh-CN" w:bidi="zh-CN"/>
              </w:rPr>
            </w:pPr>
            <w:r>
              <w:rPr>
                <w:rFonts w:hint="eastAsia" w:ascii="宋体" w:hAnsi="宋体" w:eastAsia="宋体" w:cs="宋体"/>
                <w:color w:val="auto"/>
                <w:kern w:val="0"/>
                <w:sz w:val="22"/>
                <w:szCs w:val="22"/>
                <w:highlight w:val="none"/>
                <w:lang w:val="en-US" w:eastAsia="zh-CN" w:bidi="zh-CN"/>
              </w:rPr>
              <w:t>3、 费用承担： 因实现上述对接功能所产生的所有费用（包括但不限于接口开发费、协议授权费、调试费、第三方协调费等）均由中标人自行承担，采购人不再另行支付任何费用。</w:t>
            </w:r>
          </w:p>
        </w:tc>
      </w:tr>
    </w:tbl>
    <w:p w14:paraId="63F9EC19">
      <w:pPr>
        <w:rPr>
          <w:color w:val="auto"/>
          <w:highlight w:val="none"/>
        </w:rPr>
      </w:pPr>
    </w:p>
    <w:p w14:paraId="15D08E8A">
      <w:pPr>
        <w:pStyle w:val="40"/>
        <w:numPr>
          <w:ilvl w:val="0"/>
          <w:numId w:val="0"/>
        </w:numPr>
        <w:spacing w:line="360" w:lineRule="auto"/>
        <w:ind w:left="420" w:leftChars="0"/>
        <w:rPr>
          <w:rFonts w:hint="eastAsia" w:ascii="宋体" w:hAnsi="宋体" w:eastAsia="宋体" w:cs="宋体"/>
          <w:b/>
          <w:color w:val="auto"/>
          <w:sz w:val="22"/>
          <w:szCs w:val="22"/>
          <w:highlight w:val="none"/>
          <w:lang w:val="en-US" w:eastAsia="zh-CN" w:bidi="zh-CN"/>
        </w:rPr>
      </w:pPr>
      <w:r>
        <w:rPr>
          <w:rFonts w:hint="eastAsia" w:ascii="宋体" w:hAnsi="宋体" w:eastAsia="宋体" w:cs="宋体"/>
          <w:b/>
          <w:color w:val="auto"/>
          <w:sz w:val="22"/>
          <w:szCs w:val="22"/>
          <w:highlight w:val="none"/>
          <w:lang w:val="en-US" w:eastAsia="zh-CN" w:bidi="zh-CN"/>
        </w:rPr>
        <w:t>四、采购标的的工期、地点和质保期</w:t>
      </w:r>
    </w:p>
    <w:p w14:paraId="75799635">
      <w:pPr>
        <w:numPr>
          <w:ilvl w:val="0"/>
          <w:numId w:val="47"/>
        </w:numPr>
        <w:adjustRightInd w:val="0"/>
        <w:snapToGrid w:val="0"/>
        <w:spacing w:beforeLines="50" w:line="360" w:lineRule="auto"/>
        <w:ind w:firstLine="440" w:firstLineChars="200"/>
        <w:rPr>
          <w:rFonts w:hint="eastAsia" w:ascii="宋体" w:hAnsi="宋体" w:eastAsia="宋体" w:cs="宋体"/>
          <w:color w:val="auto"/>
          <w:sz w:val="22"/>
          <w:szCs w:val="22"/>
          <w:highlight w:val="none"/>
          <w:lang w:val="en-US" w:eastAsia="zh-CN"/>
        </w:rPr>
      </w:pPr>
      <w:r>
        <w:rPr>
          <w:rFonts w:hint="eastAsia" w:cs="宋体"/>
          <w:color w:val="auto"/>
          <w:sz w:val="22"/>
          <w:szCs w:val="22"/>
          <w:highlight w:val="none"/>
          <w:lang w:val="en-US" w:eastAsia="zh-CN"/>
        </w:rPr>
        <w:t>合同履行期限</w:t>
      </w:r>
      <w:r>
        <w:rPr>
          <w:rFonts w:hint="eastAsia" w:ascii="宋体" w:hAnsi="宋体" w:eastAsia="宋体" w:cs="宋体"/>
          <w:color w:val="auto"/>
          <w:sz w:val="22"/>
          <w:szCs w:val="22"/>
          <w:highlight w:val="none"/>
          <w:lang w:val="en-US" w:eastAsia="zh-CN"/>
        </w:rPr>
        <w:t>：</w:t>
      </w:r>
      <w:r>
        <w:rPr>
          <w:rFonts w:hint="eastAsia" w:cs="宋体"/>
          <w:color w:val="auto"/>
          <w:sz w:val="22"/>
          <w:szCs w:val="22"/>
          <w:highlight w:val="none"/>
          <w:lang w:val="en-US" w:eastAsia="zh-CN"/>
        </w:rPr>
        <w:t>合同签订之日起15天内到货、安装、调试完成。</w:t>
      </w:r>
    </w:p>
    <w:p w14:paraId="3016FE12">
      <w:pPr>
        <w:numPr>
          <w:ilvl w:val="0"/>
          <w:numId w:val="47"/>
        </w:numPr>
        <w:adjustRightInd w:val="0"/>
        <w:snapToGrid w:val="0"/>
        <w:spacing w:beforeLines="50" w:line="360" w:lineRule="auto"/>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交货地点：</w:t>
      </w:r>
      <w:r>
        <w:rPr>
          <w:rFonts w:hint="eastAsia" w:cs="宋体"/>
          <w:color w:val="auto"/>
          <w:sz w:val="22"/>
          <w:szCs w:val="22"/>
          <w:highlight w:val="none"/>
          <w:lang w:val="en-US" w:eastAsia="zh-CN"/>
        </w:rPr>
        <w:t>汨罗市教育体育局</w:t>
      </w:r>
    </w:p>
    <w:p w14:paraId="26B0F9A7">
      <w:pPr>
        <w:numPr>
          <w:ilvl w:val="0"/>
          <w:numId w:val="47"/>
        </w:numPr>
        <w:adjustRightInd w:val="0"/>
        <w:snapToGrid w:val="0"/>
        <w:spacing w:beforeLines="50" w:line="360" w:lineRule="auto"/>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质保期：产品质保</w:t>
      </w:r>
      <w:r>
        <w:rPr>
          <w:rFonts w:hint="eastAsia"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年，1年之内设备出现严重质量问题，免费换新（</w:t>
      </w:r>
      <w:r>
        <w:rPr>
          <w:rFonts w:hint="eastAsia" w:ascii="宋体" w:hAnsi="宋体" w:eastAsia="宋体" w:cs="宋体"/>
          <w:color w:val="auto"/>
          <w:sz w:val="22"/>
          <w:szCs w:val="22"/>
          <w:highlight w:val="none"/>
        </w:rPr>
        <w:t>从验收合格之日开始计算</w:t>
      </w:r>
      <w:r>
        <w:rPr>
          <w:rFonts w:hint="eastAsia" w:ascii="宋体" w:hAnsi="宋体" w:eastAsia="宋体" w:cs="宋体"/>
          <w:color w:val="auto"/>
          <w:sz w:val="22"/>
          <w:szCs w:val="22"/>
          <w:highlight w:val="none"/>
          <w:lang w:val="en-US" w:eastAsia="zh-CN"/>
        </w:rPr>
        <w:t>）</w:t>
      </w:r>
    </w:p>
    <w:p w14:paraId="02BA821E">
      <w:pPr>
        <w:pStyle w:val="40"/>
        <w:numPr>
          <w:ilvl w:val="0"/>
          <w:numId w:val="0"/>
        </w:numPr>
        <w:spacing w:line="360" w:lineRule="auto"/>
        <w:ind w:left="420" w:leftChars="0"/>
        <w:rPr>
          <w:rFonts w:hint="eastAsia" w:ascii="宋体" w:hAnsi="宋体" w:eastAsia="宋体" w:cs="宋体"/>
          <w:b/>
          <w:color w:val="auto"/>
          <w:sz w:val="22"/>
          <w:szCs w:val="22"/>
          <w:highlight w:val="none"/>
          <w:lang w:val="en-US" w:eastAsia="zh-CN" w:bidi="zh-CN"/>
        </w:rPr>
      </w:pPr>
      <w:r>
        <w:rPr>
          <w:rFonts w:hint="eastAsia" w:ascii="宋体" w:hAnsi="宋体" w:eastAsia="宋体" w:cs="宋体"/>
          <w:b/>
          <w:color w:val="auto"/>
          <w:sz w:val="22"/>
          <w:szCs w:val="22"/>
          <w:highlight w:val="none"/>
          <w:lang w:val="en-US" w:eastAsia="zh-CN" w:bidi="zh-CN"/>
        </w:rPr>
        <w:t>五、设备运输和安装、调试：</w:t>
      </w:r>
    </w:p>
    <w:p w14:paraId="3CB55CDD">
      <w:pPr>
        <w:numPr>
          <w:ilvl w:val="0"/>
          <w:numId w:val="48"/>
        </w:numPr>
        <w:adjustRightInd w:val="0"/>
        <w:snapToGrid w:val="0"/>
        <w:spacing w:beforeLines="50" w:line="360" w:lineRule="auto"/>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产品运输、保险及保管</w:t>
      </w:r>
    </w:p>
    <w:p w14:paraId="59206102">
      <w:pPr>
        <w:numPr>
          <w:ilvl w:val="0"/>
          <w:numId w:val="0"/>
        </w:numPr>
        <w:adjustRightInd w:val="0"/>
        <w:snapToGrid w:val="0"/>
        <w:spacing w:beforeLines="50" w:line="360" w:lineRule="auto"/>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rPr>
        <w:t>1）</w:t>
      </w:r>
      <w:r>
        <w:rPr>
          <w:rFonts w:hint="eastAsia" w:ascii="宋体" w:hAnsi="宋体" w:eastAsia="宋体" w:cs="宋体"/>
          <w:color w:val="auto"/>
          <w:sz w:val="22"/>
          <w:szCs w:val="22"/>
          <w:lang w:eastAsia="zh-CN"/>
        </w:rPr>
        <w:t>成交人</w:t>
      </w:r>
      <w:r>
        <w:rPr>
          <w:rFonts w:hint="eastAsia" w:ascii="宋体" w:hAnsi="宋体" w:eastAsia="宋体" w:cs="宋体"/>
          <w:color w:val="auto"/>
          <w:sz w:val="22"/>
          <w:szCs w:val="22"/>
          <w:highlight w:val="none"/>
          <w:lang w:val="en-US" w:eastAsia="zh-CN"/>
        </w:rPr>
        <w:t>确保设备安全无损运抵采购人指定现场，设备原厂外包装及标识完整合规，否则采购人有权拒收。</w:t>
      </w:r>
      <w:r>
        <w:rPr>
          <w:rFonts w:hint="eastAsia" w:ascii="宋体" w:hAnsi="宋体" w:eastAsia="宋体" w:cs="宋体"/>
          <w:color w:val="auto"/>
          <w:sz w:val="22"/>
          <w:szCs w:val="22"/>
          <w:lang w:eastAsia="zh-CN"/>
        </w:rPr>
        <w:t>成交人</w:t>
      </w:r>
      <w:r>
        <w:rPr>
          <w:rFonts w:hint="eastAsia" w:ascii="宋体" w:hAnsi="宋体" w:eastAsia="宋体" w:cs="宋体"/>
          <w:color w:val="auto"/>
          <w:sz w:val="22"/>
          <w:szCs w:val="22"/>
          <w:highlight w:val="none"/>
          <w:lang w:val="en-US" w:eastAsia="zh-CN"/>
        </w:rPr>
        <w:t>承担货物的运费、保险费、装卸费、安装费等费用及安全责任。</w:t>
      </w:r>
    </w:p>
    <w:p w14:paraId="5C141747">
      <w:pPr>
        <w:numPr>
          <w:ilvl w:val="0"/>
          <w:numId w:val="0"/>
        </w:numPr>
        <w:adjustRightInd w:val="0"/>
        <w:snapToGrid w:val="0"/>
        <w:spacing w:beforeLines="50" w:line="360" w:lineRule="auto"/>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2)</w:t>
      </w:r>
      <w:r>
        <w:rPr>
          <w:rFonts w:hint="eastAsia" w:ascii="宋体" w:hAnsi="宋体" w:eastAsia="宋体" w:cs="宋体"/>
          <w:color w:val="auto"/>
          <w:sz w:val="22"/>
          <w:szCs w:val="22"/>
          <w:lang w:eastAsia="zh-CN"/>
        </w:rPr>
        <w:t>成交人</w:t>
      </w:r>
      <w:r>
        <w:rPr>
          <w:rFonts w:hint="eastAsia" w:ascii="宋体" w:hAnsi="宋体" w:eastAsia="宋体" w:cs="宋体"/>
          <w:color w:val="auto"/>
          <w:sz w:val="22"/>
          <w:szCs w:val="22"/>
        </w:rPr>
        <w:t>负责产品及自己使用的工具在项目实施地点的保管，直至项目验收合格。</w:t>
      </w:r>
    </w:p>
    <w:p w14:paraId="55B5EA91">
      <w:pPr>
        <w:numPr>
          <w:ilvl w:val="0"/>
          <w:numId w:val="48"/>
        </w:numPr>
        <w:adjustRightInd w:val="0"/>
        <w:snapToGrid w:val="0"/>
        <w:spacing w:beforeLines="50" w:line="360" w:lineRule="auto"/>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安装、调试</w:t>
      </w:r>
    </w:p>
    <w:p w14:paraId="6086EA04">
      <w:pPr>
        <w:spacing w:line="42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1）在开始安装以前，本项目中需要实地测量尺寸和确定安装位置的，</w:t>
      </w:r>
      <w:r>
        <w:rPr>
          <w:rFonts w:hint="eastAsia" w:ascii="宋体" w:hAnsi="宋体" w:eastAsia="宋体" w:cs="宋体"/>
          <w:color w:val="auto"/>
          <w:sz w:val="22"/>
          <w:szCs w:val="22"/>
          <w:lang w:eastAsia="zh-CN"/>
        </w:rPr>
        <w:t>成交</w:t>
      </w:r>
      <w:r>
        <w:rPr>
          <w:rFonts w:hint="eastAsia" w:ascii="宋体" w:hAnsi="宋体" w:eastAsia="宋体" w:cs="宋体"/>
          <w:color w:val="auto"/>
          <w:sz w:val="22"/>
          <w:szCs w:val="22"/>
        </w:rPr>
        <w:t>人须经采购人确定后实施。</w:t>
      </w:r>
    </w:p>
    <w:p w14:paraId="3A0F598C">
      <w:pPr>
        <w:spacing w:line="420" w:lineRule="exact"/>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2）设备到达</w:t>
      </w:r>
      <w:r>
        <w:rPr>
          <w:rFonts w:hint="eastAsia" w:ascii="宋体" w:hAnsi="宋体" w:eastAsia="宋体" w:cs="宋体"/>
          <w:color w:val="auto"/>
          <w:sz w:val="22"/>
          <w:szCs w:val="22"/>
          <w:lang w:val="en-US" w:eastAsia="zh-CN"/>
        </w:rPr>
        <w:t>采购人指定</w:t>
      </w:r>
      <w:r>
        <w:rPr>
          <w:rFonts w:hint="eastAsia" w:ascii="宋体" w:hAnsi="宋体" w:eastAsia="宋体" w:cs="宋体"/>
          <w:color w:val="auto"/>
          <w:sz w:val="22"/>
          <w:szCs w:val="22"/>
        </w:rPr>
        <w:t>现场并且</w:t>
      </w:r>
      <w:r>
        <w:rPr>
          <w:rFonts w:hint="eastAsia" w:ascii="宋体" w:hAnsi="宋体" w:eastAsia="宋体" w:cs="宋体"/>
          <w:color w:val="auto"/>
          <w:sz w:val="22"/>
          <w:szCs w:val="22"/>
          <w:lang w:eastAsia="zh-CN"/>
        </w:rPr>
        <w:t>安装</w:t>
      </w:r>
      <w:r>
        <w:rPr>
          <w:rFonts w:hint="eastAsia" w:ascii="宋体" w:hAnsi="宋体" w:eastAsia="宋体" w:cs="宋体"/>
          <w:color w:val="auto"/>
          <w:sz w:val="22"/>
          <w:szCs w:val="22"/>
        </w:rPr>
        <w:t>条件合格，在接到</w:t>
      </w:r>
      <w:r>
        <w:rPr>
          <w:rFonts w:hint="eastAsia" w:ascii="宋体" w:hAnsi="宋体" w:eastAsia="宋体" w:cs="宋体"/>
          <w:color w:val="auto"/>
          <w:sz w:val="22"/>
          <w:szCs w:val="22"/>
          <w:lang w:val="en-US" w:eastAsia="zh-CN"/>
        </w:rPr>
        <w:t>采购人</w:t>
      </w:r>
      <w:r>
        <w:rPr>
          <w:rFonts w:hint="eastAsia" w:ascii="宋体" w:hAnsi="宋体" w:eastAsia="宋体" w:cs="宋体"/>
          <w:color w:val="auto"/>
          <w:sz w:val="22"/>
          <w:szCs w:val="22"/>
        </w:rPr>
        <w:t>通知后，</w:t>
      </w:r>
      <w:r>
        <w:rPr>
          <w:rFonts w:hint="eastAsia" w:ascii="宋体" w:hAnsi="宋体" w:eastAsia="宋体" w:cs="宋体"/>
          <w:color w:val="auto"/>
          <w:sz w:val="22"/>
          <w:szCs w:val="22"/>
          <w:lang w:eastAsia="zh-CN"/>
        </w:rPr>
        <w:t>成交</w:t>
      </w:r>
      <w:r>
        <w:rPr>
          <w:rFonts w:hint="eastAsia" w:ascii="宋体" w:hAnsi="宋体" w:eastAsia="宋体" w:cs="宋体"/>
          <w:color w:val="auto"/>
          <w:sz w:val="22"/>
          <w:szCs w:val="22"/>
        </w:rPr>
        <w:t>人应安排有经验的技术人员负责所有货物</w:t>
      </w:r>
      <w:r>
        <w:rPr>
          <w:rFonts w:hint="eastAsia" w:ascii="宋体" w:hAnsi="宋体" w:eastAsia="宋体" w:cs="宋体"/>
          <w:color w:val="auto"/>
          <w:sz w:val="22"/>
          <w:szCs w:val="22"/>
          <w:lang w:eastAsia="zh-CN"/>
        </w:rPr>
        <w:t>、系统</w:t>
      </w:r>
      <w:r>
        <w:rPr>
          <w:rFonts w:hint="eastAsia" w:ascii="宋体" w:hAnsi="宋体" w:eastAsia="宋体" w:cs="宋体"/>
          <w:color w:val="auto"/>
          <w:sz w:val="22"/>
          <w:szCs w:val="22"/>
        </w:rPr>
        <w:t>及配套设施到</w:t>
      </w:r>
      <w:r>
        <w:rPr>
          <w:rFonts w:hint="eastAsia" w:ascii="宋体" w:hAnsi="宋体" w:eastAsia="宋体" w:cs="宋体"/>
          <w:color w:val="auto"/>
          <w:sz w:val="22"/>
          <w:szCs w:val="22"/>
          <w:lang w:eastAsia="zh-CN"/>
        </w:rPr>
        <w:t>采购人</w:t>
      </w:r>
      <w:r>
        <w:rPr>
          <w:rFonts w:hint="eastAsia" w:ascii="宋体" w:hAnsi="宋体" w:eastAsia="宋体" w:cs="宋体"/>
          <w:color w:val="auto"/>
          <w:sz w:val="22"/>
          <w:szCs w:val="22"/>
        </w:rPr>
        <w:t>现场</w:t>
      </w:r>
      <w:r>
        <w:rPr>
          <w:rFonts w:hint="eastAsia" w:ascii="宋体" w:hAnsi="宋体" w:eastAsia="宋体" w:cs="宋体"/>
          <w:color w:val="auto"/>
          <w:sz w:val="22"/>
          <w:szCs w:val="22"/>
          <w:lang w:val="en-US" w:eastAsia="zh-CN"/>
        </w:rPr>
        <w:t>进行</w:t>
      </w:r>
      <w:r>
        <w:rPr>
          <w:rFonts w:hint="eastAsia" w:ascii="宋体" w:hAnsi="宋体" w:eastAsia="宋体" w:cs="宋体"/>
          <w:color w:val="auto"/>
          <w:sz w:val="22"/>
          <w:szCs w:val="22"/>
        </w:rPr>
        <w:t>安装、调试，按验收指标逐项测试，直到达到设备</w:t>
      </w:r>
      <w:r>
        <w:rPr>
          <w:rFonts w:hint="eastAsia" w:ascii="宋体" w:hAnsi="宋体" w:eastAsia="宋体" w:cs="宋体"/>
          <w:color w:val="auto"/>
          <w:sz w:val="22"/>
          <w:szCs w:val="22"/>
          <w:lang w:eastAsia="zh-CN"/>
        </w:rPr>
        <w:t>、系统平台</w:t>
      </w:r>
      <w:r>
        <w:rPr>
          <w:rFonts w:hint="eastAsia" w:ascii="宋体" w:hAnsi="宋体" w:eastAsia="宋体" w:cs="宋体"/>
          <w:color w:val="auto"/>
          <w:sz w:val="22"/>
          <w:szCs w:val="22"/>
        </w:rPr>
        <w:t>及配套设施设备应具有的功能和技术指标</w:t>
      </w:r>
      <w:r>
        <w:rPr>
          <w:rFonts w:hint="eastAsia" w:ascii="宋体" w:hAnsi="宋体" w:eastAsia="宋体" w:cs="宋体"/>
          <w:color w:val="auto"/>
          <w:sz w:val="22"/>
          <w:szCs w:val="22"/>
          <w:lang w:eastAsia="zh-CN"/>
        </w:rPr>
        <w:t>等相关</w:t>
      </w:r>
      <w:r>
        <w:rPr>
          <w:rFonts w:hint="eastAsia" w:ascii="宋体" w:hAnsi="宋体" w:eastAsia="宋体" w:cs="宋体"/>
          <w:color w:val="auto"/>
          <w:sz w:val="22"/>
          <w:szCs w:val="22"/>
        </w:rPr>
        <w:t>验收要求，安装</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调试检验结果应符合制造厂产品标准和用户认可的技术性能为止，并负责相关技术支持和维护。同时</w:t>
      </w:r>
      <w:r>
        <w:rPr>
          <w:rFonts w:hint="eastAsia" w:ascii="宋体" w:hAnsi="宋体" w:eastAsia="宋体" w:cs="宋体"/>
          <w:color w:val="auto"/>
          <w:sz w:val="22"/>
          <w:szCs w:val="22"/>
          <w:lang w:eastAsia="zh-CN"/>
        </w:rPr>
        <w:t>成交</w:t>
      </w:r>
      <w:r>
        <w:rPr>
          <w:rFonts w:hint="eastAsia" w:ascii="宋体" w:hAnsi="宋体" w:eastAsia="宋体" w:cs="宋体"/>
          <w:color w:val="auto"/>
          <w:sz w:val="22"/>
          <w:szCs w:val="22"/>
        </w:rPr>
        <w:t>人必须提供产品的全部售后服务条款(如质保期、现场维修等)，不得擅自缩小售后服务范围</w:t>
      </w:r>
      <w:r>
        <w:rPr>
          <w:rFonts w:hint="eastAsia" w:ascii="宋体" w:hAnsi="宋体" w:eastAsia="宋体" w:cs="宋体"/>
          <w:color w:val="auto"/>
          <w:sz w:val="22"/>
          <w:szCs w:val="22"/>
          <w:lang w:eastAsia="zh-CN"/>
        </w:rPr>
        <w:t>。</w:t>
      </w:r>
    </w:p>
    <w:p w14:paraId="1DA1FD3B">
      <w:pPr>
        <w:spacing w:line="42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3）安装调试</w:t>
      </w:r>
      <w:r>
        <w:rPr>
          <w:rFonts w:hint="eastAsia" w:ascii="宋体" w:hAnsi="宋体" w:eastAsia="宋体" w:cs="宋体"/>
          <w:color w:val="auto"/>
          <w:sz w:val="22"/>
          <w:szCs w:val="22"/>
          <w:lang w:eastAsia="zh-CN"/>
        </w:rPr>
        <w:t>、拆除、运输设备</w:t>
      </w:r>
      <w:r>
        <w:rPr>
          <w:rFonts w:hint="eastAsia" w:ascii="宋体" w:hAnsi="宋体" w:eastAsia="宋体" w:cs="宋体"/>
          <w:color w:val="auto"/>
          <w:sz w:val="22"/>
          <w:szCs w:val="22"/>
        </w:rPr>
        <w:t>所需辅助材料和专用工具与设施，由</w:t>
      </w:r>
      <w:r>
        <w:rPr>
          <w:rFonts w:hint="eastAsia" w:ascii="宋体" w:hAnsi="宋体" w:eastAsia="宋体" w:cs="宋体"/>
          <w:color w:val="auto"/>
          <w:sz w:val="22"/>
          <w:szCs w:val="22"/>
          <w:lang w:eastAsia="zh-CN"/>
        </w:rPr>
        <w:t>成交人</w:t>
      </w:r>
      <w:r>
        <w:rPr>
          <w:rFonts w:hint="eastAsia" w:ascii="宋体" w:hAnsi="宋体" w:eastAsia="宋体" w:cs="宋体"/>
          <w:color w:val="auto"/>
          <w:sz w:val="22"/>
          <w:szCs w:val="22"/>
        </w:rPr>
        <w:t>提供</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并负责对其派出安装、调试人员在其项目实施期间的安全、保险、食宿、交通等。</w:t>
      </w:r>
    </w:p>
    <w:p w14:paraId="4F9C86CD">
      <w:pPr>
        <w:spacing w:line="42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4</w:t>
      </w:r>
      <w:r>
        <w:rPr>
          <w:rFonts w:hint="eastAsia" w:ascii="宋体" w:hAnsi="宋体" w:eastAsia="宋体" w:cs="宋体"/>
          <w:color w:val="auto"/>
          <w:sz w:val="22"/>
          <w:szCs w:val="22"/>
          <w:lang w:eastAsia="zh-CN"/>
        </w:rPr>
        <w:t>）成交人</w:t>
      </w:r>
      <w:r>
        <w:rPr>
          <w:rFonts w:hint="eastAsia" w:ascii="宋体" w:hAnsi="宋体" w:eastAsia="宋体" w:cs="宋体"/>
          <w:color w:val="auto"/>
          <w:sz w:val="22"/>
          <w:szCs w:val="22"/>
        </w:rPr>
        <w:t>须保证在</w:t>
      </w:r>
      <w:r>
        <w:rPr>
          <w:rFonts w:hint="eastAsia" w:ascii="宋体" w:hAnsi="宋体" w:eastAsia="宋体" w:cs="宋体"/>
          <w:color w:val="auto"/>
          <w:sz w:val="22"/>
          <w:szCs w:val="22"/>
          <w:lang w:val="en-US" w:eastAsia="zh-CN"/>
        </w:rPr>
        <w:t>产品和系统</w:t>
      </w:r>
      <w:r>
        <w:rPr>
          <w:rFonts w:hint="eastAsia" w:ascii="宋体" w:hAnsi="宋体" w:eastAsia="宋体" w:cs="宋体"/>
          <w:color w:val="auto"/>
          <w:sz w:val="22"/>
          <w:szCs w:val="22"/>
        </w:rPr>
        <w:t>安装过程中不影响</w:t>
      </w:r>
      <w:r>
        <w:rPr>
          <w:rFonts w:hint="eastAsia" w:ascii="宋体" w:hAnsi="宋体" w:eastAsia="宋体" w:cs="宋体"/>
          <w:color w:val="auto"/>
          <w:sz w:val="22"/>
          <w:szCs w:val="22"/>
          <w:lang w:eastAsia="zh-CN"/>
        </w:rPr>
        <w:t>采购人</w:t>
      </w:r>
      <w:r>
        <w:rPr>
          <w:rFonts w:hint="eastAsia" w:ascii="宋体" w:hAnsi="宋体" w:eastAsia="宋体" w:cs="宋体"/>
          <w:color w:val="auto"/>
          <w:sz w:val="22"/>
          <w:szCs w:val="22"/>
        </w:rPr>
        <w:t>的日常工作，不能对采购人现有业务造成影响，遵守采购</w:t>
      </w:r>
      <w:r>
        <w:rPr>
          <w:rFonts w:hint="eastAsia" w:ascii="宋体" w:hAnsi="宋体" w:eastAsia="宋体" w:cs="宋体"/>
          <w:color w:val="auto"/>
          <w:sz w:val="22"/>
          <w:szCs w:val="22"/>
          <w:lang w:eastAsia="zh-CN"/>
        </w:rPr>
        <w:t>人</w:t>
      </w:r>
      <w:r>
        <w:rPr>
          <w:rFonts w:hint="eastAsia" w:ascii="宋体" w:hAnsi="宋体" w:eastAsia="宋体" w:cs="宋体"/>
          <w:color w:val="auto"/>
          <w:sz w:val="22"/>
          <w:szCs w:val="22"/>
        </w:rPr>
        <w:t>相关规章制度，由于项目实施期间的不规范行为造成的一切安全问题及损失，由</w:t>
      </w:r>
      <w:r>
        <w:rPr>
          <w:rFonts w:hint="eastAsia" w:ascii="宋体" w:hAnsi="宋体" w:eastAsia="宋体" w:cs="宋体"/>
          <w:color w:val="auto"/>
          <w:sz w:val="22"/>
          <w:szCs w:val="22"/>
          <w:lang w:eastAsia="zh-CN"/>
        </w:rPr>
        <w:t>成交人</w:t>
      </w:r>
      <w:r>
        <w:rPr>
          <w:rFonts w:hint="eastAsia" w:ascii="宋体" w:hAnsi="宋体" w:eastAsia="宋体" w:cs="宋体"/>
          <w:color w:val="auto"/>
          <w:sz w:val="22"/>
          <w:szCs w:val="22"/>
        </w:rPr>
        <w:t>承担全部责任。</w:t>
      </w:r>
    </w:p>
    <w:p w14:paraId="186D2C4B">
      <w:pPr>
        <w:pStyle w:val="40"/>
        <w:numPr>
          <w:ilvl w:val="0"/>
          <w:numId w:val="0"/>
        </w:numPr>
        <w:spacing w:line="360" w:lineRule="auto"/>
        <w:ind w:left="420" w:leftChars="0"/>
        <w:rPr>
          <w:rFonts w:hint="eastAsia" w:ascii="宋体" w:hAnsi="宋体" w:eastAsia="宋体" w:cs="宋体"/>
          <w:b/>
          <w:color w:val="auto"/>
          <w:sz w:val="22"/>
          <w:szCs w:val="22"/>
          <w:highlight w:val="none"/>
          <w:lang w:val="en-US" w:eastAsia="zh-CN" w:bidi="zh-CN"/>
        </w:rPr>
      </w:pPr>
      <w:r>
        <w:rPr>
          <w:rFonts w:hint="eastAsia" w:ascii="宋体" w:hAnsi="宋体" w:eastAsia="宋体" w:cs="宋体"/>
          <w:b/>
          <w:color w:val="auto"/>
          <w:sz w:val="22"/>
          <w:szCs w:val="22"/>
          <w:highlight w:val="none"/>
          <w:lang w:val="en-US" w:eastAsia="zh-CN" w:bidi="zh-CN"/>
        </w:rPr>
        <w:t>六、验收</w:t>
      </w:r>
    </w:p>
    <w:p w14:paraId="45852D0D">
      <w:pPr>
        <w:numPr>
          <w:ilvl w:val="0"/>
          <w:numId w:val="49"/>
        </w:numPr>
        <w:spacing w:line="420" w:lineRule="exact"/>
        <w:ind w:left="425" w:leftChars="0" w:hanging="5" w:firstLineChars="0"/>
        <w:rPr>
          <w:rFonts w:hint="eastAsia" w:ascii="宋体" w:hAnsi="宋体" w:eastAsia="宋体" w:cs="宋体"/>
          <w:color w:val="auto"/>
          <w:sz w:val="22"/>
          <w:szCs w:val="22"/>
        </w:rPr>
      </w:pPr>
      <w:r>
        <w:rPr>
          <w:rFonts w:hint="eastAsia" w:ascii="宋体" w:hAnsi="宋体" w:eastAsia="宋体" w:cs="宋体"/>
          <w:color w:val="auto"/>
          <w:sz w:val="22"/>
          <w:szCs w:val="22"/>
          <w:highlight w:val="none"/>
          <w:lang w:val="en-US" w:eastAsia="zh-CN"/>
        </w:rPr>
        <w:t>货物到达采购人现场后，按照在采购人指定的时间在采购人指定现场进行开箱查验，按照安</w:t>
      </w:r>
      <w:r>
        <w:rPr>
          <w:rFonts w:hint="eastAsia" w:ascii="宋体" w:hAnsi="宋体" w:eastAsia="宋体" w:cs="宋体"/>
          <w:color w:val="auto"/>
          <w:sz w:val="22"/>
          <w:szCs w:val="22"/>
        </w:rPr>
        <w:t>装顺序，在安装前通知采购人进行开箱查验。并向采购人提供以下资料：</w:t>
      </w:r>
    </w:p>
    <w:p w14:paraId="287FB881">
      <w:pPr>
        <w:spacing w:line="42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1）每个包装箱的外部应附有一套详细的装箱单正本、到货清单；</w:t>
      </w:r>
    </w:p>
    <w:p w14:paraId="183C3AF4">
      <w:pPr>
        <w:spacing w:line="42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2）产品操作手册、说明书；</w:t>
      </w:r>
    </w:p>
    <w:p w14:paraId="1E3E407A">
      <w:pPr>
        <w:spacing w:line="42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3）出厂检验合格证书。</w:t>
      </w:r>
    </w:p>
    <w:p w14:paraId="44E92949">
      <w:pPr>
        <w:numPr>
          <w:ilvl w:val="0"/>
          <w:numId w:val="49"/>
        </w:numPr>
        <w:spacing w:line="420" w:lineRule="exact"/>
        <w:ind w:left="5" w:leftChars="0" w:firstLine="415" w:firstLineChars="0"/>
        <w:rPr>
          <w:rFonts w:hint="eastAsia" w:ascii="宋体" w:hAnsi="宋体" w:eastAsia="宋体" w:cs="宋体"/>
          <w:color w:val="auto"/>
          <w:sz w:val="22"/>
          <w:szCs w:val="22"/>
        </w:rPr>
      </w:pPr>
      <w:r>
        <w:rPr>
          <w:rFonts w:hint="eastAsia" w:ascii="宋体" w:hAnsi="宋体" w:eastAsia="宋体" w:cs="宋体"/>
          <w:color w:val="auto"/>
          <w:sz w:val="22"/>
          <w:szCs w:val="22"/>
          <w:highlight w:val="none"/>
          <w:lang w:val="en-US" w:eastAsia="zh-CN"/>
        </w:rPr>
        <w:t>采购人按成交人提供的产品清单及检验产品合格证、使用说明书和其它的技术资料负责开</w:t>
      </w:r>
      <w:r>
        <w:rPr>
          <w:rFonts w:hint="eastAsia" w:ascii="宋体" w:hAnsi="宋体" w:eastAsia="宋体" w:cs="宋体"/>
          <w:color w:val="auto"/>
          <w:sz w:val="22"/>
          <w:szCs w:val="22"/>
        </w:rPr>
        <w:t>箱检验、检查设备及随机附件是否完整无损，技术资料与图纸是否与采购人的要求相符，如有损坏、缺件等情况，</w:t>
      </w:r>
      <w:r>
        <w:rPr>
          <w:rFonts w:hint="eastAsia" w:ascii="宋体" w:hAnsi="宋体" w:eastAsia="宋体" w:cs="宋体"/>
          <w:color w:val="auto"/>
          <w:sz w:val="22"/>
          <w:szCs w:val="22"/>
          <w:lang w:eastAsia="zh-CN"/>
        </w:rPr>
        <w:t>成交人</w:t>
      </w:r>
      <w:r>
        <w:rPr>
          <w:rFonts w:hint="eastAsia" w:ascii="宋体" w:hAnsi="宋体" w:eastAsia="宋体" w:cs="宋体"/>
          <w:color w:val="auto"/>
          <w:sz w:val="22"/>
          <w:szCs w:val="22"/>
        </w:rPr>
        <w:t>应在3日内更换新产品，相应的费用及责任由</w:t>
      </w:r>
      <w:r>
        <w:rPr>
          <w:rFonts w:hint="eastAsia" w:ascii="宋体" w:hAnsi="宋体" w:eastAsia="宋体" w:cs="宋体"/>
          <w:color w:val="auto"/>
          <w:sz w:val="22"/>
          <w:szCs w:val="22"/>
          <w:lang w:eastAsia="zh-CN"/>
        </w:rPr>
        <w:t>成交人</w:t>
      </w:r>
      <w:r>
        <w:rPr>
          <w:rFonts w:hint="eastAsia" w:ascii="宋体" w:hAnsi="宋体" w:eastAsia="宋体" w:cs="宋体"/>
          <w:color w:val="auto"/>
          <w:sz w:val="22"/>
          <w:szCs w:val="22"/>
        </w:rPr>
        <w:t>自行负担。</w:t>
      </w:r>
    </w:p>
    <w:p w14:paraId="3A7F3661">
      <w:pPr>
        <w:numPr>
          <w:ilvl w:val="0"/>
          <w:numId w:val="49"/>
        </w:numPr>
        <w:spacing w:line="420" w:lineRule="exact"/>
        <w:ind w:left="5" w:leftChars="0" w:firstLine="415" w:firstLine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同时采购人有权组织相关部门人员抽检到场产品，看是否符合采购文件或投标文件的约定和承诺，成交人无条件配合采购人的检查并对检查后的设备及配件进行恢复至正常使用状态，所有费用由成交人承担。</w:t>
      </w:r>
    </w:p>
    <w:p w14:paraId="071B7426">
      <w:pPr>
        <w:numPr>
          <w:ilvl w:val="0"/>
          <w:numId w:val="49"/>
        </w:numPr>
        <w:spacing w:line="420" w:lineRule="exact"/>
        <w:ind w:left="5" w:leftChars="0" w:firstLine="415" w:firstLine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验收标准：项目整体验收须按国家标准和规范及合同要求、投标文件中相关承诺进行。采购人代表有权自行组织或委托第三方检测机构进行有关的验收试验，验收所产生的费用由成交人承担。</w:t>
      </w:r>
    </w:p>
    <w:p w14:paraId="1F3DFB64">
      <w:pPr>
        <w:numPr>
          <w:ilvl w:val="0"/>
          <w:numId w:val="49"/>
        </w:numPr>
        <w:spacing w:line="420" w:lineRule="exact"/>
        <w:ind w:left="5" w:leftChars="0" w:firstLine="415" w:firstLine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货物的各项技术性能须达到合同和相关技术文件规定的要求，须符合国家和行业的有关规定和标准，是有品牌的整机原厂全新正品。双方在《验收报告单》上签字确认，视为验收合格。</w:t>
      </w:r>
    </w:p>
    <w:p w14:paraId="02DB78FB">
      <w:pPr>
        <w:numPr>
          <w:ilvl w:val="0"/>
          <w:numId w:val="49"/>
        </w:numPr>
        <w:spacing w:line="420" w:lineRule="exact"/>
        <w:ind w:left="5" w:leftChars="0" w:firstLine="415" w:firstLine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项目完成后成交人应将项目有关的全部资料包括但不限于：产品的全部有关产品规格书、技术资料、第三方的检测报告，产品数量清单、系统数据专业文档等移交采购人。上述资料文件应编辑正确、组织合理、内容充实、容易理解，详尽描述所供货物的性能、原理、结构和尺寸，并包括部件的型号、规格、技术参数，保证采购人能够正确进行产品操作和使用。</w:t>
      </w:r>
    </w:p>
    <w:p w14:paraId="621B14C1">
      <w:pPr>
        <w:numPr>
          <w:ilvl w:val="0"/>
          <w:numId w:val="49"/>
        </w:numPr>
        <w:spacing w:line="420" w:lineRule="exact"/>
        <w:ind w:left="5" w:leftChars="0" w:firstLine="415" w:firstLine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在验收过程中产生纠纷的，由质量技术监督部门认定的检测机构检测,如检测结论为成交人不符合采购文件规定的技术参数要求以及规范要求，则由成交人按合同要求重新提供产品或重新进行安装调试，并承担所有费用，赔偿采购人的损失；</w:t>
      </w:r>
    </w:p>
    <w:p w14:paraId="4823323C">
      <w:pPr>
        <w:pStyle w:val="40"/>
        <w:numPr>
          <w:ilvl w:val="0"/>
          <w:numId w:val="0"/>
        </w:numPr>
        <w:spacing w:line="360" w:lineRule="auto"/>
        <w:ind w:left="420" w:leftChars="0"/>
        <w:rPr>
          <w:rFonts w:hint="eastAsia" w:ascii="宋体" w:hAnsi="宋体" w:eastAsia="宋体" w:cs="宋体"/>
          <w:b/>
          <w:color w:val="auto"/>
          <w:sz w:val="22"/>
          <w:szCs w:val="22"/>
          <w:highlight w:val="none"/>
          <w:lang w:val="en-US" w:eastAsia="zh-CN" w:bidi="zh-CN"/>
        </w:rPr>
      </w:pPr>
      <w:r>
        <w:rPr>
          <w:rFonts w:hint="eastAsia" w:ascii="宋体" w:hAnsi="宋体" w:eastAsia="宋体" w:cs="宋体"/>
          <w:b/>
          <w:color w:val="auto"/>
          <w:sz w:val="22"/>
          <w:szCs w:val="22"/>
          <w:highlight w:val="none"/>
          <w:lang w:val="en-US" w:eastAsia="zh-CN" w:bidi="zh-CN"/>
        </w:rPr>
        <w:t>七、保修及售后服务要求</w:t>
      </w:r>
    </w:p>
    <w:p w14:paraId="35DE436C">
      <w:pPr>
        <w:numPr>
          <w:ilvl w:val="0"/>
          <w:numId w:val="50"/>
        </w:numPr>
        <w:spacing w:line="420" w:lineRule="exact"/>
        <w:ind w:left="5" w:leftChars="0" w:firstLine="415" w:firstLine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保修：</w:t>
      </w:r>
    </w:p>
    <w:p w14:paraId="4DB48C8D">
      <w:pPr>
        <w:spacing w:line="420" w:lineRule="exact"/>
        <w:ind w:firstLine="440" w:firstLineChars="200"/>
        <w:rPr>
          <w:rFonts w:hint="eastAsia" w:ascii="宋体" w:hAnsi="宋体" w:eastAsia="宋体" w:cs="宋体"/>
          <w:color w:val="auto"/>
          <w:sz w:val="22"/>
          <w:szCs w:val="22"/>
        </w:rPr>
      </w:pPr>
      <w:r>
        <w:rPr>
          <w:rFonts w:hint="eastAsia" w:ascii="宋体" w:hAnsi="宋体" w:eastAsia="宋体" w:cs="宋体"/>
          <w:b w:val="0"/>
          <w:bCs w:val="0"/>
          <w:color w:val="auto"/>
          <w:sz w:val="22"/>
          <w:szCs w:val="22"/>
        </w:rPr>
        <w:t>1）</w:t>
      </w:r>
      <w:r>
        <w:rPr>
          <w:rFonts w:hint="eastAsia" w:ascii="宋体" w:hAnsi="宋体" w:eastAsia="宋体" w:cs="宋体"/>
          <w:b w:val="0"/>
          <w:bCs w:val="0"/>
          <w:color w:val="auto"/>
          <w:sz w:val="22"/>
          <w:szCs w:val="22"/>
          <w:lang w:eastAsia="zh-CN"/>
        </w:rPr>
        <w:t>本</w:t>
      </w:r>
      <w:r>
        <w:rPr>
          <w:rFonts w:hint="eastAsia" w:ascii="宋体" w:hAnsi="宋体" w:eastAsia="宋体" w:cs="宋体"/>
          <w:b w:val="0"/>
          <w:bCs w:val="0"/>
          <w:color w:val="auto"/>
          <w:sz w:val="22"/>
          <w:szCs w:val="22"/>
        </w:rPr>
        <w:t>项目质保期自产品安装验收合格之日起开始计算。包括但不限于所投</w:t>
      </w:r>
      <w:r>
        <w:rPr>
          <w:rFonts w:hint="eastAsia" w:ascii="宋体" w:hAnsi="宋体" w:eastAsia="宋体" w:cs="宋体"/>
          <w:b w:val="0"/>
          <w:bCs w:val="0"/>
          <w:color w:val="auto"/>
          <w:sz w:val="22"/>
          <w:szCs w:val="22"/>
          <w:lang w:eastAsia="zh-CN"/>
        </w:rPr>
        <w:t>设备</w:t>
      </w:r>
      <w:r>
        <w:rPr>
          <w:rFonts w:hint="eastAsia" w:ascii="宋体" w:hAnsi="宋体" w:eastAsia="宋体" w:cs="宋体"/>
          <w:b w:val="0"/>
          <w:bCs w:val="0"/>
          <w:color w:val="auto"/>
          <w:sz w:val="22"/>
          <w:szCs w:val="22"/>
        </w:rPr>
        <w:t>功能完善、性能提升、软件升级、</w:t>
      </w:r>
      <w:r>
        <w:rPr>
          <w:rFonts w:hint="eastAsia" w:ascii="宋体" w:hAnsi="宋体" w:eastAsia="宋体" w:cs="宋体"/>
          <w:b w:val="0"/>
          <w:bCs w:val="0"/>
          <w:color w:val="auto"/>
          <w:sz w:val="22"/>
          <w:szCs w:val="22"/>
          <w:lang w:eastAsia="zh-CN"/>
        </w:rPr>
        <w:t>可能涉及的</w:t>
      </w:r>
      <w:r>
        <w:rPr>
          <w:rFonts w:hint="eastAsia" w:ascii="宋体" w:hAnsi="宋体" w:eastAsia="宋体" w:cs="宋体"/>
          <w:b w:val="0"/>
          <w:bCs w:val="0"/>
          <w:color w:val="auto"/>
          <w:sz w:val="22"/>
          <w:szCs w:val="22"/>
        </w:rPr>
        <w:t>故障检测、免费维修等。质保期内提供所有所投</w:t>
      </w:r>
      <w:r>
        <w:rPr>
          <w:rFonts w:hint="eastAsia" w:ascii="宋体" w:hAnsi="宋体" w:eastAsia="宋体" w:cs="宋体"/>
          <w:b w:val="0"/>
          <w:bCs w:val="0"/>
          <w:color w:val="auto"/>
          <w:sz w:val="22"/>
          <w:szCs w:val="22"/>
          <w:lang w:eastAsia="zh-CN"/>
        </w:rPr>
        <w:t>设备及</w:t>
      </w:r>
      <w:r>
        <w:rPr>
          <w:rFonts w:hint="eastAsia" w:ascii="宋体" w:hAnsi="宋体" w:eastAsia="宋体" w:cs="宋体"/>
          <w:b w:val="0"/>
          <w:bCs w:val="0"/>
          <w:color w:val="auto"/>
          <w:sz w:val="22"/>
          <w:szCs w:val="22"/>
        </w:rPr>
        <w:t>系统的上门保修和免费升级维护服务，免费提供所有备品备件的更换和安装，并进行终身维护。</w:t>
      </w:r>
      <w:r>
        <w:rPr>
          <w:rFonts w:hint="eastAsia" w:ascii="宋体" w:hAnsi="宋体" w:eastAsia="宋体" w:cs="宋体"/>
          <w:b w:val="0"/>
          <w:bCs w:val="0"/>
          <w:color w:val="auto"/>
          <w:sz w:val="22"/>
          <w:szCs w:val="22"/>
          <w:lang w:eastAsia="zh-CN"/>
        </w:rPr>
        <w:t>在成交人承诺的</w:t>
      </w:r>
      <w:r>
        <w:rPr>
          <w:rFonts w:hint="eastAsia" w:ascii="宋体" w:hAnsi="宋体" w:eastAsia="宋体" w:cs="宋体"/>
          <w:b w:val="0"/>
          <w:bCs w:val="0"/>
          <w:color w:val="auto"/>
          <w:sz w:val="22"/>
          <w:szCs w:val="22"/>
        </w:rPr>
        <w:t>质保期满后，</w:t>
      </w:r>
      <w:r>
        <w:rPr>
          <w:rFonts w:hint="eastAsia" w:ascii="宋体" w:hAnsi="宋体" w:eastAsia="宋体" w:cs="宋体"/>
          <w:b w:val="0"/>
          <w:bCs w:val="0"/>
          <w:color w:val="auto"/>
          <w:sz w:val="22"/>
          <w:szCs w:val="22"/>
          <w:lang w:eastAsia="zh-CN"/>
        </w:rPr>
        <w:t>成交</w:t>
      </w:r>
      <w:r>
        <w:rPr>
          <w:rFonts w:hint="eastAsia" w:ascii="宋体" w:hAnsi="宋体" w:eastAsia="宋体" w:cs="宋体"/>
          <w:b w:val="0"/>
          <w:bCs w:val="0"/>
          <w:color w:val="auto"/>
          <w:sz w:val="22"/>
          <w:szCs w:val="22"/>
        </w:rPr>
        <w:t>人应及时优惠提供所需的备品备件</w:t>
      </w:r>
      <w:r>
        <w:rPr>
          <w:rFonts w:hint="eastAsia" w:ascii="宋体" w:hAnsi="宋体" w:eastAsia="宋体" w:cs="宋体"/>
          <w:b w:val="0"/>
          <w:bCs w:val="0"/>
          <w:color w:val="auto"/>
          <w:sz w:val="22"/>
          <w:szCs w:val="22"/>
          <w:lang w:eastAsia="zh-CN"/>
        </w:rPr>
        <w:t>、软件终身</w:t>
      </w:r>
      <w:r>
        <w:rPr>
          <w:rFonts w:hint="eastAsia" w:ascii="宋体" w:hAnsi="宋体" w:eastAsia="宋体" w:cs="宋体"/>
          <w:b w:val="0"/>
          <w:bCs w:val="0"/>
          <w:color w:val="auto"/>
          <w:sz w:val="22"/>
          <w:szCs w:val="22"/>
        </w:rPr>
        <w:t>免费升级</w:t>
      </w:r>
      <w:r>
        <w:rPr>
          <w:rFonts w:hint="eastAsia" w:ascii="宋体" w:hAnsi="宋体" w:eastAsia="宋体" w:cs="宋体"/>
          <w:b w:val="0"/>
          <w:bCs w:val="0"/>
          <w:color w:val="auto"/>
          <w:sz w:val="22"/>
          <w:szCs w:val="22"/>
          <w:lang w:eastAsia="zh-CN"/>
        </w:rPr>
        <w:t>等</w:t>
      </w:r>
      <w:r>
        <w:rPr>
          <w:rFonts w:hint="eastAsia" w:ascii="宋体" w:hAnsi="宋体" w:eastAsia="宋体" w:cs="宋体"/>
          <w:b w:val="0"/>
          <w:bCs w:val="0"/>
          <w:color w:val="auto"/>
          <w:sz w:val="22"/>
          <w:szCs w:val="22"/>
        </w:rPr>
        <w:t>服务。未</w:t>
      </w:r>
      <w:r>
        <w:rPr>
          <w:rFonts w:hint="eastAsia" w:ascii="宋体" w:hAnsi="宋体" w:eastAsia="宋体" w:cs="宋体"/>
          <w:color w:val="auto"/>
          <w:sz w:val="22"/>
          <w:szCs w:val="22"/>
        </w:rPr>
        <w:t>说明部分，按中华人民共和国售后服务相关规定执行。</w:t>
      </w:r>
    </w:p>
    <w:p w14:paraId="797980E4">
      <w:pPr>
        <w:spacing w:line="42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2）在安装、调试过程中，如由于</w:t>
      </w:r>
      <w:r>
        <w:rPr>
          <w:rFonts w:hint="eastAsia" w:ascii="宋体" w:hAnsi="宋体" w:eastAsia="宋体" w:cs="宋体"/>
          <w:color w:val="auto"/>
          <w:sz w:val="22"/>
          <w:szCs w:val="22"/>
          <w:lang w:eastAsia="zh-CN"/>
        </w:rPr>
        <w:t>成交</w:t>
      </w:r>
      <w:r>
        <w:rPr>
          <w:rFonts w:hint="eastAsia" w:ascii="宋体" w:hAnsi="宋体" w:eastAsia="宋体" w:cs="宋体"/>
          <w:color w:val="auto"/>
          <w:sz w:val="22"/>
          <w:szCs w:val="22"/>
        </w:rPr>
        <w:t>人操作不规范导致安装、调试不成功和（或）造成合同货物损坏的情况，</w:t>
      </w:r>
      <w:r>
        <w:rPr>
          <w:rFonts w:hint="eastAsia" w:ascii="宋体" w:hAnsi="宋体" w:eastAsia="宋体" w:cs="宋体"/>
          <w:color w:val="auto"/>
          <w:sz w:val="22"/>
          <w:szCs w:val="22"/>
          <w:lang w:eastAsia="zh-CN"/>
        </w:rPr>
        <w:t>成交</w:t>
      </w:r>
      <w:r>
        <w:rPr>
          <w:rFonts w:hint="eastAsia" w:ascii="宋体" w:hAnsi="宋体" w:eastAsia="宋体" w:cs="宋体"/>
          <w:color w:val="auto"/>
          <w:sz w:val="22"/>
          <w:szCs w:val="22"/>
        </w:rPr>
        <w:t>人应承担所有连带责任。</w:t>
      </w:r>
    </w:p>
    <w:p w14:paraId="26A5B7F5">
      <w:pPr>
        <w:spacing w:line="42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3）保修期结束前，需由</w:t>
      </w:r>
      <w:r>
        <w:rPr>
          <w:rFonts w:hint="eastAsia" w:ascii="宋体" w:hAnsi="宋体" w:eastAsia="宋体" w:cs="宋体"/>
          <w:color w:val="auto"/>
          <w:sz w:val="22"/>
          <w:szCs w:val="22"/>
          <w:lang w:eastAsia="zh-CN"/>
        </w:rPr>
        <w:t>成交</w:t>
      </w:r>
      <w:r>
        <w:rPr>
          <w:rFonts w:hint="eastAsia" w:ascii="宋体" w:hAnsi="宋体" w:eastAsia="宋体" w:cs="宋体"/>
          <w:color w:val="auto"/>
          <w:sz w:val="22"/>
          <w:szCs w:val="22"/>
        </w:rPr>
        <w:t>人和采购人进行一次全面检查，任何缺陷由</w:t>
      </w:r>
      <w:r>
        <w:rPr>
          <w:rFonts w:hint="eastAsia" w:ascii="宋体" w:hAnsi="宋体" w:eastAsia="宋体" w:cs="宋体"/>
          <w:color w:val="auto"/>
          <w:sz w:val="22"/>
          <w:szCs w:val="22"/>
          <w:lang w:eastAsia="zh-CN"/>
        </w:rPr>
        <w:t>成交</w:t>
      </w:r>
      <w:r>
        <w:rPr>
          <w:rFonts w:hint="eastAsia" w:ascii="宋体" w:hAnsi="宋体" w:eastAsia="宋体" w:cs="宋体"/>
          <w:color w:val="auto"/>
          <w:sz w:val="22"/>
          <w:szCs w:val="22"/>
        </w:rPr>
        <w:t>人负责修理，在修复之后，</w:t>
      </w:r>
      <w:r>
        <w:rPr>
          <w:rFonts w:hint="eastAsia" w:ascii="宋体" w:hAnsi="宋体" w:eastAsia="宋体" w:cs="宋体"/>
          <w:color w:val="auto"/>
          <w:sz w:val="22"/>
          <w:szCs w:val="22"/>
          <w:lang w:eastAsia="zh-CN"/>
        </w:rPr>
        <w:t>成交</w:t>
      </w:r>
      <w:r>
        <w:rPr>
          <w:rFonts w:hint="eastAsia" w:ascii="宋体" w:hAnsi="宋体" w:eastAsia="宋体" w:cs="宋体"/>
          <w:color w:val="auto"/>
          <w:sz w:val="22"/>
          <w:szCs w:val="22"/>
        </w:rPr>
        <w:t>人将缺陷原因、修理内容、完成修理及恢复正常的时间和日期等报告给采购人，报告一式两份。</w:t>
      </w:r>
    </w:p>
    <w:p w14:paraId="70277C45">
      <w:pPr>
        <w:spacing w:line="42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4）质保期满后解决故障的响应时间和质保期内一样，仍应</w:t>
      </w:r>
      <w:r>
        <w:rPr>
          <w:rFonts w:hint="eastAsia" w:ascii="宋体" w:hAnsi="宋体" w:eastAsia="宋体" w:cs="宋体"/>
          <w:color w:val="auto"/>
          <w:sz w:val="22"/>
          <w:szCs w:val="22"/>
          <w:highlight w:val="none"/>
        </w:rPr>
        <w:t>在</w:t>
      </w:r>
      <w:r>
        <w:rPr>
          <w:rFonts w:hint="eastAsia" w:ascii="宋体" w:hAnsi="宋体" w:eastAsia="宋体" w:cs="宋体"/>
          <w:color w:val="auto"/>
          <w:sz w:val="22"/>
          <w:szCs w:val="22"/>
          <w:highlight w:val="none"/>
          <w:lang w:val="en-US" w:eastAsia="zh-CN"/>
        </w:rPr>
        <w:t>0.5</w:t>
      </w:r>
      <w:r>
        <w:rPr>
          <w:rFonts w:hint="eastAsia" w:ascii="宋体" w:hAnsi="宋体" w:eastAsia="宋体" w:cs="宋体"/>
          <w:color w:val="auto"/>
          <w:sz w:val="22"/>
          <w:szCs w:val="22"/>
          <w:highlight w:val="none"/>
        </w:rPr>
        <w:t>小</w:t>
      </w:r>
      <w:r>
        <w:rPr>
          <w:rFonts w:hint="eastAsia" w:ascii="宋体" w:hAnsi="宋体" w:eastAsia="宋体" w:cs="宋体"/>
          <w:color w:val="auto"/>
          <w:sz w:val="22"/>
          <w:szCs w:val="22"/>
        </w:rPr>
        <w:t>时内响应、</w:t>
      </w: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小时</w:t>
      </w:r>
      <w:r>
        <w:rPr>
          <w:rFonts w:hint="eastAsia" w:ascii="宋体" w:hAnsi="宋体" w:eastAsia="宋体" w:cs="宋体"/>
          <w:color w:val="auto"/>
          <w:sz w:val="22"/>
          <w:szCs w:val="22"/>
          <w:lang w:val="en-US" w:eastAsia="zh-CN"/>
        </w:rPr>
        <w:t>内</w:t>
      </w:r>
      <w:r>
        <w:rPr>
          <w:rFonts w:hint="eastAsia" w:ascii="宋体" w:hAnsi="宋体" w:eastAsia="宋体" w:cs="宋体"/>
          <w:color w:val="auto"/>
          <w:sz w:val="22"/>
          <w:szCs w:val="22"/>
        </w:rPr>
        <w:t>赶到</w:t>
      </w:r>
      <w:r>
        <w:rPr>
          <w:rFonts w:hint="eastAsia" w:ascii="宋体" w:hAnsi="宋体" w:eastAsia="宋体" w:cs="宋体"/>
          <w:color w:val="auto"/>
          <w:sz w:val="22"/>
          <w:szCs w:val="22"/>
          <w:lang w:eastAsia="zh-CN"/>
        </w:rPr>
        <w:t>采购人</w:t>
      </w:r>
      <w:r>
        <w:rPr>
          <w:rFonts w:hint="eastAsia" w:ascii="宋体" w:hAnsi="宋体" w:eastAsia="宋体" w:cs="宋体"/>
          <w:color w:val="auto"/>
          <w:sz w:val="22"/>
          <w:szCs w:val="22"/>
        </w:rPr>
        <w:t>现场</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设备出现故障需更换配件，维修时只收取零配件成本费用，免收其他费用。</w:t>
      </w:r>
    </w:p>
    <w:p w14:paraId="708C1BC8">
      <w:pPr>
        <w:numPr>
          <w:ilvl w:val="0"/>
          <w:numId w:val="50"/>
        </w:numPr>
        <w:spacing w:line="420" w:lineRule="exact"/>
        <w:ind w:left="5" w:leftChars="0" w:firstLine="415" w:firstLine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售后服务：</w:t>
      </w:r>
    </w:p>
    <w:p w14:paraId="6C698CDF">
      <w:pPr>
        <w:spacing w:line="420" w:lineRule="exact"/>
        <w:ind w:firstLine="440" w:firstLineChars="200"/>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1）现场维护服务：设置7*24小时报修电话，如发生异常，</w:t>
      </w:r>
      <w:r>
        <w:rPr>
          <w:rFonts w:hint="eastAsia" w:ascii="宋体" w:hAnsi="宋体" w:eastAsia="宋体" w:cs="宋体"/>
          <w:color w:val="auto"/>
          <w:sz w:val="22"/>
          <w:szCs w:val="22"/>
          <w:lang w:eastAsia="zh-CN"/>
        </w:rPr>
        <w:t>成交人</w:t>
      </w:r>
      <w:r>
        <w:rPr>
          <w:rFonts w:hint="eastAsia" w:ascii="宋体" w:hAnsi="宋体" w:eastAsia="宋体" w:cs="宋体"/>
          <w:color w:val="auto"/>
          <w:sz w:val="22"/>
          <w:szCs w:val="22"/>
        </w:rPr>
        <w:t>在接到</w:t>
      </w:r>
      <w:r>
        <w:rPr>
          <w:rFonts w:hint="eastAsia" w:ascii="宋体" w:hAnsi="宋体" w:eastAsia="宋体" w:cs="宋体"/>
          <w:color w:val="auto"/>
          <w:sz w:val="22"/>
          <w:szCs w:val="22"/>
          <w:lang w:eastAsia="zh-CN"/>
        </w:rPr>
        <w:t>采购人</w:t>
      </w:r>
      <w:r>
        <w:rPr>
          <w:rFonts w:hint="eastAsia" w:ascii="宋体" w:hAnsi="宋体" w:eastAsia="宋体" w:cs="宋体"/>
          <w:color w:val="auto"/>
          <w:sz w:val="22"/>
          <w:szCs w:val="22"/>
        </w:rPr>
        <w:t>通知后</w:t>
      </w:r>
      <w:r>
        <w:rPr>
          <w:rFonts w:hint="eastAsia" w:ascii="宋体" w:hAnsi="宋体" w:eastAsia="宋体" w:cs="宋体"/>
          <w:color w:val="auto"/>
          <w:sz w:val="22"/>
          <w:szCs w:val="22"/>
          <w:lang w:val="en-US" w:eastAsia="zh-CN"/>
        </w:rPr>
        <w:t>0.5小时内</w:t>
      </w:r>
      <w:r>
        <w:rPr>
          <w:rFonts w:hint="eastAsia" w:ascii="宋体" w:hAnsi="宋体" w:eastAsia="宋体" w:cs="宋体"/>
          <w:color w:val="auto"/>
          <w:sz w:val="22"/>
          <w:szCs w:val="22"/>
        </w:rPr>
        <w:t>响应，</w:t>
      </w:r>
      <w:r>
        <w:rPr>
          <w:rFonts w:hint="eastAsia" w:ascii="宋体" w:hAnsi="宋体" w:eastAsia="宋体" w:cs="宋体"/>
          <w:color w:val="auto"/>
          <w:sz w:val="22"/>
          <w:szCs w:val="22"/>
          <w:lang w:val="en-US" w:eastAsia="zh-CN"/>
        </w:rPr>
        <w:t>2</w:t>
      </w:r>
      <w:r>
        <w:rPr>
          <w:rFonts w:hint="eastAsia" w:ascii="宋体" w:hAnsi="宋体" w:eastAsia="宋体" w:cs="宋体"/>
          <w:color w:val="auto"/>
          <w:sz w:val="22"/>
          <w:szCs w:val="22"/>
        </w:rPr>
        <w:t>小时</w:t>
      </w:r>
      <w:r>
        <w:rPr>
          <w:rFonts w:hint="eastAsia" w:ascii="宋体" w:hAnsi="宋体" w:eastAsia="宋体" w:cs="宋体"/>
          <w:color w:val="auto"/>
          <w:sz w:val="22"/>
          <w:szCs w:val="22"/>
          <w:lang w:val="en-US" w:eastAsia="zh-CN"/>
        </w:rPr>
        <w:t>内</w:t>
      </w:r>
      <w:r>
        <w:rPr>
          <w:rFonts w:hint="eastAsia" w:ascii="宋体" w:hAnsi="宋体" w:eastAsia="宋体" w:cs="宋体"/>
          <w:color w:val="auto"/>
          <w:sz w:val="22"/>
          <w:szCs w:val="22"/>
        </w:rPr>
        <w:t>技术人员到达现场，向采购</w:t>
      </w:r>
      <w:r>
        <w:rPr>
          <w:rFonts w:hint="eastAsia" w:ascii="宋体" w:hAnsi="宋体" w:eastAsia="宋体" w:cs="宋体"/>
          <w:color w:val="auto"/>
          <w:sz w:val="22"/>
          <w:szCs w:val="22"/>
          <w:lang w:eastAsia="zh-CN"/>
        </w:rPr>
        <w:t>人</w:t>
      </w:r>
      <w:r>
        <w:rPr>
          <w:rFonts w:hint="eastAsia" w:ascii="宋体" w:hAnsi="宋体" w:eastAsia="宋体" w:cs="宋体"/>
          <w:color w:val="auto"/>
          <w:sz w:val="22"/>
          <w:szCs w:val="22"/>
        </w:rPr>
        <w:t>提供现场维修服务，</w:t>
      </w:r>
      <w:r>
        <w:rPr>
          <w:rFonts w:hint="eastAsia" w:ascii="宋体" w:hAnsi="宋体" w:eastAsia="宋体" w:cs="宋体"/>
          <w:color w:val="auto"/>
          <w:sz w:val="22"/>
          <w:szCs w:val="22"/>
          <w:lang w:val="en-US" w:eastAsia="zh-CN"/>
        </w:rPr>
        <w:t>12</w:t>
      </w:r>
      <w:r>
        <w:rPr>
          <w:rFonts w:hint="eastAsia" w:ascii="宋体" w:hAnsi="宋体" w:eastAsia="宋体" w:cs="宋体"/>
          <w:color w:val="auto"/>
          <w:sz w:val="22"/>
          <w:szCs w:val="22"/>
        </w:rPr>
        <w:t>小时内</w:t>
      </w:r>
      <w:r>
        <w:rPr>
          <w:rFonts w:hint="eastAsia" w:ascii="宋体" w:hAnsi="宋体" w:eastAsia="宋体" w:cs="宋体"/>
          <w:color w:val="auto"/>
          <w:sz w:val="22"/>
          <w:szCs w:val="22"/>
          <w:lang w:eastAsia="zh-CN"/>
        </w:rPr>
        <w:t>免费</w:t>
      </w:r>
      <w:r>
        <w:rPr>
          <w:rFonts w:hint="eastAsia" w:ascii="宋体" w:hAnsi="宋体" w:eastAsia="宋体" w:cs="宋体"/>
          <w:color w:val="auto"/>
          <w:sz w:val="22"/>
          <w:szCs w:val="22"/>
        </w:rPr>
        <w:t>排除故障（重大故障</w:t>
      </w:r>
      <w:r>
        <w:rPr>
          <w:rFonts w:hint="eastAsia" w:ascii="宋体" w:hAnsi="宋体" w:eastAsia="宋体" w:cs="宋体"/>
          <w:color w:val="auto"/>
          <w:sz w:val="22"/>
          <w:szCs w:val="22"/>
          <w:lang w:val="en-US" w:eastAsia="zh-CN"/>
        </w:rPr>
        <w:t>24小时</w:t>
      </w:r>
      <w:r>
        <w:rPr>
          <w:rFonts w:hint="eastAsia" w:ascii="宋体" w:hAnsi="宋体" w:eastAsia="宋体" w:cs="宋体"/>
          <w:color w:val="auto"/>
          <w:sz w:val="22"/>
          <w:szCs w:val="22"/>
        </w:rPr>
        <w:t>内排除），确保不影响</w:t>
      </w:r>
      <w:r>
        <w:rPr>
          <w:rFonts w:hint="eastAsia" w:ascii="宋体" w:hAnsi="宋体" w:eastAsia="宋体" w:cs="宋体"/>
          <w:color w:val="auto"/>
          <w:sz w:val="22"/>
          <w:szCs w:val="22"/>
          <w:lang w:eastAsia="zh-CN"/>
        </w:rPr>
        <w:t>采购人</w:t>
      </w:r>
      <w:r>
        <w:rPr>
          <w:rFonts w:hint="eastAsia" w:ascii="宋体" w:hAnsi="宋体" w:eastAsia="宋体" w:cs="宋体"/>
          <w:color w:val="auto"/>
          <w:sz w:val="22"/>
          <w:szCs w:val="22"/>
        </w:rPr>
        <w:t>的正常使用。若24小时不能排除故障，须提供备用产品，满足</w:t>
      </w:r>
      <w:r>
        <w:rPr>
          <w:rFonts w:hint="eastAsia" w:ascii="宋体" w:hAnsi="宋体" w:eastAsia="宋体" w:cs="宋体"/>
          <w:color w:val="auto"/>
          <w:sz w:val="22"/>
          <w:szCs w:val="22"/>
          <w:lang w:eastAsia="zh-CN"/>
        </w:rPr>
        <w:t>采购人</w:t>
      </w:r>
      <w:r>
        <w:rPr>
          <w:rFonts w:hint="eastAsia" w:ascii="宋体" w:hAnsi="宋体" w:eastAsia="宋体" w:cs="宋体"/>
          <w:color w:val="auto"/>
          <w:sz w:val="22"/>
          <w:szCs w:val="22"/>
        </w:rPr>
        <w:t>工作需求。</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zh-CN" w:eastAsia="zh-CN"/>
        </w:rPr>
        <w:t>特殊时期提供技术人员值守服务）</w:t>
      </w:r>
      <w:r>
        <w:rPr>
          <w:rFonts w:hint="eastAsia" w:ascii="宋体" w:hAnsi="宋体" w:eastAsia="宋体" w:cs="宋体"/>
          <w:color w:val="auto"/>
          <w:sz w:val="22"/>
          <w:szCs w:val="22"/>
        </w:rPr>
        <w:t>货物的质量保修期自然顺延。如果</w:t>
      </w:r>
      <w:r>
        <w:rPr>
          <w:rFonts w:hint="eastAsia" w:ascii="宋体" w:hAnsi="宋体" w:eastAsia="宋体" w:cs="宋体"/>
          <w:color w:val="auto"/>
          <w:sz w:val="22"/>
          <w:szCs w:val="22"/>
          <w:lang w:eastAsia="zh-CN"/>
        </w:rPr>
        <w:t>成交</w:t>
      </w:r>
      <w:r>
        <w:rPr>
          <w:rFonts w:hint="eastAsia" w:ascii="宋体" w:hAnsi="宋体" w:eastAsia="宋体" w:cs="宋体"/>
          <w:color w:val="auto"/>
          <w:sz w:val="22"/>
          <w:szCs w:val="22"/>
        </w:rPr>
        <w:t>人收到</w:t>
      </w:r>
      <w:r>
        <w:rPr>
          <w:rFonts w:hint="eastAsia" w:ascii="宋体" w:hAnsi="宋体" w:eastAsia="宋体" w:cs="宋体"/>
          <w:color w:val="auto"/>
          <w:sz w:val="22"/>
          <w:szCs w:val="22"/>
          <w:lang w:eastAsia="zh-CN"/>
        </w:rPr>
        <w:t>采购人</w:t>
      </w:r>
      <w:r>
        <w:rPr>
          <w:rFonts w:hint="eastAsia" w:ascii="宋体" w:hAnsi="宋体" w:eastAsia="宋体" w:cs="宋体"/>
          <w:color w:val="auto"/>
          <w:sz w:val="22"/>
          <w:szCs w:val="22"/>
        </w:rPr>
        <w:t>通知后，未在规定的响应时间内赶到现场弥补缺陷，</w:t>
      </w:r>
      <w:r>
        <w:rPr>
          <w:rFonts w:hint="eastAsia" w:ascii="宋体" w:hAnsi="宋体" w:eastAsia="宋体" w:cs="宋体"/>
          <w:color w:val="auto"/>
          <w:sz w:val="22"/>
          <w:szCs w:val="22"/>
          <w:lang w:eastAsia="zh-CN"/>
        </w:rPr>
        <w:t>采购人</w:t>
      </w:r>
      <w:r>
        <w:rPr>
          <w:rFonts w:hint="eastAsia" w:ascii="宋体" w:hAnsi="宋体" w:eastAsia="宋体" w:cs="宋体"/>
          <w:color w:val="auto"/>
          <w:sz w:val="22"/>
          <w:szCs w:val="22"/>
        </w:rPr>
        <w:t>可采取必要的补救措施，但风险和费用全部由</w:t>
      </w:r>
      <w:r>
        <w:rPr>
          <w:rFonts w:hint="eastAsia" w:ascii="宋体" w:hAnsi="宋体" w:eastAsia="宋体" w:cs="宋体"/>
          <w:color w:val="auto"/>
          <w:sz w:val="22"/>
          <w:szCs w:val="22"/>
          <w:lang w:eastAsia="zh-CN"/>
        </w:rPr>
        <w:t>成交</w:t>
      </w:r>
      <w:r>
        <w:rPr>
          <w:rFonts w:hint="eastAsia" w:ascii="宋体" w:hAnsi="宋体" w:eastAsia="宋体" w:cs="宋体"/>
          <w:color w:val="auto"/>
          <w:sz w:val="22"/>
          <w:szCs w:val="22"/>
        </w:rPr>
        <w:t>人承担，并从合同款项中抵扣。</w:t>
      </w:r>
    </w:p>
    <w:p w14:paraId="482C11A8">
      <w:pPr>
        <w:pStyle w:val="40"/>
        <w:numPr>
          <w:ilvl w:val="0"/>
          <w:numId w:val="0"/>
        </w:numPr>
        <w:spacing w:line="360" w:lineRule="auto"/>
        <w:ind w:left="420" w:leftChars="0"/>
        <w:rPr>
          <w:rFonts w:hint="eastAsia" w:ascii="宋体" w:hAnsi="宋体" w:eastAsia="宋体" w:cs="宋体"/>
          <w:b/>
          <w:color w:val="auto"/>
          <w:sz w:val="22"/>
          <w:szCs w:val="22"/>
          <w:highlight w:val="none"/>
          <w:lang w:val="en-US" w:eastAsia="zh-CN" w:bidi="zh-CN"/>
        </w:rPr>
      </w:pPr>
      <w:r>
        <w:rPr>
          <w:rFonts w:hint="eastAsia" w:ascii="宋体" w:hAnsi="宋体" w:eastAsia="宋体" w:cs="宋体"/>
          <w:b/>
          <w:color w:val="auto"/>
          <w:sz w:val="22"/>
          <w:szCs w:val="22"/>
          <w:highlight w:val="none"/>
          <w:lang w:val="en-US" w:eastAsia="zh-CN" w:bidi="zh-CN"/>
        </w:rPr>
        <w:t>八、付款方式和条件：</w:t>
      </w:r>
      <w:bookmarkEnd w:id="115"/>
      <w:bookmarkEnd w:id="116"/>
      <w:bookmarkStart w:id="118" w:name="_Toc355"/>
      <w:bookmarkStart w:id="119" w:name="_Toc21997"/>
      <w:r>
        <w:rPr>
          <w:rFonts w:hint="eastAsia" w:ascii="宋体" w:hAnsi="宋体" w:eastAsia="宋体" w:cs="宋体"/>
          <w:b/>
          <w:color w:val="auto"/>
          <w:sz w:val="22"/>
          <w:szCs w:val="22"/>
          <w:highlight w:val="none"/>
          <w:lang w:val="en-US" w:eastAsia="zh-CN" w:bidi="zh-CN"/>
        </w:rPr>
        <w:t xml:space="preserve"> 按合同约定。</w:t>
      </w:r>
    </w:p>
    <w:p w14:paraId="300AFBE6">
      <w:pPr>
        <w:pStyle w:val="40"/>
        <w:numPr>
          <w:ilvl w:val="0"/>
          <w:numId w:val="0"/>
        </w:numPr>
        <w:spacing w:line="360" w:lineRule="auto"/>
        <w:ind w:left="420" w:leftChars="0" w:firstLine="442" w:firstLineChars="200"/>
        <w:rPr>
          <w:rFonts w:hint="eastAsia" w:ascii="宋体" w:hAnsi="宋体" w:eastAsia="宋体" w:cs="宋体"/>
          <w:b/>
          <w:color w:val="auto"/>
          <w:sz w:val="22"/>
          <w:szCs w:val="22"/>
          <w:highlight w:val="none"/>
          <w:lang w:val="en-US" w:eastAsia="zh-CN" w:bidi="zh-CN"/>
        </w:rPr>
      </w:pPr>
      <w:r>
        <w:rPr>
          <w:rFonts w:hint="eastAsia" w:ascii="宋体" w:hAnsi="宋体" w:eastAsia="宋体" w:cs="宋体"/>
          <w:b/>
          <w:color w:val="auto"/>
          <w:sz w:val="22"/>
          <w:szCs w:val="22"/>
          <w:highlight w:val="none"/>
          <w:lang w:val="en-US" w:eastAsia="zh-CN" w:bidi="zh-CN"/>
        </w:rPr>
        <w:t>其它需要说明的事项：</w:t>
      </w:r>
      <w:bookmarkEnd w:id="118"/>
      <w:bookmarkEnd w:id="119"/>
    </w:p>
    <w:p w14:paraId="03152508">
      <w:pPr>
        <w:numPr>
          <w:ilvl w:val="0"/>
          <w:numId w:val="51"/>
        </w:numPr>
        <w:spacing w:line="420" w:lineRule="exact"/>
        <w:ind w:left="5" w:leftChars="0" w:firstLine="415" w:firstLine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Hans"/>
        </w:rPr>
        <w:t>本项目采用费用包干方式建设，投标人应根据项目要求和现场情况，详细列明项目所需的设备、材料、配件、辅材购置，以及产品运输保险保管、产品安装调试、验收、培训、免费保修维护等所有人工、管理、财务等所有费用，如一旦中标，在项目实施中出现任何遗漏，均由中标供应商免费提供，采购人不再支付任何费用。</w:t>
      </w:r>
    </w:p>
    <w:p w14:paraId="6698F710">
      <w:pPr>
        <w:numPr>
          <w:ilvl w:val="0"/>
          <w:numId w:val="51"/>
        </w:numPr>
        <w:spacing w:line="420" w:lineRule="exact"/>
        <w:ind w:left="5" w:leftChars="0" w:firstLine="415" w:firstLineChars="0"/>
        <w:rPr>
          <w:rFonts w:hint="eastAsia" w:ascii="宋体" w:hAnsi="宋体" w:eastAsia="宋体" w:cs="宋体"/>
          <w:color w:val="auto"/>
          <w:sz w:val="22"/>
          <w:szCs w:val="22"/>
          <w:highlight w:val="none"/>
          <w:lang w:val="en-US" w:eastAsia="zh-Hans"/>
        </w:rPr>
      </w:pPr>
      <w:r>
        <w:rPr>
          <w:rFonts w:hint="eastAsia" w:ascii="宋体" w:hAnsi="宋体" w:eastAsia="宋体" w:cs="宋体"/>
          <w:color w:val="auto"/>
          <w:sz w:val="22"/>
          <w:szCs w:val="22"/>
          <w:highlight w:val="none"/>
          <w:lang w:val="en-US" w:eastAsia="zh-CN"/>
        </w:rPr>
        <w:t>投标产品必须是原厂家生产的，新的未使用和未经修复的，必须符合国家规定的相应技术</w:t>
      </w:r>
      <w:r>
        <w:rPr>
          <w:rFonts w:hint="eastAsia" w:ascii="宋体" w:hAnsi="宋体" w:eastAsia="宋体" w:cs="宋体"/>
          <w:color w:val="auto"/>
          <w:sz w:val="22"/>
          <w:szCs w:val="22"/>
          <w:highlight w:val="none"/>
          <w:lang w:val="en-US" w:eastAsia="zh-Hans"/>
        </w:rPr>
        <w:t>标准，并按相应的国家标准及行业规范完成</w:t>
      </w:r>
      <w:r>
        <w:rPr>
          <w:rFonts w:hint="eastAsia" w:ascii="宋体" w:hAnsi="宋体" w:eastAsia="宋体" w:cs="宋体"/>
          <w:color w:val="auto"/>
          <w:sz w:val="22"/>
          <w:szCs w:val="22"/>
          <w:highlight w:val="none"/>
          <w:lang w:val="en-US" w:eastAsia="zh-CN"/>
        </w:rPr>
        <w:t>所有产品和系统</w:t>
      </w:r>
      <w:r>
        <w:rPr>
          <w:rFonts w:hint="eastAsia" w:ascii="宋体" w:hAnsi="宋体" w:eastAsia="宋体" w:cs="宋体"/>
          <w:color w:val="auto"/>
          <w:sz w:val="22"/>
          <w:szCs w:val="22"/>
          <w:highlight w:val="none"/>
          <w:lang w:val="en-US" w:eastAsia="zh-Hans"/>
        </w:rPr>
        <w:t>的</w:t>
      </w:r>
      <w:r>
        <w:rPr>
          <w:rFonts w:hint="eastAsia" w:ascii="宋体" w:hAnsi="宋体" w:eastAsia="宋体" w:cs="宋体"/>
          <w:color w:val="auto"/>
          <w:sz w:val="22"/>
          <w:szCs w:val="22"/>
          <w:highlight w:val="none"/>
          <w:lang w:val="en-US" w:eastAsia="zh-CN"/>
        </w:rPr>
        <w:t>安装</w:t>
      </w:r>
      <w:r>
        <w:rPr>
          <w:rFonts w:hint="eastAsia" w:ascii="宋体" w:hAnsi="宋体" w:eastAsia="宋体" w:cs="宋体"/>
          <w:color w:val="auto"/>
          <w:sz w:val="22"/>
          <w:szCs w:val="22"/>
          <w:highlight w:val="none"/>
          <w:lang w:val="en-US" w:eastAsia="zh-Hans"/>
        </w:rPr>
        <w:t>、调试、安装。必须严格按《产品质量法》实行三包。</w:t>
      </w:r>
    </w:p>
    <w:p w14:paraId="2966654F">
      <w:pPr>
        <w:numPr>
          <w:ilvl w:val="0"/>
          <w:numId w:val="51"/>
        </w:numPr>
        <w:spacing w:line="420" w:lineRule="exact"/>
        <w:ind w:left="5" w:leftChars="0" w:firstLine="415" w:firstLineChars="0"/>
        <w:rPr>
          <w:rFonts w:hint="eastAsia" w:ascii="宋体" w:hAnsi="宋体" w:eastAsia="宋体" w:cs="宋体"/>
          <w:color w:val="auto"/>
          <w:sz w:val="22"/>
          <w:szCs w:val="22"/>
          <w:highlight w:val="none"/>
          <w:lang w:val="en-US" w:eastAsia="zh-Hans"/>
        </w:rPr>
      </w:pPr>
      <w:r>
        <w:rPr>
          <w:rFonts w:hint="eastAsia" w:ascii="宋体" w:hAnsi="宋体" w:eastAsia="宋体" w:cs="宋体"/>
          <w:color w:val="auto"/>
          <w:sz w:val="22"/>
          <w:szCs w:val="22"/>
          <w:highlight w:val="none"/>
          <w:lang w:val="en-US" w:eastAsia="zh-CN"/>
        </w:rPr>
        <w:t>响应</w:t>
      </w:r>
      <w:r>
        <w:rPr>
          <w:rFonts w:hint="eastAsia" w:ascii="宋体" w:hAnsi="宋体" w:eastAsia="宋体" w:cs="宋体"/>
          <w:color w:val="auto"/>
          <w:sz w:val="22"/>
          <w:szCs w:val="22"/>
          <w:highlight w:val="none"/>
          <w:lang w:val="en-US" w:eastAsia="zh-Hans"/>
        </w:rPr>
        <w:t>文件中各种参数必须真实可靠</w:t>
      </w:r>
      <w:r>
        <w:rPr>
          <w:rFonts w:hint="eastAsia" w:ascii="宋体" w:hAnsi="宋体" w:eastAsia="宋体" w:cs="宋体"/>
          <w:color w:val="auto"/>
          <w:sz w:val="22"/>
          <w:szCs w:val="22"/>
          <w:highlight w:val="none"/>
          <w:lang w:val="en-US" w:eastAsia="zh-CN"/>
        </w:rPr>
        <w:t>，供应商</w:t>
      </w:r>
      <w:r>
        <w:rPr>
          <w:rFonts w:hint="eastAsia" w:ascii="宋体" w:hAnsi="宋体" w:eastAsia="宋体" w:cs="宋体"/>
          <w:color w:val="auto"/>
          <w:sz w:val="22"/>
          <w:szCs w:val="22"/>
          <w:highlight w:val="none"/>
          <w:lang w:val="en-US" w:eastAsia="zh-Hans"/>
        </w:rPr>
        <w:t>必须在承诺的</w:t>
      </w:r>
      <w:r>
        <w:rPr>
          <w:rFonts w:hint="eastAsia" w:ascii="宋体" w:hAnsi="宋体" w:eastAsia="宋体" w:cs="宋体"/>
          <w:color w:val="auto"/>
          <w:sz w:val="22"/>
          <w:szCs w:val="22"/>
          <w:highlight w:val="none"/>
          <w:lang w:val="en-US" w:eastAsia="zh-CN"/>
        </w:rPr>
        <w:t>工期</w:t>
      </w:r>
      <w:r>
        <w:rPr>
          <w:rFonts w:hint="eastAsia" w:ascii="宋体" w:hAnsi="宋体" w:eastAsia="宋体" w:cs="宋体"/>
          <w:color w:val="auto"/>
          <w:sz w:val="22"/>
          <w:szCs w:val="22"/>
          <w:highlight w:val="none"/>
          <w:lang w:val="en-US" w:eastAsia="zh-Hans"/>
        </w:rPr>
        <w:t>内到货</w:t>
      </w:r>
      <w:r>
        <w:rPr>
          <w:rFonts w:hint="eastAsia" w:ascii="宋体" w:hAnsi="宋体" w:eastAsia="宋体" w:cs="宋体"/>
          <w:color w:val="auto"/>
          <w:sz w:val="22"/>
          <w:szCs w:val="22"/>
          <w:highlight w:val="none"/>
          <w:lang w:val="en-US" w:eastAsia="zh-CN"/>
        </w:rPr>
        <w:t>、安装、调试完成</w:t>
      </w:r>
      <w:r>
        <w:rPr>
          <w:rFonts w:hint="eastAsia" w:ascii="宋体" w:hAnsi="宋体" w:eastAsia="宋体" w:cs="宋体"/>
          <w:color w:val="auto"/>
          <w:sz w:val="22"/>
          <w:szCs w:val="22"/>
          <w:highlight w:val="none"/>
          <w:lang w:val="en-US" w:eastAsia="zh-Hans"/>
        </w:rPr>
        <w:t>。</w:t>
      </w:r>
    </w:p>
    <w:p w14:paraId="5E443C9D">
      <w:pPr>
        <w:numPr>
          <w:ilvl w:val="0"/>
          <w:numId w:val="51"/>
        </w:numPr>
        <w:spacing w:line="420" w:lineRule="exact"/>
        <w:ind w:left="5" w:leftChars="0" w:firstLine="415" w:firstLine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Hans"/>
        </w:rPr>
        <w:t>其他未尽事宜由采购人和成交人双方在采购合同中详细约定</w:t>
      </w:r>
      <w:r>
        <w:rPr>
          <w:rFonts w:hint="eastAsia" w:ascii="宋体" w:hAnsi="宋体" w:eastAsia="宋体" w:cs="宋体"/>
          <w:color w:val="auto"/>
          <w:sz w:val="22"/>
          <w:szCs w:val="22"/>
          <w:highlight w:val="none"/>
          <w:lang w:val="en-US" w:eastAsia="zh-CN"/>
        </w:rPr>
        <w:t>。</w:t>
      </w:r>
    </w:p>
    <w:p w14:paraId="29085E3F">
      <w:pPr>
        <w:rPr>
          <w:rFonts w:hint="eastAsia" w:ascii="宋体" w:hAnsi="宋体" w:eastAsia="宋体" w:cs="宋体"/>
          <w:color w:val="auto"/>
          <w:sz w:val="22"/>
          <w:szCs w:val="22"/>
          <w:highlight w:val="none"/>
        </w:rPr>
      </w:pPr>
    </w:p>
    <w:p w14:paraId="2EE0A506">
      <w:pPr>
        <w:ind w:firstLine="1104" w:firstLineChars="500"/>
        <w:rPr>
          <w:rFonts w:hint="eastAsia" w:ascii="宋体" w:hAnsi="宋体" w:cs="宋体"/>
          <w:b/>
          <w:color w:val="auto"/>
          <w:kern w:val="0"/>
          <w:szCs w:val="21"/>
          <w:highlight w:val="none"/>
        </w:rPr>
      </w:pPr>
      <w:r>
        <w:rPr>
          <w:rFonts w:hint="eastAsia" w:ascii="宋体" w:hAnsi="宋体" w:eastAsia="宋体" w:cs="宋体"/>
          <w:b/>
          <w:color w:val="auto"/>
          <w:sz w:val="22"/>
          <w:szCs w:val="22"/>
          <w:highlight w:val="none"/>
        </w:rPr>
        <w:t>★注：</w:t>
      </w:r>
      <w:r>
        <w:rPr>
          <w:rFonts w:hint="eastAsia" w:ascii="宋体" w:hAnsi="宋体" w:eastAsia="宋体" w:cs="宋体"/>
          <w:b/>
          <w:bCs/>
          <w:color w:val="auto"/>
          <w:sz w:val="22"/>
          <w:szCs w:val="22"/>
          <w:highlight w:val="none"/>
          <w:lang w:bidi="ar"/>
        </w:rPr>
        <w:t>对于上述项目要求，供应商应在响应文件中进行回应，作出承诺及说明。</w:t>
      </w:r>
      <w:bookmarkEnd w:id="117"/>
      <w:bookmarkStart w:id="120" w:name="_Toc3401"/>
      <w:bookmarkStart w:id="121" w:name="_Toc14155"/>
    </w:p>
    <w:p w14:paraId="45F62BC9">
      <w:pPr>
        <w:rPr>
          <w:rFonts w:ascii="宋体" w:hAnsi="宋体" w:eastAsia="宋体" w:cs="宋体"/>
          <w:b/>
          <w:color w:val="auto"/>
          <w:sz w:val="32"/>
          <w:highlight w:val="none"/>
        </w:rPr>
      </w:pPr>
      <w:r>
        <w:rPr>
          <w:rFonts w:hint="eastAsia" w:ascii="黑体" w:hAnsi="黑体" w:eastAsia="黑体"/>
          <w:color w:val="auto"/>
          <w:sz w:val="28"/>
          <w:szCs w:val="28"/>
          <w:highlight w:val="none"/>
        </w:rPr>
        <w:br w:type="page"/>
      </w:r>
      <w:bookmarkEnd w:id="120"/>
      <w:bookmarkEnd w:id="121"/>
      <w:bookmarkStart w:id="122" w:name="第六章 响应文件的组成"/>
      <w:bookmarkEnd w:id="122"/>
    </w:p>
    <w:p w14:paraId="628BCEA3">
      <w:pPr>
        <w:pStyle w:val="4"/>
        <w:numPr>
          <w:ilvl w:val="0"/>
          <w:numId w:val="1"/>
        </w:numPr>
        <w:spacing w:before="28"/>
        <w:ind w:left="0" w:right="417"/>
        <w:jc w:val="center"/>
        <w:outlineLvl w:val="0"/>
        <w:rPr>
          <w:rFonts w:hint="eastAsia" w:ascii="宋体" w:hAnsi="宋体" w:eastAsia="宋体" w:cs="宋体"/>
          <w:color w:val="auto"/>
          <w:highlight w:val="none"/>
          <w:lang w:val="en-US" w:eastAsia="zh-CN"/>
        </w:rPr>
      </w:pPr>
      <w:bookmarkStart w:id="123" w:name="_Toc14944"/>
      <w:bookmarkStart w:id="124" w:name="_Toc30759"/>
      <w:r>
        <w:rPr>
          <w:rFonts w:hint="eastAsia" w:ascii="宋体" w:hAnsi="宋体" w:eastAsia="宋体" w:cs="宋体"/>
          <w:color w:val="auto"/>
          <w:highlight w:val="none"/>
          <w:lang w:val="en-US" w:eastAsia="zh-CN"/>
        </w:rPr>
        <w:t>响应文件的组成</w:t>
      </w:r>
      <w:bookmarkEnd w:id="123"/>
      <w:bookmarkEnd w:id="124"/>
    </w:p>
    <w:p w14:paraId="097E38BF">
      <w:pPr>
        <w:pStyle w:val="9"/>
        <w:ind w:firstLine="0"/>
        <w:rPr>
          <w:color w:val="auto"/>
          <w:highlight w:val="none"/>
        </w:rPr>
      </w:pPr>
    </w:p>
    <w:p w14:paraId="2136D413">
      <w:pPr>
        <w:pStyle w:val="9"/>
        <w:ind w:firstLine="0"/>
        <w:rPr>
          <w:color w:val="auto"/>
          <w:highlight w:val="none"/>
        </w:rPr>
      </w:pPr>
    </w:p>
    <w:p w14:paraId="7F062E03">
      <w:pPr>
        <w:rPr>
          <w:rFonts w:hint="eastAsia" w:ascii="宋体" w:hAnsi="宋体" w:cs="宋体"/>
          <w:color w:val="000000"/>
          <w:sz w:val="24"/>
          <w:highlight w:val="none"/>
        </w:rPr>
      </w:pPr>
      <w:bookmarkStart w:id="125" w:name="_Toc1566"/>
      <w:bookmarkStart w:id="126" w:name="_Toc11808"/>
      <w:r>
        <w:rPr>
          <w:rFonts w:hint="eastAsia" w:ascii="宋体" w:hAnsi="宋体" w:cs="宋体"/>
          <w:color w:val="000000"/>
          <w:sz w:val="24"/>
          <w:highlight w:val="none"/>
        </w:rPr>
        <w:t>供应商的响应文件应包含以下部分：</w:t>
      </w:r>
    </w:p>
    <w:p w14:paraId="1EAAB908">
      <w:pPr>
        <w:adjustRightInd w:val="0"/>
        <w:snapToGrid w:val="0"/>
        <w:jc w:val="left"/>
        <w:outlineLvl w:val="1"/>
        <w:rPr>
          <w:rFonts w:hint="eastAsia" w:ascii="宋体" w:hAnsi="宋体" w:cs="宋体"/>
          <w:b/>
          <w:color w:val="000000"/>
          <w:sz w:val="24"/>
          <w:highlight w:val="none"/>
        </w:rPr>
      </w:pPr>
      <w:bookmarkStart w:id="127" w:name="_Toc17836"/>
      <w:bookmarkStart w:id="128" w:name="_Toc1169"/>
      <w:r>
        <w:rPr>
          <w:rFonts w:hint="eastAsia" w:ascii="宋体" w:hAnsi="宋体" w:cs="宋体"/>
          <w:b/>
          <w:color w:val="000000"/>
          <w:sz w:val="24"/>
          <w:highlight w:val="none"/>
        </w:rPr>
        <w:t>一、磋商响应声明</w:t>
      </w:r>
      <w:bookmarkEnd w:id="127"/>
      <w:bookmarkEnd w:id="128"/>
    </w:p>
    <w:p w14:paraId="1EFA31F8">
      <w:pPr>
        <w:adjustRightInd w:val="0"/>
        <w:snapToGrid w:val="0"/>
        <w:ind w:firstLine="480" w:firstLineChars="200"/>
        <w:jc w:val="left"/>
        <w:outlineLvl w:val="2"/>
        <w:rPr>
          <w:rFonts w:hint="eastAsia" w:ascii="宋体" w:hAnsi="宋体" w:cs="宋体"/>
          <w:color w:val="000000"/>
          <w:sz w:val="24"/>
          <w:highlight w:val="none"/>
        </w:rPr>
      </w:pPr>
      <w:bookmarkStart w:id="129" w:name="_Toc11605"/>
      <w:bookmarkStart w:id="130" w:name="_Toc24229"/>
      <w:r>
        <w:rPr>
          <w:rFonts w:hint="eastAsia" w:ascii="宋体" w:hAnsi="宋体" w:cs="宋体"/>
          <w:color w:val="000000"/>
          <w:sz w:val="24"/>
          <w:highlight w:val="none"/>
        </w:rPr>
        <w:t>附件1-1 法定代表人身份证明</w:t>
      </w:r>
      <w:bookmarkEnd w:id="129"/>
      <w:bookmarkEnd w:id="130"/>
    </w:p>
    <w:p w14:paraId="549884DE">
      <w:pPr>
        <w:adjustRightInd w:val="0"/>
        <w:snapToGrid w:val="0"/>
        <w:ind w:firstLine="480" w:firstLineChars="200"/>
        <w:jc w:val="left"/>
        <w:outlineLvl w:val="0"/>
        <w:rPr>
          <w:rFonts w:hint="eastAsia" w:ascii="宋体" w:hAnsi="宋体" w:cs="宋体"/>
          <w:color w:val="000000"/>
          <w:sz w:val="24"/>
          <w:highlight w:val="none"/>
        </w:rPr>
      </w:pPr>
      <w:bookmarkStart w:id="131" w:name="_Toc14116"/>
      <w:bookmarkStart w:id="132" w:name="_Toc23777"/>
      <w:r>
        <w:rPr>
          <w:rFonts w:hint="eastAsia" w:ascii="宋体" w:hAnsi="宋体" w:cs="宋体"/>
          <w:color w:val="000000"/>
          <w:sz w:val="24"/>
          <w:highlight w:val="none"/>
        </w:rPr>
        <w:t>附件1-2 法定代表人授权委托书</w:t>
      </w:r>
      <w:bookmarkEnd w:id="131"/>
      <w:bookmarkEnd w:id="132"/>
    </w:p>
    <w:p w14:paraId="5EC6D2EC">
      <w:pPr>
        <w:adjustRightInd w:val="0"/>
        <w:snapToGrid w:val="0"/>
        <w:jc w:val="left"/>
        <w:outlineLvl w:val="1"/>
        <w:rPr>
          <w:rFonts w:hint="eastAsia" w:ascii="宋体" w:hAnsi="宋体" w:cs="宋体"/>
          <w:b/>
          <w:color w:val="000000"/>
          <w:sz w:val="24"/>
          <w:highlight w:val="none"/>
        </w:rPr>
      </w:pPr>
      <w:bookmarkStart w:id="133" w:name="_Toc8741"/>
      <w:bookmarkStart w:id="134" w:name="_Toc17425"/>
      <w:r>
        <w:rPr>
          <w:rFonts w:hint="eastAsia" w:ascii="宋体" w:hAnsi="宋体" w:cs="宋体"/>
          <w:b/>
          <w:color w:val="000000"/>
          <w:sz w:val="24"/>
          <w:highlight w:val="none"/>
        </w:rPr>
        <w:t>二、保证金</w:t>
      </w:r>
      <w:bookmarkEnd w:id="133"/>
      <w:bookmarkEnd w:id="134"/>
    </w:p>
    <w:p w14:paraId="27358966">
      <w:pPr>
        <w:adjustRightInd w:val="0"/>
        <w:snapToGrid w:val="0"/>
        <w:jc w:val="left"/>
        <w:outlineLvl w:val="1"/>
        <w:rPr>
          <w:rFonts w:hint="eastAsia" w:ascii="宋体" w:hAnsi="宋体" w:cs="宋体"/>
          <w:color w:val="000000"/>
          <w:sz w:val="24"/>
          <w:highlight w:val="none"/>
        </w:rPr>
      </w:pPr>
      <w:bookmarkStart w:id="135" w:name="_Toc21601"/>
      <w:bookmarkStart w:id="136" w:name="_Toc12345"/>
      <w:r>
        <w:rPr>
          <w:rFonts w:hint="eastAsia" w:ascii="宋体" w:hAnsi="宋体" w:cs="宋体"/>
          <w:b/>
          <w:color w:val="000000"/>
          <w:sz w:val="24"/>
          <w:highlight w:val="none"/>
        </w:rPr>
        <w:t>三、供应商的资格证明资料</w:t>
      </w:r>
      <w:bookmarkEnd w:id="135"/>
      <w:bookmarkEnd w:id="136"/>
    </w:p>
    <w:p w14:paraId="670D6A8E">
      <w:pPr>
        <w:adjustRightInd w:val="0"/>
        <w:snapToGrid w:val="0"/>
        <w:ind w:firstLine="480" w:firstLineChars="200"/>
        <w:jc w:val="left"/>
        <w:outlineLvl w:val="2"/>
        <w:rPr>
          <w:rFonts w:hint="eastAsia" w:ascii="宋体" w:hAnsi="宋体" w:cs="宋体"/>
          <w:color w:val="000000"/>
          <w:sz w:val="24"/>
          <w:highlight w:val="none"/>
        </w:rPr>
      </w:pPr>
      <w:bookmarkStart w:id="137" w:name="_Toc9372"/>
      <w:bookmarkStart w:id="138" w:name="_Toc9065"/>
      <w:r>
        <w:rPr>
          <w:rFonts w:hint="eastAsia" w:ascii="宋体" w:hAnsi="宋体" w:cs="宋体"/>
          <w:color w:val="000000"/>
          <w:sz w:val="24"/>
          <w:highlight w:val="none"/>
        </w:rPr>
        <w:t>附件3-1 供应商基本情况表</w:t>
      </w:r>
      <w:bookmarkEnd w:id="137"/>
      <w:bookmarkEnd w:id="138"/>
    </w:p>
    <w:p w14:paraId="40D5C475">
      <w:pPr>
        <w:adjustRightInd w:val="0"/>
        <w:snapToGrid w:val="0"/>
        <w:ind w:firstLine="480" w:firstLineChars="200"/>
        <w:outlineLvl w:val="0"/>
        <w:rPr>
          <w:rFonts w:hint="eastAsia" w:ascii="宋体" w:hAnsi="宋体" w:cs="宋体"/>
          <w:color w:val="000000"/>
          <w:sz w:val="24"/>
          <w:highlight w:val="none"/>
        </w:rPr>
      </w:pPr>
      <w:bookmarkStart w:id="139" w:name="_Toc18650"/>
      <w:bookmarkStart w:id="140" w:name="_Toc30661"/>
      <w:r>
        <w:rPr>
          <w:rFonts w:hint="eastAsia" w:ascii="宋体" w:hAnsi="宋体" w:cs="宋体"/>
          <w:color w:val="000000"/>
          <w:sz w:val="24"/>
          <w:highlight w:val="none"/>
        </w:rPr>
        <w:t>附件3-2 磋商文件规定的基本资格条件证明资料</w:t>
      </w:r>
      <w:bookmarkEnd w:id="139"/>
      <w:bookmarkEnd w:id="140"/>
    </w:p>
    <w:p w14:paraId="344DF7C1">
      <w:pPr>
        <w:adjustRightInd w:val="0"/>
        <w:snapToGrid w:val="0"/>
        <w:ind w:firstLine="480" w:firstLineChars="200"/>
        <w:rPr>
          <w:rFonts w:hint="eastAsia" w:ascii="宋体" w:hAnsi="宋体" w:cs="宋体"/>
          <w:sz w:val="24"/>
          <w:highlight w:val="none"/>
        </w:rPr>
      </w:pPr>
      <w:r>
        <w:rPr>
          <w:rFonts w:hint="eastAsia" w:ascii="宋体" w:hAnsi="宋体" w:cs="宋体"/>
          <w:color w:val="000000"/>
          <w:sz w:val="24"/>
          <w:highlight w:val="none"/>
        </w:rPr>
        <w:t xml:space="preserve">附件3-3 </w:t>
      </w:r>
      <w:r>
        <w:rPr>
          <w:rFonts w:hint="eastAsia" w:ascii="宋体" w:hAnsi="宋体" w:cs="宋体"/>
          <w:sz w:val="24"/>
          <w:highlight w:val="none"/>
        </w:rPr>
        <w:t>参加采购活动前三年内在经营活动中没有重大违法记录的书面声明</w:t>
      </w:r>
    </w:p>
    <w:p w14:paraId="5CD2F713">
      <w:pPr>
        <w:adjustRightInd w:val="0"/>
        <w:snapToGrid w:val="0"/>
        <w:ind w:firstLine="480" w:firstLineChars="200"/>
        <w:outlineLvl w:val="0"/>
        <w:rPr>
          <w:rFonts w:hint="eastAsia" w:ascii="宋体" w:hAnsi="宋体" w:cs="宋体"/>
          <w:color w:val="000000"/>
          <w:sz w:val="24"/>
          <w:highlight w:val="none"/>
        </w:rPr>
      </w:pPr>
      <w:bookmarkStart w:id="141" w:name="_Toc7769"/>
      <w:bookmarkStart w:id="142" w:name="_Toc5126"/>
      <w:r>
        <w:rPr>
          <w:rFonts w:hint="eastAsia" w:ascii="宋体" w:hAnsi="宋体" w:cs="宋体"/>
          <w:color w:val="000000"/>
          <w:sz w:val="24"/>
          <w:highlight w:val="none"/>
        </w:rPr>
        <w:t>附件3-4 磋商文件规定的特定资格条件证明资料</w:t>
      </w:r>
      <w:bookmarkEnd w:id="141"/>
      <w:bookmarkEnd w:id="142"/>
    </w:p>
    <w:p w14:paraId="27559974">
      <w:pPr>
        <w:adjustRightInd w:val="0"/>
        <w:snapToGrid w:val="0"/>
        <w:ind w:firstLine="480" w:firstLineChars="200"/>
        <w:outlineLvl w:val="0"/>
        <w:rPr>
          <w:rFonts w:hint="eastAsia" w:ascii="宋体" w:hAnsi="宋体" w:cs="宋体"/>
          <w:bCs/>
          <w:color w:val="000000"/>
          <w:sz w:val="24"/>
          <w:highlight w:val="none"/>
        </w:rPr>
      </w:pPr>
      <w:bookmarkStart w:id="143" w:name="_Toc30543"/>
      <w:bookmarkStart w:id="144" w:name="_Toc26302"/>
      <w:r>
        <w:rPr>
          <w:rFonts w:hint="eastAsia" w:ascii="宋体" w:hAnsi="宋体" w:cs="宋体"/>
          <w:bCs/>
          <w:color w:val="000000"/>
          <w:sz w:val="24"/>
          <w:highlight w:val="none"/>
        </w:rPr>
        <w:t>附件3-5 其他证明资料或说明</w:t>
      </w:r>
      <w:bookmarkEnd w:id="143"/>
      <w:bookmarkEnd w:id="144"/>
    </w:p>
    <w:p w14:paraId="05909D6C">
      <w:pPr>
        <w:pStyle w:val="14"/>
        <w:adjustRightInd w:val="0"/>
        <w:snapToGrid w:val="0"/>
        <w:outlineLvl w:val="1"/>
        <w:rPr>
          <w:rFonts w:hint="eastAsia" w:hAnsi="宋体" w:eastAsia="宋体" w:cs="宋体"/>
          <w:b/>
          <w:sz w:val="24"/>
          <w:szCs w:val="24"/>
          <w:highlight w:val="none"/>
          <w:lang w:eastAsia="zh-CN"/>
        </w:rPr>
      </w:pPr>
      <w:bookmarkStart w:id="145" w:name="_Toc32270"/>
      <w:bookmarkStart w:id="146" w:name="_Toc8011"/>
      <w:r>
        <w:rPr>
          <w:rFonts w:hint="eastAsia" w:hAnsi="宋体" w:cs="宋体"/>
          <w:b/>
          <w:sz w:val="24"/>
          <w:szCs w:val="24"/>
          <w:highlight w:val="none"/>
        </w:rPr>
        <w:t>四、</w:t>
      </w:r>
      <w:bookmarkEnd w:id="145"/>
      <w:bookmarkEnd w:id="146"/>
      <w:r>
        <w:rPr>
          <w:rFonts w:hint="eastAsia" w:hAnsi="宋体" w:cs="宋体"/>
          <w:b/>
          <w:sz w:val="24"/>
          <w:szCs w:val="24"/>
          <w:highlight w:val="none"/>
          <w:lang w:eastAsia="zh-CN"/>
        </w:rPr>
        <w:t>项目实施方案</w:t>
      </w:r>
    </w:p>
    <w:p w14:paraId="12F1DD0F">
      <w:pPr>
        <w:pStyle w:val="14"/>
        <w:adjustRightInd w:val="0"/>
        <w:snapToGrid w:val="0"/>
        <w:ind w:firstLine="480" w:firstLineChars="200"/>
        <w:outlineLvl w:val="2"/>
        <w:rPr>
          <w:rFonts w:hint="eastAsia" w:hAnsi="宋体" w:cs="宋体"/>
          <w:sz w:val="24"/>
          <w:szCs w:val="24"/>
          <w:highlight w:val="none"/>
          <w:lang w:val="en-US" w:eastAsia="zh-CN"/>
        </w:rPr>
      </w:pPr>
      <w:bookmarkStart w:id="147" w:name="_Toc17701"/>
      <w:bookmarkStart w:id="148" w:name="_Toc1011"/>
      <w:r>
        <w:rPr>
          <w:rFonts w:hint="eastAsia" w:hAnsi="宋体" w:cs="宋体"/>
          <w:sz w:val="24"/>
          <w:szCs w:val="24"/>
          <w:highlight w:val="none"/>
        </w:rPr>
        <w:t xml:space="preserve">附件4-1 </w:t>
      </w:r>
      <w:r>
        <w:rPr>
          <w:rFonts w:hint="eastAsia" w:hAnsi="宋体" w:cs="宋体"/>
          <w:sz w:val="24"/>
          <w:szCs w:val="24"/>
          <w:highlight w:val="none"/>
          <w:lang w:eastAsia="zh-CN"/>
        </w:rPr>
        <w:t>项目实施方案</w:t>
      </w:r>
      <w:r>
        <w:rPr>
          <w:rFonts w:hint="eastAsia" w:hAnsi="宋体" w:cs="宋体"/>
          <w:sz w:val="24"/>
          <w:szCs w:val="24"/>
          <w:highlight w:val="none"/>
        </w:rPr>
        <w:t>说明</w:t>
      </w:r>
      <w:bookmarkEnd w:id="147"/>
      <w:bookmarkEnd w:id="148"/>
      <w:r>
        <w:rPr>
          <w:rFonts w:hint="eastAsia" w:hAnsi="宋体" w:cs="宋体"/>
          <w:sz w:val="24"/>
          <w:szCs w:val="24"/>
          <w:highlight w:val="none"/>
          <w:lang w:val="en-US" w:eastAsia="zh-CN"/>
        </w:rPr>
        <w:t xml:space="preserve"> </w:t>
      </w:r>
    </w:p>
    <w:p w14:paraId="3E943B61">
      <w:pPr>
        <w:pStyle w:val="14"/>
        <w:adjustRightInd w:val="0"/>
        <w:snapToGrid w:val="0"/>
        <w:ind w:firstLine="480" w:firstLineChars="200"/>
        <w:outlineLvl w:val="2"/>
        <w:rPr>
          <w:rFonts w:hint="eastAsia" w:ascii="宋体" w:hAnsi="宋体" w:eastAsia="宋体" w:cs="宋体"/>
          <w:sz w:val="24"/>
          <w:szCs w:val="24"/>
          <w:highlight w:val="none"/>
          <w:lang w:val="en-US" w:eastAsia="zh-CN"/>
        </w:rPr>
      </w:pPr>
      <w:r>
        <w:rPr>
          <w:rFonts w:hint="eastAsia" w:ascii="宋体" w:hAnsi="宋体" w:eastAsia="宋体" w:cs="宋体"/>
          <w:b w:val="0"/>
          <w:bCs w:val="0"/>
          <w:sz w:val="24"/>
          <w:szCs w:val="24"/>
          <w:highlight w:val="none"/>
          <w:lang w:val="zh-CN" w:eastAsia="zh-CN" w:bidi="zh-CN"/>
        </w:rPr>
        <w:t>附件4-2</w:t>
      </w:r>
      <w:r>
        <w:rPr>
          <w:rFonts w:hint="eastAsia" w:ascii="宋体" w:hAnsi="宋体" w:eastAsia="宋体" w:cs="宋体"/>
          <w:b w:val="0"/>
          <w:bCs w:val="0"/>
          <w:sz w:val="24"/>
          <w:szCs w:val="24"/>
          <w:highlight w:val="none"/>
          <w:lang w:val="en-US" w:eastAsia="zh-CN" w:bidi="zh-CN"/>
        </w:rPr>
        <w:t xml:space="preserve"> 主要</w:t>
      </w:r>
      <w:r>
        <w:rPr>
          <w:rFonts w:hint="eastAsia" w:ascii="宋体" w:hAnsi="宋体" w:eastAsia="宋体" w:cs="宋体"/>
          <w:b w:val="0"/>
          <w:bCs w:val="0"/>
          <w:sz w:val="24"/>
          <w:szCs w:val="24"/>
          <w:highlight w:val="none"/>
          <w:lang w:val="zh-CN" w:eastAsia="zh-CN" w:bidi="zh-CN"/>
        </w:rPr>
        <w:t>人</w:t>
      </w:r>
      <w:r>
        <w:rPr>
          <w:rFonts w:hint="eastAsia" w:ascii="宋体" w:hAnsi="宋体" w:eastAsia="宋体" w:cs="宋体"/>
          <w:b w:val="0"/>
          <w:bCs w:val="0"/>
          <w:sz w:val="24"/>
          <w:szCs w:val="24"/>
          <w:highlight w:val="none"/>
          <w:lang w:val="en-US" w:eastAsia="zh-CN" w:bidi="zh-CN"/>
        </w:rPr>
        <w:t>员</w:t>
      </w:r>
      <w:r>
        <w:rPr>
          <w:rFonts w:hint="eastAsia" w:ascii="宋体" w:hAnsi="宋体" w:eastAsia="宋体" w:cs="宋体"/>
          <w:b w:val="0"/>
          <w:bCs w:val="0"/>
          <w:sz w:val="24"/>
          <w:szCs w:val="24"/>
          <w:highlight w:val="none"/>
          <w:lang w:val="zh-CN" w:eastAsia="zh-CN" w:bidi="zh-CN"/>
        </w:rPr>
        <w:t>简历表</w:t>
      </w:r>
    </w:p>
    <w:p w14:paraId="74338D44">
      <w:pPr>
        <w:adjustRightInd w:val="0"/>
        <w:snapToGrid w:val="0"/>
        <w:rPr>
          <w:rFonts w:hint="eastAsia" w:ascii="宋体" w:hAnsi="宋体" w:cs="宋体"/>
          <w:b/>
          <w:color w:val="000000"/>
          <w:sz w:val="24"/>
          <w:highlight w:val="none"/>
        </w:rPr>
      </w:pPr>
      <w:r>
        <w:rPr>
          <w:rFonts w:hint="eastAsia" w:ascii="宋体" w:hAnsi="宋体" w:cs="宋体"/>
          <w:b/>
          <w:color w:val="000000"/>
          <w:sz w:val="24"/>
          <w:highlight w:val="none"/>
        </w:rPr>
        <w:t>五、技术/商务响应与偏离表</w:t>
      </w:r>
    </w:p>
    <w:p w14:paraId="328E716B">
      <w:pPr>
        <w:rPr>
          <w:rFonts w:hAnsi="Courier New"/>
          <w:b/>
          <w:bCs/>
          <w:sz w:val="24"/>
          <w:highlight w:val="none"/>
        </w:rPr>
      </w:pPr>
      <w:r>
        <w:rPr>
          <w:rFonts w:hAnsi="Courier New"/>
          <w:b/>
          <w:bCs/>
          <w:sz w:val="24"/>
          <w:highlight w:val="none"/>
        </w:rPr>
        <w:t>六、报价一览表</w:t>
      </w:r>
    </w:p>
    <w:p w14:paraId="0FFEE9AE">
      <w:pPr>
        <w:adjustRightInd w:val="0"/>
        <w:snapToGrid w:val="0"/>
        <w:ind w:firstLine="480" w:firstLineChars="200"/>
        <w:jc w:val="left"/>
        <w:outlineLvl w:val="0"/>
        <w:rPr>
          <w:rFonts w:hint="eastAsia" w:ascii="宋体" w:hAnsi="宋体" w:cs="宋体"/>
          <w:color w:val="000000"/>
          <w:sz w:val="24"/>
          <w:highlight w:val="none"/>
        </w:rPr>
      </w:pPr>
      <w:bookmarkStart w:id="149" w:name="_Toc8339"/>
      <w:bookmarkStart w:id="150" w:name="_Toc22138"/>
      <w:r>
        <w:rPr>
          <w:rFonts w:hint="eastAsia" w:ascii="宋体" w:hAnsi="宋体" w:cs="宋体"/>
          <w:color w:val="000000"/>
          <w:sz w:val="24"/>
          <w:highlight w:val="none"/>
        </w:rPr>
        <w:t>附件6-1 报价一览表</w:t>
      </w:r>
      <w:bookmarkEnd w:id="149"/>
      <w:bookmarkEnd w:id="150"/>
    </w:p>
    <w:p w14:paraId="35AE8F3D">
      <w:pPr>
        <w:adjustRightInd w:val="0"/>
        <w:snapToGrid w:val="0"/>
        <w:ind w:firstLine="480" w:firstLineChars="200"/>
        <w:jc w:val="left"/>
        <w:outlineLvl w:val="0"/>
        <w:rPr>
          <w:rFonts w:hint="eastAsia" w:ascii="宋体" w:hAnsi="宋体" w:cs="宋体"/>
          <w:color w:val="000000"/>
          <w:sz w:val="24"/>
          <w:highlight w:val="none"/>
        </w:rPr>
      </w:pPr>
      <w:bookmarkStart w:id="151" w:name="_Toc1439"/>
      <w:bookmarkStart w:id="152" w:name="_Toc2460"/>
      <w:r>
        <w:rPr>
          <w:rFonts w:hint="eastAsia" w:ascii="宋体" w:hAnsi="宋体" w:cs="宋体"/>
          <w:color w:val="000000"/>
          <w:sz w:val="24"/>
          <w:highlight w:val="none"/>
        </w:rPr>
        <w:t>附件6-2 分项价格表</w:t>
      </w:r>
      <w:bookmarkEnd w:id="151"/>
      <w:bookmarkEnd w:id="152"/>
    </w:p>
    <w:p w14:paraId="48D6F627">
      <w:pPr>
        <w:adjustRightInd w:val="0"/>
        <w:snapToGrid w:val="0"/>
        <w:jc w:val="left"/>
        <w:outlineLvl w:val="2"/>
        <w:rPr>
          <w:rFonts w:hint="eastAsia" w:ascii="宋体" w:hAnsi="宋体" w:cs="宋体"/>
          <w:b/>
          <w:bCs/>
          <w:color w:val="000000"/>
          <w:sz w:val="24"/>
          <w:highlight w:val="none"/>
        </w:rPr>
      </w:pPr>
      <w:bookmarkStart w:id="153" w:name="_Toc20461"/>
      <w:bookmarkStart w:id="154" w:name="_Toc22053"/>
      <w:r>
        <w:rPr>
          <w:rFonts w:hint="eastAsia" w:cs="宋体"/>
          <w:b/>
          <w:bCs/>
          <w:color w:val="000000"/>
          <w:sz w:val="24"/>
          <w:highlight w:val="none"/>
          <w:lang w:val="en-US" w:eastAsia="zh-CN"/>
        </w:rPr>
        <w:t>七、</w:t>
      </w:r>
      <w:r>
        <w:rPr>
          <w:rFonts w:hint="eastAsia" w:ascii="宋体" w:hAnsi="宋体" w:cs="宋体"/>
          <w:b/>
          <w:bCs/>
          <w:color w:val="000000"/>
          <w:sz w:val="24"/>
          <w:highlight w:val="none"/>
        </w:rPr>
        <w:t>中小企业声明函</w:t>
      </w:r>
      <w:bookmarkEnd w:id="153"/>
      <w:bookmarkEnd w:id="154"/>
    </w:p>
    <w:p w14:paraId="316DCA06">
      <w:pPr>
        <w:adjustRightInd w:val="0"/>
        <w:snapToGrid w:val="0"/>
        <w:ind w:firstLine="480" w:firstLineChars="200"/>
        <w:jc w:val="left"/>
        <w:outlineLvl w:val="0"/>
        <w:rPr>
          <w:rFonts w:hint="eastAsia" w:ascii="宋体" w:hAnsi="宋体" w:cs="宋体"/>
          <w:color w:val="000000"/>
          <w:sz w:val="24"/>
          <w:highlight w:val="none"/>
        </w:rPr>
      </w:pPr>
      <w:bookmarkStart w:id="155" w:name="_Toc26913"/>
      <w:bookmarkStart w:id="156" w:name="_Toc31414"/>
      <w:r>
        <w:rPr>
          <w:rFonts w:hint="eastAsia" w:ascii="宋体" w:hAnsi="宋体" w:cs="宋体"/>
          <w:color w:val="000000"/>
          <w:sz w:val="24"/>
          <w:highlight w:val="none"/>
        </w:rPr>
        <w:t>附件7-</w:t>
      </w:r>
      <w:r>
        <w:rPr>
          <w:rFonts w:hint="eastAsia" w:cs="宋体"/>
          <w:color w:val="000000"/>
          <w:sz w:val="24"/>
          <w:highlight w:val="none"/>
          <w:lang w:val="en-US" w:eastAsia="zh-CN"/>
        </w:rPr>
        <w:t>1</w:t>
      </w:r>
      <w:r>
        <w:rPr>
          <w:rFonts w:hint="eastAsia" w:ascii="宋体" w:hAnsi="宋体" w:cs="宋体"/>
          <w:color w:val="000000"/>
          <w:sz w:val="24"/>
          <w:highlight w:val="none"/>
        </w:rPr>
        <w:t>残疾人福利性单位声明函</w:t>
      </w:r>
      <w:bookmarkEnd w:id="155"/>
      <w:bookmarkEnd w:id="156"/>
    </w:p>
    <w:p w14:paraId="71615564">
      <w:pPr>
        <w:adjustRightInd w:val="0"/>
        <w:snapToGrid w:val="0"/>
        <w:ind w:firstLine="480" w:firstLineChars="200"/>
        <w:jc w:val="left"/>
        <w:outlineLvl w:val="0"/>
        <w:rPr>
          <w:rFonts w:hint="eastAsia" w:ascii="宋体" w:hAnsi="宋体" w:cs="宋体"/>
          <w:color w:val="000000"/>
          <w:sz w:val="24"/>
          <w:highlight w:val="none"/>
        </w:rPr>
      </w:pPr>
      <w:bookmarkStart w:id="157" w:name="_Toc29564"/>
      <w:bookmarkStart w:id="158" w:name="_Toc23488"/>
      <w:r>
        <w:rPr>
          <w:rFonts w:hint="eastAsia" w:ascii="宋体" w:hAnsi="宋体" w:cs="宋体"/>
          <w:color w:val="000000"/>
          <w:sz w:val="24"/>
          <w:highlight w:val="none"/>
        </w:rPr>
        <w:t>附件7-</w:t>
      </w:r>
      <w:r>
        <w:rPr>
          <w:rFonts w:hint="eastAsia" w:cs="宋体"/>
          <w:color w:val="000000"/>
          <w:sz w:val="24"/>
          <w:highlight w:val="none"/>
          <w:lang w:val="en-US" w:eastAsia="zh-CN"/>
        </w:rPr>
        <w:t>2</w:t>
      </w:r>
      <w:r>
        <w:rPr>
          <w:rFonts w:hint="eastAsia" w:ascii="宋体" w:hAnsi="宋体" w:cs="宋体"/>
          <w:color w:val="000000"/>
          <w:sz w:val="24"/>
          <w:highlight w:val="none"/>
        </w:rPr>
        <w:t>监狱企业证明资料</w:t>
      </w:r>
      <w:bookmarkEnd w:id="157"/>
      <w:bookmarkEnd w:id="158"/>
    </w:p>
    <w:p w14:paraId="7C5C2DC0">
      <w:pPr>
        <w:rPr>
          <w:rFonts w:hAnsi="Courier New"/>
          <w:b/>
          <w:bCs/>
          <w:sz w:val="24"/>
          <w:highlight w:val="none"/>
        </w:rPr>
      </w:pPr>
      <w:r>
        <w:rPr>
          <w:rFonts w:hint="eastAsia"/>
          <w:b/>
          <w:bCs/>
          <w:sz w:val="24"/>
          <w:highlight w:val="none"/>
        </w:rPr>
        <w:t>八、</w:t>
      </w:r>
      <w:r>
        <w:rPr>
          <w:rFonts w:hAnsi="Courier New"/>
          <w:b/>
          <w:bCs/>
          <w:sz w:val="24"/>
          <w:highlight w:val="none"/>
        </w:rPr>
        <w:t>供应商认为需提供的其它资料</w:t>
      </w:r>
    </w:p>
    <w:p w14:paraId="10B60084">
      <w:pPr>
        <w:rPr>
          <w:rFonts w:hint="eastAsia" w:hAnsi="Courier New"/>
          <w:b/>
          <w:bCs/>
          <w:sz w:val="24"/>
          <w:highlight w:val="none"/>
        </w:rPr>
      </w:pPr>
      <w:r>
        <w:rPr>
          <w:rFonts w:hAnsi="Courier New"/>
          <w:b/>
          <w:bCs/>
          <w:sz w:val="24"/>
          <w:highlight w:val="none"/>
        </w:rPr>
        <w:t>九、最后报价</w:t>
      </w:r>
    </w:p>
    <w:p w14:paraId="4B392314">
      <w:pPr>
        <w:jc w:val="center"/>
        <w:rPr>
          <w:rStyle w:val="102"/>
          <w:sz w:val="28"/>
          <w:szCs w:val="28"/>
          <w:highlight w:val="none"/>
        </w:rPr>
      </w:pPr>
      <w:r>
        <w:rPr>
          <w:rFonts w:ascii="宋体" w:hAnsi="宋体"/>
          <w:color w:val="000000"/>
          <w:sz w:val="32"/>
          <w:highlight w:val="none"/>
        </w:rPr>
        <w:br w:type="page"/>
      </w:r>
      <w:bookmarkStart w:id="159" w:name="_Toc21682"/>
      <w:bookmarkStart w:id="160" w:name="_Toc14495"/>
      <w:r>
        <w:rPr>
          <w:rStyle w:val="102"/>
          <w:sz w:val="28"/>
          <w:szCs w:val="28"/>
          <w:highlight w:val="none"/>
        </w:rPr>
        <w:t>一、磋商响应声明</w:t>
      </w:r>
    </w:p>
    <w:bookmarkEnd w:id="159"/>
    <w:bookmarkEnd w:id="160"/>
    <w:p w14:paraId="371989F5">
      <w:pPr>
        <w:rPr>
          <w:rFonts w:hint="eastAsia"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 xml:space="preserve">                 </w:t>
      </w:r>
      <w:r>
        <w:rPr>
          <w:rFonts w:hint="eastAsia" w:ascii="宋体" w:hAnsi="宋体" w:cs="宋体"/>
          <w:sz w:val="24"/>
          <w:highlight w:val="none"/>
        </w:rPr>
        <w:t>(采购人或采购代理机构)：</w:t>
      </w:r>
    </w:p>
    <w:p w14:paraId="45DF89F7">
      <w:pPr>
        <w:ind w:firstLine="480" w:firstLineChars="200"/>
        <w:rPr>
          <w:rFonts w:hint="eastAsia" w:ascii="宋体" w:hAnsi="宋体" w:cs="宋体"/>
          <w:sz w:val="24"/>
          <w:highlight w:val="none"/>
        </w:rPr>
      </w:pPr>
      <w:r>
        <w:rPr>
          <w:rFonts w:hint="eastAsia" w:ascii="宋体" w:hAnsi="宋体" w:cs="宋体"/>
          <w:sz w:val="24"/>
          <w:highlight w:val="none"/>
        </w:rPr>
        <w:t>我方已仔细研究了</w:t>
      </w:r>
      <w:r>
        <w:rPr>
          <w:rFonts w:hint="eastAsia" w:ascii="宋体" w:hAnsi="宋体" w:cs="宋体"/>
          <w:sz w:val="24"/>
          <w:highlight w:val="none"/>
          <w:u w:val="single"/>
        </w:rPr>
        <w:t xml:space="preserve">                 </w:t>
      </w:r>
      <w:r>
        <w:rPr>
          <w:rFonts w:hint="eastAsia" w:ascii="宋体" w:hAnsi="宋体" w:cs="宋体"/>
          <w:sz w:val="24"/>
          <w:highlight w:val="none"/>
        </w:rPr>
        <w:t>(项目名称)的竞争性磋商文件（政府采购编号：</w:t>
      </w:r>
      <w:r>
        <w:rPr>
          <w:rFonts w:hint="eastAsia" w:ascii="宋体" w:hAnsi="宋体" w:cs="宋体"/>
          <w:sz w:val="24"/>
          <w:highlight w:val="none"/>
          <w:u w:val="single"/>
        </w:rPr>
        <w:t xml:space="preserve">             </w:t>
      </w:r>
      <w:r>
        <w:rPr>
          <w:rFonts w:hint="eastAsia" w:ascii="宋体" w:hAnsi="宋体" w:cs="宋体"/>
          <w:sz w:val="24"/>
          <w:highlight w:val="none"/>
        </w:rPr>
        <w:t>；采购代理编号：</w:t>
      </w:r>
      <w:r>
        <w:rPr>
          <w:rFonts w:hint="eastAsia" w:ascii="宋体" w:hAnsi="宋体" w:cs="宋体"/>
          <w:sz w:val="24"/>
          <w:highlight w:val="none"/>
          <w:u w:val="single"/>
        </w:rPr>
        <w:t xml:space="preserve">          </w:t>
      </w:r>
      <w:r>
        <w:rPr>
          <w:rFonts w:hint="eastAsia" w:ascii="宋体" w:hAnsi="宋体" w:cs="宋体"/>
          <w:sz w:val="24"/>
          <w:highlight w:val="none"/>
        </w:rPr>
        <w:t>）的全部内容，知悉参加竞争性磋商的风险，我方承诺接受磋商文件的全部条款且无任何异议。</w:t>
      </w:r>
    </w:p>
    <w:p w14:paraId="0AFA0254">
      <w:pPr>
        <w:ind w:firstLine="480" w:firstLineChars="200"/>
        <w:rPr>
          <w:rFonts w:hint="eastAsia" w:ascii="宋体" w:hAnsi="宋体" w:cs="宋体"/>
          <w:sz w:val="24"/>
          <w:highlight w:val="none"/>
        </w:rPr>
      </w:pPr>
      <w:r>
        <w:rPr>
          <w:rFonts w:hint="eastAsia" w:ascii="宋体" w:hAnsi="宋体" w:cs="宋体"/>
          <w:sz w:val="24"/>
          <w:highlight w:val="none"/>
        </w:rPr>
        <w:t>一、我方同意在磋商文件中规定的提交首次响应文件截止时间起</w:t>
      </w:r>
      <w:r>
        <w:rPr>
          <w:rFonts w:hint="eastAsia" w:ascii="宋体" w:hAnsi="宋体" w:cs="宋体"/>
          <w:sz w:val="24"/>
          <w:highlight w:val="none"/>
          <w:u w:val="single"/>
        </w:rPr>
        <w:t xml:space="preserve"> 90 </w:t>
      </w:r>
      <w:r>
        <w:rPr>
          <w:rFonts w:hint="eastAsia" w:ascii="宋体" w:hAnsi="宋体" w:cs="宋体"/>
          <w:sz w:val="24"/>
          <w:highlight w:val="none"/>
        </w:rPr>
        <w:t>日内(响应文件有效期)遵守本响应文件中的承诺且在此期限期满之前均具有法律约束力。</w:t>
      </w:r>
    </w:p>
    <w:p w14:paraId="5D9A0719">
      <w:pPr>
        <w:ind w:firstLine="480" w:firstLineChars="200"/>
        <w:rPr>
          <w:rFonts w:hint="eastAsia" w:ascii="宋体" w:hAnsi="宋体" w:cs="宋体"/>
          <w:sz w:val="24"/>
          <w:highlight w:val="none"/>
        </w:rPr>
      </w:pPr>
      <w:r>
        <w:rPr>
          <w:rFonts w:hint="eastAsia" w:ascii="宋体" w:hAnsi="宋体" w:cs="宋体"/>
          <w:sz w:val="24"/>
          <w:highlight w:val="none"/>
        </w:rPr>
        <w:t>二、我方提交响应文件正本一份和副本一式</w:t>
      </w:r>
      <w:r>
        <w:rPr>
          <w:rFonts w:hint="eastAsia" w:ascii="宋体" w:hAnsi="宋体" w:cs="宋体"/>
          <w:sz w:val="24"/>
          <w:highlight w:val="none"/>
          <w:u w:val="single"/>
        </w:rPr>
        <w:t xml:space="preserve"> 贰 </w:t>
      </w:r>
      <w:r>
        <w:rPr>
          <w:rFonts w:hint="eastAsia" w:ascii="宋体" w:hAnsi="宋体" w:cs="宋体"/>
          <w:sz w:val="24"/>
          <w:highlight w:val="none"/>
        </w:rPr>
        <w:t>份，并保证响应文件提供的数据和资料全部内容真实、合法、准确和完整，我们对此负责，并愿承担由此引起的法律责任。</w:t>
      </w:r>
    </w:p>
    <w:p w14:paraId="5A9315B5">
      <w:pPr>
        <w:ind w:firstLine="480" w:firstLineChars="200"/>
        <w:rPr>
          <w:rFonts w:hint="eastAsia" w:ascii="宋体" w:hAnsi="宋体" w:cs="宋体"/>
          <w:sz w:val="24"/>
          <w:highlight w:val="none"/>
        </w:rPr>
      </w:pPr>
      <w:r>
        <w:rPr>
          <w:rFonts w:hint="eastAsia" w:ascii="宋体" w:hAnsi="宋体" w:cs="宋体"/>
          <w:sz w:val="24"/>
          <w:highlight w:val="none"/>
        </w:rPr>
        <w:t>三、我方愿意向贵方提供任何与本项采购有关的数据、情况和技术资料。若贵方需要，我方愿意提供我方作出的一切承诺的证明资料。</w:t>
      </w:r>
    </w:p>
    <w:p w14:paraId="1AF279EE">
      <w:pPr>
        <w:ind w:firstLine="480" w:firstLineChars="200"/>
        <w:rPr>
          <w:rFonts w:hint="eastAsia" w:ascii="宋体" w:hAnsi="宋体" w:cs="宋体"/>
          <w:sz w:val="24"/>
          <w:highlight w:val="none"/>
        </w:rPr>
      </w:pPr>
      <w:r>
        <w:rPr>
          <w:rFonts w:hint="eastAsia" w:ascii="宋体" w:hAnsi="宋体" w:cs="宋体"/>
          <w:sz w:val="24"/>
          <w:highlight w:val="none"/>
        </w:rPr>
        <w:t>四、我方愿意按磋商文件规定和磋商小组要求重新提交响应文件和最后报价。</w:t>
      </w:r>
    </w:p>
    <w:p w14:paraId="0AE9EA6C">
      <w:pPr>
        <w:ind w:firstLine="480" w:firstLineChars="200"/>
        <w:rPr>
          <w:rFonts w:hint="eastAsia" w:ascii="宋体" w:hAnsi="宋体" w:cs="宋体"/>
          <w:sz w:val="24"/>
          <w:highlight w:val="none"/>
        </w:rPr>
      </w:pPr>
      <w:r>
        <w:rPr>
          <w:rFonts w:hint="eastAsia" w:ascii="宋体" w:hAnsi="宋体" w:cs="宋体"/>
          <w:sz w:val="24"/>
          <w:highlight w:val="none"/>
        </w:rPr>
        <w:t>五、我方承诺遵守《中华人民共和国政府采购法》的有关规定，保证在获得成交资格后，按照磋商文件确定的事项签订政府采购合同，履行双方所签订的合同，并承担合同规定的责任和义务。</w:t>
      </w:r>
    </w:p>
    <w:p w14:paraId="4C3FB922">
      <w:pPr>
        <w:adjustRightInd w:val="0"/>
        <w:snapToGrid w:val="0"/>
        <w:ind w:right="24"/>
        <w:rPr>
          <w:rFonts w:hint="eastAsia" w:ascii="宋体" w:hAnsi="宋体" w:cs="宋体"/>
          <w:bCs/>
          <w:color w:val="000000"/>
          <w:sz w:val="24"/>
          <w:highlight w:val="none"/>
        </w:rPr>
      </w:pPr>
    </w:p>
    <w:p w14:paraId="29C2010D">
      <w:pPr>
        <w:adjustRightInd w:val="0"/>
        <w:snapToGrid w:val="0"/>
        <w:ind w:right="24"/>
        <w:rPr>
          <w:rFonts w:hint="eastAsia" w:ascii="宋体" w:hAnsi="宋体" w:cs="宋体"/>
          <w:bCs/>
          <w:color w:val="000000"/>
          <w:sz w:val="24"/>
          <w:highlight w:val="none"/>
        </w:rPr>
      </w:pPr>
    </w:p>
    <w:p w14:paraId="4388DF19">
      <w:pPr>
        <w:adjustRightInd w:val="0"/>
        <w:snapToGrid w:val="0"/>
        <w:ind w:right="24"/>
        <w:rPr>
          <w:rFonts w:hint="eastAsia" w:ascii="宋体" w:hAnsi="宋体" w:cs="宋体"/>
          <w:bCs/>
          <w:color w:val="000000"/>
          <w:sz w:val="24"/>
          <w:highlight w:val="none"/>
        </w:rPr>
      </w:pPr>
    </w:p>
    <w:p w14:paraId="07DD25B8">
      <w:pPr>
        <w:adjustRightInd w:val="0"/>
        <w:snapToGrid w:val="0"/>
        <w:ind w:right="24"/>
        <w:rPr>
          <w:rFonts w:hint="eastAsia" w:ascii="宋体" w:hAnsi="宋体" w:cs="宋体"/>
          <w:bCs/>
          <w:color w:val="000000"/>
          <w:sz w:val="24"/>
          <w:highlight w:val="none"/>
        </w:rPr>
      </w:pPr>
    </w:p>
    <w:p w14:paraId="1703BFFB">
      <w:pPr>
        <w:adjustRightInd w:val="0"/>
        <w:snapToGrid w:val="0"/>
        <w:ind w:right="24"/>
        <w:rPr>
          <w:rFonts w:hint="eastAsia" w:ascii="宋体" w:hAnsi="宋体" w:cs="宋体"/>
          <w:bCs/>
          <w:color w:val="000000"/>
          <w:sz w:val="24"/>
          <w:highlight w:val="none"/>
        </w:rPr>
      </w:pPr>
    </w:p>
    <w:p w14:paraId="4F035624">
      <w:pPr>
        <w:adjustRightInd w:val="0"/>
        <w:snapToGrid w:val="0"/>
        <w:ind w:right="24"/>
        <w:rPr>
          <w:rFonts w:hint="eastAsia" w:ascii="宋体" w:hAnsi="宋体" w:cs="宋体"/>
          <w:color w:val="000000"/>
          <w:sz w:val="24"/>
          <w:highlight w:val="none"/>
        </w:rPr>
      </w:pPr>
      <w:r>
        <w:rPr>
          <w:rFonts w:hint="eastAsia" w:ascii="宋体" w:hAnsi="宋体" w:cs="宋体"/>
          <w:bCs/>
          <w:color w:val="000000"/>
          <w:sz w:val="24"/>
          <w:highlight w:val="none"/>
        </w:rPr>
        <w:t>附件1：</w:t>
      </w:r>
      <w:r>
        <w:rPr>
          <w:rFonts w:hint="eastAsia" w:ascii="宋体" w:hAnsi="宋体" w:cs="宋体"/>
          <w:color w:val="000000"/>
          <w:sz w:val="24"/>
          <w:highlight w:val="none"/>
        </w:rPr>
        <w:t>法定代表人身份证明</w:t>
      </w:r>
    </w:p>
    <w:p w14:paraId="73883567">
      <w:pPr>
        <w:adjustRightInd w:val="0"/>
        <w:snapToGrid w:val="0"/>
        <w:ind w:right="24"/>
        <w:rPr>
          <w:rFonts w:hint="eastAsia" w:ascii="宋体" w:hAnsi="宋体" w:cs="宋体"/>
          <w:color w:val="000000"/>
          <w:sz w:val="24"/>
          <w:highlight w:val="none"/>
        </w:rPr>
      </w:pPr>
      <w:r>
        <w:rPr>
          <w:rFonts w:hint="eastAsia" w:ascii="宋体" w:hAnsi="宋体" w:cs="宋体"/>
          <w:bCs/>
          <w:color w:val="000000"/>
          <w:sz w:val="24"/>
          <w:highlight w:val="none"/>
        </w:rPr>
        <w:t>附件2</w:t>
      </w:r>
      <w:r>
        <w:rPr>
          <w:rFonts w:hint="eastAsia" w:ascii="宋体" w:hAnsi="宋体" w:cs="宋体"/>
          <w:color w:val="000000"/>
          <w:sz w:val="24"/>
          <w:highlight w:val="none"/>
        </w:rPr>
        <w:t>：法定代表人授权书</w:t>
      </w:r>
    </w:p>
    <w:p w14:paraId="267C5595">
      <w:pPr>
        <w:adjustRightInd w:val="0"/>
        <w:snapToGrid w:val="0"/>
        <w:ind w:right="24"/>
        <w:rPr>
          <w:rFonts w:hint="eastAsia" w:ascii="宋体" w:hAnsi="宋体" w:cs="宋体"/>
          <w:bCs/>
          <w:color w:val="000000"/>
          <w:sz w:val="24"/>
          <w:highlight w:val="none"/>
        </w:rPr>
      </w:pPr>
    </w:p>
    <w:p w14:paraId="09B77C30">
      <w:pPr>
        <w:pStyle w:val="14"/>
        <w:adjustRightInd w:val="0"/>
        <w:snapToGrid w:val="0"/>
        <w:rPr>
          <w:rFonts w:hint="eastAsia" w:hAnsi="宋体" w:cs="宋体"/>
          <w:color w:val="000000"/>
          <w:sz w:val="24"/>
          <w:szCs w:val="24"/>
          <w:highlight w:val="none"/>
        </w:rPr>
      </w:pPr>
    </w:p>
    <w:p w14:paraId="43964326">
      <w:pPr>
        <w:rPr>
          <w:rFonts w:hint="eastAsia" w:hAnsi="宋体" w:cs="宋体"/>
          <w:color w:val="000000"/>
          <w:sz w:val="24"/>
          <w:highlight w:val="none"/>
        </w:rPr>
      </w:pPr>
    </w:p>
    <w:p w14:paraId="7EE3917B">
      <w:pPr>
        <w:rPr>
          <w:rFonts w:hAnsi="宋体" w:cs="宋体"/>
          <w:color w:val="000000"/>
          <w:sz w:val="24"/>
          <w:highlight w:val="none"/>
        </w:rPr>
      </w:pPr>
    </w:p>
    <w:p w14:paraId="16D58B37">
      <w:pPr>
        <w:pStyle w:val="14"/>
        <w:adjustRightInd w:val="0"/>
        <w:snapToGrid w:val="0"/>
        <w:rPr>
          <w:rFonts w:hint="eastAsia" w:hAnsi="宋体" w:cs="宋体"/>
          <w:color w:val="000000"/>
          <w:sz w:val="24"/>
          <w:szCs w:val="24"/>
          <w:highlight w:val="none"/>
        </w:rPr>
      </w:pPr>
      <w:r>
        <w:rPr>
          <w:rFonts w:hint="eastAsia" w:hAnsi="宋体" w:cs="宋体"/>
          <w:color w:val="000000"/>
          <w:sz w:val="24"/>
          <w:szCs w:val="24"/>
          <w:highlight w:val="none"/>
        </w:rPr>
        <w:t>供应商名称(盖单位章)：</w:t>
      </w:r>
      <w:r>
        <w:rPr>
          <w:rFonts w:hint="eastAsia" w:hAnsi="宋体" w:cs="宋体"/>
          <w:color w:val="000000"/>
          <w:sz w:val="24"/>
          <w:szCs w:val="24"/>
          <w:highlight w:val="none"/>
          <w:u w:val="single"/>
        </w:rPr>
        <w:t xml:space="preserve">              </w:t>
      </w:r>
    </w:p>
    <w:p w14:paraId="5BCC1259">
      <w:pPr>
        <w:adjustRightInd w:val="0"/>
        <w:snapToGrid w:val="0"/>
        <w:rPr>
          <w:rFonts w:hint="eastAsia" w:ascii="宋体" w:hAnsi="宋体" w:cs="宋体"/>
          <w:color w:val="000000"/>
          <w:sz w:val="24"/>
          <w:highlight w:val="none"/>
        </w:rPr>
      </w:pPr>
      <w:r>
        <w:rPr>
          <w:rFonts w:hint="eastAsia" w:ascii="宋体" w:hAnsi="宋体" w:cs="宋体"/>
          <w:color w:val="000000"/>
          <w:sz w:val="24"/>
          <w:highlight w:val="none"/>
        </w:rPr>
        <w:t>法定代表人或其委托代理人(签字或印章)：</w:t>
      </w:r>
      <w:r>
        <w:rPr>
          <w:rFonts w:hint="eastAsia" w:ascii="宋体" w:hAnsi="宋体" w:cs="宋体"/>
          <w:color w:val="000000"/>
          <w:sz w:val="24"/>
          <w:highlight w:val="none"/>
          <w:u w:val="single"/>
        </w:rPr>
        <w:t xml:space="preserve">              </w:t>
      </w:r>
    </w:p>
    <w:p w14:paraId="0268B29C">
      <w:pPr>
        <w:adjustRightInd w:val="0"/>
        <w:snapToGrid w:val="0"/>
        <w:rPr>
          <w:rFonts w:hint="eastAsia" w:ascii="宋体" w:hAnsi="宋体" w:cs="宋体"/>
          <w:sz w:val="24"/>
          <w:highlight w:val="none"/>
        </w:rPr>
      </w:pPr>
      <w:r>
        <w:rPr>
          <w:rFonts w:hint="eastAsia" w:ascii="宋体" w:hAnsi="宋体" w:cs="宋体"/>
          <w:sz w:val="24"/>
          <w:highlight w:val="none"/>
        </w:rPr>
        <w:t>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1BA9CBA8">
      <w:pPr>
        <w:adjustRightInd w:val="0"/>
        <w:snapToGrid w:val="0"/>
        <w:rPr>
          <w:rFonts w:ascii="黑体" w:hAnsi="黑体"/>
          <w:bCs/>
          <w:color w:val="000000"/>
          <w:sz w:val="24"/>
          <w:highlight w:val="none"/>
        </w:rPr>
      </w:pPr>
      <w:r>
        <w:rPr>
          <w:rFonts w:hint="eastAsia" w:ascii="宋体" w:hAnsi="宋体"/>
          <w:bCs/>
          <w:color w:val="000000"/>
          <w:sz w:val="30"/>
          <w:szCs w:val="30"/>
          <w:highlight w:val="none"/>
        </w:rPr>
        <w:br w:type="page"/>
      </w:r>
      <w:r>
        <w:rPr>
          <w:rFonts w:hint="eastAsia" w:ascii="宋体" w:hAnsi="宋体" w:cs="宋体"/>
          <w:b/>
          <w:bCs/>
          <w:color w:val="000000"/>
          <w:sz w:val="24"/>
          <w:highlight w:val="none"/>
        </w:rPr>
        <w:t>附件1-1</w:t>
      </w:r>
    </w:p>
    <w:p w14:paraId="3A95B9EE">
      <w:pPr>
        <w:pStyle w:val="4"/>
        <w:jc w:val="center"/>
        <w:rPr>
          <w:rFonts w:hint="eastAsia" w:ascii="宋体" w:hAnsi="宋体" w:cs="宋体"/>
          <w:sz w:val="28"/>
          <w:szCs w:val="28"/>
          <w:highlight w:val="none"/>
        </w:rPr>
      </w:pPr>
      <w:bookmarkStart w:id="161" w:name="_Toc7801"/>
      <w:bookmarkStart w:id="162" w:name="_Toc23991"/>
      <w:r>
        <w:rPr>
          <w:rFonts w:hint="eastAsia" w:ascii="宋体" w:hAnsi="宋体" w:cs="宋体"/>
          <w:sz w:val="28"/>
          <w:szCs w:val="28"/>
          <w:highlight w:val="none"/>
        </w:rPr>
        <w:t>法定代表人身份证明</w:t>
      </w:r>
      <w:bookmarkEnd w:id="161"/>
      <w:bookmarkEnd w:id="162"/>
    </w:p>
    <w:p w14:paraId="5E474EF0">
      <w:pPr>
        <w:autoSpaceDE w:val="0"/>
        <w:autoSpaceDN w:val="0"/>
        <w:adjustRightInd w:val="0"/>
        <w:snapToGrid w:val="0"/>
        <w:jc w:val="left"/>
        <w:rPr>
          <w:rFonts w:hint="eastAsia" w:ascii="宋体" w:hAnsi="宋体" w:cs="宋体"/>
          <w:color w:val="000000"/>
          <w:kern w:val="0"/>
          <w:highlight w:val="none"/>
        </w:rPr>
      </w:pPr>
      <w:r>
        <w:rPr>
          <w:rFonts w:hint="eastAsia" w:ascii="宋体" w:hAnsi="宋体" w:cs="宋体"/>
          <w:color w:val="000000"/>
          <w:kern w:val="0"/>
          <w:sz w:val="24"/>
          <w:highlight w:val="none"/>
        </w:rPr>
        <w:t>供应商名称：</w:t>
      </w:r>
      <w:r>
        <w:rPr>
          <w:rFonts w:hint="eastAsia" w:ascii="宋体" w:hAnsi="宋体" w:cs="宋体"/>
          <w:sz w:val="24"/>
          <w:highlight w:val="none"/>
          <w:u w:val="single"/>
        </w:rPr>
        <w:t xml:space="preserve">                             </w:t>
      </w:r>
    </w:p>
    <w:p w14:paraId="384951B8">
      <w:pPr>
        <w:autoSpaceDE w:val="0"/>
        <w:autoSpaceDN w:val="0"/>
        <w:adjustRightInd w:val="0"/>
        <w:snapToGrid w:val="0"/>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注册号：</w:t>
      </w:r>
      <w:r>
        <w:rPr>
          <w:rFonts w:hint="eastAsia" w:ascii="宋体" w:hAnsi="宋体" w:cs="宋体"/>
          <w:sz w:val="24"/>
          <w:highlight w:val="none"/>
          <w:u w:val="single"/>
        </w:rPr>
        <w:t xml:space="preserve">                             </w:t>
      </w:r>
    </w:p>
    <w:p w14:paraId="14CBD1E6">
      <w:pPr>
        <w:autoSpaceDE w:val="0"/>
        <w:autoSpaceDN w:val="0"/>
        <w:adjustRightInd w:val="0"/>
        <w:snapToGrid w:val="0"/>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注册地址：</w:t>
      </w:r>
      <w:r>
        <w:rPr>
          <w:rFonts w:hint="eastAsia" w:ascii="宋体" w:hAnsi="宋体" w:cs="宋体"/>
          <w:sz w:val="24"/>
          <w:highlight w:val="none"/>
          <w:u w:val="single"/>
        </w:rPr>
        <w:t xml:space="preserve">                             </w:t>
      </w:r>
    </w:p>
    <w:p w14:paraId="6A7E9569">
      <w:pPr>
        <w:autoSpaceDE w:val="0"/>
        <w:autoSpaceDN w:val="0"/>
        <w:adjustRightInd w:val="0"/>
        <w:snapToGrid w:val="0"/>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 xml:space="preserve">成立时间： </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7BFCDC5C">
      <w:pPr>
        <w:autoSpaceDE w:val="0"/>
        <w:autoSpaceDN w:val="0"/>
        <w:adjustRightInd w:val="0"/>
        <w:snapToGrid w:val="0"/>
        <w:jc w:val="left"/>
        <w:rPr>
          <w:rFonts w:hint="eastAsia" w:ascii="宋体" w:hAnsi="宋体" w:cs="宋体"/>
          <w:sz w:val="24"/>
          <w:highlight w:val="none"/>
          <w:u w:val="single"/>
        </w:rPr>
      </w:pPr>
      <w:r>
        <w:rPr>
          <w:rFonts w:hint="eastAsia" w:ascii="宋体" w:hAnsi="宋体" w:cs="宋体"/>
          <w:color w:val="000000"/>
          <w:kern w:val="0"/>
          <w:sz w:val="24"/>
          <w:highlight w:val="none"/>
        </w:rPr>
        <w:t>经营期限：</w:t>
      </w:r>
      <w:r>
        <w:rPr>
          <w:rFonts w:hint="eastAsia" w:ascii="宋体" w:hAnsi="宋体" w:cs="宋体"/>
          <w:sz w:val="24"/>
          <w:highlight w:val="none"/>
          <w:u w:val="single"/>
        </w:rPr>
        <w:t xml:space="preserve">                             </w:t>
      </w:r>
    </w:p>
    <w:p w14:paraId="5E9886AB">
      <w:pPr>
        <w:autoSpaceDE w:val="0"/>
        <w:autoSpaceDN w:val="0"/>
        <w:adjustRightInd w:val="0"/>
        <w:snapToGrid w:val="0"/>
        <w:jc w:val="left"/>
        <w:rPr>
          <w:rFonts w:hint="eastAsia" w:ascii="宋体" w:hAnsi="宋体" w:cs="宋体"/>
          <w:color w:val="000000"/>
          <w:kern w:val="0"/>
          <w:sz w:val="24"/>
          <w:highlight w:val="none"/>
          <w:u w:val="single"/>
        </w:rPr>
      </w:pPr>
      <w:r>
        <w:rPr>
          <w:rFonts w:hint="eastAsia" w:ascii="宋体" w:hAnsi="宋体" w:cs="宋体"/>
          <w:color w:val="000000"/>
          <w:kern w:val="0"/>
          <w:sz w:val="24"/>
          <w:highlight w:val="none"/>
        </w:rPr>
        <w:t>经营范围：主营：</w:t>
      </w:r>
      <w:r>
        <w:rPr>
          <w:rFonts w:hint="eastAsia" w:ascii="宋体" w:hAnsi="宋体" w:cs="宋体"/>
          <w:sz w:val="24"/>
          <w:highlight w:val="none"/>
          <w:u w:val="single"/>
        </w:rPr>
        <w:t xml:space="preserve">                             </w:t>
      </w:r>
      <w:r>
        <w:rPr>
          <w:rFonts w:hint="eastAsia" w:ascii="宋体" w:hAnsi="宋体" w:cs="宋体"/>
          <w:color w:val="000000"/>
          <w:kern w:val="0"/>
          <w:sz w:val="24"/>
          <w:highlight w:val="none"/>
        </w:rPr>
        <w:t>；兼营：</w:t>
      </w:r>
      <w:r>
        <w:rPr>
          <w:rFonts w:hint="eastAsia" w:ascii="宋体" w:hAnsi="宋体" w:cs="宋体"/>
          <w:sz w:val="24"/>
          <w:highlight w:val="none"/>
          <w:u w:val="single"/>
        </w:rPr>
        <w:t xml:space="preserve">                             </w:t>
      </w:r>
    </w:p>
    <w:p w14:paraId="532A69DD">
      <w:pPr>
        <w:autoSpaceDE w:val="0"/>
        <w:autoSpaceDN w:val="0"/>
        <w:adjustRightInd w:val="0"/>
        <w:snapToGrid w:val="0"/>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姓名：</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 xml:space="preserve"> 性别：</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 xml:space="preserve"> 年龄：</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 xml:space="preserve"> 系</w:t>
      </w:r>
      <w:r>
        <w:rPr>
          <w:rFonts w:hint="eastAsia" w:ascii="宋体" w:hAnsi="宋体" w:cs="宋体"/>
          <w:sz w:val="24"/>
          <w:highlight w:val="none"/>
          <w:u w:val="single"/>
        </w:rPr>
        <w:t xml:space="preserve">                             </w:t>
      </w:r>
      <w:r>
        <w:rPr>
          <w:rFonts w:hint="eastAsia" w:ascii="宋体" w:hAnsi="宋体" w:cs="宋体"/>
          <w:color w:val="000000"/>
          <w:kern w:val="0"/>
          <w:sz w:val="24"/>
          <w:highlight w:val="none"/>
        </w:rPr>
        <w:t>（</w:t>
      </w:r>
      <w:r>
        <w:rPr>
          <w:rFonts w:hint="eastAsia" w:ascii="宋体" w:hAnsi="宋体"/>
          <w:color w:val="000000"/>
          <w:sz w:val="24"/>
          <w:highlight w:val="none"/>
        </w:rPr>
        <w:t>供应商</w:t>
      </w:r>
      <w:r>
        <w:rPr>
          <w:rFonts w:hint="eastAsia" w:ascii="宋体" w:hAnsi="宋体" w:cs="宋体"/>
          <w:color w:val="000000"/>
          <w:kern w:val="0"/>
          <w:sz w:val="24"/>
          <w:highlight w:val="none"/>
        </w:rPr>
        <w:t>名称）的法定代表人。</w:t>
      </w:r>
    </w:p>
    <w:p w14:paraId="2D394DF6">
      <w:pPr>
        <w:autoSpaceDE w:val="0"/>
        <w:autoSpaceDN w:val="0"/>
        <w:adjustRightInd w:val="0"/>
        <w:snapToGrid w:val="0"/>
        <w:jc w:val="left"/>
        <w:rPr>
          <w:rFonts w:ascii="宋体" w:hAnsi="宋体" w:cs="宋体"/>
          <w:color w:val="000000"/>
          <w:kern w:val="0"/>
          <w:sz w:val="24"/>
          <w:highlight w:val="none"/>
        </w:rPr>
      </w:pPr>
      <w:r>
        <w:rPr>
          <w:rFonts w:hint="eastAsia" w:ascii="宋体" w:hAnsi="宋体" w:cs="宋体"/>
          <w:color w:val="000000"/>
          <w:kern w:val="0"/>
          <w:sz w:val="24"/>
          <w:highlight w:val="none"/>
        </w:rPr>
        <w:t>特此证明。</w:t>
      </w:r>
    </w:p>
    <w:p w14:paraId="70B51109">
      <w:pPr>
        <w:autoSpaceDE w:val="0"/>
        <w:autoSpaceDN w:val="0"/>
        <w:adjustRightInd w:val="0"/>
        <w:snapToGrid w:val="0"/>
        <w:spacing w:before="156" w:beforeLines="50"/>
        <w:ind w:left="100" w:right="4231"/>
        <w:jc w:val="left"/>
        <w:rPr>
          <w:rFonts w:ascii="宋体" w:hAnsi="宋体" w:cs="微软雅黑"/>
          <w:color w:val="000000"/>
          <w:kern w:val="0"/>
          <w:sz w:val="24"/>
          <w:highlight w:val="none"/>
        </w:rPr>
      </w:pPr>
      <w:r>
        <w:rPr>
          <w:rFonts w:hint="eastAsia" w:ascii="宋体" w:hAnsi="宋体" w:cs="微软雅黑"/>
          <w:color w:val="000000"/>
          <w:kern w:val="0"/>
          <w:sz w:val="24"/>
          <w:highlight w:val="none"/>
        </w:rPr>
        <w:t>附：</w:t>
      </w:r>
      <w:r>
        <w:rPr>
          <w:rFonts w:hint="eastAsia" w:ascii="宋体" w:hAnsi="宋体" w:cs="微软雅黑"/>
          <w:color w:val="000000"/>
          <w:spacing w:val="-2"/>
          <w:kern w:val="0"/>
          <w:sz w:val="24"/>
          <w:highlight w:val="none"/>
        </w:rPr>
        <w:t>法</w:t>
      </w:r>
      <w:r>
        <w:rPr>
          <w:rFonts w:hint="eastAsia" w:ascii="宋体" w:hAnsi="宋体" w:cs="微软雅黑"/>
          <w:color w:val="000000"/>
          <w:kern w:val="0"/>
          <w:sz w:val="24"/>
          <w:highlight w:val="none"/>
        </w:rPr>
        <w:t>定</w:t>
      </w:r>
      <w:r>
        <w:rPr>
          <w:rFonts w:hint="eastAsia" w:ascii="宋体" w:hAnsi="宋体" w:cs="微软雅黑"/>
          <w:color w:val="000000"/>
          <w:spacing w:val="-2"/>
          <w:kern w:val="0"/>
          <w:sz w:val="24"/>
          <w:highlight w:val="none"/>
        </w:rPr>
        <w:t>代</w:t>
      </w:r>
      <w:r>
        <w:rPr>
          <w:rFonts w:hint="eastAsia" w:ascii="宋体" w:hAnsi="宋体" w:cs="微软雅黑"/>
          <w:color w:val="000000"/>
          <w:kern w:val="0"/>
          <w:sz w:val="24"/>
          <w:highlight w:val="none"/>
        </w:rPr>
        <w:t>表</w:t>
      </w:r>
      <w:r>
        <w:rPr>
          <w:rFonts w:hint="eastAsia" w:ascii="宋体" w:hAnsi="宋体" w:cs="微软雅黑"/>
          <w:color w:val="000000"/>
          <w:spacing w:val="-2"/>
          <w:kern w:val="0"/>
          <w:sz w:val="24"/>
          <w:highlight w:val="none"/>
        </w:rPr>
        <w:t>人</w:t>
      </w:r>
      <w:r>
        <w:rPr>
          <w:rFonts w:hint="eastAsia" w:ascii="宋体" w:hAnsi="宋体" w:cs="微软雅黑"/>
          <w:color w:val="000000"/>
          <w:kern w:val="0"/>
          <w:sz w:val="24"/>
          <w:highlight w:val="none"/>
        </w:rPr>
        <w:t>身</w:t>
      </w:r>
      <w:r>
        <w:rPr>
          <w:rFonts w:hint="eastAsia" w:ascii="宋体" w:hAnsi="宋体" w:cs="微软雅黑"/>
          <w:color w:val="000000"/>
          <w:spacing w:val="-2"/>
          <w:kern w:val="0"/>
          <w:sz w:val="24"/>
          <w:highlight w:val="none"/>
        </w:rPr>
        <w:t>份</w:t>
      </w:r>
      <w:r>
        <w:rPr>
          <w:rFonts w:hint="eastAsia" w:ascii="宋体" w:hAnsi="宋体" w:cs="微软雅黑"/>
          <w:color w:val="000000"/>
          <w:kern w:val="0"/>
          <w:sz w:val="24"/>
          <w:highlight w:val="none"/>
        </w:rPr>
        <w:t>证</w:t>
      </w:r>
      <w:r>
        <w:rPr>
          <w:rFonts w:hint="eastAsia" w:ascii="宋体" w:hAnsi="宋体" w:cs="微软雅黑"/>
          <w:color w:val="000000"/>
          <w:spacing w:val="-2"/>
          <w:kern w:val="0"/>
          <w:sz w:val="24"/>
          <w:highlight w:val="none"/>
        </w:rPr>
        <w:t>复</w:t>
      </w:r>
      <w:r>
        <w:rPr>
          <w:rFonts w:hint="eastAsia" w:ascii="宋体" w:hAnsi="宋体" w:cs="微软雅黑"/>
          <w:color w:val="000000"/>
          <w:kern w:val="0"/>
          <w:sz w:val="24"/>
          <w:highlight w:val="none"/>
        </w:rPr>
        <w:t>印</w:t>
      </w:r>
      <w:r>
        <w:rPr>
          <w:rFonts w:hint="eastAsia" w:ascii="宋体" w:hAnsi="宋体" w:cs="微软雅黑"/>
          <w:color w:val="000000"/>
          <w:spacing w:val="-2"/>
          <w:kern w:val="0"/>
          <w:sz w:val="24"/>
          <w:highlight w:val="none"/>
        </w:rPr>
        <w:t>件</w:t>
      </w:r>
      <w:r>
        <w:rPr>
          <w:rFonts w:hint="eastAsia" w:ascii="宋体" w:hAnsi="宋体" w:cs="微软雅黑"/>
          <w:color w:val="000000"/>
          <w:kern w:val="0"/>
          <w:sz w:val="24"/>
          <w:highlight w:val="none"/>
        </w:rPr>
        <w:t>。</w:t>
      </w:r>
    </w:p>
    <w:p w14:paraId="0DC72729">
      <w:pPr>
        <w:snapToGrid w:val="0"/>
        <w:rPr>
          <w:rFonts w:ascii="宋体" w:hAnsi="宋体"/>
          <w:color w:val="000000"/>
          <w:sz w:val="24"/>
          <w:highlight w:val="none"/>
        </w:rPr>
      </w:pPr>
    </w:p>
    <w:p w14:paraId="7115F30B">
      <w:pPr>
        <w:adjustRightInd w:val="0"/>
        <w:snapToGrid w:val="0"/>
        <w:rPr>
          <w:rFonts w:ascii="宋体" w:hAnsi="宋体"/>
          <w:color w:val="000000"/>
          <w:sz w:val="24"/>
          <w:highlight w:val="none"/>
        </w:rPr>
      </w:pPr>
    </w:p>
    <w:p w14:paraId="375CDB00">
      <w:pPr>
        <w:adjustRightInd w:val="0"/>
        <w:snapToGrid w:val="0"/>
        <w:rPr>
          <w:rFonts w:ascii="宋体" w:hAnsi="宋体"/>
          <w:color w:val="000000"/>
          <w:sz w:val="24"/>
          <w:highlight w:val="none"/>
        </w:rPr>
      </w:pPr>
    </w:p>
    <w:p w14:paraId="4DA10D55">
      <w:pPr>
        <w:adjustRightInd w:val="0"/>
        <w:snapToGrid w:val="0"/>
        <w:rPr>
          <w:rFonts w:ascii="宋体" w:hAnsi="宋体"/>
          <w:color w:val="000000"/>
          <w:sz w:val="24"/>
          <w:highlight w:val="none"/>
        </w:rPr>
      </w:pPr>
    </w:p>
    <w:p w14:paraId="1B6DD373">
      <w:pPr>
        <w:adjustRightInd w:val="0"/>
        <w:snapToGrid w:val="0"/>
        <w:rPr>
          <w:rFonts w:ascii="宋体" w:hAnsi="宋体"/>
          <w:color w:val="000000"/>
          <w:sz w:val="24"/>
          <w:highlight w:val="none"/>
        </w:rPr>
      </w:pPr>
    </w:p>
    <w:p w14:paraId="419F8778">
      <w:pPr>
        <w:adjustRightInd w:val="0"/>
        <w:snapToGrid w:val="0"/>
        <w:rPr>
          <w:rFonts w:ascii="宋体" w:hAnsi="宋体"/>
          <w:color w:val="000000"/>
          <w:sz w:val="24"/>
          <w:highlight w:val="none"/>
        </w:rPr>
      </w:pPr>
    </w:p>
    <w:p w14:paraId="1B6D6557">
      <w:pPr>
        <w:adjustRightInd w:val="0"/>
        <w:snapToGrid w:val="0"/>
        <w:rPr>
          <w:rFonts w:ascii="宋体" w:hAnsi="宋体"/>
          <w:color w:val="000000"/>
          <w:sz w:val="24"/>
          <w:highlight w:val="none"/>
        </w:rPr>
      </w:pPr>
    </w:p>
    <w:p w14:paraId="6DF96595">
      <w:pPr>
        <w:adjustRightInd w:val="0"/>
        <w:snapToGrid w:val="0"/>
        <w:ind w:right="420" w:firstLine="4320" w:firstLineChars="1800"/>
        <w:rPr>
          <w:rFonts w:ascii="宋体" w:hAnsi="宋体"/>
          <w:color w:val="000000"/>
          <w:sz w:val="24"/>
          <w:highlight w:val="none"/>
        </w:rPr>
      </w:pPr>
      <w:r>
        <w:rPr>
          <w:rFonts w:hint="eastAsia" w:ascii="宋体" w:hAnsi="宋体"/>
          <w:color w:val="000000"/>
          <w:sz w:val="24"/>
          <w:highlight w:val="none"/>
        </w:rPr>
        <w:t>供应商名称（盖单位章）：</w:t>
      </w:r>
      <w:r>
        <w:rPr>
          <w:rFonts w:hint="eastAsia" w:ascii="宋体" w:hAnsi="宋体"/>
          <w:color w:val="000000"/>
          <w:sz w:val="24"/>
          <w:highlight w:val="none"/>
          <w:u w:val="single"/>
        </w:rPr>
        <w:t xml:space="preserve">               </w:t>
      </w:r>
    </w:p>
    <w:p w14:paraId="58815261">
      <w:pPr>
        <w:adjustRightInd w:val="0"/>
        <w:snapToGrid w:val="0"/>
        <w:ind w:firstLine="4320" w:firstLineChars="1800"/>
        <w:rPr>
          <w:rFonts w:hint="eastAsia" w:ascii="宋体" w:hAnsi="宋体" w:cs="宋体"/>
          <w:sz w:val="24"/>
          <w:highlight w:val="none"/>
        </w:rPr>
      </w:pPr>
      <w:r>
        <w:rPr>
          <w:rFonts w:hint="eastAsia" w:ascii="宋体" w:hAnsi="宋体" w:cs="宋体"/>
          <w:sz w:val="24"/>
          <w:highlight w:val="none"/>
        </w:rPr>
        <w:t>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440EF62D">
      <w:pPr>
        <w:adjustRightInd w:val="0"/>
        <w:snapToGrid w:val="0"/>
        <w:rPr>
          <w:rFonts w:hint="eastAsia" w:ascii="宋体" w:hAnsi="宋体" w:cs="宋体"/>
          <w:sz w:val="24"/>
          <w:highlight w:val="none"/>
        </w:rPr>
      </w:pPr>
    </w:p>
    <w:p w14:paraId="3C9BE899">
      <w:pPr>
        <w:adjustRightInd w:val="0"/>
        <w:snapToGrid w:val="0"/>
        <w:spacing w:line="480" w:lineRule="exact"/>
        <w:ind w:firstLine="482" w:firstLineChars="200"/>
        <w:jc w:val="left"/>
        <w:rPr>
          <w:rFonts w:hint="eastAsia" w:ascii="宋体" w:hAnsi="宋体"/>
          <w:b/>
          <w:color w:val="000000"/>
          <w:sz w:val="24"/>
          <w:highlight w:val="none"/>
        </w:rPr>
      </w:pPr>
      <w:r>
        <w:rPr>
          <w:rFonts w:hint="eastAsia"/>
          <w:b/>
          <w:bCs/>
          <w:color w:val="FF0000"/>
          <w:sz w:val="24"/>
          <w:highlight w:val="none"/>
        </w:rPr>
        <w:t>注：如法定代表人参加开标，开标时需携带法定代表人身份证件以及单独另准备一份本法定代表人身份证明原件用于身份验证。</w:t>
      </w:r>
      <w:r>
        <w:rPr>
          <w:rFonts w:ascii="宋体" w:hAnsi="宋体"/>
          <w:color w:val="000000"/>
          <w:szCs w:val="21"/>
          <w:highlight w:val="yellow"/>
        </w:rPr>
        <w:br w:type="page"/>
      </w:r>
      <w:r>
        <w:rPr>
          <w:rFonts w:hint="eastAsia" w:ascii="宋体" w:hAnsi="宋体" w:cs="宋体"/>
          <w:b/>
          <w:bCs/>
          <w:color w:val="000000"/>
          <w:sz w:val="24"/>
          <w:highlight w:val="none"/>
        </w:rPr>
        <w:t>附件1-2</w:t>
      </w:r>
    </w:p>
    <w:p w14:paraId="0D988931">
      <w:pPr>
        <w:pStyle w:val="4"/>
        <w:jc w:val="center"/>
        <w:rPr>
          <w:rFonts w:hint="eastAsia" w:ascii="宋体" w:hAnsi="宋体" w:cs="宋体"/>
          <w:sz w:val="28"/>
          <w:szCs w:val="28"/>
          <w:highlight w:val="none"/>
        </w:rPr>
      </w:pPr>
      <w:bookmarkStart w:id="163" w:name="_Toc19614"/>
      <w:bookmarkStart w:id="164" w:name="_Toc19437"/>
      <w:r>
        <w:rPr>
          <w:rFonts w:hint="eastAsia" w:ascii="宋体" w:hAnsi="宋体" w:cs="宋体"/>
          <w:sz w:val="28"/>
          <w:szCs w:val="28"/>
          <w:highlight w:val="none"/>
        </w:rPr>
        <w:t>法定代表人授权书</w:t>
      </w:r>
      <w:bookmarkEnd w:id="163"/>
      <w:bookmarkEnd w:id="164"/>
    </w:p>
    <w:p w14:paraId="50861BBA">
      <w:pPr>
        <w:autoSpaceDE w:val="0"/>
        <w:autoSpaceDN w:val="0"/>
        <w:adjustRightInd w:val="0"/>
        <w:snapToGrid w:val="0"/>
        <w:spacing w:before="156" w:beforeLines="50"/>
        <w:ind w:firstLine="480" w:firstLineChars="200"/>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本人</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（姓名、职务）系</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 xml:space="preserve"> （</w:t>
      </w:r>
      <w:r>
        <w:rPr>
          <w:rFonts w:hint="eastAsia" w:ascii="宋体" w:hAnsi="宋体" w:cs="宋体"/>
          <w:color w:val="000000"/>
          <w:sz w:val="24"/>
          <w:highlight w:val="none"/>
        </w:rPr>
        <w:t>供应商</w:t>
      </w:r>
      <w:r>
        <w:rPr>
          <w:rFonts w:hint="eastAsia" w:ascii="宋体" w:hAnsi="宋体" w:cs="宋体"/>
          <w:color w:val="000000"/>
          <w:kern w:val="0"/>
          <w:sz w:val="24"/>
          <w:highlight w:val="none"/>
        </w:rPr>
        <w:t>名称）的法定代表人，现授权</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（姓名、职务）为我方代理人。代理人根据授权，以我方名义：(1)签署、澄清、补正、修改、撤回、提交</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（项目名称、</w:t>
      </w:r>
      <w:r>
        <w:rPr>
          <w:rFonts w:hint="eastAsia" w:ascii="宋体" w:hAnsi="宋体" w:cs="宋体"/>
          <w:color w:val="000000"/>
          <w:sz w:val="24"/>
          <w:highlight w:val="none"/>
        </w:rPr>
        <w:t>政府</w:t>
      </w:r>
      <w:r>
        <w:rPr>
          <w:rFonts w:hint="eastAsia" w:ascii="宋体" w:hAnsi="宋体" w:cs="宋体"/>
          <w:color w:val="000000"/>
          <w:kern w:val="0"/>
          <w:sz w:val="24"/>
          <w:highlight w:val="none"/>
        </w:rPr>
        <w:t>采购编号、采购代理机构编号）响应文件；(2)签署并重新提交响应文件及最后报价；(3)签订合同和处理有关事宜，其法律后果由我方承担。</w:t>
      </w:r>
    </w:p>
    <w:p w14:paraId="183BCDCD">
      <w:pPr>
        <w:autoSpaceDE w:val="0"/>
        <w:autoSpaceDN w:val="0"/>
        <w:adjustRightInd w:val="0"/>
        <w:snapToGrid w:val="0"/>
        <w:spacing w:before="156" w:beforeLines="50"/>
        <w:ind w:firstLine="480" w:firstLineChars="200"/>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委托期限：</w:t>
      </w:r>
      <w:r>
        <w:rPr>
          <w:rFonts w:hint="eastAsia" w:ascii="宋体" w:hAnsi="宋体" w:cs="宋体"/>
          <w:color w:val="000000"/>
          <w:kern w:val="0"/>
          <w:sz w:val="24"/>
          <w:highlight w:val="none"/>
          <w:u w:val="single"/>
        </w:rPr>
        <w:t xml:space="preserve">                                     </w:t>
      </w:r>
      <w:r>
        <w:rPr>
          <w:rFonts w:hint="eastAsia" w:ascii="宋体" w:hAnsi="宋体" w:cs="宋体"/>
          <w:color w:val="000000"/>
          <w:kern w:val="0"/>
          <w:sz w:val="24"/>
          <w:highlight w:val="none"/>
        </w:rPr>
        <w:t xml:space="preserve"> 。</w:t>
      </w:r>
    </w:p>
    <w:p w14:paraId="5C6AF66B">
      <w:pPr>
        <w:ind w:firstLine="435"/>
        <w:rPr>
          <w:rFonts w:hint="eastAsia" w:ascii="宋体" w:hAnsi="宋体" w:cs="宋体"/>
          <w:color w:val="000000"/>
          <w:kern w:val="0"/>
          <w:sz w:val="24"/>
          <w:highlight w:val="none"/>
        </w:rPr>
      </w:pPr>
      <w:r>
        <w:rPr>
          <w:rFonts w:hint="eastAsia" w:ascii="宋体" w:hAnsi="宋体" w:cs="宋体"/>
          <w:color w:val="000000"/>
          <w:kern w:val="0"/>
          <w:sz w:val="24"/>
          <w:highlight w:val="none"/>
        </w:rPr>
        <w:t>代理人无转委托权。</w:t>
      </w:r>
    </w:p>
    <w:p w14:paraId="74250767">
      <w:pPr>
        <w:ind w:firstLine="435"/>
        <w:rPr>
          <w:rFonts w:hint="eastAsia" w:ascii="宋体" w:hAnsi="宋体" w:cs="宋体"/>
          <w:color w:val="000000"/>
          <w:sz w:val="24"/>
          <w:highlight w:val="none"/>
        </w:rPr>
      </w:pPr>
      <w:r>
        <w:rPr>
          <w:rFonts w:hint="eastAsia" w:ascii="宋体" w:hAnsi="宋体" w:cs="宋体"/>
          <w:color w:val="000000"/>
          <w:sz w:val="24"/>
          <w:highlight w:val="none"/>
        </w:rPr>
        <w:t>本授权书于</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年</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月</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日签字生效，特此声明。</w:t>
      </w:r>
    </w:p>
    <w:p w14:paraId="2B2DE0A0">
      <w:pPr>
        <w:adjustRightInd w:val="0"/>
        <w:snapToGrid w:val="0"/>
        <w:ind w:right="420"/>
        <w:rPr>
          <w:rFonts w:hint="eastAsia" w:ascii="宋体" w:hAnsi="宋体" w:cs="宋体"/>
          <w:color w:val="000000"/>
          <w:sz w:val="24"/>
          <w:highlight w:val="none"/>
        </w:rPr>
      </w:pPr>
    </w:p>
    <w:p w14:paraId="65BF616D">
      <w:pPr>
        <w:pStyle w:val="50"/>
        <w:rPr>
          <w:rFonts w:hint="eastAsia"/>
          <w:highlight w:val="none"/>
        </w:rPr>
      </w:pPr>
    </w:p>
    <w:p w14:paraId="1997090B">
      <w:pPr>
        <w:adjustRightInd w:val="0"/>
        <w:snapToGrid w:val="0"/>
        <w:ind w:right="420" w:firstLine="6120" w:firstLineChars="2550"/>
        <w:jc w:val="left"/>
        <w:rPr>
          <w:rFonts w:hint="eastAsia" w:ascii="宋体" w:hAnsi="宋体" w:cs="宋体"/>
          <w:color w:val="000000"/>
          <w:sz w:val="24"/>
          <w:highlight w:val="none"/>
        </w:rPr>
      </w:pPr>
    </w:p>
    <w:p w14:paraId="0B73415B">
      <w:pPr>
        <w:adjustRightInd w:val="0"/>
        <w:snapToGrid w:val="0"/>
        <w:ind w:right="420" w:firstLine="6120" w:firstLineChars="2550"/>
        <w:jc w:val="left"/>
        <w:rPr>
          <w:rFonts w:hint="eastAsia" w:ascii="宋体" w:hAnsi="宋体" w:cs="宋体"/>
          <w:color w:val="000000"/>
          <w:sz w:val="24"/>
          <w:highlight w:val="none"/>
        </w:rPr>
      </w:pPr>
    </w:p>
    <w:p w14:paraId="294D01F0">
      <w:pPr>
        <w:adjustRightInd w:val="0"/>
        <w:snapToGrid w:val="0"/>
        <w:ind w:right="420" w:firstLine="6120" w:firstLineChars="2550"/>
        <w:jc w:val="left"/>
        <w:rPr>
          <w:rFonts w:hint="eastAsia" w:ascii="宋体" w:hAnsi="宋体" w:cs="宋体"/>
          <w:color w:val="000000"/>
          <w:sz w:val="24"/>
          <w:highlight w:val="none"/>
        </w:rPr>
      </w:pPr>
    </w:p>
    <w:p w14:paraId="076F3DDC">
      <w:pPr>
        <w:adjustRightInd w:val="0"/>
        <w:snapToGrid w:val="0"/>
        <w:ind w:right="420"/>
        <w:jc w:val="left"/>
        <w:rPr>
          <w:rFonts w:hint="eastAsia" w:ascii="宋体" w:hAnsi="宋体" w:cs="宋体"/>
          <w:color w:val="000000"/>
          <w:sz w:val="24"/>
          <w:highlight w:val="none"/>
        </w:rPr>
      </w:pPr>
    </w:p>
    <w:p w14:paraId="2B45579A">
      <w:pPr>
        <w:adjustRightInd w:val="0"/>
        <w:snapToGrid w:val="0"/>
        <w:ind w:right="420"/>
        <w:jc w:val="left"/>
        <w:rPr>
          <w:rFonts w:hint="eastAsia" w:ascii="宋体" w:hAnsi="宋体" w:cs="宋体"/>
          <w:color w:val="000000"/>
          <w:sz w:val="24"/>
          <w:highlight w:val="none"/>
        </w:rPr>
      </w:pPr>
    </w:p>
    <w:p w14:paraId="3D39F272">
      <w:pPr>
        <w:adjustRightInd w:val="0"/>
        <w:snapToGrid w:val="0"/>
        <w:ind w:right="420" w:firstLine="6120" w:firstLineChars="2550"/>
        <w:jc w:val="left"/>
        <w:rPr>
          <w:rFonts w:hint="eastAsia" w:ascii="宋体" w:hAnsi="宋体" w:cs="宋体"/>
          <w:color w:val="000000"/>
          <w:sz w:val="24"/>
          <w:highlight w:val="none"/>
        </w:rPr>
      </w:pPr>
    </w:p>
    <w:p w14:paraId="07EF4793">
      <w:pPr>
        <w:adjustRightInd w:val="0"/>
        <w:snapToGrid w:val="0"/>
        <w:ind w:right="420" w:firstLine="4320" w:firstLineChars="1800"/>
        <w:jc w:val="left"/>
        <w:rPr>
          <w:rFonts w:hint="eastAsia" w:ascii="宋体" w:hAnsi="宋体" w:cs="宋体"/>
          <w:color w:val="000000"/>
          <w:sz w:val="24"/>
          <w:highlight w:val="none"/>
        </w:rPr>
      </w:pPr>
      <w:r>
        <w:rPr>
          <w:rFonts w:hint="eastAsia" w:ascii="宋体" w:hAnsi="宋体" w:cs="宋体"/>
          <w:color w:val="000000"/>
          <w:sz w:val="24"/>
          <w:highlight w:val="none"/>
        </w:rPr>
        <w:t>供应商名称（盖单位章）：</w:t>
      </w:r>
      <w:r>
        <w:rPr>
          <w:rFonts w:hint="eastAsia" w:ascii="宋体" w:hAnsi="宋体"/>
          <w:color w:val="000000"/>
          <w:sz w:val="24"/>
          <w:highlight w:val="none"/>
          <w:u w:val="single"/>
        </w:rPr>
        <w:t xml:space="preserve">               </w:t>
      </w:r>
    </w:p>
    <w:p w14:paraId="52CE40E8">
      <w:pPr>
        <w:adjustRightInd w:val="0"/>
        <w:snapToGrid w:val="0"/>
        <w:ind w:right="420" w:firstLine="4320" w:firstLineChars="1800"/>
        <w:jc w:val="left"/>
        <w:rPr>
          <w:rFonts w:hint="eastAsia" w:ascii="宋体" w:hAnsi="宋体" w:cs="宋体"/>
          <w:color w:val="000000"/>
          <w:sz w:val="24"/>
          <w:highlight w:val="none"/>
        </w:rPr>
      </w:pPr>
      <w:r>
        <w:rPr>
          <w:rFonts w:hint="eastAsia" w:ascii="宋体" w:hAnsi="宋体" w:cs="宋体"/>
          <w:color w:val="000000"/>
          <w:sz w:val="24"/>
          <w:highlight w:val="none"/>
        </w:rPr>
        <w:t>法定代表人（签字或印章）：</w:t>
      </w:r>
      <w:r>
        <w:rPr>
          <w:rFonts w:hint="eastAsia" w:ascii="宋体" w:hAnsi="宋体"/>
          <w:color w:val="000000"/>
          <w:sz w:val="24"/>
          <w:highlight w:val="none"/>
          <w:u w:val="single"/>
        </w:rPr>
        <w:t xml:space="preserve">               </w:t>
      </w:r>
    </w:p>
    <w:p w14:paraId="65803D50">
      <w:pPr>
        <w:adjustRightInd w:val="0"/>
        <w:snapToGrid w:val="0"/>
        <w:ind w:right="420" w:firstLine="4320" w:firstLineChars="1800"/>
        <w:jc w:val="left"/>
        <w:rPr>
          <w:rFonts w:hint="eastAsia" w:ascii="宋体" w:hAnsi="宋体" w:cs="宋体"/>
          <w:color w:val="000000"/>
          <w:sz w:val="24"/>
          <w:highlight w:val="none"/>
        </w:rPr>
      </w:pPr>
      <w:r>
        <w:rPr>
          <w:rFonts w:hint="eastAsia" w:ascii="宋体" w:hAnsi="宋体" w:cs="宋体"/>
          <w:color w:val="000000"/>
          <w:sz w:val="24"/>
          <w:highlight w:val="none"/>
        </w:rPr>
        <w:t>委托代理人（签字或印章）：</w:t>
      </w:r>
      <w:r>
        <w:rPr>
          <w:rFonts w:hint="eastAsia" w:ascii="宋体" w:hAnsi="宋体"/>
          <w:color w:val="000000"/>
          <w:sz w:val="24"/>
          <w:highlight w:val="none"/>
          <w:u w:val="single"/>
        </w:rPr>
        <w:t xml:space="preserve">               </w:t>
      </w:r>
    </w:p>
    <w:p w14:paraId="00770AE7">
      <w:pPr>
        <w:adjustRightInd w:val="0"/>
        <w:snapToGrid w:val="0"/>
        <w:ind w:firstLine="4320" w:firstLineChars="1800"/>
        <w:rPr>
          <w:b/>
          <w:bCs/>
          <w:color w:val="000000"/>
          <w:highlight w:val="none"/>
        </w:rPr>
      </w:pPr>
      <w:r>
        <w:rPr>
          <w:rFonts w:hint="eastAsia" w:ascii="宋体" w:hAnsi="宋体" w:cs="宋体"/>
          <w:sz w:val="24"/>
          <w:highlight w:val="none"/>
        </w:rPr>
        <w:t>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400EDC9D">
      <w:pPr>
        <w:adjustRightInd w:val="0"/>
        <w:snapToGrid w:val="0"/>
        <w:ind w:right="420" w:firstLine="5632" w:firstLineChars="2550"/>
        <w:rPr>
          <w:rFonts w:hint="eastAsia" w:ascii="宋体" w:hAnsi="宋体"/>
          <w:b/>
          <w:bCs/>
          <w:color w:val="000000"/>
          <w:szCs w:val="21"/>
          <w:highlight w:val="none"/>
        </w:rPr>
      </w:pPr>
    </w:p>
    <w:p w14:paraId="6E9C8EB9">
      <w:pPr>
        <w:adjustRightInd w:val="0"/>
        <w:snapToGrid w:val="0"/>
        <w:ind w:right="420" w:firstLine="482" w:firstLineChars="200"/>
        <w:rPr>
          <w:rFonts w:hint="eastAsia" w:ascii="宋体" w:hAnsi="宋体"/>
          <w:b/>
          <w:bCs/>
          <w:color w:val="FF0000"/>
          <w:sz w:val="24"/>
          <w:highlight w:val="yellow"/>
        </w:rPr>
        <w:sectPr>
          <w:headerReference r:id="rId17" w:type="default"/>
          <w:pgSz w:w="11906" w:h="16838"/>
          <w:pgMar w:top="1418" w:right="1134" w:bottom="1134" w:left="1418" w:header="851" w:footer="850" w:gutter="0"/>
          <w:pgNumType w:fmt="decimal"/>
          <w:cols w:space="720" w:num="1"/>
          <w:docGrid w:type="lines" w:linePitch="312" w:charSpace="0"/>
        </w:sectPr>
      </w:pPr>
      <w:r>
        <w:rPr>
          <w:rFonts w:hint="eastAsia" w:ascii="宋体" w:hAnsi="宋体"/>
          <w:b/>
          <w:bCs/>
          <w:color w:val="FF0000"/>
          <w:sz w:val="24"/>
          <w:highlight w:val="none"/>
        </w:rPr>
        <w:t>注：如委托代理人参加开标，开标时需携带委托代理人身份证件以及单独另准备一份本法定代表人授权书原件，并附法定代表人身份证明原件用于身份验证。</w:t>
      </w:r>
    </w:p>
    <w:p w14:paraId="72289AC0">
      <w:pPr>
        <w:pStyle w:val="3"/>
        <w:jc w:val="center"/>
        <w:rPr>
          <w:rFonts w:hint="eastAsia"/>
          <w:sz w:val="28"/>
          <w:szCs w:val="28"/>
          <w:highlight w:val="none"/>
        </w:rPr>
      </w:pPr>
      <w:bookmarkStart w:id="165" w:name="_Toc497049059"/>
      <w:bookmarkStart w:id="166" w:name="_Toc462074634"/>
      <w:bookmarkStart w:id="167" w:name="_Toc465878282"/>
      <w:bookmarkStart w:id="168" w:name="_Toc2593143"/>
      <w:bookmarkStart w:id="169" w:name="_Toc2674907"/>
      <w:bookmarkStart w:id="170" w:name="_Toc496459171"/>
      <w:bookmarkStart w:id="171" w:name="_Toc27008"/>
      <w:bookmarkStart w:id="172" w:name="_Toc2684040"/>
      <w:bookmarkStart w:id="173" w:name="_Toc46764410"/>
      <w:bookmarkStart w:id="174" w:name="_Toc522285661"/>
      <w:bookmarkStart w:id="175" w:name="_Toc72765109"/>
      <w:bookmarkStart w:id="176" w:name="_Toc498186727"/>
      <w:bookmarkStart w:id="177" w:name="_Toc2951781"/>
      <w:bookmarkStart w:id="178" w:name="_Toc2674702"/>
      <w:bookmarkStart w:id="179" w:name="_Toc439924288"/>
      <w:bookmarkStart w:id="180" w:name="_Toc99104810"/>
      <w:bookmarkStart w:id="181" w:name="_Toc105054291"/>
      <w:bookmarkStart w:id="182" w:name="_Toc15382"/>
      <w:bookmarkStart w:id="183" w:name="_Toc99031276"/>
      <w:bookmarkStart w:id="184" w:name="_Toc454904320"/>
      <w:bookmarkStart w:id="185" w:name="_Toc521048953"/>
      <w:bookmarkStart w:id="186" w:name="_Toc439924779"/>
      <w:bookmarkStart w:id="187" w:name="_Toc465362698"/>
      <w:bookmarkStart w:id="188" w:name="_Toc104210198"/>
      <w:bookmarkStart w:id="189" w:name="_Toc483385937"/>
      <w:bookmarkStart w:id="190" w:name="_Toc80804122"/>
      <w:r>
        <w:rPr>
          <w:rFonts w:hint="eastAsia"/>
          <w:sz w:val="28"/>
          <w:szCs w:val="28"/>
          <w:highlight w:val="none"/>
        </w:rPr>
        <w:t>二、保证金</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369800FA">
      <w:pPr>
        <w:rPr>
          <w:highlight w:val="none"/>
        </w:rPr>
      </w:pPr>
    </w:p>
    <w:p w14:paraId="5E65553C">
      <w:pPr>
        <w:jc w:val="center"/>
        <w:rPr>
          <w:rFonts w:hint="eastAsia" w:ascii="宋体" w:hAnsi="宋体" w:cs="宋体"/>
          <w:bCs/>
          <w:color w:val="000000"/>
          <w:sz w:val="32"/>
          <w:szCs w:val="32"/>
          <w:highlight w:val="none"/>
        </w:rPr>
      </w:pPr>
      <w:r>
        <w:rPr>
          <w:rFonts w:hint="eastAsia" w:ascii="宋体" w:hAnsi="宋体" w:cs="宋体"/>
          <w:bCs/>
          <w:color w:val="000000"/>
          <w:sz w:val="24"/>
          <w:highlight w:val="none"/>
        </w:rPr>
        <w:t>（本项目不需缴纳）</w:t>
      </w:r>
    </w:p>
    <w:p w14:paraId="02DE8044">
      <w:pPr>
        <w:adjustRightInd w:val="0"/>
        <w:snapToGrid w:val="0"/>
        <w:rPr>
          <w:rFonts w:hint="eastAsia" w:ascii="宋体" w:hAnsi="宋体"/>
          <w:b/>
          <w:color w:val="000000"/>
          <w:sz w:val="28"/>
          <w:szCs w:val="28"/>
          <w:highlight w:val="none"/>
        </w:rPr>
      </w:pPr>
    </w:p>
    <w:p w14:paraId="22EB85E0">
      <w:pPr>
        <w:adjustRightInd w:val="0"/>
        <w:snapToGrid w:val="0"/>
        <w:rPr>
          <w:rFonts w:hint="eastAsia" w:ascii="宋体" w:hAnsi="宋体"/>
          <w:b/>
          <w:color w:val="000000"/>
          <w:sz w:val="28"/>
          <w:szCs w:val="28"/>
          <w:highlight w:val="none"/>
        </w:rPr>
      </w:pPr>
    </w:p>
    <w:p w14:paraId="17F74A7E">
      <w:pPr>
        <w:adjustRightInd w:val="0"/>
        <w:snapToGrid w:val="0"/>
        <w:rPr>
          <w:rFonts w:hint="eastAsia" w:ascii="宋体" w:hAnsi="宋体"/>
          <w:b/>
          <w:color w:val="000000"/>
          <w:sz w:val="28"/>
          <w:szCs w:val="28"/>
          <w:highlight w:val="none"/>
        </w:rPr>
      </w:pPr>
    </w:p>
    <w:p w14:paraId="5F55E834">
      <w:pPr>
        <w:adjustRightInd w:val="0"/>
        <w:snapToGrid w:val="0"/>
        <w:rPr>
          <w:rFonts w:hint="eastAsia" w:ascii="宋体" w:hAnsi="宋体"/>
          <w:b/>
          <w:color w:val="000000"/>
          <w:sz w:val="28"/>
          <w:szCs w:val="28"/>
          <w:highlight w:val="none"/>
        </w:rPr>
      </w:pPr>
    </w:p>
    <w:p w14:paraId="46D401DE">
      <w:pPr>
        <w:adjustRightInd w:val="0"/>
        <w:snapToGrid w:val="0"/>
        <w:rPr>
          <w:rFonts w:hint="eastAsia" w:ascii="宋体" w:hAnsi="宋体"/>
          <w:b/>
          <w:color w:val="000000"/>
          <w:sz w:val="28"/>
          <w:szCs w:val="28"/>
          <w:highlight w:val="none"/>
        </w:rPr>
      </w:pPr>
    </w:p>
    <w:p w14:paraId="5A42339B">
      <w:pPr>
        <w:adjustRightInd w:val="0"/>
        <w:snapToGrid w:val="0"/>
        <w:rPr>
          <w:rFonts w:hint="eastAsia" w:ascii="宋体" w:hAnsi="宋体"/>
          <w:b/>
          <w:color w:val="000000"/>
          <w:sz w:val="28"/>
          <w:szCs w:val="28"/>
          <w:highlight w:val="none"/>
        </w:rPr>
      </w:pPr>
    </w:p>
    <w:p w14:paraId="39EB5566">
      <w:pPr>
        <w:adjustRightInd w:val="0"/>
        <w:snapToGrid w:val="0"/>
        <w:rPr>
          <w:rFonts w:hint="eastAsia" w:ascii="宋体" w:hAnsi="宋体"/>
          <w:b/>
          <w:color w:val="000000"/>
          <w:sz w:val="28"/>
          <w:szCs w:val="28"/>
          <w:highlight w:val="none"/>
        </w:rPr>
      </w:pPr>
    </w:p>
    <w:p w14:paraId="5F9468C2">
      <w:pPr>
        <w:adjustRightInd w:val="0"/>
        <w:snapToGrid w:val="0"/>
        <w:rPr>
          <w:rFonts w:hint="eastAsia" w:ascii="宋体" w:hAnsi="宋体"/>
          <w:b/>
          <w:color w:val="000000"/>
          <w:sz w:val="28"/>
          <w:szCs w:val="28"/>
          <w:highlight w:val="none"/>
        </w:rPr>
      </w:pPr>
    </w:p>
    <w:p w14:paraId="2C01F518">
      <w:pPr>
        <w:adjustRightInd w:val="0"/>
        <w:snapToGrid w:val="0"/>
        <w:rPr>
          <w:rFonts w:hint="eastAsia" w:ascii="宋体" w:hAnsi="宋体"/>
          <w:b/>
          <w:color w:val="000000"/>
          <w:sz w:val="28"/>
          <w:szCs w:val="28"/>
          <w:highlight w:val="none"/>
        </w:rPr>
      </w:pPr>
    </w:p>
    <w:p w14:paraId="27C4E296">
      <w:pPr>
        <w:adjustRightInd w:val="0"/>
        <w:snapToGrid w:val="0"/>
        <w:rPr>
          <w:rFonts w:hint="eastAsia" w:ascii="宋体" w:hAnsi="宋体"/>
          <w:b/>
          <w:color w:val="000000"/>
          <w:sz w:val="28"/>
          <w:szCs w:val="28"/>
          <w:highlight w:val="none"/>
        </w:rPr>
      </w:pPr>
    </w:p>
    <w:p w14:paraId="46092655">
      <w:pPr>
        <w:adjustRightInd w:val="0"/>
        <w:snapToGrid w:val="0"/>
        <w:rPr>
          <w:rFonts w:hint="eastAsia" w:ascii="宋体" w:hAnsi="宋体"/>
          <w:b/>
          <w:color w:val="000000"/>
          <w:sz w:val="28"/>
          <w:szCs w:val="28"/>
          <w:highlight w:val="none"/>
        </w:rPr>
      </w:pPr>
    </w:p>
    <w:p w14:paraId="76BA1805">
      <w:pPr>
        <w:adjustRightInd w:val="0"/>
        <w:snapToGrid w:val="0"/>
        <w:rPr>
          <w:rFonts w:hint="eastAsia" w:ascii="宋体" w:hAnsi="宋体"/>
          <w:b/>
          <w:color w:val="000000"/>
          <w:sz w:val="28"/>
          <w:szCs w:val="28"/>
          <w:highlight w:val="none"/>
        </w:rPr>
      </w:pPr>
    </w:p>
    <w:p w14:paraId="1A2B5D53">
      <w:pPr>
        <w:adjustRightInd w:val="0"/>
        <w:snapToGrid w:val="0"/>
        <w:rPr>
          <w:rFonts w:hint="eastAsia" w:ascii="宋体" w:hAnsi="宋体"/>
          <w:b/>
          <w:color w:val="000000"/>
          <w:sz w:val="28"/>
          <w:szCs w:val="28"/>
          <w:highlight w:val="none"/>
        </w:rPr>
      </w:pPr>
    </w:p>
    <w:p w14:paraId="3699A31D">
      <w:pPr>
        <w:adjustRightInd w:val="0"/>
        <w:snapToGrid w:val="0"/>
        <w:rPr>
          <w:rFonts w:hint="eastAsia" w:ascii="宋体" w:hAnsi="宋体"/>
          <w:b/>
          <w:color w:val="000000"/>
          <w:sz w:val="28"/>
          <w:szCs w:val="28"/>
          <w:highlight w:val="none"/>
        </w:rPr>
      </w:pPr>
    </w:p>
    <w:p w14:paraId="2D26A665">
      <w:pPr>
        <w:adjustRightInd w:val="0"/>
        <w:snapToGrid w:val="0"/>
        <w:rPr>
          <w:rFonts w:hint="eastAsia" w:ascii="宋体" w:hAnsi="宋体"/>
          <w:b/>
          <w:color w:val="000000"/>
          <w:sz w:val="28"/>
          <w:szCs w:val="28"/>
          <w:highlight w:val="none"/>
        </w:rPr>
      </w:pPr>
    </w:p>
    <w:p w14:paraId="25C9E6A8">
      <w:pPr>
        <w:adjustRightInd w:val="0"/>
        <w:snapToGrid w:val="0"/>
        <w:rPr>
          <w:rFonts w:hint="eastAsia" w:ascii="宋体" w:hAnsi="宋体"/>
          <w:b/>
          <w:color w:val="000000"/>
          <w:sz w:val="28"/>
          <w:szCs w:val="28"/>
          <w:highlight w:val="none"/>
        </w:rPr>
      </w:pPr>
    </w:p>
    <w:p w14:paraId="61423B3A">
      <w:pPr>
        <w:adjustRightInd w:val="0"/>
        <w:snapToGrid w:val="0"/>
        <w:rPr>
          <w:rFonts w:hint="eastAsia" w:ascii="宋体" w:hAnsi="宋体"/>
          <w:b/>
          <w:color w:val="000000"/>
          <w:sz w:val="28"/>
          <w:szCs w:val="28"/>
          <w:highlight w:val="none"/>
        </w:rPr>
      </w:pPr>
    </w:p>
    <w:p w14:paraId="132180EB">
      <w:pPr>
        <w:adjustRightInd w:val="0"/>
        <w:snapToGrid w:val="0"/>
        <w:rPr>
          <w:rFonts w:hint="eastAsia" w:ascii="宋体" w:hAnsi="宋体"/>
          <w:b/>
          <w:color w:val="000000"/>
          <w:sz w:val="28"/>
          <w:szCs w:val="28"/>
          <w:highlight w:val="none"/>
        </w:rPr>
      </w:pPr>
    </w:p>
    <w:p w14:paraId="7148A4F7">
      <w:pPr>
        <w:adjustRightInd w:val="0"/>
        <w:snapToGrid w:val="0"/>
        <w:rPr>
          <w:rFonts w:hint="eastAsia" w:ascii="宋体" w:hAnsi="宋体"/>
          <w:b/>
          <w:color w:val="000000"/>
          <w:sz w:val="28"/>
          <w:szCs w:val="28"/>
          <w:highlight w:val="none"/>
        </w:rPr>
      </w:pPr>
    </w:p>
    <w:p w14:paraId="1A4D95BF">
      <w:pPr>
        <w:adjustRightInd w:val="0"/>
        <w:snapToGrid w:val="0"/>
        <w:rPr>
          <w:rFonts w:hint="eastAsia" w:ascii="宋体" w:hAnsi="宋体"/>
          <w:b/>
          <w:color w:val="000000"/>
          <w:sz w:val="28"/>
          <w:szCs w:val="28"/>
          <w:highlight w:val="none"/>
        </w:rPr>
      </w:pPr>
    </w:p>
    <w:p w14:paraId="20949939">
      <w:pPr>
        <w:adjustRightInd w:val="0"/>
        <w:snapToGrid w:val="0"/>
        <w:rPr>
          <w:rFonts w:hint="eastAsia" w:ascii="宋体" w:hAnsi="宋体"/>
          <w:b/>
          <w:color w:val="000000"/>
          <w:sz w:val="28"/>
          <w:szCs w:val="28"/>
          <w:highlight w:val="none"/>
        </w:rPr>
      </w:pPr>
    </w:p>
    <w:p w14:paraId="76F3D22B">
      <w:pPr>
        <w:adjustRightInd w:val="0"/>
        <w:snapToGrid w:val="0"/>
        <w:rPr>
          <w:rFonts w:hint="eastAsia" w:ascii="宋体" w:hAnsi="宋体"/>
          <w:b/>
          <w:color w:val="000000"/>
          <w:sz w:val="28"/>
          <w:szCs w:val="28"/>
          <w:highlight w:val="none"/>
        </w:rPr>
      </w:pPr>
    </w:p>
    <w:p w14:paraId="6C73540E">
      <w:pPr>
        <w:adjustRightInd w:val="0"/>
        <w:snapToGrid w:val="0"/>
        <w:rPr>
          <w:rFonts w:hint="eastAsia" w:ascii="宋体" w:hAnsi="宋体"/>
          <w:b/>
          <w:color w:val="000000"/>
          <w:sz w:val="28"/>
          <w:szCs w:val="28"/>
          <w:highlight w:val="none"/>
        </w:rPr>
      </w:pPr>
    </w:p>
    <w:p w14:paraId="574A68D4">
      <w:pPr>
        <w:jc w:val="center"/>
        <w:rPr>
          <w:rFonts w:hint="eastAsia" w:ascii="宋体" w:hAnsi="宋体" w:cs="宋体"/>
          <w:b/>
          <w:color w:val="000000"/>
          <w:sz w:val="32"/>
          <w:szCs w:val="32"/>
          <w:highlight w:val="none"/>
        </w:rPr>
        <w:sectPr>
          <w:pgSz w:w="11906" w:h="16838"/>
          <w:pgMar w:top="1418" w:right="1134" w:bottom="1134" w:left="1418" w:header="851" w:footer="850" w:gutter="0"/>
          <w:pgNumType w:fmt="decimal"/>
          <w:cols w:space="720" w:num="1"/>
          <w:docGrid w:type="lines" w:linePitch="312" w:charSpace="0"/>
        </w:sectPr>
      </w:pPr>
    </w:p>
    <w:p w14:paraId="3AC968BC">
      <w:pPr>
        <w:pStyle w:val="3"/>
        <w:jc w:val="center"/>
        <w:rPr>
          <w:rFonts w:ascii="Times New Roman" w:hAnsi="Times New Roman"/>
          <w:sz w:val="28"/>
          <w:szCs w:val="28"/>
          <w:highlight w:val="none"/>
        </w:rPr>
      </w:pPr>
      <w:bookmarkStart w:id="191" w:name="_Toc22385"/>
      <w:bookmarkStart w:id="192" w:name="_Toc25997"/>
      <w:r>
        <w:rPr>
          <w:rFonts w:ascii="Times New Roman" w:hAnsi="Times New Roman"/>
          <w:sz w:val="28"/>
          <w:szCs w:val="28"/>
          <w:highlight w:val="none"/>
        </w:rPr>
        <w:t>三、供应商的资格证明资料</w:t>
      </w:r>
      <w:bookmarkEnd w:id="191"/>
      <w:bookmarkEnd w:id="192"/>
    </w:p>
    <w:p w14:paraId="363EE959">
      <w:pPr>
        <w:spacing w:line="480" w:lineRule="exact"/>
        <w:outlineLvl w:val="2"/>
        <w:rPr>
          <w:rFonts w:hint="eastAsia" w:ascii="宋体" w:hAnsi="宋体"/>
          <w:color w:val="000000"/>
          <w:sz w:val="30"/>
          <w:szCs w:val="30"/>
          <w:highlight w:val="none"/>
        </w:rPr>
      </w:pPr>
      <w:bookmarkStart w:id="193" w:name="_Toc1283"/>
      <w:bookmarkStart w:id="194" w:name="_Toc26722"/>
      <w:r>
        <w:rPr>
          <w:rFonts w:hint="eastAsia" w:ascii="宋体" w:hAnsi="宋体" w:cs="宋体"/>
          <w:b/>
          <w:bCs/>
          <w:color w:val="000000"/>
          <w:sz w:val="24"/>
          <w:highlight w:val="none"/>
        </w:rPr>
        <w:t>附件3-1</w:t>
      </w:r>
      <w:bookmarkEnd w:id="193"/>
      <w:bookmarkEnd w:id="194"/>
    </w:p>
    <w:p w14:paraId="3DAB36E9">
      <w:pPr>
        <w:pStyle w:val="4"/>
        <w:jc w:val="center"/>
        <w:rPr>
          <w:sz w:val="28"/>
          <w:szCs w:val="28"/>
          <w:highlight w:val="none"/>
        </w:rPr>
      </w:pPr>
      <w:bookmarkStart w:id="195" w:name="_Toc28329"/>
      <w:bookmarkStart w:id="196" w:name="_Toc24520"/>
      <w:r>
        <w:rPr>
          <w:sz w:val="28"/>
          <w:szCs w:val="28"/>
          <w:highlight w:val="none"/>
        </w:rPr>
        <w:t>供应商基本情况表</w:t>
      </w:r>
      <w:bookmarkEnd w:id="195"/>
      <w:bookmarkEnd w:id="196"/>
    </w:p>
    <w:p w14:paraId="6CF54640">
      <w:pPr>
        <w:adjustRightInd w:val="0"/>
        <w:snapToGrid w:val="0"/>
        <w:rPr>
          <w:rFonts w:hint="eastAsia" w:ascii="宋体" w:hAnsi="宋体" w:cs="宋体"/>
          <w:b/>
          <w:bCs/>
          <w:color w:val="FF0000"/>
          <w:sz w:val="24"/>
          <w:highlight w:val="none"/>
        </w:rPr>
      </w:pPr>
      <w:r>
        <w:rPr>
          <w:rFonts w:hint="eastAsia" w:ascii="宋体" w:hAnsi="宋体" w:cs="宋体"/>
          <w:b/>
          <w:bCs/>
          <w:color w:val="FF0000"/>
          <w:sz w:val="24"/>
          <w:highlight w:val="none"/>
        </w:rPr>
        <w:t>盖供应商单位章：</w:t>
      </w:r>
    </w:p>
    <w:tbl>
      <w:tblPr>
        <w:tblStyle w:val="24"/>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9"/>
        <w:gridCol w:w="546"/>
        <w:gridCol w:w="367"/>
        <w:gridCol w:w="1159"/>
        <w:gridCol w:w="861"/>
        <w:gridCol w:w="599"/>
        <w:gridCol w:w="297"/>
        <w:gridCol w:w="1099"/>
        <w:gridCol w:w="1347"/>
        <w:gridCol w:w="1937"/>
      </w:tblGrid>
      <w:tr w14:paraId="0F2E5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642" w:type="dxa"/>
            <w:gridSpan w:val="3"/>
            <w:tcBorders>
              <w:top w:val="double" w:color="auto" w:sz="4" w:space="0"/>
              <w:left w:val="double" w:color="auto" w:sz="4" w:space="0"/>
              <w:bottom w:val="single" w:color="auto" w:sz="6" w:space="0"/>
              <w:right w:val="single" w:color="auto" w:sz="6" w:space="0"/>
            </w:tcBorders>
            <w:noWrap w:val="0"/>
            <w:vAlign w:val="center"/>
          </w:tcPr>
          <w:p w14:paraId="40C76F0B">
            <w:pPr>
              <w:topLinePunct/>
              <w:spacing w:line="360" w:lineRule="auto"/>
              <w:jc w:val="center"/>
              <w:rPr>
                <w:rFonts w:hint="eastAsia" w:ascii="宋体" w:hAnsi="宋体" w:cs="宋体"/>
                <w:color w:val="auto"/>
                <w:szCs w:val="21"/>
              </w:rPr>
            </w:pPr>
            <w:r>
              <w:rPr>
                <w:rFonts w:hint="eastAsia" w:ascii="宋体" w:hAnsi="宋体" w:cs="宋体"/>
                <w:color w:val="auto"/>
                <w:szCs w:val="21"/>
              </w:rPr>
              <w:t>供应商名称</w:t>
            </w:r>
          </w:p>
        </w:tc>
        <w:tc>
          <w:tcPr>
            <w:tcW w:w="7299" w:type="dxa"/>
            <w:gridSpan w:val="7"/>
            <w:tcBorders>
              <w:top w:val="double" w:color="auto" w:sz="4" w:space="0"/>
              <w:left w:val="single" w:color="auto" w:sz="6" w:space="0"/>
              <w:bottom w:val="single" w:color="auto" w:sz="6" w:space="0"/>
              <w:right w:val="double" w:color="auto" w:sz="4" w:space="0"/>
            </w:tcBorders>
            <w:noWrap w:val="0"/>
            <w:vAlign w:val="center"/>
          </w:tcPr>
          <w:p w14:paraId="7A285ACF">
            <w:pPr>
              <w:topLinePunct/>
              <w:spacing w:line="360" w:lineRule="auto"/>
              <w:jc w:val="center"/>
              <w:rPr>
                <w:rFonts w:hint="eastAsia" w:ascii="宋体" w:hAnsi="宋体" w:cs="宋体"/>
                <w:color w:val="auto"/>
                <w:szCs w:val="21"/>
              </w:rPr>
            </w:pPr>
          </w:p>
        </w:tc>
      </w:tr>
      <w:tr w14:paraId="08B9DF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632F5A65">
            <w:pPr>
              <w:topLinePunct/>
              <w:spacing w:line="360" w:lineRule="auto"/>
              <w:jc w:val="center"/>
              <w:rPr>
                <w:rFonts w:hint="eastAsia" w:ascii="宋体" w:hAnsi="宋体" w:cs="宋体"/>
                <w:color w:val="auto"/>
                <w:szCs w:val="21"/>
              </w:rPr>
            </w:pPr>
            <w:r>
              <w:rPr>
                <w:rFonts w:hint="eastAsia" w:ascii="宋体" w:hAnsi="宋体" w:cs="宋体"/>
                <w:color w:val="auto"/>
                <w:szCs w:val="21"/>
              </w:rPr>
              <w:t>法定代表人</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5F2ED353">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34DD20B5">
            <w:pPr>
              <w:topLinePunct/>
              <w:spacing w:line="360" w:lineRule="auto"/>
              <w:jc w:val="center"/>
              <w:rPr>
                <w:rFonts w:hint="eastAsia" w:ascii="宋体" w:hAnsi="宋体" w:cs="宋体"/>
                <w:color w:val="auto"/>
                <w:szCs w:val="21"/>
              </w:rPr>
            </w:pPr>
            <w:r>
              <w:rPr>
                <w:rFonts w:hint="eastAsia" w:ascii="宋体" w:hAnsi="宋体" w:cs="宋体"/>
                <w:color w:val="auto"/>
                <w:szCs w:val="21"/>
              </w:rPr>
              <w:t>邮政编码</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5C3BC644">
            <w:pPr>
              <w:topLinePunct/>
              <w:spacing w:line="360" w:lineRule="auto"/>
              <w:jc w:val="center"/>
              <w:rPr>
                <w:rFonts w:hint="eastAsia" w:ascii="宋体" w:hAnsi="宋体" w:cs="宋体"/>
                <w:color w:val="auto"/>
                <w:szCs w:val="21"/>
              </w:rPr>
            </w:pPr>
          </w:p>
        </w:tc>
      </w:tr>
      <w:tr w14:paraId="1790AD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24E00DC9">
            <w:pPr>
              <w:topLinePunct/>
              <w:spacing w:line="360" w:lineRule="auto"/>
              <w:jc w:val="center"/>
              <w:rPr>
                <w:rFonts w:hint="eastAsia" w:ascii="宋体" w:hAnsi="宋体" w:cs="宋体"/>
                <w:color w:val="auto"/>
                <w:szCs w:val="21"/>
              </w:rPr>
            </w:pPr>
            <w:r>
              <w:rPr>
                <w:rFonts w:hint="eastAsia" w:ascii="宋体" w:hAnsi="宋体" w:cs="宋体"/>
                <w:color w:val="auto"/>
                <w:szCs w:val="21"/>
              </w:rPr>
              <w:t>委托代理人</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6A9FCCE0">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00A50998">
            <w:pPr>
              <w:topLinePunct/>
              <w:spacing w:line="360" w:lineRule="auto"/>
              <w:jc w:val="center"/>
              <w:rPr>
                <w:rFonts w:hint="eastAsia" w:ascii="宋体" w:hAnsi="宋体" w:cs="宋体"/>
                <w:color w:val="auto"/>
                <w:szCs w:val="21"/>
              </w:rPr>
            </w:pPr>
            <w:r>
              <w:rPr>
                <w:rFonts w:hint="eastAsia" w:ascii="宋体" w:hAnsi="宋体" w:cs="宋体"/>
                <w:color w:val="auto"/>
                <w:szCs w:val="21"/>
              </w:rPr>
              <w:t>电子邮箱</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1A4107D5">
            <w:pPr>
              <w:topLinePunct/>
              <w:spacing w:line="360" w:lineRule="auto"/>
              <w:jc w:val="center"/>
              <w:rPr>
                <w:rFonts w:hint="eastAsia" w:ascii="宋体" w:hAnsi="宋体" w:cs="宋体"/>
                <w:color w:val="auto"/>
                <w:szCs w:val="21"/>
              </w:rPr>
            </w:pPr>
          </w:p>
        </w:tc>
      </w:tr>
      <w:tr w14:paraId="5CDC99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3BF29DC9">
            <w:pPr>
              <w:topLinePunct/>
              <w:spacing w:line="360" w:lineRule="auto"/>
              <w:jc w:val="center"/>
              <w:rPr>
                <w:rFonts w:hint="eastAsia" w:ascii="宋体" w:hAnsi="宋体" w:cs="宋体"/>
                <w:color w:val="auto"/>
                <w:szCs w:val="21"/>
              </w:rPr>
            </w:pPr>
            <w:r>
              <w:rPr>
                <w:rFonts w:hint="eastAsia" w:ascii="宋体" w:hAnsi="宋体" w:cs="宋体"/>
                <w:color w:val="auto"/>
                <w:szCs w:val="21"/>
              </w:rPr>
              <w:t>上年营业收入</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60011984">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2E1126BC">
            <w:pPr>
              <w:topLinePunct/>
              <w:spacing w:line="360" w:lineRule="auto"/>
              <w:jc w:val="center"/>
              <w:rPr>
                <w:rFonts w:hint="eastAsia" w:ascii="宋体" w:hAnsi="宋体" w:cs="宋体"/>
                <w:color w:val="auto"/>
                <w:szCs w:val="21"/>
              </w:rPr>
            </w:pPr>
            <w:r>
              <w:rPr>
                <w:rFonts w:hint="eastAsia" w:ascii="宋体" w:hAnsi="宋体" w:cs="宋体"/>
                <w:color w:val="auto"/>
                <w:szCs w:val="21"/>
              </w:rPr>
              <w:t>员工总人数</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492550DA">
            <w:pPr>
              <w:topLinePunct/>
              <w:spacing w:line="360" w:lineRule="auto"/>
              <w:jc w:val="center"/>
              <w:rPr>
                <w:rFonts w:hint="eastAsia" w:ascii="宋体" w:hAnsi="宋体" w:cs="宋体"/>
                <w:color w:val="auto"/>
                <w:szCs w:val="21"/>
              </w:rPr>
            </w:pPr>
          </w:p>
        </w:tc>
      </w:tr>
      <w:tr w14:paraId="17E517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restart"/>
            <w:tcBorders>
              <w:top w:val="single" w:color="auto" w:sz="6" w:space="0"/>
              <w:left w:val="double" w:color="auto" w:sz="4" w:space="0"/>
              <w:bottom w:val="single" w:color="auto" w:sz="6" w:space="0"/>
              <w:right w:val="single" w:color="auto" w:sz="6" w:space="0"/>
            </w:tcBorders>
            <w:noWrap w:val="0"/>
            <w:vAlign w:val="center"/>
          </w:tcPr>
          <w:p w14:paraId="39B5F0FB">
            <w:pPr>
              <w:topLinePunct/>
              <w:spacing w:line="360" w:lineRule="auto"/>
              <w:jc w:val="center"/>
              <w:rPr>
                <w:rFonts w:hint="eastAsia" w:ascii="宋体" w:hAnsi="宋体" w:cs="宋体"/>
                <w:color w:val="auto"/>
                <w:szCs w:val="21"/>
              </w:rPr>
            </w:pPr>
            <w:r>
              <w:rPr>
                <w:rFonts w:hint="eastAsia" w:ascii="宋体" w:hAnsi="宋体" w:cs="宋体"/>
                <w:color w:val="auto"/>
                <w:szCs w:val="21"/>
              </w:rPr>
              <w:t>营业执照</w:t>
            </w: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5C239400">
            <w:pPr>
              <w:topLinePunct/>
              <w:spacing w:line="360" w:lineRule="auto"/>
              <w:jc w:val="center"/>
              <w:rPr>
                <w:rFonts w:hint="eastAsia" w:ascii="宋体" w:hAnsi="宋体" w:cs="宋体"/>
                <w:color w:val="auto"/>
                <w:szCs w:val="21"/>
              </w:rPr>
            </w:pPr>
            <w:r>
              <w:rPr>
                <w:rFonts w:hint="eastAsia" w:ascii="宋体" w:hAnsi="宋体" w:cs="宋体"/>
                <w:color w:val="auto"/>
                <w:szCs w:val="21"/>
              </w:rPr>
              <w:t>注册号码</w:t>
            </w:r>
          </w:p>
        </w:tc>
        <w:tc>
          <w:tcPr>
            <w:tcW w:w="1460" w:type="dxa"/>
            <w:gridSpan w:val="2"/>
            <w:tcBorders>
              <w:top w:val="single" w:color="auto" w:sz="6" w:space="0"/>
              <w:left w:val="single" w:color="auto" w:sz="6" w:space="0"/>
              <w:bottom w:val="single" w:color="auto" w:sz="6" w:space="0"/>
              <w:right w:val="single" w:color="auto" w:sz="6" w:space="0"/>
            </w:tcBorders>
            <w:noWrap w:val="0"/>
            <w:vAlign w:val="center"/>
          </w:tcPr>
          <w:p w14:paraId="247FECCE">
            <w:pPr>
              <w:topLinePunct/>
              <w:spacing w:line="360" w:lineRule="auto"/>
              <w:jc w:val="center"/>
              <w:rPr>
                <w:rFonts w:hint="eastAsia" w:ascii="宋体" w:hAnsi="宋体" w:cs="宋体"/>
                <w:color w:val="auto"/>
                <w:szCs w:val="21"/>
              </w:rPr>
            </w:pPr>
          </w:p>
        </w:tc>
        <w:tc>
          <w:tcPr>
            <w:tcW w:w="1396" w:type="dxa"/>
            <w:gridSpan w:val="2"/>
            <w:tcBorders>
              <w:top w:val="single" w:color="auto" w:sz="6" w:space="0"/>
              <w:left w:val="single" w:color="auto" w:sz="6" w:space="0"/>
              <w:bottom w:val="single" w:color="auto" w:sz="6" w:space="0"/>
              <w:right w:val="single" w:color="auto" w:sz="6" w:space="0"/>
            </w:tcBorders>
            <w:noWrap w:val="0"/>
            <w:vAlign w:val="center"/>
          </w:tcPr>
          <w:p w14:paraId="391355C5">
            <w:pPr>
              <w:topLinePunct/>
              <w:spacing w:line="360" w:lineRule="auto"/>
              <w:ind w:firstLine="110" w:firstLineChars="50"/>
              <w:jc w:val="center"/>
              <w:rPr>
                <w:rFonts w:hint="eastAsia" w:ascii="宋体" w:hAnsi="宋体" w:cs="宋体"/>
                <w:color w:val="auto"/>
                <w:szCs w:val="21"/>
              </w:rPr>
            </w:pPr>
            <w:r>
              <w:rPr>
                <w:rFonts w:hint="eastAsia" w:ascii="宋体" w:hAnsi="宋体" w:cs="宋体"/>
                <w:color w:val="auto"/>
                <w:szCs w:val="21"/>
              </w:rPr>
              <w:t>注册地址</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51DCBD87">
            <w:pPr>
              <w:topLinePunct/>
              <w:spacing w:line="360" w:lineRule="auto"/>
              <w:ind w:firstLine="110" w:firstLineChars="50"/>
              <w:jc w:val="center"/>
              <w:rPr>
                <w:rFonts w:hint="eastAsia" w:ascii="宋体" w:hAnsi="宋体" w:cs="宋体"/>
                <w:color w:val="auto"/>
                <w:szCs w:val="21"/>
              </w:rPr>
            </w:pPr>
          </w:p>
        </w:tc>
      </w:tr>
      <w:tr w14:paraId="022B41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12467BCA">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79774101">
            <w:pPr>
              <w:topLinePunct/>
              <w:spacing w:line="360" w:lineRule="auto"/>
              <w:jc w:val="center"/>
              <w:rPr>
                <w:rFonts w:hint="eastAsia" w:ascii="宋体" w:hAnsi="宋体" w:cs="宋体"/>
                <w:color w:val="auto"/>
                <w:szCs w:val="21"/>
              </w:rPr>
            </w:pPr>
            <w:r>
              <w:rPr>
                <w:rFonts w:hint="eastAsia" w:ascii="宋体" w:hAnsi="宋体" w:cs="宋体"/>
                <w:color w:val="auto"/>
                <w:szCs w:val="21"/>
              </w:rPr>
              <w:t>发证机关</w:t>
            </w:r>
          </w:p>
        </w:tc>
        <w:tc>
          <w:tcPr>
            <w:tcW w:w="1460" w:type="dxa"/>
            <w:gridSpan w:val="2"/>
            <w:tcBorders>
              <w:top w:val="single" w:color="auto" w:sz="6" w:space="0"/>
              <w:left w:val="single" w:color="auto" w:sz="6" w:space="0"/>
              <w:bottom w:val="single" w:color="auto" w:sz="6" w:space="0"/>
              <w:right w:val="single" w:color="auto" w:sz="6" w:space="0"/>
            </w:tcBorders>
            <w:noWrap w:val="0"/>
            <w:vAlign w:val="center"/>
          </w:tcPr>
          <w:p w14:paraId="1E08754B">
            <w:pPr>
              <w:topLinePunct/>
              <w:spacing w:line="360" w:lineRule="auto"/>
              <w:jc w:val="center"/>
              <w:rPr>
                <w:rFonts w:hint="eastAsia" w:ascii="宋体" w:hAnsi="宋体" w:cs="宋体"/>
                <w:color w:val="auto"/>
                <w:szCs w:val="21"/>
              </w:rPr>
            </w:pPr>
          </w:p>
        </w:tc>
        <w:tc>
          <w:tcPr>
            <w:tcW w:w="1396" w:type="dxa"/>
            <w:gridSpan w:val="2"/>
            <w:tcBorders>
              <w:top w:val="single" w:color="auto" w:sz="6" w:space="0"/>
              <w:left w:val="single" w:color="auto" w:sz="6" w:space="0"/>
              <w:bottom w:val="single" w:color="auto" w:sz="6" w:space="0"/>
              <w:right w:val="single" w:color="auto" w:sz="6" w:space="0"/>
            </w:tcBorders>
            <w:noWrap w:val="0"/>
            <w:vAlign w:val="center"/>
          </w:tcPr>
          <w:p w14:paraId="2A9DBF31">
            <w:pPr>
              <w:topLinePunct/>
              <w:spacing w:line="360" w:lineRule="auto"/>
              <w:ind w:firstLine="110" w:firstLineChars="50"/>
              <w:jc w:val="center"/>
              <w:rPr>
                <w:rFonts w:hint="eastAsia" w:ascii="宋体" w:hAnsi="宋体" w:cs="宋体"/>
                <w:color w:val="auto"/>
                <w:szCs w:val="21"/>
              </w:rPr>
            </w:pPr>
            <w:r>
              <w:rPr>
                <w:rFonts w:hint="eastAsia" w:ascii="宋体" w:hAnsi="宋体" w:cs="宋体"/>
                <w:color w:val="auto"/>
                <w:szCs w:val="21"/>
              </w:rPr>
              <w:t>发证日期</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6EE7A303">
            <w:pPr>
              <w:topLinePunct/>
              <w:spacing w:line="360" w:lineRule="auto"/>
              <w:ind w:firstLine="110" w:firstLineChars="50"/>
              <w:jc w:val="center"/>
              <w:rPr>
                <w:rFonts w:hint="eastAsia" w:ascii="宋体" w:hAnsi="宋体" w:cs="宋体"/>
                <w:color w:val="auto"/>
                <w:szCs w:val="21"/>
              </w:rPr>
            </w:pPr>
          </w:p>
        </w:tc>
      </w:tr>
      <w:tr w14:paraId="0EEB6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28961639">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4A324F85">
            <w:pPr>
              <w:topLinePunct/>
              <w:spacing w:line="360" w:lineRule="auto"/>
              <w:jc w:val="center"/>
              <w:rPr>
                <w:rFonts w:hint="eastAsia" w:ascii="宋体" w:hAnsi="宋体" w:cs="宋体"/>
                <w:color w:val="auto"/>
                <w:szCs w:val="21"/>
              </w:rPr>
            </w:pPr>
            <w:r>
              <w:rPr>
                <w:rFonts w:hint="eastAsia" w:ascii="宋体" w:hAnsi="宋体" w:cs="宋体"/>
                <w:color w:val="auto"/>
                <w:szCs w:val="21"/>
              </w:rPr>
              <w:t>营业范围（主营）</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104E422C">
            <w:pPr>
              <w:topLinePunct/>
              <w:spacing w:line="360" w:lineRule="auto"/>
              <w:ind w:firstLine="110" w:firstLineChars="50"/>
              <w:jc w:val="center"/>
              <w:rPr>
                <w:rFonts w:hint="eastAsia" w:ascii="宋体" w:hAnsi="宋体" w:cs="宋体"/>
                <w:color w:val="auto"/>
                <w:szCs w:val="21"/>
              </w:rPr>
            </w:pPr>
          </w:p>
        </w:tc>
      </w:tr>
      <w:tr w14:paraId="6127F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4A39EA66">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4B94C851">
            <w:pPr>
              <w:topLinePunct/>
              <w:spacing w:line="360" w:lineRule="auto"/>
              <w:jc w:val="center"/>
              <w:rPr>
                <w:rFonts w:hint="eastAsia" w:ascii="宋体" w:hAnsi="宋体" w:cs="宋体"/>
                <w:color w:val="auto"/>
                <w:szCs w:val="21"/>
              </w:rPr>
            </w:pPr>
            <w:r>
              <w:rPr>
                <w:rFonts w:hint="eastAsia" w:ascii="宋体" w:hAnsi="宋体" w:cs="宋体"/>
                <w:color w:val="auto"/>
                <w:szCs w:val="21"/>
              </w:rPr>
              <w:t>营业范围（兼营）</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7A70A5EF">
            <w:pPr>
              <w:topLinePunct/>
              <w:spacing w:line="360" w:lineRule="auto"/>
              <w:ind w:firstLine="110" w:firstLineChars="50"/>
              <w:jc w:val="center"/>
              <w:rPr>
                <w:rFonts w:hint="eastAsia" w:ascii="宋体" w:hAnsi="宋体" w:cs="宋体"/>
                <w:color w:val="auto"/>
                <w:szCs w:val="21"/>
              </w:rPr>
            </w:pPr>
          </w:p>
        </w:tc>
      </w:tr>
      <w:tr w14:paraId="329B7E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1" w:hRule="atLeast"/>
        </w:trPr>
        <w:tc>
          <w:tcPr>
            <w:tcW w:w="2801" w:type="dxa"/>
            <w:gridSpan w:val="4"/>
            <w:tcBorders>
              <w:top w:val="single" w:color="auto" w:sz="6" w:space="0"/>
              <w:left w:val="double" w:color="auto" w:sz="4" w:space="0"/>
              <w:bottom w:val="single" w:color="auto" w:sz="6" w:space="0"/>
              <w:right w:val="single" w:color="auto" w:sz="6" w:space="0"/>
            </w:tcBorders>
            <w:noWrap w:val="0"/>
            <w:vAlign w:val="center"/>
          </w:tcPr>
          <w:p w14:paraId="5204F2FB">
            <w:pPr>
              <w:topLinePunct/>
              <w:spacing w:line="360" w:lineRule="auto"/>
              <w:jc w:val="center"/>
              <w:rPr>
                <w:rFonts w:hint="eastAsia" w:ascii="宋体" w:hAnsi="宋体" w:cs="宋体"/>
                <w:color w:val="auto"/>
                <w:szCs w:val="21"/>
              </w:rPr>
            </w:pPr>
            <w:r>
              <w:rPr>
                <w:rFonts w:hint="eastAsia" w:ascii="宋体" w:hAnsi="宋体" w:cs="宋体"/>
                <w:color w:val="auto"/>
                <w:szCs w:val="21"/>
              </w:rPr>
              <w:t>基本账户开户行及账号</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489CB9AC">
            <w:pPr>
              <w:topLinePunct/>
              <w:spacing w:line="360" w:lineRule="auto"/>
              <w:jc w:val="center"/>
              <w:rPr>
                <w:rFonts w:hint="eastAsia" w:ascii="宋体" w:hAnsi="宋体" w:cs="宋体"/>
                <w:color w:val="auto"/>
                <w:szCs w:val="21"/>
              </w:rPr>
            </w:pPr>
          </w:p>
        </w:tc>
      </w:tr>
      <w:tr w14:paraId="459410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1" w:hRule="atLeast"/>
        </w:trPr>
        <w:tc>
          <w:tcPr>
            <w:tcW w:w="2801" w:type="dxa"/>
            <w:gridSpan w:val="4"/>
            <w:tcBorders>
              <w:top w:val="single" w:color="auto" w:sz="6" w:space="0"/>
              <w:left w:val="double" w:color="auto" w:sz="4" w:space="0"/>
              <w:bottom w:val="single" w:color="auto" w:sz="6" w:space="0"/>
              <w:right w:val="single" w:color="auto" w:sz="6" w:space="0"/>
            </w:tcBorders>
            <w:noWrap w:val="0"/>
            <w:vAlign w:val="center"/>
          </w:tcPr>
          <w:p w14:paraId="4A91ADF6">
            <w:pPr>
              <w:topLinePunct/>
              <w:spacing w:line="360" w:lineRule="auto"/>
              <w:jc w:val="center"/>
              <w:rPr>
                <w:rFonts w:hint="eastAsia" w:ascii="宋体" w:hAnsi="宋体" w:cs="宋体"/>
                <w:color w:val="auto"/>
                <w:szCs w:val="21"/>
              </w:rPr>
            </w:pPr>
            <w:r>
              <w:rPr>
                <w:rFonts w:hint="eastAsia" w:ascii="宋体" w:hAnsi="宋体" w:cs="宋体"/>
                <w:color w:val="auto"/>
                <w:szCs w:val="21"/>
              </w:rPr>
              <w:t>税务登记机关</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2ECA22E1">
            <w:pPr>
              <w:topLinePunct/>
              <w:spacing w:line="360" w:lineRule="auto"/>
              <w:jc w:val="center"/>
              <w:rPr>
                <w:rFonts w:hint="eastAsia" w:ascii="宋体" w:hAnsi="宋体" w:cs="宋体"/>
                <w:color w:val="auto"/>
                <w:szCs w:val="21"/>
              </w:rPr>
            </w:pPr>
          </w:p>
        </w:tc>
      </w:tr>
      <w:tr w14:paraId="4D0480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0"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3979D31A">
            <w:pPr>
              <w:topLinePunct/>
              <w:spacing w:line="360" w:lineRule="auto"/>
              <w:jc w:val="center"/>
              <w:rPr>
                <w:rFonts w:hint="eastAsia" w:ascii="宋体" w:hAnsi="宋体" w:cs="宋体"/>
                <w:color w:val="auto"/>
                <w:szCs w:val="21"/>
              </w:rPr>
            </w:pPr>
            <w:r>
              <w:rPr>
                <w:rFonts w:hint="eastAsia" w:ascii="宋体" w:hAnsi="宋体" w:cs="宋体"/>
                <w:color w:val="auto"/>
                <w:szCs w:val="21"/>
              </w:rPr>
              <w:t>资质名称</w:t>
            </w: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2C154012">
            <w:pPr>
              <w:topLinePunct/>
              <w:spacing w:line="360" w:lineRule="auto"/>
              <w:jc w:val="center"/>
              <w:rPr>
                <w:rFonts w:hint="eastAsia" w:ascii="宋体" w:hAnsi="宋体" w:cs="宋体"/>
                <w:color w:val="auto"/>
                <w:szCs w:val="21"/>
              </w:rPr>
            </w:pPr>
            <w:r>
              <w:rPr>
                <w:rFonts w:hint="eastAsia" w:ascii="宋体" w:hAnsi="宋体" w:cs="宋体"/>
                <w:color w:val="auto"/>
                <w:szCs w:val="21"/>
              </w:rPr>
              <w:t>等级</w:t>
            </w:r>
          </w:p>
        </w:tc>
        <w:tc>
          <w:tcPr>
            <w:tcW w:w="1099" w:type="dxa"/>
            <w:tcBorders>
              <w:top w:val="single" w:color="auto" w:sz="6" w:space="0"/>
              <w:left w:val="single" w:color="auto" w:sz="6" w:space="0"/>
              <w:bottom w:val="single" w:color="auto" w:sz="6" w:space="0"/>
              <w:right w:val="single" w:color="auto" w:sz="6" w:space="0"/>
            </w:tcBorders>
            <w:noWrap w:val="0"/>
            <w:vAlign w:val="center"/>
          </w:tcPr>
          <w:p w14:paraId="5DDC2B30">
            <w:pPr>
              <w:topLinePunct/>
              <w:spacing w:line="360" w:lineRule="auto"/>
              <w:jc w:val="center"/>
              <w:rPr>
                <w:rFonts w:hint="eastAsia" w:ascii="宋体" w:hAnsi="宋体" w:cs="宋体"/>
                <w:color w:val="auto"/>
                <w:szCs w:val="21"/>
              </w:rPr>
            </w:pPr>
            <w:r>
              <w:rPr>
                <w:rFonts w:hint="eastAsia" w:ascii="宋体" w:hAnsi="宋体" w:cs="宋体"/>
                <w:color w:val="auto"/>
                <w:szCs w:val="21"/>
              </w:rPr>
              <w:t>发证机关</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74F25FA9">
            <w:pPr>
              <w:topLinePunct/>
              <w:spacing w:line="360" w:lineRule="auto"/>
              <w:jc w:val="center"/>
              <w:rPr>
                <w:rFonts w:hint="eastAsia" w:ascii="宋体" w:hAnsi="宋体" w:cs="宋体"/>
                <w:color w:val="auto"/>
                <w:szCs w:val="21"/>
              </w:rPr>
            </w:pPr>
            <w:r>
              <w:rPr>
                <w:rFonts w:hint="eastAsia" w:ascii="宋体" w:hAnsi="宋体" w:cs="宋体"/>
                <w:color w:val="auto"/>
                <w:szCs w:val="21"/>
              </w:rPr>
              <w:t>有效期</w:t>
            </w:r>
          </w:p>
        </w:tc>
      </w:tr>
      <w:tr w14:paraId="1194CB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42A7EDE0">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33C90ACD">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5F785DD5">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266EFE94">
            <w:pPr>
              <w:topLinePunct/>
              <w:spacing w:line="360" w:lineRule="auto"/>
              <w:jc w:val="center"/>
              <w:rPr>
                <w:rFonts w:hint="eastAsia" w:ascii="宋体" w:hAnsi="宋体" w:cs="宋体"/>
                <w:color w:val="auto"/>
                <w:szCs w:val="21"/>
              </w:rPr>
            </w:pPr>
          </w:p>
        </w:tc>
      </w:tr>
      <w:tr w14:paraId="2CB431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75D245B9">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028CD913">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40601E61">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490483D8">
            <w:pPr>
              <w:topLinePunct/>
              <w:spacing w:line="360" w:lineRule="auto"/>
              <w:jc w:val="center"/>
              <w:rPr>
                <w:rFonts w:hint="eastAsia" w:ascii="宋体" w:hAnsi="宋体" w:cs="宋体"/>
                <w:color w:val="auto"/>
                <w:szCs w:val="21"/>
              </w:rPr>
            </w:pPr>
          </w:p>
        </w:tc>
      </w:tr>
      <w:tr w14:paraId="451293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37632B52">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147762EB">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56127851">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0ED4018D">
            <w:pPr>
              <w:topLinePunct/>
              <w:spacing w:line="360" w:lineRule="auto"/>
              <w:jc w:val="center"/>
              <w:rPr>
                <w:rFonts w:hint="eastAsia" w:ascii="宋体" w:hAnsi="宋体" w:cs="宋体"/>
                <w:color w:val="auto"/>
                <w:szCs w:val="21"/>
              </w:rPr>
            </w:pPr>
          </w:p>
        </w:tc>
      </w:tr>
      <w:tr w14:paraId="69328F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02D3AEEE">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77FAF6BB">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1AD8320E">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04F0B758">
            <w:pPr>
              <w:topLinePunct/>
              <w:spacing w:line="360" w:lineRule="auto"/>
              <w:jc w:val="center"/>
              <w:rPr>
                <w:rFonts w:hint="eastAsia" w:ascii="宋体" w:hAnsi="宋体" w:cs="宋体"/>
                <w:color w:val="auto"/>
                <w:szCs w:val="21"/>
              </w:rPr>
            </w:pPr>
          </w:p>
        </w:tc>
      </w:tr>
      <w:tr w14:paraId="0A3FFA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78" w:hRule="atLeast"/>
        </w:trPr>
        <w:tc>
          <w:tcPr>
            <w:tcW w:w="1275" w:type="dxa"/>
            <w:gridSpan w:val="2"/>
            <w:tcBorders>
              <w:top w:val="single" w:color="auto" w:sz="6" w:space="0"/>
              <w:left w:val="double" w:color="auto" w:sz="4" w:space="0"/>
              <w:bottom w:val="double" w:color="auto" w:sz="4" w:space="0"/>
              <w:right w:val="single" w:color="auto" w:sz="6" w:space="0"/>
            </w:tcBorders>
            <w:noWrap w:val="0"/>
            <w:vAlign w:val="center"/>
          </w:tcPr>
          <w:p w14:paraId="16B9F45C">
            <w:pPr>
              <w:topLinePunct/>
              <w:spacing w:line="360" w:lineRule="auto"/>
              <w:jc w:val="center"/>
              <w:rPr>
                <w:rFonts w:hint="eastAsia" w:ascii="宋体" w:hAnsi="宋体" w:cs="宋体"/>
                <w:color w:val="auto"/>
                <w:szCs w:val="21"/>
              </w:rPr>
            </w:pPr>
            <w:r>
              <w:rPr>
                <w:rFonts w:hint="eastAsia" w:ascii="宋体" w:hAnsi="宋体" w:cs="宋体"/>
                <w:color w:val="auto"/>
                <w:szCs w:val="21"/>
              </w:rPr>
              <w:t>备注</w:t>
            </w:r>
          </w:p>
        </w:tc>
        <w:tc>
          <w:tcPr>
            <w:tcW w:w="7666" w:type="dxa"/>
            <w:gridSpan w:val="8"/>
            <w:tcBorders>
              <w:top w:val="single" w:color="auto" w:sz="6" w:space="0"/>
              <w:left w:val="single" w:color="auto" w:sz="6" w:space="0"/>
              <w:bottom w:val="double" w:color="auto" w:sz="4" w:space="0"/>
              <w:right w:val="double" w:color="auto" w:sz="4" w:space="0"/>
            </w:tcBorders>
            <w:noWrap w:val="0"/>
            <w:vAlign w:val="center"/>
          </w:tcPr>
          <w:p w14:paraId="102D443A">
            <w:pPr>
              <w:topLinePunct/>
              <w:spacing w:line="360" w:lineRule="auto"/>
              <w:rPr>
                <w:rFonts w:hint="eastAsia" w:ascii="宋体" w:hAnsi="宋体" w:cs="宋体"/>
                <w:color w:val="auto"/>
                <w:szCs w:val="21"/>
              </w:rPr>
            </w:pPr>
            <w:r>
              <w:rPr>
                <w:rFonts w:hint="eastAsia" w:ascii="宋体" w:hAnsi="宋体" w:cs="宋体"/>
                <w:color w:val="auto"/>
                <w:szCs w:val="21"/>
              </w:rPr>
              <w:t>后附《营业执照》（副本）复印件</w:t>
            </w:r>
          </w:p>
        </w:tc>
      </w:tr>
    </w:tbl>
    <w:p w14:paraId="142C4BE5">
      <w:pPr>
        <w:rPr>
          <w:rFonts w:hint="eastAsia" w:ascii="宋体" w:hAnsi="宋体"/>
          <w:sz w:val="24"/>
          <w:highlight w:val="none"/>
        </w:rPr>
      </w:pPr>
    </w:p>
    <w:p w14:paraId="4F16F8E8">
      <w:pPr>
        <w:pStyle w:val="15"/>
        <w:adjustRightInd w:val="0"/>
        <w:snapToGrid w:val="0"/>
        <w:rPr>
          <w:rFonts w:hint="eastAsia" w:ascii="宋体" w:hAnsi="宋体" w:cs="宋体"/>
          <w:bCs/>
          <w:szCs w:val="24"/>
          <w:highlight w:val="none"/>
        </w:rPr>
      </w:pPr>
      <w:r>
        <w:rPr>
          <w:rFonts w:hint="eastAsia" w:ascii="宋体" w:hAnsi="宋体" w:cs="宋体"/>
          <w:szCs w:val="24"/>
          <w:highlight w:val="none"/>
        </w:rPr>
        <w:t>供应商名称</w:t>
      </w:r>
      <w:r>
        <w:rPr>
          <w:rFonts w:hint="eastAsia" w:ascii="宋体" w:hAnsi="宋体" w:cs="宋体"/>
          <w:color w:val="000000"/>
          <w:szCs w:val="24"/>
          <w:highlight w:val="none"/>
        </w:rPr>
        <w:t>(盖单位章)</w:t>
      </w:r>
      <w:r>
        <w:rPr>
          <w:rFonts w:hint="eastAsia" w:ascii="宋体" w:hAnsi="宋体" w:cs="宋体"/>
          <w:szCs w:val="24"/>
          <w:highlight w:val="none"/>
        </w:rPr>
        <w:t>：</w:t>
      </w:r>
      <w:r>
        <w:rPr>
          <w:rFonts w:hint="eastAsia" w:ascii="宋体" w:hAnsi="宋体"/>
          <w:color w:val="000000"/>
          <w:szCs w:val="24"/>
          <w:highlight w:val="none"/>
          <w:u w:val="single"/>
        </w:rPr>
        <w:t xml:space="preserve">               </w:t>
      </w:r>
    </w:p>
    <w:p w14:paraId="6279721F">
      <w:pPr>
        <w:adjustRightInd w:val="0"/>
        <w:snapToGrid w:val="0"/>
        <w:rPr>
          <w:rFonts w:hint="eastAsia" w:ascii="宋体" w:hAnsi="宋体" w:cs="宋体"/>
          <w:sz w:val="24"/>
          <w:highlight w:val="none"/>
        </w:rPr>
      </w:pPr>
      <w:r>
        <w:rPr>
          <w:rFonts w:hint="eastAsia" w:ascii="宋体" w:hAnsi="宋体" w:cs="宋体"/>
          <w:sz w:val="24"/>
          <w:highlight w:val="none"/>
        </w:rPr>
        <w:t>法定代表人或其委托代理人(</w:t>
      </w:r>
      <w:r>
        <w:rPr>
          <w:rFonts w:hint="eastAsia" w:ascii="宋体" w:hAnsi="宋体" w:cs="宋体"/>
          <w:color w:val="000000"/>
          <w:sz w:val="24"/>
          <w:highlight w:val="none"/>
        </w:rPr>
        <w:t>签字或印章</w:t>
      </w:r>
      <w:r>
        <w:rPr>
          <w:rFonts w:hint="eastAsia" w:ascii="宋体" w:hAnsi="宋体" w:cs="宋体"/>
          <w:sz w:val="24"/>
          <w:highlight w:val="none"/>
        </w:rPr>
        <w:t>)：</w:t>
      </w:r>
      <w:r>
        <w:rPr>
          <w:rFonts w:hint="eastAsia" w:ascii="宋体" w:hAnsi="宋体"/>
          <w:color w:val="000000"/>
          <w:sz w:val="24"/>
          <w:highlight w:val="none"/>
          <w:u w:val="single"/>
        </w:rPr>
        <w:t xml:space="preserve">               </w:t>
      </w:r>
    </w:p>
    <w:p w14:paraId="304E39C8">
      <w:pPr>
        <w:adjustRightInd w:val="0"/>
        <w:snapToGrid w:val="0"/>
        <w:rPr>
          <w:b/>
          <w:bCs/>
          <w:color w:val="000000"/>
          <w:highlight w:val="none"/>
        </w:rPr>
      </w:pPr>
      <w:r>
        <w:rPr>
          <w:rFonts w:hint="eastAsia" w:ascii="宋体" w:hAnsi="宋体" w:cs="宋体"/>
          <w:sz w:val="24"/>
          <w:highlight w:val="none"/>
        </w:rPr>
        <w:t>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36FC1B2B">
      <w:pPr>
        <w:topLinePunct/>
        <w:adjustRightInd w:val="0"/>
        <w:snapToGrid w:val="0"/>
        <w:rPr>
          <w:rFonts w:ascii="宋体" w:hAnsi="宋体"/>
          <w:color w:val="000000"/>
          <w:szCs w:val="21"/>
          <w:highlight w:val="none"/>
        </w:rPr>
      </w:pPr>
      <w:r>
        <w:rPr>
          <w:rFonts w:ascii="GEETYPE晴空黑GB 中黑" w:hAnsi="宋体" w:eastAsia="GEETYPE晴空黑GB 中黑"/>
          <w:bCs/>
          <w:szCs w:val="21"/>
          <w:highlight w:val="none"/>
        </w:rPr>
        <w:br w:type="page"/>
      </w:r>
    </w:p>
    <w:p w14:paraId="568EA005">
      <w:pPr>
        <w:spacing w:line="480" w:lineRule="exact"/>
        <w:rPr>
          <w:rFonts w:hint="eastAsia" w:ascii="宋体" w:hAnsi="宋体"/>
          <w:color w:val="000000"/>
          <w:sz w:val="30"/>
          <w:szCs w:val="30"/>
          <w:highlight w:val="none"/>
        </w:rPr>
      </w:pPr>
    </w:p>
    <w:p w14:paraId="0B9FF5EE">
      <w:pPr>
        <w:spacing w:line="480" w:lineRule="exact"/>
        <w:rPr>
          <w:rFonts w:hint="eastAsia" w:ascii="宋体" w:hAnsi="宋体"/>
          <w:color w:val="000000"/>
          <w:sz w:val="30"/>
          <w:szCs w:val="30"/>
          <w:highlight w:val="none"/>
        </w:rPr>
      </w:pPr>
    </w:p>
    <w:p w14:paraId="7F1F6602">
      <w:pPr>
        <w:spacing w:line="480" w:lineRule="exact"/>
        <w:rPr>
          <w:rFonts w:hint="eastAsia" w:ascii="宋体" w:hAnsi="宋体"/>
          <w:color w:val="000000"/>
          <w:sz w:val="30"/>
          <w:szCs w:val="30"/>
          <w:highlight w:val="none"/>
        </w:rPr>
      </w:pPr>
    </w:p>
    <w:p w14:paraId="3B71F8ED">
      <w:pPr>
        <w:spacing w:line="480" w:lineRule="exact"/>
        <w:rPr>
          <w:rFonts w:hint="eastAsia" w:ascii="宋体" w:hAnsi="宋体"/>
          <w:color w:val="000000"/>
          <w:sz w:val="30"/>
          <w:szCs w:val="30"/>
          <w:highlight w:val="none"/>
        </w:rPr>
      </w:pPr>
      <w:r>
        <w:rPr>
          <w:rFonts w:hint="eastAsia" w:ascii="宋体" w:hAnsi="宋体" w:cs="宋体"/>
          <w:b/>
          <w:bCs/>
          <w:color w:val="000000"/>
          <w:sz w:val="24"/>
          <w:highlight w:val="none"/>
        </w:rPr>
        <w:t xml:space="preserve">附件3-2 </w:t>
      </w:r>
      <w:r>
        <w:rPr>
          <w:rFonts w:hint="eastAsia" w:ascii="宋体" w:hAnsi="宋体"/>
          <w:color w:val="000000"/>
          <w:sz w:val="24"/>
          <w:highlight w:val="none"/>
        </w:rPr>
        <w:t xml:space="preserve"> </w:t>
      </w:r>
      <w:r>
        <w:rPr>
          <w:rFonts w:hint="eastAsia" w:ascii="宋体" w:hAnsi="宋体"/>
          <w:color w:val="000000"/>
          <w:sz w:val="30"/>
          <w:szCs w:val="30"/>
          <w:highlight w:val="none"/>
        </w:rPr>
        <w:t xml:space="preserve">    </w:t>
      </w:r>
    </w:p>
    <w:p w14:paraId="30401DF7">
      <w:pPr>
        <w:pStyle w:val="4"/>
        <w:jc w:val="center"/>
        <w:rPr>
          <w:szCs w:val="28"/>
          <w:highlight w:val="none"/>
        </w:rPr>
      </w:pPr>
      <w:bookmarkStart w:id="197" w:name="_Toc2038"/>
      <w:bookmarkStart w:id="198" w:name="_Toc18991"/>
      <w:r>
        <w:rPr>
          <w:sz w:val="28"/>
          <w:szCs w:val="28"/>
          <w:highlight w:val="none"/>
        </w:rPr>
        <w:t>磋商文件规定的基本资格条件证明资料</w:t>
      </w:r>
      <w:bookmarkEnd w:id="197"/>
      <w:bookmarkEnd w:id="198"/>
    </w:p>
    <w:p w14:paraId="362B498C">
      <w:pPr>
        <w:spacing w:line="480" w:lineRule="exact"/>
        <w:rPr>
          <w:rFonts w:ascii="宋体" w:hAnsi="宋体"/>
          <w:color w:val="000000"/>
          <w:szCs w:val="21"/>
          <w:highlight w:val="none"/>
        </w:rPr>
      </w:pPr>
    </w:p>
    <w:p w14:paraId="145B1D9E">
      <w:pPr>
        <w:ind w:firstLine="602" w:firstLineChars="250"/>
        <w:rPr>
          <w:rFonts w:hint="eastAsia" w:ascii="宋体" w:hAnsi="宋体" w:cs="宋体"/>
          <w:b/>
          <w:bCs/>
          <w:sz w:val="24"/>
          <w:szCs w:val="24"/>
          <w:highlight w:val="none"/>
        </w:rPr>
      </w:pPr>
      <w:r>
        <w:rPr>
          <w:rFonts w:hint="eastAsia" w:ascii="宋体" w:hAnsi="宋体" w:cs="宋体"/>
          <w:b/>
          <w:bCs/>
          <w:color w:val="000000"/>
          <w:sz w:val="24"/>
          <w:szCs w:val="24"/>
          <w:highlight w:val="none"/>
        </w:rPr>
        <w:t>注：提供第二章磋商须知第3.1款供应商资格条件中供应商基本资格条件证明资料的复印件。</w:t>
      </w:r>
    </w:p>
    <w:p w14:paraId="280C433C">
      <w:pPr>
        <w:numPr>
          <w:ilvl w:val="0"/>
          <w:numId w:val="0"/>
        </w:numPr>
        <w:adjustRightInd w:val="0"/>
        <w:snapToGrid w:val="0"/>
        <w:spacing w:before="156" w:beforeLines="50" w:line="360" w:lineRule="auto"/>
        <w:ind w:leftChars="0" w:firstLine="480" w:firstLineChars="200"/>
        <w:rPr>
          <w:rFonts w:hint="eastAsia" w:ascii="宋体" w:hAnsi="宋体"/>
          <w:sz w:val="24"/>
          <w:szCs w:val="24"/>
          <w:highlight w:val="none"/>
        </w:rPr>
      </w:pPr>
      <w:r>
        <w:rPr>
          <w:rFonts w:hint="eastAsia" w:ascii="宋体" w:hAnsi="宋体" w:eastAsia="宋体" w:cs="宋体"/>
          <w:color w:val="000000"/>
          <w:kern w:val="0"/>
          <w:sz w:val="24"/>
          <w:szCs w:val="24"/>
          <w:highlight w:val="none"/>
          <w:lang w:val="en-US" w:eastAsia="zh-CN" w:bidi="ar"/>
        </w:rPr>
        <w:t>1、</w:t>
      </w:r>
      <w:r>
        <w:rPr>
          <w:rFonts w:hint="eastAsia" w:ascii="宋体" w:hAnsi="宋体"/>
          <w:sz w:val="24"/>
          <w:szCs w:val="24"/>
          <w:highlight w:val="none"/>
        </w:rPr>
        <w:t>法人或者其他组织的营业执照等主体资格证明文件，自然人的身份证明：</w:t>
      </w:r>
    </w:p>
    <w:p w14:paraId="341D27EB">
      <w:pPr>
        <w:spacing w:line="480" w:lineRule="exact"/>
        <w:ind w:firstLine="480" w:firstLineChars="200"/>
        <w:rPr>
          <w:rFonts w:hint="eastAsia" w:ascii="宋体" w:hAnsi="宋体" w:eastAsia="宋体"/>
          <w:sz w:val="24"/>
          <w:szCs w:val="24"/>
          <w:highlight w:val="none"/>
          <w:lang w:eastAsia="zh-CN"/>
        </w:rPr>
      </w:pPr>
      <w:r>
        <w:rPr>
          <w:rFonts w:hint="eastAsia" w:ascii="宋体" w:hAnsi="宋体"/>
          <w:sz w:val="24"/>
          <w:szCs w:val="24"/>
          <w:highlight w:val="none"/>
          <w:lang w:eastAsia="zh-CN"/>
        </w:rPr>
        <w:t>供应商</w:t>
      </w:r>
      <w:r>
        <w:rPr>
          <w:rFonts w:hint="eastAsia" w:ascii="宋体" w:hAnsi="宋体"/>
          <w:sz w:val="24"/>
          <w:szCs w:val="24"/>
          <w:highlight w:val="none"/>
        </w:rPr>
        <w:t>为法人的，应提交营业执照或法人登记证书的复印件；</w:t>
      </w:r>
      <w:r>
        <w:rPr>
          <w:rFonts w:hint="eastAsia" w:ascii="宋体" w:hAnsi="宋体"/>
          <w:sz w:val="24"/>
          <w:szCs w:val="24"/>
          <w:highlight w:val="none"/>
          <w:lang w:eastAsia="zh-CN"/>
        </w:rPr>
        <w:t>供应商</w:t>
      </w:r>
      <w:r>
        <w:rPr>
          <w:rFonts w:hint="eastAsia" w:ascii="宋体" w:hAnsi="宋体"/>
          <w:sz w:val="24"/>
          <w:szCs w:val="24"/>
          <w:highlight w:val="none"/>
        </w:rPr>
        <w:t>为非法人组织的，应提交依法登记证书复印件；</w:t>
      </w:r>
      <w:r>
        <w:rPr>
          <w:rFonts w:hint="eastAsia" w:ascii="宋体" w:hAnsi="宋体"/>
          <w:sz w:val="24"/>
          <w:szCs w:val="24"/>
          <w:highlight w:val="none"/>
          <w:lang w:eastAsia="zh-CN"/>
        </w:rPr>
        <w:t>供应商</w:t>
      </w:r>
      <w:r>
        <w:rPr>
          <w:rFonts w:hint="eastAsia" w:ascii="宋体" w:hAnsi="宋体"/>
          <w:sz w:val="24"/>
          <w:szCs w:val="24"/>
          <w:highlight w:val="none"/>
        </w:rPr>
        <w:t>为个体工商户的，应提交个体工商户营业执照复印件；</w:t>
      </w:r>
      <w:r>
        <w:rPr>
          <w:rFonts w:hint="eastAsia" w:ascii="宋体" w:hAnsi="宋体"/>
          <w:sz w:val="24"/>
          <w:szCs w:val="24"/>
          <w:highlight w:val="none"/>
          <w:lang w:eastAsia="zh-CN"/>
        </w:rPr>
        <w:t>供应商</w:t>
      </w:r>
      <w:r>
        <w:rPr>
          <w:rFonts w:hint="eastAsia" w:ascii="宋体" w:hAnsi="宋体"/>
          <w:sz w:val="24"/>
          <w:szCs w:val="24"/>
          <w:highlight w:val="none"/>
        </w:rPr>
        <w:t>为自然人的，应提交自然人的身份证明复印件；</w:t>
      </w:r>
    </w:p>
    <w:p w14:paraId="0288150C">
      <w:pPr>
        <w:spacing w:line="480" w:lineRule="exact"/>
        <w:ind w:firstLine="480" w:firstLineChars="200"/>
        <w:rPr>
          <w:rFonts w:hint="eastAsia" w:ascii="宋体" w:hAnsi="宋体"/>
          <w:sz w:val="24"/>
          <w:szCs w:val="24"/>
          <w:highlight w:val="none"/>
        </w:rPr>
      </w:pPr>
    </w:p>
    <w:p w14:paraId="73B33BAC">
      <w:pPr>
        <w:spacing w:line="480" w:lineRule="exact"/>
        <w:ind w:firstLine="480" w:firstLineChars="200"/>
        <w:rPr>
          <w:rFonts w:hint="eastAsia" w:ascii="宋体" w:hAnsi="宋体"/>
          <w:sz w:val="24"/>
          <w:szCs w:val="24"/>
          <w:highlight w:val="none"/>
        </w:rPr>
      </w:pPr>
    </w:p>
    <w:p w14:paraId="4470EB79">
      <w:pPr>
        <w:spacing w:line="480" w:lineRule="exact"/>
        <w:ind w:firstLine="480" w:firstLineChars="200"/>
        <w:rPr>
          <w:rFonts w:hint="eastAsia" w:ascii="宋体" w:hAnsi="宋体"/>
          <w:sz w:val="24"/>
          <w:szCs w:val="24"/>
          <w:highlight w:val="none"/>
        </w:rPr>
      </w:pPr>
    </w:p>
    <w:p w14:paraId="2DCDBAC7">
      <w:pPr>
        <w:spacing w:line="480" w:lineRule="exact"/>
        <w:ind w:firstLine="480" w:firstLineChars="200"/>
        <w:rPr>
          <w:rFonts w:hint="eastAsia" w:ascii="宋体" w:hAnsi="宋体"/>
          <w:sz w:val="24"/>
          <w:szCs w:val="24"/>
          <w:highlight w:val="none"/>
        </w:rPr>
      </w:pPr>
    </w:p>
    <w:p w14:paraId="51326F81">
      <w:pPr>
        <w:spacing w:line="480" w:lineRule="exact"/>
        <w:ind w:firstLine="480" w:firstLineChars="200"/>
        <w:rPr>
          <w:rFonts w:hint="eastAsia" w:ascii="宋体" w:hAnsi="宋体"/>
          <w:sz w:val="24"/>
          <w:szCs w:val="24"/>
          <w:highlight w:val="none"/>
        </w:rPr>
      </w:pPr>
    </w:p>
    <w:p w14:paraId="31799481">
      <w:pPr>
        <w:spacing w:line="480" w:lineRule="exact"/>
        <w:ind w:firstLine="482" w:firstLineChars="200"/>
        <w:rPr>
          <w:rFonts w:hint="eastAsia" w:ascii="宋体" w:hAnsi="宋体"/>
          <w:b/>
          <w:bCs/>
          <w:sz w:val="24"/>
          <w:szCs w:val="24"/>
          <w:highlight w:val="none"/>
        </w:rPr>
      </w:pPr>
    </w:p>
    <w:p w14:paraId="55C22E82">
      <w:pPr>
        <w:spacing w:line="480" w:lineRule="exact"/>
        <w:ind w:firstLine="482" w:firstLineChars="200"/>
        <w:rPr>
          <w:rFonts w:hint="eastAsia" w:ascii="宋体" w:hAnsi="宋体"/>
          <w:b/>
          <w:bCs/>
          <w:sz w:val="24"/>
          <w:szCs w:val="24"/>
          <w:highlight w:val="none"/>
        </w:rPr>
      </w:pPr>
    </w:p>
    <w:p w14:paraId="173CC82F">
      <w:pPr>
        <w:spacing w:line="480" w:lineRule="exact"/>
        <w:ind w:firstLine="482" w:firstLineChars="200"/>
        <w:rPr>
          <w:rFonts w:hint="eastAsia" w:ascii="宋体" w:hAnsi="宋体"/>
          <w:b/>
          <w:bCs/>
          <w:sz w:val="24"/>
          <w:szCs w:val="24"/>
          <w:highlight w:val="none"/>
        </w:rPr>
      </w:pPr>
    </w:p>
    <w:p w14:paraId="7B4C529C">
      <w:pPr>
        <w:spacing w:line="480" w:lineRule="exact"/>
        <w:ind w:firstLine="482" w:firstLineChars="200"/>
        <w:rPr>
          <w:rFonts w:hint="eastAsia" w:ascii="宋体" w:hAnsi="宋体"/>
          <w:b/>
          <w:bCs/>
          <w:sz w:val="24"/>
          <w:szCs w:val="24"/>
          <w:highlight w:val="none"/>
        </w:rPr>
      </w:pPr>
    </w:p>
    <w:p w14:paraId="52BF4CF1">
      <w:pPr>
        <w:spacing w:line="480" w:lineRule="exact"/>
        <w:ind w:firstLine="482" w:firstLineChars="200"/>
        <w:rPr>
          <w:rFonts w:hint="eastAsia" w:ascii="宋体" w:hAnsi="宋体"/>
          <w:b/>
          <w:bCs/>
          <w:sz w:val="24"/>
          <w:szCs w:val="24"/>
          <w:highlight w:val="none"/>
        </w:rPr>
      </w:pPr>
    </w:p>
    <w:p w14:paraId="39753E05">
      <w:pPr>
        <w:spacing w:line="480" w:lineRule="exact"/>
        <w:ind w:firstLine="482" w:firstLineChars="200"/>
        <w:rPr>
          <w:rFonts w:hint="eastAsia" w:ascii="宋体" w:hAnsi="宋体" w:eastAsia="宋体"/>
          <w:sz w:val="24"/>
          <w:szCs w:val="24"/>
          <w:highlight w:val="none"/>
          <w:lang w:eastAsia="zh-CN"/>
        </w:rPr>
      </w:pPr>
      <w:r>
        <w:rPr>
          <w:rFonts w:hint="eastAsia" w:ascii="宋体" w:hAnsi="宋体"/>
          <w:b/>
          <w:bCs/>
          <w:sz w:val="24"/>
          <w:szCs w:val="24"/>
          <w:highlight w:val="none"/>
        </w:rPr>
        <w:t>注：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供应商如是“三证合一或五证合一”请自行说明。</w:t>
      </w:r>
    </w:p>
    <w:p w14:paraId="6488B640">
      <w:pPr>
        <w:ind w:firstLine="562" w:firstLineChars="200"/>
        <w:rPr>
          <w:rFonts w:hint="eastAsia" w:ascii="宋体" w:hAnsi="宋体" w:cs="宋体"/>
          <w:b/>
          <w:bCs/>
          <w:color w:val="000000"/>
          <w:sz w:val="24"/>
          <w:highlight w:val="none"/>
        </w:rPr>
      </w:pPr>
      <w:r>
        <w:rPr>
          <w:rFonts w:hint="eastAsia" w:ascii="宋体" w:hAnsi="宋体"/>
          <w:b/>
          <w:color w:val="000000"/>
          <w:sz w:val="28"/>
          <w:szCs w:val="28"/>
          <w:highlight w:val="none"/>
        </w:rPr>
        <w:br w:type="page"/>
      </w:r>
      <w:r>
        <w:rPr>
          <w:rFonts w:hint="eastAsia" w:ascii="宋体" w:hAnsi="宋体" w:cs="宋体"/>
          <w:b/>
          <w:bCs/>
          <w:color w:val="000000"/>
          <w:sz w:val="24"/>
          <w:highlight w:val="none"/>
        </w:rPr>
        <w:t>附件3-3</w:t>
      </w:r>
    </w:p>
    <w:p w14:paraId="22C547E1">
      <w:pPr>
        <w:pStyle w:val="4"/>
        <w:jc w:val="center"/>
        <w:rPr>
          <w:sz w:val="28"/>
          <w:szCs w:val="28"/>
          <w:highlight w:val="none"/>
        </w:rPr>
      </w:pPr>
      <w:bookmarkStart w:id="199" w:name="_Toc23675"/>
      <w:bookmarkStart w:id="200" w:name="_Toc32042"/>
      <w:r>
        <w:rPr>
          <w:sz w:val="28"/>
          <w:szCs w:val="28"/>
          <w:highlight w:val="none"/>
        </w:rPr>
        <w:t>参加政府采购活动前三年内在经营活动中没有重大违法记录的书面声明</w:t>
      </w:r>
      <w:bookmarkEnd w:id="199"/>
      <w:bookmarkEnd w:id="200"/>
    </w:p>
    <w:p w14:paraId="7D3729F5">
      <w:pPr>
        <w:adjustRightInd w:val="0"/>
        <w:snapToGrid w:val="0"/>
        <w:spacing w:before="156" w:beforeLines="50"/>
        <w:ind w:left="-92" w:leftChars="-42"/>
        <w:outlineLvl w:val="0"/>
        <w:rPr>
          <w:rFonts w:hint="eastAsia" w:ascii="宋体" w:hAnsi="宋体" w:cs="宋体"/>
          <w:color w:val="000000"/>
          <w:sz w:val="24"/>
          <w:highlight w:val="none"/>
        </w:rPr>
      </w:pPr>
      <w:bookmarkStart w:id="201" w:name="_Toc20169"/>
      <w:bookmarkStart w:id="202" w:name="_Toc10029"/>
      <w:r>
        <w:rPr>
          <w:rFonts w:hint="eastAsia" w:ascii="宋体" w:hAnsi="宋体" w:cs="宋体"/>
          <w:color w:val="000000"/>
          <w:sz w:val="24"/>
          <w:highlight w:val="none"/>
        </w:rPr>
        <w:t>致</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(采购代理机构)：</w:t>
      </w:r>
      <w:bookmarkEnd w:id="201"/>
      <w:bookmarkEnd w:id="202"/>
    </w:p>
    <w:p w14:paraId="5BBC1A54">
      <w:pPr>
        <w:adjustRightInd w:val="0"/>
        <w:snapToGrid w:val="0"/>
        <w:ind w:firstLine="480" w:firstLineChars="200"/>
        <w:rPr>
          <w:rFonts w:hint="eastAsia" w:ascii="宋体" w:hAnsi="宋体" w:cs="宋体"/>
          <w:color w:val="000000"/>
          <w:sz w:val="24"/>
          <w:highlight w:val="none"/>
        </w:rPr>
      </w:pPr>
      <w:r>
        <w:rPr>
          <w:rFonts w:hint="eastAsia" w:ascii="宋体" w:hAnsi="宋体" w:cs="宋体"/>
          <w:color w:val="000000"/>
          <w:sz w:val="24"/>
          <w:highlight w:val="none"/>
        </w:rPr>
        <w:t>我单位郑重声明，参加本政府采购项目前 3 年内在经营活动中没有重大违法记录（重大违法记录是指供应商因违法经营受到刑事处罚或责令停产停业、吊销许可证或者执照、较大数额等行政处罚）。</w:t>
      </w:r>
    </w:p>
    <w:p w14:paraId="1FD6A9DF">
      <w:pPr>
        <w:widowControl/>
        <w:adjustRightInd w:val="0"/>
        <w:snapToGrid w:val="0"/>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我单位对上述声明的真实性负责。如有虚假，将依法承担相应责任。</w:t>
      </w:r>
    </w:p>
    <w:p w14:paraId="2305B050">
      <w:pPr>
        <w:widowControl/>
        <w:adjustRightInd w:val="0"/>
        <w:snapToGrid w:val="0"/>
        <w:ind w:firstLine="480" w:firstLineChars="200"/>
        <w:jc w:val="left"/>
        <w:rPr>
          <w:rFonts w:hint="eastAsia" w:ascii="宋体" w:hAnsi="宋体" w:cs="宋体"/>
          <w:color w:val="000000"/>
          <w:sz w:val="24"/>
          <w:highlight w:val="none"/>
        </w:rPr>
      </w:pPr>
      <w:r>
        <w:rPr>
          <w:rFonts w:hint="eastAsia" w:ascii="宋体" w:hAnsi="宋体" w:cs="宋体"/>
          <w:color w:val="000000"/>
          <w:sz w:val="24"/>
          <w:highlight w:val="none"/>
        </w:rPr>
        <w:t>特此声明。</w:t>
      </w:r>
    </w:p>
    <w:p w14:paraId="2FCA4FD0">
      <w:pPr>
        <w:widowControl/>
        <w:adjustRightInd w:val="0"/>
        <w:snapToGrid w:val="0"/>
        <w:spacing w:before="156" w:beforeLines="50"/>
        <w:ind w:firstLine="480" w:firstLineChars="200"/>
        <w:rPr>
          <w:rFonts w:hint="eastAsia" w:ascii="宋体" w:hAnsi="宋体" w:cs="宋体"/>
          <w:color w:val="000000"/>
          <w:sz w:val="24"/>
          <w:highlight w:val="none"/>
        </w:rPr>
      </w:pPr>
    </w:p>
    <w:p w14:paraId="224DB198">
      <w:pPr>
        <w:widowControl/>
        <w:adjustRightInd w:val="0"/>
        <w:snapToGrid w:val="0"/>
        <w:spacing w:before="156" w:beforeLines="50"/>
        <w:ind w:firstLine="480" w:firstLineChars="200"/>
        <w:rPr>
          <w:rFonts w:hint="eastAsia" w:ascii="宋体" w:hAnsi="宋体" w:cs="宋体"/>
          <w:color w:val="000000"/>
          <w:sz w:val="24"/>
          <w:highlight w:val="none"/>
        </w:rPr>
      </w:pPr>
    </w:p>
    <w:p w14:paraId="31406DEA">
      <w:pPr>
        <w:widowControl/>
        <w:adjustRightInd w:val="0"/>
        <w:snapToGrid w:val="0"/>
        <w:spacing w:before="156" w:beforeLines="50"/>
        <w:ind w:firstLine="480" w:firstLineChars="200"/>
        <w:rPr>
          <w:rFonts w:hint="eastAsia" w:ascii="宋体" w:hAnsi="宋体" w:cs="宋体"/>
          <w:color w:val="000000"/>
          <w:sz w:val="24"/>
          <w:highlight w:val="none"/>
        </w:rPr>
      </w:pPr>
    </w:p>
    <w:p w14:paraId="2BA26084">
      <w:pPr>
        <w:widowControl/>
        <w:adjustRightInd w:val="0"/>
        <w:snapToGrid w:val="0"/>
        <w:spacing w:before="156" w:beforeLines="50"/>
        <w:ind w:firstLine="480" w:firstLineChars="200"/>
        <w:rPr>
          <w:rFonts w:hint="eastAsia" w:ascii="宋体" w:hAnsi="宋体" w:cs="宋体"/>
          <w:color w:val="000000"/>
          <w:sz w:val="24"/>
          <w:highlight w:val="none"/>
        </w:rPr>
      </w:pPr>
    </w:p>
    <w:p w14:paraId="0ED99E0D">
      <w:pPr>
        <w:widowControl/>
        <w:adjustRightInd w:val="0"/>
        <w:snapToGrid w:val="0"/>
        <w:spacing w:before="156" w:beforeLines="50"/>
        <w:ind w:firstLine="480" w:firstLineChars="200"/>
        <w:rPr>
          <w:rFonts w:hint="eastAsia" w:ascii="宋体" w:hAnsi="宋体" w:cs="宋体"/>
          <w:color w:val="000000"/>
          <w:sz w:val="24"/>
          <w:highlight w:val="none"/>
        </w:rPr>
      </w:pPr>
    </w:p>
    <w:p w14:paraId="7421D9F9">
      <w:pPr>
        <w:widowControl/>
        <w:adjustRightInd w:val="0"/>
        <w:snapToGrid w:val="0"/>
        <w:spacing w:before="156" w:beforeLines="50"/>
        <w:ind w:firstLine="480" w:firstLineChars="200"/>
        <w:rPr>
          <w:rFonts w:hint="eastAsia" w:ascii="宋体" w:hAnsi="宋体" w:cs="宋体"/>
          <w:color w:val="000000"/>
          <w:sz w:val="24"/>
          <w:highlight w:val="none"/>
        </w:rPr>
      </w:pPr>
    </w:p>
    <w:p w14:paraId="7454A3E1">
      <w:pPr>
        <w:widowControl/>
        <w:adjustRightInd w:val="0"/>
        <w:snapToGrid w:val="0"/>
        <w:spacing w:before="156" w:beforeLines="50"/>
        <w:ind w:firstLine="480" w:firstLineChars="200"/>
        <w:rPr>
          <w:rFonts w:hint="eastAsia" w:ascii="宋体" w:hAnsi="宋体" w:cs="宋体"/>
          <w:color w:val="000000"/>
          <w:sz w:val="24"/>
          <w:highlight w:val="none"/>
        </w:rPr>
      </w:pPr>
    </w:p>
    <w:p w14:paraId="25C2F283">
      <w:pPr>
        <w:widowControl/>
        <w:adjustRightInd w:val="0"/>
        <w:snapToGrid w:val="0"/>
        <w:spacing w:before="156" w:beforeLines="50"/>
        <w:ind w:firstLine="480" w:firstLineChars="200"/>
        <w:rPr>
          <w:rFonts w:hint="eastAsia" w:ascii="宋体" w:hAnsi="宋体" w:cs="宋体"/>
          <w:color w:val="000000"/>
          <w:sz w:val="24"/>
          <w:highlight w:val="none"/>
        </w:rPr>
      </w:pPr>
    </w:p>
    <w:p w14:paraId="795C363A">
      <w:pPr>
        <w:widowControl/>
        <w:adjustRightInd w:val="0"/>
        <w:snapToGrid w:val="0"/>
        <w:spacing w:before="156" w:beforeLines="50"/>
        <w:ind w:firstLine="480" w:firstLineChars="200"/>
        <w:rPr>
          <w:rFonts w:hint="eastAsia" w:ascii="宋体" w:hAnsi="宋体" w:cs="宋体"/>
          <w:color w:val="000000"/>
          <w:sz w:val="24"/>
          <w:highlight w:val="none"/>
        </w:rPr>
      </w:pPr>
    </w:p>
    <w:p w14:paraId="6861BA52">
      <w:pPr>
        <w:widowControl/>
        <w:adjustRightInd w:val="0"/>
        <w:snapToGrid w:val="0"/>
        <w:spacing w:before="156" w:beforeLines="50"/>
        <w:ind w:firstLine="480" w:firstLineChars="200"/>
        <w:rPr>
          <w:rFonts w:hint="eastAsia" w:ascii="宋体" w:hAnsi="宋体" w:cs="宋体"/>
          <w:color w:val="000000"/>
          <w:sz w:val="24"/>
          <w:highlight w:val="none"/>
        </w:rPr>
      </w:pPr>
    </w:p>
    <w:p w14:paraId="173B414A">
      <w:pPr>
        <w:widowControl/>
        <w:adjustRightInd w:val="0"/>
        <w:snapToGrid w:val="0"/>
        <w:spacing w:before="156" w:beforeLines="50"/>
        <w:ind w:firstLine="480" w:firstLineChars="200"/>
        <w:rPr>
          <w:rFonts w:hint="eastAsia" w:ascii="宋体" w:hAnsi="宋体" w:cs="宋体"/>
          <w:color w:val="000000"/>
          <w:sz w:val="24"/>
          <w:highlight w:val="none"/>
        </w:rPr>
      </w:pPr>
    </w:p>
    <w:p w14:paraId="2EF678E8">
      <w:pPr>
        <w:widowControl/>
        <w:adjustRightInd w:val="0"/>
        <w:snapToGrid w:val="0"/>
        <w:spacing w:before="156" w:beforeLines="50"/>
        <w:rPr>
          <w:rFonts w:hint="eastAsia" w:ascii="宋体" w:hAnsi="宋体" w:cs="宋体"/>
          <w:color w:val="000000"/>
          <w:sz w:val="24"/>
          <w:highlight w:val="none"/>
        </w:rPr>
      </w:pPr>
    </w:p>
    <w:p w14:paraId="050D7C34">
      <w:pPr>
        <w:adjustRightInd w:val="0"/>
        <w:snapToGrid w:val="0"/>
        <w:spacing w:before="156" w:beforeLines="50"/>
        <w:rPr>
          <w:rFonts w:hint="eastAsia" w:ascii="宋体" w:hAnsi="宋体" w:cs="宋体"/>
          <w:color w:val="000000"/>
          <w:sz w:val="24"/>
          <w:highlight w:val="none"/>
        </w:rPr>
      </w:pPr>
      <w:r>
        <w:rPr>
          <w:rFonts w:hint="eastAsia" w:ascii="宋体" w:hAnsi="宋体" w:cs="宋体"/>
          <w:color w:val="000000"/>
          <w:sz w:val="24"/>
          <w:highlight w:val="none"/>
        </w:rPr>
        <w:t>供应商名称(盖单位章)：</w:t>
      </w:r>
      <w:r>
        <w:rPr>
          <w:rFonts w:hint="eastAsia" w:ascii="宋体" w:hAnsi="宋体"/>
          <w:color w:val="000000"/>
          <w:sz w:val="24"/>
          <w:highlight w:val="none"/>
          <w:u w:val="single"/>
        </w:rPr>
        <w:t xml:space="preserve">               </w:t>
      </w:r>
      <w:r>
        <w:rPr>
          <w:rFonts w:hint="eastAsia" w:ascii="宋体" w:hAnsi="宋体" w:cs="宋体"/>
          <w:color w:val="000000"/>
          <w:sz w:val="24"/>
          <w:highlight w:val="none"/>
        </w:rPr>
        <w:t xml:space="preserve"> </w:t>
      </w:r>
    </w:p>
    <w:p w14:paraId="63A43189">
      <w:pPr>
        <w:adjustRightInd w:val="0"/>
        <w:snapToGrid w:val="0"/>
        <w:spacing w:before="156" w:beforeLines="50"/>
        <w:rPr>
          <w:rFonts w:hint="eastAsia" w:ascii="宋体" w:hAnsi="宋体" w:cs="宋体"/>
          <w:color w:val="000000"/>
          <w:sz w:val="24"/>
          <w:highlight w:val="none"/>
        </w:rPr>
      </w:pPr>
      <w:r>
        <w:rPr>
          <w:rFonts w:hint="eastAsia" w:ascii="宋体" w:hAnsi="宋体" w:cs="宋体"/>
          <w:color w:val="000000"/>
          <w:sz w:val="24"/>
          <w:highlight w:val="none"/>
        </w:rPr>
        <w:t>法定代表人或其委托代理人（签字或印章）：</w:t>
      </w:r>
      <w:r>
        <w:rPr>
          <w:rFonts w:hint="eastAsia" w:ascii="宋体" w:hAnsi="宋体"/>
          <w:color w:val="000000"/>
          <w:sz w:val="24"/>
          <w:highlight w:val="none"/>
          <w:u w:val="single"/>
        </w:rPr>
        <w:t xml:space="preserve">               </w:t>
      </w:r>
    </w:p>
    <w:p w14:paraId="2283C91E">
      <w:pPr>
        <w:adjustRightInd w:val="0"/>
        <w:snapToGrid w:val="0"/>
        <w:rPr>
          <w:b/>
          <w:bCs/>
          <w:color w:val="000000"/>
          <w:highlight w:val="none"/>
        </w:rPr>
      </w:pPr>
      <w:r>
        <w:rPr>
          <w:rFonts w:hint="eastAsia" w:ascii="宋体" w:hAnsi="宋体" w:cs="宋体"/>
          <w:sz w:val="24"/>
          <w:highlight w:val="none"/>
        </w:rPr>
        <w:t>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603E1275">
      <w:pPr>
        <w:adjustRightInd w:val="0"/>
        <w:snapToGrid w:val="0"/>
        <w:spacing w:line="480" w:lineRule="exact"/>
        <w:rPr>
          <w:rFonts w:hint="eastAsia" w:ascii="宋体" w:hAnsi="宋体"/>
          <w:color w:val="000000"/>
          <w:sz w:val="30"/>
          <w:szCs w:val="30"/>
          <w:highlight w:val="none"/>
        </w:rPr>
      </w:pPr>
      <w:r>
        <w:rPr>
          <w:rFonts w:hint="eastAsia" w:ascii="宋体" w:hAnsi="宋体"/>
          <w:color w:val="000000"/>
          <w:sz w:val="30"/>
          <w:szCs w:val="30"/>
          <w:highlight w:val="none"/>
        </w:rPr>
        <w:br w:type="page"/>
      </w:r>
      <w:r>
        <w:rPr>
          <w:rFonts w:hint="eastAsia" w:ascii="宋体" w:hAnsi="宋体" w:cs="宋体"/>
          <w:b/>
          <w:bCs/>
          <w:color w:val="000000"/>
          <w:sz w:val="24"/>
          <w:highlight w:val="none"/>
        </w:rPr>
        <w:t>附件3-4</w:t>
      </w:r>
    </w:p>
    <w:p w14:paraId="5FDAD93D">
      <w:pPr>
        <w:pStyle w:val="4"/>
        <w:jc w:val="center"/>
        <w:rPr>
          <w:sz w:val="28"/>
          <w:szCs w:val="28"/>
          <w:highlight w:val="none"/>
        </w:rPr>
      </w:pPr>
      <w:bookmarkStart w:id="203" w:name="_Toc5862"/>
      <w:bookmarkStart w:id="204" w:name="_Toc12744"/>
      <w:r>
        <w:rPr>
          <w:sz w:val="28"/>
          <w:szCs w:val="28"/>
          <w:highlight w:val="none"/>
        </w:rPr>
        <w:t>磋商文件规定的特定资格条件证明资料</w:t>
      </w:r>
      <w:bookmarkEnd w:id="203"/>
      <w:bookmarkEnd w:id="204"/>
    </w:p>
    <w:p w14:paraId="44E77896">
      <w:pPr>
        <w:adjustRightInd w:val="0"/>
        <w:snapToGrid w:val="0"/>
        <w:spacing w:before="156" w:beforeLines="50"/>
        <w:ind w:firstLine="482" w:firstLineChars="200"/>
        <w:rPr>
          <w:rFonts w:ascii="宋体" w:hAnsi="宋体"/>
          <w:b/>
          <w:bCs/>
          <w:sz w:val="24"/>
          <w:highlight w:val="none"/>
        </w:rPr>
      </w:pPr>
      <w:r>
        <w:rPr>
          <w:rFonts w:ascii="宋体" w:hAnsi="宋体"/>
          <w:b/>
          <w:bCs/>
          <w:sz w:val="24"/>
          <w:highlight w:val="none"/>
        </w:rPr>
        <w:t>备注：提供第二章 磋商须知第3.1款供应商资格条件中供应商特定资格条件证明资料的复印件。</w:t>
      </w:r>
    </w:p>
    <w:p w14:paraId="56864D41">
      <w:pPr>
        <w:spacing w:line="360" w:lineRule="auto"/>
        <w:ind w:firstLine="482" w:firstLineChars="200"/>
        <w:rPr>
          <w:rFonts w:hint="eastAsia" w:ascii="宋体" w:hAnsi="宋体" w:eastAsia="宋体" w:cs="宋体"/>
          <w:b/>
          <w:bCs/>
          <w:color w:val="auto"/>
          <w:kern w:val="2"/>
          <w:sz w:val="24"/>
          <w:szCs w:val="24"/>
          <w:highlight w:val="none"/>
          <w:lang w:bidi="ar"/>
        </w:rPr>
      </w:pPr>
    </w:p>
    <w:p w14:paraId="7245D4EF">
      <w:pPr>
        <w:spacing w:line="360" w:lineRule="auto"/>
        <w:ind w:firstLine="482" w:firstLineChars="200"/>
        <w:rPr>
          <w:rFonts w:hint="eastAsia" w:ascii="宋体" w:hAnsi="宋体" w:eastAsia="宋体" w:cs="宋体"/>
          <w:b/>
          <w:bCs/>
          <w:color w:val="auto"/>
          <w:kern w:val="2"/>
          <w:sz w:val="24"/>
          <w:szCs w:val="24"/>
          <w:highlight w:val="none"/>
          <w:lang w:bidi="ar"/>
        </w:rPr>
      </w:pPr>
    </w:p>
    <w:p w14:paraId="035B58EE">
      <w:pPr>
        <w:spacing w:line="360" w:lineRule="auto"/>
        <w:ind w:firstLine="482" w:firstLineChars="200"/>
        <w:rPr>
          <w:rFonts w:hint="eastAsia" w:ascii="宋体" w:hAnsi="宋体" w:eastAsia="宋体" w:cs="宋体"/>
          <w:b/>
          <w:bCs/>
          <w:color w:val="auto"/>
          <w:kern w:val="2"/>
          <w:sz w:val="24"/>
          <w:szCs w:val="24"/>
          <w:highlight w:val="none"/>
          <w:lang w:bidi="ar"/>
        </w:rPr>
      </w:pPr>
      <w:r>
        <w:rPr>
          <w:rFonts w:hint="eastAsia" w:ascii="宋体" w:hAnsi="宋体" w:eastAsia="宋体" w:cs="宋体"/>
          <w:b/>
          <w:bCs/>
          <w:color w:val="auto"/>
          <w:kern w:val="2"/>
          <w:sz w:val="24"/>
          <w:szCs w:val="24"/>
          <w:highlight w:val="none"/>
          <w:lang w:bidi="ar"/>
        </w:rPr>
        <w:t>注：（1）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供应商如是“三证合一或五证合一”请自行说明。</w:t>
      </w:r>
    </w:p>
    <w:p w14:paraId="27CA9A59">
      <w:pPr>
        <w:pStyle w:val="14"/>
        <w:keepNext w:val="0"/>
        <w:keepLines w:val="0"/>
        <w:pageBreakBefore w:val="0"/>
        <w:kinsoku/>
        <w:wordWrap/>
        <w:overflowPunct/>
        <w:topLinePunct w:val="0"/>
        <w:autoSpaceDE/>
        <w:autoSpaceDN/>
        <w:bidi w:val="0"/>
        <w:adjustRightInd w:val="0"/>
        <w:snapToGrid w:val="0"/>
        <w:spacing w:line="360" w:lineRule="auto"/>
        <w:ind w:firstLine="241" w:firstLineChars="100"/>
        <w:textAlignment w:val="auto"/>
        <w:rPr>
          <w:rFonts w:hint="eastAsia" w:ascii="宋体" w:hAnsi="宋体" w:eastAsia="宋体" w:cs="宋体"/>
          <w:b/>
          <w:bCs/>
          <w:color w:val="auto"/>
          <w:kern w:val="2"/>
          <w:sz w:val="24"/>
          <w:szCs w:val="24"/>
          <w:highlight w:val="none"/>
          <w:lang w:bidi="ar"/>
        </w:rPr>
      </w:pPr>
      <w:r>
        <w:rPr>
          <w:rFonts w:hint="eastAsia" w:ascii="宋体" w:hAnsi="宋体" w:eastAsia="宋体" w:cs="宋体"/>
          <w:b/>
          <w:bCs/>
          <w:color w:val="auto"/>
          <w:kern w:val="2"/>
          <w:sz w:val="24"/>
          <w:szCs w:val="24"/>
          <w:highlight w:val="none"/>
          <w:lang w:bidi="ar"/>
        </w:rPr>
        <w:t>（2）</w:t>
      </w:r>
      <w:r>
        <w:rPr>
          <w:rFonts w:hint="eastAsia" w:ascii="宋体" w:hAnsi="宋体" w:eastAsia="宋体" w:cs="宋体"/>
          <w:b/>
          <w:bCs/>
          <w:color w:val="auto"/>
          <w:kern w:val="2"/>
          <w:sz w:val="24"/>
          <w:szCs w:val="24"/>
          <w:highlight w:val="none"/>
          <w:lang w:eastAsia="zh-CN" w:bidi="ar"/>
        </w:rPr>
        <w:t>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经采购人或监管部门查实，提供虚假承诺的供应商将以虚假资料谋取中标（成交）的违法行为，被列入不良记录名单，采购人有权取消其中标（成交）资格</w:t>
      </w:r>
      <w:r>
        <w:rPr>
          <w:rFonts w:hint="eastAsia" w:ascii="宋体" w:hAnsi="宋体" w:eastAsia="宋体" w:cs="宋体"/>
          <w:b/>
          <w:bCs/>
          <w:color w:val="auto"/>
          <w:kern w:val="2"/>
          <w:sz w:val="24"/>
          <w:szCs w:val="24"/>
          <w:highlight w:val="none"/>
          <w:lang w:bidi="ar"/>
        </w:rPr>
        <w:t>。</w:t>
      </w:r>
    </w:p>
    <w:p w14:paraId="7A7CBB04">
      <w:pPr>
        <w:spacing w:line="480" w:lineRule="exact"/>
        <w:rPr>
          <w:rFonts w:ascii="宋体" w:hAnsi="宋体"/>
          <w:color w:val="000000"/>
          <w:sz w:val="24"/>
          <w:szCs w:val="24"/>
          <w:highlight w:val="none"/>
        </w:rPr>
      </w:pPr>
    </w:p>
    <w:p w14:paraId="2DC013FC">
      <w:pPr>
        <w:adjustRightInd w:val="0"/>
        <w:snapToGrid w:val="0"/>
        <w:spacing w:line="480" w:lineRule="exact"/>
        <w:rPr>
          <w:rFonts w:hint="eastAsia" w:ascii="宋体" w:hAnsi="宋体" w:cs="宋体"/>
          <w:b/>
          <w:bCs/>
          <w:color w:val="000000"/>
          <w:sz w:val="24"/>
          <w:highlight w:val="none"/>
        </w:rPr>
      </w:pPr>
      <w:r>
        <w:rPr>
          <w:rFonts w:hint="eastAsia" w:ascii="宋体" w:hAnsi="宋体" w:cs="宋体"/>
          <w:b/>
          <w:bCs/>
          <w:color w:val="000000"/>
          <w:sz w:val="22"/>
          <w:szCs w:val="22"/>
          <w:highlight w:val="none"/>
        </w:rPr>
        <w:br w:type="page"/>
      </w:r>
      <w:r>
        <w:rPr>
          <w:rFonts w:hint="eastAsia" w:ascii="宋体" w:hAnsi="宋体" w:cs="宋体"/>
          <w:b/>
          <w:bCs/>
          <w:color w:val="000000"/>
          <w:sz w:val="24"/>
          <w:highlight w:val="none"/>
        </w:rPr>
        <w:t>附件3-5</w:t>
      </w:r>
    </w:p>
    <w:p w14:paraId="54F4B3F8">
      <w:pPr>
        <w:pStyle w:val="4"/>
        <w:jc w:val="center"/>
        <w:rPr>
          <w:rFonts w:hint="eastAsia"/>
          <w:sz w:val="28"/>
          <w:szCs w:val="28"/>
          <w:highlight w:val="none"/>
        </w:rPr>
      </w:pPr>
      <w:bookmarkStart w:id="205" w:name="_Toc25671"/>
      <w:bookmarkStart w:id="206" w:name="_Toc10951"/>
      <w:r>
        <w:rPr>
          <w:rFonts w:hint="eastAsia"/>
          <w:sz w:val="28"/>
          <w:szCs w:val="28"/>
          <w:highlight w:val="none"/>
        </w:rPr>
        <w:t>其他证明资料或说明</w:t>
      </w:r>
      <w:bookmarkEnd w:id="205"/>
      <w:bookmarkEnd w:id="206"/>
    </w:p>
    <w:p w14:paraId="01D677F4">
      <w:pPr>
        <w:rPr>
          <w:rFonts w:hint="eastAsia"/>
          <w:highlight w:val="none"/>
        </w:rPr>
      </w:pPr>
    </w:p>
    <w:p w14:paraId="55C69896">
      <w:pPr>
        <w:pStyle w:val="4"/>
        <w:jc w:val="center"/>
        <w:rPr>
          <w:rFonts w:hint="eastAsia"/>
          <w:sz w:val="28"/>
          <w:szCs w:val="28"/>
          <w:highlight w:val="none"/>
        </w:rPr>
      </w:pPr>
      <w:bookmarkStart w:id="207" w:name="_Toc32539"/>
      <w:bookmarkStart w:id="208" w:name="_Toc13563"/>
      <w:r>
        <w:rPr>
          <w:rFonts w:hint="eastAsia"/>
          <w:sz w:val="28"/>
          <w:szCs w:val="28"/>
          <w:highlight w:val="none"/>
        </w:rPr>
        <w:t>湖南省政府采购供应商资格承诺函</w:t>
      </w:r>
      <w:bookmarkEnd w:id="207"/>
      <w:bookmarkEnd w:id="208"/>
    </w:p>
    <w:p w14:paraId="7AF8688F">
      <w:pPr>
        <w:spacing w:line="266" w:lineRule="auto"/>
        <w:rPr>
          <w:rFonts w:ascii="Arial"/>
          <w:highlight w:val="none"/>
        </w:rPr>
      </w:pPr>
    </w:p>
    <w:p w14:paraId="3A2BAE85">
      <w:pPr>
        <w:spacing w:line="266" w:lineRule="auto"/>
        <w:rPr>
          <w:rFonts w:ascii="Arial"/>
          <w:highlight w:val="none"/>
        </w:rPr>
      </w:pPr>
    </w:p>
    <w:p w14:paraId="2250ABF8">
      <w:pPr>
        <w:adjustRightInd w:val="0"/>
        <w:snapToGrid w:val="0"/>
        <w:spacing w:before="156" w:beforeLines="50"/>
        <w:ind w:left="-92" w:leftChars="-42" w:firstLine="480" w:firstLineChars="200"/>
        <w:outlineLvl w:val="0"/>
        <w:rPr>
          <w:rFonts w:hint="eastAsia" w:ascii="宋体" w:hAnsi="宋体" w:cs="宋体"/>
          <w:color w:val="000000"/>
          <w:sz w:val="24"/>
          <w:highlight w:val="none"/>
        </w:rPr>
      </w:pPr>
      <w:bookmarkStart w:id="209" w:name="_Toc116"/>
      <w:bookmarkStart w:id="210" w:name="_Toc31301"/>
      <w:r>
        <w:rPr>
          <w:rFonts w:hint="eastAsia" w:ascii="宋体" w:hAnsi="宋体" w:cs="宋体"/>
          <w:color w:val="000000"/>
          <w:sz w:val="24"/>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bookmarkEnd w:id="209"/>
      <w:bookmarkEnd w:id="210"/>
    </w:p>
    <w:p w14:paraId="32D47E39">
      <w:pPr>
        <w:adjustRightInd w:val="0"/>
        <w:snapToGrid w:val="0"/>
        <w:spacing w:before="156" w:beforeLines="50"/>
        <w:ind w:left="-92" w:leftChars="-42" w:firstLine="480" w:firstLineChars="200"/>
        <w:outlineLvl w:val="0"/>
        <w:rPr>
          <w:rFonts w:hint="eastAsia" w:ascii="宋体" w:hAnsi="宋体" w:cs="宋体"/>
          <w:color w:val="000000"/>
          <w:sz w:val="24"/>
          <w:highlight w:val="none"/>
        </w:rPr>
      </w:pPr>
      <w:bookmarkStart w:id="211" w:name="_Toc7811"/>
      <w:bookmarkStart w:id="212" w:name="_Toc2233"/>
      <w:r>
        <w:rPr>
          <w:rFonts w:hint="eastAsia" w:ascii="宋体" w:hAnsi="宋体" w:cs="宋体"/>
          <w:color w:val="000000"/>
          <w:sz w:val="24"/>
          <w:highlight w:val="none"/>
        </w:rPr>
        <w:t>按照《政府采购促进中小企业发展管理办法》(财库〔2020〕46号)，本公司企业规模为：大型</w:t>
      </w:r>
      <w:r>
        <w:rPr>
          <w:rFonts w:hint="eastAsia" w:ascii="宋体" w:hAnsi="宋体" w:cs="宋体"/>
          <w:color w:val="000000"/>
          <w:sz w:val="24"/>
          <w:highlight w:val="none"/>
        </w:rPr>
        <w:sym w:font="Wingdings" w:char="00A8"/>
      </w:r>
      <w:r>
        <w:rPr>
          <w:rFonts w:hint="eastAsia" w:ascii="宋体" w:hAnsi="宋体" w:cs="宋体"/>
          <w:color w:val="000000"/>
          <w:sz w:val="24"/>
          <w:highlight w:val="none"/>
        </w:rPr>
        <w:t xml:space="preserve">   中型</w:t>
      </w:r>
      <w:r>
        <w:rPr>
          <w:rFonts w:hint="eastAsia" w:ascii="宋体" w:hAnsi="宋体" w:cs="宋体"/>
          <w:color w:val="000000"/>
          <w:sz w:val="24"/>
          <w:highlight w:val="none"/>
        </w:rPr>
        <w:sym w:font="Wingdings" w:char="00A8"/>
      </w:r>
      <w:r>
        <w:rPr>
          <w:rFonts w:hint="eastAsia" w:ascii="宋体" w:hAnsi="宋体" w:cs="宋体"/>
          <w:color w:val="000000"/>
          <w:sz w:val="24"/>
          <w:highlight w:val="none"/>
        </w:rPr>
        <w:t xml:space="preserve">   小型</w:t>
      </w:r>
      <w:r>
        <w:rPr>
          <w:rFonts w:hint="eastAsia" w:ascii="宋体" w:hAnsi="宋体" w:cs="宋体"/>
          <w:color w:val="000000"/>
          <w:sz w:val="24"/>
          <w:highlight w:val="none"/>
        </w:rPr>
        <w:sym w:font="Wingdings" w:char="00A8"/>
      </w:r>
      <w:r>
        <w:rPr>
          <w:rFonts w:hint="eastAsia" w:ascii="宋体" w:hAnsi="宋体" w:cs="宋体"/>
          <w:color w:val="000000"/>
          <w:sz w:val="24"/>
          <w:highlight w:val="none"/>
        </w:rPr>
        <w:t xml:space="preserve">   微型</w:t>
      </w:r>
      <w:r>
        <w:rPr>
          <w:rFonts w:hint="eastAsia" w:ascii="宋体" w:hAnsi="宋体" w:cs="宋体"/>
          <w:color w:val="000000"/>
          <w:sz w:val="24"/>
          <w:highlight w:val="none"/>
        </w:rPr>
        <w:sym w:font="Wingdings" w:char="00A8"/>
      </w:r>
      <w:bookmarkEnd w:id="211"/>
      <w:bookmarkEnd w:id="212"/>
    </w:p>
    <w:p w14:paraId="740C2BA3">
      <w:pPr>
        <w:adjustRightInd w:val="0"/>
        <w:snapToGrid w:val="0"/>
        <w:spacing w:before="156" w:beforeLines="50"/>
        <w:ind w:left="-92" w:leftChars="-42" w:firstLine="480" w:firstLineChars="200"/>
        <w:outlineLvl w:val="0"/>
        <w:rPr>
          <w:rFonts w:hint="eastAsia" w:ascii="宋体" w:hAnsi="宋体" w:cs="宋体"/>
          <w:color w:val="000000"/>
          <w:sz w:val="24"/>
          <w:highlight w:val="none"/>
        </w:rPr>
      </w:pPr>
      <w:bookmarkStart w:id="213" w:name="_Toc18052"/>
      <w:bookmarkStart w:id="214" w:name="_Toc29964"/>
      <w:r>
        <w:rPr>
          <w:rFonts w:hint="eastAsia" w:ascii="宋体" w:hAnsi="宋体" w:cs="宋体"/>
          <w:color w:val="000000"/>
          <w:sz w:val="24"/>
          <w:highlight w:val="none"/>
        </w:rPr>
        <w:sym w:font="Wingdings" w:char="00A8"/>
      </w:r>
      <w:r>
        <w:rPr>
          <w:rFonts w:hint="eastAsia" w:ascii="宋体" w:hAnsi="宋体" w:cs="宋体"/>
          <w:color w:val="000000"/>
          <w:sz w:val="24"/>
          <w:highlight w:val="none"/>
        </w:rPr>
        <w:t>本公司自愿入驻湖南省政府采购电子卖场，遵守《湖南省政府采购电子卖场管理办法》(湘财购〔2019〕27号)，如违反承诺，同意金融机构将增信保证划缴国库(非电子卖场采购活动项目不需勾选)。</w:t>
      </w:r>
      <w:bookmarkEnd w:id="213"/>
      <w:bookmarkEnd w:id="214"/>
    </w:p>
    <w:p w14:paraId="39793C5B">
      <w:pPr>
        <w:adjustRightInd w:val="0"/>
        <w:snapToGrid w:val="0"/>
        <w:spacing w:before="156" w:beforeLines="50"/>
        <w:outlineLvl w:val="0"/>
        <w:rPr>
          <w:rFonts w:hint="eastAsia" w:ascii="宋体" w:hAnsi="宋体" w:cs="宋体"/>
          <w:color w:val="000000"/>
          <w:sz w:val="24"/>
          <w:highlight w:val="none"/>
        </w:rPr>
      </w:pPr>
      <w:bookmarkStart w:id="215" w:name="_Toc20098"/>
      <w:bookmarkStart w:id="216" w:name="_Toc4383"/>
    </w:p>
    <w:p w14:paraId="68FD2CBC">
      <w:pPr>
        <w:adjustRightInd w:val="0"/>
        <w:snapToGrid w:val="0"/>
        <w:spacing w:before="156" w:beforeLines="50"/>
        <w:ind w:firstLine="4800" w:firstLineChars="2000"/>
        <w:outlineLvl w:val="0"/>
        <w:rPr>
          <w:rFonts w:hint="eastAsia" w:ascii="宋体" w:hAnsi="宋体" w:cs="宋体"/>
          <w:color w:val="000000"/>
          <w:sz w:val="24"/>
          <w:highlight w:val="none"/>
        </w:rPr>
      </w:pPr>
      <w:r>
        <w:rPr>
          <w:rFonts w:hint="eastAsia" w:ascii="宋体" w:hAnsi="宋体" w:cs="宋体"/>
          <w:color w:val="000000"/>
          <w:sz w:val="24"/>
          <w:highlight w:val="none"/>
        </w:rPr>
        <w:t>公司(单位)名称：</w:t>
      </w:r>
      <w:r>
        <w:rPr>
          <w:rFonts w:hint="eastAsia" w:ascii="宋体" w:hAnsi="宋体"/>
          <w:color w:val="000000"/>
          <w:sz w:val="24"/>
          <w:highlight w:val="none"/>
          <w:u w:val="single"/>
        </w:rPr>
        <w:t xml:space="preserve">               </w:t>
      </w:r>
      <w:r>
        <w:rPr>
          <w:rFonts w:hint="eastAsia" w:ascii="宋体" w:hAnsi="宋体" w:cs="宋体"/>
          <w:color w:val="000000"/>
          <w:sz w:val="24"/>
          <w:highlight w:val="none"/>
        </w:rPr>
        <w:t>(盖章)</w:t>
      </w:r>
      <w:bookmarkEnd w:id="215"/>
      <w:bookmarkEnd w:id="216"/>
    </w:p>
    <w:p w14:paraId="1F8F7AB4">
      <w:pPr>
        <w:adjustRightInd w:val="0"/>
        <w:snapToGrid w:val="0"/>
        <w:ind w:firstLine="4800" w:firstLineChars="2000"/>
        <w:rPr>
          <w:rFonts w:hint="eastAsia" w:ascii="宋体" w:hAnsi="宋体" w:cs="宋体"/>
          <w:sz w:val="24"/>
          <w:highlight w:val="none"/>
        </w:rPr>
      </w:pPr>
      <w:r>
        <w:rPr>
          <w:rFonts w:hint="eastAsia" w:ascii="宋体" w:hAnsi="宋体" w:cs="宋体"/>
          <w:sz w:val="24"/>
          <w:highlight w:val="none"/>
        </w:rPr>
        <w:t>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3CDAD372">
      <w:pPr>
        <w:pStyle w:val="50"/>
        <w:rPr>
          <w:highlight w:val="none"/>
        </w:rPr>
      </w:pPr>
    </w:p>
    <w:p w14:paraId="16687312">
      <w:pPr>
        <w:rPr>
          <w:rFonts w:hint="eastAsia" w:ascii="宋体" w:hAnsi="宋体" w:cs="宋体"/>
          <w:sz w:val="24"/>
          <w:highlight w:val="none"/>
        </w:rPr>
      </w:pPr>
      <w:bookmarkStart w:id="217" w:name="_Toc4894"/>
      <w:bookmarkStart w:id="218" w:name="_Toc13249"/>
      <w:bookmarkStart w:id="219" w:name="_Toc26578"/>
      <w:r>
        <w:rPr>
          <w:rFonts w:hint="eastAsia" w:ascii="宋体" w:hAnsi="宋体" w:cs="宋体"/>
          <w:sz w:val="24"/>
          <w:highlight w:val="none"/>
        </w:rPr>
        <w:t>机构代码：</w:t>
      </w:r>
      <w:r>
        <w:rPr>
          <w:rFonts w:hint="eastAsia" w:ascii="宋体" w:hAnsi="宋体"/>
          <w:color w:val="000000"/>
          <w:sz w:val="24"/>
          <w:highlight w:val="none"/>
          <w:u w:val="single"/>
        </w:rPr>
        <w:t xml:space="preserve">               </w:t>
      </w:r>
      <w:r>
        <w:rPr>
          <w:rFonts w:hint="eastAsia" w:ascii="宋体" w:hAnsi="宋体" w:cs="宋体"/>
          <w:sz w:val="24"/>
          <w:highlight w:val="none"/>
        </w:rPr>
        <w:t>注册登记机构</w:t>
      </w:r>
      <w:bookmarkEnd w:id="217"/>
      <w:bookmarkEnd w:id="218"/>
      <w:r>
        <w:rPr>
          <w:rFonts w:hint="eastAsia" w:ascii="宋体" w:hAnsi="宋体" w:cs="宋体"/>
          <w:sz w:val="24"/>
          <w:highlight w:val="none"/>
        </w:rPr>
        <w:t>：</w:t>
      </w:r>
      <w:r>
        <w:rPr>
          <w:rFonts w:hint="eastAsia" w:ascii="宋体" w:hAnsi="宋体"/>
          <w:color w:val="000000"/>
          <w:sz w:val="24"/>
          <w:highlight w:val="none"/>
          <w:u w:val="single"/>
        </w:rPr>
        <w:t xml:space="preserve">               </w:t>
      </w:r>
    </w:p>
    <w:p w14:paraId="04BAE460">
      <w:pPr>
        <w:rPr>
          <w:rFonts w:hint="eastAsia" w:ascii="宋体" w:hAnsi="宋体" w:cs="宋体"/>
          <w:sz w:val="24"/>
          <w:highlight w:val="none"/>
        </w:rPr>
      </w:pPr>
      <w:bookmarkStart w:id="220" w:name="_Toc24608"/>
      <w:bookmarkStart w:id="221" w:name="_Toc25125"/>
      <w:r>
        <w:rPr>
          <w:rFonts w:hint="eastAsia" w:ascii="宋体" w:hAnsi="宋体" w:cs="宋体"/>
          <w:sz w:val="24"/>
          <w:highlight w:val="none"/>
        </w:rPr>
        <w:t>日期：</w:t>
      </w:r>
      <w:r>
        <w:rPr>
          <w:rFonts w:hint="eastAsia" w:ascii="宋体" w:hAnsi="宋体"/>
          <w:color w:val="000000"/>
          <w:sz w:val="24"/>
          <w:highlight w:val="none"/>
          <w:u w:val="single"/>
        </w:rPr>
        <w:t xml:space="preserve">               </w:t>
      </w:r>
      <w:r>
        <w:rPr>
          <w:rFonts w:hint="eastAsia" w:ascii="宋体" w:hAnsi="宋体" w:cs="宋体"/>
          <w:sz w:val="24"/>
          <w:highlight w:val="none"/>
        </w:rPr>
        <w:t>有效期：</w:t>
      </w:r>
      <w:r>
        <w:rPr>
          <w:rFonts w:hint="eastAsia" w:ascii="宋体" w:hAnsi="宋体"/>
          <w:color w:val="000000"/>
          <w:sz w:val="24"/>
          <w:highlight w:val="none"/>
          <w:u w:val="single"/>
        </w:rPr>
        <w:t xml:space="preserve">               </w:t>
      </w:r>
      <w:r>
        <w:rPr>
          <w:rFonts w:hint="eastAsia" w:ascii="宋体" w:hAnsi="宋体" w:cs="宋体"/>
          <w:sz w:val="24"/>
          <w:highlight w:val="none"/>
        </w:rPr>
        <w:t>注册资本</w:t>
      </w:r>
      <w:bookmarkEnd w:id="220"/>
      <w:bookmarkEnd w:id="221"/>
      <w:r>
        <w:rPr>
          <w:rFonts w:hint="eastAsia" w:ascii="宋体" w:hAnsi="宋体" w:cs="宋体"/>
          <w:sz w:val="24"/>
          <w:highlight w:val="none"/>
        </w:rPr>
        <w:t>：</w:t>
      </w:r>
      <w:r>
        <w:rPr>
          <w:rFonts w:hint="eastAsia" w:ascii="宋体" w:hAnsi="宋体"/>
          <w:color w:val="000000"/>
          <w:sz w:val="24"/>
          <w:highlight w:val="none"/>
          <w:u w:val="single"/>
        </w:rPr>
        <w:t xml:space="preserve">               </w:t>
      </w:r>
    </w:p>
    <w:p w14:paraId="3AEB5BD7">
      <w:pPr>
        <w:rPr>
          <w:rFonts w:hint="eastAsia" w:ascii="宋体" w:hAnsi="宋体"/>
          <w:color w:val="000000"/>
          <w:sz w:val="24"/>
          <w:highlight w:val="none"/>
          <w:u w:val="single"/>
        </w:rPr>
      </w:pPr>
      <w:bookmarkStart w:id="222" w:name="_Toc22911"/>
      <w:bookmarkStart w:id="223" w:name="_Toc11949"/>
      <w:r>
        <w:rPr>
          <w:rFonts w:hint="eastAsia" w:ascii="宋体" w:hAnsi="宋体" w:cs="宋体"/>
          <w:sz w:val="24"/>
          <w:highlight w:val="none"/>
        </w:rPr>
        <w:t>地址：</w:t>
      </w:r>
      <w:r>
        <w:rPr>
          <w:rFonts w:hint="eastAsia" w:ascii="宋体" w:hAnsi="宋体"/>
          <w:color w:val="000000"/>
          <w:sz w:val="24"/>
          <w:highlight w:val="none"/>
          <w:u w:val="single"/>
        </w:rPr>
        <w:t xml:space="preserve">               </w:t>
      </w:r>
      <w:r>
        <w:rPr>
          <w:rFonts w:hint="eastAsia" w:ascii="宋体" w:hAnsi="宋体" w:cs="宋体"/>
          <w:sz w:val="24"/>
          <w:highlight w:val="none"/>
        </w:rPr>
        <w:t>经济行业：</w:t>
      </w:r>
      <w:r>
        <w:rPr>
          <w:rFonts w:hint="eastAsia" w:ascii="宋体" w:hAnsi="宋体"/>
          <w:color w:val="000000"/>
          <w:sz w:val="24"/>
          <w:highlight w:val="none"/>
          <w:u w:val="single"/>
        </w:rPr>
        <w:t xml:space="preserve">               </w:t>
      </w:r>
      <w:r>
        <w:rPr>
          <w:rFonts w:hint="eastAsia" w:ascii="宋体" w:hAnsi="宋体" w:cs="宋体"/>
          <w:sz w:val="24"/>
          <w:highlight w:val="none"/>
        </w:rPr>
        <w:t>经济性质</w:t>
      </w:r>
      <w:bookmarkEnd w:id="222"/>
      <w:bookmarkEnd w:id="223"/>
      <w:r>
        <w:rPr>
          <w:rFonts w:hint="eastAsia" w:ascii="宋体" w:hAnsi="宋体" w:cs="宋体"/>
          <w:sz w:val="24"/>
          <w:highlight w:val="none"/>
        </w:rPr>
        <w:t>：</w:t>
      </w:r>
      <w:r>
        <w:rPr>
          <w:rFonts w:hint="eastAsia" w:ascii="宋体" w:hAnsi="宋体"/>
          <w:color w:val="000000"/>
          <w:sz w:val="24"/>
          <w:highlight w:val="none"/>
          <w:u w:val="single"/>
        </w:rPr>
        <w:t xml:space="preserve">               </w:t>
      </w:r>
    </w:p>
    <w:p w14:paraId="2CC6CB64">
      <w:pPr>
        <w:pStyle w:val="50"/>
        <w:rPr>
          <w:rFonts w:hint="eastAsia"/>
          <w:highlight w:val="none"/>
        </w:rPr>
      </w:pPr>
    </w:p>
    <w:p w14:paraId="565D30D8">
      <w:pPr>
        <w:rPr>
          <w:rFonts w:hint="eastAsia" w:ascii="宋体" w:hAnsi="宋体" w:cs="宋体"/>
          <w:color w:val="000000"/>
          <w:sz w:val="24"/>
          <w:highlight w:val="none"/>
        </w:rPr>
      </w:pPr>
      <w:bookmarkStart w:id="224" w:name="_Toc23228"/>
      <w:bookmarkStart w:id="225" w:name="_Toc29071"/>
      <w:r>
        <w:rPr>
          <w:rFonts w:hint="eastAsia" w:ascii="宋体" w:hAnsi="宋体" w:cs="宋体"/>
          <w:color w:val="000000"/>
          <w:sz w:val="24"/>
          <w:highlight w:val="none"/>
        </w:rPr>
        <w:t>法定代表人(负责人)姓名</w:t>
      </w:r>
      <w:r>
        <w:rPr>
          <w:rFonts w:hint="eastAsia" w:ascii="宋体" w:hAnsi="宋体" w:cs="宋体"/>
          <w:b/>
          <w:bCs/>
          <w:color w:val="000000"/>
          <w:sz w:val="24"/>
          <w:highlight w:val="none"/>
        </w:rPr>
        <w:t>(签字)</w:t>
      </w:r>
      <w:r>
        <w:rPr>
          <w:rFonts w:hint="eastAsia" w:ascii="宋体" w:hAnsi="宋体" w:cs="宋体"/>
          <w:color w:val="000000"/>
          <w:sz w:val="24"/>
          <w:highlight w:val="none"/>
        </w:rPr>
        <w:t>：</w:t>
      </w:r>
      <w:r>
        <w:rPr>
          <w:rFonts w:hint="eastAsia" w:ascii="宋体" w:hAnsi="宋体"/>
          <w:color w:val="000000"/>
          <w:sz w:val="24"/>
          <w:highlight w:val="none"/>
          <w:u w:val="single"/>
        </w:rPr>
        <w:t xml:space="preserve">               </w:t>
      </w:r>
    </w:p>
    <w:p w14:paraId="5B5D6B52">
      <w:pPr>
        <w:rPr>
          <w:rFonts w:hint="eastAsia" w:ascii="宋体" w:hAnsi="宋体" w:cs="宋体"/>
          <w:color w:val="000000"/>
          <w:sz w:val="24"/>
          <w:highlight w:val="none"/>
        </w:rPr>
      </w:pPr>
      <w:r>
        <w:rPr>
          <w:rFonts w:hint="eastAsia" w:ascii="宋体" w:hAnsi="宋体" w:cs="宋体"/>
          <w:color w:val="000000"/>
          <w:sz w:val="24"/>
          <w:highlight w:val="none"/>
        </w:rPr>
        <w:t>身份证号：</w:t>
      </w:r>
      <w:r>
        <w:rPr>
          <w:rFonts w:hint="eastAsia" w:ascii="宋体" w:hAnsi="宋体"/>
          <w:color w:val="000000"/>
          <w:sz w:val="24"/>
          <w:highlight w:val="none"/>
          <w:u w:val="single"/>
        </w:rPr>
        <w:t xml:space="preserve">               </w:t>
      </w:r>
      <w:r>
        <w:rPr>
          <w:rFonts w:hint="eastAsia" w:ascii="宋体" w:hAnsi="宋体" w:cs="宋体"/>
          <w:color w:val="000000"/>
          <w:sz w:val="24"/>
          <w:highlight w:val="none"/>
        </w:rPr>
        <w:t>、手机号</w:t>
      </w:r>
      <w:bookmarkEnd w:id="224"/>
      <w:bookmarkEnd w:id="225"/>
      <w:r>
        <w:rPr>
          <w:rFonts w:hint="eastAsia" w:ascii="宋体" w:hAnsi="宋体" w:cs="宋体"/>
          <w:color w:val="000000"/>
          <w:sz w:val="24"/>
          <w:highlight w:val="none"/>
        </w:rPr>
        <w:t>：</w:t>
      </w:r>
      <w:r>
        <w:rPr>
          <w:rFonts w:hint="eastAsia" w:ascii="宋体" w:hAnsi="宋体"/>
          <w:color w:val="000000"/>
          <w:sz w:val="24"/>
          <w:highlight w:val="none"/>
          <w:u w:val="single"/>
        </w:rPr>
        <w:t xml:space="preserve">               </w:t>
      </w:r>
      <w:r>
        <w:rPr>
          <w:rFonts w:hint="eastAsia" w:ascii="宋体" w:hAnsi="宋体"/>
          <w:color w:val="000000"/>
          <w:sz w:val="24"/>
          <w:highlight w:val="none"/>
        </w:rPr>
        <w:t>；</w:t>
      </w:r>
    </w:p>
    <w:p w14:paraId="2F2D66B5">
      <w:pPr>
        <w:rPr>
          <w:rFonts w:hint="eastAsia" w:ascii="宋体" w:hAnsi="宋体" w:cs="宋体"/>
          <w:color w:val="000000"/>
          <w:sz w:val="24"/>
          <w:highlight w:val="none"/>
        </w:rPr>
      </w:pPr>
      <w:bookmarkStart w:id="226" w:name="_Toc9755"/>
      <w:bookmarkStart w:id="227" w:name="_Toc24052"/>
      <w:r>
        <w:rPr>
          <w:rFonts w:hint="eastAsia" w:ascii="宋体" w:hAnsi="宋体" w:cs="宋体"/>
          <w:color w:val="000000"/>
          <w:sz w:val="24"/>
          <w:highlight w:val="none"/>
        </w:rPr>
        <w:t>授权代表人姓名</w:t>
      </w:r>
      <w:r>
        <w:rPr>
          <w:rFonts w:hint="eastAsia" w:ascii="宋体" w:hAnsi="宋体" w:cs="宋体"/>
          <w:b/>
          <w:bCs/>
          <w:color w:val="000000"/>
          <w:sz w:val="24"/>
          <w:highlight w:val="none"/>
        </w:rPr>
        <w:t>(签字)</w:t>
      </w:r>
      <w:r>
        <w:rPr>
          <w:rFonts w:hint="eastAsia" w:ascii="宋体" w:hAnsi="宋体" w:cs="宋体"/>
          <w:color w:val="000000"/>
          <w:sz w:val="24"/>
          <w:highlight w:val="none"/>
        </w:rPr>
        <w:t>：</w:t>
      </w:r>
      <w:r>
        <w:rPr>
          <w:rFonts w:hint="eastAsia" w:ascii="宋体" w:hAnsi="宋体"/>
          <w:color w:val="000000"/>
          <w:sz w:val="24"/>
          <w:highlight w:val="none"/>
          <w:u w:val="single"/>
        </w:rPr>
        <w:t xml:space="preserve">               </w:t>
      </w:r>
    </w:p>
    <w:p w14:paraId="56CFD8C8">
      <w:pPr>
        <w:rPr>
          <w:rFonts w:hint="eastAsia" w:ascii="宋体" w:hAnsi="宋体" w:cs="宋体"/>
          <w:sz w:val="24"/>
          <w:highlight w:val="none"/>
        </w:rPr>
      </w:pPr>
      <w:r>
        <w:rPr>
          <w:rFonts w:hint="eastAsia" w:ascii="宋体" w:hAnsi="宋体" w:cs="宋体"/>
          <w:sz w:val="24"/>
          <w:highlight w:val="none"/>
        </w:rPr>
        <w:t>身份证号：</w:t>
      </w:r>
      <w:r>
        <w:rPr>
          <w:rFonts w:hint="eastAsia" w:ascii="宋体" w:hAnsi="宋体"/>
          <w:color w:val="000000"/>
          <w:sz w:val="24"/>
          <w:highlight w:val="none"/>
          <w:u w:val="single"/>
        </w:rPr>
        <w:t xml:space="preserve">               </w:t>
      </w:r>
      <w:r>
        <w:rPr>
          <w:rFonts w:hint="eastAsia" w:ascii="宋体" w:hAnsi="宋体" w:cs="宋体"/>
          <w:sz w:val="24"/>
          <w:highlight w:val="none"/>
        </w:rPr>
        <w:t>、手机号</w:t>
      </w:r>
      <w:bookmarkEnd w:id="226"/>
      <w:bookmarkEnd w:id="227"/>
      <w:r>
        <w:rPr>
          <w:rFonts w:hint="eastAsia" w:ascii="宋体" w:hAnsi="宋体" w:cs="宋体"/>
          <w:sz w:val="24"/>
          <w:highlight w:val="none"/>
        </w:rPr>
        <w:t>：</w:t>
      </w:r>
      <w:r>
        <w:rPr>
          <w:rFonts w:hint="eastAsia" w:ascii="宋体" w:hAnsi="宋体"/>
          <w:color w:val="000000"/>
          <w:sz w:val="24"/>
          <w:highlight w:val="none"/>
          <w:u w:val="single"/>
        </w:rPr>
        <w:t xml:space="preserve">               </w:t>
      </w:r>
      <w:r>
        <w:rPr>
          <w:rFonts w:hint="eastAsia" w:ascii="宋体" w:hAnsi="宋体"/>
          <w:color w:val="000000"/>
          <w:sz w:val="24"/>
          <w:highlight w:val="none"/>
        </w:rPr>
        <w:t>。</w:t>
      </w:r>
    </w:p>
    <w:p w14:paraId="5D637031">
      <w:pPr>
        <w:adjustRightInd w:val="0"/>
        <w:snapToGrid w:val="0"/>
        <w:jc w:val="center"/>
        <w:outlineLvl w:val="1"/>
        <w:rPr>
          <w:rStyle w:val="102"/>
          <w:rFonts w:hint="eastAsia" w:eastAsia="宋体"/>
          <w:sz w:val="28"/>
          <w:szCs w:val="28"/>
          <w:highlight w:val="none"/>
          <w:lang w:eastAsia="zh-CN"/>
        </w:rPr>
      </w:pPr>
      <w:r>
        <w:rPr>
          <w:rFonts w:hint="eastAsia" w:ascii="宋体" w:hAnsi="宋体" w:cs="宋体"/>
          <w:color w:val="000000"/>
          <w:szCs w:val="21"/>
          <w:highlight w:val="none"/>
        </w:rPr>
        <w:br w:type="page"/>
      </w:r>
      <w:bookmarkStart w:id="228" w:name="_Toc20803"/>
      <w:bookmarkStart w:id="229" w:name="_Toc11834"/>
      <w:r>
        <w:rPr>
          <w:rStyle w:val="102"/>
          <w:rFonts w:hint="eastAsia"/>
          <w:sz w:val="28"/>
          <w:szCs w:val="28"/>
          <w:highlight w:val="none"/>
        </w:rPr>
        <w:t>四、</w:t>
      </w:r>
      <w:bookmarkEnd w:id="219"/>
      <w:bookmarkEnd w:id="228"/>
      <w:bookmarkEnd w:id="229"/>
      <w:r>
        <w:rPr>
          <w:rStyle w:val="102"/>
          <w:rFonts w:hint="eastAsia" w:eastAsia="宋体" w:cs="Times New Roman"/>
          <w:sz w:val="28"/>
          <w:szCs w:val="28"/>
          <w:highlight w:val="none"/>
          <w:lang w:eastAsia="zh-CN"/>
        </w:rPr>
        <w:t>项目实施方案</w:t>
      </w:r>
      <w:r>
        <w:rPr>
          <w:rStyle w:val="102"/>
          <w:rFonts w:hint="eastAsia"/>
          <w:sz w:val="28"/>
          <w:szCs w:val="28"/>
          <w:highlight w:val="none"/>
          <w:lang w:eastAsia="zh-CN"/>
        </w:rPr>
        <w:t>方案</w:t>
      </w:r>
    </w:p>
    <w:p w14:paraId="58E67D0B">
      <w:pPr>
        <w:adjustRightInd w:val="0"/>
        <w:snapToGrid w:val="0"/>
        <w:spacing w:line="480" w:lineRule="exact"/>
        <w:outlineLvl w:val="2"/>
        <w:rPr>
          <w:rFonts w:hint="eastAsia"/>
          <w:sz w:val="24"/>
          <w:highlight w:val="none"/>
        </w:rPr>
      </w:pPr>
      <w:bookmarkStart w:id="230" w:name="_Toc9077"/>
      <w:bookmarkStart w:id="231" w:name="_Toc29740"/>
      <w:r>
        <w:rPr>
          <w:rFonts w:hint="eastAsia" w:ascii="宋体" w:hAnsi="宋体" w:cs="宋体"/>
          <w:b/>
          <w:bCs/>
          <w:color w:val="000000"/>
          <w:sz w:val="24"/>
          <w:highlight w:val="none"/>
        </w:rPr>
        <w:t>附件4-1</w:t>
      </w:r>
      <w:bookmarkEnd w:id="230"/>
      <w:bookmarkEnd w:id="231"/>
    </w:p>
    <w:p w14:paraId="26D13306">
      <w:pPr>
        <w:pStyle w:val="11"/>
        <w:ind w:firstLine="480" w:firstLineChars="200"/>
        <w:rPr>
          <w:rFonts w:hint="eastAsia"/>
        </w:rPr>
      </w:pPr>
    </w:p>
    <w:p w14:paraId="04BCEBC1">
      <w:pPr>
        <w:pStyle w:val="11"/>
        <w:ind w:firstLine="480" w:firstLineChars="200"/>
        <w:rPr>
          <w:rFonts w:hint="eastAsia"/>
        </w:rPr>
      </w:pPr>
    </w:p>
    <w:p w14:paraId="4530A274">
      <w:pPr>
        <w:pStyle w:val="11"/>
        <w:ind w:firstLine="480" w:firstLineChars="200"/>
        <w:rPr>
          <w:rFonts w:hint="eastAsia"/>
        </w:rPr>
      </w:pPr>
    </w:p>
    <w:p w14:paraId="0EFDD088">
      <w:pPr>
        <w:pStyle w:val="11"/>
        <w:ind w:firstLine="480" w:firstLineChars="200"/>
        <w:rPr>
          <w:rFonts w:hint="eastAsia"/>
        </w:rPr>
      </w:pPr>
    </w:p>
    <w:p w14:paraId="6C6CA7D6">
      <w:pPr>
        <w:pStyle w:val="11"/>
        <w:ind w:firstLine="2160" w:firstLineChars="900"/>
        <w:rPr>
          <w:rFonts w:hint="eastAsia"/>
        </w:rPr>
      </w:pPr>
      <w:r>
        <w:rPr>
          <w:rFonts w:hint="eastAsia"/>
        </w:rPr>
        <w:t>根据评标方法及标准表内容自行拟定。</w:t>
      </w:r>
    </w:p>
    <w:p w14:paraId="2FEC3A18">
      <w:pPr>
        <w:adjustRightInd w:val="0"/>
        <w:snapToGrid w:val="0"/>
        <w:rPr>
          <w:rFonts w:hint="eastAsia" w:ascii="宋体" w:hAnsi="宋体" w:cs="宋体"/>
          <w:sz w:val="24"/>
          <w:highlight w:val="none"/>
        </w:rPr>
      </w:pPr>
    </w:p>
    <w:p w14:paraId="342AFD1D">
      <w:pPr>
        <w:adjustRightInd w:val="0"/>
        <w:snapToGrid w:val="0"/>
        <w:rPr>
          <w:rFonts w:hint="eastAsia" w:ascii="宋体" w:hAnsi="宋体" w:cs="宋体"/>
          <w:sz w:val="24"/>
          <w:highlight w:val="none"/>
        </w:rPr>
      </w:pPr>
    </w:p>
    <w:p w14:paraId="7C9EC298">
      <w:pPr>
        <w:adjustRightInd w:val="0"/>
        <w:snapToGrid w:val="0"/>
        <w:rPr>
          <w:rFonts w:hint="eastAsia" w:ascii="宋体" w:hAnsi="宋体" w:cs="宋体"/>
          <w:sz w:val="24"/>
          <w:highlight w:val="none"/>
        </w:rPr>
      </w:pPr>
    </w:p>
    <w:p w14:paraId="76B7F112">
      <w:pPr>
        <w:adjustRightInd w:val="0"/>
        <w:snapToGrid w:val="0"/>
        <w:rPr>
          <w:rFonts w:hint="eastAsia" w:ascii="宋体" w:hAnsi="宋体" w:cs="宋体"/>
          <w:sz w:val="24"/>
          <w:highlight w:val="none"/>
        </w:rPr>
      </w:pPr>
    </w:p>
    <w:p w14:paraId="7E43B141">
      <w:pPr>
        <w:adjustRightInd w:val="0"/>
        <w:snapToGrid w:val="0"/>
        <w:rPr>
          <w:rFonts w:hint="eastAsia" w:ascii="宋体" w:hAnsi="宋体" w:cs="宋体"/>
          <w:sz w:val="24"/>
          <w:highlight w:val="none"/>
        </w:rPr>
      </w:pPr>
    </w:p>
    <w:p w14:paraId="37DAC0BA">
      <w:pPr>
        <w:adjustRightInd w:val="0"/>
        <w:snapToGrid w:val="0"/>
        <w:rPr>
          <w:rFonts w:hint="eastAsia" w:ascii="宋体" w:hAnsi="宋体" w:cs="宋体"/>
          <w:sz w:val="24"/>
          <w:highlight w:val="none"/>
        </w:rPr>
      </w:pPr>
    </w:p>
    <w:p w14:paraId="29EDAFDE">
      <w:pPr>
        <w:adjustRightInd w:val="0"/>
        <w:snapToGrid w:val="0"/>
        <w:rPr>
          <w:rFonts w:hint="eastAsia" w:ascii="宋体" w:hAnsi="宋体" w:cs="宋体"/>
          <w:sz w:val="24"/>
          <w:highlight w:val="none"/>
        </w:rPr>
      </w:pPr>
    </w:p>
    <w:p w14:paraId="2A7F881B">
      <w:pPr>
        <w:adjustRightInd w:val="0"/>
        <w:snapToGrid w:val="0"/>
        <w:rPr>
          <w:rFonts w:hint="eastAsia" w:ascii="宋体" w:hAnsi="宋体" w:cs="宋体"/>
          <w:sz w:val="24"/>
          <w:highlight w:val="none"/>
        </w:rPr>
      </w:pPr>
    </w:p>
    <w:p w14:paraId="5B52D620">
      <w:pPr>
        <w:adjustRightInd w:val="0"/>
        <w:snapToGrid w:val="0"/>
        <w:rPr>
          <w:rFonts w:hint="eastAsia" w:ascii="宋体" w:hAnsi="宋体" w:cs="宋体"/>
          <w:sz w:val="24"/>
          <w:highlight w:val="none"/>
        </w:rPr>
      </w:pPr>
    </w:p>
    <w:p w14:paraId="776F08F1">
      <w:pPr>
        <w:adjustRightInd w:val="0"/>
        <w:snapToGrid w:val="0"/>
        <w:rPr>
          <w:rFonts w:hint="eastAsia" w:ascii="宋体" w:hAnsi="宋体" w:cs="宋体"/>
          <w:sz w:val="24"/>
          <w:highlight w:val="none"/>
        </w:rPr>
      </w:pPr>
    </w:p>
    <w:p w14:paraId="440FEA1D">
      <w:pPr>
        <w:adjustRightInd w:val="0"/>
        <w:snapToGrid w:val="0"/>
        <w:rPr>
          <w:rFonts w:hint="eastAsia" w:ascii="宋体" w:hAnsi="宋体" w:cs="宋体"/>
          <w:sz w:val="24"/>
          <w:highlight w:val="none"/>
        </w:rPr>
      </w:pPr>
    </w:p>
    <w:p w14:paraId="36BBAD11">
      <w:pPr>
        <w:adjustRightInd w:val="0"/>
        <w:snapToGrid w:val="0"/>
        <w:rPr>
          <w:rFonts w:hint="eastAsia" w:ascii="宋体" w:hAnsi="宋体" w:cs="宋体"/>
          <w:sz w:val="24"/>
          <w:highlight w:val="none"/>
        </w:rPr>
      </w:pPr>
    </w:p>
    <w:p w14:paraId="46861387">
      <w:pPr>
        <w:adjustRightInd w:val="0"/>
        <w:snapToGrid w:val="0"/>
        <w:rPr>
          <w:rFonts w:hint="eastAsia" w:ascii="宋体" w:hAnsi="宋体" w:cs="宋体"/>
          <w:sz w:val="24"/>
          <w:highlight w:val="none"/>
        </w:rPr>
      </w:pPr>
    </w:p>
    <w:p w14:paraId="23F19BEA">
      <w:pPr>
        <w:adjustRightInd w:val="0"/>
        <w:snapToGrid w:val="0"/>
        <w:rPr>
          <w:rFonts w:hint="eastAsia" w:ascii="宋体" w:hAnsi="宋体" w:cs="宋体"/>
          <w:sz w:val="24"/>
          <w:highlight w:val="none"/>
        </w:rPr>
      </w:pPr>
    </w:p>
    <w:p w14:paraId="293639E9">
      <w:pPr>
        <w:adjustRightInd w:val="0"/>
        <w:snapToGrid w:val="0"/>
        <w:rPr>
          <w:rFonts w:hint="eastAsia" w:ascii="宋体" w:hAnsi="宋体" w:cs="宋体"/>
          <w:sz w:val="24"/>
          <w:highlight w:val="none"/>
        </w:rPr>
      </w:pPr>
    </w:p>
    <w:p w14:paraId="480E13EA">
      <w:pPr>
        <w:adjustRightInd w:val="0"/>
        <w:snapToGrid w:val="0"/>
        <w:rPr>
          <w:rFonts w:hint="eastAsia" w:ascii="宋体" w:hAnsi="宋体" w:cs="宋体"/>
          <w:sz w:val="24"/>
          <w:highlight w:val="none"/>
        </w:rPr>
      </w:pPr>
    </w:p>
    <w:p w14:paraId="4785F34D">
      <w:pPr>
        <w:adjustRightInd w:val="0"/>
        <w:snapToGrid w:val="0"/>
        <w:rPr>
          <w:rFonts w:hint="eastAsia" w:ascii="宋体" w:hAnsi="宋体" w:cs="宋体"/>
          <w:sz w:val="24"/>
          <w:highlight w:val="none"/>
        </w:rPr>
      </w:pPr>
    </w:p>
    <w:p w14:paraId="5F3DE4A9">
      <w:pPr>
        <w:adjustRightInd w:val="0"/>
        <w:snapToGrid w:val="0"/>
        <w:rPr>
          <w:rFonts w:hint="eastAsia" w:ascii="宋体" w:hAnsi="宋体" w:cs="宋体"/>
          <w:sz w:val="24"/>
          <w:highlight w:val="none"/>
        </w:rPr>
      </w:pPr>
    </w:p>
    <w:p w14:paraId="37A5CA73">
      <w:pPr>
        <w:pStyle w:val="15"/>
        <w:adjustRightInd w:val="0"/>
        <w:snapToGrid w:val="0"/>
        <w:rPr>
          <w:rFonts w:hint="eastAsia" w:ascii="宋体" w:hAnsi="宋体" w:cs="宋体"/>
          <w:bCs/>
          <w:szCs w:val="24"/>
          <w:highlight w:val="none"/>
        </w:rPr>
      </w:pPr>
      <w:r>
        <w:rPr>
          <w:rFonts w:hint="eastAsia" w:ascii="宋体" w:hAnsi="宋体" w:cs="宋体"/>
          <w:szCs w:val="24"/>
          <w:highlight w:val="none"/>
        </w:rPr>
        <w:t>供应商名称</w:t>
      </w:r>
      <w:r>
        <w:rPr>
          <w:rFonts w:hint="eastAsia" w:ascii="宋体" w:hAnsi="宋体" w:cs="宋体"/>
          <w:color w:val="000000"/>
          <w:szCs w:val="24"/>
          <w:highlight w:val="none"/>
        </w:rPr>
        <w:t>(盖单位章)</w:t>
      </w:r>
      <w:r>
        <w:rPr>
          <w:rFonts w:hint="eastAsia" w:ascii="宋体" w:hAnsi="宋体" w:cs="宋体"/>
          <w:szCs w:val="24"/>
          <w:highlight w:val="none"/>
        </w:rPr>
        <w:t>：</w:t>
      </w:r>
      <w:r>
        <w:rPr>
          <w:rFonts w:hint="eastAsia" w:ascii="宋体" w:hAnsi="宋体"/>
          <w:color w:val="000000"/>
          <w:szCs w:val="24"/>
          <w:highlight w:val="none"/>
          <w:u w:val="single"/>
        </w:rPr>
        <w:t xml:space="preserve">               </w:t>
      </w:r>
    </w:p>
    <w:p w14:paraId="58C3F94E">
      <w:pPr>
        <w:adjustRightInd w:val="0"/>
        <w:snapToGrid w:val="0"/>
        <w:rPr>
          <w:rFonts w:hint="eastAsia" w:ascii="宋体" w:hAnsi="宋体" w:cs="宋体"/>
          <w:sz w:val="24"/>
          <w:highlight w:val="none"/>
        </w:rPr>
      </w:pPr>
      <w:r>
        <w:rPr>
          <w:rFonts w:hint="eastAsia" w:ascii="宋体" w:hAnsi="宋体" w:cs="宋体"/>
          <w:sz w:val="24"/>
          <w:highlight w:val="none"/>
        </w:rPr>
        <w:t>法定代表人或其委托代理人(</w:t>
      </w:r>
      <w:r>
        <w:rPr>
          <w:rFonts w:hint="eastAsia" w:ascii="宋体" w:hAnsi="宋体" w:cs="宋体"/>
          <w:color w:val="000000"/>
          <w:sz w:val="24"/>
          <w:highlight w:val="none"/>
        </w:rPr>
        <w:t>签字或印章</w:t>
      </w:r>
      <w:r>
        <w:rPr>
          <w:rFonts w:hint="eastAsia" w:ascii="宋体" w:hAnsi="宋体" w:cs="宋体"/>
          <w:sz w:val="24"/>
          <w:highlight w:val="none"/>
        </w:rPr>
        <w:t>)：</w:t>
      </w:r>
      <w:r>
        <w:rPr>
          <w:rFonts w:hint="eastAsia" w:ascii="宋体" w:hAnsi="宋体"/>
          <w:color w:val="000000"/>
          <w:sz w:val="24"/>
          <w:highlight w:val="none"/>
          <w:u w:val="single"/>
        </w:rPr>
        <w:t xml:space="preserve">               </w:t>
      </w:r>
    </w:p>
    <w:p w14:paraId="7346C247">
      <w:pPr>
        <w:adjustRightInd w:val="0"/>
        <w:snapToGrid w:val="0"/>
        <w:rPr>
          <w:b/>
          <w:bCs/>
          <w:color w:val="000000"/>
          <w:highlight w:val="none"/>
        </w:rPr>
      </w:pPr>
      <w:r>
        <w:rPr>
          <w:rFonts w:hint="eastAsia" w:ascii="宋体" w:hAnsi="宋体" w:cs="宋体"/>
          <w:sz w:val="24"/>
          <w:highlight w:val="none"/>
        </w:rPr>
        <w:t>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56EE4ACC">
      <w:pPr>
        <w:adjustRightInd w:val="0"/>
        <w:snapToGrid w:val="0"/>
        <w:spacing w:line="480" w:lineRule="exact"/>
        <w:rPr>
          <w:rFonts w:hint="eastAsia" w:ascii="宋体" w:hAnsi="宋体"/>
          <w:b/>
          <w:color w:val="000000"/>
          <w:sz w:val="28"/>
          <w:szCs w:val="28"/>
          <w:highlight w:val="none"/>
        </w:rPr>
      </w:pPr>
      <w:r>
        <w:rPr>
          <w:rFonts w:hint="eastAsia" w:ascii="宋体" w:hAnsi="宋体"/>
          <w:b/>
          <w:color w:val="000000"/>
          <w:sz w:val="28"/>
          <w:szCs w:val="28"/>
          <w:highlight w:val="none"/>
        </w:rPr>
        <w:br w:type="page"/>
      </w:r>
      <w:r>
        <w:rPr>
          <w:rFonts w:hint="eastAsia" w:ascii="宋体" w:hAnsi="宋体" w:cs="宋体"/>
          <w:b/>
          <w:bCs/>
          <w:color w:val="000000"/>
          <w:sz w:val="24"/>
          <w:highlight w:val="none"/>
        </w:rPr>
        <w:t>附件4-2</w:t>
      </w:r>
    </w:p>
    <w:p w14:paraId="2A23ADDB">
      <w:pPr>
        <w:pStyle w:val="4"/>
        <w:bidi w:val="0"/>
        <w:jc w:val="center"/>
        <w:rPr>
          <w:rFonts w:hint="eastAsia"/>
          <w:sz w:val="28"/>
          <w:szCs w:val="28"/>
          <w:highlight w:val="none"/>
        </w:rPr>
      </w:pPr>
      <w:r>
        <w:rPr>
          <w:rFonts w:hint="eastAsia"/>
          <w:sz w:val="28"/>
          <w:szCs w:val="28"/>
          <w:highlight w:val="none"/>
          <w:lang w:val="en-US" w:eastAsia="zh-CN"/>
        </w:rPr>
        <w:t>主要</w:t>
      </w:r>
      <w:r>
        <w:rPr>
          <w:rFonts w:hint="eastAsia"/>
          <w:sz w:val="28"/>
          <w:szCs w:val="28"/>
          <w:highlight w:val="none"/>
          <w:lang w:eastAsia="zh-CN"/>
        </w:rPr>
        <w:t>人</w:t>
      </w:r>
      <w:r>
        <w:rPr>
          <w:rFonts w:hint="eastAsia"/>
          <w:sz w:val="28"/>
          <w:szCs w:val="28"/>
          <w:highlight w:val="none"/>
          <w:lang w:val="en-US" w:eastAsia="zh-CN"/>
        </w:rPr>
        <w:t>员</w:t>
      </w:r>
      <w:r>
        <w:rPr>
          <w:rFonts w:hint="eastAsia"/>
          <w:sz w:val="28"/>
          <w:szCs w:val="28"/>
          <w:highlight w:val="none"/>
        </w:rPr>
        <w:t>简历表</w:t>
      </w:r>
    </w:p>
    <w:p w14:paraId="6E16DDEB">
      <w:pPr>
        <w:pStyle w:val="13"/>
        <w:ind w:left="0" w:leftChars="0" w:firstLine="0" w:firstLineChars="0"/>
        <w:rPr>
          <w:color w:val="auto"/>
          <w:highlight w:val="none"/>
        </w:rPr>
      </w:pPr>
    </w:p>
    <w:tbl>
      <w:tblPr>
        <w:tblStyle w:val="24"/>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58"/>
        <w:gridCol w:w="893"/>
        <w:gridCol w:w="2856"/>
        <w:gridCol w:w="458"/>
        <w:gridCol w:w="1624"/>
        <w:gridCol w:w="625"/>
        <w:gridCol w:w="1924"/>
      </w:tblGrid>
      <w:tr w14:paraId="5D427F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16" w:hRule="exact"/>
        </w:trPr>
        <w:tc>
          <w:tcPr>
            <w:tcW w:w="2351" w:type="dxa"/>
            <w:gridSpan w:val="2"/>
            <w:vAlign w:val="center"/>
          </w:tcPr>
          <w:p w14:paraId="0F11E0D4">
            <w:pPr>
              <w:spacing w:line="360" w:lineRule="auto"/>
              <w:jc w:val="center"/>
              <w:rPr>
                <w:rFonts w:ascii="宋体"/>
                <w:color w:val="auto"/>
                <w:highlight w:val="none"/>
              </w:rPr>
            </w:pPr>
            <w:r>
              <w:rPr>
                <w:rFonts w:hint="eastAsia" w:ascii="宋体"/>
                <w:color w:val="auto"/>
                <w:highlight w:val="none"/>
              </w:rPr>
              <w:t>姓</w:t>
            </w:r>
            <w:r>
              <w:rPr>
                <w:rFonts w:ascii="宋体"/>
                <w:color w:val="auto"/>
                <w:highlight w:val="none"/>
              </w:rPr>
              <w:t xml:space="preserve">   </w:t>
            </w:r>
            <w:r>
              <w:rPr>
                <w:rFonts w:hint="eastAsia" w:ascii="宋体"/>
                <w:color w:val="auto"/>
                <w:highlight w:val="none"/>
              </w:rPr>
              <w:t>名</w:t>
            </w:r>
          </w:p>
        </w:tc>
        <w:tc>
          <w:tcPr>
            <w:tcW w:w="2856" w:type="dxa"/>
            <w:vAlign w:val="center"/>
          </w:tcPr>
          <w:p w14:paraId="09DC48EB">
            <w:pPr>
              <w:spacing w:line="360" w:lineRule="auto"/>
              <w:jc w:val="center"/>
              <w:rPr>
                <w:rFonts w:ascii="宋体"/>
                <w:color w:val="auto"/>
                <w:highlight w:val="none"/>
              </w:rPr>
            </w:pPr>
          </w:p>
        </w:tc>
        <w:tc>
          <w:tcPr>
            <w:tcW w:w="2707" w:type="dxa"/>
            <w:gridSpan w:val="3"/>
            <w:vAlign w:val="center"/>
          </w:tcPr>
          <w:p w14:paraId="428FC272">
            <w:pPr>
              <w:spacing w:line="360" w:lineRule="auto"/>
              <w:jc w:val="center"/>
              <w:rPr>
                <w:rFonts w:ascii="宋体"/>
                <w:color w:val="auto"/>
                <w:highlight w:val="none"/>
              </w:rPr>
            </w:pPr>
            <w:r>
              <w:rPr>
                <w:rFonts w:hint="eastAsia" w:ascii="宋体"/>
                <w:color w:val="auto"/>
                <w:highlight w:val="none"/>
              </w:rPr>
              <w:t>性</w:t>
            </w:r>
            <w:r>
              <w:rPr>
                <w:rFonts w:ascii="宋体"/>
                <w:color w:val="auto"/>
                <w:highlight w:val="none"/>
              </w:rPr>
              <w:t xml:space="preserve">  </w:t>
            </w:r>
            <w:r>
              <w:rPr>
                <w:rFonts w:hint="eastAsia" w:ascii="宋体"/>
                <w:color w:val="auto"/>
                <w:highlight w:val="none"/>
              </w:rPr>
              <w:t>别</w:t>
            </w:r>
          </w:p>
        </w:tc>
        <w:tc>
          <w:tcPr>
            <w:tcW w:w="1924" w:type="dxa"/>
            <w:vAlign w:val="center"/>
          </w:tcPr>
          <w:p w14:paraId="4450D411">
            <w:pPr>
              <w:spacing w:line="360" w:lineRule="auto"/>
              <w:jc w:val="center"/>
              <w:rPr>
                <w:rFonts w:ascii="宋体"/>
                <w:color w:val="auto"/>
                <w:highlight w:val="none"/>
              </w:rPr>
            </w:pPr>
          </w:p>
        </w:tc>
      </w:tr>
      <w:tr w14:paraId="4C8D8D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5" w:hRule="exact"/>
        </w:trPr>
        <w:tc>
          <w:tcPr>
            <w:tcW w:w="2351" w:type="dxa"/>
            <w:gridSpan w:val="2"/>
            <w:vAlign w:val="center"/>
          </w:tcPr>
          <w:p w14:paraId="3C1496F3">
            <w:pPr>
              <w:spacing w:line="360" w:lineRule="auto"/>
              <w:jc w:val="center"/>
              <w:rPr>
                <w:rFonts w:ascii="宋体"/>
                <w:color w:val="auto"/>
                <w:highlight w:val="none"/>
              </w:rPr>
            </w:pPr>
            <w:r>
              <w:rPr>
                <w:rFonts w:hint="eastAsia" w:ascii="宋体"/>
                <w:color w:val="auto"/>
                <w:highlight w:val="none"/>
              </w:rPr>
              <w:t>职</w:t>
            </w:r>
            <w:r>
              <w:rPr>
                <w:rFonts w:ascii="宋体"/>
                <w:color w:val="auto"/>
                <w:highlight w:val="none"/>
              </w:rPr>
              <w:t xml:space="preserve">   </w:t>
            </w:r>
            <w:r>
              <w:rPr>
                <w:rFonts w:hint="eastAsia" w:ascii="宋体"/>
                <w:color w:val="auto"/>
                <w:highlight w:val="none"/>
              </w:rPr>
              <w:t>务</w:t>
            </w:r>
          </w:p>
        </w:tc>
        <w:tc>
          <w:tcPr>
            <w:tcW w:w="2856" w:type="dxa"/>
            <w:vAlign w:val="center"/>
          </w:tcPr>
          <w:p w14:paraId="04243D80">
            <w:pPr>
              <w:spacing w:line="360" w:lineRule="auto"/>
              <w:jc w:val="center"/>
              <w:rPr>
                <w:rFonts w:ascii="宋体"/>
                <w:color w:val="auto"/>
                <w:highlight w:val="none"/>
              </w:rPr>
            </w:pPr>
          </w:p>
        </w:tc>
        <w:tc>
          <w:tcPr>
            <w:tcW w:w="2707" w:type="dxa"/>
            <w:gridSpan w:val="3"/>
            <w:vAlign w:val="center"/>
          </w:tcPr>
          <w:p w14:paraId="4BE52CFD">
            <w:pPr>
              <w:spacing w:line="360" w:lineRule="auto"/>
              <w:jc w:val="center"/>
              <w:rPr>
                <w:rFonts w:ascii="宋体"/>
                <w:color w:val="auto"/>
                <w:highlight w:val="none"/>
              </w:rPr>
            </w:pPr>
            <w:r>
              <w:rPr>
                <w:rFonts w:hint="eastAsia" w:ascii="宋体"/>
                <w:color w:val="auto"/>
                <w:highlight w:val="none"/>
              </w:rPr>
              <w:t>职</w:t>
            </w:r>
            <w:r>
              <w:rPr>
                <w:rFonts w:ascii="宋体"/>
                <w:color w:val="auto"/>
                <w:highlight w:val="none"/>
              </w:rPr>
              <w:t xml:space="preserve">  </w:t>
            </w:r>
            <w:r>
              <w:rPr>
                <w:rFonts w:hint="eastAsia" w:ascii="宋体"/>
                <w:color w:val="auto"/>
                <w:highlight w:val="none"/>
              </w:rPr>
              <w:t>称</w:t>
            </w:r>
          </w:p>
        </w:tc>
        <w:tc>
          <w:tcPr>
            <w:tcW w:w="1924" w:type="dxa"/>
            <w:vAlign w:val="center"/>
          </w:tcPr>
          <w:p w14:paraId="0364C5F6">
            <w:pPr>
              <w:spacing w:line="360" w:lineRule="auto"/>
              <w:jc w:val="center"/>
              <w:rPr>
                <w:rFonts w:ascii="宋体"/>
                <w:color w:val="auto"/>
                <w:highlight w:val="none"/>
              </w:rPr>
            </w:pPr>
          </w:p>
        </w:tc>
      </w:tr>
      <w:tr w14:paraId="74DB9C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4" w:hRule="exact"/>
        </w:trPr>
        <w:tc>
          <w:tcPr>
            <w:tcW w:w="2351" w:type="dxa"/>
            <w:gridSpan w:val="2"/>
            <w:vAlign w:val="center"/>
          </w:tcPr>
          <w:p w14:paraId="180EF096">
            <w:pPr>
              <w:spacing w:line="360" w:lineRule="auto"/>
              <w:jc w:val="center"/>
              <w:rPr>
                <w:rFonts w:ascii="宋体"/>
                <w:color w:val="auto"/>
                <w:highlight w:val="none"/>
              </w:rPr>
            </w:pPr>
            <w:r>
              <w:rPr>
                <w:rFonts w:hint="eastAsia" w:ascii="宋体"/>
                <w:color w:val="auto"/>
                <w:highlight w:val="none"/>
              </w:rPr>
              <w:t>毕业学校、专业</w:t>
            </w:r>
          </w:p>
        </w:tc>
        <w:tc>
          <w:tcPr>
            <w:tcW w:w="7487" w:type="dxa"/>
            <w:gridSpan w:val="5"/>
            <w:vAlign w:val="center"/>
          </w:tcPr>
          <w:p w14:paraId="195982A5">
            <w:pPr>
              <w:spacing w:line="360" w:lineRule="auto"/>
              <w:jc w:val="center"/>
              <w:rPr>
                <w:rFonts w:ascii="宋体"/>
                <w:color w:val="auto"/>
                <w:highlight w:val="none"/>
              </w:rPr>
            </w:pPr>
          </w:p>
        </w:tc>
      </w:tr>
      <w:tr w14:paraId="706FD7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9" w:hRule="exact"/>
        </w:trPr>
        <w:tc>
          <w:tcPr>
            <w:tcW w:w="2351" w:type="dxa"/>
            <w:gridSpan w:val="2"/>
            <w:vAlign w:val="center"/>
          </w:tcPr>
          <w:p w14:paraId="07F0E164">
            <w:pPr>
              <w:spacing w:line="360" w:lineRule="auto"/>
              <w:jc w:val="center"/>
              <w:rPr>
                <w:rFonts w:ascii="宋体"/>
                <w:color w:val="auto"/>
                <w:highlight w:val="none"/>
              </w:rPr>
            </w:pPr>
            <w:r>
              <w:rPr>
                <w:rFonts w:hint="eastAsia" w:ascii="宋体"/>
                <w:color w:val="auto"/>
                <w:highlight w:val="none"/>
              </w:rPr>
              <w:t>身份证号</w:t>
            </w:r>
          </w:p>
        </w:tc>
        <w:tc>
          <w:tcPr>
            <w:tcW w:w="2856" w:type="dxa"/>
            <w:vAlign w:val="center"/>
          </w:tcPr>
          <w:p w14:paraId="5D6745E7">
            <w:pPr>
              <w:spacing w:line="360" w:lineRule="auto"/>
              <w:jc w:val="center"/>
              <w:rPr>
                <w:rFonts w:ascii="宋体"/>
                <w:color w:val="auto"/>
                <w:highlight w:val="none"/>
              </w:rPr>
            </w:pPr>
          </w:p>
        </w:tc>
        <w:tc>
          <w:tcPr>
            <w:tcW w:w="2707" w:type="dxa"/>
            <w:gridSpan w:val="3"/>
            <w:vAlign w:val="center"/>
          </w:tcPr>
          <w:p w14:paraId="1F888E61">
            <w:pPr>
              <w:spacing w:line="360" w:lineRule="auto"/>
              <w:jc w:val="center"/>
              <w:rPr>
                <w:rFonts w:ascii="宋体"/>
                <w:color w:val="auto"/>
                <w:highlight w:val="none"/>
              </w:rPr>
            </w:pPr>
            <w:r>
              <w:rPr>
                <w:rFonts w:hint="eastAsia" w:ascii="宋体"/>
                <w:color w:val="auto"/>
                <w:highlight w:val="none"/>
              </w:rPr>
              <w:t>拟在本合同任职</w:t>
            </w:r>
          </w:p>
        </w:tc>
        <w:tc>
          <w:tcPr>
            <w:tcW w:w="1924" w:type="dxa"/>
            <w:vAlign w:val="center"/>
          </w:tcPr>
          <w:p w14:paraId="4FC6E1C5">
            <w:pPr>
              <w:spacing w:line="360" w:lineRule="auto"/>
              <w:ind w:right="-110" w:rightChars="-50"/>
              <w:jc w:val="center"/>
              <w:rPr>
                <w:rFonts w:ascii="宋体"/>
                <w:color w:val="auto"/>
                <w:highlight w:val="none"/>
              </w:rPr>
            </w:pPr>
          </w:p>
        </w:tc>
      </w:tr>
      <w:tr w14:paraId="0D958E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9" w:hRule="exact"/>
        </w:trPr>
        <w:tc>
          <w:tcPr>
            <w:tcW w:w="2351" w:type="dxa"/>
            <w:gridSpan w:val="2"/>
            <w:vAlign w:val="center"/>
          </w:tcPr>
          <w:p w14:paraId="0350CB31">
            <w:pPr>
              <w:spacing w:line="360" w:lineRule="auto"/>
              <w:jc w:val="center"/>
              <w:rPr>
                <w:rFonts w:ascii="宋体"/>
                <w:color w:val="auto"/>
                <w:highlight w:val="none"/>
              </w:rPr>
            </w:pPr>
            <w:r>
              <w:rPr>
                <w:rFonts w:hint="eastAsia" w:ascii="宋体"/>
                <w:color w:val="auto"/>
                <w:highlight w:val="none"/>
              </w:rPr>
              <w:t>执业资格证</w:t>
            </w:r>
          </w:p>
        </w:tc>
        <w:tc>
          <w:tcPr>
            <w:tcW w:w="2856" w:type="dxa"/>
            <w:vAlign w:val="center"/>
          </w:tcPr>
          <w:p w14:paraId="390B606F">
            <w:pPr>
              <w:spacing w:line="360" w:lineRule="auto"/>
              <w:jc w:val="center"/>
              <w:rPr>
                <w:rFonts w:ascii="宋体"/>
                <w:color w:val="auto"/>
                <w:highlight w:val="none"/>
              </w:rPr>
            </w:pPr>
          </w:p>
        </w:tc>
        <w:tc>
          <w:tcPr>
            <w:tcW w:w="2707" w:type="dxa"/>
            <w:gridSpan w:val="3"/>
            <w:vAlign w:val="center"/>
          </w:tcPr>
          <w:p w14:paraId="30AD6CC2">
            <w:pPr>
              <w:spacing w:line="360" w:lineRule="auto"/>
              <w:jc w:val="center"/>
              <w:rPr>
                <w:rFonts w:ascii="宋体"/>
                <w:color w:val="auto"/>
                <w:highlight w:val="none"/>
              </w:rPr>
            </w:pPr>
            <w:r>
              <w:rPr>
                <w:rFonts w:hint="eastAsia" w:ascii="宋体"/>
                <w:color w:val="auto"/>
                <w:highlight w:val="none"/>
              </w:rPr>
              <w:t>执业资格证书号</w:t>
            </w:r>
          </w:p>
        </w:tc>
        <w:tc>
          <w:tcPr>
            <w:tcW w:w="1924" w:type="dxa"/>
            <w:vAlign w:val="center"/>
          </w:tcPr>
          <w:p w14:paraId="31762D6D">
            <w:pPr>
              <w:spacing w:line="360" w:lineRule="auto"/>
              <w:ind w:right="-110" w:rightChars="-50"/>
              <w:jc w:val="center"/>
              <w:rPr>
                <w:rFonts w:ascii="宋体"/>
                <w:color w:val="auto"/>
                <w:highlight w:val="none"/>
              </w:rPr>
            </w:pPr>
          </w:p>
        </w:tc>
      </w:tr>
      <w:tr w14:paraId="5CC5B1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8" w:hRule="exact"/>
        </w:trPr>
        <w:tc>
          <w:tcPr>
            <w:tcW w:w="9838" w:type="dxa"/>
            <w:gridSpan w:val="7"/>
            <w:vAlign w:val="center"/>
          </w:tcPr>
          <w:p w14:paraId="509675E5">
            <w:pPr>
              <w:spacing w:line="360" w:lineRule="auto"/>
              <w:rPr>
                <w:rFonts w:ascii="宋体"/>
                <w:color w:val="auto"/>
                <w:highlight w:val="none"/>
              </w:rPr>
            </w:pPr>
            <w:r>
              <w:rPr>
                <w:rFonts w:hint="eastAsia" w:ascii="宋体"/>
                <w:color w:val="auto"/>
                <w:highlight w:val="none"/>
              </w:rPr>
              <w:t>近三年承担项目情况</w:t>
            </w:r>
          </w:p>
        </w:tc>
      </w:tr>
      <w:tr w14:paraId="34AD93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exact"/>
        </w:trPr>
        <w:tc>
          <w:tcPr>
            <w:tcW w:w="1458" w:type="dxa"/>
            <w:vAlign w:val="center"/>
          </w:tcPr>
          <w:p w14:paraId="42B19C13">
            <w:pPr>
              <w:spacing w:line="360" w:lineRule="auto"/>
              <w:jc w:val="center"/>
              <w:rPr>
                <w:rFonts w:ascii="宋体"/>
                <w:color w:val="auto"/>
                <w:highlight w:val="none"/>
              </w:rPr>
            </w:pPr>
            <w:r>
              <w:rPr>
                <w:rFonts w:hint="eastAsia" w:ascii="宋体"/>
                <w:color w:val="auto"/>
                <w:highlight w:val="none"/>
              </w:rPr>
              <w:t>时间</w:t>
            </w:r>
          </w:p>
        </w:tc>
        <w:tc>
          <w:tcPr>
            <w:tcW w:w="4207" w:type="dxa"/>
            <w:gridSpan w:val="3"/>
            <w:vAlign w:val="center"/>
          </w:tcPr>
          <w:p w14:paraId="616E9790">
            <w:pPr>
              <w:spacing w:line="360" w:lineRule="auto"/>
              <w:jc w:val="center"/>
              <w:rPr>
                <w:rFonts w:ascii="宋体"/>
                <w:color w:val="auto"/>
                <w:highlight w:val="none"/>
              </w:rPr>
            </w:pPr>
            <w:r>
              <w:rPr>
                <w:rFonts w:hint="eastAsia" w:ascii="宋体"/>
                <w:color w:val="auto"/>
                <w:highlight w:val="none"/>
              </w:rPr>
              <w:t>类似项目名称</w:t>
            </w:r>
          </w:p>
        </w:tc>
        <w:tc>
          <w:tcPr>
            <w:tcW w:w="1624" w:type="dxa"/>
            <w:vAlign w:val="center"/>
          </w:tcPr>
          <w:p w14:paraId="01A9C2E5">
            <w:pPr>
              <w:spacing w:line="360" w:lineRule="auto"/>
              <w:jc w:val="center"/>
              <w:rPr>
                <w:rFonts w:ascii="宋体"/>
                <w:color w:val="auto"/>
                <w:highlight w:val="none"/>
              </w:rPr>
            </w:pPr>
            <w:r>
              <w:rPr>
                <w:rFonts w:hint="eastAsia" w:ascii="宋体"/>
                <w:color w:val="auto"/>
                <w:highlight w:val="none"/>
              </w:rPr>
              <w:t>担任职务</w:t>
            </w:r>
          </w:p>
        </w:tc>
        <w:tc>
          <w:tcPr>
            <w:tcW w:w="2549" w:type="dxa"/>
            <w:gridSpan w:val="2"/>
            <w:vAlign w:val="center"/>
          </w:tcPr>
          <w:p w14:paraId="3BF80D87">
            <w:pPr>
              <w:spacing w:line="360" w:lineRule="auto"/>
              <w:jc w:val="center"/>
              <w:rPr>
                <w:rFonts w:ascii="宋体"/>
                <w:color w:val="auto"/>
                <w:highlight w:val="none"/>
              </w:rPr>
            </w:pPr>
            <w:r>
              <w:rPr>
                <w:rFonts w:hint="eastAsia" w:ascii="宋体"/>
                <w:color w:val="auto"/>
                <w:highlight w:val="none"/>
              </w:rPr>
              <w:t>项目单位名称及电话</w:t>
            </w:r>
          </w:p>
        </w:tc>
      </w:tr>
      <w:tr w14:paraId="4E37F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exact"/>
        </w:trPr>
        <w:tc>
          <w:tcPr>
            <w:tcW w:w="1458" w:type="dxa"/>
            <w:vAlign w:val="center"/>
          </w:tcPr>
          <w:p w14:paraId="4E4559DF">
            <w:pPr>
              <w:spacing w:line="360" w:lineRule="auto"/>
              <w:jc w:val="center"/>
              <w:rPr>
                <w:rFonts w:ascii="宋体"/>
                <w:color w:val="auto"/>
                <w:highlight w:val="none"/>
              </w:rPr>
            </w:pPr>
          </w:p>
        </w:tc>
        <w:tc>
          <w:tcPr>
            <w:tcW w:w="4207" w:type="dxa"/>
            <w:gridSpan w:val="3"/>
            <w:vAlign w:val="center"/>
          </w:tcPr>
          <w:p w14:paraId="336CD8C1">
            <w:pPr>
              <w:spacing w:line="360" w:lineRule="auto"/>
              <w:jc w:val="center"/>
              <w:rPr>
                <w:rFonts w:ascii="宋体"/>
                <w:color w:val="auto"/>
                <w:highlight w:val="none"/>
              </w:rPr>
            </w:pPr>
          </w:p>
        </w:tc>
        <w:tc>
          <w:tcPr>
            <w:tcW w:w="1624" w:type="dxa"/>
            <w:vAlign w:val="center"/>
          </w:tcPr>
          <w:p w14:paraId="7E4B9EDD">
            <w:pPr>
              <w:spacing w:line="360" w:lineRule="auto"/>
              <w:jc w:val="center"/>
              <w:rPr>
                <w:rFonts w:ascii="宋体"/>
                <w:color w:val="auto"/>
                <w:highlight w:val="none"/>
              </w:rPr>
            </w:pPr>
          </w:p>
        </w:tc>
        <w:tc>
          <w:tcPr>
            <w:tcW w:w="2549" w:type="dxa"/>
            <w:gridSpan w:val="2"/>
            <w:vAlign w:val="center"/>
          </w:tcPr>
          <w:p w14:paraId="78902848">
            <w:pPr>
              <w:spacing w:line="360" w:lineRule="auto"/>
              <w:jc w:val="center"/>
              <w:rPr>
                <w:rFonts w:ascii="宋体"/>
                <w:color w:val="auto"/>
                <w:highlight w:val="none"/>
              </w:rPr>
            </w:pPr>
          </w:p>
        </w:tc>
      </w:tr>
      <w:tr w14:paraId="3F118A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exact"/>
        </w:trPr>
        <w:tc>
          <w:tcPr>
            <w:tcW w:w="1458" w:type="dxa"/>
            <w:vAlign w:val="center"/>
          </w:tcPr>
          <w:p w14:paraId="68F3BA79">
            <w:pPr>
              <w:spacing w:line="360" w:lineRule="auto"/>
              <w:jc w:val="center"/>
              <w:rPr>
                <w:rFonts w:ascii="宋体"/>
                <w:color w:val="auto"/>
                <w:highlight w:val="none"/>
              </w:rPr>
            </w:pPr>
          </w:p>
        </w:tc>
        <w:tc>
          <w:tcPr>
            <w:tcW w:w="4207" w:type="dxa"/>
            <w:gridSpan w:val="3"/>
            <w:vAlign w:val="center"/>
          </w:tcPr>
          <w:p w14:paraId="476361CD">
            <w:pPr>
              <w:spacing w:line="360" w:lineRule="auto"/>
              <w:jc w:val="center"/>
              <w:rPr>
                <w:rFonts w:ascii="宋体"/>
                <w:color w:val="auto"/>
                <w:highlight w:val="none"/>
              </w:rPr>
            </w:pPr>
          </w:p>
        </w:tc>
        <w:tc>
          <w:tcPr>
            <w:tcW w:w="1624" w:type="dxa"/>
            <w:vAlign w:val="center"/>
          </w:tcPr>
          <w:p w14:paraId="704BF180">
            <w:pPr>
              <w:spacing w:line="360" w:lineRule="auto"/>
              <w:jc w:val="center"/>
              <w:rPr>
                <w:rFonts w:ascii="宋体"/>
                <w:color w:val="auto"/>
                <w:highlight w:val="none"/>
              </w:rPr>
            </w:pPr>
          </w:p>
        </w:tc>
        <w:tc>
          <w:tcPr>
            <w:tcW w:w="2549" w:type="dxa"/>
            <w:gridSpan w:val="2"/>
            <w:vAlign w:val="center"/>
          </w:tcPr>
          <w:p w14:paraId="1C148D6F">
            <w:pPr>
              <w:spacing w:line="360" w:lineRule="auto"/>
              <w:jc w:val="center"/>
              <w:rPr>
                <w:rFonts w:ascii="宋体"/>
                <w:color w:val="auto"/>
                <w:highlight w:val="none"/>
              </w:rPr>
            </w:pPr>
          </w:p>
        </w:tc>
      </w:tr>
      <w:tr w14:paraId="2DBC52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exact"/>
        </w:trPr>
        <w:tc>
          <w:tcPr>
            <w:tcW w:w="1458" w:type="dxa"/>
            <w:vAlign w:val="center"/>
          </w:tcPr>
          <w:p w14:paraId="37CECB1A">
            <w:pPr>
              <w:spacing w:line="360" w:lineRule="auto"/>
              <w:jc w:val="center"/>
              <w:rPr>
                <w:rFonts w:ascii="宋体"/>
                <w:color w:val="auto"/>
                <w:highlight w:val="none"/>
              </w:rPr>
            </w:pPr>
          </w:p>
        </w:tc>
        <w:tc>
          <w:tcPr>
            <w:tcW w:w="4207" w:type="dxa"/>
            <w:gridSpan w:val="3"/>
            <w:vAlign w:val="center"/>
          </w:tcPr>
          <w:p w14:paraId="09E1A325">
            <w:pPr>
              <w:spacing w:line="360" w:lineRule="auto"/>
              <w:jc w:val="center"/>
              <w:rPr>
                <w:rFonts w:ascii="宋体"/>
                <w:color w:val="auto"/>
                <w:highlight w:val="none"/>
              </w:rPr>
            </w:pPr>
          </w:p>
        </w:tc>
        <w:tc>
          <w:tcPr>
            <w:tcW w:w="1624" w:type="dxa"/>
            <w:vAlign w:val="center"/>
          </w:tcPr>
          <w:p w14:paraId="56B34A94">
            <w:pPr>
              <w:spacing w:line="360" w:lineRule="auto"/>
              <w:jc w:val="center"/>
              <w:rPr>
                <w:rFonts w:ascii="宋体"/>
                <w:color w:val="auto"/>
                <w:highlight w:val="none"/>
              </w:rPr>
            </w:pPr>
          </w:p>
        </w:tc>
        <w:tc>
          <w:tcPr>
            <w:tcW w:w="2549" w:type="dxa"/>
            <w:gridSpan w:val="2"/>
            <w:vAlign w:val="center"/>
          </w:tcPr>
          <w:p w14:paraId="609C9EC8">
            <w:pPr>
              <w:spacing w:line="360" w:lineRule="auto"/>
              <w:jc w:val="center"/>
              <w:rPr>
                <w:rFonts w:ascii="宋体"/>
                <w:color w:val="auto"/>
                <w:highlight w:val="none"/>
              </w:rPr>
            </w:pPr>
          </w:p>
        </w:tc>
      </w:tr>
      <w:tr w14:paraId="7F1B1F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exact"/>
        </w:trPr>
        <w:tc>
          <w:tcPr>
            <w:tcW w:w="1458" w:type="dxa"/>
            <w:vAlign w:val="center"/>
          </w:tcPr>
          <w:p w14:paraId="47546C4B">
            <w:pPr>
              <w:spacing w:line="360" w:lineRule="auto"/>
              <w:jc w:val="center"/>
              <w:rPr>
                <w:rFonts w:ascii="宋体"/>
                <w:color w:val="auto"/>
                <w:highlight w:val="none"/>
              </w:rPr>
            </w:pPr>
          </w:p>
        </w:tc>
        <w:tc>
          <w:tcPr>
            <w:tcW w:w="4207" w:type="dxa"/>
            <w:gridSpan w:val="3"/>
            <w:vAlign w:val="center"/>
          </w:tcPr>
          <w:p w14:paraId="22ABED04">
            <w:pPr>
              <w:spacing w:line="360" w:lineRule="auto"/>
              <w:jc w:val="center"/>
              <w:rPr>
                <w:rFonts w:ascii="宋体"/>
                <w:color w:val="auto"/>
                <w:highlight w:val="none"/>
              </w:rPr>
            </w:pPr>
          </w:p>
        </w:tc>
        <w:tc>
          <w:tcPr>
            <w:tcW w:w="1624" w:type="dxa"/>
            <w:vAlign w:val="center"/>
          </w:tcPr>
          <w:p w14:paraId="3289D7C8">
            <w:pPr>
              <w:spacing w:line="360" w:lineRule="auto"/>
              <w:jc w:val="center"/>
              <w:rPr>
                <w:rFonts w:ascii="宋体"/>
                <w:color w:val="auto"/>
                <w:highlight w:val="none"/>
              </w:rPr>
            </w:pPr>
          </w:p>
        </w:tc>
        <w:tc>
          <w:tcPr>
            <w:tcW w:w="2549" w:type="dxa"/>
            <w:gridSpan w:val="2"/>
            <w:vAlign w:val="center"/>
          </w:tcPr>
          <w:p w14:paraId="70FEE45B">
            <w:pPr>
              <w:spacing w:line="360" w:lineRule="auto"/>
              <w:jc w:val="center"/>
              <w:rPr>
                <w:rFonts w:ascii="宋体"/>
                <w:color w:val="auto"/>
                <w:highlight w:val="none"/>
              </w:rPr>
            </w:pPr>
          </w:p>
        </w:tc>
      </w:tr>
      <w:tr w14:paraId="229761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exact"/>
        </w:trPr>
        <w:tc>
          <w:tcPr>
            <w:tcW w:w="1458" w:type="dxa"/>
            <w:vAlign w:val="center"/>
          </w:tcPr>
          <w:p w14:paraId="7E8C5885">
            <w:pPr>
              <w:spacing w:line="360" w:lineRule="auto"/>
              <w:jc w:val="center"/>
              <w:rPr>
                <w:rFonts w:ascii="宋体"/>
                <w:color w:val="auto"/>
                <w:highlight w:val="none"/>
              </w:rPr>
            </w:pPr>
          </w:p>
        </w:tc>
        <w:tc>
          <w:tcPr>
            <w:tcW w:w="4207" w:type="dxa"/>
            <w:gridSpan w:val="3"/>
            <w:vAlign w:val="center"/>
          </w:tcPr>
          <w:p w14:paraId="79E18282">
            <w:pPr>
              <w:spacing w:line="360" w:lineRule="auto"/>
              <w:jc w:val="center"/>
              <w:rPr>
                <w:rFonts w:ascii="宋体"/>
                <w:color w:val="auto"/>
                <w:highlight w:val="none"/>
              </w:rPr>
            </w:pPr>
          </w:p>
        </w:tc>
        <w:tc>
          <w:tcPr>
            <w:tcW w:w="1624" w:type="dxa"/>
            <w:vAlign w:val="center"/>
          </w:tcPr>
          <w:p w14:paraId="0130D1C4">
            <w:pPr>
              <w:spacing w:line="360" w:lineRule="auto"/>
              <w:jc w:val="center"/>
              <w:rPr>
                <w:rFonts w:ascii="宋体"/>
                <w:color w:val="auto"/>
                <w:highlight w:val="none"/>
              </w:rPr>
            </w:pPr>
          </w:p>
        </w:tc>
        <w:tc>
          <w:tcPr>
            <w:tcW w:w="2549" w:type="dxa"/>
            <w:gridSpan w:val="2"/>
            <w:vAlign w:val="center"/>
          </w:tcPr>
          <w:p w14:paraId="3FC06DCD">
            <w:pPr>
              <w:spacing w:line="360" w:lineRule="auto"/>
              <w:jc w:val="center"/>
              <w:rPr>
                <w:rFonts w:ascii="宋体"/>
                <w:color w:val="auto"/>
                <w:highlight w:val="none"/>
              </w:rPr>
            </w:pPr>
          </w:p>
        </w:tc>
      </w:tr>
      <w:tr w14:paraId="407058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exact"/>
        </w:trPr>
        <w:tc>
          <w:tcPr>
            <w:tcW w:w="1458" w:type="dxa"/>
            <w:vAlign w:val="center"/>
          </w:tcPr>
          <w:p w14:paraId="788D3738">
            <w:pPr>
              <w:spacing w:line="360" w:lineRule="auto"/>
              <w:jc w:val="center"/>
              <w:rPr>
                <w:rFonts w:ascii="宋体"/>
                <w:color w:val="auto"/>
                <w:highlight w:val="none"/>
              </w:rPr>
            </w:pPr>
          </w:p>
        </w:tc>
        <w:tc>
          <w:tcPr>
            <w:tcW w:w="4207" w:type="dxa"/>
            <w:gridSpan w:val="3"/>
            <w:vAlign w:val="center"/>
          </w:tcPr>
          <w:p w14:paraId="4B31D8EC">
            <w:pPr>
              <w:spacing w:line="360" w:lineRule="auto"/>
              <w:jc w:val="center"/>
              <w:rPr>
                <w:rFonts w:ascii="宋体"/>
                <w:color w:val="auto"/>
                <w:highlight w:val="none"/>
              </w:rPr>
            </w:pPr>
          </w:p>
        </w:tc>
        <w:tc>
          <w:tcPr>
            <w:tcW w:w="1624" w:type="dxa"/>
            <w:vAlign w:val="center"/>
          </w:tcPr>
          <w:p w14:paraId="7F605B4E">
            <w:pPr>
              <w:spacing w:line="360" w:lineRule="auto"/>
              <w:jc w:val="center"/>
              <w:rPr>
                <w:rFonts w:ascii="宋体"/>
                <w:color w:val="auto"/>
                <w:highlight w:val="none"/>
              </w:rPr>
            </w:pPr>
          </w:p>
        </w:tc>
        <w:tc>
          <w:tcPr>
            <w:tcW w:w="2549" w:type="dxa"/>
            <w:gridSpan w:val="2"/>
            <w:vAlign w:val="center"/>
          </w:tcPr>
          <w:p w14:paraId="1B43CC88">
            <w:pPr>
              <w:spacing w:line="360" w:lineRule="auto"/>
              <w:jc w:val="center"/>
              <w:rPr>
                <w:rFonts w:ascii="宋体"/>
                <w:color w:val="auto"/>
                <w:highlight w:val="none"/>
              </w:rPr>
            </w:pPr>
          </w:p>
        </w:tc>
      </w:tr>
      <w:tr w14:paraId="609960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exact"/>
        </w:trPr>
        <w:tc>
          <w:tcPr>
            <w:tcW w:w="1458" w:type="dxa"/>
            <w:vAlign w:val="center"/>
          </w:tcPr>
          <w:p w14:paraId="20B2A9B3">
            <w:pPr>
              <w:spacing w:line="360" w:lineRule="auto"/>
              <w:jc w:val="center"/>
              <w:rPr>
                <w:rFonts w:ascii="宋体"/>
                <w:color w:val="auto"/>
                <w:highlight w:val="none"/>
              </w:rPr>
            </w:pPr>
          </w:p>
        </w:tc>
        <w:tc>
          <w:tcPr>
            <w:tcW w:w="4207" w:type="dxa"/>
            <w:gridSpan w:val="3"/>
            <w:vAlign w:val="center"/>
          </w:tcPr>
          <w:p w14:paraId="7946FEF9">
            <w:pPr>
              <w:spacing w:line="360" w:lineRule="auto"/>
              <w:jc w:val="center"/>
              <w:rPr>
                <w:rFonts w:ascii="宋体"/>
                <w:color w:val="auto"/>
                <w:highlight w:val="none"/>
              </w:rPr>
            </w:pPr>
          </w:p>
        </w:tc>
        <w:tc>
          <w:tcPr>
            <w:tcW w:w="1624" w:type="dxa"/>
            <w:vAlign w:val="center"/>
          </w:tcPr>
          <w:p w14:paraId="5AD0AD6D">
            <w:pPr>
              <w:spacing w:line="360" w:lineRule="auto"/>
              <w:jc w:val="center"/>
              <w:rPr>
                <w:rFonts w:ascii="宋体"/>
                <w:color w:val="auto"/>
                <w:highlight w:val="none"/>
              </w:rPr>
            </w:pPr>
          </w:p>
        </w:tc>
        <w:tc>
          <w:tcPr>
            <w:tcW w:w="2549" w:type="dxa"/>
            <w:gridSpan w:val="2"/>
            <w:vAlign w:val="center"/>
          </w:tcPr>
          <w:p w14:paraId="0D6BADE4">
            <w:pPr>
              <w:spacing w:line="360" w:lineRule="auto"/>
              <w:jc w:val="center"/>
              <w:rPr>
                <w:rFonts w:ascii="宋体"/>
                <w:color w:val="auto"/>
                <w:highlight w:val="none"/>
              </w:rPr>
            </w:pPr>
          </w:p>
        </w:tc>
      </w:tr>
      <w:tr w14:paraId="5B8B26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 w:hRule="exact"/>
        </w:trPr>
        <w:tc>
          <w:tcPr>
            <w:tcW w:w="1458" w:type="dxa"/>
            <w:vAlign w:val="center"/>
          </w:tcPr>
          <w:p w14:paraId="25CECE35">
            <w:pPr>
              <w:spacing w:line="360" w:lineRule="auto"/>
              <w:jc w:val="center"/>
              <w:rPr>
                <w:rFonts w:ascii="宋体"/>
                <w:color w:val="auto"/>
                <w:highlight w:val="none"/>
              </w:rPr>
            </w:pPr>
          </w:p>
        </w:tc>
        <w:tc>
          <w:tcPr>
            <w:tcW w:w="4207" w:type="dxa"/>
            <w:gridSpan w:val="3"/>
            <w:vAlign w:val="center"/>
          </w:tcPr>
          <w:p w14:paraId="6B0ECFBA">
            <w:pPr>
              <w:spacing w:line="360" w:lineRule="auto"/>
              <w:jc w:val="center"/>
              <w:rPr>
                <w:rFonts w:ascii="宋体"/>
                <w:color w:val="auto"/>
                <w:highlight w:val="none"/>
              </w:rPr>
            </w:pPr>
          </w:p>
        </w:tc>
        <w:tc>
          <w:tcPr>
            <w:tcW w:w="1624" w:type="dxa"/>
            <w:vAlign w:val="center"/>
          </w:tcPr>
          <w:p w14:paraId="3F575D03">
            <w:pPr>
              <w:spacing w:line="360" w:lineRule="auto"/>
              <w:jc w:val="center"/>
              <w:rPr>
                <w:rFonts w:ascii="宋体"/>
                <w:color w:val="auto"/>
                <w:highlight w:val="none"/>
              </w:rPr>
            </w:pPr>
          </w:p>
        </w:tc>
        <w:tc>
          <w:tcPr>
            <w:tcW w:w="2549" w:type="dxa"/>
            <w:gridSpan w:val="2"/>
            <w:vAlign w:val="center"/>
          </w:tcPr>
          <w:p w14:paraId="0DA21CC0">
            <w:pPr>
              <w:spacing w:line="360" w:lineRule="auto"/>
              <w:jc w:val="center"/>
              <w:rPr>
                <w:rFonts w:ascii="宋体"/>
                <w:color w:val="auto"/>
                <w:highlight w:val="none"/>
              </w:rPr>
            </w:pPr>
          </w:p>
        </w:tc>
      </w:tr>
      <w:tr w14:paraId="665DF7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trPr>
        <w:tc>
          <w:tcPr>
            <w:tcW w:w="1458" w:type="dxa"/>
            <w:vAlign w:val="center"/>
          </w:tcPr>
          <w:p w14:paraId="3B195907">
            <w:pPr>
              <w:spacing w:line="360" w:lineRule="auto"/>
              <w:jc w:val="center"/>
              <w:rPr>
                <w:rFonts w:ascii="宋体"/>
                <w:color w:val="auto"/>
                <w:highlight w:val="none"/>
              </w:rPr>
            </w:pPr>
          </w:p>
        </w:tc>
        <w:tc>
          <w:tcPr>
            <w:tcW w:w="4207" w:type="dxa"/>
            <w:gridSpan w:val="3"/>
            <w:vAlign w:val="center"/>
          </w:tcPr>
          <w:p w14:paraId="219EC679">
            <w:pPr>
              <w:spacing w:line="360" w:lineRule="auto"/>
              <w:jc w:val="center"/>
              <w:rPr>
                <w:rFonts w:ascii="宋体"/>
                <w:color w:val="auto"/>
                <w:highlight w:val="none"/>
              </w:rPr>
            </w:pPr>
          </w:p>
        </w:tc>
        <w:tc>
          <w:tcPr>
            <w:tcW w:w="1624" w:type="dxa"/>
            <w:vAlign w:val="center"/>
          </w:tcPr>
          <w:p w14:paraId="5DFE386C">
            <w:pPr>
              <w:spacing w:line="360" w:lineRule="auto"/>
              <w:jc w:val="center"/>
              <w:rPr>
                <w:rFonts w:ascii="宋体"/>
                <w:color w:val="auto"/>
                <w:highlight w:val="none"/>
              </w:rPr>
            </w:pPr>
          </w:p>
        </w:tc>
        <w:tc>
          <w:tcPr>
            <w:tcW w:w="2549" w:type="dxa"/>
            <w:gridSpan w:val="2"/>
            <w:vAlign w:val="center"/>
          </w:tcPr>
          <w:p w14:paraId="6DBB76EA">
            <w:pPr>
              <w:spacing w:line="360" w:lineRule="auto"/>
              <w:jc w:val="center"/>
              <w:rPr>
                <w:rFonts w:ascii="宋体"/>
                <w:color w:val="auto"/>
                <w:highlight w:val="none"/>
              </w:rPr>
            </w:pPr>
          </w:p>
        </w:tc>
      </w:tr>
    </w:tbl>
    <w:p w14:paraId="29F1EC01">
      <w:pPr>
        <w:spacing w:line="360" w:lineRule="auto"/>
        <w:rPr>
          <w:rFonts w:ascii="仿宋_GB2312" w:eastAsia="仿宋_GB2312"/>
          <w:color w:val="auto"/>
          <w:highlight w:val="none"/>
        </w:rPr>
      </w:pPr>
      <w:r>
        <w:rPr>
          <w:rFonts w:hint="eastAsia" w:ascii="仿宋_GB2312" w:hAnsi="宋体" w:eastAsia="仿宋_GB2312"/>
          <w:color w:val="auto"/>
          <w:szCs w:val="21"/>
          <w:highlight w:val="none"/>
        </w:rPr>
        <w:t>说明</w:t>
      </w:r>
      <w:r>
        <w:rPr>
          <w:rFonts w:hint="eastAsia" w:ascii="仿宋_GB2312" w:eastAsia="仿宋_GB2312"/>
          <w:color w:val="auto"/>
          <w:highlight w:val="none"/>
        </w:rPr>
        <w:t>：</w:t>
      </w:r>
      <w:r>
        <w:rPr>
          <w:rFonts w:hint="eastAsia" w:ascii="仿宋_GB2312" w:hAnsi="宋体" w:eastAsia="仿宋_GB2312"/>
          <w:color w:val="auto"/>
          <w:szCs w:val="21"/>
          <w:highlight w:val="none"/>
        </w:rPr>
        <w:t>主要人员证书、</w:t>
      </w:r>
      <w:r>
        <w:rPr>
          <w:rFonts w:hint="eastAsia" w:ascii="仿宋_GB2312" w:eastAsia="仿宋_GB2312"/>
          <w:color w:val="auto"/>
          <w:highlight w:val="none"/>
        </w:rPr>
        <w:t>类似项目证明资料等按第二章第</w:t>
      </w:r>
      <w:r>
        <w:rPr>
          <w:rFonts w:hint="eastAsia" w:ascii="仿宋_GB2312" w:hAnsi="宋体" w:eastAsia="仿宋_GB2312"/>
          <w:color w:val="auto"/>
          <w:highlight w:val="none"/>
        </w:rPr>
        <w:t>42.1款</w:t>
      </w:r>
      <w:r>
        <w:rPr>
          <w:rFonts w:hint="eastAsia" w:ascii="仿宋_GB2312" w:eastAsia="仿宋_GB2312"/>
          <w:color w:val="auto"/>
          <w:highlight w:val="none"/>
        </w:rPr>
        <w:t>或第</w:t>
      </w:r>
      <w:r>
        <w:rPr>
          <w:rFonts w:hint="eastAsia" w:ascii="仿宋_GB2312" w:eastAsia="仿宋_GB2312"/>
          <w:color w:val="auto"/>
          <w:highlight w:val="none"/>
          <w:lang w:val="en-US" w:eastAsia="zh-CN"/>
        </w:rPr>
        <w:t>四</w:t>
      </w:r>
      <w:r>
        <w:rPr>
          <w:rFonts w:hint="eastAsia" w:ascii="仿宋_GB2312" w:eastAsia="仿宋_GB2312"/>
          <w:color w:val="auto"/>
          <w:highlight w:val="none"/>
        </w:rPr>
        <w:t>章</w:t>
      </w:r>
      <w:r>
        <w:rPr>
          <w:rFonts w:hint="eastAsia" w:ascii="仿宋_GB2312" w:eastAsia="仿宋_GB2312"/>
          <w:color w:val="auto"/>
          <w:highlight w:val="none"/>
          <w:lang w:val="en-US" w:eastAsia="zh-CN"/>
        </w:rPr>
        <w:t>采购需求的</w:t>
      </w:r>
      <w:r>
        <w:rPr>
          <w:rFonts w:hint="eastAsia" w:ascii="仿宋_GB2312" w:eastAsia="仿宋_GB2312"/>
          <w:color w:val="auto"/>
          <w:highlight w:val="none"/>
        </w:rPr>
        <w:t>要求提供。</w:t>
      </w:r>
    </w:p>
    <w:p w14:paraId="1E529ADE">
      <w:pPr>
        <w:adjustRightInd w:val="0"/>
        <w:snapToGrid w:val="0"/>
        <w:spacing w:line="360" w:lineRule="auto"/>
        <w:rPr>
          <w:rFonts w:ascii="宋体" w:hAnsi="宋体"/>
          <w:color w:val="auto"/>
          <w:szCs w:val="21"/>
          <w:highlight w:val="none"/>
        </w:rPr>
      </w:pPr>
    </w:p>
    <w:p w14:paraId="1D1745D4">
      <w:pPr>
        <w:spacing w:line="360" w:lineRule="auto"/>
        <w:rPr>
          <w:rFonts w:ascii="宋体" w:hAnsi="宋体"/>
          <w:color w:val="auto"/>
          <w:szCs w:val="21"/>
          <w:highlight w:val="none"/>
        </w:rPr>
      </w:pPr>
    </w:p>
    <w:p w14:paraId="3D0BE5D5">
      <w:pPr>
        <w:pStyle w:val="15"/>
        <w:adjustRightInd w:val="0"/>
        <w:snapToGrid w:val="0"/>
        <w:spacing w:line="360" w:lineRule="auto"/>
        <w:outlineLvl w:val="0"/>
        <w:rPr>
          <w:rFonts w:cs="新宋体" w:asciiTheme="minorEastAsia" w:hAnsiTheme="minorEastAsia" w:eastAsiaTheme="minorEastAsia"/>
          <w:bCs/>
          <w:color w:val="auto"/>
          <w:sz w:val="21"/>
          <w:szCs w:val="21"/>
          <w:highlight w:val="none"/>
        </w:rPr>
      </w:pPr>
      <w:bookmarkStart w:id="232" w:name="_Toc32462"/>
      <w:bookmarkStart w:id="233" w:name="_Toc9780"/>
      <w:r>
        <w:rPr>
          <w:rFonts w:hint="eastAsia" w:cs="新宋体" w:asciiTheme="minorEastAsia" w:hAnsiTheme="minorEastAsia" w:eastAsiaTheme="minorEastAsia"/>
          <w:color w:val="auto"/>
          <w:sz w:val="22"/>
          <w:szCs w:val="21"/>
          <w:highlight w:val="none"/>
          <w:lang w:val="zh-CN" w:eastAsia="zh-CN" w:bidi="zh-CN"/>
        </w:rPr>
        <w:t>供应商名称：</w:t>
      </w:r>
      <w:bookmarkEnd w:id="232"/>
      <w:bookmarkEnd w:id="233"/>
      <w:r>
        <w:rPr>
          <w:rFonts w:hint="eastAsia" w:cs="新宋体" w:asciiTheme="minorEastAsia" w:hAnsiTheme="minorEastAsia" w:eastAsiaTheme="minorEastAsia"/>
          <w:color w:val="auto"/>
          <w:sz w:val="21"/>
          <w:szCs w:val="21"/>
          <w:highlight w:val="none"/>
          <w:u w:val="single"/>
        </w:rPr>
        <w:t xml:space="preserve">                   </w:t>
      </w:r>
    </w:p>
    <w:p w14:paraId="128D74EE">
      <w:pPr>
        <w:adjustRightInd w:val="0"/>
        <w:snapToGrid w:val="0"/>
        <w:spacing w:line="360" w:lineRule="auto"/>
        <w:outlineLvl w:val="0"/>
        <w:rPr>
          <w:rFonts w:cs="新宋体" w:asciiTheme="minorEastAsia" w:hAnsiTheme="minorEastAsia" w:eastAsiaTheme="minorEastAsia"/>
          <w:color w:val="auto"/>
          <w:szCs w:val="21"/>
          <w:highlight w:val="none"/>
        </w:rPr>
      </w:pPr>
      <w:bookmarkStart w:id="234" w:name="_Toc4417"/>
      <w:bookmarkStart w:id="235" w:name="_Toc28673"/>
      <w:r>
        <w:rPr>
          <w:rFonts w:hint="eastAsia" w:cs="微软雅黑"/>
          <w:color w:val="auto"/>
          <w:spacing w:val="-2"/>
          <w:szCs w:val="21"/>
          <w:highlight w:val="none"/>
        </w:rPr>
        <w:t>法</w:t>
      </w:r>
      <w:r>
        <w:rPr>
          <w:rFonts w:hint="eastAsia" w:cs="微软雅黑"/>
          <w:color w:val="auto"/>
          <w:szCs w:val="21"/>
          <w:highlight w:val="none"/>
        </w:rPr>
        <w:t>定</w:t>
      </w:r>
      <w:r>
        <w:rPr>
          <w:rFonts w:hint="eastAsia" w:cs="微软雅黑"/>
          <w:color w:val="auto"/>
          <w:spacing w:val="-2"/>
          <w:szCs w:val="21"/>
          <w:highlight w:val="none"/>
        </w:rPr>
        <w:t>代</w:t>
      </w:r>
      <w:r>
        <w:rPr>
          <w:rFonts w:hint="eastAsia" w:cs="微软雅黑"/>
          <w:color w:val="auto"/>
          <w:szCs w:val="21"/>
          <w:highlight w:val="none"/>
        </w:rPr>
        <w:t>表</w:t>
      </w:r>
      <w:r>
        <w:rPr>
          <w:rFonts w:hint="eastAsia" w:cs="微软雅黑"/>
          <w:color w:val="auto"/>
          <w:spacing w:val="-2"/>
          <w:szCs w:val="21"/>
          <w:highlight w:val="none"/>
        </w:rPr>
        <w:t>人</w:t>
      </w:r>
      <w:r>
        <w:rPr>
          <w:rFonts w:hint="eastAsia" w:cs="微软雅黑"/>
          <w:color w:val="auto"/>
          <w:szCs w:val="21"/>
          <w:highlight w:val="none"/>
        </w:rPr>
        <w:t>（</w:t>
      </w:r>
      <w:r>
        <w:rPr>
          <w:rFonts w:hint="eastAsia" w:cs="微软雅黑"/>
          <w:color w:val="auto"/>
          <w:spacing w:val="-2"/>
          <w:szCs w:val="21"/>
          <w:highlight w:val="none"/>
        </w:rPr>
        <w:t>单</w:t>
      </w:r>
      <w:r>
        <w:rPr>
          <w:rFonts w:hint="eastAsia" w:cs="微软雅黑"/>
          <w:color w:val="auto"/>
          <w:szCs w:val="21"/>
          <w:highlight w:val="none"/>
        </w:rPr>
        <w:t>位</w:t>
      </w:r>
      <w:r>
        <w:rPr>
          <w:rFonts w:hint="eastAsia" w:cs="微软雅黑"/>
          <w:color w:val="auto"/>
          <w:spacing w:val="-2"/>
          <w:szCs w:val="21"/>
          <w:highlight w:val="none"/>
        </w:rPr>
        <w:t>负</w:t>
      </w:r>
      <w:r>
        <w:rPr>
          <w:rFonts w:hint="eastAsia" w:cs="微软雅黑"/>
          <w:color w:val="auto"/>
          <w:szCs w:val="21"/>
          <w:highlight w:val="none"/>
        </w:rPr>
        <w:t>责人</w:t>
      </w:r>
      <w:r>
        <w:rPr>
          <w:rFonts w:hint="eastAsia" w:cs="微软雅黑"/>
          <w:color w:val="auto"/>
          <w:spacing w:val="-2"/>
          <w:szCs w:val="21"/>
          <w:highlight w:val="none"/>
        </w:rPr>
        <w:t>）</w:t>
      </w:r>
      <w:r>
        <w:rPr>
          <w:rFonts w:hint="eastAsia" w:cs="新宋体" w:asciiTheme="minorEastAsia" w:hAnsiTheme="minorEastAsia" w:eastAsiaTheme="minorEastAsia"/>
          <w:color w:val="auto"/>
          <w:szCs w:val="21"/>
          <w:highlight w:val="none"/>
        </w:rPr>
        <w:t>或其委托代理人(签字)：</w:t>
      </w:r>
      <w:bookmarkEnd w:id="234"/>
      <w:bookmarkEnd w:id="235"/>
      <w:r>
        <w:rPr>
          <w:rFonts w:hint="eastAsia" w:cs="新宋体" w:asciiTheme="minorEastAsia" w:hAnsiTheme="minorEastAsia" w:eastAsiaTheme="minorEastAsia"/>
          <w:color w:val="auto"/>
          <w:szCs w:val="21"/>
          <w:highlight w:val="none"/>
          <w:u w:val="single"/>
        </w:rPr>
        <w:t xml:space="preserve">                   </w:t>
      </w:r>
    </w:p>
    <w:p w14:paraId="3CE60BF8">
      <w:pPr>
        <w:adjustRightInd w:val="0"/>
        <w:snapToGrid w:val="0"/>
        <w:spacing w:line="360" w:lineRule="auto"/>
        <w:outlineLvl w:val="0"/>
        <w:rPr>
          <w:rFonts w:cs="新宋体" w:asciiTheme="minorEastAsia" w:hAnsiTheme="minorEastAsia" w:eastAsiaTheme="minorEastAsia"/>
          <w:color w:val="auto"/>
          <w:szCs w:val="21"/>
          <w:highlight w:val="none"/>
        </w:rPr>
      </w:pPr>
      <w:bookmarkStart w:id="236" w:name="_Toc1284"/>
      <w:bookmarkStart w:id="237" w:name="_Toc4296"/>
      <w:r>
        <w:rPr>
          <w:rFonts w:hint="eastAsia" w:cs="新宋体" w:asciiTheme="minorEastAsia" w:hAnsiTheme="minorEastAsia" w:eastAsiaTheme="minorEastAsia"/>
          <w:color w:val="auto"/>
          <w:szCs w:val="21"/>
          <w:highlight w:val="none"/>
        </w:rPr>
        <w:t>日</w:t>
      </w:r>
      <w:r>
        <w:rPr>
          <w:rFonts w:hint="eastAsia" w:cs="新宋体" w:asciiTheme="minorEastAsia" w:hAnsiTheme="minorEastAsia" w:eastAsiaTheme="minorEastAsia"/>
          <w:color w:val="auto"/>
          <w:szCs w:val="21"/>
          <w:highlight w:val="none"/>
          <w:lang w:val="en-US" w:eastAsia="zh-CN"/>
        </w:rPr>
        <w:t xml:space="preserve">  </w:t>
      </w:r>
      <w:r>
        <w:rPr>
          <w:rFonts w:hint="eastAsia" w:cs="新宋体" w:asciiTheme="minorEastAsia" w:hAnsiTheme="minorEastAsia" w:eastAsiaTheme="minorEastAsia"/>
          <w:color w:val="auto"/>
          <w:szCs w:val="21"/>
          <w:highlight w:val="none"/>
        </w:rPr>
        <w:t xml:space="preserve"> 期： </w:t>
      </w:r>
      <w:r>
        <w:rPr>
          <w:rFonts w:hint="eastAsia" w:cs="新宋体" w:asciiTheme="minorEastAsia" w:hAnsiTheme="minorEastAsia" w:eastAsiaTheme="minorEastAsia"/>
          <w:color w:val="auto"/>
          <w:szCs w:val="21"/>
          <w:highlight w:val="none"/>
          <w:u w:val="single"/>
        </w:rPr>
        <w:t xml:space="preserve">     </w:t>
      </w:r>
      <w:r>
        <w:rPr>
          <w:rFonts w:hint="eastAsia" w:cs="新宋体" w:asciiTheme="minorEastAsia" w:hAnsiTheme="minorEastAsia" w:eastAsiaTheme="minorEastAsia"/>
          <w:color w:val="auto"/>
          <w:szCs w:val="21"/>
          <w:highlight w:val="none"/>
        </w:rPr>
        <w:t xml:space="preserve"> 年 </w:t>
      </w:r>
      <w:r>
        <w:rPr>
          <w:rFonts w:hint="eastAsia" w:cs="新宋体" w:asciiTheme="minorEastAsia" w:hAnsiTheme="minorEastAsia" w:eastAsiaTheme="minorEastAsia"/>
          <w:color w:val="auto"/>
          <w:szCs w:val="21"/>
          <w:highlight w:val="none"/>
          <w:u w:val="single"/>
        </w:rPr>
        <w:t xml:space="preserve">    </w:t>
      </w:r>
      <w:r>
        <w:rPr>
          <w:rFonts w:hint="eastAsia" w:cs="新宋体" w:asciiTheme="minorEastAsia" w:hAnsiTheme="minorEastAsia" w:eastAsiaTheme="minorEastAsia"/>
          <w:color w:val="auto"/>
          <w:szCs w:val="21"/>
          <w:highlight w:val="none"/>
        </w:rPr>
        <w:t xml:space="preserve"> 月 </w:t>
      </w:r>
      <w:r>
        <w:rPr>
          <w:rFonts w:hint="eastAsia" w:cs="新宋体" w:asciiTheme="minorEastAsia" w:hAnsiTheme="minorEastAsia" w:eastAsiaTheme="minorEastAsia"/>
          <w:color w:val="auto"/>
          <w:szCs w:val="21"/>
          <w:highlight w:val="none"/>
          <w:u w:val="single"/>
        </w:rPr>
        <w:t xml:space="preserve">   </w:t>
      </w:r>
      <w:r>
        <w:rPr>
          <w:rFonts w:hint="eastAsia" w:cs="新宋体" w:asciiTheme="minorEastAsia" w:hAnsiTheme="minorEastAsia" w:eastAsiaTheme="minorEastAsia"/>
          <w:color w:val="auto"/>
          <w:szCs w:val="21"/>
          <w:highlight w:val="none"/>
        </w:rPr>
        <w:t xml:space="preserve"> 日</w:t>
      </w:r>
      <w:bookmarkEnd w:id="236"/>
      <w:bookmarkEnd w:id="237"/>
    </w:p>
    <w:p w14:paraId="7663C52A">
      <w:pPr>
        <w:rPr>
          <w:rFonts w:hint="eastAsia" w:ascii="黑体" w:hAnsi="黑体" w:eastAsia="黑体" w:cs="黑体"/>
          <w:b/>
          <w:bCs/>
          <w:color w:val="auto"/>
          <w:sz w:val="28"/>
          <w:szCs w:val="28"/>
          <w:highlight w:val="none"/>
          <w:lang w:val="zh-CN" w:eastAsia="zh-CN" w:bidi="zh-CN"/>
        </w:rPr>
      </w:pPr>
    </w:p>
    <w:p w14:paraId="63C7460F">
      <w:pPr>
        <w:rPr>
          <w:rFonts w:hint="eastAsia" w:ascii="宋体" w:hAnsi="宋体"/>
          <w:sz w:val="24"/>
          <w:highlight w:val="none"/>
        </w:rPr>
      </w:pPr>
    </w:p>
    <w:p w14:paraId="5D5D8D91">
      <w:pPr>
        <w:spacing w:line="360" w:lineRule="auto"/>
        <w:jc w:val="center"/>
        <w:outlineLvl w:val="1"/>
        <w:rPr>
          <w:rFonts w:hint="eastAsia" w:ascii="宋体" w:hAnsi="宋体" w:cs="宋体"/>
          <w:b/>
          <w:color w:val="auto"/>
          <w:sz w:val="32"/>
          <w:szCs w:val="32"/>
        </w:rPr>
      </w:pPr>
      <w:r>
        <w:rPr>
          <w:rFonts w:hint="eastAsia" w:ascii="宋体" w:hAnsi="宋体" w:cs="宋体"/>
          <w:b/>
          <w:color w:val="auto"/>
          <w:sz w:val="32"/>
          <w:szCs w:val="32"/>
        </w:rPr>
        <w:t>五、技术/商务响应与偏离表</w:t>
      </w:r>
    </w:p>
    <w:p w14:paraId="74726D14">
      <w:pPr>
        <w:adjustRightInd w:val="0"/>
        <w:snapToGrid w:val="0"/>
        <w:spacing w:line="360" w:lineRule="auto"/>
        <w:ind w:left="-92" w:leftChars="-42" w:firstLine="330" w:firstLineChars="150"/>
        <w:rPr>
          <w:rFonts w:hint="eastAsia" w:ascii="宋体" w:hAnsi="宋体"/>
          <w:color w:val="auto"/>
          <w:szCs w:val="21"/>
          <w:u w:val="single"/>
        </w:rPr>
      </w:pPr>
    </w:p>
    <w:tbl>
      <w:tblPr>
        <w:tblStyle w:val="24"/>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517"/>
        <w:gridCol w:w="1119"/>
      </w:tblGrid>
      <w:tr w14:paraId="6D9D13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1B0C3F5D">
            <w:pPr>
              <w:adjustRightInd w:val="0"/>
              <w:snapToGrid w:val="0"/>
              <w:spacing w:line="360" w:lineRule="auto"/>
              <w:ind w:left="-92" w:leftChars="-42"/>
              <w:jc w:val="center"/>
              <w:rPr>
                <w:rFonts w:hint="eastAsia" w:ascii="宋体" w:hAnsi="宋体"/>
                <w:bCs/>
                <w:color w:val="auto"/>
                <w:szCs w:val="21"/>
              </w:rPr>
            </w:pPr>
            <w:r>
              <w:rPr>
                <w:rFonts w:hint="eastAsia" w:ascii="宋体" w:hAnsi="宋体"/>
                <w:bCs/>
                <w:color w:val="auto"/>
                <w:szCs w:val="21"/>
              </w:rPr>
              <w:t>序号</w:t>
            </w:r>
          </w:p>
        </w:tc>
        <w:tc>
          <w:tcPr>
            <w:tcW w:w="1685" w:type="dxa"/>
            <w:noWrap w:val="0"/>
            <w:vAlign w:val="center"/>
          </w:tcPr>
          <w:p w14:paraId="1EBF5440">
            <w:pPr>
              <w:adjustRightInd w:val="0"/>
              <w:snapToGrid w:val="0"/>
              <w:spacing w:line="360" w:lineRule="auto"/>
              <w:ind w:left="-92" w:leftChars="-42"/>
              <w:jc w:val="center"/>
              <w:rPr>
                <w:rFonts w:hint="eastAsia" w:ascii="宋体" w:hAnsi="宋体"/>
                <w:color w:val="auto"/>
                <w:szCs w:val="21"/>
              </w:rPr>
            </w:pPr>
            <w:r>
              <w:rPr>
                <w:rFonts w:hint="eastAsia" w:ascii="宋体" w:hAnsi="宋体"/>
                <w:color w:val="auto"/>
                <w:szCs w:val="21"/>
              </w:rPr>
              <w:t>磋商文件条目号</w:t>
            </w:r>
          </w:p>
        </w:tc>
        <w:tc>
          <w:tcPr>
            <w:tcW w:w="1948" w:type="dxa"/>
            <w:noWrap w:val="0"/>
            <w:vAlign w:val="center"/>
          </w:tcPr>
          <w:p w14:paraId="42C51A21">
            <w:pPr>
              <w:adjustRightInd w:val="0"/>
              <w:snapToGrid w:val="0"/>
              <w:spacing w:line="360" w:lineRule="auto"/>
              <w:ind w:left="-92" w:leftChars="-42"/>
              <w:jc w:val="center"/>
              <w:rPr>
                <w:rFonts w:hint="eastAsia" w:ascii="宋体" w:hAnsi="宋体"/>
                <w:color w:val="auto"/>
                <w:szCs w:val="21"/>
              </w:rPr>
            </w:pPr>
            <w:r>
              <w:rPr>
                <w:rFonts w:hint="eastAsia" w:ascii="宋体" w:hAnsi="宋体"/>
                <w:color w:val="auto"/>
                <w:szCs w:val="21"/>
              </w:rPr>
              <w:t>采购规格/商务条款</w:t>
            </w:r>
          </w:p>
        </w:tc>
        <w:tc>
          <w:tcPr>
            <w:tcW w:w="2600" w:type="dxa"/>
            <w:noWrap w:val="0"/>
            <w:vAlign w:val="center"/>
          </w:tcPr>
          <w:p w14:paraId="0AD9705E">
            <w:pPr>
              <w:adjustRightInd w:val="0"/>
              <w:snapToGrid w:val="0"/>
              <w:spacing w:line="360" w:lineRule="auto"/>
              <w:ind w:left="-92" w:leftChars="-42"/>
              <w:jc w:val="center"/>
              <w:rPr>
                <w:rFonts w:hint="eastAsia" w:ascii="宋体" w:hAnsi="宋体"/>
                <w:color w:val="auto"/>
                <w:szCs w:val="21"/>
              </w:rPr>
            </w:pPr>
            <w:r>
              <w:rPr>
                <w:rFonts w:hint="eastAsia" w:ascii="宋体" w:hAnsi="宋体"/>
                <w:color w:val="auto"/>
                <w:szCs w:val="21"/>
              </w:rPr>
              <w:t>响应文件的规格/商务条款</w:t>
            </w:r>
          </w:p>
        </w:tc>
        <w:tc>
          <w:tcPr>
            <w:tcW w:w="1517" w:type="dxa"/>
            <w:noWrap w:val="0"/>
            <w:vAlign w:val="center"/>
          </w:tcPr>
          <w:p w14:paraId="790B34C8">
            <w:pPr>
              <w:adjustRightInd w:val="0"/>
              <w:snapToGrid w:val="0"/>
              <w:spacing w:line="360" w:lineRule="auto"/>
              <w:ind w:left="-92" w:leftChars="-42"/>
              <w:jc w:val="center"/>
              <w:rPr>
                <w:rFonts w:hint="eastAsia" w:ascii="宋体" w:hAnsi="宋体"/>
                <w:color w:val="auto"/>
                <w:szCs w:val="21"/>
              </w:rPr>
            </w:pPr>
            <w:r>
              <w:rPr>
                <w:rFonts w:hint="eastAsia" w:ascii="宋体" w:hAnsi="宋体"/>
                <w:color w:val="auto"/>
                <w:szCs w:val="21"/>
              </w:rPr>
              <w:t>响应与偏离</w:t>
            </w:r>
          </w:p>
        </w:tc>
        <w:tc>
          <w:tcPr>
            <w:tcW w:w="1119" w:type="dxa"/>
            <w:noWrap w:val="0"/>
            <w:vAlign w:val="center"/>
          </w:tcPr>
          <w:p w14:paraId="583E4FA4">
            <w:pPr>
              <w:adjustRightInd w:val="0"/>
              <w:snapToGrid w:val="0"/>
              <w:spacing w:line="360" w:lineRule="auto"/>
              <w:ind w:left="-92" w:leftChars="-42"/>
              <w:jc w:val="center"/>
              <w:rPr>
                <w:rFonts w:hint="eastAsia" w:ascii="宋体" w:hAnsi="宋体"/>
                <w:color w:val="auto"/>
                <w:szCs w:val="21"/>
              </w:rPr>
            </w:pPr>
            <w:r>
              <w:rPr>
                <w:rFonts w:hint="eastAsia" w:ascii="宋体" w:hAnsi="宋体"/>
                <w:color w:val="auto"/>
                <w:szCs w:val="21"/>
              </w:rPr>
              <w:t>说明</w:t>
            </w:r>
          </w:p>
        </w:tc>
      </w:tr>
      <w:tr w14:paraId="5611F6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C0DBA38">
            <w:pPr>
              <w:adjustRightInd w:val="0"/>
              <w:snapToGrid w:val="0"/>
              <w:spacing w:line="360" w:lineRule="auto"/>
              <w:ind w:left="-92" w:leftChars="-42"/>
              <w:jc w:val="center"/>
              <w:rPr>
                <w:rFonts w:hint="eastAsia" w:ascii="宋体" w:hAnsi="宋体"/>
                <w:color w:val="auto"/>
                <w:szCs w:val="21"/>
              </w:rPr>
            </w:pPr>
          </w:p>
        </w:tc>
        <w:tc>
          <w:tcPr>
            <w:tcW w:w="1685" w:type="dxa"/>
            <w:noWrap w:val="0"/>
            <w:vAlign w:val="center"/>
          </w:tcPr>
          <w:p w14:paraId="5CB40E96">
            <w:pPr>
              <w:adjustRightInd w:val="0"/>
              <w:snapToGrid w:val="0"/>
              <w:spacing w:line="360" w:lineRule="auto"/>
              <w:ind w:left="-92" w:leftChars="-42"/>
              <w:jc w:val="center"/>
              <w:rPr>
                <w:rFonts w:hint="eastAsia" w:ascii="宋体" w:hAnsi="宋体"/>
                <w:color w:val="auto"/>
                <w:szCs w:val="21"/>
              </w:rPr>
            </w:pPr>
          </w:p>
        </w:tc>
        <w:tc>
          <w:tcPr>
            <w:tcW w:w="1948" w:type="dxa"/>
            <w:noWrap w:val="0"/>
            <w:vAlign w:val="center"/>
          </w:tcPr>
          <w:p w14:paraId="2D99A32F">
            <w:pPr>
              <w:adjustRightInd w:val="0"/>
              <w:snapToGrid w:val="0"/>
              <w:spacing w:line="360" w:lineRule="auto"/>
              <w:ind w:left="-92" w:leftChars="-42"/>
              <w:jc w:val="center"/>
              <w:rPr>
                <w:rFonts w:hint="eastAsia" w:ascii="宋体" w:hAnsi="宋体"/>
                <w:color w:val="auto"/>
                <w:szCs w:val="21"/>
              </w:rPr>
            </w:pPr>
          </w:p>
        </w:tc>
        <w:tc>
          <w:tcPr>
            <w:tcW w:w="2600" w:type="dxa"/>
            <w:noWrap w:val="0"/>
            <w:vAlign w:val="center"/>
          </w:tcPr>
          <w:p w14:paraId="3895E8FC">
            <w:pPr>
              <w:adjustRightInd w:val="0"/>
              <w:snapToGrid w:val="0"/>
              <w:spacing w:line="360" w:lineRule="auto"/>
              <w:ind w:left="-92" w:leftChars="-42"/>
              <w:jc w:val="center"/>
              <w:rPr>
                <w:rFonts w:hint="eastAsia" w:ascii="宋体" w:hAnsi="宋体"/>
                <w:color w:val="auto"/>
                <w:szCs w:val="21"/>
              </w:rPr>
            </w:pPr>
          </w:p>
        </w:tc>
        <w:tc>
          <w:tcPr>
            <w:tcW w:w="1517" w:type="dxa"/>
            <w:noWrap w:val="0"/>
            <w:vAlign w:val="center"/>
          </w:tcPr>
          <w:p w14:paraId="67BDFA90">
            <w:pPr>
              <w:adjustRightInd w:val="0"/>
              <w:snapToGrid w:val="0"/>
              <w:spacing w:line="360" w:lineRule="auto"/>
              <w:ind w:left="-92" w:leftChars="-42"/>
              <w:jc w:val="center"/>
              <w:rPr>
                <w:rFonts w:hint="eastAsia" w:ascii="宋体" w:hAnsi="宋体"/>
                <w:color w:val="auto"/>
                <w:szCs w:val="21"/>
              </w:rPr>
            </w:pPr>
          </w:p>
        </w:tc>
        <w:tc>
          <w:tcPr>
            <w:tcW w:w="1119" w:type="dxa"/>
            <w:noWrap w:val="0"/>
            <w:vAlign w:val="center"/>
          </w:tcPr>
          <w:p w14:paraId="6046FA27">
            <w:pPr>
              <w:adjustRightInd w:val="0"/>
              <w:snapToGrid w:val="0"/>
              <w:spacing w:line="360" w:lineRule="auto"/>
              <w:ind w:left="-92" w:leftChars="-42"/>
              <w:jc w:val="center"/>
              <w:rPr>
                <w:rFonts w:hint="eastAsia" w:ascii="宋体" w:hAnsi="宋体"/>
                <w:color w:val="auto"/>
                <w:szCs w:val="21"/>
              </w:rPr>
            </w:pPr>
          </w:p>
        </w:tc>
      </w:tr>
      <w:tr w14:paraId="2220CC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258FFDCB">
            <w:pPr>
              <w:adjustRightInd w:val="0"/>
              <w:snapToGrid w:val="0"/>
              <w:spacing w:line="360" w:lineRule="auto"/>
              <w:ind w:left="-92" w:leftChars="-42"/>
              <w:jc w:val="center"/>
              <w:rPr>
                <w:rFonts w:hint="eastAsia" w:ascii="宋体" w:hAnsi="宋体"/>
                <w:color w:val="auto"/>
                <w:szCs w:val="21"/>
              </w:rPr>
            </w:pPr>
          </w:p>
        </w:tc>
        <w:tc>
          <w:tcPr>
            <w:tcW w:w="1685" w:type="dxa"/>
            <w:noWrap w:val="0"/>
            <w:vAlign w:val="center"/>
          </w:tcPr>
          <w:p w14:paraId="0BE35E2F">
            <w:pPr>
              <w:adjustRightInd w:val="0"/>
              <w:snapToGrid w:val="0"/>
              <w:spacing w:line="360" w:lineRule="auto"/>
              <w:ind w:left="-92" w:leftChars="-42"/>
              <w:jc w:val="center"/>
              <w:rPr>
                <w:rFonts w:hint="eastAsia" w:ascii="宋体" w:hAnsi="宋体"/>
                <w:color w:val="auto"/>
                <w:szCs w:val="21"/>
              </w:rPr>
            </w:pPr>
          </w:p>
        </w:tc>
        <w:tc>
          <w:tcPr>
            <w:tcW w:w="1948" w:type="dxa"/>
            <w:noWrap w:val="0"/>
            <w:vAlign w:val="center"/>
          </w:tcPr>
          <w:p w14:paraId="35598F93">
            <w:pPr>
              <w:adjustRightInd w:val="0"/>
              <w:snapToGrid w:val="0"/>
              <w:spacing w:line="360" w:lineRule="auto"/>
              <w:ind w:left="-92" w:leftChars="-42"/>
              <w:jc w:val="center"/>
              <w:rPr>
                <w:rFonts w:hint="eastAsia" w:ascii="宋体" w:hAnsi="宋体"/>
                <w:color w:val="auto"/>
                <w:szCs w:val="21"/>
              </w:rPr>
            </w:pPr>
          </w:p>
        </w:tc>
        <w:tc>
          <w:tcPr>
            <w:tcW w:w="2600" w:type="dxa"/>
            <w:noWrap w:val="0"/>
            <w:vAlign w:val="center"/>
          </w:tcPr>
          <w:p w14:paraId="4B2B0AC1">
            <w:pPr>
              <w:adjustRightInd w:val="0"/>
              <w:snapToGrid w:val="0"/>
              <w:spacing w:line="360" w:lineRule="auto"/>
              <w:ind w:left="-92" w:leftChars="-42"/>
              <w:jc w:val="center"/>
              <w:rPr>
                <w:rFonts w:hint="eastAsia" w:ascii="宋体" w:hAnsi="宋体"/>
                <w:color w:val="auto"/>
                <w:szCs w:val="21"/>
              </w:rPr>
            </w:pPr>
          </w:p>
        </w:tc>
        <w:tc>
          <w:tcPr>
            <w:tcW w:w="1517" w:type="dxa"/>
            <w:noWrap w:val="0"/>
            <w:vAlign w:val="center"/>
          </w:tcPr>
          <w:p w14:paraId="1E7E8BCF">
            <w:pPr>
              <w:adjustRightInd w:val="0"/>
              <w:snapToGrid w:val="0"/>
              <w:spacing w:line="360" w:lineRule="auto"/>
              <w:ind w:left="-92" w:leftChars="-42"/>
              <w:jc w:val="center"/>
              <w:rPr>
                <w:rFonts w:hint="eastAsia" w:ascii="宋体" w:hAnsi="宋体"/>
                <w:color w:val="auto"/>
                <w:szCs w:val="21"/>
              </w:rPr>
            </w:pPr>
          </w:p>
        </w:tc>
        <w:tc>
          <w:tcPr>
            <w:tcW w:w="1119" w:type="dxa"/>
            <w:noWrap w:val="0"/>
            <w:vAlign w:val="center"/>
          </w:tcPr>
          <w:p w14:paraId="6E9E3D95">
            <w:pPr>
              <w:adjustRightInd w:val="0"/>
              <w:snapToGrid w:val="0"/>
              <w:spacing w:line="360" w:lineRule="auto"/>
              <w:ind w:left="-92" w:leftChars="-42"/>
              <w:jc w:val="center"/>
              <w:rPr>
                <w:rFonts w:hint="eastAsia" w:ascii="宋体" w:hAnsi="宋体"/>
                <w:color w:val="auto"/>
                <w:szCs w:val="21"/>
              </w:rPr>
            </w:pPr>
          </w:p>
        </w:tc>
      </w:tr>
      <w:tr w14:paraId="6F66E7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4AF0EAD7">
            <w:pPr>
              <w:adjustRightInd w:val="0"/>
              <w:snapToGrid w:val="0"/>
              <w:spacing w:line="360" w:lineRule="auto"/>
              <w:ind w:left="-92" w:leftChars="-42"/>
              <w:jc w:val="center"/>
              <w:rPr>
                <w:rFonts w:hint="eastAsia" w:ascii="宋体" w:hAnsi="宋体"/>
                <w:color w:val="auto"/>
                <w:szCs w:val="21"/>
              </w:rPr>
            </w:pPr>
          </w:p>
        </w:tc>
        <w:tc>
          <w:tcPr>
            <w:tcW w:w="1685" w:type="dxa"/>
            <w:noWrap w:val="0"/>
            <w:vAlign w:val="center"/>
          </w:tcPr>
          <w:p w14:paraId="34920655">
            <w:pPr>
              <w:adjustRightInd w:val="0"/>
              <w:snapToGrid w:val="0"/>
              <w:spacing w:line="360" w:lineRule="auto"/>
              <w:ind w:left="-92" w:leftChars="-42"/>
              <w:jc w:val="center"/>
              <w:rPr>
                <w:rFonts w:hint="eastAsia" w:ascii="宋体" w:hAnsi="宋体"/>
                <w:color w:val="auto"/>
                <w:szCs w:val="21"/>
              </w:rPr>
            </w:pPr>
          </w:p>
        </w:tc>
        <w:tc>
          <w:tcPr>
            <w:tcW w:w="1948" w:type="dxa"/>
            <w:noWrap w:val="0"/>
            <w:vAlign w:val="center"/>
          </w:tcPr>
          <w:p w14:paraId="2BA01AA6">
            <w:pPr>
              <w:adjustRightInd w:val="0"/>
              <w:snapToGrid w:val="0"/>
              <w:spacing w:line="360" w:lineRule="auto"/>
              <w:ind w:left="-92" w:leftChars="-42"/>
              <w:jc w:val="center"/>
              <w:rPr>
                <w:rFonts w:hint="eastAsia" w:ascii="宋体" w:hAnsi="宋体"/>
                <w:color w:val="auto"/>
                <w:szCs w:val="21"/>
              </w:rPr>
            </w:pPr>
          </w:p>
        </w:tc>
        <w:tc>
          <w:tcPr>
            <w:tcW w:w="2600" w:type="dxa"/>
            <w:noWrap w:val="0"/>
            <w:vAlign w:val="center"/>
          </w:tcPr>
          <w:p w14:paraId="274B4454">
            <w:pPr>
              <w:adjustRightInd w:val="0"/>
              <w:snapToGrid w:val="0"/>
              <w:spacing w:line="360" w:lineRule="auto"/>
              <w:ind w:left="-92" w:leftChars="-42"/>
              <w:jc w:val="center"/>
              <w:rPr>
                <w:rFonts w:hint="eastAsia" w:ascii="宋体" w:hAnsi="宋体"/>
                <w:color w:val="auto"/>
                <w:szCs w:val="21"/>
              </w:rPr>
            </w:pPr>
          </w:p>
        </w:tc>
        <w:tc>
          <w:tcPr>
            <w:tcW w:w="1517" w:type="dxa"/>
            <w:noWrap w:val="0"/>
            <w:vAlign w:val="center"/>
          </w:tcPr>
          <w:p w14:paraId="0C36E649">
            <w:pPr>
              <w:adjustRightInd w:val="0"/>
              <w:snapToGrid w:val="0"/>
              <w:spacing w:line="360" w:lineRule="auto"/>
              <w:ind w:left="-92" w:leftChars="-42"/>
              <w:jc w:val="center"/>
              <w:rPr>
                <w:rFonts w:hint="eastAsia" w:ascii="宋体" w:hAnsi="宋体"/>
                <w:color w:val="auto"/>
                <w:szCs w:val="21"/>
              </w:rPr>
            </w:pPr>
          </w:p>
        </w:tc>
        <w:tc>
          <w:tcPr>
            <w:tcW w:w="1119" w:type="dxa"/>
            <w:noWrap w:val="0"/>
            <w:vAlign w:val="center"/>
          </w:tcPr>
          <w:p w14:paraId="4D53A6DF">
            <w:pPr>
              <w:adjustRightInd w:val="0"/>
              <w:snapToGrid w:val="0"/>
              <w:spacing w:line="360" w:lineRule="auto"/>
              <w:ind w:left="-92" w:leftChars="-42"/>
              <w:jc w:val="center"/>
              <w:rPr>
                <w:rFonts w:hint="eastAsia" w:ascii="宋体" w:hAnsi="宋体"/>
                <w:color w:val="auto"/>
                <w:szCs w:val="21"/>
              </w:rPr>
            </w:pPr>
          </w:p>
        </w:tc>
      </w:tr>
      <w:tr w14:paraId="76A49F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159E1749">
            <w:pPr>
              <w:adjustRightInd w:val="0"/>
              <w:snapToGrid w:val="0"/>
              <w:spacing w:line="360" w:lineRule="auto"/>
              <w:ind w:left="-92" w:leftChars="-42"/>
              <w:jc w:val="center"/>
              <w:rPr>
                <w:rFonts w:hint="eastAsia" w:ascii="宋体" w:hAnsi="宋体"/>
                <w:color w:val="auto"/>
                <w:szCs w:val="21"/>
              </w:rPr>
            </w:pPr>
          </w:p>
        </w:tc>
        <w:tc>
          <w:tcPr>
            <w:tcW w:w="1685" w:type="dxa"/>
            <w:noWrap w:val="0"/>
            <w:vAlign w:val="center"/>
          </w:tcPr>
          <w:p w14:paraId="39C2F13D">
            <w:pPr>
              <w:adjustRightInd w:val="0"/>
              <w:snapToGrid w:val="0"/>
              <w:spacing w:line="360" w:lineRule="auto"/>
              <w:ind w:left="-92" w:leftChars="-42"/>
              <w:jc w:val="center"/>
              <w:rPr>
                <w:rFonts w:hint="eastAsia" w:ascii="宋体" w:hAnsi="宋体"/>
                <w:color w:val="auto"/>
                <w:szCs w:val="21"/>
              </w:rPr>
            </w:pPr>
          </w:p>
        </w:tc>
        <w:tc>
          <w:tcPr>
            <w:tcW w:w="1948" w:type="dxa"/>
            <w:noWrap w:val="0"/>
            <w:vAlign w:val="center"/>
          </w:tcPr>
          <w:p w14:paraId="10CC5467">
            <w:pPr>
              <w:adjustRightInd w:val="0"/>
              <w:snapToGrid w:val="0"/>
              <w:spacing w:line="360" w:lineRule="auto"/>
              <w:ind w:left="-92" w:leftChars="-42"/>
              <w:jc w:val="center"/>
              <w:rPr>
                <w:rFonts w:hint="eastAsia" w:ascii="宋体" w:hAnsi="宋体"/>
                <w:color w:val="auto"/>
                <w:szCs w:val="21"/>
              </w:rPr>
            </w:pPr>
          </w:p>
        </w:tc>
        <w:tc>
          <w:tcPr>
            <w:tcW w:w="2600" w:type="dxa"/>
            <w:noWrap w:val="0"/>
            <w:vAlign w:val="center"/>
          </w:tcPr>
          <w:p w14:paraId="03EF73DD">
            <w:pPr>
              <w:adjustRightInd w:val="0"/>
              <w:snapToGrid w:val="0"/>
              <w:spacing w:line="360" w:lineRule="auto"/>
              <w:ind w:left="-92" w:leftChars="-42"/>
              <w:jc w:val="center"/>
              <w:rPr>
                <w:rFonts w:hint="eastAsia" w:ascii="宋体" w:hAnsi="宋体"/>
                <w:color w:val="auto"/>
                <w:szCs w:val="21"/>
              </w:rPr>
            </w:pPr>
          </w:p>
        </w:tc>
        <w:tc>
          <w:tcPr>
            <w:tcW w:w="1517" w:type="dxa"/>
            <w:noWrap w:val="0"/>
            <w:vAlign w:val="center"/>
          </w:tcPr>
          <w:p w14:paraId="7A51B6C2">
            <w:pPr>
              <w:adjustRightInd w:val="0"/>
              <w:snapToGrid w:val="0"/>
              <w:spacing w:line="360" w:lineRule="auto"/>
              <w:ind w:left="-92" w:leftChars="-42"/>
              <w:jc w:val="center"/>
              <w:rPr>
                <w:rFonts w:hint="eastAsia" w:ascii="宋体" w:hAnsi="宋体"/>
                <w:color w:val="auto"/>
                <w:szCs w:val="21"/>
              </w:rPr>
            </w:pPr>
          </w:p>
        </w:tc>
        <w:tc>
          <w:tcPr>
            <w:tcW w:w="1119" w:type="dxa"/>
            <w:noWrap w:val="0"/>
            <w:vAlign w:val="center"/>
          </w:tcPr>
          <w:p w14:paraId="66966FFB">
            <w:pPr>
              <w:adjustRightInd w:val="0"/>
              <w:snapToGrid w:val="0"/>
              <w:spacing w:line="360" w:lineRule="auto"/>
              <w:ind w:left="-92" w:leftChars="-42"/>
              <w:jc w:val="center"/>
              <w:rPr>
                <w:rFonts w:hint="eastAsia" w:ascii="宋体" w:hAnsi="宋体"/>
                <w:color w:val="auto"/>
                <w:szCs w:val="21"/>
              </w:rPr>
            </w:pPr>
          </w:p>
        </w:tc>
      </w:tr>
      <w:tr w14:paraId="2A0259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20ADCEC6">
            <w:pPr>
              <w:adjustRightInd w:val="0"/>
              <w:snapToGrid w:val="0"/>
              <w:spacing w:line="360" w:lineRule="auto"/>
              <w:ind w:left="-92" w:leftChars="-42"/>
              <w:jc w:val="center"/>
              <w:rPr>
                <w:rFonts w:hint="eastAsia" w:ascii="宋体" w:hAnsi="宋体"/>
                <w:color w:val="auto"/>
                <w:szCs w:val="21"/>
              </w:rPr>
            </w:pPr>
          </w:p>
        </w:tc>
        <w:tc>
          <w:tcPr>
            <w:tcW w:w="1685" w:type="dxa"/>
            <w:noWrap w:val="0"/>
            <w:vAlign w:val="center"/>
          </w:tcPr>
          <w:p w14:paraId="552DA919">
            <w:pPr>
              <w:adjustRightInd w:val="0"/>
              <w:snapToGrid w:val="0"/>
              <w:spacing w:line="360" w:lineRule="auto"/>
              <w:ind w:left="-92" w:leftChars="-42"/>
              <w:jc w:val="center"/>
              <w:rPr>
                <w:rFonts w:hint="eastAsia" w:ascii="宋体" w:hAnsi="宋体"/>
                <w:color w:val="auto"/>
                <w:szCs w:val="21"/>
              </w:rPr>
            </w:pPr>
          </w:p>
        </w:tc>
        <w:tc>
          <w:tcPr>
            <w:tcW w:w="1948" w:type="dxa"/>
            <w:noWrap w:val="0"/>
            <w:vAlign w:val="center"/>
          </w:tcPr>
          <w:p w14:paraId="0AC35CF7">
            <w:pPr>
              <w:adjustRightInd w:val="0"/>
              <w:snapToGrid w:val="0"/>
              <w:spacing w:line="360" w:lineRule="auto"/>
              <w:ind w:left="-92" w:leftChars="-42"/>
              <w:jc w:val="center"/>
              <w:rPr>
                <w:rFonts w:hint="eastAsia" w:ascii="宋体" w:hAnsi="宋体"/>
                <w:color w:val="auto"/>
                <w:szCs w:val="21"/>
              </w:rPr>
            </w:pPr>
          </w:p>
        </w:tc>
        <w:tc>
          <w:tcPr>
            <w:tcW w:w="2600" w:type="dxa"/>
            <w:noWrap w:val="0"/>
            <w:vAlign w:val="center"/>
          </w:tcPr>
          <w:p w14:paraId="136C2723">
            <w:pPr>
              <w:adjustRightInd w:val="0"/>
              <w:snapToGrid w:val="0"/>
              <w:spacing w:line="360" w:lineRule="auto"/>
              <w:ind w:left="-92" w:leftChars="-42"/>
              <w:jc w:val="center"/>
              <w:rPr>
                <w:rFonts w:hint="eastAsia" w:ascii="宋体" w:hAnsi="宋体"/>
                <w:color w:val="auto"/>
                <w:szCs w:val="21"/>
              </w:rPr>
            </w:pPr>
          </w:p>
        </w:tc>
        <w:tc>
          <w:tcPr>
            <w:tcW w:w="1517" w:type="dxa"/>
            <w:noWrap w:val="0"/>
            <w:vAlign w:val="center"/>
          </w:tcPr>
          <w:p w14:paraId="3F672649">
            <w:pPr>
              <w:adjustRightInd w:val="0"/>
              <w:snapToGrid w:val="0"/>
              <w:spacing w:line="360" w:lineRule="auto"/>
              <w:ind w:left="-92" w:leftChars="-42"/>
              <w:jc w:val="center"/>
              <w:rPr>
                <w:rFonts w:hint="eastAsia" w:ascii="宋体" w:hAnsi="宋体"/>
                <w:color w:val="auto"/>
                <w:szCs w:val="21"/>
              </w:rPr>
            </w:pPr>
          </w:p>
        </w:tc>
        <w:tc>
          <w:tcPr>
            <w:tcW w:w="1119" w:type="dxa"/>
            <w:noWrap w:val="0"/>
            <w:vAlign w:val="center"/>
          </w:tcPr>
          <w:p w14:paraId="68067035">
            <w:pPr>
              <w:adjustRightInd w:val="0"/>
              <w:snapToGrid w:val="0"/>
              <w:spacing w:line="360" w:lineRule="auto"/>
              <w:ind w:left="-92" w:leftChars="-42"/>
              <w:jc w:val="center"/>
              <w:rPr>
                <w:rFonts w:hint="eastAsia" w:ascii="宋体" w:hAnsi="宋体"/>
                <w:color w:val="auto"/>
                <w:szCs w:val="21"/>
              </w:rPr>
            </w:pPr>
          </w:p>
        </w:tc>
      </w:tr>
      <w:tr w14:paraId="7CC19C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2750F70A">
            <w:pPr>
              <w:adjustRightInd w:val="0"/>
              <w:snapToGrid w:val="0"/>
              <w:spacing w:line="360" w:lineRule="auto"/>
              <w:ind w:left="-92" w:leftChars="-42"/>
              <w:jc w:val="center"/>
              <w:rPr>
                <w:rFonts w:hint="eastAsia" w:ascii="宋体" w:hAnsi="宋体"/>
                <w:color w:val="auto"/>
                <w:szCs w:val="21"/>
              </w:rPr>
            </w:pPr>
          </w:p>
        </w:tc>
        <w:tc>
          <w:tcPr>
            <w:tcW w:w="1685" w:type="dxa"/>
            <w:noWrap w:val="0"/>
            <w:vAlign w:val="center"/>
          </w:tcPr>
          <w:p w14:paraId="19733B3F">
            <w:pPr>
              <w:adjustRightInd w:val="0"/>
              <w:snapToGrid w:val="0"/>
              <w:spacing w:line="360" w:lineRule="auto"/>
              <w:ind w:left="-92" w:leftChars="-42"/>
              <w:jc w:val="center"/>
              <w:rPr>
                <w:rFonts w:hint="eastAsia" w:ascii="宋体" w:hAnsi="宋体"/>
                <w:color w:val="auto"/>
                <w:szCs w:val="21"/>
              </w:rPr>
            </w:pPr>
          </w:p>
        </w:tc>
        <w:tc>
          <w:tcPr>
            <w:tcW w:w="1948" w:type="dxa"/>
            <w:noWrap w:val="0"/>
            <w:vAlign w:val="center"/>
          </w:tcPr>
          <w:p w14:paraId="7E33A21C">
            <w:pPr>
              <w:adjustRightInd w:val="0"/>
              <w:snapToGrid w:val="0"/>
              <w:spacing w:line="360" w:lineRule="auto"/>
              <w:ind w:left="-92" w:leftChars="-42"/>
              <w:jc w:val="center"/>
              <w:rPr>
                <w:rFonts w:hint="eastAsia" w:ascii="宋体" w:hAnsi="宋体"/>
                <w:color w:val="auto"/>
                <w:szCs w:val="21"/>
              </w:rPr>
            </w:pPr>
          </w:p>
        </w:tc>
        <w:tc>
          <w:tcPr>
            <w:tcW w:w="2600" w:type="dxa"/>
            <w:noWrap w:val="0"/>
            <w:vAlign w:val="center"/>
          </w:tcPr>
          <w:p w14:paraId="2FAEA741">
            <w:pPr>
              <w:adjustRightInd w:val="0"/>
              <w:snapToGrid w:val="0"/>
              <w:spacing w:line="360" w:lineRule="auto"/>
              <w:ind w:left="-92" w:leftChars="-42"/>
              <w:jc w:val="center"/>
              <w:rPr>
                <w:rFonts w:hint="eastAsia" w:ascii="宋体" w:hAnsi="宋体"/>
                <w:color w:val="auto"/>
                <w:szCs w:val="21"/>
              </w:rPr>
            </w:pPr>
          </w:p>
        </w:tc>
        <w:tc>
          <w:tcPr>
            <w:tcW w:w="1517" w:type="dxa"/>
            <w:noWrap w:val="0"/>
            <w:vAlign w:val="center"/>
          </w:tcPr>
          <w:p w14:paraId="0FD6D2B9">
            <w:pPr>
              <w:adjustRightInd w:val="0"/>
              <w:snapToGrid w:val="0"/>
              <w:spacing w:line="360" w:lineRule="auto"/>
              <w:ind w:left="-92" w:leftChars="-42"/>
              <w:jc w:val="center"/>
              <w:rPr>
                <w:rFonts w:hint="eastAsia" w:ascii="宋体" w:hAnsi="宋体"/>
                <w:color w:val="auto"/>
                <w:szCs w:val="21"/>
              </w:rPr>
            </w:pPr>
          </w:p>
        </w:tc>
        <w:tc>
          <w:tcPr>
            <w:tcW w:w="1119" w:type="dxa"/>
            <w:noWrap w:val="0"/>
            <w:vAlign w:val="center"/>
          </w:tcPr>
          <w:p w14:paraId="350B5912">
            <w:pPr>
              <w:adjustRightInd w:val="0"/>
              <w:snapToGrid w:val="0"/>
              <w:spacing w:line="360" w:lineRule="auto"/>
              <w:ind w:left="-92" w:leftChars="-42"/>
              <w:jc w:val="center"/>
              <w:rPr>
                <w:rFonts w:hint="eastAsia" w:ascii="宋体" w:hAnsi="宋体"/>
                <w:color w:val="auto"/>
                <w:szCs w:val="21"/>
              </w:rPr>
            </w:pPr>
          </w:p>
        </w:tc>
      </w:tr>
      <w:tr w14:paraId="76FD80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47818905">
            <w:pPr>
              <w:adjustRightInd w:val="0"/>
              <w:snapToGrid w:val="0"/>
              <w:spacing w:line="360" w:lineRule="auto"/>
              <w:ind w:left="-92" w:leftChars="-42"/>
              <w:jc w:val="center"/>
              <w:rPr>
                <w:rFonts w:hint="eastAsia" w:ascii="宋体" w:hAnsi="宋体"/>
                <w:color w:val="auto"/>
                <w:szCs w:val="21"/>
              </w:rPr>
            </w:pPr>
          </w:p>
        </w:tc>
        <w:tc>
          <w:tcPr>
            <w:tcW w:w="1685" w:type="dxa"/>
            <w:noWrap w:val="0"/>
            <w:vAlign w:val="center"/>
          </w:tcPr>
          <w:p w14:paraId="07EBBFA4">
            <w:pPr>
              <w:adjustRightInd w:val="0"/>
              <w:snapToGrid w:val="0"/>
              <w:spacing w:line="360" w:lineRule="auto"/>
              <w:ind w:left="-92" w:leftChars="-42"/>
              <w:jc w:val="center"/>
              <w:rPr>
                <w:rFonts w:hint="eastAsia" w:ascii="宋体" w:hAnsi="宋体"/>
                <w:color w:val="auto"/>
                <w:szCs w:val="21"/>
              </w:rPr>
            </w:pPr>
          </w:p>
        </w:tc>
        <w:tc>
          <w:tcPr>
            <w:tcW w:w="1948" w:type="dxa"/>
            <w:noWrap w:val="0"/>
            <w:vAlign w:val="center"/>
          </w:tcPr>
          <w:p w14:paraId="68D1FF8E">
            <w:pPr>
              <w:adjustRightInd w:val="0"/>
              <w:snapToGrid w:val="0"/>
              <w:spacing w:line="360" w:lineRule="auto"/>
              <w:ind w:left="-92" w:leftChars="-42"/>
              <w:jc w:val="center"/>
              <w:rPr>
                <w:rFonts w:hint="eastAsia" w:ascii="宋体" w:hAnsi="宋体"/>
                <w:color w:val="auto"/>
                <w:szCs w:val="21"/>
              </w:rPr>
            </w:pPr>
          </w:p>
        </w:tc>
        <w:tc>
          <w:tcPr>
            <w:tcW w:w="2600" w:type="dxa"/>
            <w:noWrap w:val="0"/>
            <w:vAlign w:val="center"/>
          </w:tcPr>
          <w:p w14:paraId="072F1C3F">
            <w:pPr>
              <w:adjustRightInd w:val="0"/>
              <w:snapToGrid w:val="0"/>
              <w:spacing w:line="360" w:lineRule="auto"/>
              <w:ind w:left="-92" w:leftChars="-42"/>
              <w:jc w:val="center"/>
              <w:rPr>
                <w:rFonts w:hint="eastAsia" w:ascii="宋体" w:hAnsi="宋体"/>
                <w:color w:val="auto"/>
                <w:szCs w:val="21"/>
              </w:rPr>
            </w:pPr>
          </w:p>
        </w:tc>
        <w:tc>
          <w:tcPr>
            <w:tcW w:w="1517" w:type="dxa"/>
            <w:noWrap w:val="0"/>
            <w:vAlign w:val="center"/>
          </w:tcPr>
          <w:p w14:paraId="46387F45">
            <w:pPr>
              <w:adjustRightInd w:val="0"/>
              <w:snapToGrid w:val="0"/>
              <w:spacing w:line="360" w:lineRule="auto"/>
              <w:ind w:left="-92" w:leftChars="-42"/>
              <w:jc w:val="center"/>
              <w:rPr>
                <w:rFonts w:hint="eastAsia" w:ascii="宋体" w:hAnsi="宋体"/>
                <w:color w:val="auto"/>
                <w:szCs w:val="21"/>
              </w:rPr>
            </w:pPr>
          </w:p>
        </w:tc>
        <w:tc>
          <w:tcPr>
            <w:tcW w:w="1119" w:type="dxa"/>
            <w:noWrap w:val="0"/>
            <w:vAlign w:val="center"/>
          </w:tcPr>
          <w:p w14:paraId="1206DD20">
            <w:pPr>
              <w:adjustRightInd w:val="0"/>
              <w:snapToGrid w:val="0"/>
              <w:spacing w:line="360" w:lineRule="auto"/>
              <w:ind w:left="-92" w:leftChars="-42"/>
              <w:jc w:val="center"/>
              <w:rPr>
                <w:rFonts w:hint="eastAsia" w:ascii="宋体" w:hAnsi="宋体"/>
                <w:color w:val="auto"/>
                <w:szCs w:val="21"/>
              </w:rPr>
            </w:pPr>
          </w:p>
        </w:tc>
      </w:tr>
      <w:tr w14:paraId="2E7FE6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42649D85">
            <w:pPr>
              <w:adjustRightInd w:val="0"/>
              <w:snapToGrid w:val="0"/>
              <w:spacing w:line="360" w:lineRule="auto"/>
              <w:ind w:left="-92" w:leftChars="-42"/>
              <w:jc w:val="center"/>
              <w:rPr>
                <w:rFonts w:hint="eastAsia" w:ascii="宋体" w:hAnsi="宋体"/>
                <w:color w:val="auto"/>
                <w:szCs w:val="21"/>
              </w:rPr>
            </w:pPr>
          </w:p>
        </w:tc>
        <w:tc>
          <w:tcPr>
            <w:tcW w:w="1685" w:type="dxa"/>
            <w:noWrap w:val="0"/>
            <w:vAlign w:val="center"/>
          </w:tcPr>
          <w:p w14:paraId="0FF95A03">
            <w:pPr>
              <w:adjustRightInd w:val="0"/>
              <w:snapToGrid w:val="0"/>
              <w:spacing w:line="360" w:lineRule="auto"/>
              <w:ind w:left="-92" w:leftChars="-42"/>
              <w:jc w:val="center"/>
              <w:rPr>
                <w:rFonts w:hint="eastAsia" w:ascii="宋体" w:hAnsi="宋体"/>
                <w:color w:val="auto"/>
                <w:szCs w:val="21"/>
              </w:rPr>
            </w:pPr>
          </w:p>
        </w:tc>
        <w:tc>
          <w:tcPr>
            <w:tcW w:w="1948" w:type="dxa"/>
            <w:noWrap w:val="0"/>
            <w:vAlign w:val="center"/>
          </w:tcPr>
          <w:p w14:paraId="0A9B1E3C">
            <w:pPr>
              <w:adjustRightInd w:val="0"/>
              <w:snapToGrid w:val="0"/>
              <w:spacing w:line="360" w:lineRule="auto"/>
              <w:ind w:left="-92" w:leftChars="-42"/>
              <w:jc w:val="center"/>
              <w:rPr>
                <w:rFonts w:hint="eastAsia" w:ascii="宋体" w:hAnsi="宋体"/>
                <w:color w:val="auto"/>
                <w:szCs w:val="21"/>
              </w:rPr>
            </w:pPr>
          </w:p>
        </w:tc>
        <w:tc>
          <w:tcPr>
            <w:tcW w:w="2600" w:type="dxa"/>
            <w:noWrap w:val="0"/>
            <w:vAlign w:val="center"/>
          </w:tcPr>
          <w:p w14:paraId="6B41B3AE">
            <w:pPr>
              <w:adjustRightInd w:val="0"/>
              <w:snapToGrid w:val="0"/>
              <w:spacing w:line="360" w:lineRule="auto"/>
              <w:ind w:left="-92" w:leftChars="-42"/>
              <w:jc w:val="center"/>
              <w:rPr>
                <w:rFonts w:hint="eastAsia" w:ascii="宋体" w:hAnsi="宋体"/>
                <w:color w:val="auto"/>
                <w:szCs w:val="21"/>
              </w:rPr>
            </w:pPr>
          </w:p>
        </w:tc>
        <w:tc>
          <w:tcPr>
            <w:tcW w:w="1517" w:type="dxa"/>
            <w:noWrap w:val="0"/>
            <w:vAlign w:val="center"/>
          </w:tcPr>
          <w:p w14:paraId="5FE85032">
            <w:pPr>
              <w:adjustRightInd w:val="0"/>
              <w:snapToGrid w:val="0"/>
              <w:spacing w:line="360" w:lineRule="auto"/>
              <w:ind w:left="-92" w:leftChars="-42"/>
              <w:jc w:val="center"/>
              <w:rPr>
                <w:rFonts w:hint="eastAsia" w:ascii="宋体" w:hAnsi="宋体"/>
                <w:color w:val="auto"/>
                <w:szCs w:val="21"/>
              </w:rPr>
            </w:pPr>
          </w:p>
        </w:tc>
        <w:tc>
          <w:tcPr>
            <w:tcW w:w="1119" w:type="dxa"/>
            <w:noWrap w:val="0"/>
            <w:vAlign w:val="center"/>
          </w:tcPr>
          <w:p w14:paraId="30FD755E">
            <w:pPr>
              <w:adjustRightInd w:val="0"/>
              <w:snapToGrid w:val="0"/>
              <w:spacing w:line="360" w:lineRule="auto"/>
              <w:ind w:left="-92" w:leftChars="-42"/>
              <w:jc w:val="center"/>
              <w:rPr>
                <w:rFonts w:hint="eastAsia" w:ascii="宋体" w:hAnsi="宋体"/>
                <w:color w:val="auto"/>
                <w:szCs w:val="21"/>
              </w:rPr>
            </w:pPr>
          </w:p>
        </w:tc>
      </w:tr>
      <w:tr w14:paraId="02456E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16AB611F">
            <w:pPr>
              <w:adjustRightInd w:val="0"/>
              <w:snapToGrid w:val="0"/>
              <w:spacing w:line="360" w:lineRule="auto"/>
              <w:ind w:left="-92" w:leftChars="-42"/>
              <w:jc w:val="center"/>
              <w:rPr>
                <w:rFonts w:hint="eastAsia" w:ascii="宋体" w:hAnsi="宋体"/>
                <w:color w:val="auto"/>
                <w:szCs w:val="21"/>
              </w:rPr>
            </w:pPr>
          </w:p>
        </w:tc>
        <w:tc>
          <w:tcPr>
            <w:tcW w:w="1685" w:type="dxa"/>
            <w:noWrap w:val="0"/>
            <w:vAlign w:val="center"/>
          </w:tcPr>
          <w:p w14:paraId="2BB6683B">
            <w:pPr>
              <w:adjustRightInd w:val="0"/>
              <w:snapToGrid w:val="0"/>
              <w:spacing w:line="360" w:lineRule="auto"/>
              <w:ind w:left="-92" w:leftChars="-42"/>
              <w:jc w:val="center"/>
              <w:rPr>
                <w:rFonts w:hint="eastAsia" w:ascii="宋体" w:hAnsi="宋体"/>
                <w:color w:val="auto"/>
                <w:szCs w:val="21"/>
              </w:rPr>
            </w:pPr>
          </w:p>
        </w:tc>
        <w:tc>
          <w:tcPr>
            <w:tcW w:w="1948" w:type="dxa"/>
            <w:noWrap w:val="0"/>
            <w:vAlign w:val="center"/>
          </w:tcPr>
          <w:p w14:paraId="1144BC95">
            <w:pPr>
              <w:adjustRightInd w:val="0"/>
              <w:snapToGrid w:val="0"/>
              <w:spacing w:line="360" w:lineRule="auto"/>
              <w:ind w:left="-92" w:leftChars="-42"/>
              <w:jc w:val="center"/>
              <w:rPr>
                <w:rFonts w:hint="eastAsia" w:ascii="宋体" w:hAnsi="宋体"/>
                <w:color w:val="auto"/>
                <w:szCs w:val="21"/>
              </w:rPr>
            </w:pPr>
          </w:p>
        </w:tc>
        <w:tc>
          <w:tcPr>
            <w:tcW w:w="2600" w:type="dxa"/>
            <w:noWrap w:val="0"/>
            <w:vAlign w:val="center"/>
          </w:tcPr>
          <w:p w14:paraId="78207C66">
            <w:pPr>
              <w:adjustRightInd w:val="0"/>
              <w:snapToGrid w:val="0"/>
              <w:spacing w:line="360" w:lineRule="auto"/>
              <w:ind w:left="-92" w:leftChars="-42"/>
              <w:jc w:val="center"/>
              <w:rPr>
                <w:rFonts w:hint="eastAsia" w:ascii="宋体" w:hAnsi="宋体"/>
                <w:color w:val="auto"/>
                <w:szCs w:val="21"/>
              </w:rPr>
            </w:pPr>
          </w:p>
        </w:tc>
        <w:tc>
          <w:tcPr>
            <w:tcW w:w="1517" w:type="dxa"/>
            <w:noWrap w:val="0"/>
            <w:vAlign w:val="center"/>
          </w:tcPr>
          <w:p w14:paraId="2CE1B4D7">
            <w:pPr>
              <w:adjustRightInd w:val="0"/>
              <w:snapToGrid w:val="0"/>
              <w:spacing w:line="360" w:lineRule="auto"/>
              <w:ind w:left="-92" w:leftChars="-42"/>
              <w:jc w:val="center"/>
              <w:rPr>
                <w:rFonts w:hint="eastAsia" w:ascii="宋体" w:hAnsi="宋体"/>
                <w:color w:val="auto"/>
                <w:szCs w:val="21"/>
              </w:rPr>
            </w:pPr>
          </w:p>
        </w:tc>
        <w:tc>
          <w:tcPr>
            <w:tcW w:w="1119" w:type="dxa"/>
            <w:noWrap w:val="0"/>
            <w:vAlign w:val="center"/>
          </w:tcPr>
          <w:p w14:paraId="24564B38">
            <w:pPr>
              <w:adjustRightInd w:val="0"/>
              <w:snapToGrid w:val="0"/>
              <w:spacing w:line="360" w:lineRule="auto"/>
              <w:ind w:left="-92" w:leftChars="-42"/>
              <w:jc w:val="center"/>
              <w:rPr>
                <w:rFonts w:hint="eastAsia" w:ascii="宋体" w:hAnsi="宋体"/>
                <w:color w:val="auto"/>
                <w:szCs w:val="21"/>
              </w:rPr>
            </w:pPr>
          </w:p>
        </w:tc>
      </w:tr>
    </w:tbl>
    <w:p w14:paraId="225F450F">
      <w:pPr>
        <w:adjustRightInd w:val="0"/>
        <w:snapToGrid w:val="0"/>
        <w:spacing w:line="360" w:lineRule="auto"/>
        <w:ind w:left="-92" w:leftChars="-42"/>
        <w:rPr>
          <w:rFonts w:hint="eastAsia" w:ascii="宋体" w:hAnsi="宋体"/>
          <w:color w:val="auto"/>
          <w:szCs w:val="21"/>
        </w:rPr>
      </w:pPr>
      <w:r>
        <w:rPr>
          <w:rFonts w:hint="eastAsia" w:ascii="宋体" w:hAnsi="宋体"/>
          <w:color w:val="auto"/>
          <w:szCs w:val="21"/>
        </w:rPr>
        <w:t>说明：1、“响应与偏离”应注明“响应”或“偏离”。</w:t>
      </w:r>
    </w:p>
    <w:p w14:paraId="7DDAF191">
      <w:pPr>
        <w:adjustRightInd w:val="0"/>
        <w:snapToGrid w:val="0"/>
        <w:spacing w:line="360" w:lineRule="auto"/>
        <w:rPr>
          <w:rFonts w:hint="eastAsia" w:ascii="宋体" w:hAnsi="宋体"/>
          <w:color w:val="auto"/>
          <w:szCs w:val="21"/>
        </w:rPr>
      </w:pPr>
      <w:r>
        <w:rPr>
          <w:rFonts w:hint="eastAsia" w:ascii="宋体" w:hAnsi="宋体"/>
          <w:b/>
          <w:color w:val="auto"/>
          <w:szCs w:val="21"/>
        </w:rPr>
        <w:t xml:space="preserve">     </w:t>
      </w:r>
      <w:r>
        <w:rPr>
          <w:rFonts w:hint="eastAsia" w:ascii="宋体" w:hAnsi="宋体"/>
          <w:color w:val="auto"/>
          <w:szCs w:val="21"/>
        </w:rPr>
        <w:t>2、属磋商文件规定可能变动的内容在“说明”栏中注明。</w:t>
      </w:r>
    </w:p>
    <w:p w14:paraId="4FB850C2">
      <w:pPr>
        <w:pStyle w:val="15"/>
        <w:adjustRightInd w:val="0"/>
        <w:snapToGrid w:val="0"/>
        <w:spacing w:line="360" w:lineRule="auto"/>
        <w:outlineLvl w:val="0"/>
        <w:rPr>
          <w:rFonts w:hint="eastAsia" w:ascii="宋体" w:hAnsi="宋体"/>
          <w:color w:val="auto"/>
          <w:sz w:val="21"/>
          <w:szCs w:val="21"/>
        </w:rPr>
      </w:pPr>
    </w:p>
    <w:p w14:paraId="48D0F0BD">
      <w:pPr>
        <w:pStyle w:val="14"/>
        <w:adjustRightInd w:val="0"/>
        <w:snapToGrid w:val="0"/>
        <w:spacing w:line="360" w:lineRule="auto"/>
        <w:rPr>
          <w:rFonts w:hint="eastAsia" w:hAnsi="宋体" w:cs="宋体"/>
          <w:color w:val="auto"/>
        </w:rPr>
      </w:pPr>
      <w:r>
        <w:rPr>
          <w:rFonts w:hint="eastAsia" w:hAnsi="宋体" w:cs="宋体"/>
          <w:color w:val="auto"/>
        </w:rPr>
        <w:t>供应商名称(盖单位章)：</w:t>
      </w:r>
    </w:p>
    <w:p w14:paraId="33ADA98B">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法定代表人或其委托代理人 (签字)：</w:t>
      </w:r>
      <w:r>
        <w:rPr>
          <w:rFonts w:hint="eastAsia" w:ascii="宋体" w:hAnsi="宋体" w:cs="宋体"/>
          <w:color w:val="auto"/>
          <w:szCs w:val="21"/>
          <w:u w:val="single"/>
        </w:rPr>
        <w:t xml:space="preserve">            </w:t>
      </w:r>
    </w:p>
    <w:p w14:paraId="2751C2DA">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2B6C53E8">
      <w:pPr>
        <w:adjustRightInd w:val="0"/>
        <w:snapToGrid w:val="0"/>
        <w:rPr>
          <w:rFonts w:hint="eastAsia" w:ascii="宋体" w:hAnsi="宋体" w:cs="宋体"/>
          <w:color w:val="000000"/>
          <w:sz w:val="24"/>
          <w:highlight w:val="none"/>
        </w:rPr>
      </w:pPr>
    </w:p>
    <w:p w14:paraId="4B320508">
      <w:pPr>
        <w:adjustRightInd w:val="0"/>
        <w:snapToGrid w:val="0"/>
        <w:rPr>
          <w:rFonts w:hint="eastAsia" w:ascii="宋体" w:hAnsi="宋体" w:cs="宋体"/>
          <w:color w:val="000000"/>
          <w:sz w:val="24"/>
          <w:highlight w:val="none"/>
        </w:rPr>
      </w:pPr>
    </w:p>
    <w:p w14:paraId="05FF5D05">
      <w:pPr>
        <w:adjustRightInd w:val="0"/>
        <w:snapToGrid w:val="0"/>
        <w:rPr>
          <w:rFonts w:hint="eastAsia" w:ascii="宋体" w:hAnsi="宋体" w:cs="宋体"/>
          <w:color w:val="000000"/>
          <w:sz w:val="24"/>
          <w:highlight w:val="none"/>
        </w:rPr>
      </w:pPr>
    </w:p>
    <w:p w14:paraId="1A17F2F3">
      <w:pPr>
        <w:adjustRightInd w:val="0"/>
        <w:snapToGrid w:val="0"/>
        <w:rPr>
          <w:rFonts w:hint="eastAsia" w:ascii="宋体" w:hAnsi="宋体" w:cs="宋体"/>
          <w:color w:val="000000"/>
          <w:sz w:val="24"/>
          <w:highlight w:val="none"/>
        </w:rPr>
      </w:pPr>
    </w:p>
    <w:p w14:paraId="22A9C043">
      <w:pPr>
        <w:adjustRightInd w:val="0"/>
        <w:snapToGrid w:val="0"/>
        <w:rPr>
          <w:rFonts w:hint="eastAsia" w:ascii="宋体" w:hAnsi="宋体" w:cs="宋体"/>
          <w:color w:val="000000"/>
          <w:sz w:val="24"/>
          <w:highlight w:val="none"/>
        </w:rPr>
      </w:pPr>
    </w:p>
    <w:p w14:paraId="2DDFB1F7">
      <w:pPr>
        <w:adjustRightInd w:val="0"/>
        <w:snapToGrid w:val="0"/>
        <w:rPr>
          <w:rFonts w:hint="eastAsia" w:ascii="宋体" w:hAnsi="宋体" w:cs="宋体"/>
          <w:color w:val="000000"/>
          <w:sz w:val="24"/>
          <w:highlight w:val="none"/>
        </w:rPr>
      </w:pPr>
    </w:p>
    <w:p w14:paraId="4E9F0AD0">
      <w:pPr>
        <w:adjustRightInd w:val="0"/>
        <w:snapToGrid w:val="0"/>
        <w:rPr>
          <w:rFonts w:hint="eastAsia" w:ascii="宋体" w:hAnsi="宋体" w:cs="宋体"/>
          <w:color w:val="000000"/>
          <w:sz w:val="24"/>
          <w:highlight w:val="none"/>
        </w:rPr>
      </w:pPr>
    </w:p>
    <w:p w14:paraId="030F8570">
      <w:pPr>
        <w:adjustRightInd w:val="0"/>
        <w:snapToGrid w:val="0"/>
        <w:rPr>
          <w:rFonts w:hint="eastAsia" w:ascii="宋体" w:hAnsi="宋体" w:cs="宋体"/>
          <w:color w:val="000000"/>
          <w:sz w:val="24"/>
          <w:highlight w:val="none"/>
        </w:rPr>
      </w:pPr>
    </w:p>
    <w:p w14:paraId="615D4E8F">
      <w:pPr>
        <w:adjustRightInd w:val="0"/>
        <w:snapToGrid w:val="0"/>
        <w:rPr>
          <w:rFonts w:hint="eastAsia" w:ascii="宋体" w:hAnsi="宋体" w:cs="宋体"/>
          <w:color w:val="000000"/>
          <w:sz w:val="24"/>
          <w:highlight w:val="none"/>
        </w:rPr>
      </w:pPr>
    </w:p>
    <w:p w14:paraId="087E5248">
      <w:pPr>
        <w:adjustRightInd w:val="0"/>
        <w:snapToGrid w:val="0"/>
        <w:rPr>
          <w:rFonts w:hint="eastAsia" w:ascii="宋体" w:hAnsi="宋体" w:cs="宋体"/>
          <w:color w:val="000000"/>
          <w:sz w:val="24"/>
          <w:highlight w:val="none"/>
        </w:rPr>
      </w:pPr>
    </w:p>
    <w:p w14:paraId="17B59153">
      <w:pPr>
        <w:adjustRightInd w:val="0"/>
        <w:snapToGrid w:val="0"/>
        <w:rPr>
          <w:rFonts w:hint="eastAsia" w:ascii="宋体" w:hAnsi="宋体" w:cs="宋体"/>
          <w:color w:val="000000"/>
          <w:sz w:val="24"/>
          <w:highlight w:val="none"/>
        </w:rPr>
      </w:pPr>
    </w:p>
    <w:p w14:paraId="3C26EA72">
      <w:pPr>
        <w:adjustRightInd w:val="0"/>
        <w:snapToGrid w:val="0"/>
        <w:rPr>
          <w:rFonts w:hint="eastAsia" w:ascii="宋体" w:hAnsi="宋体" w:cs="宋体"/>
          <w:color w:val="000000"/>
          <w:sz w:val="24"/>
          <w:highlight w:val="none"/>
        </w:rPr>
      </w:pPr>
    </w:p>
    <w:p w14:paraId="500EA447">
      <w:pPr>
        <w:adjustRightInd w:val="0"/>
        <w:snapToGrid w:val="0"/>
        <w:rPr>
          <w:rFonts w:hint="eastAsia" w:ascii="宋体" w:hAnsi="宋体" w:cs="宋体"/>
          <w:color w:val="000000"/>
          <w:sz w:val="24"/>
          <w:highlight w:val="none"/>
        </w:rPr>
      </w:pPr>
    </w:p>
    <w:p w14:paraId="62D6DAED">
      <w:pPr>
        <w:tabs>
          <w:tab w:val="left" w:pos="3600"/>
        </w:tabs>
        <w:adjustRightInd w:val="0"/>
        <w:snapToGrid w:val="0"/>
        <w:jc w:val="center"/>
        <w:outlineLvl w:val="1"/>
        <w:rPr>
          <w:rFonts w:ascii="宋体" w:hAnsi="宋体"/>
          <w:b/>
          <w:color w:val="000000"/>
          <w:sz w:val="32"/>
          <w:szCs w:val="32"/>
          <w:highlight w:val="none"/>
        </w:rPr>
      </w:pPr>
      <w:bookmarkStart w:id="238" w:name="_Toc28949"/>
      <w:bookmarkStart w:id="239" w:name="_Toc13598"/>
    </w:p>
    <w:p w14:paraId="6B513348">
      <w:pPr>
        <w:tabs>
          <w:tab w:val="left" w:pos="3600"/>
        </w:tabs>
        <w:adjustRightInd w:val="0"/>
        <w:snapToGrid w:val="0"/>
        <w:jc w:val="center"/>
        <w:outlineLvl w:val="1"/>
        <w:rPr>
          <w:rStyle w:val="102"/>
          <w:rFonts w:hint="eastAsia"/>
          <w:sz w:val="28"/>
          <w:szCs w:val="28"/>
          <w:highlight w:val="none"/>
        </w:rPr>
      </w:pPr>
    </w:p>
    <w:p w14:paraId="5274E194">
      <w:pPr>
        <w:tabs>
          <w:tab w:val="left" w:pos="3600"/>
        </w:tabs>
        <w:adjustRightInd w:val="0"/>
        <w:snapToGrid w:val="0"/>
        <w:jc w:val="center"/>
        <w:outlineLvl w:val="1"/>
        <w:rPr>
          <w:rStyle w:val="102"/>
          <w:rFonts w:hint="eastAsia"/>
          <w:sz w:val="28"/>
          <w:szCs w:val="28"/>
          <w:highlight w:val="none"/>
        </w:rPr>
      </w:pPr>
    </w:p>
    <w:p w14:paraId="5753EC4A">
      <w:pPr>
        <w:tabs>
          <w:tab w:val="left" w:pos="3600"/>
        </w:tabs>
        <w:adjustRightInd w:val="0"/>
        <w:snapToGrid w:val="0"/>
        <w:jc w:val="center"/>
        <w:outlineLvl w:val="1"/>
        <w:rPr>
          <w:rStyle w:val="102"/>
          <w:rFonts w:hint="eastAsia"/>
          <w:sz w:val="28"/>
          <w:szCs w:val="28"/>
          <w:highlight w:val="none"/>
        </w:rPr>
      </w:pPr>
    </w:p>
    <w:p w14:paraId="0E8AD84D">
      <w:pPr>
        <w:tabs>
          <w:tab w:val="left" w:pos="3600"/>
        </w:tabs>
        <w:adjustRightInd w:val="0"/>
        <w:snapToGrid w:val="0"/>
        <w:jc w:val="center"/>
        <w:outlineLvl w:val="1"/>
        <w:rPr>
          <w:rStyle w:val="102"/>
          <w:sz w:val="28"/>
          <w:szCs w:val="28"/>
          <w:highlight w:val="none"/>
        </w:rPr>
      </w:pPr>
      <w:r>
        <w:rPr>
          <w:rStyle w:val="102"/>
          <w:rFonts w:hint="eastAsia"/>
          <w:sz w:val="28"/>
          <w:szCs w:val="28"/>
          <w:highlight w:val="none"/>
        </w:rPr>
        <w:t>六、报价一览表（格式）</w:t>
      </w:r>
      <w:bookmarkEnd w:id="238"/>
      <w:bookmarkEnd w:id="239"/>
    </w:p>
    <w:p w14:paraId="5A894CED">
      <w:pPr>
        <w:adjustRightInd w:val="0"/>
        <w:snapToGrid w:val="0"/>
        <w:spacing w:line="480" w:lineRule="exact"/>
        <w:outlineLvl w:val="2"/>
        <w:rPr>
          <w:rFonts w:hint="eastAsia" w:ascii="宋体" w:hAnsi="宋体" w:cs="宋体"/>
          <w:b/>
          <w:bCs/>
          <w:color w:val="000000"/>
          <w:sz w:val="24"/>
          <w:highlight w:val="none"/>
        </w:rPr>
      </w:pPr>
      <w:bookmarkStart w:id="240" w:name="_Toc4877"/>
      <w:bookmarkStart w:id="241" w:name="_Toc22417"/>
      <w:r>
        <w:rPr>
          <w:rFonts w:hint="eastAsia" w:ascii="宋体" w:hAnsi="宋体" w:cs="宋体"/>
          <w:b/>
          <w:bCs/>
          <w:color w:val="000000"/>
          <w:sz w:val="24"/>
          <w:highlight w:val="none"/>
        </w:rPr>
        <w:t>附件6-1</w:t>
      </w:r>
      <w:bookmarkEnd w:id="240"/>
      <w:bookmarkEnd w:id="241"/>
    </w:p>
    <w:p w14:paraId="7687D007">
      <w:pPr>
        <w:adjustRightInd w:val="0"/>
        <w:snapToGrid w:val="0"/>
        <w:jc w:val="center"/>
        <w:rPr>
          <w:rFonts w:hint="eastAsia" w:ascii="黑体" w:hAnsi="宋体" w:eastAsia="黑体"/>
          <w:bCs/>
          <w:sz w:val="30"/>
          <w:szCs w:val="30"/>
          <w:highlight w:val="none"/>
        </w:rPr>
      </w:pPr>
    </w:p>
    <w:p w14:paraId="6BB86AD5">
      <w:pPr>
        <w:pStyle w:val="4"/>
        <w:ind w:firstLine="4216" w:firstLineChars="1500"/>
        <w:rPr>
          <w:rFonts w:ascii="仿宋_GB2312" w:eastAsia="仿宋_GB2312"/>
          <w:color w:val="auto"/>
          <w:sz w:val="24"/>
          <w:highlight w:val="none"/>
        </w:rPr>
      </w:pPr>
      <w:bookmarkStart w:id="242" w:name="_Toc10462"/>
      <w:bookmarkStart w:id="243" w:name="_Toc23082"/>
      <w:r>
        <w:rPr>
          <w:rFonts w:hint="eastAsia" w:ascii="黑体" w:hAnsi="黑体" w:eastAsia="黑体"/>
          <w:b/>
          <w:color w:val="auto"/>
          <w:sz w:val="28"/>
          <w:szCs w:val="28"/>
          <w:highlight w:val="none"/>
        </w:rPr>
        <w:t>报价</w:t>
      </w:r>
      <w:r>
        <w:rPr>
          <w:rFonts w:hint="eastAsia" w:ascii="黑体" w:hAnsi="黑体" w:eastAsia="黑体"/>
          <w:b/>
          <w:color w:val="auto"/>
          <w:sz w:val="28"/>
          <w:szCs w:val="28"/>
          <w:highlight w:val="none"/>
          <w:lang w:val="en-US" w:eastAsia="zh-CN"/>
        </w:rPr>
        <w:t>一览</w:t>
      </w:r>
      <w:r>
        <w:rPr>
          <w:rFonts w:hint="eastAsia" w:ascii="黑体" w:hAnsi="黑体" w:eastAsia="黑体"/>
          <w:b/>
          <w:color w:val="auto"/>
          <w:sz w:val="28"/>
          <w:szCs w:val="28"/>
          <w:highlight w:val="none"/>
        </w:rPr>
        <w:t>表</w:t>
      </w:r>
    </w:p>
    <w:tbl>
      <w:tblPr>
        <w:tblStyle w:val="24"/>
        <w:tblW w:w="90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88"/>
        <w:gridCol w:w="3152"/>
        <w:gridCol w:w="1985"/>
        <w:gridCol w:w="2555"/>
      </w:tblGrid>
      <w:tr w14:paraId="009AD7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388" w:type="dxa"/>
            <w:tcBorders>
              <w:top w:val="double" w:color="auto" w:sz="4" w:space="0"/>
            </w:tcBorders>
            <w:vAlign w:val="center"/>
          </w:tcPr>
          <w:p w14:paraId="5C54869A">
            <w:pPr>
              <w:ind w:right="24" w:rightChars="11"/>
              <w:jc w:val="center"/>
              <w:rPr>
                <w:color w:val="auto"/>
                <w:highlight w:val="none"/>
              </w:rPr>
            </w:pPr>
            <w:r>
              <w:rPr>
                <w:rFonts w:hint="eastAsia"/>
                <w:color w:val="auto"/>
                <w:highlight w:val="none"/>
              </w:rPr>
              <w:t>项目名称</w:t>
            </w:r>
          </w:p>
        </w:tc>
        <w:tc>
          <w:tcPr>
            <w:tcW w:w="3152" w:type="dxa"/>
            <w:tcBorders>
              <w:top w:val="double" w:color="auto" w:sz="4" w:space="0"/>
            </w:tcBorders>
            <w:vAlign w:val="center"/>
          </w:tcPr>
          <w:p w14:paraId="223E90C1">
            <w:pPr>
              <w:ind w:right="24" w:rightChars="11"/>
              <w:jc w:val="center"/>
              <w:rPr>
                <w:rFonts w:hint="eastAsia" w:eastAsia="宋体"/>
                <w:color w:val="auto"/>
                <w:highlight w:val="none"/>
                <w:lang w:eastAsia="zh-CN"/>
              </w:rPr>
            </w:pPr>
            <w:r>
              <w:rPr>
                <w:rFonts w:hint="eastAsia"/>
                <w:color w:val="auto"/>
                <w:highlight w:val="none"/>
                <w:lang w:val="en-US" w:eastAsia="zh-CN"/>
              </w:rPr>
              <w:t xml:space="preserve"> </w:t>
            </w:r>
          </w:p>
        </w:tc>
        <w:tc>
          <w:tcPr>
            <w:tcW w:w="1985" w:type="dxa"/>
            <w:tcBorders>
              <w:top w:val="double" w:color="auto" w:sz="4" w:space="0"/>
            </w:tcBorders>
            <w:vAlign w:val="center"/>
          </w:tcPr>
          <w:p w14:paraId="1D7119CD">
            <w:pPr>
              <w:pStyle w:val="40"/>
              <w:spacing w:line="360" w:lineRule="auto"/>
              <w:rPr>
                <w:rFonts w:hint="eastAsia" w:ascii="宋体" w:hAnsi="宋体" w:eastAsia="宋体" w:cs="宋体"/>
                <w:color w:val="auto"/>
                <w:sz w:val="22"/>
                <w:szCs w:val="22"/>
                <w:highlight w:val="none"/>
                <w:lang w:val="en-US" w:eastAsia="zh-CN" w:bidi="zh-CN"/>
              </w:rPr>
            </w:pPr>
          </w:p>
          <w:p w14:paraId="762BC913">
            <w:pPr>
              <w:pStyle w:val="40"/>
              <w:spacing w:line="360" w:lineRule="auto"/>
              <w:jc w:val="center"/>
              <w:rPr>
                <w:rFonts w:hint="default" w:ascii="宋体" w:hAnsi="宋体" w:eastAsia="宋体" w:cs="宋体"/>
                <w:color w:val="auto"/>
                <w:sz w:val="22"/>
                <w:szCs w:val="22"/>
                <w:highlight w:val="none"/>
                <w:lang w:val="en-US" w:eastAsia="zh-CN" w:bidi="zh-CN"/>
              </w:rPr>
            </w:pPr>
            <w:r>
              <w:rPr>
                <w:rFonts w:hint="eastAsia" w:ascii="宋体" w:hAnsi="宋体" w:eastAsia="宋体" w:cs="宋体"/>
                <w:color w:val="auto"/>
                <w:sz w:val="22"/>
                <w:szCs w:val="22"/>
                <w:highlight w:val="none"/>
                <w:lang w:val="en-US" w:eastAsia="zh-CN" w:bidi="zh-CN"/>
              </w:rPr>
              <w:t>政府采购编号</w:t>
            </w:r>
          </w:p>
          <w:p w14:paraId="574B7BCC">
            <w:pPr>
              <w:ind w:right="24" w:rightChars="11"/>
              <w:jc w:val="center"/>
              <w:rPr>
                <w:color w:val="auto"/>
                <w:highlight w:val="none"/>
              </w:rPr>
            </w:pPr>
          </w:p>
        </w:tc>
        <w:tc>
          <w:tcPr>
            <w:tcW w:w="2555" w:type="dxa"/>
            <w:tcBorders>
              <w:top w:val="double" w:color="auto" w:sz="4" w:space="0"/>
            </w:tcBorders>
            <w:vAlign w:val="center"/>
          </w:tcPr>
          <w:p w14:paraId="2313C9AA">
            <w:pPr>
              <w:pStyle w:val="40"/>
              <w:spacing w:line="360" w:lineRule="auto"/>
              <w:rPr>
                <w:rFonts w:hint="eastAsia" w:ascii="宋体" w:hAnsi="宋体" w:eastAsia="宋体" w:cs="宋体"/>
                <w:color w:val="auto"/>
                <w:sz w:val="22"/>
                <w:szCs w:val="22"/>
                <w:highlight w:val="none"/>
                <w:lang w:val="en-US" w:eastAsia="zh-CN" w:bidi="zh-CN"/>
              </w:rPr>
            </w:pPr>
          </w:p>
          <w:p w14:paraId="0EF231D8">
            <w:pPr>
              <w:pStyle w:val="40"/>
              <w:spacing w:line="360" w:lineRule="auto"/>
              <w:rPr>
                <w:rFonts w:hint="default" w:ascii="宋体" w:hAnsi="宋体" w:eastAsia="宋体" w:cs="宋体"/>
                <w:color w:val="auto"/>
                <w:sz w:val="22"/>
                <w:szCs w:val="22"/>
                <w:highlight w:val="none"/>
                <w:lang w:val="en-US" w:eastAsia="zh-CN" w:bidi="zh-CN"/>
              </w:rPr>
            </w:pPr>
          </w:p>
          <w:p w14:paraId="2E360005">
            <w:pPr>
              <w:ind w:right="24" w:rightChars="11"/>
              <w:jc w:val="center"/>
              <w:rPr>
                <w:color w:val="auto"/>
                <w:highlight w:val="none"/>
              </w:rPr>
            </w:pPr>
          </w:p>
        </w:tc>
      </w:tr>
      <w:tr w14:paraId="37FA6A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05" w:hRule="atLeast"/>
          <w:jc w:val="center"/>
        </w:trPr>
        <w:tc>
          <w:tcPr>
            <w:tcW w:w="1388" w:type="dxa"/>
            <w:vAlign w:val="center"/>
          </w:tcPr>
          <w:p w14:paraId="37C1FD37">
            <w:pPr>
              <w:ind w:right="24" w:rightChars="11"/>
              <w:jc w:val="center"/>
              <w:rPr>
                <w:color w:val="auto"/>
                <w:highlight w:val="none"/>
              </w:rPr>
            </w:pPr>
            <w:r>
              <w:rPr>
                <w:rFonts w:hint="eastAsia"/>
                <w:color w:val="auto"/>
                <w:highlight w:val="none"/>
              </w:rPr>
              <w:t>总报价</w:t>
            </w:r>
          </w:p>
        </w:tc>
        <w:tc>
          <w:tcPr>
            <w:tcW w:w="7692" w:type="dxa"/>
            <w:gridSpan w:val="3"/>
            <w:vAlign w:val="center"/>
          </w:tcPr>
          <w:p w14:paraId="50183F9B">
            <w:pPr>
              <w:spacing w:line="360" w:lineRule="auto"/>
              <w:ind w:right="24" w:rightChars="11"/>
              <w:rPr>
                <w:rFonts w:hint="eastAsia" w:ascii="宋体" w:hAnsi="宋体"/>
                <w:b/>
                <w:bCs/>
                <w:color w:val="auto"/>
                <w:szCs w:val="21"/>
                <w:highlight w:val="none"/>
              </w:rPr>
            </w:pPr>
            <w:r>
              <w:rPr>
                <w:rFonts w:hint="eastAsia" w:ascii="宋体" w:hAnsi="宋体"/>
                <w:b/>
                <w:bCs/>
                <w:color w:val="auto"/>
                <w:szCs w:val="21"/>
                <w:highlight w:val="none"/>
              </w:rPr>
              <w:t>投标总价</w:t>
            </w:r>
          </w:p>
          <w:p w14:paraId="1D907126">
            <w:pPr>
              <w:spacing w:line="360" w:lineRule="auto"/>
              <w:ind w:right="24" w:rightChars="11"/>
              <w:rPr>
                <w:rFonts w:hint="eastAsia" w:ascii="宋体" w:hAnsi="宋体"/>
                <w:color w:val="auto"/>
                <w:szCs w:val="21"/>
                <w:highlight w:val="none"/>
              </w:rPr>
            </w:pPr>
            <w:r>
              <w:rPr>
                <w:rFonts w:hint="eastAsia" w:ascii="宋体" w:hAnsi="宋体"/>
                <w:color w:val="auto"/>
                <w:szCs w:val="21"/>
                <w:highlight w:val="none"/>
              </w:rPr>
              <w:t>大写：</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元人民币整</w:t>
            </w:r>
          </w:p>
          <w:p w14:paraId="12075DB8">
            <w:pPr>
              <w:spacing w:line="360" w:lineRule="auto"/>
              <w:ind w:right="24" w:rightChars="11"/>
              <w:rPr>
                <w:color w:val="auto"/>
                <w:highlight w:val="none"/>
              </w:rPr>
            </w:pPr>
            <w:r>
              <w:rPr>
                <w:rFonts w:hint="eastAsia" w:ascii="宋体" w:hAnsi="宋体"/>
                <w:color w:val="auto"/>
                <w:szCs w:val="21"/>
                <w:highlight w:val="none"/>
              </w:rPr>
              <w:t>小写：</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元人民币整</w:t>
            </w:r>
          </w:p>
        </w:tc>
      </w:tr>
      <w:tr w14:paraId="7FE95B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07" w:hRule="atLeast"/>
          <w:jc w:val="center"/>
        </w:trPr>
        <w:tc>
          <w:tcPr>
            <w:tcW w:w="1388" w:type="dxa"/>
            <w:vAlign w:val="center"/>
          </w:tcPr>
          <w:p w14:paraId="3299D8D1">
            <w:pPr>
              <w:ind w:right="24" w:rightChars="11"/>
              <w:jc w:val="center"/>
              <w:rPr>
                <w:rFonts w:hint="default" w:eastAsia="宋体"/>
                <w:color w:val="auto"/>
                <w:highlight w:val="none"/>
                <w:lang w:val="en-US" w:eastAsia="zh-CN"/>
              </w:rPr>
            </w:pPr>
            <w:r>
              <w:rPr>
                <w:rFonts w:hint="eastAsia" w:ascii="宋体" w:hAnsi="宋体" w:eastAsia="宋体" w:cs="宋体"/>
                <w:i w:val="0"/>
                <w:iCs w:val="0"/>
                <w:caps w:val="0"/>
                <w:color w:val="000000"/>
                <w:spacing w:val="0"/>
                <w:kern w:val="0"/>
                <w:sz w:val="24"/>
                <w:szCs w:val="24"/>
                <w:lang w:val="en-US" w:eastAsia="zh-CN" w:bidi="ar"/>
              </w:rPr>
              <w:t>合同履行期限</w:t>
            </w:r>
          </w:p>
        </w:tc>
        <w:tc>
          <w:tcPr>
            <w:tcW w:w="7692" w:type="dxa"/>
            <w:gridSpan w:val="3"/>
            <w:vAlign w:val="center"/>
          </w:tcPr>
          <w:p w14:paraId="406D96F1">
            <w:pPr>
              <w:ind w:right="24" w:rightChars="11"/>
              <w:jc w:val="center"/>
              <w:rPr>
                <w:color w:val="auto"/>
                <w:highlight w:val="none"/>
              </w:rPr>
            </w:pPr>
          </w:p>
        </w:tc>
      </w:tr>
      <w:tr w14:paraId="18EFA1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07" w:hRule="atLeast"/>
          <w:jc w:val="center"/>
        </w:trPr>
        <w:tc>
          <w:tcPr>
            <w:tcW w:w="1388" w:type="dxa"/>
            <w:vAlign w:val="center"/>
          </w:tcPr>
          <w:p w14:paraId="22B31DB0">
            <w:pPr>
              <w:ind w:right="24" w:rightChars="11"/>
              <w:jc w:val="center"/>
              <w:rPr>
                <w:rFonts w:hint="eastAsia"/>
                <w:color w:val="auto"/>
                <w:highlight w:val="none"/>
                <w:lang w:val="en-US" w:eastAsia="zh-CN"/>
              </w:rPr>
            </w:pPr>
            <w:r>
              <w:rPr>
                <w:rFonts w:hint="eastAsia"/>
                <w:color w:val="auto"/>
                <w:highlight w:val="none"/>
                <w:lang w:val="en-US" w:eastAsia="zh-CN"/>
              </w:rPr>
              <w:t>质保期</w:t>
            </w:r>
          </w:p>
        </w:tc>
        <w:tc>
          <w:tcPr>
            <w:tcW w:w="7692" w:type="dxa"/>
            <w:gridSpan w:val="3"/>
            <w:vAlign w:val="center"/>
          </w:tcPr>
          <w:p w14:paraId="15A73165">
            <w:pPr>
              <w:ind w:right="24" w:rightChars="11"/>
              <w:jc w:val="center"/>
              <w:rPr>
                <w:color w:val="auto"/>
                <w:highlight w:val="none"/>
              </w:rPr>
            </w:pPr>
          </w:p>
        </w:tc>
      </w:tr>
      <w:tr w14:paraId="65ED93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67" w:hRule="atLeast"/>
          <w:jc w:val="center"/>
        </w:trPr>
        <w:tc>
          <w:tcPr>
            <w:tcW w:w="1388" w:type="dxa"/>
            <w:tcBorders>
              <w:bottom w:val="double" w:color="auto" w:sz="4" w:space="0"/>
            </w:tcBorders>
            <w:vAlign w:val="center"/>
          </w:tcPr>
          <w:p w14:paraId="665DF1BF">
            <w:pPr>
              <w:ind w:right="24" w:rightChars="11"/>
              <w:jc w:val="center"/>
              <w:rPr>
                <w:color w:val="auto"/>
                <w:highlight w:val="none"/>
              </w:rPr>
            </w:pPr>
            <w:r>
              <w:rPr>
                <w:rFonts w:hint="eastAsia"/>
                <w:color w:val="auto"/>
                <w:highlight w:val="none"/>
              </w:rPr>
              <w:t>备注</w:t>
            </w:r>
          </w:p>
        </w:tc>
        <w:tc>
          <w:tcPr>
            <w:tcW w:w="7692" w:type="dxa"/>
            <w:gridSpan w:val="3"/>
            <w:tcBorders>
              <w:bottom w:val="double" w:color="auto" w:sz="4" w:space="0"/>
            </w:tcBorders>
            <w:vAlign w:val="center"/>
          </w:tcPr>
          <w:p w14:paraId="2ECB9977">
            <w:pPr>
              <w:ind w:right="24" w:rightChars="11"/>
              <w:jc w:val="center"/>
              <w:rPr>
                <w:color w:val="auto"/>
                <w:highlight w:val="none"/>
              </w:rPr>
            </w:pPr>
          </w:p>
        </w:tc>
      </w:tr>
    </w:tbl>
    <w:p w14:paraId="5B91BB7B">
      <w:pPr>
        <w:adjustRightInd w:val="0"/>
        <w:snapToGrid w:val="0"/>
        <w:spacing w:beforeLines="50" w:line="360" w:lineRule="auto"/>
        <w:rPr>
          <w:color w:val="auto"/>
          <w:szCs w:val="21"/>
          <w:highlight w:val="none"/>
        </w:rPr>
      </w:pPr>
      <w:r>
        <w:rPr>
          <w:rFonts w:hint="eastAsia"/>
          <w:b/>
          <w:color w:val="auto"/>
          <w:szCs w:val="21"/>
          <w:highlight w:val="none"/>
        </w:rPr>
        <w:t>备注：</w:t>
      </w:r>
      <w:r>
        <w:rPr>
          <w:rFonts w:hint="eastAsia"/>
          <w:color w:val="auto"/>
          <w:szCs w:val="21"/>
          <w:highlight w:val="none"/>
        </w:rPr>
        <w:t>（1）本表须按包填写，一个“包号”一份。</w:t>
      </w:r>
    </w:p>
    <w:p w14:paraId="4EA14059">
      <w:pPr>
        <w:adjustRightInd w:val="0"/>
        <w:snapToGrid w:val="0"/>
        <w:spacing w:beforeLines="50" w:line="360" w:lineRule="auto"/>
        <w:ind w:left="532" w:firstLine="220" w:firstLineChars="100"/>
        <w:rPr>
          <w:color w:val="auto"/>
          <w:szCs w:val="21"/>
          <w:highlight w:val="none"/>
        </w:rPr>
      </w:pPr>
      <w:r>
        <w:rPr>
          <w:rFonts w:hint="eastAsia"/>
          <w:color w:val="auto"/>
          <w:szCs w:val="21"/>
          <w:highlight w:val="none"/>
        </w:rPr>
        <w:t>（</w:t>
      </w:r>
      <w:r>
        <w:rPr>
          <w:rFonts w:hint="eastAsia"/>
          <w:color w:val="auto"/>
          <w:szCs w:val="21"/>
          <w:highlight w:val="none"/>
          <w:lang w:val="en-US"/>
        </w:rPr>
        <w:t>2</w:t>
      </w:r>
      <w:r>
        <w:rPr>
          <w:rFonts w:hint="eastAsia"/>
          <w:color w:val="auto"/>
          <w:szCs w:val="21"/>
          <w:highlight w:val="none"/>
        </w:rPr>
        <w:t>）大写金额与小写金额不一致时，以大写金额为准。</w:t>
      </w:r>
    </w:p>
    <w:p w14:paraId="4109855B">
      <w:pPr>
        <w:pStyle w:val="9"/>
        <w:ind w:left="532" w:firstLine="0"/>
        <w:rPr>
          <w:color w:val="auto"/>
          <w:highlight w:val="none"/>
        </w:rPr>
      </w:pPr>
    </w:p>
    <w:p w14:paraId="3BA8BCEB">
      <w:pPr>
        <w:pStyle w:val="9"/>
        <w:ind w:left="532" w:firstLine="0"/>
        <w:rPr>
          <w:color w:val="auto"/>
          <w:highlight w:val="none"/>
        </w:rPr>
      </w:pPr>
    </w:p>
    <w:p w14:paraId="37CE2B08">
      <w:pPr>
        <w:pStyle w:val="9"/>
        <w:ind w:left="532" w:firstLine="0"/>
        <w:rPr>
          <w:color w:val="auto"/>
          <w:highlight w:val="none"/>
        </w:rPr>
      </w:pPr>
    </w:p>
    <w:p w14:paraId="5B8E26DF">
      <w:pPr>
        <w:adjustRightInd w:val="0"/>
        <w:snapToGrid w:val="0"/>
        <w:spacing w:line="360" w:lineRule="auto"/>
        <w:ind w:firstLine="440" w:firstLineChars="200"/>
        <w:rPr>
          <w:rFonts w:hint="default" w:eastAsia="宋体"/>
          <w:color w:val="auto"/>
          <w:szCs w:val="21"/>
          <w:highlight w:val="none"/>
          <w:u w:val="single"/>
          <w:lang w:val="en-US" w:eastAsia="zh-CN"/>
        </w:rPr>
      </w:pPr>
      <w:r>
        <w:rPr>
          <w:rFonts w:hint="eastAsia"/>
          <w:color w:val="auto"/>
          <w:szCs w:val="21"/>
          <w:highlight w:val="none"/>
        </w:rPr>
        <w:t>供应商名称（盖单位公章）：</w:t>
      </w:r>
      <w:r>
        <w:rPr>
          <w:rFonts w:hint="eastAsia"/>
          <w:color w:val="auto"/>
          <w:szCs w:val="21"/>
          <w:highlight w:val="none"/>
          <w:u w:val="single"/>
          <w:lang w:val="en-US" w:eastAsia="zh-CN"/>
        </w:rPr>
        <w:t xml:space="preserve">                         </w:t>
      </w:r>
    </w:p>
    <w:p w14:paraId="31271997">
      <w:pPr>
        <w:adjustRightInd w:val="0"/>
        <w:snapToGrid w:val="0"/>
        <w:spacing w:line="360" w:lineRule="auto"/>
        <w:ind w:firstLine="432" w:firstLineChars="200"/>
        <w:rPr>
          <w:rFonts w:hint="default" w:eastAsia="宋体"/>
          <w:color w:val="auto"/>
          <w:szCs w:val="21"/>
          <w:highlight w:val="none"/>
          <w:u w:val="single"/>
          <w:lang w:val="en-US" w:eastAsia="zh-CN"/>
        </w:rPr>
      </w:pPr>
      <w:r>
        <w:rPr>
          <w:rFonts w:hint="eastAsia" w:cs="微软雅黑"/>
          <w:color w:val="auto"/>
          <w:spacing w:val="-2"/>
          <w:szCs w:val="21"/>
          <w:highlight w:val="none"/>
        </w:rPr>
        <w:t>法</w:t>
      </w:r>
      <w:r>
        <w:rPr>
          <w:rFonts w:hint="eastAsia" w:cs="微软雅黑"/>
          <w:color w:val="auto"/>
          <w:szCs w:val="21"/>
          <w:highlight w:val="none"/>
        </w:rPr>
        <w:t>定</w:t>
      </w:r>
      <w:r>
        <w:rPr>
          <w:rFonts w:hint="eastAsia" w:cs="微软雅黑"/>
          <w:color w:val="auto"/>
          <w:spacing w:val="-2"/>
          <w:szCs w:val="21"/>
          <w:highlight w:val="none"/>
        </w:rPr>
        <w:t>代</w:t>
      </w:r>
      <w:r>
        <w:rPr>
          <w:rFonts w:hint="eastAsia" w:cs="微软雅黑"/>
          <w:color w:val="auto"/>
          <w:szCs w:val="21"/>
          <w:highlight w:val="none"/>
        </w:rPr>
        <w:t>表</w:t>
      </w:r>
      <w:r>
        <w:rPr>
          <w:rFonts w:hint="eastAsia" w:cs="微软雅黑"/>
          <w:color w:val="auto"/>
          <w:spacing w:val="-2"/>
          <w:szCs w:val="21"/>
          <w:highlight w:val="none"/>
        </w:rPr>
        <w:t>人</w:t>
      </w:r>
      <w:r>
        <w:rPr>
          <w:rFonts w:hint="eastAsia" w:cs="微软雅黑"/>
          <w:color w:val="auto"/>
          <w:szCs w:val="21"/>
          <w:highlight w:val="none"/>
        </w:rPr>
        <w:t>（</w:t>
      </w:r>
      <w:r>
        <w:rPr>
          <w:rFonts w:hint="eastAsia" w:cs="微软雅黑"/>
          <w:color w:val="auto"/>
          <w:spacing w:val="-2"/>
          <w:szCs w:val="21"/>
          <w:highlight w:val="none"/>
        </w:rPr>
        <w:t>单</w:t>
      </w:r>
      <w:r>
        <w:rPr>
          <w:rFonts w:hint="eastAsia" w:cs="微软雅黑"/>
          <w:color w:val="auto"/>
          <w:szCs w:val="21"/>
          <w:highlight w:val="none"/>
        </w:rPr>
        <w:t>位</w:t>
      </w:r>
      <w:r>
        <w:rPr>
          <w:rFonts w:hint="eastAsia" w:cs="微软雅黑"/>
          <w:color w:val="auto"/>
          <w:spacing w:val="-2"/>
          <w:szCs w:val="21"/>
          <w:highlight w:val="none"/>
        </w:rPr>
        <w:t>负</w:t>
      </w:r>
      <w:r>
        <w:rPr>
          <w:rFonts w:hint="eastAsia" w:cs="微软雅黑"/>
          <w:color w:val="auto"/>
          <w:szCs w:val="21"/>
          <w:highlight w:val="none"/>
        </w:rPr>
        <w:t>责人</w:t>
      </w:r>
      <w:r>
        <w:rPr>
          <w:rFonts w:hint="eastAsia" w:cs="微软雅黑"/>
          <w:color w:val="auto"/>
          <w:spacing w:val="-2"/>
          <w:szCs w:val="21"/>
          <w:highlight w:val="none"/>
        </w:rPr>
        <w:t>）</w:t>
      </w:r>
      <w:r>
        <w:rPr>
          <w:rFonts w:hint="eastAsia"/>
          <w:color w:val="auto"/>
          <w:szCs w:val="21"/>
          <w:highlight w:val="none"/>
        </w:rPr>
        <w:t>或其授权的代理人（签字或印章）：</w:t>
      </w:r>
      <w:r>
        <w:rPr>
          <w:rFonts w:hint="eastAsia"/>
          <w:color w:val="auto"/>
          <w:szCs w:val="21"/>
          <w:highlight w:val="none"/>
          <w:u w:val="single"/>
          <w:lang w:val="en-US" w:eastAsia="zh-CN"/>
        </w:rPr>
        <w:t xml:space="preserve">                 </w:t>
      </w:r>
    </w:p>
    <w:p w14:paraId="64D08934">
      <w:pPr>
        <w:adjustRightInd w:val="0"/>
        <w:snapToGrid w:val="0"/>
        <w:spacing w:line="360" w:lineRule="auto"/>
        <w:ind w:firstLine="440" w:firstLineChars="200"/>
        <w:rPr>
          <w:rFonts w:ascii="黑体" w:hAnsi="黑体" w:eastAsia="黑体"/>
          <w:bCs/>
          <w:color w:val="auto"/>
          <w:sz w:val="30"/>
          <w:szCs w:val="30"/>
          <w:highlight w:val="none"/>
        </w:rPr>
      </w:pPr>
      <w:r>
        <w:rPr>
          <w:rFonts w:hint="eastAsia"/>
          <w:color w:val="auto"/>
          <w:szCs w:val="21"/>
          <w:highlight w:val="none"/>
        </w:rPr>
        <w:t>日期：</w:t>
      </w:r>
      <w:r>
        <w:rPr>
          <w:rFonts w:hint="eastAsia"/>
          <w:color w:val="auto"/>
          <w:szCs w:val="21"/>
          <w:highlight w:val="none"/>
          <w:u w:val="single"/>
          <w:lang w:val="en-US" w:eastAsia="zh-CN"/>
        </w:rPr>
        <w:t xml:space="preserve">      </w:t>
      </w:r>
      <w:r>
        <w:rPr>
          <w:rFonts w:hint="eastAsia"/>
          <w:color w:val="auto"/>
          <w:szCs w:val="21"/>
          <w:highlight w:val="none"/>
        </w:rPr>
        <w:t>年</w:t>
      </w:r>
      <w:r>
        <w:rPr>
          <w:rFonts w:hint="eastAsia"/>
          <w:color w:val="auto"/>
          <w:szCs w:val="21"/>
          <w:highlight w:val="none"/>
          <w:u w:val="single"/>
          <w:lang w:val="en-US" w:eastAsia="zh-CN"/>
        </w:rPr>
        <w:t xml:space="preserve">    </w:t>
      </w:r>
      <w:r>
        <w:rPr>
          <w:rFonts w:hint="eastAsia"/>
          <w:color w:val="auto"/>
          <w:szCs w:val="21"/>
          <w:highlight w:val="none"/>
        </w:rPr>
        <w:t>月</w:t>
      </w:r>
      <w:r>
        <w:rPr>
          <w:rFonts w:hint="eastAsia"/>
          <w:color w:val="auto"/>
          <w:szCs w:val="21"/>
          <w:highlight w:val="none"/>
          <w:u w:val="single"/>
          <w:lang w:val="en-US" w:eastAsia="zh-CN"/>
        </w:rPr>
        <w:t xml:space="preserve">    </w:t>
      </w:r>
      <w:r>
        <w:rPr>
          <w:rFonts w:hint="eastAsia"/>
          <w:color w:val="auto"/>
          <w:szCs w:val="21"/>
          <w:highlight w:val="none"/>
        </w:rPr>
        <w:t>日</w:t>
      </w:r>
    </w:p>
    <w:p w14:paraId="09C3301A">
      <w:pPr>
        <w:rPr>
          <w:rFonts w:ascii="黑体" w:hAnsi="黑体" w:eastAsia="黑体"/>
          <w:color w:val="auto"/>
          <w:sz w:val="30"/>
          <w:szCs w:val="30"/>
          <w:highlight w:val="none"/>
        </w:rPr>
      </w:pPr>
      <w:r>
        <w:rPr>
          <w:rFonts w:ascii="黑体" w:hAnsi="黑体" w:eastAsia="黑体"/>
          <w:color w:val="auto"/>
          <w:sz w:val="30"/>
          <w:szCs w:val="30"/>
          <w:highlight w:val="none"/>
        </w:rPr>
        <w:br w:type="page"/>
      </w:r>
    </w:p>
    <w:p w14:paraId="51F30539">
      <w:pPr>
        <w:adjustRightInd w:val="0"/>
        <w:snapToGrid w:val="0"/>
        <w:spacing w:line="480" w:lineRule="exact"/>
        <w:outlineLvl w:val="2"/>
        <w:rPr>
          <w:rFonts w:hint="eastAsia" w:ascii="宋体" w:hAnsi="宋体" w:eastAsia="宋体" w:cs="宋体"/>
          <w:b/>
          <w:bCs/>
          <w:color w:val="000000"/>
          <w:sz w:val="24"/>
          <w:highlight w:val="none"/>
          <w:lang w:val="en-US" w:eastAsia="zh-CN"/>
        </w:rPr>
      </w:pPr>
      <w:r>
        <w:rPr>
          <w:rFonts w:hint="eastAsia" w:ascii="宋体" w:hAnsi="宋体" w:cs="宋体"/>
          <w:b/>
          <w:bCs/>
          <w:color w:val="000000"/>
          <w:sz w:val="24"/>
          <w:highlight w:val="none"/>
        </w:rPr>
        <w:t>附件6-</w:t>
      </w:r>
      <w:r>
        <w:rPr>
          <w:rFonts w:hint="eastAsia" w:ascii="宋体" w:hAnsi="宋体" w:cs="宋体"/>
          <w:b/>
          <w:bCs/>
          <w:color w:val="000000"/>
          <w:sz w:val="24"/>
          <w:highlight w:val="none"/>
          <w:lang w:val="en-US" w:eastAsia="zh-CN"/>
        </w:rPr>
        <w:t xml:space="preserve">2  </w:t>
      </w:r>
      <w:r>
        <w:rPr>
          <w:rFonts w:hint="eastAsia" w:ascii="宋体" w:hAnsi="宋体" w:eastAsia="宋体" w:cs="宋体"/>
          <w:b/>
          <w:bCs/>
          <w:color w:val="000000"/>
          <w:sz w:val="24"/>
          <w:highlight w:val="none"/>
        </w:rPr>
        <w:t>分项报价明细表</w:t>
      </w:r>
    </w:p>
    <w:p w14:paraId="04DE0999">
      <w:pPr>
        <w:adjustRightInd w:val="0"/>
        <w:snapToGrid w:val="0"/>
        <w:spacing w:before="156" w:beforeLines="50" w:line="360" w:lineRule="auto"/>
        <w:jc w:val="center"/>
        <w:rPr>
          <w:rFonts w:hint="eastAsia" w:ascii="黑体" w:hAnsi="黑体" w:eastAsia="黑体"/>
          <w:b/>
          <w:color w:val="auto"/>
          <w:sz w:val="28"/>
          <w:szCs w:val="28"/>
          <w:highlight w:val="none"/>
        </w:rPr>
      </w:pPr>
    </w:p>
    <w:p w14:paraId="3C956760">
      <w:pPr>
        <w:adjustRightInd w:val="0"/>
        <w:snapToGrid w:val="0"/>
        <w:spacing w:before="156" w:beforeLines="50" w:line="360" w:lineRule="auto"/>
        <w:jc w:val="center"/>
        <w:rPr>
          <w:rFonts w:ascii="黑体" w:hAnsi="宋体" w:eastAsia="黑体" w:cs="微软雅黑"/>
          <w:b/>
          <w:color w:val="auto"/>
          <w:kern w:val="0"/>
          <w:position w:val="-3"/>
          <w:sz w:val="28"/>
          <w:szCs w:val="28"/>
          <w:highlight w:val="none"/>
        </w:rPr>
      </w:pPr>
      <w:r>
        <w:rPr>
          <w:rFonts w:hint="eastAsia" w:ascii="黑体" w:hAnsi="黑体" w:eastAsia="黑体"/>
          <w:b/>
          <w:color w:val="auto"/>
          <w:sz w:val="28"/>
          <w:szCs w:val="28"/>
          <w:highlight w:val="none"/>
        </w:rPr>
        <w:t>分项报价明细表（货物、服务类适用）</w:t>
      </w:r>
    </w:p>
    <w:p w14:paraId="7F0B5855">
      <w:pPr>
        <w:pStyle w:val="40"/>
        <w:spacing w:line="360" w:lineRule="auto"/>
        <w:rPr>
          <w:rFonts w:ascii="宋体" w:hAnsi="宋体"/>
          <w:color w:val="auto"/>
          <w:szCs w:val="21"/>
          <w:highlight w:val="none"/>
        </w:rPr>
      </w:pPr>
      <w:r>
        <w:rPr>
          <w:rFonts w:hint="eastAsia" w:ascii="宋体" w:hAnsi="宋体" w:eastAsia="宋体" w:cs="宋体"/>
          <w:color w:val="auto"/>
          <w:sz w:val="22"/>
          <w:szCs w:val="21"/>
          <w:highlight w:val="none"/>
          <w:lang w:val="en-US" w:eastAsia="zh-CN" w:bidi="zh-CN"/>
        </w:rPr>
        <w:t>政府采购编号：</w:t>
      </w:r>
      <w:r>
        <w:rPr>
          <w:rFonts w:hint="eastAsia" w:ascii="宋体" w:hAnsi="宋体" w:eastAsia="宋体" w:cs="宋体"/>
          <w:color w:val="auto"/>
          <w:sz w:val="22"/>
          <w:szCs w:val="21"/>
          <w:highlight w:val="none"/>
          <w:u w:val="single"/>
          <w:lang w:val="en-US" w:eastAsia="zh-CN" w:bidi="zh-CN"/>
        </w:rPr>
        <w:t xml:space="preserve">              </w:t>
      </w:r>
      <w:r>
        <w:rPr>
          <w:rFonts w:hint="eastAsia" w:ascii="宋体" w:hAnsi="宋体" w:eastAsia="宋体" w:cs="宋体"/>
          <w:color w:val="auto"/>
          <w:sz w:val="22"/>
          <w:szCs w:val="21"/>
          <w:highlight w:val="none"/>
          <w:lang w:val="en-US" w:eastAsia="zh-CN" w:bidi="zh-CN"/>
        </w:rPr>
        <w:t xml:space="preserve">                       </w:t>
      </w:r>
      <w:r>
        <w:rPr>
          <w:rFonts w:hint="eastAsia" w:ascii="宋体" w:hAnsi="宋体" w:eastAsia="宋体" w:cs="宋体"/>
          <w:color w:val="auto"/>
          <w:sz w:val="22"/>
          <w:szCs w:val="21"/>
          <w:highlight w:val="none"/>
          <w:lang w:val="zh-CN" w:eastAsia="zh-CN" w:bidi="zh-CN"/>
        </w:rPr>
        <w:t>项目名称</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14:paraId="1C69C2E4">
      <w:pPr>
        <w:adjustRightInd w:val="0"/>
        <w:snapToGrid w:val="0"/>
        <w:spacing w:before="156" w:beforeLines="50" w:line="360" w:lineRule="auto"/>
        <w:rPr>
          <w:rFonts w:ascii="宋体" w:hAnsi="宋体"/>
          <w:b/>
          <w:color w:val="auto"/>
          <w:szCs w:val="21"/>
          <w:highlight w:val="none"/>
        </w:rPr>
      </w:pPr>
      <w:r>
        <w:rPr>
          <w:rFonts w:hint="eastAsia" w:ascii="宋体" w:hAnsi="宋体"/>
          <w:color w:val="auto"/>
          <w:szCs w:val="21"/>
          <w:highlight w:val="none"/>
        </w:rPr>
        <w:t>包号：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包名称：</w:t>
      </w:r>
      <w:r>
        <w:rPr>
          <w:rFonts w:hint="eastAsia" w:ascii="宋体" w:hAnsi="宋体"/>
          <w:color w:val="auto"/>
          <w:szCs w:val="21"/>
          <w:highlight w:val="none"/>
          <w:u w:val="single"/>
        </w:rPr>
        <w:t xml:space="preserve">                        </w:t>
      </w:r>
    </w:p>
    <w:p w14:paraId="5765DF78">
      <w:pPr>
        <w:adjustRightInd w:val="0"/>
        <w:snapToGrid w:val="0"/>
        <w:spacing w:line="360" w:lineRule="auto"/>
        <w:jc w:val="both"/>
        <w:rPr>
          <w:rFonts w:hint="eastAsia" w:ascii="黑体" w:hAnsi="宋体" w:eastAsia="黑体" w:cs="微软雅黑"/>
          <w:b/>
          <w:kern w:val="0"/>
          <w:position w:val="-3"/>
          <w:sz w:val="28"/>
          <w:szCs w:val="28"/>
        </w:rPr>
      </w:pPr>
    </w:p>
    <w:tbl>
      <w:tblPr>
        <w:tblStyle w:val="24"/>
        <w:tblW w:w="9738" w:type="dxa"/>
        <w:tblInd w:w="0" w:type="dxa"/>
        <w:tblLayout w:type="fixed"/>
        <w:tblCellMar>
          <w:top w:w="0" w:type="dxa"/>
          <w:left w:w="0" w:type="dxa"/>
          <w:bottom w:w="0" w:type="dxa"/>
          <w:right w:w="0" w:type="dxa"/>
        </w:tblCellMar>
      </w:tblPr>
      <w:tblGrid>
        <w:gridCol w:w="364"/>
        <w:gridCol w:w="1519"/>
        <w:gridCol w:w="2334"/>
        <w:gridCol w:w="1317"/>
        <w:gridCol w:w="1198"/>
        <w:gridCol w:w="997"/>
        <w:gridCol w:w="1007"/>
        <w:gridCol w:w="1002"/>
      </w:tblGrid>
      <w:tr w14:paraId="395D9FBE">
        <w:tblPrEx>
          <w:tblCellMar>
            <w:top w:w="0" w:type="dxa"/>
            <w:left w:w="0" w:type="dxa"/>
            <w:bottom w:w="0" w:type="dxa"/>
            <w:right w:w="0" w:type="dxa"/>
          </w:tblCellMar>
        </w:tblPrEx>
        <w:trPr>
          <w:trHeight w:val="603" w:hRule="exact"/>
        </w:trPr>
        <w:tc>
          <w:tcPr>
            <w:tcW w:w="1883" w:type="dxa"/>
            <w:gridSpan w:val="2"/>
            <w:vMerge w:val="restart"/>
            <w:tcBorders>
              <w:top w:val="double" w:color="auto" w:sz="4" w:space="0"/>
              <w:left w:val="double" w:color="auto" w:sz="4" w:space="0"/>
              <w:right w:val="single" w:color="auto" w:sz="6" w:space="0"/>
            </w:tcBorders>
            <w:noWrap w:val="0"/>
            <w:vAlign w:val="center"/>
          </w:tcPr>
          <w:p w14:paraId="6A2F677E">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分项项目名称</w:t>
            </w:r>
          </w:p>
        </w:tc>
        <w:tc>
          <w:tcPr>
            <w:tcW w:w="2334" w:type="dxa"/>
            <w:vMerge w:val="restart"/>
            <w:tcBorders>
              <w:top w:val="double" w:color="auto" w:sz="4" w:space="0"/>
              <w:left w:val="single" w:color="auto" w:sz="6" w:space="0"/>
              <w:bottom w:val="single" w:color="auto" w:sz="6" w:space="0"/>
              <w:right w:val="single" w:color="auto" w:sz="4" w:space="0"/>
            </w:tcBorders>
            <w:noWrap w:val="0"/>
            <w:vAlign w:val="center"/>
          </w:tcPr>
          <w:p w14:paraId="0D73AD95">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规格型号</w:t>
            </w:r>
          </w:p>
          <w:p w14:paraId="68771C3E">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（或项目特征描述</w:t>
            </w:r>
            <w:r>
              <w:rPr>
                <w:rFonts w:ascii="宋体" w:hAnsi="宋体"/>
                <w:szCs w:val="21"/>
              </w:rPr>
              <w:t>）</w:t>
            </w:r>
          </w:p>
        </w:tc>
        <w:tc>
          <w:tcPr>
            <w:tcW w:w="1317" w:type="dxa"/>
            <w:vMerge w:val="restart"/>
            <w:tcBorders>
              <w:top w:val="double" w:color="auto" w:sz="4" w:space="0"/>
              <w:left w:val="single" w:color="auto" w:sz="4" w:space="0"/>
              <w:bottom w:val="single" w:color="auto" w:sz="6" w:space="0"/>
              <w:right w:val="single" w:color="auto" w:sz="6" w:space="0"/>
            </w:tcBorders>
            <w:noWrap w:val="0"/>
            <w:vAlign w:val="center"/>
          </w:tcPr>
          <w:p w14:paraId="51ECDD07">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品牌/产地</w:t>
            </w:r>
          </w:p>
        </w:tc>
        <w:tc>
          <w:tcPr>
            <w:tcW w:w="1198" w:type="dxa"/>
            <w:vMerge w:val="restart"/>
            <w:tcBorders>
              <w:top w:val="double" w:color="auto" w:sz="4" w:space="0"/>
              <w:left w:val="single" w:color="auto" w:sz="6" w:space="0"/>
              <w:right w:val="single" w:color="auto" w:sz="4" w:space="0"/>
            </w:tcBorders>
            <w:noWrap w:val="0"/>
            <w:vAlign w:val="center"/>
          </w:tcPr>
          <w:p w14:paraId="301ECF4E">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kern w:val="0"/>
                <w:szCs w:val="21"/>
              </w:rPr>
              <w:t>数量/单位</w:t>
            </w:r>
          </w:p>
        </w:tc>
        <w:tc>
          <w:tcPr>
            <w:tcW w:w="2004" w:type="dxa"/>
            <w:gridSpan w:val="2"/>
            <w:tcBorders>
              <w:top w:val="double" w:color="auto" w:sz="4" w:space="0"/>
              <w:left w:val="single" w:color="auto" w:sz="4" w:space="0"/>
              <w:bottom w:val="single" w:color="auto" w:sz="6" w:space="0"/>
              <w:right w:val="single" w:color="auto" w:sz="6" w:space="0"/>
            </w:tcBorders>
            <w:noWrap w:val="0"/>
            <w:vAlign w:val="center"/>
          </w:tcPr>
          <w:p w14:paraId="5D2A2C90">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金额（元）</w:t>
            </w:r>
          </w:p>
        </w:tc>
        <w:tc>
          <w:tcPr>
            <w:tcW w:w="1002" w:type="dxa"/>
            <w:vMerge w:val="restart"/>
            <w:tcBorders>
              <w:top w:val="double" w:color="auto" w:sz="4" w:space="0"/>
              <w:left w:val="single" w:color="auto" w:sz="6" w:space="0"/>
              <w:bottom w:val="single" w:color="auto" w:sz="6" w:space="0"/>
              <w:right w:val="double" w:color="auto" w:sz="4" w:space="0"/>
            </w:tcBorders>
            <w:noWrap w:val="0"/>
            <w:vAlign w:val="center"/>
          </w:tcPr>
          <w:p w14:paraId="7E876D01">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备注</w:t>
            </w:r>
          </w:p>
        </w:tc>
      </w:tr>
      <w:tr w14:paraId="20F88267">
        <w:tblPrEx>
          <w:tblCellMar>
            <w:top w:w="0" w:type="dxa"/>
            <w:left w:w="0" w:type="dxa"/>
            <w:bottom w:w="0" w:type="dxa"/>
            <w:right w:w="0" w:type="dxa"/>
          </w:tblCellMar>
        </w:tblPrEx>
        <w:trPr>
          <w:trHeight w:val="603" w:hRule="exact"/>
        </w:trPr>
        <w:tc>
          <w:tcPr>
            <w:tcW w:w="1883" w:type="dxa"/>
            <w:gridSpan w:val="2"/>
            <w:vMerge w:val="continue"/>
            <w:tcBorders>
              <w:left w:val="double" w:color="auto" w:sz="4" w:space="0"/>
              <w:bottom w:val="single" w:color="auto" w:sz="6" w:space="0"/>
              <w:right w:val="single" w:color="auto" w:sz="6" w:space="0"/>
            </w:tcBorders>
            <w:noWrap w:val="0"/>
            <w:vAlign w:val="top"/>
          </w:tcPr>
          <w:p w14:paraId="55CECB6C">
            <w:pPr>
              <w:autoSpaceDE w:val="0"/>
              <w:autoSpaceDN w:val="0"/>
              <w:adjustRightInd w:val="0"/>
              <w:snapToGrid w:val="0"/>
              <w:spacing w:line="360" w:lineRule="auto"/>
              <w:ind w:left="352" w:right="-20"/>
              <w:jc w:val="left"/>
              <w:rPr>
                <w:rFonts w:ascii="宋体" w:hAnsi="宋体"/>
                <w:kern w:val="0"/>
                <w:szCs w:val="21"/>
              </w:rPr>
            </w:pPr>
          </w:p>
        </w:tc>
        <w:tc>
          <w:tcPr>
            <w:tcW w:w="2334" w:type="dxa"/>
            <w:vMerge w:val="continue"/>
            <w:tcBorders>
              <w:top w:val="single" w:color="auto" w:sz="6" w:space="0"/>
              <w:left w:val="single" w:color="auto" w:sz="6" w:space="0"/>
              <w:bottom w:val="single" w:color="auto" w:sz="6" w:space="0"/>
              <w:right w:val="single" w:color="auto" w:sz="4" w:space="0"/>
            </w:tcBorders>
            <w:noWrap w:val="0"/>
            <w:vAlign w:val="center"/>
          </w:tcPr>
          <w:p w14:paraId="2D5DCEA5">
            <w:pPr>
              <w:autoSpaceDE w:val="0"/>
              <w:autoSpaceDN w:val="0"/>
              <w:adjustRightInd w:val="0"/>
              <w:snapToGrid w:val="0"/>
              <w:spacing w:line="360" w:lineRule="auto"/>
              <w:ind w:right="-20"/>
              <w:jc w:val="center"/>
              <w:rPr>
                <w:rFonts w:ascii="宋体" w:hAnsi="宋体"/>
                <w:kern w:val="0"/>
                <w:szCs w:val="21"/>
              </w:rPr>
            </w:pPr>
          </w:p>
        </w:tc>
        <w:tc>
          <w:tcPr>
            <w:tcW w:w="1317" w:type="dxa"/>
            <w:vMerge w:val="continue"/>
            <w:tcBorders>
              <w:top w:val="single" w:color="auto" w:sz="6" w:space="0"/>
              <w:left w:val="single" w:color="auto" w:sz="4" w:space="0"/>
              <w:bottom w:val="single" w:color="auto" w:sz="6" w:space="0"/>
              <w:right w:val="single" w:color="auto" w:sz="6" w:space="0"/>
            </w:tcBorders>
            <w:noWrap w:val="0"/>
            <w:vAlign w:val="center"/>
          </w:tcPr>
          <w:p w14:paraId="3CFBAACB">
            <w:pPr>
              <w:autoSpaceDE w:val="0"/>
              <w:autoSpaceDN w:val="0"/>
              <w:adjustRightInd w:val="0"/>
              <w:snapToGrid w:val="0"/>
              <w:spacing w:line="360" w:lineRule="auto"/>
              <w:ind w:right="-20"/>
              <w:jc w:val="center"/>
              <w:rPr>
                <w:rFonts w:ascii="宋体" w:hAnsi="宋体"/>
                <w:kern w:val="0"/>
                <w:szCs w:val="21"/>
              </w:rPr>
            </w:pPr>
          </w:p>
        </w:tc>
        <w:tc>
          <w:tcPr>
            <w:tcW w:w="1198" w:type="dxa"/>
            <w:vMerge w:val="continue"/>
            <w:tcBorders>
              <w:left w:val="single" w:color="auto" w:sz="6" w:space="0"/>
              <w:bottom w:val="single" w:color="auto" w:sz="6" w:space="0"/>
              <w:right w:val="single" w:color="auto" w:sz="4" w:space="0"/>
            </w:tcBorders>
            <w:noWrap w:val="0"/>
            <w:vAlign w:val="center"/>
          </w:tcPr>
          <w:p w14:paraId="6BC36F7E">
            <w:pPr>
              <w:autoSpaceDE w:val="0"/>
              <w:autoSpaceDN w:val="0"/>
              <w:adjustRightInd w:val="0"/>
              <w:snapToGrid w:val="0"/>
              <w:spacing w:line="360" w:lineRule="auto"/>
              <w:ind w:right="-20"/>
              <w:jc w:val="center"/>
              <w:rPr>
                <w:rFonts w:ascii="宋体" w:hAnsi="宋体"/>
                <w:kern w:val="0"/>
                <w:szCs w:val="21"/>
              </w:rPr>
            </w:pPr>
          </w:p>
        </w:tc>
        <w:tc>
          <w:tcPr>
            <w:tcW w:w="997" w:type="dxa"/>
            <w:tcBorders>
              <w:top w:val="single" w:color="auto" w:sz="6" w:space="0"/>
              <w:left w:val="single" w:color="auto" w:sz="4" w:space="0"/>
              <w:bottom w:val="single" w:color="auto" w:sz="6" w:space="0"/>
              <w:right w:val="single" w:color="auto" w:sz="4" w:space="0"/>
            </w:tcBorders>
            <w:noWrap w:val="0"/>
            <w:vAlign w:val="center"/>
          </w:tcPr>
          <w:p w14:paraId="4ACA1536">
            <w:pPr>
              <w:autoSpaceDE w:val="0"/>
              <w:autoSpaceDN w:val="0"/>
              <w:adjustRightInd w:val="0"/>
              <w:snapToGrid w:val="0"/>
              <w:spacing w:line="360" w:lineRule="auto"/>
              <w:ind w:right="-20"/>
              <w:jc w:val="center"/>
              <w:rPr>
                <w:rFonts w:ascii="宋体" w:hAnsi="宋体"/>
                <w:kern w:val="0"/>
                <w:szCs w:val="21"/>
              </w:rPr>
            </w:pPr>
            <w:r>
              <w:rPr>
                <w:rFonts w:hint="eastAsia" w:ascii="宋体" w:hAnsi="宋体" w:cs="微软雅黑"/>
                <w:kern w:val="0"/>
                <w:position w:val="-1"/>
                <w:szCs w:val="21"/>
              </w:rPr>
              <w:t>单价</w:t>
            </w:r>
          </w:p>
        </w:tc>
        <w:tc>
          <w:tcPr>
            <w:tcW w:w="1007" w:type="dxa"/>
            <w:tcBorders>
              <w:top w:val="single" w:color="auto" w:sz="6" w:space="0"/>
              <w:left w:val="single" w:color="auto" w:sz="4" w:space="0"/>
              <w:bottom w:val="single" w:color="auto" w:sz="6" w:space="0"/>
              <w:right w:val="single" w:color="auto" w:sz="6" w:space="0"/>
            </w:tcBorders>
            <w:noWrap w:val="0"/>
            <w:vAlign w:val="center"/>
          </w:tcPr>
          <w:p w14:paraId="5BD6531C">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小计</w:t>
            </w:r>
          </w:p>
        </w:tc>
        <w:tc>
          <w:tcPr>
            <w:tcW w:w="1002" w:type="dxa"/>
            <w:vMerge w:val="continue"/>
            <w:tcBorders>
              <w:top w:val="single" w:color="auto" w:sz="6" w:space="0"/>
              <w:left w:val="single" w:color="auto" w:sz="6" w:space="0"/>
              <w:bottom w:val="single" w:color="auto" w:sz="6" w:space="0"/>
              <w:right w:val="double" w:color="auto" w:sz="4" w:space="0"/>
            </w:tcBorders>
            <w:noWrap w:val="0"/>
            <w:vAlign w:val="top"/>
          </w:tcPr>
          <w:p w14:paraId="1501434C">
            <w:pPr>
              <w:autoSpaceDE w:val="0"/>
              <w:autoSpaceDN w:val="0"/>
              <w:adjustRightInd w:val="0"/>
              <w:snapToGrid w:val="0"/>
              <w:spacing w:line="360" w:lineRule="auto"/>
              <w:ind w:left="422" w:right="-20"/>
              <w:jc w:val="left"/>
              <w:rPr>
                <w:rFonts w:ascii="宋体" w:hAnsi="宋体"/>
                <w:kern w:val="0"/>
                <w:szCs w:val="21"/>
              </w:rPr>
            </w:pPr>
          </w:p>
        </w:tc>
      </w:tr>
      <w:tr w14:paraId="20509CF1">
        <w:tblPrEx>
          <w:tblCellMar>
            <w:top w:w="0" w:type="dxa"/>
            <w:left w:w="0" w:type="dxa"/>
            <w:bottom w:w="0" w:type="dxa"/>
            <w:right w:w="0" w:type="dxa"/>
          </w:tblCellMar>
        </w:tblPrEx>
        <w:trPr>
          <w:trHeight w:val="550" w:hRule="exact"/>
        </w:trPr>
        <w:tc>
          <w:tcPr>
            <w:tcW w:w="364" w:type="dxa"/>
            <w:tcBorders>
              <w:top w:val="single" w:color="auto" w:sz="6" w:space="0"/>
              <w:left w:val="double" w:color="auto" w:sz="4" w:space="0"/>
              <w:bottom w:val="single" w:color="auto" w:sz="6" w:space="0"/>
              <w:right w:val="single" w:color="auto" w:sz="6" w:space="0"/>
            </w:tcBorders>
            <w:noWrap w:val="0"/>
            <w:vAlign w:val="center"/>
          </w:tcPr>
          <w:p w14:paraId="19C0DA14">
            <w:pPr>
              <w:jc w:val="center"/>
              <w:rPr>
                <w:rFonts w:ascii="宋体" w:hAnsi="宋体" w:cs="宋体"/>
              </w:rPr>
            </w:pPr>
            <w:r>
              <w:rPr>
                <w:rFonts w:hint="eastAsia" w:ascii="宋体" w:hAnsi="宋体" w:cs="宋体"/>
              </w:rPr>
              <w:t>1</w:t>
            </w:r>
          </w:p>
        </w:tc>
        <w:tc>
          <w:tcPr>
            <w:tcW w:w="1519" w:type="dxa"/>
            <w:tcBorders>
              <w:top w:val="single" w:color="auto" w:sz="6" w:space="0"/>
              <w:left w:val="single" w:color="auto" w:sz="6" w:space="0"/>
              <w:bottom w:val="single" w:color="auto" w:sz="6" w:space="0"/>
              <w:right w:val="single" w:color="auto" w:sz="6" w:space="0"/>
            </w:tcBorders>
            <w:noWrap w:val="0"/>
            <w:vAlign w:val="center"/>
          </w:tcPr>
          <w:p w14:paraId="0B5394FF">
            <w:pPr>
              <w:autoSpaceDE w:val="0"/>
              <w:autoSpaceDN w:val="0"/>
              <w:adjustRightInd w:val="0"/>
              <w:snapToGrid w:val="0"/>
              <w:spacing w:line="360" w:lineRule="auto"/>
              <w:jc w:val="center"/>
              <w:rPr>
                <w:rFonts w:ascii="宋体" w:hAnsi="宋体"/>
                <w:kern w:val="0"/>
                <w:szCs w:val="21"/>
              </w:rPr>
            </w:pPr>
          </w:p>
        </w:tc>
        <w:tc>
          <w:tcPr>
            <w:tcW w:w="2334" w:type="dxa"/>
            <w:tcBorders>
              <w:top w:val="single" w:color="auto" w:sz="6" w:space="0"/>
              <w:left w:val="single" w:color="auto" w:sz="6" w:space="0"/>
              <w:bottom w:val="single" w:color="auto" w:sz="6" w:space="0"/>
              <w:right w:val="single" w:color="auto" w:sz="4" w:space="0"/>
            </w:tcBorders>
            <w:noWrap w:val="0"/>
            <w:vAlign w:val="top"/>
          </w:tcPr>
          <w:p w14:paraId="71EDBC52">
            <w:pPr>
              <w:autoSpaceDE w:val="0"/>
              <w:autoSpaceDN w:val="0"/>
              <w:adjustRightInd w:val="0"/>
              <w:snapToGrid w:val="0"/>
              <w:spacing w:line="360" w:lineRule="auto"/>
              <w:jc w:val="left"/>
              <w:rPr>
                <w:rFonts w:ascii="宋体" w:hAnsi="宋体"/>
                <w:kern w:val="0"/>
                <w:szCs w:val="21"/>
              </w:rPr>
            </w:pPr>
          </w:p>
        </w:tc>
        <w:tc>
          <w:tcPr>
            <w:tcW w:w="1317" w:type="dxa"/>
            <w:tcBorders>
              <w:top w:val="single" w:color="auto" w:sz="6" w:space="0"/>
              <w:left w:val="single" w:color="auto" w:sz="4" w:space="0"/>
              <w:bottom w:val="single" w:color="auto" w:sz="6" w:space="0"/>
              <w:right w:val="single" w:color="auto" w:sz="6" w:space="0"/>
            </w:tcBorders>
            <w:noWrap w:val="0"/>
            <w:vAlign w:val="top"/>
          </w:tcPr>
          <w:p w14:paraId="0AA4575C">
            <w:pPr>
              <w:autoSpaceDE w:val="0"/>
              <w:autoSpaceDN w:val="0"/>
              <w:adjustRightInd w:val="0"/>
              <w:snapToGrid w:val="0"/>
              <w:spacing w:line="360" w:lineRule="auto"/>
              <w:jc w:val="left"/>
              <w:rPr>
                <w:rFonts w:ascii="宋体" w:hAnsi="宋体"/>
                <w:kern w:val="0"/>
                <w:szCs w:val="21"/>
              </w:rPr>
            </w:pPr>
          </w:p>
        </w:tc>
        <w:tc>
          <w:tcPr>
            <w:tcW w:w="1198" w:type="dxa"/>
            <w:tcBorders>
              <w:top w:val="single" w:color="auto" w:sz="6" w:space="0"/>
              <w:left w:val="single" w:color="auto" w:sz="6" w:space="0"/>
              <w:bottom w:val="single" w:color="auto" w:sz="6" w:space="0"/>
              <w:right w:val="single" w:color="auto" w:sz="4" w:space="0"/>
            </w:tcBorders>
            <w:noWrap w:val="0"/>
            <w:vAlign w:val="top"/>
          </w:tcPr>
          <w:p w14:paraId="6CBF8018">
            <w:pPr>
              <w:autoSpaceDE w:val="0"/>
              <w:autoSpaceDN w:val="0"/>
              <w:adjustRightInd w:val="0"/>
              <w:snapToGrid w:val="0"/>
              <w:spacing w:line="360" w:lineRule="auto"/>
              <w:jc w:val="left"/>
              <w:rPr>
                <w:rFonts w:ascii="宋体" w:hAnsi="宋体"/>
                <w:kern w:val="0"/>
                <w:szCs w:val="21"/>
              </w:rPr>
            </w:pPr>
          </w:p>
        </w:tc>
        <w:tc>
          <w:tcPr>
            <w:tcW w:w="997" w:type="dxa"/>
            <w:tcBorders>
              <w:top w:val="single" w:color="auto" w:sz="6" w:space="0"/>
              <w:left w:val="single" w:color="auto" w:sz="6" w:space="0"/>
              <w:bottom w:val="single" w:color="auto" w:sz="6" w:space="0"/>
              <w:right w:val="single" w:color="auto" w:sz="6" w:space="0"/>
            </w:tcBorders>
            <w:noWrap w:val="0"/>
            <w:vAlign w:val="top"/>
          </w:tcPr>
          <w:p w14:paraId="1E95540A">
            <w:pPr>
              <w:autoSpaceDE w:val="0"/>
              <w:autoSpaceDN w:val="0"/>
              <w:adjustRightInd w:val="0"/>
              <w:snapToGrid w:val="0"/>
              <w:spacing w:line="360" w:lineRule="auto"/>
              <w:jc w:val="left"/>
              <w:rPr>
                <w:rFonts w:ascii="宋体" w:hAnsi="宋体"/>
                <w:kern w:val="0"/>
                <w:szCs w:val="21"/>
              </w:rPr>
            </w:pPr>
          </w:p>
        </w:tc>
        <w:tc>
          <w:tcPr>
            <w:tcW w:w="1007" w:type="dxa"/>
            <w:tcBorders>
              <w:top w:val="single" w:color="auto" w:sz="6" w:space="0"/>
              <w:left w:val="single" w:color="auto" w:sz="6" w:space="0"/>
              <w:bottom w:val="single" w:color="auto" w:sz="6" w:space="0"/>
              <w:right w:val="single" w:color="auto" w:sz="6" w:space="0"/>
            </w:tcBorders>
            <w:noWrap w:val="0"/>
            <w:vAlign w:val="top"/>
          </w:tcPr>
          <w:p w14:paraId="50A445DE">
            <w:pPr>
              <w:autoSpaceDE w:val="0"/>
              <w:autoSpaceDN w:val="0"/>
              <w:adjustRightInd w:val="0"/>
              <w:snapToGrid w:val="0"/>
              <w:spacing w:line="360" w:lineRule="auto"/>
              <w:jc w:val="left"/>
              <w:rPr>
                <w:rFonts w:ascii="宋体" w:hAnsi="宋体"/>
                <w:kern w:val="0"/>
                <w:szCs w:val="21"/>
              </w:rPr>
            </w:pPr>
          </w:p>
        </w:tc>
        <w:tc>
          <w:tcPr>
            <w:tcW w:w="1002" w:type="dxa"/>
            <w:tcBorders>
              <w:top w:val="single" w:color="auto" w:sz="6" w:space="0"/>
              <w:left w:val="single" w:color="auto" w:sz="6" w:space="0"/>
              <w:bottom w:val="single" w:color="auto" w:sz="6" w:space="0"/>
              <w:right w:val="double" w:color="auto" w:sz="4" w:space="0"/>
            </w:tcBorders>
            <w:noWrap w:val="0"/>
            <w:vAlign w:val="top"/>
          </w:tcPr>
          <w:p w14:paraId="4C209E72">
            <w:pPr>
              <w:autoSpaceDE w:val="0"/>
              <w:autoSpaceDN w:val="0"/>
              <w:adjustRightInd w:val="0"/>
              <w:snapToGrid w:val="0"/>
              <w:spacing w:line="360" w:lineRule="auto"/>
              <w:jc w:val="left"/>
              <w:rPr>
                <w:rFonts w:ascii="宋体" w:hAnsi="宋体"/>
                <w:kern w:val="0"/>
                <w:szCs w:val="21"/>
              </w:rPr>
            </w:pPr>
          </w:p>
        </w:tc>
      </w:tr>
      <w:tr w14:paraId="3FF1B338">
        <w:tblPrEx>
          <w:tblCellMar>
            <w:top w:w="0" w:type="dxa"/>
            <w:left w:w="0" w:type="dxa"/>
            <w:bottom w:w="0" w:type="dxa"/>
            <w:right w:w="0" w:type="dxa"/>
          </w:tblCellMar>
        </w:tblPrEx>
        <w:trPr>
          <w:trHeight w:val="603" w:hRule="exact"/>
        </w:trPr>
        <w:tc>
          <w:tcPr>
            <w:tcW w:w="364" w:type="dxa"/>
            <w:tcBorders>
              <w:top w:val="single" w:color="auto" w:sz="6" w:space="0"/>
              <w:left w:val="double" w:color="auto" w:sz="4" w:space="0"/>
              <w:bottom w:val="single" w:color="auto" w:sz="6" w:space="0"/>
              <w:right w:val="single" w:color="auto" w:sz="6" w:space="0"/>
            </w:tcBorders>
            <w:noWrap w:val="0"/>
            <w:vAlign w:val="center"/>
          </w:tcPr>
          <w:p w14:paraId="3E079FB6">
            <w:pPr>
              <w:jc w:val="center"/>
              <w:rPr>
                <w:rFonts w:ascii="宋体" w:hAnsi="宋体" w:cs="宋体"/>
              </w:rPr>
            </w:pPr>
            <w:r>
              <w:rPr>
                <w:rFonts w:hint="eastAsia" w:ascii="宋体" w:hAnsi="宋体" w:cs="宋体"/>
              </w:rPr>
              <w:t>2</w:t>
            </w:r>
          </w:p>
        </w:tc>
        <w:tc>
          <w:tcPr>
            <w:tcW w:w="1519" w:type="dxa"/>
            <w:tcBorders>
              <w:top w:val="single" w:color="auto" w:sz="6" w:space="0"/>
              <w:left w:val="single" w:color="auto" w:sz="6" w:space="0"/>
              <w:bottom w:val="single" w:color="auto" w:sz="6" w:space="0"/>
              <w:right w:val="single" w:color="auto" w:sz="6" w:space="0"/>
            </w:tcBorders>
            <w:noWrap w:val="0"/>
            <w:vAlign w:val="center"/>
          </w:tcPr>
          <w:p w14:paraId="61B13FA7">
            <w:pPr>
              <w:autoSpaceDE w:val="0"/>
              <w:autoSpaceDN w:val="0"/>
              <w:adjustRightInd w:val="0"/>
              <w:snapToGrid w:val="0"/>
              <w:spacing w:line="360" w:lineRule="auto"/>
              <w:jc w:val="center"/>
              <w:rPr>
                <w:rFonts w:ascii="宋体" w:hAnsi="宋体"/>
                <w:kern w:val="0"/>
                <w:szCs w:val="21"/>
              </w:rPr>
            </w:pPr>
          </w:p>
        </w:tc>
        <w:tc>
          <w:tcPr>
            <w:tcW w:w="2334" w:type="dxa"/>
            <w:tcBorders>
              <w:top w:val="single" w:color="auto" w:sz="6" w:space="0"/>
              <w:left w:val="single" w:color="auto" w:sz="6" w:space="0"/>
              <w:bottom w:val="single" w:color="auto" w:sz="6" w:space="0"/>
              <w:right w:val="single" w:color="auto" w:sz="4" w:space="0"/>
            </w:tcBorders>
            <w:noWrap w:val="0"/>
            <w:vAlign w:val="top"/>
          </w:tcPr>
          <w:p w14:paraId="3EDE717E">
            <w:pPr>
              <w:autoSpaceDE w:val="0"/>
              <w:autoSpaceDN w:val="0"/>
              <w:adjustRightInd w:val="0"/>
              <w:snapToGrid w:val="0"/>
              <w:spacing w:line="360" w:lineRule="auto"/>
              <w:jc w:val="left"/>
              <w:rPr>
                <w:rFonts w:ascii="宋体" w:hAnsi="宋体"/>
                <w:kern w:val="0"/>
                <w:szCs w:val="21"/>
              </w:rPr>
            </w:pPr>
          </w:p>
        </w:tc>
        <w:tc>
          <w:tcPr>
            <w:tcW w:w="1317" w:type="dxa"/>
            <w:tcBorders>
              <w:top w:val="single" w:color="auto" w:sz="6" w:space="0"/>
              <w:left w:val="single" w:color="auto" w:sz="4" w:space="0"/>
              <w:bottom w:val="single" w:color="auto" w:sz="6" w:space="0"/>
              <w:right w:val="single" w:color="auto" w:sz="6" w:space="0"/>
            </w:tcBorders>
            <w:noWrap w:val="0"/>
            <w:vAlign w:val="top"/>
          </w:tcPr>
          <w:p w14:paraId="51EDB9ED">
            <w:pPr>
              <w:autoSpaceDE w:val="0"/>
              <w:autoSpaceDN w:val="0"/>
              <w:adjustRightInd w:val="0"/>
              <w:snapToGrid w:val="0"/>
              <w:spacing w:line="360" w:lineRule="auto"/>
              <w:jc w:val="left"/>
              <w:rPr>
                <w:rFonts w:ascii="宋体" w:hAnsi="宋体"/>
                <w:kern w:val="0"/>
                <w:szCs w:val="21"/>
              </w:rPr>
            </w:pPr>
          </w:p>
        </w:tc>
        <w:tc>
          <w:tcPr>
            <w:tcW w:w="1198" w:type="dxa"/>
            <w:tcBorders>
              <w:top w:val="single" w:color="auto" w:sz="6" w:space="0"/>
              <w:left w:val="single" w:color="auto" w:sz="6" w:space="0"/>
              <w:bottom w:val="single" w:color="auto" w:sz="6" w:space="0"/>
              <w:right w:val="single" w:color="auto" w:sz="4" w:space="0"/>
            </w:tcBorders>
            <w:noWrap w:val="0"/>
            <w:vAlign w:val="top"/>
          </w:tcPr>
          <w:p w14:paraId="21D875C1">
            <w:pPr>
              <w:autoSpaceDE w:val="0"/>
              <w:autoSpaceDN w:val="0"/>
              <w:adjustRightInd w:val="0"/>
              <w:snapToGrid w:val="0"/>
              <w:spacing w:line="360" w:lineRule="auto"/>
              <w:jc w:val="left"/>
              <w:rPr>
                <w:rFonts w:ascii="宋体" w:hAnsi="宋体"/>
                <w:kern w:val="0"/>
                <w:szCs w:val="21"/>
              </w:rPr>
            </w:pPr>
          </w:p>
        </w:tc>
        <w:tc>
          <w:tcPr>
            <w:tcW w:w="997" w:type="dxa"/>
            <w:tcBorders>
              <w:top w:val="single" w:color="auto" w:sz="6" w:space="0"/>
              <w:left w:val="single" w:color="auto" w:sz="6" w:space="0"/>
              <w:bottom w:val="single" w:color="auto" w:sz="6" w:space="0"/>
              <w:right w:val="single" w:color="auto" w:sz="6" w:space="0"/>
            </w:tcBorders>
            <w:noWrap w:val="0"/>
            <w:vAlign w:val="top"/>
          </w:tcPr>
          <w:p w14:paraId="6FE378D8">
            <w:pPr>
              <w:autoSpaceDE w:val="0"/>
              <w:autoSpaceDN w:val="0"/>
              <w:adjustRightInd w:val="0"/>
              <w:snapToGrid w:val="0"/>
              <w:spacing w:line="360" w:lineRule="auto"/>
              <w:jc w:val="left"/>
              <w:rPr>
                <w:rFonts w:ascii="宋体" w:hAnsi="宋体"/>
                <w:kern w:val="0"/>
                <w:szCs w:val="21"/>
              </w:rPr>
            </w:pPr>
          </w:p>
        </w:tc>
        <w:tc>
          <w:tcPr>
            <w:tcW w:w="1007" w:type="dxa"/>
            <w:tcBorders>
              <w:top w:val="single" w:color="auto" w:sz="6" w:space="0"/>
              <w:left w:val="single" w:color="auto" w:sz="6" w:space="0"/>
              <w:bottom w:val="single" w:color="auto" w:sz="6" w:space="0"/>
              <w:right w:val="single" w:color="auto" w:sz="6" w:space="0"/>
            </w:tcBorders>
            <w:noWrap w:val="0"/>
            <w:vAlign w:val="top"/>
          </w:tcPr>
          <w:p w14:paraId="01C8A392">
            <w:pPr>
              <w:autoSpaceDE w:val="0"/>
              <w:autoSpaceDN w:val="0"/>
              <w:adjustRightInd w:val="0"/>
              <w:snapToGrid w:val="0"/>
              <w:spacing w:line="360" w:lineRule="auto"/>
              <w:jc w:val="left"/>
              <w:rPr>
                <w:rFonts w:ascii="宋体" w:hAnsi="宋体"/>
                <w:kern w:val="0"/>
                <w:szCs w:val="21"/>
              </w:rPr>
            </w:pPr>
          </w:p>
        </w:tc>
        <w:tc>
          <w:tcPr>
            <w:tcW w:w="1002" w:type="dxa"/>
            <w:tcBorders>
              <w:top w:val="single" w:color="auto" w:sz="6" w:space="0"/>
              <w:left w:val="single" w:color="auto" w:sz="6" w:space="0"/>
              <w:bottom w:val="single" w:color="auto" w:sz="6" w:space="0"/>
              <w:right w:val="double" w:color="auto" w:sz="4" w:space="0"/>
            </w:tcBorders>
            <w:noWrap w:val="0"/>
            <w:vAlign w:val="top"/>
          </w:tcPr>
          <w:p w14:paraId="2BC84355">
            <w:pPr>
              <w:autoSpaceDE w:val="0"/>
              <w:autoSpaceDN w:val="0"/>
              <w:adjustRightInd w:val="0"/>
              <w:snapToGrid w:val="0"/>
              <w:spacing w:line="360" w:lineRule="auto"/>
              <w:jc w:val="left"/>
              <w:rPr>
                <w:rFonts w:ascii="宋体" w:hAnsi="宋体"/>
                <w:kern w:val="0"/>
                <w:szCs w:val="21"/>
              </w:rPr>
            </w:pPr>
          </w:p>
        </w:tc>
      </w:tr>
      <w:tr w14:paraId="41A92B18">
        <w:tblPrEx>
          <w:tblCellMar>
            <w:top w:w="0" w:type="dxa"/>
            <w:left w:w="0" w:type="dxa"/>
            <w:bottom w:w="0" w:type="dxa"/>
            <w:right w:w="0" w:type="dxa"/>
          </w:tblCellMar>
        </w:tblPrEx>
        <w:trPr>
          <w:trHeight w:val="603" w:hRule="exact"/>
        </w:trPr>
        <w:tc>
          <w:tcPr>
            <w:tcW w:w="364" w:type="dxa"/>
            <w:tcBorders>
              <w:top w:val="single" w:color="auto" w:sz="6" w:space="0"/>
              <w:left w:val="double" w:color="auto" w:sz="4" w:space="0"/>
              <w:bottom w:val="single" w:color="auto" w:sz="6" w:space="0"/>
              <w:right w:val="single" w:color="auto" w:sz="6" w:space="0"/>
            </w:tcBorders>
            <w:noWrap w:val="0"/>
            <w:vAlign w:val="center"/>
          </w:tcPr>
          <w:p w14:paraId="0BBDA042">
            <w:pPr>
              <w:jc w:val="center"/>
              <w:rPr>
                <w:rFonts w:ascii="宋体" w:hAnsi="宋体" w:cs="宋体"/>
              </w:rPr>
            </w:pPr>
            <w:r>
              <w:rPr>
                <w:rFonts w:hint="eastAsia" w:ascii="宋体" w:hAnsi="宋体" w:cs="宋体"/>
              </w:rPr>
              <w:t>3</w:t>
            </w:r>
          </w:p>
        </w:tc>
        <w:tc>
          <w:tcPr>
            <w:tcW w:w="1519" w:type="dxa"/>
            <w:tcBorders>
              <w:top w:val="single" w:color="auto" w:sz="6" w:space="0"/>
              <w:left w:val="single" w:color="auto" w:sz="6" w:space="0"/>
              <w:bottom w:val="single" w:color="auto" w:sz="6" w:space="0"/>
              <w:right w:val="single" w:color="auto" w:sz="6" w:space="0"/>
            </w:tcBorders>
            <w:noWrap w:val="0"/>
            <w:vAlign w:val="center"/>
          </w:tcPr>
          <w:p w14:paraId="5CFF0CD6">
            <w:pPr>
              <w:autoSpaceDE w:val="0"/>
              <w:autoSpaceDN w:val="0"/>
              <w:adjustRightInd w:val="0"/>
              <w:snapToGrid w:val="0"/>
              <w:spacing w:line="360" w:lineRule="auto"/>
              <w:jc w:val="center"/>
              <w:rPr>
                <w:rFonts w:ascii="宋体" w:hAnsi="宋体"/>
                <w:kern w:val="0"/>
                <w:szCs w:val="21"/>
              </w:rPr>
            </w:pPr>
          </w:p>
        </w:tc>
        <w:tc>
          <w:tcPr>
            <w:tcW w:w="2334" w:type="dxa"/>
            <w:tcBorders>
              <w:top w:val="single" w:color="auto" w:sz="6" w:space="0"/>
              <w:left w:val="single" w:color="auto" w:sz="6" w:space="0"/>
              <w:bottom w:val="single" w:color="auto" w:sz="6" w:space="0"/>
              <w:right w:val="single" w:color="auto" w:sz="4" w:space="0"/>
            </w:tcBorders>
            <w:noWrap w:val="0"/>
            <w:vAlign w:val="top"/>
          </w:tcPr>
          <w:p w14:paraId="08A55F0D">
            <w:pPr>
              <w:autoSpaceDE w:val="0"/>
              <w:autoSpaceDN w:val="0"/>
              <w:adjustRightInd w:val="0"/>
              <w:snapToGrid w:val="0"/>
              <w:spacing w:line="360" w:lineRule="auto"/>
              <w:jc w:val="left"/>
              <w:rPr>
                <w:rFonts w:ascii="宋体" w:hAnsi="宋体"/>
                <w:kern w:val="0"/>
                <w:szCs w:val="21"/>
              </w:rPr>
            </w:pPr>
          </w:p>
        </w:tc>
        <w:tc>
          <w:tcPr>
            <w:tcW w:w="1317" w:type="dxa"/>
            <w:tcBorders>
              <w:top w:val="single" w:color="auto" w:sz="6" w:space="0"/>
              <w:left w:val="single" w:color="auto" w:sz="4" w:space="0"/>
              <w:bottom w:val="single" w:color="auto" w:sz="6" w:space="0"/>
              <w:right w:val="single" w:color="auto" w:sz="6" w:space="0"/>
            </w:tcBorders>
            <w:noWrap w:val="0"/>
            <w:vAlign w:val="top"/>
          </w:tcPr>
          <w:p w14:paraId="3F27FDD9">
            <w:pPr>
              <w:autoSpaceDE w:val="0"/>
              <w:autoSpaceDN w:val="0"/>
              <w:adjustRightInd w:val="0"/>
              <w:snapToGrid w:val="0"/>
              <w:spacing w:line="360" w:lineRule="auto"/>
              <w:jc w:val="left"/>
              <w:rPr>
                <w:rFonts w:ascii="宋体" w:hAnsi="宋体"/>
                <w:kern w:val="0"/>
                <w:szCs w:val="21"/>
              </w:rPr>
            </w:pPr>
          </w:p>
        </w:tc>
        <w:tc>
          <w:tcPr>
            <w:tcW w:w="1198" w:type="dxa"/>
            <w:tcBorders>
              <w:top w:val="single" w:color="auto" w:sz="6" w:space="0"/>
              <w:left w:val="single" w:color="auto" w:sz="6" w:space="0"/>
              <w:bottom w:val="single" w:color="auto" w:sz="6" w:space="0"/>
              <w:right w:val="single" w:color="auto" w:sz="4" w:space="0"/>
            </w:tcBorders>
            <w:noWrap w:val="0"/>
            <w:vAlign w:val="top"/>
          </w:tcPr>
          <w:p w14:paraId="56B85A4A">
            <w:pPr>
              <w:autoSpaceDE w:val="0"/>
              <w:autoSpaceDN w:val="0"/>
              <w:adjustRightInd w:val="0"/>
              <w:snapToGrid w:val="0"/>
              <w:spacing w:line="360" w:lineRule="auto"/>
              <w:jc w:val="left"/>
              <w:rPr>
                <w:rFonts w:ascii="宋体" w:hAnsi="宋体"/>
                <w:kern w:val="0"/>
                <w:szCs w:val="21"/>
              </w:rPr>
            </w:pPr>
          </w:p>
        </w:tc>
        <w:tc>
          <w:tcPr>
            <w:tcW w:w="997" w:type="dxa"/>
            <w:tcBorders>
              <w:top w:val="single" w:color="auto" w:sz="6" w:space="0"/>
              <w:left w:val="single" w:color="auto" w:sz="6" w:space="0"/>
              <w:bottom w:val="single" w:color="auto" w:sz="6" w:space="0"/>
              <w:right w:val="single" w:color="auto" w:sz="6" w:space="0"/>
            </w:tcBorders>
            <w:noWrap w:val="0"/>
            <w:vAlign w:val="top"/>
          </w:tcPr>
          <w:p w14:paraId="140234BF">
            <w:pPr>
              <w:autoSpaceDE w:val="0"/>
              <w:autoSpaceDN w:val="0"/>
              <w:adjustRightInd w:val="0"/>
              <w:snapToGrid w:val="0"/>
              <w:spacing w:line="360" w:lineRule="auto"/>
              <w:jc w:val="left"/>
              <w:rPr>
                <w:rFonts w:ascii="宋体" w:hAnsi="宋体"/>
                <w:kern w:val="0"/>
                <w:szCs w:val="21"/>
              </w:rPr>
            </w:pPr>
          </w:p>
        </w:tc>
        <w:tc>
          <w:tcPr>
            <w:tcW w:w="1007" w:type="dxa"/>
            <w:tcBorders>
              <w:top w:val="single" w:color="auto" w:sz="6" w:space="0"/>
              <w:left w:val="single" w:color="auto" w:sz="6" w:space="0"/>
              <w:bottom w:val="single" w:color="auto" w:sz="6" w:space="0"/>
              <w:right w:val="single" w:color="auto" w:sz="6" w:space="0"/>
            </w:tcBorders>
            <w:noWrap w:val="0"/>
            <w:vAlign w:val="top"/>
          </w:tcPr>
          <w:p w14:paraId="047FC869">
            <w:pPr>
              <w:autoSpaceDE w:val="0"/>
              <w:autoSpaceDN w:val="0"/>
              <w:adjustRightInd w:val="0"/>
              <w:snapToGrid w:val="0"/>
              <w:spacing w:line="360" w:lineRule="auto"/>
              <w:jc w:val="left"/>
              <w:rPr>
                <w:rFonts w:ascii="宋体" w:hAnsi="宋体"/>
                <w:kern w:val="0"/>
                <w:szCs w:val="21"/>
              </w:rPr>
            </w:pPr>
          </w:p>
        </w:tc>
        <w:tc>
          <w:tcPr>
            <w:tcW w:w="1002" w:type="dxa"/>
            <w:tcBorders>
              <w:top w:val="single" w:color="auto" w:sz="6" w:space="0"/>
              <w:left w:val="single" w:color="auto" w:sz="6" w:space="0"/>
              <w:bottom w:val="single" w:color="auto" w:sz="6" w:space="0"/>
              <w:right w:val="double" w:color="auto" w:sz="4" w:space="0"/>
            </w:tcBorders>
            <w:noWrap w:val="0"/>
            <w:vAlign w:val="top"/>
          </w:tcPr>
          <w:p w14:paraId="0AF287D4">
            <w:pPr>
              <w:autoSpaceDE w:val="0"/>
              <w:autoSpaceDN w:val="0"/>
              <w:adjustRightInd w:val="0"/>
              <w:snapToGrid w:val="0"/>
              <w:spacing w:line="360" w:lineRule="auto"/>
              <w:jc w:val="left"/>
              <w:rPr>
                <w:rFonts w:ascii="宋体" w:hAnsi="宋体"/>
                <w:kern w:val="0"/>
                <w:szCs w:val="21"/>
              </w:rPr>
            </w:pPr>
          </w:p>
        </w:tc>
      </w:tr>
      <w:tr w14:paraId="7B84983F">
        <w:tblPrEx>
          <w:tblCellMar>
            <w:top w:w="0" w:type="dxa"/>
            <w:left w:w="0" w:type="dxa"/>
            <w:bottom w:w="0" w:type="dxa"/>
            <w:right w:w="0" w:type="dxa"/>
          </w:tblCellMar>
        </w:tblPrEx>
        <w:trPr>
          <w:trHeight w:val="603" w:hRule="exact"/>
        </w:trPr>
        <w:tc>
          <w:tcPr>
            <w:tcW w:w="364" w:type="dxa"/>
            <w:tcBorders>
              <w:top w:val="single" w:color="auto" w:sz="6" w:space="0"/>
              <w:left w:val="double" w:color="auto" w:sz="4" w:space="0"/>
              <w:bottom w:val="single" w:color="auto" w:sz="6" w:space="0"/>
              <w:right w:val="single" w:color="auto" w:sz="6" w:space="0"/>
            </w:tcBorders>
            <w:noWrap w:val="0"/>
            <w:vAlign w:val="center"/>
          </w:tcPr>
          <w:p w14:paraId="2ED83E5E">
            <w:pPr>
              <w:jc w:val="center"/>
              <w:rPr>
                <w:rFonts w:ascii="宋体" w:hAnsi="宋体" w:cs="宋体"/>
              </w:rPr>
            </w:pPr>
            <w:r>
              <w:rPr>
                <w:rFonts w:hint="eastAsia" w:ascii="宋体" w:hAnsi="宋体" w:cs="宋体"/>
              </w:rPr>
              <w:t>4</w:t>
            </w:r>
          </w:p>
        </w:tc>
        <w:tc>
          <w:tcPr>
            <w:tcW w:w="1519" w:type="dxa"/>
            <w:tcBorders>
              <w:top w:val="single" w:color="auto" w:sz="6" w:space="0"/>
              <w:left w:val="single" w:color="auto" w:sz="6" w:space="0"/>
              <w:bottom w:val="single" w:color="auto" w:sz="6" w:space="0"/>
              <w:right w:val="single" w:color="auto" w:sz="6" w:space="0"/>
            </w:tcBorders>
            <w:noWrap w:val="0"/>
            <w:vAlign w:val="center"/>
          </w:tcPr>
          <w:p w14:paraId="2AB64BD6">
            <w:pPr>
              <w:autoSpaceDE w:val="0"/>
              <w:autoSpaceDN w:val="0"/>
              <w:adjustRightInd w:val="0"/>
              <w:snapToGrid w:val="0"/>
              <w:spacing w:line="360" w:lineRule="auto"/>
              <w:jc w:val="center"/>
              <w:rPr>
                <w:rFonts w:ascii="宋体" w:hAnsi="宋体"/>
                <w:kern w:val="0"/>
                <w:szCs w:val="21"/>
              </w:rPr>
            </w:pPr>
          </w:p>
        </w:tc>
        <w:tc>
          <w:tcPr>
            <w:tcW w:w="2334" w:type="dxa"/>
            <w:tcBorders>
              <w:top w:val="single" w:color="auto" w:sz="6" w:space="0"/>
              <w:left w:val="single" w:color="auto" w:sz="6" w:space="0"/>
              <w:bottom w:val="single" w:color="auto" w:sz="6" w:space="0"/>
              <w:right w:val="single" w:color="auto" w:sz="4" w:space="0"/>
            </w:tcBorders>
            <w:noWrap w:val="0"/>
            <w:vAlign w:val="top"/>
          </w:tcPr>
          <w:p w14:paraId="25DD049A">
            <w:pPr>
              <w:autoSpaceDE w:val="0"/>
              <w:autoSpaceDN w:val="0"/>
              <w:adjustRightInd w:val="0"/>
              <w:snapToGrid w:val="0"/>
              <w:spacing w:line="360" w:lineRule="auto"/>
              <w:jc w:val="left"/>
              <w:rPr>
                <w:rFonts w:ascii="宋体" w:hAnsi="宋体"/>
                <w:kern w:val="0"/>
                <w:szCs w:val="21"/>
              </w:rPr>
            </w:pPr>
          </w:p>
        </w:tc>
        <w:tc>
          <w:tcPr>
            <w:tcW w:w="1317" w:type="dxa"/>
            <w:tcBorders>
              <w:top w:val="single" w:color="auto" w:sz="6" w:space="0"/>
              <w:left w:val="single" w:color="auto" w:sz="4" w:space="0"/>
              <w:bottom w:val="single" w:color="auto" w:sz="6" w:space="0"/>
              <w:right w:val="single" w:color="auto" w:sz="6" w:space="0"/>
            </w:tcBorders>
            <w:noWrap w:val="0"/>
            <w:vAlign w:val="top"/>
          </w:tcPr>
          <w:p w14:paraId="346260A8">
            <w:pPr>
              <w:autoSpaceDE w:val="0"/>
              <w:autoSpaceDN w:val="0"/>
              <w:adjustRightInd w:val="0"/>
              <w:snapToGrid w:val="0"/>
              <w:spacing w:line="360" w:lineRule="auto"/>
              <w:jc w:val="left"/>
              <w:rPr>
                <w:rFonts w:ascii="宋体" w:hAnsi="宋体"/>
                <w:kern w:val="0"/>
                <w:szCs w:val="21"/>
              </w:rPr>
            </w:pPr>
          </w:p>
        </w:tc>
        <w:tc>
          <w:tcPr>
            <w:tcW w:w="1198" w:type="dxa"/>
            <w:tcBorders>
              <w:top w:val="single" w:color="auto" w:sz="6" w:space="0"/>
              <w:left w:val="single" w:color="auto" w:sz="6" w:space="0"/>
              <w:bottom w:val="single" w:color="auto" w:sz="6" w:space="0"/>
              <w:right w:val="single" w:color="auto" w:sz="4" w:space="0"/>
            </w:tcBorders>
            <w:noWrap w:val="0"/>
            <w:vAlign w:val="top"/>
          </w:tcPr>
          <w:p w14:paraId="4B9465A6">
            <w:pPr>
              <w:autoSpaceDE w:val="0"/>
              <w:autoSpaceDN w:val="0"/>
              <w:adjustRightInd w:val="0"/>
              <w:snapToGrid w:val="0"/>
              <w:spacing w:line="360" w:lineRule="auto"/>
              <w:jc w:val="left"/>
              <w:rPr>
                <w:rFonts w:ascii="宋体" w:hAnsi="宋体"/>
                <w:kern w:val="0"/>
                <w:szCs w:val="21"/>
              </w:rPr>
            </w:pPr>
          </w:p>
        </w:tc>
        <w:tc>
          <w:tcPr>
            <w:tcW w:w="997" w:type="dxa"/>
            <w:tcBorders>
              <w:top w:val="single" w:color="auto" w:sz="6" w:space="0"/>
              <w:left w:val="single" w:color="auto" w:sz="4" w:space="0"/>
              <w:bottom w:val="single" w:color="auto" w:sz="6" w:space="0"/>
              <w:right w:val="single" w:color="auto" w:sz="6" w:space="0"/>
            </w:tcBorders>
            <w:noWrap w:val="0"/>
            <w:vAlign w:val="top"/>
          </w:tcPr>
          <w:p w14:paraId="60E09B67">
            <w:pPr>
              <w:autoSpaceDE w:val="0"/>
              <w:autoSpaceDN w:val="0"/>
              <w:adjustRightInd w:val="0"/>
              <w:snapToGrid w:val="0"/>
              <w:spacing w:line="360" w:lineRule="auto"/>
              <w:jc w:val="left"/>
              <w:rPr>
                <w:rFonts w:ascii="宋体" w:hAnsi="宋体"/>
                <w:kern w:val="0"/>
                <w:szCs w:val="21"/>
              </w:rPr>
            </w:pPr>
          </w:p>
        </w:tc>
        <w:tc>
          <w:tcPr>
            <w:tcW w:w="1007" w:type="dxa"/>
            <w:tcBorders>
              <w:top w:val="single" w:color="auto" w:sz="6" w:space="0"/>
              <w:left w:val="single" w:color="auto" w:sz="6" w:space="0"/>
              <w:bottom w:val="single" w:color="auto" w:sz="6" w:space="0"/>
              <w:right w:val="single" w:color="auto" w:sz="6" w:space="0"/>
            </w:tcBorders>
            <w:noWrap w:val="0"/>
            <w:vAlign w:val="top"/>
          </w:tcPr>
          <w:p w14:paraId="0707CFC9">
            <w:pPr>
              <w:autoSpaceDE w:val="0"/>
              <w:autoSpaceDN w:val="0"/>
              <w:adjustRightInd w:val="0"/>
              <w:snapToGrid w:val="0"/>
              <w:spacing w:line="360" w:lineRule="auto"/>
              <w:jc w:val="left"/>
              <w:rPr>
                <w:rFonts w:ascii="宋体" w:hAnsi="宋体"/>
                <w:kern w:val="0"/>
                <w:szCs w:val="21"/>
              </w:rPr>
            </w:pPr>
          </w:p>
        </w:tc>
        <w:tc>
          <w:tcPr>
            <w:tcW w:w="1002" w:type="dxa"/>
            <w:tcBorders>
              <w:top w:val="single" w:color="auto" w:sz="6" w:space="0"/>
              <w:left w:val="single" w:color="auto" w:sz="6" w:space="0"/>
              <w:bottom w:val="single" w:color="auto" w:sz="6" w:space="0"/>
              <w:right w:val="double" w:color="auto" w:sz="4" w:space="0"/>
            </w:tcBorders>
            <w:noWrap w:val="0"/>
            <w:vAlign w:val="top"/>
          </w:tcPr>
          <w:p w14:paraId="1BAB716B">
            <w:pPr>
              <w:autoSpaceDE w:val="0"/>
              <w:autoSpaceDN w:val="0"/>
              <w:adjustRightInd w:val="0"/>
              <w:snapToGrid w:val="0"/>
              <w:spacing w:line="360" w:lineRule="auto"/>
              <w:jc w:val="left"/>
              <w:rPr>
                <w:rFonts w:ascii="宋体" w:hAnsi="宋体"/>
                <w:kern w:val="0"/>
                <w:szCs w:val="21"/>
              </w:rPr>
            </w:pPr>
          </w:p>
        </w:tc>
      </w:tr>
      <w:tr w14:paraId="4A6EB0EE">
        <w:tblPrEx>
          <w:tblCellMar>
            <w:top w:w="0" w:type="dxa"/>
            <w:left w:w="0" w:type="dxa"/>
            <w:bottom w:w="0" w:type="dxa"/>
            <w:right w:w="0" w:type="dxa"/>
          </w:tblCellMar>
        </w:tblPrEx>
        <w:trPr>
          <w:trHeight w:val="603" w:hRule="exact"/>
        </w:trPr>
        <w:tc>
          <w:tcPr>
            <w:tcW w:w="364" w:type="dxa"/>
            <w:tcBorders>
              <w:top w:val="single" w:color="auto" w:sz="6" w:space="0"/>
              <w:left w:val="double" w:color="auto" w:sz="4" w:space="0"/>
              <w:bottom w:val="single" w:color="auto" w:sz="6" w:space="0"/>
              <w:right w:val="single" w:color="auto" w:sz="6" w:space="0"/>
            </w:tcBorders>
            <w:noWrap w:val="0"/>
            <w:vAlign w:val="center"/>
          </w:tcPr>
          <w:p w14:paraId="2E61BBA4">
            <w:pPr>
              <w:jc w:val="center"/>
              <w:rPr>
                <w:rFonts w:ascii="宋体" w:hAnsi="宋体" w:cs="宋体"/>
              </w:rPr>
            </w:pPr>
            <w:r>
              <w:rPr>
                <w:rFonts w:hint="eastAsia" w:ascii="宋体" w:hAnsi="宋体" w:cs="宋体"/>
              </w:rPr>
              <w:t>5</w:t>
            </w:r>
          </w:p>
        </w:tc>
        <w:tc>
          <w:tcPr>
            <w:tcW w:w="1519" w:type="dxa"/>
            <w:tcBorders>
              <w:top w:val="single" w:color="auto" w:sz="6" w:space="0"/>
              <w:left w:val="single" w:color="auto" w:sz="6" w:space="0"/>
              <w:bottom w:val="single" w:color="auto" w:sz="6" w:space="0"/>
              <w:right w:val="single" w:color="auto" w:sz="6" w:space="0"/>
            </w:tcBorders>
            <w:noWrap w:val="0"/>
            <w:vAlign w:val="center"/>
          </w:tcPr>
          <w:p w14:paraId="70E3B1F7">
            <w:pPr>
              <w:autoSpaceDE w:val="0"/>
              <w:autoSpaceDN w:val="0"/>
              <w:adjustRightInd w:val="0"/>
              <w:snapToGrid w:val="0"/>
              <w:spacing w:line="360" w:lineRule="auto"/>
              <w:jc w:val="center"/>
              <w:rPr>
                <w:rFonts w:ascii="宋体" w:hAnsi="宋体"/>
                <w:kern w:val="0"/>
                <w:szCs w:val="21"/>
              </w:rPr>
            </w:pPr>
          </w:p>
        </w:tc>
        <w:tc>
          <w:tcPr>
            <w:tcW w:w="2334" w:type="dxa"/>
            <w:tcBorders>
              <w:top w:val="single" w:color="auto" w:sz="6" w:space="0"/>
              <w:left w:val="single" w:color="auto" w:sz="6" w:space="0"/>
              <w:bottom w:val="single" w:color="auto" w:sz="6" w:space="0"/>
              <w:right w:val="single" w:color="auto" w:sz="4" w:space="0"/>
            </w:tcBorders>
            <w:noWrap w:val="0"/>
            <w:vAlign w:val="top"/>
          </w:tcPr>
          <w:p w14:paraId="2E7BCBD1">
            <w:pPr>
              <w:autoSpaceDE w:val="0"/>
              <w:autoSpaceDN w:val="0"/>
              <w:adjustRightInd w:val="0"/>
              <w:snapToGrid w:val="0"/>
              <w:spacing w:line="360" w:lineRule="auto"/>
              <w:jc w:val="left"/>
              <w:rPr>
                <w:rFonts w:ascii="宋体" w:hAnsi="宋体"/>
                <w:kern w:val="0"/>
                <w:szCs w:val="21"/>
              </w:rPr>
            </w:pPr>
          </w:p>
        </w:tc>
        <w:tc>
          <w:tcPr>
            <w:tcW w:w="1317" w:type="dxa"/>
            <w:tcBorders>
              <w:top w:val="single" w:color="auto" w:sz="6" w:space="0"/>
              <w:left w:val="single" w:color="auto" w:sz="4" w:space="0"/>
              <w:bottom w:val="single" w:color="auto" w:sz="6" w:space="0"/>
              <w:right w:val="single" w:color="auto" w:sz="6" w:space="0"/>
            </w:tcBorders>
            <w:noWrap w:val="0"/>
            <w:vAlign w:val="top"/>
          </w:tcPr>
          <w:p w14:paraId="616152A0">
            <w:pPr>
              <w:autoSpaceDE w:val="0"/>
              <w:autoSpaceDN w:val="0"/>
              <w:adjustRightInd w:val="0"/>
              <w:snapToGrid w:val="0"/>
              <w:spacing w:line="360" w:lineRule="auto"/>
              <w:jc w:val="left"/>
              <w:rPr>
                <w:rFonts w:ascii="宋体" w:hAnsi="宋体"/>
                <w:kern w:val="0"/>
                <w:szCs w:val="21"/>
              </w:rPr>
            </w:pPr>
          </w:p>
        </w:tc>
        <w:tc>
          <w:tcPr>
            <w:tcW w:w="1198" w:type="dxa"/>
            <w:tcBorders>
              <w:top w:val="single" w:color="auto" w:sz="6" w:space="0"/>
              <w:left w:val="single" w:color="auto" w:sz="6" w:space="0"/>
              <w:bottom w:val="single" w:color="auto" w:sz="6" w:space="0"/>
              <w:right w:val="single" w:color="auto" w:sz="4" w:space="0"/>
            </w:tcBorders>
            <w:noWrap w:val="0"/>
            <w:vAlign w:val="top"/>
          </w:tcPr>
          <w:p w14:paraId="7F15F276">
            <w:pPr>
              <w:autoSpaceDE w:val="0"/>
              <w:autoSpaceDN w:val="0"/>
              <w:adjustRightInd w:val="0"/>
              <w:snapToGrid w:val="0"/>
              <w:spacing w:line="360" w:lineRule="auto"/>
              <w:jc w:val="left"/>
              <w:rPr>
                <w:rFonts w:ascii="宋体" w:hAnsi="宋体"/>
                <w:kern w:val="0"/>
                <w:szCs w:val="21"/>
              </w:rPr>
            </w:pPr>
          </w:p>
        </w:tc>
        <w:tc>
          <w:tcPr>
            <w:tcW w:w="997" w:type="dxa"/>
            <w:tcBorders>
              <w:top w:val="single" w:color="auto" w:sz="6" w:space="0"/>
              <w:left w:val="single" w:color="auto" w:sz="4" w:space="0"/>
              <w:bottom w:val="single" w:color="auto" w:sz="6" w:space="0"/>
              <w:right w:val="single" w:color="auto" w:sz="6" w:space="0"/>
            </w:tcBorders>
            <w:noWrap w:val="0"/>
            <w:vAlign w:val="top"/>
          </w:tcPr>
          <w:p w14:paraId="352FCB2B">
            <w:pPr>
              <w:autoSpaceDE w:val="0"/>
              <w:autoSpaceDN w:val="0"/>
              <w:adjustRightInd w:val="0"/>
              <w:snapToGrid w:val="0"/>
              <w:spacing w:line="360" w:lineRule="auto"/>
              <w:jc w:val="left"/>
              <w:rPr>
                <w:rFonts w:ascii="宋体" w:hAnsi="宋体"/>
                <w:kern w:val="0"/>
                <w:szCs w:val="21"/>
              </w:rPr>
            </w:pPr>
          </w:p>
        </w:tc>
        <w:tc>
          <w:tcPr>
            <w:tcW w:w="1007" w:type="dxa"/>
            <w:tcBorders>
              <w:top w:val="single" w:color="auto" w:sz="6" w:space="0"/>
              <w:left w:val="single" w:color="auto" w:sz="6" w:space="0"/>
              <w:bottom w:val="single" w:color="auto" w:sz="6" w:space="0"/>
              <w:right w:val="single" w:color="auto" w:sz="6" w:space="0"/>
            </w:tcBorders>
            <w:noWrap w:val="0"/>
            <w:vAlign w:val="top"/>
          </w:tcPr>
          <w:p w14:paraId="48818815">
            <w:pPr>
              <w:autoSpaceDE w:val="0"/>
              <w:autoSpaceDN w:val="0"/>
              <w:adjustRightInd w:val="0"/>
              <w:snapToGrid w:val="0"/>
              <w:spacing w:line="360" w:lineRule="auto"/>
              <w:jc w:val="left"/>
              <w:rPr>
                <w:rFonts w:ascii="宋体" w:hAnsi="宋体"/>
                <w:kern w:val="0"/>
                <w:szCs w:val="21"/>
              </w:rPr>
            </w:pPr>
          </w:p>
        </w:tc>
        <w:tc>
          <w:tcPr>
            <w:tcW w:w="1002" w:type="dxa"/>
            <w:tcBorders>
              <w:top w:val="single" w:color="auto" w:sz="6" w:space="0"/>
              <w:left w:val="single" w:color="auto" w:sz="6" w:space="0"/>
              <w:bottom w:val="single" w:color="auto" w:sz="6" w:space="0"/>
              <w:right w:val="double" w:color="auto" w:sz="4" w:space="0"/>
            </w:tcBorders>
            <w:noWrap w:val="0"/>
            <w:vAlign w:val="top"/>
          </w:tcPr>
          <w:p w14:paraId="07839A40">
            <w:pPr>
              <w:autoSpaceDE w:val="0"/>
              <w:autoSpaceDN w:val="0"/>
              <w:adjustRightInd w:val="0"/>
              <w:snapToGrid w:val="0"/>
              <w:spacing w:line="360" w:lineRule="auto"/>
              <w:jc w:val="left"/>
              <w:rPr>
                <w:rFonts w:ascii="宋体" w:hAnsi="宋体"/>
                <w:kern w:val="0"/>
                <w:szCs w:val="21"/>
              </w:rPr>
            </w:pPr>
          </w:p>
        </w:tc>
      </w:tr>
      <w:tr w14:paraId="2FB1D983">
        <w:tblPrEx>
          <w:tblCellMar>
            <w:top w:w="0" w:type="dxa"/>
            <w:left w:w="0" w:type="dxa"/>
            <w:bottom w:w="0" w:type="dxa"/>
            <w:right w:w="0" w:type="dxa"/>
          </w:tblCellMar>
        </w:tblPrEx>
        <w:trPr>
          <w:trHeight w:val="603" w:hRule="exact"/>
        </w:trPr>
        <w:tc>
          <w:tcPr>
            <w:tcW w:w="364" w:type="dxa"/>
            <w:tcBorders>
              <w:top w:val="single" w:color="auto" w:sz="6" w:space="0"/>
              <w:left w:val="double" w:color="auto" w:sz="4" w:space="0"/>
              <w:bottom w:val="single" w:color="auto" w:sz="6" w:space="0"/>
              <w:right w:val="single" w:color="auto" w:sz="6" w:space="0"/>
            </w:tcBorders>
            <w:noWrap w:val="0"/>
            <w:vAlign w:val="center"/>
          </w:tcPr>
          <w:p w14:paraId="47753A03">
            <w:pPr>
              <w:jc w:val="center"/>
            </w:pPr>
            <w:r>
              <w:t>…</w:t>
            </w:r>
          </w:p>
        </w:tc>
        <w:tc>
          <w:tcPr>
            <w:tcW w:w="1519" w:type="dxa"/>
            <w:tcBorders>
              <w:top w:val="single" w:color="auto" w:sz="6" w:space="0"/>
              <w:left w:val="single" w:color="auto" w:sz="6" w:space="0"/>
              <w:bottom w:val="single" w:color="auto" w:sz="6" w:space="0"/>
              <w:right w:val="single" w:color="auto" w:sz="6" w:space="0"/>
            </w:tcBorders>
            <w:noWrap w:val="0"/>
            <w:vAlign w:val="top"/>
          </w:tcPr>
          <w:p w14:paraId="2DBA996D">
            <w:pPr>
              <w:autoSpaceDE w:val="0"/>
              <w:autoSpaceDN w:val="0"/>
              <w:adjustRightInd w:val="0"/>
              <w:snapToGrid w:val="0"/>
              <w:spacing w:line="360" w:lineRule="auto"/>
              <w:ind w:left="527" w:right="507"/>
              <w:jc w:val="center"/>
              <w:rPr>
                <w:rFonts w:ascii="宋体" w:hAnsi="宋体"/>
                <w:kern w:val="0"/>
                <w:szCs w:val="21"/>
              </w:rPr>
            </w:pPr>
          </w:p>
        </w:tc>
        <w:tc>
          <w:tcPr>
            <w:tcW w:w="2334" w:type="dxa"/>
            <w:tcBorders>
              <w:top w:val="single" w:color="auto" w:sz="6" w:space="0"/>
              <w:left w:val="single" w:color="auto" w:sz="6" w:space="0"/>
              <w:bottom w:val="single" w:color="auto" w:sz="6" w:space="0"/>
              <w:right w:val="single" w:color="auto" w:sz="4" w:space="0"/>
            </w:tcBorders>
            <w:noWrap w:val="0"/>
            <w:vAlign w:val="top"/>
          </w:tcPr>
          <w:p w14:paraId="40FCEE14">
            <w:pPr>
              <w:autoSpaceDE w:val="0"/>
              <w:autoSpaceDN w:val="0"/>
              <w:adjustRightInd w:val="0"/>
              <w:snapToGrid w:val="0"/>
              <w:spacing w:line="360" w:lineRule="auto"/>
              <w:jc w:val="left"/>
              <w:rPr>
                <w:rFonts w:ascii="宋体" w:hAnsi="宋体"/>
                <w:kern w:val="0"/>
                <w:szCs w:val="21"/>
              </w:rPr>
            </w:pPr>
          </w:p>
        </w:tc>
        <w:tc>
          <w:tcPr>
            <w:tcW w:w="1317" w:type="dxa"/>
            <w:tcBorders>
              <w:top w:val="single" w:color="auto" w:sz="6" w:space="0"/>
              <w:left w:val="single" w:color="auto" w:sz="4" w:space="0"/>
              <w:bottom w:val="single" w:color="auto" w:sz="6" w:space="0"/>
              <w:right w:val="single" w:color="auto" w:sz="6" w:space="0"/>
            </w:tcBorders>
            <w:noWrap w:val="0"/>
            <w:vAlign w:val="top"/>
          </w:tcPr>
          <w:p w14:paraId="1B107FD2">
            <w:pPr>
              <w:autoSpaceDE w:val="0"/>
              <w:autoSpaceDN w:val="0"/>
              <w:adjustRightInd w:val="0"/>
              <w:snapToGrid w:val="0"/>
              <w:spacing w:line="360" w:lineRule="auto"/>
              <w:jc w:val="left"/>
              <w:rPr>
                <w:rFonts w:ascii="宋体" w:hAnsi="宋体"/>
                <w:kern w:val="0"/>
                <w:szCs w:val="21"/>
              </w:rPr>
            </w:pPr>
          </w:p>
        </w:tc>
        <w:tc>
          <w:tcPr>
            <w:tcW w:w="1198" w:type="dxa"/>
            <w:tcBorders>
              <w:top w:val="single" w:color="auto" w:sz="6" w:space="0"/>
              <w:left w:val="single" w:color="auto" w:sz="6" w:space="0"/>
              <w:bottom w:val="single" w:color="auto" w:sz="6" w:space="0"/>
              <w:right w:val="single" w:color="auto" w:sz="4" w:space="0"/>
            </w:tcBorders>
            <w:noWrap w:val="0"/>
            <w:vAlign w:val="top"/>
          </w:tcPr>
          <w:p w14:paraId="4DB25B18">
            <w:pPr>
              <w:autoSpaceDE w:val="0"/>
              <w:autoSpaceDN w:val="0"/>
              <w:adjustRightInd w:val="0"/>
              <w:snapToGrid w:val="0"/>
              <w:spacing w:line="360" w:lineRule="auto"/>
              <w:jc w:val="left"/>
              <w:rPr>
                <w:rFonts w:ascii="宋体" w:hAnsi="宋体"/>
                <w:kern w:val="0"/>
                <w:szCs w:val="21"/>
              </w:rPr>
            </w:pPr>
          </w:p>
        </w:tc>
        <w:tc>
          <w:tcPr>
            <w:tcW w:w="997" w:type="dxa"/>
            <w:tcBorders>
              <w:top w:val="single" w:color="auto" w:sz="6" w:space="0"/>
              <w:left w:val="single" w:color="auto" w:sz="4" w:space="0"/>
              <w:bottom w:val="single" w:color="auto" w:sz="6" w:space="0"/>
              <w:right w:val="single" w:color="auto" w:sz="6" w:space="0"/>
            </w:tcBorders>
            <w:noWrap w:val="0"/>
            <w:vAlign w:val="top"/>
          </w:tcPr>
          <w:p w14:paraId="45E162BC">
            <w:pPr>
              <w:autoSpaceDE w:val="0"/>
              <w:autoSpaceDN w:val="0"/>
              <w:adjustRightInd w:val="0"/>
              <w:snapToGrid w:val="0"/>
              <w:spacing w:line="360" w:lineRule="auto"/>
              <w:jc w:val="left"/>
              <w:rPr>
                <w:rFonts w:ascii="宋体" w:hAnsi="宋体"/>
                <w:kern w:val="0"/>
                <w:szCs w:val="21"/>
              </w:rPr>
            </w:pPr>
          </w:p>
        </w:tc>
        <w:tc>
          <w:tcPr>
            <w:tcW w:w="1007" w:type="dxa"/>
            <w:tcBorders>
              <w:top w:val="single" w:color="auto" w:sz="6" w:space="0"/>
              <w:left w:val="single" w:color="auto" w:sz="6" w:space="0"/>
              <w:bottom w:val="single" w:color="auto" w:sz="6" w:space="0"/>
              <w:right w:val="single" w:color="auto" w:sz="6" w:space="0"/>
            </w:tcBorders>
            <w:noWrap w:val="0"/>
            <w:vAlign w:val="top"/>
          </w:tcPr>
          <w:p w14:paraId="3C81CA1C">
            <w:pPr>
              <w:autoSpaceDE w:val="0"/>
              <w:autoSpaceDN w:val="0"/>
              <w:adjustRightInd w:val="0"/>
              <w:snapToGrid w:val="0"/>
              <w:spacing w:line="360" w:lineRule="auto"/>
              <w:jc w:val="left"/>
              <w:rPr>
                <w:rFonts w:ascii="宋体" w:hAnsi="宋体"/>
                <w:kern w:val="0"/>
                <w:szCs w:val="21"/>
              </w:rPr>
            </w:pPr>
          </w:p>
        </w:tc>
        <w:tc>
          <w:tcPr>
            <w:tcW w:w="1002" w:type="dxa"/>
            <w:tcBorders>
              <w:top w:val="single" w:color="auto" w:sz="6" w:space="0"/>
              <w:left w:val="single" w:color="auto" w:sz="6" w:space="0"/>
              <w:bottom w:val="single" w:color="auto" w:sz="6" w:space="0"/>
              <w:right w:val="double" w:color="auto" w:sz="4" w:space="0"/>
            </w:tcBorders>
            <w:noWrap w:val="0"/>
            <w:vAlign w:val="top"/>
          </w:tcPr>
          <w:p w14:paraId="053EBB55">
            <w:pPr>
              <w:autoSpaceDE w:val="0"/>
              <w:autoSpaceDN w:val="0"/>
              <w:adjustRightInd w:val="0"/>
              <w:snapToGrid w:val="0"/>
              <w:spacing w:line="360" w:lineRule="auto"/>
              <w:jc w:val="left"/>
              <w:rPr>
                <w:rFonts w:ascii="宋体" w:hAnsi="宋体"/>
                <w:kern w:val="0"/>
                <w:szCs w:val="21"/>
              </w:rPr>
            </w:pPr>
          </w:p>
        </w:tc>
      </w:tr>
      <w:tr w14:paraId="54757B44">
        <w:tblPrEx>
          <w:tblCellMar>
            <w:top w:w="0" w:type="dxa"/>
            <w:left w:w="0" w:type="dxa"/>
            <w:bottom w:w="0" w:type="dxa"/>
            <w:right w:w="0" w:type="dxa"/>
          </w:tblCellMar>
        </w:tblPrEx>
        <w:trPr>
          <w:trHeight w:val="709" w:hRule="exact"/>
        </w:trPr>
        <w:tc>
          <w:tcPr>
            <w:tcW w:w="7729" w:type="dxa"/>
            <w:gridSpan w:val="6"/>
            <w:tcBorders>
              <w:top w:val="single" w:color="auto" w:sz="6" w:space="0"/>
              <w:left w:val="double" w:color="auto" w:sz="4" w:space="0"/>
              <w:bottom w:val="double" w:color="auto" w:sz="4" w:space="0"/>
              <w:right w:val="single" w:color="auto" w:sz="6" w:space="0"/>
            </w:tcBorders>
            <w:noWrap w:val="0"/>
            <w:vAlign w:val="center"/>
          </w:tcPr>
          <w:p w14:paraId="2665D42C">
            <w:pPr>
              <w:autoSpaceDE w:val="0"/>
              <w:autoSpaceDN w:val="0"/>
              <w:adjustRightInd w:val="0"/>
              <w:snapToGrid w:val="0"/>
              <w:spacing w:line="360" w:lineRule="auto"/>
              <w:jc w:val="center"/>
              <w:rPr>
                <w:rFonts w:ascii="宋体" w:hAnsi="宋体"/>
                <w:kern w:val="0"/>
                <w:szCs w:val="21"/>
              </w:rPr>
            </w:pPr>
            <w:r>
              <w:rPr>
                <w:rFonts w:hint="eastAsia" w:ascii="宋体" w:hAnsi="宋体" w:cs="微软雅黑"/>
                <w:kern w:val="0"/>
                <w:position w:val="-1"/>
                <w:szCs w:val="21"/>
              </w:rPr>
              <w:t>投标报价（元）：</w:t>
            </w:r>
          </w:p>
        </w:tc>
        <w:tc>
          <w:tcPr>
            <w:tcW w:w="1007" w:type="dxa"/>
            <w:tcBorders>
              <w:top w:val="single" w:color="auto" w:sz="6" w:space="0"/>
              <w:left w:val="single" w:color="auto" w:sz="6" w:space="0"/>
              <w:bottom w:val="double" w:color="auto" w:sz="4" w:space="0"/>
              <w:right w:val="single" w:color="auto" w:sz="6" w:space="0"/>
            </w:tcBorders>
            <w:noWrap w:val="0"/>
            <w:vAlign w:val="top"/>
          </w:tcPr>
          <w:p w14:paraId="4B1C1D94">
            <w:pPr>
              <w:autoSpaceDE w:val="0"/>
              <w:autoSpaceDN w:val="0"/>
              <w:adjustRightInd w:val="0"/>
              <w:snapToGrid w:val="0"/>
              <w:spacing w:line="360" w:lineRule="auto"/>
              <w:jc w:val="left"/>
              <w:rPr>
                <w:rFonts w:ascii="宋体" w:hAnsi="宋体"/>
                <w:kern w:val="0"/>
                <w:szCs w:val="21"/>
              </w:rPr>
            </w:pPr>
          </w:p>
        </w:tc>
        <w:tc>
          <w:tcPr>
            <w:tcW w:w="1002" w:type="dxa"/>
            <w:tcBorders>
              <w:top w:val="single" w:color="auto" w:sz="6" w:space="0"/>
              <w:left w:val="single" w:color="auto" w:sz="6" w:space="0"/>
              <w:bottom w:val="double" w:color="auto" w:sz="4" w:space="0"/>
              <w:right w:val="double" w:color="auto" w:sz="4" w:space="0"/>
            </w:tcBorders>
            <w:noWrap w:val="0"/>
            <w:vAlign w:val="top"/>
          </w:tcPr>
          <w:p w14:paraId="445DCC38">
            <w:pPr>
              <w:autoSpaceDE w:val="0"/>
              <w:autoSpaceDN w:val="0"/>
              <w:adjustRightInd w:val="0"/>
              <w:snapToGrid w:val="0"/>
              <w:spacing w:line="360" w:lineRule="auto"/>
              <w:jc w:val="left"/>
              <w:rPr>
                <w:rFonts w:ascii="宋体" w:hAnsi="宋体"/>
                <w:kern w:val="0"/>
                <w:szCs w:val="21"/>
              </w:rPr>
            </w:pPr>
          </w:p>
        </w:tc>
      </w:tr>
    </w:tbl>
    <w:p w14:paraId="6685640C">
      <w:pPr>
        <w:adjustRightInd w:val="0"/>
        <w:snapToGrid w:val="0"/>
        <w:spacing w:line="360" w:lineRule="auto"/>
        <w:rPr>
          <w:rFonts w:hint="eastAsia" w:ascii="宋体" w:hAnsi="宋体"/>
          <w:color w:val="auto"/>
          <w:szCs w:val="21"/>
          <w:highlight w:val="none"/>
        </w:rPr>
      </w:pPr>
    </w:p>
    <w:p w14:paraId="4D81DB58">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w:t>
      </w:r>
      <w:r>
        <w:rPr>
          <w:rFonts w:hint="eastAsia" w:ascii="宋体" w:hAnsi="宋体"/>
          <w:color w:val="auto"/>
          <w:szCs w:val="21"/>
          <w:highlight w:val="none"/>
          <w:lang w:val="en-US" w:eastAsia="zh-CN"/>
        </w:rPr>
        <w:t>1.</w:t>
      </w:r>
      <w:r>
        <w:rPr>
          <w:rFonts w:hint="eastAsia" w:ascii="宋体" w:hAnsi="宋体"/>
          <w:b/>
          <w:color w:val="auto"/>
          <w:szCs w:val="21"/>
          <w:highlight w:val="none"/>
        </w:rPr>
        <w:t>本表应对应</w:t>
      </w:r>
      <w:r>
        <w:rPr>
          <w:rFonts w:hint="eastAsia" w:ascii="宋体" w:hAnsi="宋体"/>
          <w:color w:val="auto"/>
          <w:szCs w:val="21"/>
          <w:highlight w:val="none"/>
        </w:rPr>
        <w:t>“</w:t>
      </w:r>
      <w:r>
        <w:rPr>
          <w:rFonts w:hint="eastAsia" w:ascii="宋体" w:hAnsi="宋体"/>
          <w:b/>
          <w:color w:val="auto"/>
          <w:szCs w:val="21"/>
          <w:highlight w:val="none"/>
        </w:rPr>
        <w:t>报价表</w:t>
      </w:r>
      <w:r>
        <w:rPr>
          <w:rFonts w:hint="eastAsia" w:ascii="宋体" w:hAnsi="宋体"/>
          <w:color w:val="auto"/>
          <w:szCs w:val="21"/>
          <w:highlight w:val="none"/>
        </w:rPr>
        <w:t>”</w:t>
      </w:r>
      <w:r>
        <w:rPr>
          <w:rFonts w:hint="eastAsia" w:ascii="宋体" w:hAnsi="宋体"/>
          <w:b/>
          <w:color w:val="auto"/>
          <w:szCs w:val="21"/>
          <w:highlight w:val="none"/>
        </w:rPr>
        <w:t>，按包填写</w:t>
      </w:r>
      <w:r>
        <w:rPr>
          <w:rFonts w:hint="eastAsia" w:ascii="宋体" w:hAnsi="宋体"/>
          <w:color w:val="auto"/>
          <w:szCs w:val="21"/>
          <w:highlight w:val="none"/>
        </w:rPr>
        <w:t>。供应商如果不提供分项报价明细表，其</w:t>
      </w:r>
      <w:r>
        <w:rPr>
          <w:rFonts w:hint="eastAsia" w:ascii="宋体" w:hAnsi="宋体"/>
          <w:b/>
          <w:color w:val="auto"/>
          <w:szCs w:val="21"/>
          <w:highlight w:val="none"/>
        </w:rPr>
        <w:t>响应无效</w:t>
      </w:r>
      <w:r>
        <w:rPr>
          <w:rFonts w:hint="eastAsia" w:ascii="宋体" w:hAnsi="宋体"/>
          <w:color w:val="auto"/>
          <w:szCs w:val="21"/>
          <w:highlight w:val="none"/>
        </w:rPr>
        <w:t>。</w:t>
      </w:r>
    </w:p>
    <w:p w14:paraId="4E87CB37">
      <w:pPr>
        <w:adjustRightInd w:val="0"/>
        <w:snapToGrid w:val="0"/>
        <w:spacing w:line="360" w:lineRule="auto"/>
        <w:ind w:firstLine="440" w:firstLineChars="200"/>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不得填写“免费”或“赠与”，也不得进行“零”报价，否则</w:t>
      </w:r>
      <w:r>
        <w:rPr>
          <w:rFonts w:hint="eastAsia" w:ascii="宋体" w:hAnsi="宋体"/>
          <w:b/>
          <w:color w:val="auto"/>
          <w:szCs w:val="21"/>
          <w:highlight w:val="none"/>
        </w:rPr>
        <w:t>响应无效</w:t>
      </w:r>
      <w:r>
        <w:rPr>
          <w:rFonts w:hint="eastAsia" w:ascii="宋体" w:hAnsi="宋体"/>
          <w:color w:val="auto"/>
          <w:szCs w:val="21"/>
          <w:highlight w:val="none"/>
        </w:rPr>
        <w:t>。</w:t>
      </w:r>
    </w:p>
    <w:p w14:paraId="4F4EEB8D">
      <w:pPr>
        <w:adjustRightInd w:val="0"/>
        <w:snapToGrid w:val="0"/>
        <w:spacing w:line="360" w:lineRule="auto"/>
        <w:ind w:firstLine="442" w:firstLineChars="200"/>
        <w:rPr>
          <w:rFonts w:ascii="宋体" w:hAnsi="宋体"/>
          <w:b/>
          <w:color w:val="auto"/>
          <w:szCs w:val="21"/>
          <w:highlight w:val="none"/>
        </w:rPr>
      </w:pPr>
    </w:p>
    <w:p w14:paraId="7F7422AE">
      <w:pPr>
        <w:adjustRightInd w:val="0"/>
        <w:snapToGrid w:val="0"/>
        <w:spacing w:line="360" w:lineRule="auto"/>
        <w:rPr>
          <w:rFonts w:ascii="宋体" w:hAnsi="宋体"/>
          <w:color w:val="auto"/>
          <w:szCs w:val="21"/>
          <w:highlight w:val="none"/>
        </w:rPr>
      </w:pPr>
    </w:p>
    <w:p w14:paraId="6661E252">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供应商名称（盖单位公章）：</w:t>
      </w:r>
    </w:p>
    <w:p w14:paraId="5D098351">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0BBB66EF">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003A30E4">
      <w:pPr>
        <w:pStyle w:val="13"/>
        <w:rPr>
          <w:rFonts w:hint="eastAsia" w:ascii="宋体" w:hAnsi="宋体"/>
          <w:color w:val="auto"/>
          <w:szCs w:val="21"/>
          <w:highlight w:val="none"/>
        </w:rPr>
      </w:pPr>
    </w:p>
    <w:p w14:paraId="6A95E591">
      <w:r>
        <w:br w:type="page"/>
      </w:r>
    </w:p>
    <w:bookmarkEnd w:id="242"/>
    <w:bookmarkEnd w:id="243"/>
    <w:p w14:paraId="699BFEA6">
      <w:pPr>
        <w:widowControl/>
        <w:adjustRightInd w:val="0"/>
        <w:snapToGrid w:val="0"/>
        <w:spacing w:line="360" w:lineRule="auto"/>
        <w:rPr>
          <w:rFonts w:ascii="宋体" w:hAnsi="宋体" w:cs="宋体"/>
          <w:b/>
          <w:bCs/>
          <w:spacing w:val="6"/>
          <w:kern w:val="0"/>
          <w:sz w:val="28"/>
          <w:szCs w:val="28"/>
        </w:rPr>
      </w:pPr>
      <w:r>
        <w:rPr>
          <w:rFonts w:hint="eastAsia" w:ascii="宋体" w:hAnsi="宋体" w:cs="宋体"/>
          <w:sz w:val="30"/>
          <w:szCs w:val="30"/>
        </w:rPr>
        <w:t xml:space="preserve">  </w:t>
      </w:r>
      <w:r>
        <w:rPr>
          <w:rFonts w:hint="eastAsia" w:ascii="宋体" w:hAnsi="宋体" w:cs="宋体"/>
          <w:sz w:val="30"/>
          <w:szCs w:val="30"/>
          <w:lang w:val="en-US" w:eastAsia="zh-CN"/>
        </w:rPr>
        <w:t xml:space="preserve">              </w:t>
      </w:r>
      <w:r>
        <w:rPr>
          <w:rFonts w:hint="eastAsia" w:ascii="宋体" w:hAnsi="宋体" w:eastAsia="宋体" w:cs="宋体"/>
          <w:b/>
          <w:bCs/>
          <w:spacing w:val="6"/>
          <w:kern w:val="0"/>
          <w:sz w:val="28"/>
          <w:szCs w:val="28"/>
          <w:lang w:val="en-US" w:eastAsia="zh-CN"/>
        </w:rPr>
        <w:t xml:space="preserve"> </w:t>
      </w:r>
      <w:r>
        <w:rPr>
          <w:rFonts w:hint="eastAsia" w:ascii="宋体" w:hAnsi="宋体" w:eastAsia="宋体" w:cs="宋体"/>
          <w:b/>
          <w:bCs/>
          <w:spacing w:val="6"/>
          <w:kern w:val="0"/>
          <w:sz w:val="28"/>
          <w:szCs w:val="28"/>
        </w:rPr>
        <w:t xml:space="preserve"> </w:t>
      </w:r>
      <w:r>
        <w:rPr>
          <w:rFonts w:hint="eastAsia" w:ascii="宋体" w:hAnsi="宋体" w:eastAsia="宋体" w:cs="宋体"/>
          <w:b/>
          <w:bCs/>
          <w:spacing w:val="6"/>
          <w:kern w:val="0"/>
          <w:sz w:val="28"/>
          <w:szCs w:val="28"/>
          <w:lang w:val="en-US" w:eastAsia="zh-CN"/>
        </w:rPr>
        <w:t>七、</w:t>
      </w:r>
      <w:r>
        <w:rPr>
          <w:rFonts w:hint="eastAsia" w:ascii="宋体" w:hAnsi="宋体" w:eastAsia="宋体" w:cs="宋体"/>
          <w:b/>
          <w:bCs/>
          <w:spacing w:val="6"/>
          <w:kern w:val="0"/>
          <w:sz w:val="28"/>
          <w:szCs w:val="28"/>
        </w:rPr>
        <w:t>中小企</w:t>
      </w:r>
      <w:r>
        <w:rPr>
          <w:rFonts w:hint="eastAsia" w:ascii="宋体" w:hAnsi="宋体" w:cs="宋体"/>
          <w:b/>
          <w:bCs/>
          <w:spacing w:val="6"/>
          <w:kern w:val="0"/>
          <w:sz w:val="28"/>
          <w:szCs w:val="28"/>
        </w:rPr>
        <w:t>业声明函（</w:t>
      </w:r>
      <w:r>
        <w:rPr>
          <w:rFonts w:hint="eastAsia" w:ascii="黑体" w:hAnsi="黑体" w:eastAsia="黑体" w:cs="宋体"/>
          <w:b/>
          <w:bCs/>
          <w:spacing w:val="6"/>
          <w:kern w:val="0"/>
          <w:sz w:val="28"/>
          <w:szCs w:val="28"/>
          <w:highlight w:val="none"/>
        </w:rPr>
        <w:t>货物</w:t>
      </w:r>
      <w:r>
        <w:rPr>
          <w:rFonts w:hint="eastAsia" w:ascii="宋体" w:hAnsi="宋体" w:cs="宋体"/>
          <w:b/>
          <w:bCs/>
          <w:spacing w:val="6"/>
          <w:kern w:val="0"/>
          <w:sz w:val="28"/>
          <w:szCs w:val="28"/>
        </w:rPr>
        <w:t>）</w:t>
      </w:r>
    </w:p>
    <w:p w14:paraId="036A3A0A">
      <w:pPr>
        <w:pStyle w:val="103"/>
        <w:adjustRightInd w:val="0"/>
        <w:snapToGrid w:val="0"/>
        <w:spacing w:line="360" w:lineRule="auto"/>
        <w:jc w:val="center"/>
        <w:rPr>
          <w:rFonts w:ascii="宋体" w:hAnsi="宋体" w:cs="宋体"/>
          <w:b/>
          <w:spacing w:val="6"/>
          <w:kern w:val="0"/>
          <w:sz w:val="20"/>
          <w:szCs w:val="21"/>
          <w:lang w:eastAsia="en-US"/>
        </w:rPr>
      </w:pPr>
      <w:bookmarkStart w:id="244" w:name="_Toc1957_WPSOffice_Level1"/>
      <w:r>
        <w:rPr>
          <w:rFonts w:hint="eastAsia" w:ascii="宋体" w:hAnsi="宋体" w:cs="宋体"/>
          <w:b/>
          <w:spacing w:val="6"/>
          <w:kern w:val="0"/>
          <w:sz w:val="20"/>
          <w:szCs w:val="21"/>
          <w:lang w:val="en-US" w:eastAsia="zh-CN"/>
        </w:rPr>
        <w:t xml:space="preserve">    </w:t>
      </w:r>
      <w:r>
        <w:rPr>
          <w:rFonts w:hint="eastAsia" w:ascii="宋体" w:hAnsi="宋体" w:cs="宋体"/>
          <w:b/>
          <w:spacing w:val="6"/>
          <w:kern w:val="0"/>
          <w:sz w:val="20"/>
          <w:szCs w:val="21"/>
          <w:lang w:eastAsia="en-US"/>
        </w:rPr>
        <w:t>【不</w:t>
      </w:r>
      <w:r>
        <w:rPr>
          <w:rFonts w:hint="eastAsia" w:ascii="宋体" w:hAnsi="宋体" w:cs="宋体"/>
          <w:b/>
          <w:spacing w:val="6"/>
          <w:kern w:val="0"/>
          <w:sz w:val="20"/>
          <w:szCs w:val="21"/>
        </w:rPr>
        <w:t>满足以下条件的</w:t>
      </w:r>
      <w:r>
        <w:rPr>
          <w:rFonts w:hint="eastAsia" w:ascii="宋体" w:hAnsi="宋体" w:cs="宋体"/>
          <w:b/>
          <w:spacing w:val="6"/>
          <w:kern w:val="0"/>
          <w:sz w:val="20"/>
          <w:szCs w:val="21"/>
          <w:lang w:eastAsia="en-US"/>
        </w:rPr>
        <w:t>无需填写】</w:t>
      </w:r>
      <w:bookmarkEnd w:id="244"/>
    </w:p>
    <w:p w14:paraId="25F2EE91">
      <w:pPr>
        <w:pStyle w:val="2"/>
      </w:pPr>
    </w:p>
    <w:p w14:paraId="765D100E">
      <w:pPr>
        <w:widowControl/>
        <w:adjustRightInd w:val="0"/>
        <w:snapToGrid w:val="0"/>
        <w:spacing w:line="360" w:lineRule="auto"/>
        <w:jc w:val="left"/>
        <w:rPr>
          <w:rFonts w:ascii="宋体" w:hAnsi="宋体" w:cs="宋体"/>
          <w:spacing w:val="6"/>
          <w:kern w:val="0"/>
          <w:szCs w:val="21"/>
          <w:highlight w:val="none"/>
        </w:rPr>
      </w:pPr>
    </w:p>
    <w:p w14:paraId="27E733D8">
      <w:pPr>
        <w:widowControl/>
        <w:adjustRightInd w:val="0"/>
        <w:snapToGrid w:val="0"/>
        <w:spacing w:line="360" w:lineRule="auto"/>
        <w:ind w:firstLine="464" w:firstLineChars="200"/>
        <w:jc w:val="left"/>
        <w:rPr>
          <w:rFonts w:ascii="宋体" w:hAnsi="宋体" w:cs="宋体"/>
          <w:spacing w:val="6"/>
          <w:kern w:val="0"/>
          <w:szCs w:val="21"/>
          <w:highlight w:val="none"/>
        </w:rPr>
      </w:pPr>
      <w:r>
        <w:rPr>
          <w:rFonts w:hint="eastAsia" w:ascii="宋体" w:hAnsi="宋体" w:cs="宋体"/>
          <w:spacing w:val="6"/>
          <w:kern w:val="0"/>
          <w:szCs w:val="21"/>
          <w:highlight w:val="none"/>
        </w:rPr>
        <w:t>本公司（联合体）郑重声明，根据《政府采购促进中小企业发展管理办法》（财库﹝2020﹞46 号）的规定，本公司（联合体）参加</w:t>
      </w:r>
      <w:r>
        <w:rPr>
          <w:rFonts w:hint="eastAsia" w:ascii="宋体" w:hAnsi="宋体" w:cs="宋体"/>
          <w:spacing w:val="6"/>
          <w:kern w:val="0"/>
          <w:szCs w:val="21"/>
          <w:highlight w:val="none"/>
          <w:u w:val="single"/>
        </w:rPr>
        <w:t>（单位名称）</w:t>
      </w:r>
      <w:r>
        <w:rPr>
          <w:rFonts w:hint="eastAsia" w:ascii="宋体" w:hAnsi="宋体" w:cs="宋体"/>
          <w:spacing w:val="6"/>
          <w:kern w:val="0"/>
          <w:szCs w:val="21"/>
          <w:highlight w:val="none"/>
        </w:rPr>
        <w:t>的</w:t>
      </w:r>
      <w:r>
        <w:rPr>
          <w:rFonts w:hint="eastAsia" w:ascii="宋体" w:hAnsi="宋体" w:cs="宋体"/>
          <w:spacing w:val="6"/>
          <w:kern w:val="0"/>
          <w:szCs w:val="21"/>
          <w:highlight w:val="none"/>
          <w:u w:val="single"/>
        </w:rPr>
        <w:t>（项目名称）</w:t>
      </w:r>
      <w:r>
        <w:rPr>
          <w:rFonts w:hint="eastAsia" w:ascii="宋体" w:hAnsi="宋体" w:cs="宋体"/>
          <w:spacing w:val="6"/>
          <w:kern w:val="0"/>
          <w:szCs w:val="21"/>
          <w:highlight w:val="none"/>
        </w:rPr>
        <w:t>采购活动，提供的货物全部由符合政策要求的中小企业制造。相关企业（含联合体中的中小企业、签订分包意向协议的中小企业）的具体情况如下：</w:t>
      </w:r>
    </w:p>
    <w:p w14:paraId="2E354296">
      <w:pPr>
        <w:widowControl/>
        <w:adjustRightInd w:val="0"/>
        <w:snapToGrid w:val="0"/>
        <w:spacing w:line="360" w:lineRule="auto"/>
        <w:ind w:firstLine="464" w:firstLineChars="200"/>
        <w:jc w:val="left"/>
        <w:rPr>
          <w:rFonts w:ascii="宋体" w:hAnsi="宋体" w:cs="宋体"/>
          <w:spacing w:val="6"/>
          <w:kern w:val="0"/>
          <w:szCs w:val="21"/>
          <w:highlight w:val="none"/>
        </w:rPr>
      </w:pPr>
      <w:r>
        <w:rPr>
          <w:rFonts w:hint="eastAsia" w:ascii="宋体" w:hAnsi="宋体" w:cs="宋体"/>
          <w:spacing w:val="6"/>
          <w:kern w:val="0"/>
          <w:szCs w:val="21"/>
          <w:highlight w:val="none"/>
        </w:rPr>
        <w:t>1.</w:t>
      </w:r>
      <w:r>
        <w:rPr>
          <w:rFonts w:hint="eastAsia" w:ascii="宋体" w:hAnsi="宋体" w:cs="宋体"/>
          <w:spacing w:val="6"/>
          <w:kern w:val="0"/>
          <w:szCs w:val="21"/>
          <w:highlight w:val="none"/>
          <w:u w:val="single"/>
        </w:rPr>
        <w:t>（标的名称）</w:t>
      </w:r>
      <w:r>
        <w:rPr>
          <w:rFonts w:hint="eastAsia" w:ascii="宋体" w:hAnsi="宋体" w:cs="宋体"/>
          <w:spacing w:val="6"/>
          <w:kern w:val="0"/>
          <w:szCs w:val="21"/>
          <w:highlight w:val="none"/>
        </w:rPr>
        <w:t>，属于</w:t>
      </w:r>
      <w:r>
        <w:rPr>
          <w:rFonts w:hint="eastAsia" w:ascii="宋体" w:hAnsi="宋体" w:cs="宋体"/>
          <w:spacing w:val="6"/>
          <w:kern w:val="0"/>
          <w:szCs w:val="21"/>
          <w:highlight w:val="none"/>
          <w:u w:val="single"/>
        </w:rPr>
        <w:t xml:space="preserve"> 工业  </w:t>
      </w:r>
      <w:r>
        <w:rPr>
          <w:rFonts w:hint="eastAsia" w:ascii="宋体" w:hAnsi="宋体" w:cs="宋体"/>
          <w:spacing w:val="6"/>
          <w:kern w:val="0"/>
          <w:szCs w:val="21"/>
          <w:highlight w:val="none"/>
        </w:rPr>
        <w:t>；承建（承接）企业为</w:t>
      </w:r>
      <w:r>
        <w:rPr>
          <w:rFonts w:hint="eastAsia" w:ascii="宋体" w:hAnsi="宋体" w:cs="宋体"/>
          <w:spacing w:val="6"/>
          <w:kern w:val="0"/>
          <w:szCs w:val="21"/>
          <w:highlight w:val="none"/>
          <w:u w:val="single"/>
        </w:rPr>
        <w:t>（企业名称）</w:t>
      </w:r>
      <w:r>
        <w:rPr>
          <w:rFonts w:hint="eastAsia" w:ascii="宋体" w:hAnsi="宋体" w:cs="宋体"/>
          <w:spacing w:val="6"/>
          <w:kern w:val="0"/>
          <w:szCs w:val="21"/>
          <w:highlight w:val="none"/>
        </w:rPr>
        <w:t>，从业人员</w:t>
      </w:r>
      <w:r>
        <w:rPr>
          <w:rFonts w:hint="eastAsia" w:ascii="宋体" w:hAnsi="宋体" w:cs="宋体"/>
          <w:spacing w:val="6"/>
          <w:kern w:val="0"/>
          <w:szCs w:val="21"/>
          <w:highlight w:val="none"/>
          <w:u w:val="single"/>
        </w:rPr>
        <w:t xml:space="preserve"> </w:t>
      </w:r>
      <w:r>
        <w:rPr>
          <w:rFonts w:hint="eastAsia" w:ascii="宋体" w:hAnsi="宋体" w:cs="宋体"/>
          <w:spacing w:val="6"/>
          <w:kern w:val="0"/>
          <w:szCs w:val="21"/>
          <w:highlight w:val="none"/>
          <w:u w:val="single"/>
        </w:rPr>
        <w:tab/>
      </w:r>
      <w:r>
        <w:rPr>
          <w:rFonts w:hint="eastAsia" w:ascii="宋体" w:hAnsi="宋体" w:cs="宋体"/>
          <w:spacing w:val="6"/>
          <w:kern w:val="0"/>
          <w:szCs w:val="21"/>
          <w:highlight w:val="none"/>
          <w:u w:val="single"/>
        </w:rPr>
        <w:t xml:space="preserve">   </w:t>
      </w:r>
      <w:r>
        <w:rPr>
          <w:rFonts w:hint="eastAsia" w:ascii="宋体" w:hAnsi="宋体" w:cs="宋体"/>
          <w:spacing w:val="6"/>
          <w:kern w:val="0"/>
          <w:szCs w:val="21"/>
          <w:highlight w:val="none"/>
        </w:rPr>
        <w:t>人，营业收入为</w:t>
      </w:r>
      <w:r>
        <w:rPr>
          <w:rFonts w:hint="eastAsia" w:ascii="宋体" w:hAnsi="宋体" w:cs="宋体"/>
          <w:spacing w:val="6"/>
          <w:kern w:val="0"/>
          <w:szCs w:val="21"/>
          <w:highlight w:val="none"/>
          <w:u w:val="single"/>
        </w:rPr>
        <w:t xml:space="preserve"> </w:t>
      </w:r>
      <w:r>
        <w:rPr>
          <w:rFonts w:hint="eastAsia" w:ascii="宋体" w:hAnsi="宋体" w:cs="宋体"/>
          <w:spacing w:val="6"/>
          <w:kern w:val="0"/>
          <w:szCs w:val="21"/>
          <w:highlight w:val="none"/>
          <w:u w:val="single"/>
        </w:rPr>
        <w:tab/>
      </w:r>
      <w:r>
        <w:rPr>
          <w:rFonts w:hint="eastAsia" w:ascii="宋体" w:hAnsi="宋体" w:cs="宋体"/>
          <w:spacing w:val="6"/>
          <w:kern w:val="0"/>
          <w:szCs w:val="21"/>
          <w:highlight w:val="none"/>
          <w:u w:val="single"/>
        </w:rPr>
        <w:t xml:space="preserve">  </w:t>
      </w:r>
      <w:r>
        <w:rPr>
          <w:rFonts w:hint="eastAsia" w:ascii="宋体" w:hAnsi="宋体" w:cs="宋体"/>
          <w:spacing w:val="6"/>
          <w:kern w:val="0"/>
          <w:szCs w:val="21"/>
          <w:highlight w:val="none"/>
        </w:rPr>
        <w:t>万元，资产总额为</w:t>
      </w:r>
      <w:r>
        <w:rPr>
          <w:rFonts w:hint="eastAsia" w:ascii="宋体" w:hAnsi="宋体" w:cs="宋体"/>
          <w:spacing w:val="6"/>
          <w:kern w:val="0"/>
          <w:szCs w:val="21"/>
          <w:highlight w:val="none"/>
          <w:u w:val="single"/>
        </w:rPr>
        <w:t xml:space="preserve"> </w:t>
      </w:r>
      <w:r>
        <w:rPr>
          <w:rFonts w:hint="eastAsia" w:ascii="宋体" w:hAnsi="宋体" w:cs="宋体"/>
          <w:spacing w:val="6"/>
          <w:kern w:val="0"/>
          <w:szCs w:val="21"/>
          <w:highlight w:val="none"/>
          <w:u w:val="single"/>
        </w:rPr>
        <w:tab/>
      </w:r>
      <w:r>
        <w:rPr>
          <w:rFonts w:hint="eastAsia" w:ascii="宋体" w:hAnsi="宋体" w:cs="宋体"/>
          <w:spacing w:val="6"/>
          <w:kern w:val="0"/>
          <w:szCs w:val="21"/>
          <w:highlight w:val="none"/>
        </w:rPr>
        <w:t>万元，属于</w:t>
      </w:r>
      <w:r>
        <w:rPr>
          <w:rFonts w:hint="eastAsia" w:ascii="宋体" w:hAnsi="宋体" w:cs="宋体"/>
          <w:spacing w:val="6"/>
          <w:kern w:val="0"/>
          <w:szCs w:val="21"/>
          <w:highlight w:val="none"/>
          <w:u w:val="single"/>
        </w:rPr>
        <w:t>（小型企业、微型企业）</w:t>
      </w:r>
      <w:r>
        <w:rPr>
          <w:rFonts w:hint="eastAsia" w:ascii="宋体" w:hAnsi="宋体" w:cs="宋体"/>
          <w:spacing w:val="6"/>
          <w:kern w:val="0"/>
          <w:szCs w:val="21"/>
          <w:highlight w:val="none"/>
        </w:rPr>
        <w:t>；</w:t>
      </w:r>
    </w:p>
    <w:p w14:paraId="1A381B95">
      <w:pPr>
        <w:widowControl/>
        <w:adjustRightInd w:val="0"/>
        <w:snapToGrid w:val="0"/>
        <w:spacing w:line="360" w:lineRule="auto"/>
        <w:ind w:firstLine="464" w:firstLineChars="200"/>
        <w:jc w:val="left"/>
        <w:rPr>
          <w:rFonts w:ascii="宋体" w:hAnsi="宋体" w:cs="宋体"/>
          <w:spacing w:val="6"/>
          <w:kern w:val="0"/>
          <w:szCs w:val="21"/>
          <w:highlight w:val="none"/>
        </w:rPr>
      </w:pPr>
      <w:r>
        <w:rPr>
          <w:rFonts w:hint="eastAsia" w:ascii="宋体" w:hAnsi="宋体" w:cs="宋体"/>
          <w:spacing w:val="6"/>
          <w:kern w:val="0"/>
          <w:szCs w:val="21"/>
          <w:highlight w:val="none"/>
        </w:rPr>
        <w:t>2.</w:t>
      </w:r>
      <w:r>
        <w:rPr>
          <w:rFonts w:hint="eastAsia" w:ascii="宋体" w:hAnsi="宋体" w:cs="宋体"/>
          <w:spacing w:val="6"/>
          <w:kern w:val="0"/>
          <w:szCs w:val="21"/>
          <w:highlight w:val="none"/>
          <w:u w:val="single"/>
        </w:rPr>
        <w:t>（标的名称）</w:t>
      </w:r>
      <w:r>
        <w:rPr>
          <w:rFonts w:hint="eastAsia" w:ascii="宋体" w:hAnsi="宋体" w:cs="宋体"/>
          <w:spacing w:val="6"/>
          <w:kern w:val="0"/>
          <w:szCs w:val="21"/>
          <w:highlight w:val="none"/>
        </w:rPr>
        <w:t>，属于</w:t>
      </w:r>
      <w:r>
        <w:rPr>
          <w:rFonts w:hint="eastAsia" w:ascii="宋体" w:hAnsi="宋体" w:cs="宋体"/>
          <w:spacing w:val="6"/>
          <w:kern w:val="0"/>
          <w:szCs w:val="21"/>
          <w:highlight w:val="none"/>
          <w:u w:val="single"/>
        </w:rPr>
        <w:t xml:space="preserve">       </w:t>
      </w:r>
      <w:r>
        <w:rPr>
          <w:rFonts w:hint="eastAsia" w:ascii="宋体" w:hAnsi="宋体" w:cs="宋体"/>
          <w:spacing w:val="6"/>
          <w:kern w:val="0"/>
          <w:szCs w:val="21"/>
          <w:highlight w:val="none"/>
        </w:rPr>
        <w:t>； 承建（承接）企业为</w:t>
      </w:r>
      <w:r>
        <w:rPr>
          <w:rFonts w:hint="eastAsia" w:ascii="宋体" w:hAnsi="宋体" w:cs="宋体"/>
          <w:spacing w:val="6"/>
          <w:kern w:val="0"/>
          <w:szCs w:val="21"/>
          <w:highlight w:val="none"/>
          <w:u w:val="single"/>
        </w:rPr>
        <w:t>（企业名称）</w:t>
      </w:r>
      <w:r>
        <w:rPr>
          <w:rFonts w:hint="eastAsia" w:ascii="宋体" w:hAnsi="宋体" w:cs="宋体"/>
          <w:spacing w:val="6"/>
          <w:kern w:val="0"/>
          <w:szCs w:val="21"/>
          <w:highlight w:val="none"/>
        </w:rPr>
        <w:t>，从业人员</w:t>
      </w:r>
      <w:r>
        <w:rPr>
          <w:rFonts w:hint="eastAsia" w:ascii="宋体" w:hAnsi="宋体" w:cs="宋体"/>
          <w:spacing w:val="6"/>
          <w:kern w:val="0"/>
          <w:szCs w:val="21"/>
          <w:highlight w:val="none"/>
          <w:u w:val="single"/>
        </w:rPr>
        <w:t xml:space="preserve">    </w:t>
      </w:r>
      <w:r>
        <w:rPr>
          <w:rFonts w:hint="eastAsia" w:ascii="宋体" w:hAnsi="宋体" w:cs="宋体"/>
          <w:spacing w:val="6"/>
          <w:kern w:val="0"/>
          <w:szCs w:val="21"/>
          <w:highlight w:val="none"/>
        </w:rPr>
        <w:t>人，营业收入为</w:t>
      </w:r>
      <w:r>
        <w:rPr>
          <w:rFonts w:hint="eastAsia" w:ascii="宋体" w:hAnsi="宋体" w:cs="宋体"/>
          <w:spacing w:val="6"/>
          <w:kern w:val="0"/>
          <w:szCs w:val="21"/>
          <w:highlight w:val="none"/>
          <w:u w:val="single"/>
        </w:rPr>
        <w:t xml:space="preserve"> </w:t>
      </w:r>
      <w:r>
        <w:rPr>
          <w:rFonts w:hint="eastAsia" w:ascii="宋体" w:hAnsi="宋体" w:cs="宋体"/>
          <w:spacing w:val="6"/>
          <w:kern w:val="0"/>
          <w:szCs w:val="21"/>
          <w:highlight w:val="none"/>
          <w:u w:val="single"/>
        </w:rPr>
        <w:tab/>
      </w:r>
      <w:r>
        <w:rPr>
          <w:rFonts w:hint="eastAsia" w:ascii="宋体" w:hAnsi="宋体" w:cs="宋体"/>
          <w:spacing w:val="6"/>
          <w:kern w:val="0"/>
          <w:szCs w:val="21"/>
          <w:highlight w:val="none"/>
          <w:u w:val="single"/>
        </w:rPr>
        <w:t xml:space="preserve"> </w:t>
      </w:r>
      <w:r>
        <w:rPr>
          <w:rFonts w:hint="eastAsia" w:ascii="宋体" w:hAnsi="宋体" w:cs="宋体"/>
          <w:spacing w:val="6"/>
          <w:kern w:val="0"/>
          <w:szCs w:val="21"/>
          <w:highlight w:val="none"/>
        </w:rPr>
        <w:t>万元，资产总额为</w:t>
      </w:r>
      <w:r>
        <w:rPr>
          <w:rFonts w:hint="eastAsia" w:ascii="宋体" w:hAnsi="宋体" w:cs="宋体"/>
          <w:spacing w:val="6"/>
          <w:kern w:val="0"/>
          <w:szCs w:val="21"/>
          <w:highlight w:val="none"/>
          <w:u w:val="single"/>
        </w:rPr>
        <w:t xml:space="preserve"> </w:t>
      </w:r>
      <w:r>
        <w:rPr>
          <w:rFonts w:hint="eastAsia" w:ascii="宋体" w:hAnsi="宋体" w:cs="宋体"/>
          <w:spacing w:val="6"/>
          <w:kern w:val="0"/>
          <w:szCs w:val="21"/>
          <w:highlight w:val="none"/>
          <w:u w:val="single"/>
        </w:rPr>
        <w:tab/>
      </w:r>
      <w:r>
        <w:rPr>
          <w:rFonts w:hint="eastAsia" w:ascii="宋体" w:hAnsi="宋体" w:cs="宋体"/>
          <w:spacing w:val="6"/>
          <w:kern w:val="0"/>
          <w:szCs w:val="21"/>
          <w:highlight w:val="none"/>
          <w:u w:val="single"/>
        </w:rPr>
        <w:t xml:space="preserve"> </w:t>
      </w:r>
      <w:r>
        <w:rPr>
          <w:rFonts w:hint="eastAsia" w:ascii="宋体" w:hAnsi="宋体" w:cs="宋体"/>
          <w:spacing w:val="6"/>
          <w:kern w:val="0"/>
          <w:szCs w:val="21"/>
          <w:highlight w:val="none"/>
        </w:rPr>
        <w:t>万元，属于</w:t>
      </w:r>
      <w:r>
        <w:rPr>
          <w:rFonts w:hint="eastAsia" w:ascii="宋体" w:hAnsi="宋体" w:cs="宋体"/>
          <w:spacing w:val="6"/>
          <w:kern w:val="0"/>
          <w:szCs w:val="21"/>
          <w:highlight w:val="none"/>
          <w:u w:val="single"/>
        </w:rPr>
        <w:t>（、小型企业、微型企业）</w:t>
      </w:r>
      <w:r>
        <w:rPr>
          <w:rFonts w:hint="eastAsia" w:ascii="宋体" w:hAnsi="宋体" w:cs="宋体"/>
          <w:spacing w:val="6"/>
          <w:kern w:val="0"/>
          <w:szCs w:val="21"/>
          <w:highlight w:val="none"/>
        </w:rPr>
        <w:t>；</w:t>
      </w:r>
    </w:p>
    <w:p w14:paraId="3DC6EA0E">
      <w:pPr>
        <w:widowControl/>
        <w:adjustRightInd w:val="0"/>
        <w:snapToGrid w:val="0"/>
        <w:spacing w:line="360" w:lineRule="auto"/>
        <w:ind w:firstLine="464" w:firstLineChars="200"/>
        <w:jc w:val="left"/>
        <w:rPr>
          <w:rFonts w:ascii="宋体" w:hAnsi="宋体" w:cs="宋体"/>
          <w:spacing w:val="6"/>
          <w:kern w:val="0"/>
          <w:szCs w:val="21"/>
          <w:highlight w:val="none"/>
        </w:rPr>
      </w:pPr>
      <w:r>
        <w:rPr>
          <w:rFonts w:hint="eastAsia" w:ascii="宋体" w:hAnsi="宋体" w:cs="宋体"/>
          <w:spacing w:val="6"/>
          <w:kern w:val="0"/>
          <w:szCs w:val="21"/>
          <w:highlight w:val="none"/>
        </w:rPr>
        <w:t>……</w:t>
      </w:r>
    </w:p>
    <w:p w14:paraId="55F8BA36">
      <w:pPr>
        <w:widowControl/>
        <w:adjustRightInd w:val="0"/>
        <w:snapToGrid w:val="0"/>
        <w:spacing w:line="360" w:lineRule="auto"/>
        <w:ind w:firstLine="464" w:firstLineChars="200"/>
        <w:jc w:val="left"/>
        <w:rPr>
          <w:rFonts w:ascii="宋体" w:hAnsi="宋体" w:cs="宋体"/>
          <w:spacing w:val="6"/>
          <w:kern w:val="0"/>
          <w:szCs w:val="21"/>
          <w:highlight w:val="none"/>
        </w:rPr>
      </w:pPr>
      <w:r>
        <w:rPr>
          <w:rFonts w:hint="eastAsia" w:ascii="宋体" w:hAnsi="宋体" w:cs="宋体"/>
          <w:spacing w:val="6"/>
          <w:kern w:val="0"/>
          <w:szCs w:val="21"/>
          <w:highlight w:val="none"/>
        </w:rPr>
        <w:t>以上企业，不属于大企业的分支机构，不存在控股股东为大企业的情形，也不存在与大企业的负责人为同一人的情形。</w:t>
      </w:r>
    </w:p>
    <w:p w14:paraId="33A00D13">
      <w:pPr>
        <w:widowControl/>
        <w:adjustRightInd w:val="0"/>
        <w:snapToGrid w:val="0"/>
        <w:spacing w:line="360" w:lineRule="auto"/>
        <w:ind w:firstLine="440" w:firstLineChars="200"/>
        <w:jc w:val="left"/>
        <w:rPr>
          <w:rFonts w:ascii="宋体" w:hAnsi="宋体" w:cs="宋体"/>
          <w:kern w:val="0"/>
          <w:szCs w:val="21"/>
          <w:highlight w:val="none"/>
        </w:rPr>
      </w:pPr>
    </w:p>
    <w:p w14:paraId="0017E364">
      <w:pPr>
        <w:widowControl/>
        <w:adjustRightInd w:val="0"/>
        <w:snapToGrid w:val="0"/>
        <w:spacing w:line="360" w:lineRule="auto"/>
        <w:ind w:firstLine="464" w:firstLineChars="200"/>
        <w:jc w:val="left"/>
        <w:rPr>
          <w:rFonts w:ascii="宋体" w:hAnsi="宋体" w:cs="宋体"/>
          <w:kern w:val="0"/>
          <w:szCs w:val="21"/>
          <w:highlight w:val="none"/>
        </w:rPr>
      </w:pPr>
      <w:r>
        <w:rPr>
          <w:rFonts w:hint="eastAsia" w:ascii="宋体" w:hAnsi="宋体" w:cs="宋体"/>
          <w:spacing w:val="6"/>
          <w:kern w:val="0"/>
          <w:szCs w:val="21"/>
          <w:highlight w:val="none"/>
        </w:rPr>
        <w:t>本企业对上述声明的真实性负责。如有虚假，将依法承担相应责任。</w:t>
      </w:r>
    </w:p>
    <w:p w14:paraId="2039E7EB">
      <w:pPr>
        <w:widowControl/>
        <w:adjustRightInd w:val="0"/>
        <w:snapToGrid w:val="0"/>
        <w:spacing w:line="360" w:lineRule="auto"/>
        <w:ind w:firstLine="440" w:firstLineChars="200"/>
        <w:jc w:val="center"/>
        <w:rPr>
          <w:rFonts w:ascii="宋体" w:hAnsi="宋体" w:cs="宋体"/>
          <w:kern w:val="0"/>
          <w:szCs w:val="21"/>
          <w:highlight w:val="none"/>
        </w:rPr>
      </w:pPr>
    </w:p>
    <w:p w14:paraId="7C23937E">
      <w:pPr>
        <w:widowControl/>
        <w:adjustRightInd w:val="0"/>
        <w:snapToGrid w:val="0"/>
        <w:spacing w:beforeLines="50" w:line="360" w:lineRule="auto"/>
        <w:rPr>
          <w:rFonts w:ascii="宋体" w:hAnsi="宋体" w:cs="宋体"/>
          <w:spacing w:val="6"/>
          <w:kern w:val="0"/>
          <w:szCs w:val="21"/>
          <w:highlight w:val="none"/>
          <w:u w:val="single"/>
        </w:rPr>
      </w:pPr>
      <w:r>
        <w:rPr>
          <w:rFonts w:hint="eastAsia" w:ascii="宋体" w:hAnsi="宋体" w:cs="宋体"/>
          <w:spacing w:val="6"/>
          <w:kern w:val="0"/>
          <w:szCs w:val="21"/>
          <w:highlight w:val="none"/>
        </w:rPr>
        <w:t>供应商名称（盖单位公章）：</w:t>
      </w:r>
      <w:r>
        <w:rPr>
          <w:rFonts w:hint="eastAsia" w:ascii="宋体" w:hAnsi="宋体" w:cs="宋体"/>
          <w:spacing w:val="6"/>
          <w:kern w:val="0"/>
          <w:szCs w:val="21"/>
          <w:highlight w:val="none"/>
          <w:u w:val="single"/>
        </w:rPr>
        <w:t xml:space="preserve">           </w:t>
      </w:r>
    </w:p>
    <w:p w14:paraId="2D02D3E1">
      <w:pPr>
        <w:widowControl/>
        <w:adjustRightInd w:val="0"/>
        <w:snapToGrid w:val="0"/>
        <w:spacing w:beforeLines="50" w:line="360" w:lineRule="auto"/>
        <w:rPr>
          <w:rFonts w:ascii="宋体" w:hAnsi="宋体" w:cs="宋体"/>
          <w:spacing w:val="6"/>
          <w:kern w:val="0"/>
          <w:szCs w:val="21"/>
          <w:highlight w:val="none"/>
          <w:u w:val="single"/>
        </w:rPr>
      </w:pPr>
      <w:r>
        <w:rPr>
          <w:rFonts w:hint="eastAsia" w:ascii="宋体" w:hAnsi="宋体" w:cs="宋体"/>
          <w:spacing w:val="6"/>
          <w:kern w:val="0"/>
          <w:szCs w:val="21"/>
          <w:highlight w:val="none"/>
        </w:rPr>
        <w:t>日 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35AD87EF">
      <w:pPr>
        <w:widowControl/>
        <w:adjustRightInd w:val="0"/>
        <w:snapToGrid w:val="0"/>
        <w:spacing w:line="360" w:lineRule="auto"/>
        <w:ind w:firstLine="466" w:firstLineChars="200"/>
        <w:jc w:val="left"/>
        <w:rPr>
          <w:rFonts w:ascii="宋体" w:hAnsi="宋体" w:cs="宋体"/>
          <w:b/>
          <w:bCs/>
          <w:spacing w:val="6"/>
          <w:kern w:val="0"/>
          <w:szCs w:val="21"/>
        </w:rPr>
      </w:pPr>
    </w:p>
    <w:p w14:paraId="46CEF5FE">
      <w:pPr>
        <w:pStyle w:val="2"/>
        <w:spacing w:line="360" w:lineRule="auto"/>
        <w:rPr>
          <w:rFonts w:ascii="宋体" w:hAnsi="宋体" w:cs="宋体"/>
          <w:spacing w:val="6"/>
          <w:kern w:val="0"/>
          <w:sz w:val="21"/>
          <w:szCs w:val="21"/>
        </w:rPr>
      </w:pPr>
    </w:p>
    <w:p w14:paraId="0E6E840D">
      <w:pPr>
        <w:widowControl/>
        <w:ind w:firstLine="440" w:firstLineChars="200"/>
        <w:jc w:val="left"/>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注：1.属于专门面向中小企业采购的政府采购货物类项目，投标人应按本声明函内容和格式如实声明采购标的制造商的企业规模，未提供本声明函或不符合《政府采购促进中小企业发展管理办法》（财库﹝2020﹞46 号）规定的，其</w:t>
      </w:r>
      <w:r>
        <w:rPr>
          <w:rFonts w:hint="eastAsia" w:ascii="宋体" w:hAnsi="宋体" w:cs="宋体"/>
          <w:b/>
          <w:bCs/>
          <w:color w:val="auto"/>
          <w:kern w:val="0"/>
          <w:szCs w:val="21"/>
          <w:highlight w:val="none"/>
          <w:lang w:bidi="ar"/>
        </w:rPr>
        <w:t>投标无效。</w:t>
      </w:r>
    </w:p>
    <w:p w14:paraId="2501AA9E">
      <w:pPr>
        <w:widowControl/>
        <w:ind w:firstLine="440" w:firstLineChars="200"/>
        <w:jc w:val="left"/>
        <w:rPr>
          <w:rFonts w:ascii="黑体" w:hAnsi="华文中宋" w:eastAsia="黑体" w:cs="宋体"/>
          <w:bCs/>
          <w:color w:val="auto"/>
          <w:spacing w:val="6"/>
          <w:kern w:val="0"/>
          <w:szCs w:val="21"/>
          <w:highlight w:val="none"/>
        </w:rPr>
      </w:pPr>
      <w:r>
        <w:rPr>
          <w:rFonts w:hint="eastAsia" w:ascii="宋体" w:hAnsi="宋体" w:cs="宋体"/>
          <w:color w:val="auto"/>
          <w:kern w:val="0"/>
          <w:szCs w:val="21"/>
          <w:highlight w:val="none"/>
          <w:lang w:bidi="ar"/>
        </w:rPr>
        <w:t>2.从业人员、营业收入、资产总额填报上一年度数据，无上一年度数据的新成立企业可不填报。</w:t>
      </w:r>
    </w:p>
    <w:p w14:paraId="1FF7C9DA">
      <w:pPr>
        <w:ind w:left="-51" w:leftChars="-23" w:right="-68" w:rightChars="-31"/>
        <w:jc w:val="center"/>
        <w:rPr>
          <w:rFonts w:ascii="宋体" w:hAnsi="宋体"/>
          <w:b/>
          <w:sz w:val="30"/>
          <w:szCs w:val="30"/>
        </w:rPr>
      </w:pPr>
      <w:r>
        <w:rPr>
          <w:rFonts w:hint="eastAsia" w:ascii="黑体" w:hAnsi="黑体" w:cs="宋体"/>
          <w:b w:val="0"/>
          <w:bCs w:val="0"/>
          <w:color w:val="auto"/>
          <w:kern w:val="0"/>
          <w:sz w:val="21"/>
          <w:szCs w:val="21"/>
          <w:highlight w:val="none"/>
        </w:rPr>
        <w:br w:type="page"/>
      </w:r>
      <w:r>
        <w:rPr>
          <w:rFonts w:hint="eastAsia" w:ascii="宋体" w:hAnsi="宋体"/>
          <w:b/>
          <w:sz w:val="30"/>
          <w:szCs w:val="30"/>
        </w:rPr>
        <w:t>中小企业划型标准</w:t>
      </w:r>
      <w:r>
        <w:rPr>
          <w:rFonts w:hint="eastAsia" w:ascii="宋体" w:hAnsi="宋体"/>
          <w:bCs/>
          <w:sz w:val="20"/>
          <w:szCs w:val="20"/>
        </w:rPr>
        <w:t>（工信部联企业（2011）300号）</w:t>
      </w:r>
    </w:p>
    <w:tbl>
      <w:tblPr>
        <w:tblStyle w:val="24"/>
        <w:tblW w:w="10741" w:type="dxa"/>
        <w:jc w:val="center"/>
        <w:shd w:val="clear" w:color="auto" w:fill="FFFFFF"/>
        <w:tblLayout w:type="fixed"/>
        <w:tblCellMar>
          <w:top w:w="0" w:type="dxa"/>
          <w:left w:w="108" w:type="dxa"/>
          <w:bottom w:w="0" w:type="dxa"/>
          <w:right w:w="108" w:type="dxa"/>
        </w:tblCellMar>
      </w:tblPr>
      <w:tblGrid>
        <w:gridCol w:w="479"/>
        <w:gridCol w:w="764"/>
        <w:gridCol w:w="851"/>
        <w:gridCol w:w="850"/>
        <w:gridCol w:w="851"/>
        <w:gridCol w:w="850"/>
        <w:gridCol w:w="709"/>
        <w:gridCol w:w="851"/>
        <w:gridCol w:w="850"/>
        <w:gridCol w:w="851"/>
        <w:gridCol w:w="708"/>
        <w:gridCol w:w="709"/>
        <w:gridCol w:w="709"/>
        <w:gridCol w:w="709"/>
      </w:tblGrid>
      <w:tr w14:paraId="7947DC98">
        <w:tblPrEx>
          <w:shd w:val="clear" w:color="auto" w:fill="FFFFFF"/>
          <w:tblCellMar>
            <w:top w:w="0" w:type="dxa"/>
            <w:left w:w="108" w:type="dxa"/>
            <w:bottom w:w="0" w:type="dxa"/>
            <w:right w:w="108" w:type="dxa"/>
          </w:tblCellMar>
        </w:tblPrEx>
        <w:trPr>
          <w:trHeight w:val="223" w:hRule="atLeast"/>
          <w:tblHeader/>
          <w:jc w:val="center"/>
        </w:trPr>
        <w:tc>
          <w:tcPr>
            <w:tcW w:w="479" w:type="dxa"/>
            <w:vMerge w:val="restart"/>
            <w:tcBorders>
              <w:top w:val="single" w:color="auto" w:sz="4" w:space="0"/>
              <w:left w:val="single" w:color="auto" w:sz="4" w:space="0"/>
              <w:right w:val="single" w:color="auto" w:sz="4" w:space="0"/>
            </w:tcBorders>
            <w:shd w:val="clear" w:color="auto" w:fill="FFFFFF"/>
            <w:noWrap/>
            <w:vAlign w:val="center"/>
          </w:tcPr>
          <w:p w14:paraId="11C9B600">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序号</w:t>
            </w:r>
          </w:p>
        </w:tc>
        <w:tc>
          <w:tcPr>
            <w:tcW w:w="764" w:type="dxa"/>
            <w:vMerge w:val="restart"/>
            <w:tcBorders>
              <w:top w:val="single" w:color="auto" w:sz="4" w:space="0"/>
              <w:left w:val="nil"/>
              <w:right w:val="single" w:color="auto" w:sz="4" w:space="0"/>
            </w:tcBorders>
            <w:shd w:val="clear" w:color="auto" w:fill="FFFFFF"/>
            <w:noWrap/>
            <w:vAlign w:val="center"/>
          </w:tcPr>
          <w:p w14:paraId="26D4B047">
            <w:pPr>
              <w:pStyle w:val="104"/>
              <w:ind w:left="-51" w:leftChars="-23" w:right="-68" w:rightChars="-31"/>
              <w:jc w:val="center"/>
              <w:rPr>
                <w:rFonts w:ascii="宋体" w:hAnsi="宋体" w:cs="宋体"/>
                <w:bCs/>
                <w:kern w:val="0"/>
                <w:sz w:val="16"/>
                <w:szCs w:val="16"/>
              </w:rPr>
            </w:pPr>
            <w:r>
              <w:rPr>
                <w:rFonts w:hint="eastAsia" w:ascii="宋体" w:hAnsi="宋体" w:cs="宋体"/>
                <w:bCs/>
                <w:kern w:val="0"/>
                <w:sz w:val="16"/>
                <w:szCs w:val="16"/>
              </w:rPr>
              <w:t>行业</w:t>
            </w:r>
          </w:p>
        </w:tc>
        <w:tc>
          <w:tcPr>
            <w:tcW w:w="2552" w:type="dxa"/>
            <w:gridSpan w:val="3"/>
            <w:tcBorders>
              <w:top w:val="single" w:color="auto" w:sz="4" w:space="0"/>
              <w:left w:val="nil"/>
              <w:bottom w:val="single" w:color="auto" w:sz="4" w:space="0"/>
              <w:right w:val="single" w:color="auto" w:sz="4" w:space="0"/>
            </w:tcBorders>
            <w:shd w:val="clear" w:color="auto" w:fill="FFFFFF"/>
            <w:noWrap/>
            <w:vAlign w:val="center"/>
          </w:tcPr>
          <w:p w14:paraId="0D449354">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大型企业</w:t>
            </w:r>
          </w:p>
        </w:tc>
        <w:tc>
          <w:tcPr>
            <w:tcW w:w="2410" w:type="dxa"/>
            <w:gridSpan w:val="3"/>
            <w:tcBorders>
              <w:top w:val="single" w:color="auto" w:sz="4" w:space="0"/>
              <w:left w:val="nil"/>
              <w:bottom w:val="single" w:color="auto" w:sz="4" w:space="0"/>
              <w:right w:val="single" w:color="auto" w:sz="4" w:space="0"/>
            </w:tcBorders>
            <w:shd w:val="clear" w:color="auto" w:fill="FFFFFF"/>
            <w:noWrap/>
            <w:vAlign w:val="center"/>
          </w:tcPr>
          <w:p w14:paraId="0FD3D999">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中型企业</w:t>
            </w:r>
          </w:p>
        </w:tc>
        <w:tc>
          <w:tcPr>
            <w:tcW w:w="2409" w:type="dxa"/>
            <w:gridSpan w:val="3"/>
            <w:tcBorders>
              <w:top w:val="single" w:color="auto" w:sz="4" w:space="0"/>
              <w:left w:val="nil"/>
              <w:bottom w:val="single" w:color="auto" w:sz="4" w:space="0"/>
              <w:right w:val="single" w:color="auto" w:sz="4" w:space="0"/>
            </w:tcBorders>
            <w:shd w:val="clear" w:color="auto" w:fill="FFFFFF"/>
            <w:noWrap/>
            <w:vAlign w:val="center"/>
          </w:tcPr>
          <w:p w14:paraId="127E7C3E">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小型企业</w:t>
            </w:r>
          </w:p>
        </w:tc>
        <w:tc>
          <w:tcPr>
            <w:tcW w:w="2127" w:type="dxa"/>
            <w:gridSpan w:val="3"/>
            <w:tcBorders>
              <w:top w:val="single" w:color="auto" w:sz="4" w:space="0"/>
              <w:left w:val="nil"/>
              <w:bottom w:val="single" w:color="auto" w:sz="4" w:space="0"/>
              <w:right w:val="single" w:color="auto" w:sz="4" w:space="0"/>
            </w:tcBorders>
            <w:shd w:val="clear" w:color="auto" w:fill="FFFFFF"/>
            <w:noWrap/>
            <w:vAlign w:val="center"/>
          </w:tcPr>
          <w:p w14:paraId="1B300A59">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微型企业</w:t>
            </w:r>
          </w:p>
        </w:tc>
      </w:tr>
      <w:tr w14:paraId="4E62B720">
        <w:tblPrEx>
          <w:shd w:val="clear" w:color="auto" w:fill="FFFFFF"/>
          <w:tblCellMar>
            <w:top w:w="0" w:type="dxa"/>
            <w:left w:w="108" w:type="dxa"/>
            <w:bottom w:w="0" w:type="dxa"/>
            <w:right w:w="108" w:type="dxa"/>
          </w:tblCellMar>
        </w:tblPrEx>
        <w:trPr>
          <w:trHeight w:val="686" w:hRule="atLeast"/>
          <w:tblHeader/>
          <w:jc w:val="center"/>
        </w:trPr>
        <w:tc>
          <w:tcPr>
            <w:tcW w:w="479" w:type="dxa"/>
            <w:vMerge w:val="continue"/>
            <w:tcBorders>
              <w:left w:val="single" w:color="auto" w:sz="4" w:space="0"/>
              <w:bottom w:val="single" w:color="auto" w:sz="4" w:space="0"/>
              <w:right w:val="single" w:color="auto" w:sz="4" w:space="0"/>
            </w:tcBorders>
            <w:shd w:val="clear" w:color="auto" w:fill="FFFFFF"/>
            <w:noWrap/>
            <w:vAlign w:val="center"/>
          </w:tcPr>
          <w:p w14:paraId="47BC9787">
            <w:pPr>
              <w:pStyle w:val="104"/>
              <w:ind w:left="-51" w:leftChars="-23" w:right="-68" w:rightChars="-31"/>
              <w:jc w:val="center"/>
              <w:rPr>
                <w:rFonts w:ascii="宋体" w:hAnsi="宋体" w:cs="宋体"/>
                <w:bCs/>
                <w:kern w:val="0"/>
                <w:sz w:val="18"/>
                <w:szCs w:val="18"/>
              </w:rPr>
            </w:pPr>
          </w:p>
        </w:tc>
        <w:tc>
          <w:tcPr>
            <w:tcW w:w="764" w:type="dxa"/>
            <w:vMerge w:val="continue"/>
            <w:tcBorders>
              <w:left w:val="nil"/>
              <w:bottom w:val="single" w:color="auto" w:sz="4" w:space="0"/>
              <w:right w:val="single" w:color="auto" w:sz="4" w:space="0"/>
            </w:tcBorders>
            <w:shd w:val="clear" w:color="auto" w:fill="FFFFFF"/>
            <w:noWrap/>
            <w:vAlign w:val="center"/>
          </w:tcPr>
          <w:p w14:paraId="608F3FBB">
            <w:pPr>
              <w:pStyle w:val="104"/>
              <w:ind w:left="-51" w:leftChars="-23" w:right="-68" w:rightChars="-31"/>
              <w:jc w:val="left"/>
              <w:rPr>
                <w:rFonts w:ascii="宋体" w:hAnsi="宋体" w:cs="宋体"/>
                <w:bCs/>
                <w:kern w:val="0"/>
                <w:sz w:val="16"/>
                <w:szCs w:val="16"/>
              </w:rPr>
            </w:pPr>
          </w:p>
        </w:tc>
        <w:tc>
          <w:tcPr>
            <w:tcW w:w="851" w:type="dxa"/>
            <w:tcBorders>
              <w:top w:val="nil"/>
              <w:left w:val="nil"/>
              <w:bottom w:val="single" w:color="auto" w:sz="4" w:space="0"/>
              <w:right w:val="single" w:color="auto" w:sz="4" w:space="0"/>
            </w:tcBorders>
            <w:shd w:val="clear" w:color="auto" w:fill="FFFFFF"/>
            <w:noWrap/>
            <w:vAlign w:val="center"/>
          </w:tcPr>
          <w:p w14:paraId="1F03BCFA">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营业收入(万元)</w:t>
            </w:r>
          </w:p>
        </w:tc>
        <w:tc>
          <w:tcPr>
            <w:tcW w:w="850" w:type="dxa"/>
            <w:tcBorders>
              <w:top w:val="nil"/>
              <w:left w:val="nil"/>
              <w:bottom w:val="single" w:color="auto" w:sz="4" w:space="0"/>
              <w:right w:val="single" w:color="auto" w:sz="4" w:space="0"/>
            </w:tcBorders>
            <w:shd w:val="clear" w:color="auto" w:fill="FFFFFF"/>
            <w:noWrap/>
            <w:vAlign w:val="center"/>
          </w:tcPr>
          <w:p w14:paraId="1D586F03">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从业人员(人)</w:t>
            </w:r>
          </w:p>
        </w:tc>
        <w:tc>
          <w:tcPr>
            <w:tcW w:w="851" w:type="dxa"/>
            <w:tcBorders>
              <w:top w:val="nil"/>
              <w:left w:val="nil"/>
              <w:bottom w:val="single" w:color="auto" w:sz="4" w:space="0"/>
              <w:right w:val="single" w:color="auto" w:sz="4" w:space="0"/>
            </w:tcBorders>
            <w:shd w:val="clear" w:color="auto" w:fill="FFFFFF"/>
            <w:noWrap/>
            <w:vAlign w:val="center"/>
          </w:tcPr>
          <w:p w14:paraId="2DE6B76C">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总资产(万元)</w:t>
            </w:r>
          </w:p>
        </w:tc>
        <w:tc>
          <w:tcPr>
            <w:tcW w:w="850" w:type="dxa"/>
            <w:tcBorders>
              <w:top w:val="nil"/>
              <w:left w:val="nil"/>
              <w:bottom w:val="single" w:color="auto" w:sz="4" w:space="0"/>
              <w:right w:val="single" w:color="auto" w:sz="4" w:space="0"/>
            </w:tcBorders>
            <w:shd w:val="clear" w:color="auto" w:fill="FFFFFF"/>
            <w:noWrap/>
            <w:vAlign w:val="center"/>
          </w:tcPr>
          <w:p w14:paraId="2634BC41">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营业收入(万元)</w:t>
            </w:r>
          </w:p>
        </w:tc>
        <w:tc>
          <w:tcPr>
            <w:tcW w:w="709" w:type="dxa"/>
            <w:tcBorders>
              <w:top w:val="nil"/>
              <w:left w:val="nil"/>
              <w:bottom w:val="single" w:color="auto" w:sz="4" w:space="0"/>
              <w:right w:val="single" w:color="auto" w:sz="4" w:space="0"/>
            </w:tcBorders>
            <w:shd w:val="clear" w:color="auto" w:fill="FFFFFF"/>
            <w:noWrap/>
            <w:vAlign w:val="center"/>
          </w:tcPr>
          <w:p w14:paraId="646F6778">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从业人员(人)</w:t>
            </w:r>
          </w:p>
        </w:tc>
        <w:tc>
          <w:tcPr>
            <w:tcW w:w="851" w:type="dxa"/>
            <w:tcBorders>
              <w:top w:val="nil"/>
              <w:left w:val="nil"/>
              <w:bottom w:val="single" w:color="auto" w:sz="4" w:space="0"/>
              <w:right w:val="single" w:color="auto" w:sz="4" w:space="0"/>
            </w:tcBorders>
            <w:shd w:val="clear" w:color="auto" w:fill="FFFFFF"/>
            <w:noWrap/>
            <w:vAlign w:val="center"/>
          </w:tcPr>
          <w:p w14:paraId="12B92B92">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总资产(万元)</w:t>
            </w:r>
          </w:p>
        </w:tc>
        <w:tc>
          <w:tcPr>
            <w:tcW w:w="850" w:type="dxa"/>
            <w:tcBorders>
              <w:top w:val="nil"/>
              <w:left w:val="nil"/>
              <w:bottom w:val="single" w:color="auto" w:sz="4" w:space="0"/>
              <w:right w:val="single" w:color="auto" w:sz="4" w:space="0"/>
            </w:tcBorders>
            <w:shd w:val="clear" w:color="auto" w:fill="FFFFFF"/>
            <w:noWrap/>
            <w:vAlign w:val="center"/>
          </w:tcPr>
          <w:p w14:paraId="636C80C6">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营业收入(万元)</w:t>
            </w:r>
          </w:p>
        </w:tc>
        <w:tc>
          <w:tcPr>
            <w:tcW w:w="851" w:type="dxa"/>
            <w:tcBorders>
              <w:top w:val="nil"/>
              <w:left w:val="nil"/>
              <w:bottom w:val="single" w:color="auto" w:sz="4" w:space="0"/>
              <w:right w:val="single" w:color="auto" w:sz="4" w:space="0"/>
            </w:tcBorders>
            <w:shd w:val="clear" w:color="auto" w:fill="FFFFFF"/>
            <w:noWrap/>
            <w:vAlign w:val="center"/>
          </w:tcPr>
          <w:p w14:paraId="7E66C863">
            <w:pPr>
              <w:pStyle w:val="104"/>
              <w:ind w:left="91" w:leftChars="-23" w:right="-68" w:rightChars="-31" w:hanging="142" w:hangingChars="79"/>
              <w:jc w:val="center"/>
              <w:rPr>
                <w:rFonts w:ascii="宋体" w:hAnsi="宋体" w:cs="宋体"/>
                <w:bCs/>
                <w:kern w:val="0"/>
                <w:sz w:val="18"/>
                <w:szCs w:val="18"/>
              </w:rPr>
            </w:pPr>
            <w:r>
              <w:rPr>
                <w:rFonts w:hint="eastAsia" w:ascii="宋体" w:hAnsi="宋体" w:cs="宋体"/>
                <w:bCs/>
                <w:kern w:val="0"/>
                <w:sz w:val="18"/>
                <w:szCs w:val="18"/>
              </w:rPr>
              <w:t>从业人员(人)</w:t>
            </w:r>
          </w:p>
        </w:tc>
        <w:tc>
          <w:tcPr>
            <w:tcW w:w="708" w:type="dxa"/>
            <w:tcBorders>
              <w:top w:val="nil"/>
              <w:left w:val="nil"/>
              <w:bottom w:val="single" w:color="auto" w:sz="4" w:space="0"/>
              <w:right w:val="single" w:color="auto" w:sz="4" w:space="0"/>
            </w:tcBorders>
            <w:shd w:val="clear" w:color="auto" w:fill="FFFFFF"/>
            <w:noWrap/>
            <w:vAlign w:val="center"/>
          </w:tcPr>
          <w:p w14:paraId="2BE3AF69">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总资产(万元)</w:t>
            </w:r>
          </w:p>
        </w:tc>
        <w:tc>
          <w:tcPr>
            <w:tcW w:w="709" w:type="dxa"/>
            <w:tcBorders>
              <w:top w:val="nil"/>
              <w:left w:val="nil"/>
              <w:bottom w:val="single" w:color="auto" w:sz="4" w:space="0"/>
              <w:right w:val="single" w:color="auto" w:sz="4" w:space="0"/>
            </w:tcBorders>
            <w:shd w:val="clear" w:color="auto" w:fill="FFFFFF"/>
            <w:noWrap/>
            <w:vAlign w:val="center"/>
          </w:tcPr>
          <w:p w14:paraId="1805B34C">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营业收入(万元)</w:t>
            </w:r>
          </w:p>
        </w:tc>
        <w:tc>
          <w:tcPr>
            <w:tcW w:w="709" w:type="dxa"/>
            <w:tcBorders>
              <w:top w:val="nil"/>
              <w:left w:val="nil"/>
              <w:bottom w:val="single" w:color="auto" w:sz="4" w:space="0"/>
              <w:right w:val="single" w:color="auto" w:sz="4" w:space="0"/>
            </w:tcBorders>
            <w:shd w:val="clear" w:color="auto" w:fill="FFFFFF"/>
            <w:noWrap/>
            <w:vAlign w:val="center"/>
          </w:tcPr>
          <w:p w14:paraId="6B3C46F3">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从业人员(人)</w:t>
            </w:r>
          </w:p>
        </w:tc>
        <w:tc>
          <w:tcPr>
            <w:tcW w:w="709" w:type="dxa"/>
            <w:tcBorders>
              <w:top w:val="nil"/>
              <w:left w:val="nil"/>
              <w:bottom w:val="single" w:color="auto" w:sz="4" w:space="0"/>
              <w:right w:val="single" w:color="auto" w:sz="4" w:space="0"/>
            </w:tcBorders>
            <w:shd w:val="clear" w:color="auto" w:fill="FFFFFF"/>
            <w:noWrap/>
            <w:vAlign w:val="center"/>
          </w:tcPr>
          <w:p w14:paraId="2EE075D6">
            <w:pPr>
              <w:pStyle w:val="104"/>
              <w:ind w:left="-51" w:leftChars="-23" w:right="-68" w:rightChars="-31"/>
              <w:jc w:val="center"/>
              <w:rPr>
                <w:rFonts w:ascii="宋体" w:hAnsi="宋体" w:cs="宋体"/>
                <w:bCs/>
                <w:kern w:val="0"/>
                <w:sz w:val="18"/>
                <w:szCs w:val="18"/>
              </w:rPr>
            </w:pPr>
            <w:r>
              <w:rPr>
                <w:rFonts w:hint="eastAsia" w:ascii="宋体" w:hAnsi="宋体" w:cs="宋体"/>
                <w:bCs/>
                <w:kern w:val="0"/>
                <w:sz w:val="18"/>
                <w:szCs w:val="18"/>
              </w:rPr>
              <w:t>总资产(万元)</w:t>
            </w:r>
          </w:p>
        </w:tc>
      </w:tr>
      <w:tr w14:paraId="0AC6B45B">
        <w:tblPrEx>
          <w:shd w:val="clear" w:color="auto" w:fill="FFFFFF"/>
          <w:tblCellMar>
            <w:top w:w="0" w:type="dxa"/>
            <w:left w:w="108" w:type="dxa"/>
            <w:bottom w:w="0" w:type="dxa"/>
            <w:right w:w="108" w:type="dxa"/>
          </w:tblCellMar>
        </w:tblPrEx>
        <w:trPr>
          <w:trHeight w:val="366" w:hRule="atLeast"/>
          <w:jc w:val="center"/>
        </w:trPr>
        <w:tc>
          <w:tcPr>
            <w:tcW w:w="47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028BC2D">
            <w:pPr>
              <w:pStyle w:val="104"/>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w:t>
            </w:r>
          </w:p>
        </w:tc>
        <w:tc>
          <w:tcPr>
            <w:tcW w:w="764" w:type="dxa"/>
            <w:tcBorders>
              <w:top w:val="single" w:color="auto" w:sz="4" w:space="0"/>
              <w:left w:val="nil"/>
              <w:bottom w:val="single" w:color="auto" w:sz="4" w:space="0"/>
              <w:right w:val="single" w:color="auto" w:sz="4" w:space="0"/>
            </w:tcBorders>
            <w:shd w:val="clear" w:color="auto" w:fill="FFFFFF"/>
            <w:noWrap/>
            <w:vAlign w:val="center"/>
          </w:tcPr>
          <w:p w14:paraId="1AA0820D">
            <w:pPr>
              <w:pStyle w:val="104"/>
              <w:ind w:left="-29" w:leftChars="-13" w:right="-68" w:rightChars="-31"/>
              <w:jc w:val="left"/>
              <w:rPr>
                <w:rFonts w:ascii="宋体" w:hAnsi="宋体" w:cs="宋体"/>
                <w:bCs/>
                <w:kern w:val="0"/>
                <w:sz w:val="16"/>
                <w:szCs w:val="16"/>
              </w:rPr>
            </w:pPr>
            <w:r>
              <w:rPr>
                <w:rFonts w:hint="eastAsia" w:ascii="宋体" w:hAnsi="宋体" w:cs="宋体"/>
                <w:bCs/>
                <w:kern w:val="0"/>
                <w:sz w:val="16"/>
                <w:szCs w:val="16"/>
              </w:rPr>
              <w:t>农、林、牧、渔业</w:t>
            </w:r>
          </w:p>
        </w:tc>
        <w:tc>
          <w:tcPr>
            <w:tcW w:w="851" w:type="dxa"/>
            <w:tcBorders>
              <w:top w:val="single" w:color="auto" w:sz="4" w:space="0"/>
              <w:left w:val="nil"/>
              <w:bottom w:val="single" w:color="auto" w:sz="4" w:space="0"/>
              <w:right w:val="single" w:color="auto" w:sz="4" w:space="0"/>
            </w:tcBorders>
            <w:shd w:val="clear" w:color="auto" w:fill="FFFFFF"/>
            <w:noWrap/>
            <w:vAlign w:val="center"/>
          </w:tcPr>
          <w:p w14:paraId="24E6093F">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≥20000</w:t>
            </w:r>
          </w:p>
        </w:tc>
        <w:tc>
          <w:tcPr>
            <w:tcW w:w="850" w:type="dxa"/>
            <w:tcBorders>
              <w:top w:val="nil"/>
              <w:left w:val="nil"/>
              <w:bottom w:val="single" w:color="auto" w:sz="4" w:space="0"/>
              <w:right w:val="single" w:color="auto" w:sz="4" w:space="0"/>
            </w:tcBorders>
            <w:shd w:val="clear" w:color="auto" w:fill="FFFFFF"/>
            <w:noWrap/>
            <w:vAlign w:val="center"/>
          </w:tcPr>
          <w:p w14:paraId="0DA2E0EB">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1" w:type="dxa"/>
            <w:tcBorders>
              <w:top w:val="nil"/>
              <w:left w:val="nil"/>
              <w:bottom w:val="single" w:color="auto" w:sz="4" w:space="0"/>
              <w:right w:val="single" w:color="auto" w:sz="4" w:space="0"/>
            </w:tcBorders>
            <w:shd w:val="clear" w:color="auto" w:fill="FFFFFF"/>
            <w:noWrap/>
            <w:vAlign w:val="center"/>
          </w:tcPr>
          <w:p w14:paraId="0F1A5DF9">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17AFF447">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≥500</w:t>
            </w:r>
          </w:p>
        </w:tc>
        <w:tc>
          <w:tcPr>
            <w:tcW w:w="709" w:type="dxa"/>
            <w:tcBorders>
              <w:top w:val="nil"/>
              <w:left w:val="nil"/>
              <w:bottom w:val="single" w:color="auto" w:sz="4" w:space="0"/>
              <w:right w:val="single" w:color="auto" w:sz="4" w:space="0"/>
            </w:tcBorders>
            <w:shd w:val="clear" w:color="auto" w:fill="FFFFFF"/>
            <w:noWrap/>
            <w:vAlign w:val="center"/>
          </w:tcPr>
          <w:p w14:paraId="4F72FDE0">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1" w:type="dxa"/>
            <w:tcBorders>
              <w:top w:val="nil"/>
              <w:left w:val="nil"/>
              <w:bottom w:val="single" w:color="auto" w:sz="4" w:space="0"/>
              <w:right w:val="single" w:color="auto" w:sz="4" w:space="0"/>
            </w:tcBorders>
            <w:shd w:val="clear" w:color="auto" w:fill="FFFFFF"/>
            <w:noWrap/>
            <w:vAlign w:val="center"/>
          </w:tcPr>
          <w:p w14:paraId="3DA048AA">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7277CAA4">
            <w:pPr>
              <w:pStyle w:val="104"/>
              <w:widowControl/>
              <w:jc w:val="center"/>
              <w:rPr>
                <w:rFonts w:ascii="宋体" w:hAnsi="宋体" w:cs="宋体"/>
                <w:bCs/>
                <w:kern w:val="0"/>
                <w:sz w:val="18"/>
                <w:szCs w:val="18"/>
              </w:rPr>
            </w:pPr>
            <w:r>
              <w:rPr>
                <w:rFonts w:hint="eastAsia" w:ascii="宋体" w:hAnsi="宋体" w:cs="宋体"/>
                <w:bCs/>
                <w:kern w:val="0"/>
                <w:sz w:val="18"/>
                <w:szCs w:val="18"/>
              </w:rPr>
              <w:t>≥50</w:t>
            </w:r>
          </w:p>
        </w:tc>
        <w:tc>
          <w:tcPr>
            <w:tcW w:w="851" w:type="dxa"/>
            <w:tcBorders>
              <w:top w:val="nil"/>
              <w:left w:val="nil"/>
              <w:bottom w:val="single" w:color="auto" w:sz="4" w:space="0"/>
              <w:right w:val="single" w:color="auto" w:sz="4" w:space="0"/>
            </w:tcBorders>
            <w:shd w:val="clear" w:color="auto" w:fill="FFFFFF"/>
            <w:noWrap/>
            <w:vAlign w:val="center"/>
          </w:tcPr>
          <w:p w14:paraId="7AED57E1">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8" w:type="dxa"/>
            <w:tcBorders>
              <w:top w:val="nil"/>
              <w:left w:val="nil"/>
              <w:bottom w:val="single" w:color="auto" w:sz="4" w:space="0"/>
              <w:right w:val="single" w:color="auto" w:sz="4" w:space="0"/>
            </w:tcBorders>
            <w:shd w:val="clear" w:color="auto" w:fill="FFFFFF"/>
            <w:noWrap/>
            <w:vAlign w:val="center"/>
          </w:tcPr>
          <w:p w14:paraId="10917C1B">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56608F2E">
            <w:pPr>
              <w:pStyle w:val="104"/>
              <w:widowControl/>
              <w:jc w:val="center"/>
              <w:rPr>
                <w:rFonts w:ascii="宋体" w:hAnsi="宋体" w:cs="宋体"/>
                <w:bCs/>
                <w:kern w:val="0"/>
                <w:sz w:val="18"/>
                <w:szCs w:val="18"/>
              </w:rPr>
            </w:pPr>
            <w:r>
              <w:rPr>
                <w:rFonts w:hint="eastAsia" w:ascii="宋体" w:hAnsi="宋体" w:cs="宋体"/>
                <w:bCs/>
                <w:kern w:val="0"/>
                <w:sz w:val="18"/>
                <w:szCs w:val="18"/>
              </w:rPr>
              <w:t>＜50</w:t>
            </w:r>
          </w:p>
        </w:tc>
        <w:tc>
          <w:tcPr>
            <w:tcW w:w="709" w:type="dxa"/>
            <w:tcBorders>
              <w:top w:val="nil"/>
              <w:left w:val="nil"/>
              <w:bottom w:val="single" w:color="auto" w:sz="4" w:space="0"/>
              <w:right w:val="single" w:color="auto" w:sz="4" w:space="0"/>
            </w:tcBorders>
            <w:shd w:val="clear" w:color="auto" w:fill="FFFFFF"/>
            <w:noWrap/>
            <w:vAlign w:val="center"/>
          </w:tcPr>
          <w:p w14:paraId="4531FA15">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382E4E52">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r>
      <w:tr w14:paraId="29ACBA23">
        <w:tblPrEx>
          <w:shd w:val="clear" w:color="auto" w:fill="FFFFFF"/>
          <w:tblCellMar>
            <w:top w:w="0" w:type="dxa"/>
            <w:left w:w="108" w:type="dxa"/>
            <w:bottom w:w="0" w:type="dxa"/>
            <w:right w:w="108" w:type="dxa"/>
          </w:tblCellMar>
        </w:tblPrEx>
        <w:trPr>
          <w:trHeight w:val="193" w:hRule="atLeast"/>
          <w:jc w:val="center"/>
        </w:trPr>
        <w:tc>
          <w:tcPr>
            <w:tcW w:w="479" w:type="dxa"/>
            <w:tcBorders>
              <w:top w:val="nil"/>
              <w:left w:val="single" w:color="auto" w:sz="4" w:space="0"/>
              <w:bottom w:val="single" w:color="auto" w:sz="4" w:space="0"/>
              <w:right w:val="single" w:color="auto" w:sz="4" w:space="0"/>
            </w:tcBorders>
            <w:shd w:val="clear" w:color="auto" w:fill="FFFFFF"/>
            <w:noWrap/>
            <w:vAlign w:val="center"/>
          </w:tcPr>
          <w:p w14:paraId="3DDCC37A">
            <w:pPr>
              <w:pStyle w:val="104"/>
              <w:widowControl/>
              <w:ind w:left="-112" w:leftChars="-51" w:right="-112" w:rightChars="-51"/>
              <w:jc w:val="center"/>
              <w:rPr>
                <w:rFonts w:ascii="宋体" w:hAnsi="宋体" w:cs="宋体"/>
                <w:b/>
                <w:kern w:val="0"/>
                <w:sz w:val="18"/>
                <w:szCs w:val="18"/>
              </w:rPr>
            </w:pPr>
            <w:r>
              <w:rPr>
                <w:rFonts w:hint="eastAsia" w:ascii="宋体" w:hAnsi="宋体" w:cs="宋体"/>
                <w:b/>
                <w:kern w:val="0"/>
                <w:sz w:val="18"/>
                <w:szCs w:val="18"/>
              </w:rPr>
              <w:t>2</w:t>
            </w:r>
          </w:p>
        </w:tc>
        <w:tc>
          <w:tcPr>
            <w:tcW w:w="764" w:type="dxa"/>
            <w:tcBorders>
              <w:top w:val="nil"/>
              <w:left w:val="nil"/>
              <w:bottom w:val="single" w:color="auto" w:sz="4" w:space="0"/>
              <w:right w:val="single" w:color="auto" w:sz="4" w:space="0"/>
            </w:tcBorders>
            <w:shd w:val="clear" w:color="auto" w:fill="FFFFFF"/>
            <w:noWrap/>
            <w:vAlign w:val="center"/>
          </w:tcPr>
          <w:p w14:paraId="571FC621">
            <w:pPr>
              <w:pStyle w:val="104"/>
              <w:ind w:left="-29" w:leftChars="-13" w:right="-68" w:rightChars="-31"/>
              <w:jc w:val="left"/>
              <w:rPr>
                <w:rFonts w:ascii="宋体" w:hAnsi="宋体" w:cs="宋体"/>
                <w:b/>
                <w:kern w:val="0"/>
                <w:sz w:val="16"/>
                <w:szCs w:val="16"/>
              </w:rPr>
            </w:pPr>
            <w:r>
              <w:rPr>
                <w:rFonts w:hint="eastAsia" w:ascii="宋体" w:hAnsi="宋体" w:cs="宋体"/>
                <w:b/>
                <w:kern w:val="0"/>
                <w:sz w:val="16"/>
                <w:szCs w:val="16"/>
              </w:rPr>
              <w:t>工业</w:t>
            </w:r>
          </w:p>
        </w:tc>
        <w:tc>
          <w:tcPr>
            <w:tcW w:w="851" w:type="dxa"/>
            <w:tcBorders>
              <w:top w:val="nil"/>
              <w:left w:val="nil"/>
              <w:bottom w:val="single" w:color="auto" w:sz="4" w:space="0"/>
              <w:right w:val="single" w:color="auto" w:sz="4" w:space="0"/>
            </w:tcBorders>
            <w:shd w:val="clear" w:color="auto" w:fill="FFFFFF"/>
            <w:noWrap/>
            <w:vAlign w:val="center"/>
          </w:tcPr>
          <w:p w14:paraId="293C2B79">
            <w:pPr>
              <w:pStyle w:val="104"/>
              <w:widowControl/>
              <w:ind w:left="-112" w:leftChars="-51" w:right="-112" w:rightChars="-51"/>
              <w:jc w:val="center"/>
              <w:rPr>
                <w:rFonts w:ascii="宋体" w:hAnsi="宋体" w:cs="宋体"/>
                <w:b/>
                <w:kern w:val="0"/>
                <w:sz w:val="18"/>
                <w:szCs w:val="18"/>
              </w:rPr>
            </w:pPr>
            <w:r>
              <w:rPr>
                <w:rFonts w:hint="eastAsia" w:ascii="宋体" w:hAnsi="宋体" w:cs="宋体"/>
                <w:b/>
                <w:kern w:val="0"/>
                <w:sz w:val="18"/>
                <w:szCs w:val="18"/>
              </w:rPr>
              <w:t>≥40000</w:t>
            </w:r>
          </w:p>
        </w:tc>
        <w:tc>
          <w:tcPr>
            <w:tcW w:w="850" w:type="dxa"/>
            <w:tcBorders>
              <w:top w:val="nil"/>
              <w:left w:val="nil"/>
              <w:bottom w:val="single" w:color="auto" w:sz="4" w:space="0"/>
              <w:right w:val="single" w:color="auto" w:sz="4" w:space="0"/>
            </w:tcBorders>
            <w:shd w:val="clear" w:color="auto" w:fill="FFFFFF"/>
            <w:noWrap/>
            <w:vAlign w:val="center"/>
          </w:tcPr>
          <w:p w14:paraId="564CEEB5">
            <w:pPr>
              <w:pStyle w:val="104"/>
              <w:widowControl/>
              <w:ind w:left="-112" w:leftChars="-51" w:right="-112" w:rightChars="-51"/>
              <w:jc w:val="center"/>
              <w:rPr>
                <w:rFonts w:ascii="宋体" w:hAnsi="宋体" w:cs="宋体"/>
                <w:b/>
                <w:kern w:val="0"/>
                <w:sz w:val="18"/>
                <w:szCs w:val="18"/>
              </w:rPr>
            </w:pPr>
            <w:r>
              <w:rPr>
                <w:rFonts w:hint="eastAsia" w:ascii="宋体" w:hAnsi="宋体" w:cs="宋体"/>
                <w:b/>
                <w:kern w:val="0"/>
                <w:sz w:val="18"/>
                <w:szCs w:val="18"/>
              </w:rPr>
              <w:t>且≥1000</w:t>
            </w:r>
          </w:p>
        </w:tc>
        <w:tc>
          <w:tcPr>
            <w:tcW w:w="851" w:type="dxa"/>
            <w:tcBorders>
              <w:top w:val="nil"/>
              <w:left w:val="nil"/>
              <w:bottom w:val="single" w:color="auto" w:sz="4" w:space="0"/>
              <w:right w:val="single" w:color="auto" w:sz="4" w:space="0"/>
            </w:tcBorders>
            <w:shd w:val="clear" w:color="auto" w:fill="FFFFFF"/>
            <w:noWrap/>
            <w:vAlign w:val="center"/>
          </w:tcPr>
          <w:p w14:paraId="24A143B1">
            <w:pPr>
              <w:pStyle w:val="104"/>
              <w:widowControl/>
              <w:ind w:left="-112" w:leftChars="-51" w:right="-112" w:rightChars="-51"/>
              <w:jc w:val="center"/>
              <w:rPr>
                <w:rFonts w:ascii="宋体" w:hAnsi="宋体" w:cs="宋体"/>
                <w:b/>
                <w:kern w:val="0"/>
                <w:sz w:val="18"/>
                <w:szCs w:val="18"/>
              </w:rPr>
            </w:pPr>
            <w:r>
              <w:rPr>
                <w:rFonts w:hint="eastAsia" w:ascii="宋体" w:hAnsi="宋体" w:cs="宋体"/>
                <w:b/>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3BD39134">
            <w:pPr>
              <w:pStyle w:val="104"/>
              <w:widowControl/>
              <w:ind w:left="-112" w:leftChars="-51" w:right="-112" w:rightChars="-51"/>
              <w:jc w:val="center"/>
              <w:rPr>
                <w:rFonts w:ascii="宋体" w:hAnsi="宋体" w:cs="宋体"/>
                <w:b/>
                <w:kern w:val="0"/>
                <w:sz w:val="18"/>
                <w:szCs w:val="18"/>
              </w:rPr>
            </w:pPr>
            <w:r>
              <w:rPr>
                <w:rFonts w:hint="eastAsia" w:ascii="宋体" w:hAnsi="宋体" w:cs="宋体"/>
                <w:b/>
                <w:kern w:val="0"/>
                <w:sz w:val="18"/>
                <w:szCs w:val="18"/>
              </w:rPr>
              <w:t>≥2000</w:t>
            </w:r>
          </w:p>
        </w:tc>
        <w:tc>
          <w:tcPr>
            <w:tcW w:w="709" w:type="dxa"/>
            <w:tcBorders>
              <w:top w:val="nil"/>
              <w:left w:val="nil"/>
              <w:bottom w:val="single" w:color="auto" w:sz="4" w:space="0"/>
              <w:right w:val="single" w:color="auto" w:sz="4" w:space="0"/>
            </w:tcBorders>
            <w:shd w:val="clear" w:color="auto" w:fill="FFFFFF"/>
            <w:noWrap/>
            <w:vAlign w:val="center"/>
          </w:tcPr>
          <w:p w14:paraId="6072AAA2">
            <w:pPr>
              <w:pStyle w:val="104"/>
              <w:widowControl/>
              <w:ind w:left="-112" w:leftChars="-51" w:right="-112" w:rightChars="-51"/>
              <w:jc w:val="center"/>
              <w:rPr>
                <w:rFonts w:ascii="宋体" w:hAnsi="宋体" w:cs="宋体"/>
                <w:b/>
                <w:kern w:val="0"/>
                <w:sz w:val="18"/>
                <w:szCs w:val="18"/>
              </w:rPr>
            </w:pPr>
            <w:r>
              <w:rPr>
                <w:rFonts w:hint="eastAsia" w:ascii="宋体" w:hAnsi="宋体" w:cs="宋体"/>
                <w:b/>
                <w:kern w:val="0"/>
                <w:sz w:val="18"/>
                <w:szCs w:val="18"/>
              </w:rPr>
              <w:t>且≥300</w:t>
            </w:r>
          </w:p>
        </w:tc>
        <w:tc>
          <w:tcPr>
            <w:tcW w:w="851" w:type="dxa"/>
            <w:tcBorders>
              <w:top w:val="nil"/>
              <w:left w:val="nil"/>
              <w:bottom w:val="single" w:color="auto" w:sz="4" w:space="0"/>
              <w:right w:val="single" w:color="auto" w:sz="4" w:space="0"/>
            </w:tcBorders>
            <w:shd w:val="clear" w:color="auto" w:fill="FFFFFF"/>
            <w:noWrap/>
            <w:vAlign w:val="center"/>
          </w:tcPr>
          <w:p w14:paraId="7F0B6CC3">
            <w:pPr>
              <w:pStyle w:val="104"/>
              <w:widowControl/>
              <w:jc w:val="center"/>
              <w:rPr>
                <w:rFonts w:ascii="宋体" w:hAnsi="宋体" w:cs="宋体"/>
                <w:b/>
                <w:kern w:val="0"/>
                <w:sz w:val="18"/>
                <w:szCs w:val="18"/>
              </w:rPr>
            </w:pPr>
            <w:r>
              <w:rPr>
                <w:rFonts w:hint="eastAsia" w:ascii="宋体" w:hAnsi="宋体" w:cs="宋体"/>
                <w:b/>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23938B25">
            <w:pPr>
              <w:pStyle w:val="104"/>
              <w:widowControl/>
              <w:jc w:val="center"/>
              <w:rPr>
                <w:rFonts w:ascii="宋体" w:hAnsi="宋体" w:cs="宋体"/>
                <w:b/>
                <w:kern w:val="0"/>
                <w:sz w:val="18"/>
                <w:szCs w:val="18"/>
              </w:rPr>
            </w:pPr>
            <w:r>
              <w:rPr>
                <w:rFonts w:hint="eastAsia" w:ascii="宋体" w:hAnsi="宋体" w:cs="宋体"/>
                <w:b/>
                <w:kern w:val="0"/>
                <w:sz w:val="18"/>
                <w:szCs w:val="18"/>
              </w:rPr>
              <w:t>≥300</w:t>
            </w:r>
          </w:p>
        </w:tc>
        <w:tc>
          <w:tcPr>
            <w:tcW w:w="851" w:type="dxa"/>
            <w:tcBorders>
              <w:top w:val="nil"/>
              <w:left w:val="nil"/>
              <w:bottom w:val="single" w:color="auto" w:sz="4" w:space="0"/>
              <w:right w:val="single" w:color="auto" w:sz="4" w:space="0"/>
            </w:tcBorders>
            <w:shd w:val="clear" w:color="auto" w:fill="FFFFFF"/>
            <w:noWrap/>
            <w:vAlign w:val="center"/>
          </w:tcPr>
          <w:p w14:paraId="16CDC588">
            <w:pPr>
              <w:pStyle w:val="104"/>
              <w:widowControl/>
              <w:jc w:val="center"/>
              <w:rPr>
                <w:rFonts w:ascii="宋体" w:hAnsi="宋体" w:cs="宋体"/>
                <w:b/>
                <w:kern w:val="0"/>
                <w:sz w:val="18"/>
                <w:szCs w:val="18"/>
              </w:rPr>
            </w:pPr>
            <w:r>
              <w:rPr>
                <w:rFonts w:hint="eastAsia" w:ascii="宋体" w:hAnsi="宋体" w:cs="宋体"/>
                <w:b/>
                <w:kern w:val="0"/>
                <w:sz w:val="18"/>
                <w:szCs w:val="18"/>
              </w:rPr>
              <w:t>且≥20</w:t>
            </w:r>
          </w:p>
        </w:tc>
        <w:tc>
          <w:tcPr>
            <w:tcW w:w="708" w:type="dxa"/>
            <w:tcBorders>
              <w:top w:val="nil"/>
              <w:left w:val="nil"/>
              <w:bottom w:val="single" w:color="auto" w:sz="4" w:space="0"/>
              <w:right w:val="single" w:color="auto" w:sz="4" w:space="0"/>
            </w:tcBorders>
            <w:shd w:val="clear" w:color="auto" w:fill="FFFFFF"/>
            <w:noWrap/>
            <w:vAlign w:val="center"/>
          </w:tcPr>
          <w:p w14:paraId="74CB6BA5">
            <w:pPr>
              <w:pStyle w:val="104"/>
              <w:widowControl/>
              <w:jc w:val="center"/>
              <w:rPr>
                <w:rFonts w:ascii="宋体" w:hAnsi="宋体" w:cs="宋体"/>
                <w:b/>
                <w:kern w:val="0"/>
                <w:sz w:val="18"/>
                <w:szCs w:val="18"/>
              </w:rPr>
            </w:pPr>
            <w:r>
              <w:rPr>
                <w:rFonts w:hint="eastAsia" w:ascii="宋体" w:hAnsi="宋体" w:cs="宋体"/>
                <w:b/>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63AA5448">
            <w:pPr>
              <w:pStyle w:val="104"/>
              <w:widowControl/>
              <w:jc w:val="center"/>
              <w:rPr>
                <w:rFonts w:ascii="宋体" w:hAnsi="宋体" w:cs="宋体"/>
                <w:b/>
                <w:kern w:val="0"/>
                <w:sz w:val="18"/>
                <w:szCs w:val="18"/>
              </w:rPr>
            </w:pPr>
            <w:r>
              <w:rPr>
                <w:rFonts w:hint="eastAsia" w:ascii="宋体" w:hAnsi="宋体" w:cs="宋体"/>
                <w:b/>
                <w:kern w:val="0"/>
                <w:sz w:val="18"/>
                <w:szCs w:val="18"/>
              </w:rPr>
              <w:t>＜300</w:t>
            </w:r>
          </w:p>
        </w:tc>
        <w:tc>
          <w:tcPr>
            <w:tcW w:w="709" w:type="dxa"/>
            <w:tcBorders>
              <w:top w:val="nil"/>
              <w:left w:val="nil"/>
              <w:bottom w:val="single" w:color="auto" w:sz="4" w:space="0"/>
              <w:right w:val="single" w:color="auto" w:sz="4" w:space="0"/>
            </w:tcBorders>
            <w:shd w:val="clear" w:color="auto" w:fill="FFFFFF"/>
            <w:noWrap/>
            <w:vAlign w:val="center"/>
          </w:tcPr>
          <w:p w14:paraId="15825205">
            <w:pPr>
              <w:pStyle w:val="104"/>
              <w:widowControl/>
              <w:jc w:val="center"/>
              <w:rPr>
                <w:rFonts w:ascii="宋体" w:hAnsi="宋体" w:cs="宋体"/>
                <w:b/>
                <w:kern w:val="0"/>
                <w:sz w:val="18"/>
                <w:szCs w:val="18"/>
              </w:rPr>
            </w:pPr>
            <w:r>
              <w:rPr>
                <w:rFonts w:hint="eastAsia" w:ascii="宋体" w:hAnsi="宋体" w:cs="宋体"/>
                <w:b/>
                <w:kern w:val="0"/>
                <w:sz w:val="18"/>
                <w:szCs w:val="18"/>
              </w:rPr>
              <w:t>或＜20</w:t>
            </w:r>
          </w:p>
        </w:tc>
        <w:tc>
          <w:tcPr>
            <w:tcW w:w="709" w:type="dxa"/>
            <w:tcBorders>
              <w:top w:val="nil"/>
              <w:left w:val="nil"/>
              <w:bottom w:val="single" w:color="auto" w:sz="4" w:space="0"/>
              <w:right w:val="single" w:color="auto" w:sz="4" w:space="0"/>
            </w:tcBorders>
            <w:shd w:val="clear" w:color="auto" w:fill="FFFFFF"/>
            <w:noWrap/>
            <w:vAlign w:val="center"/>
          </w:tcPr>
          <w:p w14:paraId="2D85D330">
            <w:pPr>
              <w:pStyle w:val="104"/>
              <w:widowControl/>
              <w:jc w:val="center"/>
              <w:rPr>
                <w:rFonts w:ascii="宋体" w:hAnsi="宋体" w:cs="宋体"/>
                <w:b/>
                <w:kern w:val="0"/>
                <w:sz w:val="18"/>
                <w:szCs w:val="18"/>
              </w:rPr>
            </w:pPr>
            <w:r>
              <w:rPr>
                <w:rFonts w:hint="eastAsia" w:ascii="宋体" w:hAnsi="宋体" w:cs="宋体"/>
                <w:b/>
                <w:kern w:val="0"/>
                <w:sz w:val="18"/>
                <w:szCs w:val="18"/>
              </w:rPr>
              <w:t>　</w:t>
            </w:r>
          </w:p>
        </w:tc>
      </w:tr>
      <w:tr w14:paraId="0A1E791C">
        <w:tblPrEx>
          <w:shd w:val="clear" w:color="auto" w:fill="FFFFFF"/>
          <w:tblCellMar>
            <w:top w:w="0" w:type="dxa"/>
            <w:left w:w="108" w:type="dxa"/>
            <w:bottom w:w="0" w:type="dxa"/>
            <w:right w:w="108" w:type="dxa"/>
          </w:tblCellMar>
        </w:tblPrEx>
        <w:trPr>
          <w:trHeight w:val="111" w:hRule="atLeast"/>
          <w:jc w:val="center"/>
        </w:trPr>
        <w:tc>
          <w:tcPr>
            <w:tcW w:w="479" w:type="dxa"/>
            <w:tcBorders>
              <w:top w:val="nil"/>
              <w:left w:val="single" w:color="auto" w:sz="4" w:space="0"/>
              <w:bottom w:val="single" w:color="auto" w:sz="4" w:space="0"/>
              <w:right w:val="single" w:color="auto" w:sz="4" w:space="0"/>
            </w:tcBorders>
            <w:shd w:val="clear" w:color="auto" w:fill="FFFFFF"/>
            <w:noWrap/>
            <w:vAlign w:val="center"/>
          </w:tcPr>
          <w:p w14:paraId="0D16C459">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3</w:t>
            </w:r>
          </w:p>
        </w:tc>
        <w:tc>
          <w:tcPr>
            <w:tcW w:w="764" w:type="dxa"/>
            <w:tcBorders>
              <w:top w:val="nil"/>
              <w:left w:val="nil"/>
              <w:bottom w:val="single" w:color="auto" w:sz="4" w:space="0"/>
              <w:right w:val="single" w:color="auto" w:sz="4" w:space="0"/>
            </w:tcBorders>
            <w:shd w:val="clear" w:color="auto" w:fill="FFFFFF"/>
            <w:noWrap/>
            <w:vAlign w:val="center"/>
          </w:tcPr>
          <w:p w14:paraId="0609A039">
            <w:pPr>
              <w:pStyle w:val="104"/>
              <w:ind w:left="-29" w:leftChars="-13" w:right="-68" w:rightChars="-31"/>
              <w:jc w:val="left"/>
              <w:rPr>
                <w:rFonts w:ascii="宋体" w:hAnsi="宋体" w:cs="宋体"/>
                <w:bCs/>
                <w:kern w:val="0"/>
                <w:sz w:val="16"/>
                <w:szCs w:val="16"/>
              </w:rPr>
            </w:pPr>
            <w:r>
              <w:rPr>
                <w:rFonts w:hint="eastAsia" w:ascii="宋体" w:hAnsi="宋体" w:cs="宋体"/>
                <w:bCs/>
                <w:kern w:val="0"/>
                <w:sz w:val="16"/>
                <w:szCs w:val="16"/>
              </w:rPr>
              <w:t>建筑业</w:t>
            </w:r>
          </w:p>
        </w:tc>
        <w:tc>
          <w:tcPr>
            <w:tcW w:w="851" w:type="dxa"/>
            <w:tcBorders>
              <w:top w:val="nil"/>
              <w:left w:val="nil"/>
              <w:bottom w:val="single" w:color="auto" w:sz="4" w:space="0"/>
              <w:right w:val="single" w:color="auto" w:sz="4" w:space="0"/>
            </w:tcBorders>
            <w:shd w:val="clear" w:color="auto" w:fill="FFFFFF"/>
            <w:noWrap/>
            <w:vAlign w:val="center"/>
          </w:tcPr>
          <w:p w14:paraId="12150E30">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≥80000</w:t>
            </w:r>
          </w:p>
        </w:tc>
        <w:tc>
          <w:tcPr>
            <w:tcW w:w="850" w:type="dxa"/>
            <w:tcBorders>
              <w:top w:val="nil"/>
              <w:left w:val="nil"/>
              <w:bottom w:val="single" w:color="auto" w:sz="4" w:space="0"/>
              <w:right w:val="single" w:color="auto" w:sz="4" w:space="0"/>
            </w:tcBorders>
            <w:shd w:val="clear" w:color="auto" w:fill="FFFFFF"/>
            <w:noWrap/>
            <w:vAlign w:val="center"/>
          </w:tcPr>
          <w:p w14:paraId="33E46ED9">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1" w:type="dxa"/>
            <w:tcBorders>
              <w:top w:val="nil"/>
              <w:left w:val="nil"/>
              <w:bottom w:val="single" w:color="auto" w:sz="4" w:space="0"/>
              <w:right w:val="single" w:color="auto" w:sz="4" w:space="0"/>
            </w:tcBorders>
            <w:shd w:val="clear" w:color="auto" w:fill="FFFFFF"/>
            <w:noWrap/>
            <w:vAlign w:val="center"/>
          </w:tcPr>
          <w:p w14:paraId="2040FBD7">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且≥80000</w:t>
            </w:r>
          </w:p>
        </w:tc>
        <w:tc>
          <w:tcPr>
            <w:tcW w:w="850" w:type="dxa"/>
            <w:tcBorders>
              <w:top w:val="nil"/>
              <w:left w:val="nil"/>
              <w:bottom w:val="single" w:color="auto" w:sz="4" w:space="0"/>
              <w:right w:val="single" w:color="auto" w:sz="4" w:space="0"/>
            </w:tcBorders>
            <w:shd w:val="clear" w:color="auto" w:fill="FFFFFF"/>
            <w:noWrap/>
            <w:vAlign w:val="center"/>
          </w:tcPr>
          <w:p w14:paraId="48CAC974">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≥6000</w:t>
            </w:r>
          </w:p>
        </w:tc>
        <w:tc>
          <w:tcPr>
            <w:tcW w:w="709" w:type="dxa"/>
            <w:tcBorders>
              <w:top w:val="nil"/>
              <w:left w:val="nil"/>
              <w:bottom w:val="single" w:color="auto" w:sz="4" w:space="0"/>
              <w:right w:val="single" w:color="auto" w:sz="4" w:space="0"/>
            </w:tcBorders>
            <w:shd w:val="clear" w:color="auto" w:fill="FFFFFF"/>
            <w:noWrap/>
            <w:vAlign w:val="center"/>
          </w:tcPr>
          <w:p w14:paraId="3E29313E">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1" w:type="dxa"/>
            <w:tcBorders>
              <w:top w:val="nil"/>
              <w:left w:val="nil"/>
              <w:bottom w:val="single" w:color="auto" w:sz="4" w:space="0"/>
              <w:right w:val="single" w:color="auto" w:sz="4" w:space="0"/>
            </w:tcBorders>
            <w:shd w:val="clear" w:color="auto" w:fill="FFFFFF"/>
            <w:noWrap/>
            <w:vAlign w:val="center"/>
          </w:tcPr>
          <w:p w14:paraId="39125736">
            <w:pPr>
              <w:pStyle w:val="104"/>
              <w:widowControl/>
              <w:jc w:val="center"/>
              <w:rPr>
                <w:rFonts w:ascii="宋体" w:hAnsi="宋体" w:cs="宋体"/>
                <w:bCs/>
                <w:kern w:val="0"/>
                <w:sz w:val="18"/>
                <w:szCs w:val="18"/>
              </w:rPr>
            </w:pPr>
            <w:r>
              <w:rPr>
                <w:rFonts w:hint="eastAsia" w:ascii="宋体" w:hAnsi="宋体" w:cs="宋体"/>
                <w:bCs/>
                <w:kern w:val="0"/>
                <w:sz w:val="18"/>
                <w:szCs w:val="18"/>
              </w:rPr>
              <w:t>且≥5000</w:t>
            </w:r>
          </w:p>
        </w:tc>
        <w:tc>
          <w:tcPr>
            <w:tcW w:w="850" w:type="dxa"/>
            <w:tcBorders>
              <w:top w:val="nil"/>
              <w:left w:val="nil"/>
              <w:bottom w:val="single" w:color="auto" w:sz="4" w:space="0"/>
              <w:right w:val="single" w:color="auto" w:sz="4" w:space="0"/>
            </w:tcBorders>
            <w:shd w:val="clear" w:color="auto" w:fill="FFFFFF"/>
            <w:noWrap/>
            <w:vAlign w:val="center"/>
          </w:tcPr>
          <w:p w14:paraId="2B0012A8">
            <w:pPr>
              <w:pStyle w:val="104"/>
              <w:widowControl/>
              <w:jc w:val="center"/>
              <w:rPr>
                <w:rFonts w:ascii="宋体" w:hAnsi="宋体" w:cs="宋体"/>
                <w:bCs/>
                <w:kern w:val="0"/>
                <w:sz w:val="18"/>
                <w:szCs w:val="18"/>
              </w:rPr>
            </w:pPr>
            <w:r>
              <w:rPr>
                <w:rFonts w:hint="eastAsia" w:ascii="宋体" w:hAnsi="宋体" w:cs="宋体"/>
                <w:bCs/>
                <w:kern w:val="0"/>
                <w:sz w:val="18"/>
                <w:szCs w:val="18"/>
              </w:rPr>
              <w:t>≥300</w:t>
            </w:r>
          </w:p>
        </w:tc>
        <w:tc>
          <w:tcPr>
            <w:tcW w:w="851" w:type="dxa"/>
            <w:tcBorders>
              <w:top w:val="nil"/>
              <w:left w:val="nil"/>
              <w:bottom w:val="single" w:color="auto" w:sz="4" w:space="0"/>
              <w:right w:val="single" w:color="auto" w:sz="4" w:space="0"/>
            </w:tcBorders>
            <w:shd w:val="clear" w:color="auto" w:fill="FFFFFF"/>
            <w:noWrap/>
            <w:vAlign w:val="center"/>
          </w:tcPr>
          <w:p w14:paraId="5E348D12">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8" w:type="dxa"/>
            <w:tcBorders>
              <w:top w:val="nil"/>
              <w:left w:val="nil"/>
              <w:bottom w:val="single" w:color="auto" w:sz="4" w:space="0"/>
              <w:right w:val="single" w:color="auto" w:sz="4" w:space="0"/>
            </w:tcBorders>
            <w:shd w:val="clear" w:color="auto" w:fill="FFFFFF"/>
            <w:noWrap/>
            <w:vAlign w:val="center"/>
          </w:tcPr>
          <w:p w14:paraId="3327D518">
            <w:pPr>
              <w:pStyle w:val="104"/>
              <w:widowControl/>
              <w:jc w:val="center"/>
              <w:rPr>
                <w:rFonts w:ascii="宋体" w:hAnsi="宋体" w:cs="宋体"/>
                <w:bCs/>
                <w:kern w:val="0"/>
                <w:sz w:val="18"/>
                <w:szCs w:val="18"/>
              </w:rPr>
            </w:pPr>
            <w:r>
              <w:rPr>
                <w:rFonts w:hint="eastAsia" w:ascii="宋体" w:hAnsi="宋体" w:cs="宋体"/>
                <w:bCs/>
                <w:kern w:val="0"/>
                <w:sz w:val="18"/>
                <w:szCs w:val="18"/>
              </w:rPr>
              <w:t>且≥300</w:t>
            </w:r>
          </w:p>
        </w:tc>
        <w:tc>
          <w:tcPr>
            <w:tcW w:w="709" w:type="dxa"/>
            <w:tcBorders>
              <w:top w:val="nil"/>
              <w:left w:val="nil"/>
              <w:bottom w:val="single" w:color="auto" w:sz="4" w:space="0"/>
              <w:right w:val="single" w:color="auto" w:sz="4" w:space="0"/>
            </w:tcBorders>
            <w:shd w:val="clear" w:color="auto" w:fill="FFFFFF"/>
            <w:noWrap/>
            <w:vAlign w:val="center"/>
          </w:tcPr>
          <w:p w14:paraId="4093D5A3">
            <w:pPr>
              <w:pStyle w:val="104"/>
              <w:widowControl/>
              <w:jc w:val="center"/>
              <w:rPr>
                <w:rFonts w:ascii="宋体" w:hAnsi="宋体" w:cs="宋体"/>
                <w:bCs/>
                <w:kern w:val="0"/>
                <w:sz w:val="18"/>
                <w:szCs w:val="18"/>
              </w:rPr>
            </w:pPr>
            <w:r>
              <w:rPr>
                <w:rFonts w:hint="eastAsia" w:ascii="宋体" w:hAnsi="宋体" w:cs="宋体"/>
                <w:bCs/>
                <w:kern w:val="0"/>
                <w:sz w:val="18"/>
                <w:szCs w:val="18"/>
              </w:rPr>
              <w:t>＜300</w:t>
            </w:r>
          </w:p>
        </w:tc>
        <w:tc>
          <w:tcPr>
            <w:tcW w:w="709" w:type="dxa"/>
            <w:tcBorders>
              <w:top w:val="nil"/>
              <w:left w:val="nil"/>
              <w:bottom w:val="single" w:color="auto" w:sz="4" w:space="0"/>
              <w:right w:val="single" w:color="auto" w:sz="4" w:space="0"/>
            </w:tcBorders>
            <w:shd w:val="clear" w:color="auto" w:fill="FFFFFF"/>
            <w:noWrap/>
            <w:vAlign w:val="center"/>
          </w:tcPr>
          <w:p w14:paraId="10972337">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0C104427">
            <w:pPr>
              <w:pStyle w:val="104"/>
              <w:widowControl/>
              <w:jc w:val="center"/>
              <w:rPr>
                <w:rFonts w:ascii="宋体" w:hAnsi="宋体" w:cs="宋体"/>
                <w:bCs/>
                <w:kern w:val="0"/>
                <w:sz w:val="18"/>
                <w:szCs w:val="18"/>
              </w:rPr>
            </w:pPr>
            <w:r>
              <w:rPr>
                <w:rFonts w:hint="eastAsia" w:ascii="宋体" w:hAnsi="宋体" w:cs="宋体"/>
                <w:bCs/>
                <w:kern w:val="0"/>
                <w:sz w:val="18"/>
                <w:szCs w:val="18"/>
              </w:rPr>
              <w:t>或＜300</w:t>
            </w:r>
          </w:p>
        </w:tc>
      </w:tr>
      <w:tr w14:paraId="6522D824">
        <w:tblPrEx>
          <w:shd w:val="clear" w:color="auto" w:fill="FFFFFF"/>
          <w:tblCellMar>
            <w:top w:w="0" w:type="dxa"/>
            <w:left w:w="108" w:type="dxa"/>
            <w:bottom w:w="0" w:type="dxa"/>
            <w:right w:w="108" w:type="dxa"/>
          </w:tblCellMar>
        </w:tblPrEx>
        <w:trPr>
          <w:trHeight w:val="191" w:hRule="atLeast"/>
          <w:jc w:val="center"/>
        </w:trPr>
        <w:tc>
          <w:tcPr>
            <w:tcW w:w="479" w:type="dxa"/>
            <w:tcBorders>
              <w:top w:val="nil"/>
              <w:left w:val="single" w:color="auto" w:sz="4" w:space="0"/>
              <w:bottom w:val="single" w:color="auto" w:sz="4" w:space="0"/>
              <w:right w:val="single" w:color="auto" w:sz="4" w:space="0"/>
            </w:tcBorders>
            <w:shd w:val="clear" w:color="auto" w:fill="FFFFFF"/>
            <w:noWrap/>
            <w:vAlign w:val="center"/>
          </w:tcPr>
          <w:p w14:paraId="54280DB6">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4</w:t>
            </w:r>
          </w:p>
        </w:tc>
        <w:tc>
          <w:tcPr>
            <w:tcW w:w="764" w:type="dxa"/>
            <w:tcBorders>
              <w:top w:val="nil"/>
              <w:left w:val="nil"/>
              <w:bottom w:val="single" w:color="auto" w:sz="4" w:space="0"/>
              <w:right w:val="single" w:color="auto" w:sz="4" w:space="0"/>
            </w:tcBorders>
            <w:shd w:val="clear" w:color="auto" w:fill="FFFFFF"/>
            <w:noWrap/>
            <w:vAlign w:val="center"/>
          </w:tcPr>
          <w:p w14:paraId="3CD523F2">
            <w:pPr>
              <w:pStyle w:val="104"/>
              <w:ind w:left="-29" w:leftChars="-13" w:right="-68" w:rightChars="-31"/>
              <w:jc w:val="left"/>
              <w:rPr>
                <w:rFonts w:ascii="宋体" w:hAnsi="宋体" w:cs="宋体"/>
                <w:bCs/>
                <w:kern w:val="0"/>
                <w:sz w:val="16"/>
                <w:szCs w:val="16"/>
              </w:rPr>
            </w:pPr>
            <w:r>
              <w:rPr>
                <w:rFonts w:hint="eastAsia" w:ascii="宋体" w:hAnsi="宋体" w:cs="宋体"/>
                <w:bCs/>
                <w:kern w:val="0"/>
                <w:sz w:val="16"/>
                <w:szCs w:val="16"/>
              </w:rPr>
              <w:t>批发业</w:t>
            </w:r>
          </w:p>
        </w:tc>
        <w:tc>
          <w:tcPr>
            <w:tcW w:w="851" w:type="dxa"/>
            <w:tcBorders>
              <w:top w:val="nil"/>
              <w:left w:val="nil"/>
              <w:bottom w:val="single" w:color="auto" w:sz="4" w:space="0"/>
              <w:right w:val="single" w:color="auto" w:sz="4" w:space="0"/>
            </w:tcBorders>
            <w:shd w:val="clear" w:color="auto" w:fill="FFFFFF"/>
            <w:noWrap/>
            <w:vAlign w:val="center"/>
          </w:tcPr>
          <w:p w14:paraId="0815FE06">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≥40000</w:t>
            </w:r>
          </w:p>
        </w:tc>
        <w:tc>
          <w:tcPr>
            <w:tcW w:w="850" w:type="dxa"/>
            <w:tcBorders>
              <w:top w:val="nil"/>
              <w:left w:val="nil"/>
              <w:bottom w:val="single" w:color="auto" w:sz="4" w:space="0"/>
              <w:right w:val="single" w:color="auto" w:sz="4" w:space="0"/>
            </w:tcBorders>
            <w:shd w:val="clear" w:color="auto" w:fill="FFFFFF"/>
            <w:noWrap/>
            <w:vAlign w:val="center"/>
          </w:tcPr>
          <w:p w14:paraId="5C6F27B7">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且≥200</w:t>
            </w:r>
          </w:p>
        </w:tc>
        <w:tc>
          <w:tcPr>
            <w:tcW w:w="851" w:type="dxa"/>
            <w:tcBorders>
              <w:top w:val="nil"/>
              <w:left w:val="nil"/>
              <w:bottom w:val="single" w:color="auto" w:sz="4" w:space="0"/>
              <w:right w:val="single" w:color="auto" w:sz="4" w:space="0"/>
            </w:tcBorders>
            <w:shd w:val="clear" w:color="auto" w:fill="FFFFFF"/>
            <w:noWrap/>
            <w:vAlign w:val="center"/>
          </w:tcPr>
          <w:p w14:paraId="467098AA">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7A64DDD2">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≥5000</w:t>
            </w:r>
          </w:p>
        </w:tc>
        <w:tc>
          <w:tcPr>
            <w:tcW w:w="709" w:type="dxa"/>
            <w:tcBorders>
              <w:top w:val="nil"/>
              <w:left w:val="nil"/>
              <w:bottom w:val="single" w:color="auto" w:sz="4" w:space="0"/>
              <w:right w:val="single" w:color="auto" w:sz="4" w:space="0"/>
            </w:tcBorders>
            <w:shd w:val="clear" w:color="auto" w:fill="FFFFFF"/>
            <w:noWrap/>
            <w:vAlign w:val="center"/>
          </w:tcPr>
          <w:p w14:paraId="5C8920F4">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且≥20</w:t>
            </w:r>
          </w:p>
        </w:tc>
        <w:tc>
          <w:tcPr>
            <w:tcW w:w="851" w:type="dxa"/>
            <w:tcBorders>
              <w:top w:val="nil"/>
              <w:left w:val="nil"/>
              <w:bottom w:val="single" w:color="auto" w:sz="4" w:space="0"/>
              <w:right w:val="single" w:color="auto" w:sz="4" w:space="0"/>
            </w:tcBorders>
            <w:shd w:val="clear" w:color="auto" w:fill="FFFFFF"/>
            <w:noWrap/>
            <w:vAlign w:val="center"/>
          </w:tcPr>
          <w:p w14:paraId="39656985">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7AB46AD0">
            <w:pPr>
              <w:pStyle w:val="104"/>
              <w:widowControl/>
              <w:jc w:val="center"/>
              <w:rPr>
                <w:rFonts w:ascii="宋体" w:hAnsi="宋体" w:cs="宋体"/>
                <w:bCs/>
                <w:kern w:val="0"/>
                <w:sz w:val="18"/>
                <w:szCs w:val="18"/>
              </w:rPr>
            </w:pPr>
            <w:r>
              <w:rPr>
                <w:rFonts w:hint="eastAsia" w:ascii="宋体" w:hAnsi="宋体" w:cs="宋体"/>
                <w:bCs/>
                <w:kern w:val="0"/>
                <w:sz w:val="18"/>
                <w:szCs w:val="18"/>
              </w:rPr>
              <w:t>≥1000</w:t>
            </w:r>
          </w:p>
        </w:tc>
        <w:tc>
          <w:tcPr>
            <w:tcW w:w="851" w:type="dxa"/>
            <w:tcBorders>
              <w:top w:val="nil"/>
              <w:left w:val="nil"/>
              <w:bottom w:val="single" w:color="auto" w:sz="4" w:space="0"/>
              <w:right w:val="single" w:color="auto" w:sz="4" w:space="0"/>
            </w:tcBorders>
            <w:shd w:val="clear" w:color="auto" w:fill="FFFFFF"/>
            <w:noWrap/>
            <w:vAlign w:val="center"/>
          </w:tcPr>
          <w:p w14:paraId="790C3154">
            <w:pPr>
              <w:pStyle w:val="104"/>
              <w:widowControl/>
              <w:jc w:val="center"/>
              <w:rPr>
                <w:rFonts w:ascii="宋体" w:hAnsi="宋体" w:cs="宋体"/>
                <w:bCs/>
                <w:kern w:val="0"/>
                <w:sz w:val="18"/>
                <w:szCs w:val="18"/>
              </w:rPr>
            </w:pPr>
            <w:r>
              <w:rPr>
                <w:rFonts w:hint="eastAsia" w:ascii="宋体" w:hAnsi="宋体" w:cs="宋体"/>
                <w:bCs/>
                <w:kern w:val="0"/>
                <w:sz w:val="18"/>
                <w:szCs w:val="18"/>
              </w:rPr>
              <w:t>且≥5</w:t>
            </w:r>
          </w:p>
        </w:tc>
        <w:tc>
          <w:tcPr>
            <w:tcW w:w="708" w:type="dxa"/>
            <w:tcBorders>
              <w:top w:val="nil"/>
              <w:left w:val="nil"/>
              <w:bottom w:val="single" w:color="auto" w:sz="4" w:space="0"/>
              <w:right w:val="single" w:color="auto" w:sz="4" w:space="0"/>
            </w:tcBorders>
            <w:shd w:val="clear" w:color="auto" w:fill="FFFFFF"/>
            <w:noWrap/>
            <w:vAlign w:val="center"/>
          </w:tcPr>
          <w:p w14:paraId="32447D8D">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59060079">
            <w:pPr>
              <w:pStyle w:val="104"/>
              <w:widowControl/>
              <w:jc w:val="center"/>
              <w:rPr>
                <w:rFonts w:ascii="宋体" w:hAnsi="宋体" w:cs="宋体"/>
                <w:bCs/>
                <w:kern w:val="0"/>
                <w:sz w:val="18"/>
                <w:szCs w:val="18"/>
              </w:rPr>
            </w:pPr>
            <w:r>
              <w:rPr>
                <w:rFonts w:hint="eastAsia" w:ascii="宋体" w:hAnsi="宋体" w:cs="宋体"/>
                <w:bCs/>
                <w:kern w:val="0"/>
                <w:sz w:val="18"/>
                <w:szCs w:val="18"/>
              </w:rPr>
              <w:t>＜1000</w:t>
            </w:r>
          </w:p>
        </w:tc>
        <w:tc>
          <w:tcPr>
            <w:tcW w:w="709" w:type="dxa"/>
            <w:tcBorders>
              <w:top w:val="nil"/>
              <w:left w:val="nil"/>
              <w:bottom w:val="single" w:color="auto" w:sz="4" w:space="0"/>
              <w:right w:val="single" w:color="auto" w:sz="4" w:space="0"/>
            </w:tcBorders>
            <w:shd w:val="clear" w:color="auto" w:fill="FFFFFF"/>
            <w:noWrap/>
            <w:vAlign w:val="center"/>
          </w:tcPr>
          <w:p w14:paraId="0AAB6AD3">
            <w:pPr>
              <w:pStyle w:val="104"/>
              <w:widowControl/>
              <w:jc w:val="center"/>
              <w:rPr>
                <w:rFonts w:ascii="宋体" w:hAnsi="宋体" w:cs="宋体"/>
                <w:bCs/>
                <w:kern w:val="0"/>
                <w:sz w:val="18"/>
                <w:szCs w:val="18"/>
              </w:rPr>
            </w:pPr>
            <w:r>
              <w:rPr>
                <w:rFonts w:hint="eastAsia" w:ascii="宋体" w:hAnsi="宋体" w:cs="宋体"/>
                <w:bCs/>
                <w:kern w:val="0"/>
                <w:sz w:val="18"/>
                <w:szCs w:val="18"/>
              </w:rPr>
              <w:t>或＜5</w:t>
            </w:r>
          </w:p>
        </w:tc>
        <w:tc>
          <w:tcPr>
            <w:tcW w:w="709" w:type="dxa"/>
            <w:tcBorders>
              <w:top w:val="nil"/>
              <w:left w:val="nil"/>
              <w:bottom w:val="single" w:color="auto" w:sz="4" w:space="0"/>
              <w:right w:val="single" w:color="auto" w:sz="4" w:space="0"/>
            </w:tcBorders>
            <w:shd w:val="clear" w:color="auto" w:fill="FFFFFF"/>
            <w:noWrap/>
            <w:vAlign w:val="center"/>
          </w:tcPr>
          <w:p w14:paraId="1B83CD10">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r>
      <w:tr w14:paraId="6941E420">
        <w:tblPrEx>
          <w:tblCellMar>
            <w:top w:w="0" w:type="dxa"/>
            <w:left w:w="108" w:type="dxa"/>
            <w:bottom w:w="0" w:type="dxa"/>
            <w:right w:w="108" w:type="dxa"/>
          </w:tblCellMar>
        </w:tblPrEx>
        <w:trPr>
          <w:trHeight w:val="90" w:hRule="atLeast"/>
          <w:jc w:val="center"/>
        </w:trPr>
        <w:tc>
          <w:tcPr>
            <w:tcW w:w="479" w:type="dxa"/>
            <w:tcBorders>
              <w:top w:val="nil"/>
              <w:left w:val="single" w:color="auto" w:sz="4" w:space="0"/>
              <w:bottom w:val="single" w:color="auto" w:sz="4" w:space="0"/>
              <w:right w:val="single" w:color="auto" w:sz="4" w:space="0"/>
            </w:tcBorders>
            <w:shd w:val="clear" w:color="auto" w:fill="FFFFFF"/>
            <w:noWrap/>
            <w:vAlign w:val="center"/>
          </w:tcPr>
          <w:p w14:paraId="572D9C97">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5</w:t>
            </w:r>
          </w:p>
        </w:tc>
        <w:tc>
          <w:tcPr>
            <w:tcW w:w="764" w:type="dxa"/>
            <w:tcBorders>
              <w:top w:val="nil"/>
              <w:left w:val="nil"/>
              <w:bottom w:val="single" w:color="auto" w:sz="4" w:space="0"/>
              <w:right w:val="single" w:color="auto" w:sz="4" w:space="0"/>
            </w:tcBorders>
            <w:shd w:val="clear" w:color="auto" w:fill="FFFFFF"/>
            <w:noWrap/>
            <w:vAlign w:val="center"/>
          </w:tcPr>
          <w:p w14:paraId="50490A25">
            <w:pPr>
              <w:pStyle w:val="104"/>
              <w:ind w:left="-29" w:leftChars="-13" w:right="-68" w:rightChars="-31"/>
              <w:jc w:val="left"/>
              <w:rPr>
                <w:rFonts w:ascii="宋体" w:hAnsi="宋体" w:cs="宋体"/>
                <w:bCs/>
                <w:kern w:val="0"/>
                <w:sz w:val="16"/>
                <w:szCs w:val="16"/>
              </w:rPr>
            </w:pPr>
            <w:r>
              <w:rPr>
                <w:rFonts w:hint="eastAsia" w:ascii="宋体" w:hAnsi="宋体" w:cs="宋体"/>
                <w:bCs/>
                <w:kern w:val="0"/>
                <w:sz w:val="16"/>
                <w:szCs w:val="16"/>
              </w:rPr>
              <w:t>零售业</w:t>
            </w:r>
          </w:p>
        </w:tc>
        <w:tc>
          <w:tcPr>
            <w:tcW w:w="851" w:type="dxa"/>
            <w:tcBorders>
              <w:top w:val="nil"/>
              <w:left w:val="nil"/>
              <w:bottom w:val="single" w:color="auto" w:sz="4" w:space="0"/>
              <w:right w:val="single" w:color="auto" w:sz="4" w:space="0"/>
            </w:tcBorders>
            <w:shd w:val="clear" w:color="auto" w:fill="FFFFFF"/>
            <w:noWrap/>
            <w:vAlign w:val="center"/>
          </w:tcPr>
          <w:p w14:paraId="29C551C6">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≥20000</w:t>
            </w:r>
          </w:p>
        </w:tc>
        <w:tc>
          <w:tcPr>
            <w:tcW w:w="850" w:type="dxa"/>
            <w:tcBorders>
              <w:top w:val="nil"/>
              <w:left w:val="nil"/>
              <w:bottom w:val="single" w:color="auto" w:sz="4" w:space="0"/>
              <w:right w:val="single" w:color="auto" w:sz="4" w:space="0"/>
            </w:tcBorders>
            <w:shd w:val="clear" w:color="auto" w:fill="FFFFFF"/>
            <w:noWrap/>
            <w:vAlign w:val="center"/>
          </w:tcPr>
          <w:p w14:paraId="192127FF">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且≥300</w:t>
            </w:r>
          </w:p>
        </w:tc>
        <w:tc>
          <w:tcPr>
            <w:tcW w:w="851" w:type="dxa"/>
            <w:tcBorders>
              <w:top w:val="nil"/>
              <w:left w:val="nil"/>
              <w:bottom w:val="single" w:color="auto" w:sz="4" w:space="0"/>
              <w:right w:val="single" w:color="auto" w:sz="4" w:space="0"/>
            </w:tcBorders>
            <w:shd w:val="clear" w:color="auto" w:fill="FFFFFF"/>
            <w:noWrap/>
            <w:vAlign w:val="center"/>
          </w:tcPr>
          <w:p w14:paraId="0575E040">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37D9384D">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≥500</w:t>
            </w:r>
          </w:p>
        </w:tc>
        <w:tc>
          <w:tcPr>
            <w:tcW w:w="709" w:type="dxa"/>
            <w:tcBorders>
              <w:top w:val="nil"/>
              <w:left w:val="nil"/>
              <w:bottom w:val="single" w:color="auto" w:sz="4" w:space="0"/>
              <w:right w:val="single" w:color="auto" w:sz="4" w:space="0"/>
            </w:tcBorders>
            <w:shd w:val="clear" w:color="auto" w:fill="FFFFFF"/>
            <w:noWrap/>
            <w:vAlign w:val="center"/>
          </w:tcPr>
          <w:p w14:paraId="5EC77B5B">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且≥50</w:t>
            </w:r>
          </w:p>
        </w:tc>
        <w:tc>
          <w:tcPr>
            <w:tcW w:w="851" w:type="dxa"/>
            <w:tcBorders>
              <w:top w:val="nil"/>
              <w:left w:val="nil"/>
              <w:bottom w:val="single" w:color="auto" w:sz="4" w:space="0"/>
              <w:right w:val="single" w:color="auto" w:sz="4" w:space="0"/>
            </w:tcBorders>
            <w:shd w:val="clear" w:color="auto" w:fill="FFFFFF"/>
            <w:noWrap/>
            <w:vAlign w:val="center"/>
          </w:tcPr>
          <w:p w14:paraId="013B2B4D">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0152C153">
            <w:pPr>
              <w:pStyle w:val="104"/>
              <w:widowControl/>
              <w:jc w:val="center"/>
              <w:rPr>
                <w:rFonts w:ascii="宋体" w:hAnsi="宋体" w:cs="宋体"/>
                <w:bCs/>
                <w:kern w:val="0"/>
                <w:sz w:val="18"/>
                <w:szCs w:val="18"/>
              </w:rPr>
            </w:pPr>
            <w:r>
              <w:rPr>
                <w:rFonts w:hint="eastAsia" w:ascii="宋体" w:hAnsi="宋体" w:cs="宋体"/>
                <w:bCs/>
                <w:kern w:val="0"/>
                <w:sz w:val="18"/>
                <w:szCs w:val="18"/>
              </w:rPr>
              <w:t>≥100</w:t>
            </w:r>
          </w:p>
        </w:tc>
        <w:tc>
          <w:tcPr>
            <w:tcW w:w="851" w:type="dxa"/>
            <w:tcBorders>
              <w:top w:val="nil"/>
              <w:left w:val="nil"/>
              <w:bottom w:val="single" w:color="auto" w:sz="4" w:space="0"/>
              <w:right w:val="single" w:color="auto" w:sz="4" w:space="0"/>
            </w:tcBorders>
            <w:shd w:val="clear" w:color="auto" w:fill="FFFFFF"/>
            <w:noWrap/>
            <w:vAlign w:val="center"/>
          </w:tcPr>
          <w:p w14:paraId="7BB74D89">
            <w:pPr>
              <w:pStyle w:val="104"/>
              <w:widowControl/>
              <w:jc w:val="center"/>
              <w:rPr>
                <w:rFonts w:ascii="宋体" w:hAnsi="宋体" w:cs="宋体"/>
                <w:bCs/>
                <w:kern w:val="0"/>
                <w:sz w:val="18"/>
                <w:szCs w:val="18"/>
              </w:rPr>
            </w:pPr>
            <w:r>
              <w:rPr>
                <w:rFonts w:hint="eastAsia" w:ascii="宋体" w:hAnsi="宋体" w:cs="宋体"/>
                <w:bCs/>
                <w:kern w:val="0"/>
                <w:sz w:val="18"/>
                <w:szCs w:val="18"/>
              </w:rPr>
              <w:t>且≥10</w:t>
            </w:r>
          </w:p>
        </w:tc>
        <w:tc>
          <w:tcPr>
            <w:tcW w:w="708" w:type="dxa"/>
            <w:tcBorders>
              <w:top w:val="nil"/>
              <w:left w:val="nil"/>
              <w:bottom w:val="single" w:color="auto" w:sz="4" w:space="0"/>
              <w:right w:val="single" w:color="auto" w:sz="4" w:space="0"/>
            </w:tcBorders>
            <w:shd w:val="clear" w:color="auto" w:fill="FFFFFF"/>
            <w:noWrap/>
            <w:vAlign w:val="center"/>
          </w:tcPr>
          <w:p w14:paraId="5A6D57A9">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60A3F4EF">
            <w:pPr>
              <w:pStyle w:val="104"/>
              <w:widowControl/>
              <w:jc w:val="center"/>
              <w:rPr>
                <w:rFonts w:ascii="宋体" w:hAnsi="宋体" w:cs="宋体"/>
                <w:bCs/>
                <w:kern w:val="0"/>
                <w:sz w:val="18"/>
                <w:szCs w:val="18"/>
              </w:rPr>
            </w:pPr>
            <w:r>
              <w:rPr>
                <w:rFonts w:hint="eastAsia" w:ascii="宋体" w:hAnsi="宋体" w:cs="宋体"/>
                <w:bCs/>
                <w:kern w:val="0"/>
                <w:sz w:val="18"/>
                <w:szCs w:val="18"/>
              </w:rPr>
              <w:t>＜100</w:t>
            </w:r>
          </w:p>
        </w:tc>
        <w:tc>
          <w:tcPr>
            <w:tcW w:w="709" w:type="dxa"/>
            <w:tcBorders>
              <w:top w:val="nil"/>
              <w:left w:val="nil"/>
              <w:bottom w:val="single" w:color="auto" w:sz="4" w:space="0"/>
              <w:right w:val="single" w:color="auto" w:sz="4" w:space="0"/>
            </w:tcBorders>
            <w:shd w:val="clear" w:color="auto" w:fill="FFFFFF"/>
            <w:noWrap/>
            <w:vAlign w:val="center"/>
          </w:tcPr>
          <w:p w14:paraId="07682A1F">
            <w:pPr>
              <w:pStyle w:val="104"/>
              <w:widowControl/>
              <w:jc w:val="center"/>
              <w:rPr>
                <w:rFonts w:ascii="宋体" w:hAnsi="宋体" w:cs="宋体"/>
                <w:bCs/>
                <w:kern w:val="0"/>
                <w:sz w:val="18"/>
                <w:szCs w:val="18"/>
              </w:rPr>
            </w:pPr>
            <w:r>
              <w:rPr>
                <w:rFonts w:hint="eastAsia" w:ascii="宋体" w:hAnsi="宋体" w:cs="宋体"/>
                <w:bCs/>
                <w:kern w:val="0"/>
                <w:sz w:val="18"/>
                <w:szCs w:val="18"/>
              </w:rPr>
              <w:t>或＜10</w:t>
            </w:r>
          </w:p>
        </w:tc>
        <w:tc>
          <w:tcPr>
            <w:tcW w:w="709" w:type="dxa"/>
            <w:tcBorders>
              <w:top w:val="nil"/>
              <w:left w:val="nil"/>
              <w:bottom w:val="single" w:color="auto" w:sz="4" w:space="0"/>
              <w:right w:val="single" w:color="auto" w:sz="4" w:space="0"/>
            </w:tcBorders>
            <w:shd w:val="clear" w:color="auto" w:fill="FFFFFF"/>
            <w:noWrap/>
            <w:vAlign w:val="center"/>
          </w:tcPr>
          <w:p w14:paraId="17DCE15A">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r>
      <w:tr w14:paraId="4EFD35FF">
        <w:tblPrEx>
          <w:shd w:val="clear" w:color="auto" w:fill="FFFFFF"/>
          <w:tblCellMar>
            <w:top w:w="0" w:type="dxa"/>
            <w:left w:w="108" w:type="dxa"/>
            <w:bottom w:w="0" w:type="dxa"/>
            <w:right w:w="108" w:type="dxa"/>
          </w:tblCellMar>
        </w:tblPrEx>
        <w:trPr>
          <w:trHeight w:val="228" w:hRule="atLeast"/>
          <w:jc w:val="center"/>
        </w:trPr>
        <w:tc>
          <w:tcPr>
            <w:tcW w:w="479" w:type="dxa"/>
            <w:tcBorders>
              <w:top w:val="nil"/>
              <w:left w:val="single" w:color="auto" w:sz="4" w:space="0"/>
              <w:bottom w:val="single" w:color="auto" w:sz="4" w:space="0"/>
              <w:right w:val="single" w:color="auto" w:sz="4" w:space="0"/>
            </w:tcBorders>
            <w:shd w:val="clear" w:color="auto" w:fill="FFFFFF"/>
            <w:noWrap/>
            <w:vAlign w:val="center"/>
          </w:tcPr>
          <w:p w14:paraId="305207C5">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6</w:t>
            </w:r>
          </w:p>
        </w:tc>
        <w:tc>
          <w:tcPr>
            <w:tcW w:w="764" w:type="dxa"/>
            <w:tcBorders>
              <w:top w:val="nil"/>
              <w:left w:val="nil"/>
              <w:bottom w:val="single" w:color="auto" w:sz="4" w:space="0"/>
              <w:right w:val="single" w:color="auto" w:sz="4" w:space="0"/>
            </w:tcBorders>
            <w:shd w:val="clear" w:color="auto" w:fill="FFFFFF"/>
            <w:noWrap/>
            <w:vAlign w:val="center"/>
          </w:tcPr>
          <w:p w14:paraId="43984BAA">
            <w:pPr>
              <w:pStyle w:val="104"/>
              <w:ind w:left="-29" w:leftChars="-13" w:right="-68" w:rightChars="-31"/>
              <w:jc w:val="left"/>
              <w:rPr>
                <w:rFonts w:ascii="宋体" w:hAnsi="宋体" w:cs="宋体"/>
                <w:bCs/>
                <w:kern w:val="0"/>
                <w:sz w:val="16"/>
                <w:szCs w:val="16"/>
              </w:rPr>
            </w:pPr>
            <w:r>
              <w:rPr>
                <w:rFonts w:hint="eastAsia" w:ascii="宋体" w:hAnsi="宋体" w:cs="宋体"/>
                <w:bCs/>
                <w:kern w:val="0"/>
                <w:sz w:val="16"/>
                <w:szCs w:val="16"/>
              </w:rPr>
              <w:t>交通运输业</w:t>
            </w:r>
          </w:p>
        </w:tc>
        <w:tc>
          <w:tcPr>
            <w:tcW w:w="851" w:type="dxa"/>
            <w:tcBorders>
              <w:top w:val="nil"/>
              <w:left w:val="nil"/>
              <w:bottom w:val="single" w:color="auto" w:sz="4" w:space="0"/>
              <w:right w:val="single" w:color="auto" w:sz="4" w:space="0"/>
            </w:tcBorders>
            <w:shd w:val="clear" w:color="auto" w:fill="FFFFFF"/>
            <w:noWrap/>
            <w:vAlign w:val="center"/>
          </w:tcPr>
          <w:p w14:paraId="7CC1A60C">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≥30000</w:t>
            </w:r>
          </w:p>
        </w:tc>
        <w:tc>
          <w:tcPr>
            <w:tcW w:w="850" w:type="dxa"/>
            <w:tcBorders>
              <w:top w:val="nil"/>
              <w:left w:val="nil"/>
              <w:bottom w:val="single" w:color="auto" w:sz="4" w:space="0"/>
              <w:right w:val="single" w:color="auto" w:sz="4" w:space="0"/>
            </w:tcBorders>
            <w:shd w:val="clear" w:color="auto" w:fill="FFFFFF"/>
            <w:noWrap/>
            <w:vAlign w:val="center"/>
          </w:tcPr>
          <w:p w14:paraId="14EDCDE9">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且≥1000</w:t>
            </w:r>
          </w:p>
        </w:tc>
        <w:tc>
          <w:tcPr>
            <w:tcW w:w="851" w:type="dxa"/>
            <w:tcBorders>
              <w:top w:val="nil"/>
              <w:left w:val="nil"/>
              <w:bottom w:val="single" w:color="auto" w:sz="4" w:space="0"/>
              <w:right w:val="single" w:color="auto" w:sz="4" w:space="0"/>
            </w:tcBorders>
            <w:shd w:val="clear" w:color="auto" w:fill="FFFFFF"/>
            <w:noWrap/>
            <w:vAlign w:val="center"/>
          </w:tcPr>
          <w:p w14:paraId="040F60D0">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198956B6">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≥3000</w:t>
            </w:r>
          </w:p>
        </w:tc>
        <w:tc>
          <w:tcPr>
            <w:tcW w:w="709" w:type="dxa"/>
            <w:tcBorders>
              <w:top w:val="nil"/>
              <w:left w:val="nil"/>
              <w:bottom w:val="single" w:color="auto" w:sz="4" w:space="0"/>
              <w:right w:val="single" w:color="auto" w:sz="4" w:space="0"/>
            </w:tcBorders>
            <w:shd w:val="clear" w:color="auto" w:fill="FFFFFF"/>
            <w:noWrap/>
            <w:vAlign w:val="center"/>
          </w:tcPr>
          <w:p w14:paraId="513060B7">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且≥300</w:t>
            </w:r>
          </w:p>
        </w:tc>
        <w:tc>
          <w:tcPr>
            <w:tcW w:w="851" w:type="dxa"/>
            <w:tcBorders>
              <w:top w:val="nil"/>
              <w:left w:val="nil"/>
              <w:bottom w:val="single" w:color="auto" w:sz="4" w:space="0"/>
              <w:right w:val="single" w:color="auto" w:sz="4" w:space="0"/>
            </w:tcBorders>
            <w:shd w:val="clear" w:color="auto" w:fill="FFFFFF"/>
            <w:noWrap/>
            <w:vAlign w:val="center"/>
          </w:tcPr>
          <w:p w14:paraId="659B92C3">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32A9C538">
            <w:pPr>
              <w:pStyle w:val="104"/>
              <w:widowControl/>
              <w:jc w:val="center"/>
              <w:rPr>
                <w:rFonts w:ascii="宋体" w:hAnsi="宋体" w:cs="宋体"/>
                <w:bCs/>
                <w:kern w:val="0"/>
                <w:sz w:val="18"/>
                <w:szCs w:val="18"/>
              </w:rPr>
            </w:pPr>
            <w:r>
              <w:rPr>
                <w:rFonts w:hint="eastAsia" w:ascii="宋体" w:hAnsi="宋体" w:cs="宋体"/>
                <w:bCs/>
                <w:kern w:val="0"/>
                <w:sz w:val="18"/>
                <w:szCs w:val="18"/>
              </w:rPr>
              <w:t>≥200</w:t>
            </w:r>
          </w:p>
        </w:tc>
        <w:tc>
          <w:tcPr>
            <w:tcW w:w="851" w:type="dxa"/>
            <w:tcBorders>
              <w:top w:val="nil"/>
              <w:left w:val="nil"/>
              <w:bottom w:val="single" w:color="auto" w:sz="4" w:space="0"/>
              <w:right w:val="single" w:color="auto" w:sz="4" w:space="0"/>
            </w:tcBorders>
            <w:shd w:val="clear" w:color="auto" w:fill="FFFFFF"/>
            <w:noWrap/>
            <w:vAlign w:val="center"/>
          </w:tcPr>
          <w:p w14:paraId="365E7AA8">
            <w:pPr>
              <w:pStyle w:val="104"/>
              <w:widowControl/>
              <w:jc w:val="center"/>
              <w:rPr>
                <w:rFonts w:ascii="宋体" w:hAnsi="宋体" w:cs="宋体"/>
                <w:bCs/>
                <w:kern w:val="0"/>
                <w:sz w:val="18"/>
                <w:szCs w:val="18"/>
              </w:rPr>
            </w:pPr>
            <w:r>
              <w:rPr>
                <w:rFonts w:hint="eastAsia" w:ascii="宋体" w:hAnsi="宋体" w:cs="宋体"/>
                <w:bCs/>
                <w:kern w:val="0"/>
                <w:sz w:val="18"/>
                <w:szCs w:val="18"/>
              </w:rPr>
              <w:t>且≥20</w:t>
            </w:r>
          </w:p>
        </w:tc>
        <w:tc>
          <w:tcPr>
            <w:tcW w:w="708" w:type="dxa"/>
            <w:tcBorders>
              <w:top w:val="nil"/>
              <w:left w:val="nil"/>
              <w:bottom w:val="single" w:color="auto" w:sz="4" w:space="0"/>
              <w:right w:val="single" w:color="auto" w:sz="4" w:space="0"/>
            </w:tcBorders>
            <w:shd w:val="clear" w:color="auto" w:fill="FFFFFF"/>
            <w:noWrap/>
            <w:vAlign w:val="center"/>
          </w:tcPr>
          <w:p w14:paraId="601DAB5F">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0C463512">
            <w:pPr>
              <w:pStyle w:val="104"/>
              <w:widowControl/>
              <w:jc w:val="center"/>
              <w:rPr>
                <w:rFonts w:ascii="宋体" w:hAnsi="宋体" w:cs="宋体"/>
                <w:bCs/>
                <w:kern w:val="0"/>
                <w:sz w:val="18"/>
                <w:szCs w:val="18"/>
              </w:rPr>
            </w:pPr>
            <w:r>
              <w:rPr>
                <w:rFonts w:hint="eastAsia" w:ascii="宋体" w:hAnsi="宋体" w:cs="宋体"/>
                <w:bCs/>
                <w:kern w:val="0"/>
                <w:sz w:val="18"/>
                <w:szCs w:val="18"/>
              </w:rPr>
              <w:t>＜200</w:t>
            </w:r>
          </w:p>
        </w:tc>
        <w:tc>
          <w:tcPr>
            <w:tcW w:w="709" w:type="dxa"/>
            <w:tcBorders>
              <w:top w:val="nil"/>
              <w:left w:val="nil"/>
              <w:bottom w:val="single" w:color="auto" w:sz="4" w:space="0"/>
              <w:right w:val="single" w:color="auto" w:sz="4" w:space="0"/>
            </w:tcBorders>
            <w:shd w:val="clear" w:color="auto" w:fill="FFFFFF"/>
            <w:noWrap/>
            <w:vAlign w:val="center"/>
          </w:tcPr>
          <w:p w14:paraId="3878D7C3">
            <w:pPr>
              <w:pStyle w:val="104"/>
              <w:widowControl/>
              <w:jc w:val="center"/>
              <w:rPr>
                <w:rFonts w:ascii="宋体" w:hAnsi="宋体" w:cs="宋体"/>
                <w:bCs/>
                <w:kern w:val="0"/>
                <w:sz w:val="18"/>
                <w:szCs w:val="18"/>
              </w:rPr>
            </w:pPr>
            <w:r>
              <w:rPr>
                <w:rFonts w:hint="eastAsia" w:ascii="宋体" w:hAnsi="宋体" w:cs="宋体"/>
                <w:bCs/>
                <w:kern w:val="0"/>
                <w:sz w:val="18"/>
                <w:szCs w:val="18"/>
              </w:rPr>
              <w:t>或＜20</w:t>
            </w:r>
          </w:p>
        </w:tc>
        <w:tc>
          <w:tcPr>
            <w:tcW w:w="709" w:type="dxa"/>
            <w:tcBorders>
              <w:top w:val="nil"/>
              <w:left w:val="nil"/>
              <w:bottom w:val="single" w:color="auto" w:sz="4" w:space="0"/>
              <w:right w:val="single" w:color="auto" w:sz="4" w:space="0"/>
            </w:tcBorders>
            <w:shd w:val="clear" w:color="auto" w:fill="FFFFFF"/>
            <w:noWrap/>
            <w:vAlign w:val="center"/>
          </w:tcPr>
          <w:p w14:paraId="7756C4A3">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r>
      <w:tr w14:paraId="7BC906CE">
        <w:tblPrEx>
          <w:shd w:val="clear" w:color="auto" w:fill="FFFFFF"/>
          <w:tblCellMar>
            <w:top w:w="0" w:type="dxa"/>
            <w:left w:w="108" w:type="dxa"/>
            <w:bottom w:w="0" w:type="dxa"/>
            <w:right w:w="108" w:type="dxa"/>
          </w:tblCellMar>
        </w:tblPrEx>
        <w:trPr>
          <w:trHeight w:val="196" w:hRule="atLeast"/>
          <w:jc w:val="center"/>
        </w:trPr>
        <w:tc>
          <w:tcPr>
            <w:tcW w:w="479" w:type="dxa"/>
            <w:tcBorders>
              <w:top w:val="nil"/>
              <w:left w:val="single" w:color="auto" w:sz="4" w:space="0"/>
              <w:bottom w:val="single" w:color="auto" w:sz="4" w:space="0"/>
              <w:right w:val="single" w:color="auto" w:sz="4" w:space="0"/>
            </w:tcBorders>
            <w:shd w:val="clear" w:color="auto" w:fill="FFFFFF"/>
            <w:noWrap/>
            <w:vAlign w:val="center"/>
          </w:tcPr>
          <w:p w14:paraId="19A7E42A">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7</w:t>
            </w:r>
          </w:p>
        </w:tc>
        <w:tc>
          <w:tcPr>
            <w:tcW w:w="764" w:type="dxa"/>
            <w:tcBorders>
              <w:top w:val="nil"/>
              <w:left w:val="nil"/>
              <w:bottom w:val="single" w:color="auto" w:sz="4" w:space="0"/>
              <w:right w:val="single" w:color="auto" w:sz="4" w:space="0"/>
            </w:tcBorders>
            <w:shd w:val="clear" w:color="auto" w:fill="FFFFFF"/>
            <w:noWrap/>
            <w:vAlign w:val="center"/>
          </w:tcPr>
          <w:p w14:paraId="7097F01D">
            <w:pPr>
              <w:pStyle w:val="104"/>
              <w:ind w:left="-29" w:leftChars="-13" w:right="-68" w:rightChars="-31"/>
              <w:jc w:val="left"/>
              <w:rPr>
                <w:rFonts w:ascii="宋体" w:hAnsi="宋体" w:cs="宋体"/>
                <w:bCs/>
                <w:kern w:val="0"/>
                <w:sz w:val="16"/>
                <w:szCs w:val="16"/>
              </w:rPr>
            </w:pPr>
            <w:r>
              <w:rPr>
                <w:rFonts w:hint="eastAsia" w:ascii="宋体" w:hAnsi="宋体" w:cs="宋体"/>
                <w:bCs/>
                <w:kern w:val="0"/>
                <w:sz w:val="16"/>
                <w:szCs w:val="16"/>
              </w:rPr>
              <w:t>仓储业</w:t>
            </w:r>
          </w:p>
        </w:tc>
        <w:tc>
          <w:tcPr>
            <w:tcW w:w="851" w:type="dxa"/>
            <w:tcBorders>
              <w:top w:val="nil"/>
              <w:left w:val="nil"/>
              <w:bottom w:val="single" w:color="auto" w:sz="4" w:space="0"/>
              <w:right w:val="single" w:color="auto" w:sz="4" w:space="0"/>
            </w:tcBorders>
            <w:shd w:val="clear" w:color="auto" w:fill="FFFFFF"/>
            <w:noWrap/>
            <w:vAlign w:val="center"/>
          </w:tcPr>
          <w:p w14:paraId="1043CEA4">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≥30000</w:t>
            </w:r>
          </w:p>
        </w:tc>
        <w:tc>
          <w:tcPr>
            <w:tcW w:w="850" w:type="dxa"/>
            <w:tcBorders>
              <w:top w:val="nil"/>
              <w:left w:val="nil"/>
              <w:bottom w:val="single" w:color="auto" w:sz="4" w:space="0"/>
              <w:right w:val="single" w:color="auto" w:sz="4" w:space="0"/>
            </w:tcBorders>
            <w:shd w:val="clear" w:color="auto" w:fill="FFFFFF"/>
            <w:noWrap/>
            <w:vAlign w:val="center"/>
          </w:tcPr>
          <w:p w14:paraId="77724025">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且≥200</w:t>
            </w:r>
          </w:p>
        </w:tc>
        <w:tc>
          <w:tcPr>
            <w:tcW w:w="851" w:type="dxa"/>
            <w:tcBorders>
              <w:top w:val="nil"/>
              <w:left w:val="nil"/>
              <w:bottom w:val="single" w:color="auto" w:sz="4" w:space="0"/>
              <w:right w:val="single" w:color="auto" w:sz="4" w:space="0"/>
            </w:tcBorders>
            <w:shd w:val="clear" w:color="auto" w:fill="FFFFFF"/>
            <w:noWrap/>
            <w:vAlign w:val="center"/>
          </w:tcPr>
          <w:p w14:paraId="3120DFDB">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0F09A925">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≥1000</w:t>
            </w:r>
          </w:p>
        </w:tc>
        <w:tc>
          <w:tcPr>
            <w:tcW w:w="709" w:type="dxa"/>
            <w:tcBorders>
              <w:top w:val="nil"/>
              <w:left w:val="nil"/>
              <w:bottom w:val="single" w:color="auto" w:sz="4" w:space="0"/>
              <w:right w:val="single" w:color="auto" w:sz="4" w:space="0"/>
            </w:tcBorders>
            <w:shd w:val="clear" w:color="auto" w:fill="FFFFFF"/>
            <w:noWrap/>
            <w:vAlign w:val="center"/>
          </w:tcPr>
          <w:p w14:paraId="62AC81B0">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且≥100</w:t>
            </w:r>
          </w:p>
        </w:tc>
        <w:tc>
          <w:tcPr>
            <w:tcW w:w="851" w:type="dxa"/>
            <w:tcBorders>
              <w:top w:val="nil"/>
              <w:left w:val="nil"/>
              <w:bottom w:val="single" w:color="auto" w:sz="4" w:space="0"/>
              <w:right w:val="single" w:color="auto" w:sz="4" w:space="0"/>
            </w:tcBorders>
            <w:shd w:val="clear" w:color="auto" w:fill="FFFFFF"/>
            <w:noWrap/>
            <w:vAlign w:val="center"/>
          </w:tcPr>
          <w:p w14:paraId="31777240">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35EC3154">
            <w:pPr>
              <w:pStyle w:val="104"/>
              <w:widowControl/>
              <w:jc w:val="center"/>
              <w:rPr>
                <w:rFonts w:ascii="宋体" w:hAnsi="宋体" w:cs="宋体"/>
                <w:bCs/>
                <w:kern w:val="0"/>
                <w:sz w:val="18"/>
                <w:szCs w:val="18"/>
              </w:rPr>
            </w:pPr>
            <w:r>
              <w:rPr>
                <w:rFonts w:hint="eastAsia" w:ascii="宋体" w:hAnsi="宋体" w:cs="宋体"/>
                <w:bCs/>
                <w:kern w:val="0"/>
                <w:sz w:val="18"/>
                <w:szCs w:val="18"/>
              </w:rPr>
              <w:t>≥100</w:t>
            </w:r>
          </w:p>
        </w:tc>
        <w:tc>
          <w:tcPr>
            <w:tcW w:w="851" w:type="dxa"/>
            <w:tcBorders>
              <w:top w:val="nil"/>
              <w:left w:val="nil"/>
              <w:bottom w:val="single" w:color="auto" w:sz="4" w:space="0"/>
              <w:right w:val="single" w:color="auto" w:sz="4" w:space="0"/>
            </w:tcBorders>
            <w:shd w:val="clear" w:color="auto" w:fill="FFFFFF"/>
            <w:noWrap/>
            <w:vAlign w:val="center"/>
          </w:tcPr>
          <w:p w14:paraId="721F76E9">
            <w:pPr>
              <w:pStyle w:val="104"/>
              <w:widowControl/>
              <w:jc w:val="center"/>
              <w:rPr>
                <w:rFonts w:ascii="宋体" w:hAnsi="宋体" w:cs="宋体"/>
                <w:bCs/>
                <w:kern w:val="0"/>
                <w:sz w:val="18"/>
                <w:szCs w:val="18"/>
              </w:rPr>
            </w:pPr>
            <w:r>
              <w:rPr>
                <w:rFonts w:hint="eastAsia" w:ascii="宋体" w:hAnsi="宋体" w:cs="宋体"/>
                <w:bCs/>
                <w:kern w:val="0"/>
                <w:sz w:val="18"/>
                <w:szCs w:val="18"/>
              </w:rPr>
              <w:t>且≥20</w:t>
            </w:r>
          </w:p>
        </w:tc>
        <w:tc>
          <w:tcPr>
            <w:tcW w:w="708" w:type="dxa"/>
            <w:tcBorders>
              <w:top w:val="nil"/>
              <w:left w:val="nil"/>
              <w:bottom w:val="single" w:color="auto" w:sz="4" w:space="0"/>
              <w:right w:val="single" w:color="auto" w:sz="4" w:space="0"/>
            </w:tcBorders>
            <w:shd w:val="clear" w:color="auto" w:fill="FFFFFF"/>
            <w:noWrap/>
            <w:vAlign w:val="center"/>
          </w:tcPr>
          <w:p w14:paraId="1B14679E">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67DD4A35">
            <w:pPr>
              <w:pStyle w:val="104"/>
              <w:widowControl/>
              <w:jc w:val="center"/>
              <w:rPr>
                <w:rFonts w:ascii="宋体" w:hAnsi="宋体" w:cs="宋体"/>
                <w:bCs/>
                <w:kern w:val="0"/>
                <w:sz w:val="18"/>
                <w:szCs w:val="18"/>
              </w:rPr>
            </w:pPr>
            <w:r>
              <w:rPr>
                <w:rFonts w:hint="eastAsia" w:ascii="宋体" w:hAnsi="宋体" w:cs="宋体"/>
                <w:bCs/>
                <w:kern w:val="0"/>
                <w:sz w:val="18"/>
                <w:szCs w:val="18"/>
              </w:rPr>
              <w:t>＜100</w:t>
            </w:r>
          </w:p>
        </w:tc>
        <w:tc>
          <w:tcPr>
            <w:tcW w:w="709" w:type="dxa"/>
            <w:tcBorders>
              <w:top w:val="nil"/>
              <w:left w:val="nil"/>
              <w:bottom w:val="single" w:color="auto" w:sz="4" w:space="0"/>
              <w:right w:val="single" w:color="auto" w:sz="4" w:space="0"/>
            </w:tcBorders>
            <w:shd w:val="clear" w:color="auto" w:fill="FFFFFF"/>
            <w:noWrap/>
            <w:vAlign w:val="center"/>
          </w:tcPr>
          <w:p w14:paraId="4192F2A7">
            <w:pPr>
              <w:pStyle w:val="104"/>
              <w:widowControl/>
              <w:jc w:val="center"/>
              <w:rPr>
                <w:rFonts w:ascii="宋体" w:hAnsi="宋体" w:cs="宋体"/>
                <w:bCs/>
                <w:kern w:val="0"/>
                <w:sz w:val="18"/>
                <w:szCs w:val="18"/>
              </w:rPr>
            </w:pPr>
            <w:r>
              <w:rPr>
                <w:rFonts w:hint="eastAsia" w:ascii="宋体" w:hAnsi="宋体" w:cs="宋体"/>
                <w:bCs/>
                <w:kern w:val="0"/>
                <w:sz w:val="18"/>
                <w:szCs w:val="18"/>
              </w:rPr>
              <w:t>或＜20</w:t>
            </w:r>
          </w:p>
        </w:tc>
        <w:tc>
          <w:tcPr>
            <w:tcW w:w="709" w:type="dxa"/>
            <w:tcBorders>
              <w:top w:val="nil"/>
              <w:left w:val="nil"/>
              <w:bottom w:val="single" w:color="auto" w:sz="4" w:space="0"/>
              <w:right w:val="single" w:color="auto" w:sz="4" w:space="0"/>
            </w:tcBorders>
            <w:shd w:val="clear" w:color="auto" w:fill="FFFFFF"/>
            <w:noWrap/>
            <w:vAlign w:val="center"/>
          </w:tcPr>
          <w:p w14:paraId="286B4768">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r>
      <w:tr w14:paraId="6FD29A35">
        <w:tblPrEx>
          <w:tblCellMar>
            <w:top w:w="0" w:type="dxa"/>
            <w:left w:w="108" w:type="dxa"/>
            <w:bottom w:w="0" w:type="dxa"/>
            <w:right w:w="108" w:type="dxa"/>
          </w:tblCellMar>
        </w:tblPrEx>
        <w:trPr>
          <w:trHeight w:val="309" w:hRule="atLeast"/>
          <w:jc w:val="center"/>
        </w:trPr>
        <w:tc>
          <w:tcPr>
            <w:tcW w:w="479" w:type="dxa"/>
            <w:tcBorders>
              <w:top w:val="nil"/>
              <w:left w:val="single" w:color="auto" w:sz="4" w:space="0"/>
              <w:bottom w:val="single" w:color="auto" w:sz="4" w:space="0"/>
              <w:right w:val="single" w:color="auto" w:sz="4" w:space="0"/>
            </w:tcBorders>
            <w:shd w:val="clear" w:color="auto" w:fill="FFFFFF"/>
            <w:noWrap/>
            <w:vAlign w:val="center"/>
          </w:tcPr>
          <w:p w14:paraId="1DEFBF54">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8</w:t>
            </w:r>
          </w:p>
        </w:tc>
        <w:tc>
          <w:tcPr>
            <w:tcW w:w="764" w:type="dxa"/>
            <w:tcBorders>
              <w:top w:val="nil"/>
              <w:left w:val="nil"/>
              <w:bottom w:val="single" w:color="auto" w:sz="4" w:space="0"/>
              <w:right w:val="single" w:color="auto" w:sz="4" w:space="0"/>
            </w:tcBorders>
            <w:shd w:val="clear" w:color="auto" w:fill="FFFFFF"/>
            <w:noWrap/>
            <w:vAlign w:val="center"/>
          </w:tcPr>
          <w:p w14:paraId="0486CA1F">
            <w:pPr>
              <w:pStyle w:val="104"/>
              <w:ind w:left="-29" w:leftChars="-13" w:right="-68" w:rightChars="-31"/>
              <w:jc w:val="left"/>
              <w:rPr>
                <w:rFonts w:ascii="宋体" w:hAnsi="宋体" w:cs="宋体"/>
                <w:bCs/>
                <w:kern w:val="0"/>
                <w:sz w:val="16"/>
                <w:szCs w:val="16"/>
              </w:rPr>
            </w:pPr>
            <w:r>
              <w:rPr>
                <w:rFonts w:hint="eastAsia" w:ascii="宋体" w:hAnsi="宋体" w:cs="宋体"/>
                <w:bCs/>
                <w:kern w:val="0"/>
                <w:sz w:val="16"/>
                <w:szCs w:val="16"/>
              </w:rPr>
              <w:t>邮政业</w:t>
            </w:r>
          </w:p>
        </w:tc>
        <w:tc>
          <w:tcPr>
            <w:tcW w:w="851" w:type="dxa"/>
            <w:tcBorders>
              <w:top w:val="nil"/>
              <w:left w:val="nil"/>
              <w:bottom w:val="single" w:color="auto" w:sz="4" w:space="0"/>
              <w:right w:val="single" w:color="auto" w:sz="4" w:space="0"/>
            </w:tcBorders>
            <w:shd w:val="clear" w:color="auto" w:fill="FFFFFF"/>
            <w:noWrap/>
            <w:vAlign w:val="center"/>
          </w:tcPr>
          <w:p w14:paraId="2A22B4C3">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≥30000</w:t>
            </w:r>
          </w:p>
        </w:tc>
        <w:tc>
          <w:tcPr>
            <w:tcW w:w="850" w:type="dxa"/>
            <w:tcBorders>
              <w:top w:val="nil"/>
              <w:left w:val="nil"/>
              <w:bottom w:val="single" w:color="auto" w:sz="4" w:space="0"/>
              <w:right w:val="single" w:color="auto" w:sz="4" w:space="0"/>
            </w:tcBorders>
            <w:shd w:val="clear" w:color="auto" w:fill="FFFFFF"/>
            <w:noWrap/>
            <w:vAlign w:val="center"/>
          </w:tcPr>
          <w:p w14:paraId="6FF53137">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且≥1000</w:t>
            </w:r>
          </w:p>
        </w:tc>
        <w:tc>
          <w:tcPr>
            <w:tcW w:w="851" w:type="dxa"/>
            <w:tcBorders>
              <w:top w:val="nil"/>
              <w:left w:val="nil"/>
              <w:bottom w:val="single" w:color="auto" w:sz="4" w:space="0"/>
              <w:right w:val="single" w:color="auto" w:sz="4" w:space="0"/>
            </w:tcBorders>
            <w:shd w:val="clear" w:color="auto" w:fill="FFFFFF"/>
            <w:noWrap/>
            <w:vAlign w:val="center"/>
          </w:tcPr>
          <w:p w14:paraId="61E96F16">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078A8E7F">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≥2000</w:t>
            </w:r>
          </w:p>
        </w:tc>
        <w:tc>
          <w:tcPr>
            <w:tcW w:w="709" w:type="dxa"/>
            <w:tcBorders>
              <w:top w:val="nil"/>
              <w:left w:val="nil"/>
              <w:bottom w:val="single" w:color="auto" w:sz="4" w:space="0"/>
              <w:right w:val="single" w:color="auto" w:sz="4" w:space="0"/>
            </w:tcBorders>
            <w:shd w:val="clear" w:color="auto" w:fill="FFFFFF"/>
            <w:noWrap/>
            <w:vAlign w:val="center"/>
          </w:tcPr>
          <w:p w14:paraId="570330E1">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且≥300</w:t>
            </w:r>
          </w:p>
        </w:tc>
        <w:tc>
          <w:tcPr>
            <w:tcW w:w="851" w:type="dxa"/>
            <w:tcBorders>
              <w:top w:val="nil"/>
              <w:left w:val="nil"/>
              <w:bottom w:val="single" w:color="auto" w:sz="4" w:space="0"/>
              <w:right w:val="single" w:color="auto" w:sz="4" w:space="0"/>
            </w:tcBorders>
            <w:shd w:val="clear" w:color="auto" w:fill="FFFFFF"/>
            <w:noWrap/>
            <w:vAlign w:val="center"/>
          </w:tcPr>
          <w:p w14:paraId="6BE66541">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6C9209C2">
            <w:pPr>
              <w:pStyle w:val="104"/>
              <w:widowControl/>
              <w:jc w:val="center"/>
              <w:rPr>
                <w:rFonts w:ascii="宋体" w:hAnsi="宋体" w:cs="宋体"/>
                <w:bCs/>
                <w:kern w:val="0"/>
                <w:sz w:val="18"/>
                <w:szCs w:val="18"/>
              </w:rPr>
            </w:pPr>
            <w:r>
              <w:rPr>
                <w:rFonts w:hint="eastAsia" w:ascii="宋体" w:hAnsi="宋体" w:cs="宋体"/>
                <w:bCs/>
                <w:kern w:val="0"/>
                <w:sz w:val="18"/>
                <w:szCs w:val="18"/>
              </w:rPr>
              <w:t>≥100</w:t>
            </w:r>
          </w:p>
        </w:tc>
        <w:tc>
          <w:tcPr>
            <w:tcW w:w="851" w:type="dxa"/>
            <w:tcBorders>
              <w:top w:val="nil"/>
              <w:left w:val="nil"/>
              <w:bottom w:val="single" w:color="auto" w:sz="4" w:space="0"/>
              <w:right w:val="single" w:color="auto" w:sz="4" w:space="0"/>
            </w:tcBorders>
            <w:shd w:val="clear" w:color="auto" w:fill="FFFFFF"/>
            <w:noWrap/>
            <w:vAlign w:val="center"/>
          </w:tcPr>
          <w:p w14:paraId="7C62774D">
            <w:pPr>
              <w:pStyle w:val="104"/>
              <w:widowControl/>
              <w:jc w:val="center"/>
              <w:rPr>
                <w:rFonts w:ascii="宋体" w:hAnsi="宋体" w:cs="宋体"/>
                <w:bCs/>
                <w:kern w:val="0"/>
                <w:sz w:val="18"/>
                <w:szCs w:val="18"/>
              </w:rPr>
            </w:pPr>
            <w:r>
              <w:rPr>
                <w:rFonts w:hint="eastAsia" w:ascii="宋体" w:hAnsi="宋体" w:cs="宋体"/>
                <w:bCs/>
                <w:kern w:val="0"/>
                <w:sz w:val="18"/>
                <w:szCs w:val="18"/>
              </w:rPr>
              <w:t>且≥20</w:t>
            </w:r>
          </w:p>
        </w:tc>
        <w:tc>
          <w:tcPr>
            <w:tcW w:w="708" w:type="dxa"/>
            <w:tcBorders>
              <w:top w:val="nil"/>
              <w:left w:val="nil"/>
              <w:bottom w:val="single" w:color="auto" w:sz="4" w:space="0"/>
              <w:right w:val="single" w:color="auto" w:sz="4" w:space="0"/>
            </w:tcBorders>
            <w:shd w:val="clear" w:color="auto" w:fill="FFFFFF"/>
            <w:noWrap/>
            <w:vAlign w:val="center"/>
          </w:tcPr>
          <w:p w14:paraId="2D9903BB">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713EBDF2">
            <w:pPr>
              <w:pStyle w:val="104"/>
              <w:widowControl/>
              <w:jc w:val="center"/>
              <w:rPr>
                <w:rFonts w:ascii="宋体" w:hAnsi="宋体" w:cs="宋体"/>
                <w:bCs/>
                <w:kern w:val="0"/>
                <w:sz w:val="18"/>
                <w:szCs w:val="18"/>
              </w:rPr>
            </w:pPr>
            <w:r>
              <w:rPr>
                <w:rFonts w:hint="eastAsia" w:ascii="宋体" w:hAnsi="宋体" w:cs="宋体"/>
                <w:bCs/>
                <w:kern w:val="0"/>
                <w:sz w:val="18"/>
                <w:szCs w:val="18"/>
              </w:rPr>
              <w:t>＜100</w:t>
            </w:r>
          </w:p>
        </w:tc>
        <w:tc>
          <w:tcPr>
            <w:tcW w:w="709" w:type="dxa"/>
            <w:tcBorders>
              <w:top w:val="nil"/>
              <w:left w:val="nil"/>
              <w:bottom w:val="single" w:color="auto" w:sz="4" w:space="0"/>
              <w:right w:val="single" w:color="auto" w:sz="4" w:space="0"/>
            </w:tcBorders>
            <w:shd w:val="clear" w:color="auto" w:fill="FFFFFF"/>
            <w:noWrap/>
            <w:vAlign w:val="center"/>
          </w:tcPr>
          <w:p w14:paraId="13815E17">
            <w:pPr>
              <w:pStyle w:val="104"/>
              <w:widowControl/>
              <w:jc w:val="center"/>
              <w:rPr>
                <w:rFonts w:ascii="宋体" w:hAnsi="宋体" w:cs="宋体"/>
                <w:bCs/>
                <w:kern w:val="0"/>
                <w:sz w:val="18"/>
                <w:szCs w:val="18"/>
              </w:rPr>
            </w:pPr>
            <w:r>
              <w:rPr>
                <w:rFonts w:hint="eastAsia" w:ascii="宋体" w:hAnsi="宋体" w:cs="宋体"/>
                <w:bCs/>
                <w:kern w:val="0"/>
                <w:sz w:val="18"/>
                <w:szCs w:val="18"/>
              </w:rPr>
              <w:t>或＜20</w:t>
            </w:r>
          </w:p>
        </w:tc>
        <w:tc>
          <w:tcPr>
            <w:tcW w:w="709" w:type="dxa"/>
            <w:tcBorders>
              <w:top w:val="nil"/>
              <w:left w:val="nil"/>
              <w:bottom w:val="single" w:color="auto" w:sz="4" w:space="0"/>
              <w:right w:val="single" w:color="auto" w:sz="4" w:space="0"/>
            </w:tcBorders>
            <w:shd w:val="clear" w:color="auto" w:fill="FFFFFF"/>
            <w:noWrap/>
            <w:vAlign w:val="center"/>
          </w:tcPr>
          <w:p w14:paraId="2999ACF4">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r>
      <w:tr w14:paraId="5DAF8920">
        <w:tblPrEx>
          <w:tblCellMar>
            <w:top w:w="0" w:type="dxa"/>
            <w:left w:w="108" w:type="dxa"/>
            <w:bottom w:w="0" w:type="dxa"/>
            <w:right w:w="108" w:type="dxa"/>
          </w:tblCellMar>
        </w:tblPrEx>
        <w:trPr>
          <w:trHeight w:val="369" w:hRule="atLeast"/>
          <w:jc w:val="center"/>
        </w:trPr>
        <w:tc>
          <w:tcPr>
            <w:tcW w:w="479" w:type="dxa"/>
            <w:tcBorders>
              <w:top w:val="nil"/>
              <w:left w:val="single" w:color="auto" w:sz="4" w:space="0"/>
              <w:bottom w:val="single" w:color="auto" w:sz="4" w:space="0"/>
              <w:right w:val="single" w:color="auto" w:sz="4" w:space="0"/>
            </w:tcBorders>
            <w:shd w:val="clear" w:color="auto" w:fill="FFFFFF"/>
            <w:noWrap/>
            <w:vAlign w:val="center"/>
          </w:tcPr>
          <w:p w14:paraId="47753D75">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9</w:t>
            </w:r>
          </w:p>
        </w:tc>
        <w:tc>
          <w:tcPr>
            <w:tcW w:w="764" w:type="dxa"/>
            <w:tcBorders>
              <w:top w:val="nil"/>
              <w:left w:val="nil"/>
              <w:bottom w:val="single" w:color="auto" w:sz="4" w:space="0"/>
              <w:right w:val="single" w:color="auto" w:sz="4" w:space="0"/>
            </w:tcBorders>
            <w:shd w:val="clear" w:color="auto" w:fill="FFFFFF"/>
            <w:noWrap/>
            <w:vAlign w:val="center"/>
          </w:tcPr>
          <w:p w14:paraId="468B0215">
            <w:pPr>
              <w:pStyle w:val="104"/>
              <w:ind w:left="-29" w:leftChars="-13" w:right="-68" w:rightChars="-31"/>
              <w:jc w:val="left"/>
              <w:rPr>
                <w:rFonts w:ascii="宋体" w:hAnsi="宋体" w:cs="宋体"/>
                <w:bCs/>
                <w:kern w:val="0"/>
                <w:sz w:val="16"/>
                <w:szCs w:val="16"/>
              </w:rPr>
            </w:pPr>
            <w:r>
              <w:rPr>
                <w:rFonts w:hint="eastAsia" w:ascii="宋体" w:hAnsi="宋体" w:cs="宋体"/>
                <w:bCs/>
                <w:kern w:val="0"/>
                <w:sz w:val="16"/>
                <w:szCs w:val="16"/>
              </w:rPr>
              <w:t>住宿业</w:t>
            </w:r>
          </w:p>
        </w:tc>
        <w:tc>
          <w:tcPr>
            <w:tcW w:w="851" w:type="dxa"/>
            <w:tcBorders>
              <w:top w:val="nil"/>
              <w:left w:val="nil"/>
              <w:bottom w:val="single" w:color="auto" w:sz="4" w:space="0"/>
              <w:right w:val="single" w:color="auto" w:sz="4" w:space="0"/>
            </w:tcBorders>
            <w:shd w:val="clear" w:color="auto" w:fill="FFFFFF"/>
            <w:noWrap/>
            <w:vAlign w:val="center"/>
          </w:tcPr>
          <w:p w14:paraId="265C181B">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≥10000</w:t>
            </w:r>
          </w:p>
        </w:tc>
        <w:tc>
          <w:tcPr>
            <w:tcW w:w="850" w:type="dxa"/>
            <w:tcBorders>
              <w:top w:val="nil"/>
              <w:left w:val="nil"/>
              <w:bottom w:val="single" w:color="auto" w:sz="4" w:space="0"/>
              <w:right w:val="single" w:color="auto" w:sz="4" w:space="0"/>
            </w:tcBorders>
            <w:shd w:val="clear" w:color="auto" w:fill="FFFFFF"/>
            <w:noWrap/>
            <w:vAlign w:val="center"/>
          </w:tcPr>
          <w:p w14:paraId="005B3BE1">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且≥300</w:t>
            </w:r>
          </w:p>
        </w:tc>
        <w:tc>
          <w:tcPr>
            <w:tcW w:w="851" w:type="dxa"/>
            <w:tcBorders>
              <w:top w:val="nil"/>
              <w:left w:val="nil"/>
              <w:bottom w:val="single" w:color="auto" w:sz="4" w:space="0"/>
              <w:right w:val="single" w:color="auto" w:sz="4" w:space="0"/>
            </w:tcBorders>
            <w:shd w:val="clear" w:color="auto" w:fill="FFFFFF"/>
            <w:noWrap/>
            <w:vAlign w:val="center"/>
          </w:tcPr>
          <w:p w14:paraId="48161F22">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031A9FD2">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≥2000</w:t>
            </w:r>
          </w:p>
        </w:tc>
        <w:tc>
          <w:tcPr>
            <w:tcW w:w="709" w:type="dxa"/>
            <w:tcBorders>
              <w:top w:val="nil"/>
              <w:left w:val="nil"/>
              <w:bottom w:val="single" w:color="auto" w:sz="4" w:space="0"/>
              <w:right w:val="single" w:color="auto" w:sz="4" w:space="0"/>
            </w:tcBorders>
            <w:shd w:val="clear" w:color="auto" w:fill="FFFFFF"/>
            <w:noWrap/>
            <w:vAlign w:val="center"/>
          </w:tcPr>
          <w:p w14:paraId="11740D94">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且≥100</w:t>
            </w:r>
          </w:p>
        </w:tc>
        <w:tc>
          <w:tcPr>
            <w:tcW w:w="851" w:type="dxa"/>
            <w:tcBorders>
              <w:top w:val="nil"/>
              <w:left w:val="nil"/>
              <w:bottom w:val="single" w:color="auto" w:sz="4" w:space="0"/>
              <w:right w:val="single" w:color="auto" w:sz="4" w:space="0"/>
            </w:tcBorders>
            <w:shd w:val="clear" w:color="auto" w:fill="FFFFFF"/>
            <w:noWrap/>
            <w:vAlign w:val="center"/>
          </w:tcPr>
          <w:p w14:paraId="5BF009F9">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5D628986">
            <w:pPr>
              <w:pStyle w:val="104"/>
              <w:widowControl/>
              <w:jc w:val="center"/>
              <w:rPr>
                <w:rFonts w:ascii="宋体" w:hAnsi="宋体" w:cs="宋体"/>
                <w:bCs/>
                <w:kern w:val="0"/>
                <w:sz w:val="18"/>
                <w:szCs w:val="18"/>
              </w:rPr>
            </w:pPr>
            <w:r>
              <w:rPr>
                <w:rFonts w:hint="eastAsia" w:ascii="宋体" w:hAnsi="宋体" w:cs="宋体"/>
                <w:bCs/>
                <w:kern w:val="0"/>
                <w:sz w:val="18"/>
                <w:szCs w:val="18"/>
              </w:rPr>
              <w:t>≥100</w:t>
            </w:r>
          </w:p>
        </w:tc>
        <w:tc>
          <w:tcPr>
            <w:tcW w:w="851" w:type="dxa"/>
            <w:tcBorders>
              <w:top w:val="nil"/>
              <w:left w:val="nil"/>
              <w:bottom w:val="single" w:color="auto" w:sz="4" w:space="0"/>
              <w:right w:val="single" w:color="auto" w:sz="4" w:space="0"/>
            </w:tcBorders>
            <w:shd w:val="clear" w:color="auto" w:fill="FFFFFF"/>
            <w:noWrap/>
            <w:vAlign w:val="center"/>
          </w:tcPr>
          <w:p w14:paraId="141587AA">
            <w:pPr>
              <w:pStyle w:val="104"/>
              <w:widowControl/>
              <w:jc w:val="center"/>
              <w:rPr>
                <w:rFonts w:ascii="宋体" w:hAnsi="宋体" w:cs="宋体"/>
                <w:bCs/>
                <w:kern w:val="0"/>
                <w:sz w:val="18"/>
                <w:szCs w:val="18"/>
              </w:rPr>
            </w:pPr>
            <w:r>
              <w:rPr>
                <w:rFonts w:hint="eastAsia" w:ascii="宋体" w:hAnsi="宋体" w:cs="宋体"/>
                <w:bCs/>
                <w:kern w:val="0"/>
                <w:sz w:val="18"/>
                <w:szCs w:val="18"/>
              </w:rPr>
              <w:t>且≥10</w:t>
            </w:r>
          </w:p>
        </w:tc>
        <w:tc>
          <w:tcPr>
            <w:tcW w:w="708" w:type="dxa"/>
            <w:tcBorders>
              <w:top w:val="nil"/>
              <w:left w:val="nil"/>
              <w:bottom w:val="single" w:color="auto" w:sz="4" w:space="0"/>
              <w:right w:val="single" w:color="auto" w:sz="4" w:space="0"/>
            </w:tcBorders>
            <w:shd w:val="clear" w:color="auto" w:fill="FFFFFF"/>
            <w:noWrap/>
            <w:vAlign w:val="center"/>
          </w:tcPr>
          <w:p w14:paraId="1B6EA83F">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6B5DDECB">
            <w:pPr>
              <w:pStyle w:val="104"/>
              <w:widowControl/>
              <w:jc w:val="center"/>
              <w:rPr>
                <w:rFonts w:ascii="宋体" w:hAnsi="宋体" w:cs="宋体"/>
                <w:bCs/>
                <w:kern w:val="0"/>
                <w:sz w:val="18"/>
                <w:szCs w:val="18"/>
              </w:rPr>
            </w:pPr>
            <w:r>
              <w:rPr>
                <w:rFonts w:hint="eastAsia" w:ascii="宋体" w:hAnsi="宋体" w:cs="宋体"/>
                <w:bCs/>
                <w:kern w:val="0"/>
                <w:sz w:val="18"/>
                <w:szCs w:val="18"/>
              </w:rPr>
              <w:t>＜100</w:t>
            </w:r>
          </w:p>
        </w:tc>
        <w:tc>
          <w:tcPr>
            <w:tcW w:w="709" w:type="dxa"/>
            <w:tcBorders>
              <w:top w:val="nil"/>
              <w:left w:val="nil"/>
              <w:bottom w:val="single" w:color="auto" w:sz="4" w:space="0"/>
              <w:right w:val="single" w:color="auto" w:sz="4" w:space="0"/>
            </w:tcBorders>
            <w:shd w:val="clear" w:color="auto" w:fill="FFFFFF"/>
            <w:noWrap/>
            <w:vAlign w:val="center"/>
          </w:tcPr>
          <w:p w14:paraId="08DE67C6">
            <w:pPr>
              <w:pStyle w:val="104"/>
              <w:widowControl/>
              <w:jc w:val="center"/>
              <w:rPr>
                <w:rFonts w:ascii="宋体" w:hAnsi="宋体" w:cs="宋体"/>
                <w:bCs/>
                <w:kern w:val="0"/>
                <w:sz w:val="18"/>
                <w:szCs w:val="18"/>
              </w:rPr>
            </w:pPr>
            <w:r>
              <w:rPr>
                <w:rFonts w:hint="eastAsia" w:ascii="宋体" w:hAnsi="宋体" w:cs="宋体"/>
                <w:bCs/>
                <w:kern w:val="0"/>
                <w:sz w:val="18"/>
                <w:szCs w:val="18"/>
              </w:rPr>
              <w:t>或＜10</w:t>
            </w:r>
          </w:p>
        </w:tc>
        <w:tc>
          <w:tcPr>
            <w:tcW w:w="709" w:type="dxa"/>
            <w:tcBorders>
              <w:top w:val="nil"/>
              <w:left w:val="nil"/>
              <w:bottom w:val="single" w:color="auto" w:sz="4" w:space="0"/>
              <w:right w:val="single" w:color="auto" w:sz="4" w:space="0"/>
            </w:tcBorders>
            <w:shd w:val="clear" w:color="auto" w:fill="FFFFFF"/>
            <w:noWrap/>
            <w:vAlign w:val="center"/>
          </w:tcPr>
          <w:p w14:paraId="222D6323">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r>
      <w:tr w14:paraId="2F41FB3D">
        <w:tblPrEx>
          <w:tblCellMar>
            <w:top w:w="0" w:type="dxa"/>
            <w:left w:w="108" w:type="dxa"/>
            <w:bottom w:w="0" w:type="dxa"/>
            <w:right w:w="108" w:type="dxa"/>
          </w:tblCellMar>
        </w:tblPrEx>
        <w:trPr>
          <w:trHeight w:val="369" w:hRule="atLeast"/>
          <w:jc w:val="center"/>
        </w:trPr>
        <w:tc>
          <w:tcPr>
            <w:tcW w:w="479" w:type="dxa"/>
            <w:tcBorders>
              <w:top w:val="nil"/>
              <w:left w:val="single" w:color="auto" w:sz="4" w:space="0"/>
              <w:bottom w:val="single" w:color="auto" w:sz="4" w:space="0"/>
              <w:right w:val="single" w:color="auto" w:sz="4" w:space="0"/>
            </w:tcBorders>
            <w:shd w:val="clear" w:color="auto" w:fill="FFFFFF"/>
            <w:noWrap/>
            <w:vAlign w:val="center"/>
          </w:tcPr>
          <w:p w14:paraId="5B4D88E8">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10</w:t>
            </w:r>
          </w:p>
        </w:tc>
        <w:tc>
          <w:tcPr>
            <w:tcW w:w="764" w:type="dxa"/>
            <w:tcBorders>
              <w:top w:val="nil"/>
              <w:left w:val="nil"/>
              <w:bottom w:val="single" w:color="auto" w:sz="4" w:space="0"/>
              <w:right w:val="single" w:color="auto" w:sz="4" w:space="0"/>
            </w:tcBorders>
            <w:shd w:val="clear" w:color="auto" w:fill="FFFFFF"/>
            <w:noWrap/>
            <w:vAlign w:val="center"/>
          </w:tcPr>
          <w:p w14:paraId="24183774">
            <w:pPr>
              <w:pStyle w:val="104"/>
              <w:ind w:left="-29" w:leftChars="-13" w:right="-68" w:rightChars="-31"/>
              <w:jc w:val="left"/>
              <w:rPr>
                <w:rFonts w:ascii="宋体" w:hAnsi="宋体" w:cs="宋体"/>
                <w:bCs/>
                <w:kern w:val="0"/>
                <w:sz w:val="16"/>
                <w:szCs w:val="16"/>
              </w:rPr>
            </w:pPr>
            <w:r>
              <w:rPr>
                <w:rFonts w:hint="eastAsia" w:ascii="宋体" w:hAnsi="宋体" w:cs="宋体"/>
                <w:bCs/>
                <w:kern w:val="0"/>
                <w:sz w:val="16"/>
                <w:szCs w:val="16"/>
              </w:rPr>
              <w:t>餐饮业</w:t>
            </w:r>
          </w:p>
        </w:tc>
        <w:tc>
          <w:tcPr>
            <w:tcW w:w="851" w:type="dxa"/>
            <w:tcBorders>
              <w:top w:val="nil"/>
              <w:left w:val="nil"/>
              <w:bottom w:val="single" w:color="auto" w:sz="4" w:space="0"/>
              <w:right w:val="single" w:color="auto" w:sz="4" w:space="0"/>
            </w:tcBorders>
            <w:shd w:val="clear" w:color="auto" w:fill="FFFFFF"/>
            <w:noWrap/>
            <w:vAlign w:val="center"/>
          </w:tcPr>
          <w:p w14:paraId="6AF9B65D">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≥10000</w:t>
            </w:r>
          </w:p>
        </w:tc>
        <w:tc>
          <w:tcPr>
            <w:tcW w:w="850" w:type="dxa"/>
            <w:tcBorders>
              <w:top w:val="nil"/>
              <w:left w:val="nil"/>
              <w:bottom w:val="single" w:color="auto" w:sz="4" w:space="0"/>
              <w:right w:val="single" w:color="auto" w:sz="4" w:space="0"/>
            </w:tcBorders>
            <w:shd w:val="clear" w:color="auto" w:fill="FFFFFF"/>
            <w:noWrap/>
            <w:vAlign w:val="center"/>
          </w:tcPr>
          <w:p w14:paraId="023EC85A">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且≥300</w:t>
            </w:r>
          </w:p>
        </w:tc>
        <w:tc>
          <w:tcPr>
            <w:tcW w:w="851" w:type="dxa"/>
            <w:tcBorders>
              <w:top w:val="nil"/>
              <w:left w:val="nil"/>
              <w:bottom w:val="single" w:color="auto" w:sz="4" w:space="0"/>
              <w:right w:val="single" w:color="auto" w:sz="4" w:space="0"/>
            </w:tcBorders>
            <w:shd w:val="clear" w:color="auto" w:fill="FFFFFF"/>
            <w:noWrap/>
            <w:vAlign w:val="center"/>
          </w:tcPr>
          <w:p w14:paraId="205749B6">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10A87A25">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≥2000</w:t>
            </w:r>
          </w:p>
        </w:tc>
        <w:tc>
          <w:tcPr>
            <w:tcW w:w="709" w:type="dxa"/>
            <w:tcBorders>
              <w:top w:val="nil"/>
              <w:left w:val="nil"/>
              <w:bottom w:val="single" w:color="auto" w:sz="4" w:space="0"/>
              <w:right w:val="single" w:color="auto" w:sz="4" w:space="0"/>
            </w:tcBorders>
            <w:shd w:val="clear" w:color="auto" w:fill="FFFFFF"/>
            <w:noWrap/>
            <w:vAlign w:val="center"/>
          </w:tcPr>
          <w:p w14:paraId="0E42C46A">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且≥100</w:t>
            </w:r>
          </w:p>
        </w:tc>
        <w:tc>
          <w:tcPr>
            <w:tcW w:w="851" w:type="dxa"/>
            <w:tcBorders>
              <w:top w:val="nil"/>
              <w:left w:val="nil"/>
              <w:bottom w:val="single" w:color="auto" w:sz="4" w:space="0"/>
              <w:right w:val="single" w:color="auto" w:sz="4" w:space="0"/>
            </w:tcBorders>
            <w:shd w:val="clear" w:color="auto" w:fill="FFFFFF"/>
            <w:noWrap/>
            <w:vAlign w:val="center"/>
          </w:tcPr>
          <w:p w14:paraId="37B04E29">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105FCC7E">
            <w:pPr>
              <w:pStyle w:val="104"/>
              <w:widowControl/>
              <w:jc w:val="center"/>
              <w:rPr>
                <w:rFonts w:ascii="宋体" w:hAnsi="宋体" w:cs="宋体"/>
                <w:bCs/>
                <w:kern w:val="0"/>
                <w:sz w:val="18"/>
                <w:szCs w:val="18"/>
              </w:rPr>
            </w:pPr>
            <w:r>
              <w:rPr>
                <w:rFonts w:hint="eastAsia" w:ascii="宋体" w:hAnsi="宋体" w:cs="宋体"/>
                <w:bCs/>
                <w:kern w:val="0"/>
                <w:sz w:val="18"/>
                <w:szCs w:val="18"/>
              </w:rPr>
              <w:t>≥100</w:t>
            </w:r>
          </w:p>
        </w:tc>
        <w:tc>
          <w:tcPr>
            <w:tcW w:w="851" w:type="dxa"/>
            <w:tcBorders>
              <w:top w:val="nil"/>
              <w:left w:val="nil"/>
              <w:bottom w:val="single" w:color="auto" w:sz="4" w:space="0"/>
              <w:right w:val="single" w:color="auto" w:sz="4" w:space="0"/>
            </w:tcBorders>
            <w:shd w:val="clear" w:color="auto" w:fill="FFFFFF"/>
            <w:noWrap/>
            <w:vAlign w:val="center"/>
          </w:tcPr>
          <w:p w14:paraId="125DDB97">
            <w:pPr>
              <w:pStyle w:val="104"/>
              <w:widowControl/>
              <w:jc w:val="center"/>
              <w:rPr>
                <w:rFonts w:ascii="宋体" w:hAnsi="宋体" w:cs="宋体"/>
                <w:bCs/>
                <w:kern w:val="0"/>
                <w:sz w:val="18"/>
                <w:szCs w:val="18"/>
              </w:rPr>
            </w:pPr>
            <w:r>
              <w:rPr>
                <w:rFonts w:hint="eastAsia" w:ascii="宋体" w:hAnsi="宋体" w:cs="宋体"/>
                <w:bCs/>
                <w:kern w:val="0"/>
                <w:sz w:val="18"/>
                <w:szCs w:val="18"/>
              </w:rPr>
              <w:t>且≥10</w:t>
            </w:r>
          </w:p>
        </w:tc>
        <w:tc>
          <w:tcPr>
            <w:tcW w:w="708" w:type="dxa"/>
            <w:tcBorders>
              <w:top w:val="nil"/>
              <w:left w:val="nil"/>
              <w:bottom w:val="single" w:color="auto" w:sz="4" w:space="0"/>
              <w:right w:val="single" w:color="auto" w:sz="4" w:space="0"/>
            </w:tcBorders>
            <w:shd w:val="clear" w:color="auto" w:fill="FFFFFF"/>
            <w:noWrap/>
            <w:vAlign w:val="center"/>
          </w:tcPr>
          <w:p w14:paraId="5355EF34">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375A7835">
            <w:pPr>
              <w:pStyle w:val="104"/>
              <w:widowControl/>
              <w:jc w:val="center"/>
              <w:rPr>
                <w:rFonts w:ascii="宋体" w:hAnsi="宋体" w:cs="宋体"/>
                <w:bCs/>
                <w:kern w:val="0"/>
                <w:sz w:val="18"/>
                <w:szCs w:val="18"/>
              </w:rPr>
            </w:pPr>
            <w:r>
              <w:rPr>
                <w:rFonts w:hint="eastAsia" w:ascii="宋体" w:hAnsi="宋体" w:cs="宋体"/>
                <w:bCs/>
                <w:kern w:val="0"/>
                <w:sz w:val="18"/>
                <w:szCs w:val="18"/>
              </w:rPr>
              <w:t>＜100</w:t>
            </w:r>
          </w:p>
        </w:tc>
        <w:tc>
          <w:tcPr>
            <w:tcW w:w="709" w:type="dxa"/>
            <w:tcBorders>
              <w:top w:val="nil"/>
              <w:left w:val="nil"/>
              <w:bottom w:val="single" w:color="auto" w:sz="4" w:space="0"/>
              <w:right w:val="single" w:color="auto" w:sz="4" w:space="0"/>
            </w:tcBorders>
            <w:shd w:val="clear" w:color="auto" w:fill="FFFFFF"/>
            <w:noWrap/>
            <w:vAlign w:val="center"/>
          </w:tcPr>
          <w:p w14:paraId="4D967305">
            <w:pPr>
              <w:pStyle w:val="104"/>
              <w:widowControl/>
              <w:jc w:val="center"/>
              <w:rPr>
                <w:rFonts w:ascii="宋体" w:hAnsi="宋体" w:cs="宋体"/>
                <w:bCs/>
                <w:kern w:val="0"/>
                <w:sz w:val="18"/>
                <w:szCs w:val="18"/>
              </w:rPr>
            </w:pPr>
            <w:r>
              <w:rPr>
                <w:rFonts w:hint="eastAsia" w:ascii="宋体" w:hAnsi="宋体" w:cs="宋体"/>
                <w:bCs/>
                <w:kern w:val="0"/>
                <w:sz w:val="18"/>
                <w:szCs w:val="18"/>
              </w:rPr>
              <w:t>或＜10</w:t>
            </w:r>
          </w:p>
        </w:tc>
        <w:tc>
          <w:tcPr>
            <w:tcW w:w="709" w:type="dxa"/>
            <w:tcBorders>
              <w:top w:val="nil"/>
              <w:left w:val="nil"/>
              <w:bottom w:val="single" w:color="auto" w:sz="4" w:space="0"/>
              <w:right w:val="single" w:color="auto" w:sz="4" w:space="0"/>
            </w:tcBorders>
            <w:shd w:val="clear" w:color="auto" w:fill="FFFFFF"/>
            <w:noWrap/>
            <w:vAlign w:val="center"/>
          </w:tcPr>
          <w:p w14:paraId="31021553">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r>
      <w:tr w14:paraId="6EFAF04A">
        <w:tblPrEx>
          <w:tblCellMar>
            <w:top w:w="0" w:type="dxa"/>
            <w:left w:w="108" w:type="dxa"/>
            <w:bottom w:w="0" w:type="dxa"/>
            <w:right w:w="108" w:type="dxa"/>
          </w:tblCellMar>
        </w:tblPrEx>
        <w:trPr>
          <w:trHeight w:val="142" w:hRule="atLeast"/>
          <w:jc w:val="center"/>
        </w:trPr>
        <w:tc>
          <w:tcPr>
            <w:tcW w:w="479" w:type="dxa"/>
            <w:tcBorders>
              <w:top w:val="nil"/>
              <w:left w:val="single" w:color="auto" w:sz="4" w:space="0"/>
              <w:bottom w:val="single" w:color="auto" w:sz="4" w:space="0"/>
              <w:right w:val="single" w:color="auto" w:sz="4" w:space="0"/>
            </w:tcBorders>
            <w:shd w:val="clear" w:color="auto" w:fill="FFFFFF"/>
            <w:noWrap/>
            <w:vAlign w:val="center"/>
          </w:tcPr>
          <w:p w14:paraId="4B087238">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11</w:t>
            </w:r>
          </w:p>
        </w:tc>
        <w:tc>
          <w:tcPr>
            <w:tcW w:w="764" w:type="dxa"/>
            <w:tcBorders>
              <w:top w:val="nil"/>
              <w:left w:val="nil"/>
              <w:bottom w:val="single" w:color="auto" w:sz="4" w:space="0"/>
              <w:right w:val="single" w:color="auto" w:sz="4" w:space="0"/>
            </w:tcBorders>
            <w:shd w:val="clear" w:color="auto" w:fill="FFFFFF"/>
            <w:noWrap/>
            <w:vAlign w:val="center"/>
          </w:tcPr>
          <w:p w14:paraId="439C9EE8">
            <w:pPr>
              <w:pStyle w:val="104"/>
              <w:ind w:left="-29" w:leftChars="-13" w:right="-68" w:rightChars="-31"/>
              <w:jc w:val="left"/>
              <w:rPr>
                <w:rFonts w:ascii="宋体" w:hAnsi="宋体" w:cs="宋体"/>
                <w:bCs/>
                <w:kern w:val="0"/>
                <w:sz w:val="16"/>
                <w:szCs w:val="16"/>
              </w:rPr>
            </w:pPr>
            <w:r>
              <w:rPr>
                <w:rFonts w:hint="eastAsia" w:ascii="宋体" w:hAnsi="宋体" w:cs="宋体"/>
                <w:bCs/>
                <w:kern w:val="0"/>
                <w:sz w:val="16"/>
                <w:szCs w:val="16"/>
              </w:rPr>
              <w:t>信息传输业</w:t>
            </w:r>
          </w:p>
        </w:tc>
        <w:tc>
          <w:tcPr>
            <w:tcW w:w="851" w:type="dxa"/>
            <w:tcBorders>
              <w:top w:val="nil"/>
              <w:left w:val="nil"/>
              <w:bottom w:val="single" w:color="auto" w:sz="4" w:space="0"/>
              <w:right w:val="single" w:color="auto" w:sz="4" w:space="0"/>
            </w:tcBorders>
            <w:shd w:val="clear" w:color="auto" w:fill="FFFFFF"/>
            <w:noWrap/>
            <w:vAlign w:val="center"/>
          </w:tcPr>
          <w:p w14:paraId="4FD914C5">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≥100000</w:t>
            </w:r>
          </w:p>
        </w:tc>
        <w:tc>
          <w:tcPr>
            <w:tcW w:w="850" w:type="dxa"/>
            <w:tcBorders>
              <w:top w:val="nil"/>
              <w:left w:val="nil"/>
              <w:bottom w:val="single" w:color="auto" w:sz="4" w:space="0"/>
              <w:right w:val="single" w:color="auto" w:sz="4" w:space="0"/>
            </w:tcBorders>
            <w:shd w:val="clear" w:color="auto" w:fill="FFFFFF"/>
            <w:noWrap/>
            <w:vAlign w:val="center"/>
          </w:tcPr>
          <w:p w14:paraId="2E15FBC2">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且≥2000</w:t>
            </w:r>
          </w:p>
        </w:tc>
        <w:tc>
          <w:tcPr>
            <w:tcW w:w="851" w:type="dxa"/>
            <w:tcBorders>
              <w:top w:val="nil"/>
              <w:left w:val="nil"/>
              <w:bottom w:val="single" w:color="auto" w:sz="4" w:space="0"/>
              <w:right w:val="single" w:color="auto" w:sz="4" w:space="0"/>
            </w:tcBorders>
            <w:shd w:val="clear" w:color="auto" w:fill="FFFFFF"/>
            <w:noWrap/>
            <w:vAlign w:val="center"/>
          </w:tcPr>
          <w:p w14:paraId="1CAE97B8">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11AFD218">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≥1000</w:t>
            </w:r>
          </w:p>
        </w:tc>
        <w:tc>
          <w:tcPr>
            <w:tcW w:w="709" w:type="dxa"/>
            <w:tcBorders>
              <w:top w:val="nil"/>
              <w:left w:val="nil"/>
              <w:bottom w:val="single" w:color="auto" w:sz="4" w:space="0"/>
              <w:right w:val="single" w:color="auto" w:sz="4" w:space="0"/>
            </w:tcBorders>
            <w:shd w:val="clear" w:color="auto" w:fill="FFFFFF"/>
            <w:noWrap/>
            <w:vAlign w:val="center"/>
          </w:tcPr>
          <w:p w14:paraId="226A18F1">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且≥100</w:t>
            </w:r>
          </w:p>
        </w:tc>
        <w:tc>
          <w:tcPr>
            <w:tcW w:w="851" w:type="dxa"/>
            <w:tcBorders>
              <w:top w:val="nil"/>
              <w:left w:val="nil"/>
              <w:bottom w:val="single" w:color="auto" w:sz="4" w:space="0"/>
              <w:right w:val="single" w:color="auto" w:sz="4" w:space="0"/>
            </w:tcBorders>
            <w:shd w:val="clear" w:color="auto" w:fill="FFFFFF"/>
            <w:noWrap/>
            <w:vAlign w:val="center"/>
          </w:tcPr>
          <w:p w14:paraId="08B3FAFA">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78BA1281">
            <w:pPr>
              <w:pStyle w:val="104"/>
              <w:widowControl/>
              <w:jc w:val="center"/>
              <w:rPr>
                <w:rFonts w:ascii="宋体" w:hAnsi="宋体" w:cs="宋体"/>
                <w:bCs/>
                <w:kern w:val="0"/>
                <w:sz w:val="18"/>
                <w:szCs w:val="18"/>
              </w:rPr>
            </w:pPr>
            <w:r>
              <w:rPr>
                <w:rFonts w:hint="eastAsia" w:ascii="宋体" w:hAnsi="宋体" w:cs="宋体"/>
                <w:bCs/>
                <w:kern w:val="0"/>
                <w:sz w:val="18"/>
                <w:szCs w:val="18"/>
              </w:rPr>
              <w:t>≥100</w:t>
            </w:r>
          </w:p>
        </w:tc>
        <w:tc>
          <w:tcPr>
            <w:tcW w:w="851" w:type="dxa"/>
            <w:tcBorders>
              <w:top w:val="nil"/>
              <w:left w:val="nil"/>
              <w:bottom w:val="single" w:color="auto" w:sz="4" w:space="0"/>
              <w:right w:val="single" w:color="auto" w:sz="4" w:space="0"/>
            </w:tcBorders>
            <w:shd w:val="clear" w:color="auto" w:fill="FFFFFF"/>
            <w:noWrap/>
            <w:vAlign w:val="center"/>
          </w:tcPr>
          <w:p w14:paraId="75A5B7C7">
            <w:pPr>
              <w:pStyle w:val="104"/>
              <w:widowControl/>
              <w:jc w:val="center"/>
              <w:rPr>
                <w:rFonts w:ascii="宋体" w:hAnsi="宋体" w:cs="宋体"/>
                <w:bCs/>
                <w:kern w:val="0"/>
                <w:sz w:val="18"/>
                <w:szCs w:val="18"/>
              </w:rPr>
            </w:pPr>
            <w:r>
              <w:rPr>
                <w:rFonts w:hint="eastAsia" w:ascii="宋体" w:hAnsi="宋体" w:cs="宋体"/>
                <w:bCs/>
                <w:kern w:val="0"/>
                <w:sz w:val="18"/>
                <w:szCs w:val="18"/>
              </w:rPr>
              <w:t>且≥10</w:t>
            </w:r>
          </w:p>
        </w:tc>
        <w:tc>
          <w:tcPr>
            <w:tcW w:w="708" w:type="dxa"/>
            <w:tcBorders>
              <w:top w:val="nil"/>
              <w:left w:val="nil"/>
              <w:bottom w:val="single" w:color="auto" w:sz="4" w:space="0"/>
              <w:right w:val="single" w:color="auto" w:sz="4" w:space="0"/>
            </w:tcBorders>
            <w:shd w:val="clear" w:color="auto" w:fill="FFFFFF"/>
            <w:noWrap/>
            <w:vAlign w:val="center"/>
          </w:tcPr>
          <w:p w14:paraId="3B7357EE">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64A3860B">
            <w:pPr>
              <w:pStyle w:val="104"/>
              <w:widowControl/>
              <w:jc w:val="center"/>
              <w:rPr>
                <w:rFonts w:ascii="宋体" w:hAnsi="宋体" w:cs="宋体"/>
                <w:bCs/>
                <w:kern w:val="0"/>
                <w:sz w:val="18"/>
                <w:szCs w:val="18"/>
              </w:rPr>
            </w:pPr>
            <w:r>
              <w:rPr>
                <w:rFonts w:hint="eastAsia" w:ascii="宋体" w:hAnsi="宋体" w:cs="宋体"/>
                <w:bCs/>
                <w:kern w:val="0"/>
                <w:sz w:val="18"/>
                <w:szCs w:val="18"/>
              </w:rPr>
              <w:t>＜100</w:t>
            </w:r>
          </w:p>
        </w:tc>
        <w:tc>
          <w:tcPr>
            <w:tcW w:w="709" w:type="dxa"/>
            <w:tcBorders>
              <w:top w:val="nil"/>
              <w:left w:val="nil"/>
              <w:bottom w:val="single" w:color="auto" w:sz="4" w:space="0"/>
              <w:right w:val="single" w:color="auto" w:sz="4" w:space="0"/>
            </w:tcBorders>
            <w:shd w:val="clear" w:color="auto" w:fill="FFFFFF"/>
            <w:noWrap/>
            <w:vAlign w:val="center"/>
          </w:tcPr>
          <w:p w14:paraId="3C19CEFA">
            <w:pPr>
              <w:pStyle w:val="104"/>
              <w:widowControl/>
              <w:jc w:val="center"/>
              <w:rPr>
                <w:rFonts w:ascii="宋体" w:hAnsi="宋体" w:cs="宋体"/>
                <w:bCs/>
                <w:kern w:val="0"/>
                <w:sz w:val="18"/>
                <w:szCs w:val="18"/>
              </w:rPr>
            </w:pPr>
            <w:r>
              <w:rPr>
                <w:rFonts w:hint="eastAsia" w:ascii="宋体" w:hAnsi="宋体" w:cs="宋体"/>
                <w:bCs/>
                <w:kern w:val="0"/>
                <w:sz w:val="18"/>
                <w:szCs w:val="18"/>
              </w:rPr>
              <w:t>或＜10</w:t>
            </w:r>
          </w:p>
        </w:tc>
        <w:tc>
          <w:tcPr>
            <w:tcW w:w="709" w:type="dxa"/>
            <w:tcBorders>
              <w:top w:val="nil"/>
              <w:left w:val="nil"/>
              <w:bottom w:val="single" w:color="auto" w:sz="4" w:space="0"/>
              <w:right w:val="single" w:color="auto" w:sz="4" w:space="0"/>
            </w:tcBorders>
            <w:shd w:val="clear" w:color="auto" w:fill="FFFFFF"/>
            <w:noWrap/>
            <w:vAlign w:val="center"/>
          </w:tcPr>
          <w:p w14:paraId="497D55CB">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r>
      <w:tr w14:paraId="21A06F5A">
        <w:tblPrEx>
          <w:shd w:val="clear" w:color="auto" w:fill="FFFFFF"/>
          <w:tblCellMar>
            <w:top w:w="0" w:type="dxa"/>
            <w:left w:w="108" w:type="dxa"/>
            <w:bottom w:w="0" w:type="dxa"/>
            <w:right w:w="108" w:type="dxa"/>
          </w:tblCellMar>
        </w:tblPrEx>
        <w:trPr>
          <w:trHeight w:val="328" w:hRule="atLeast"/>
          <w:jc w:val="center"/>
        </w:trPr>
        <w:tc>
          <w:tcPr>
            <w:tcW w:w="479" w:type="dxa"/>
            <w:tcBorders>
              <w:top w:val="nil"/>
              <w:left w:val="single" w:color="auto" w:sz="4" w:space="0"/>
              <w:bottom w:val="single" w:color="auto" w:sz="4" w:space="0"/>
              <w:right w:val="single" w:color="auto" w:sz="4" w:space="0"/>
            </w:tcBorders>
            <w:shd w:val="clear" w:color="auto" w:fill="FFFFFF"/>
            <w:noWrap/>
            <w:vAlign w:val="center"/>
          </w:tcPr>
          <w:p w14:paraId="78E60740">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12</w:t>
            </w:r>
          </w:p>
        </w:tc>
        <w:tc>
          <w:tcPr>
            <w:tcW w:w="764" w:type="dxa"/>
            <w:tcBorders>
              <w:top w:val="nil"/>
              <w:left w:val="nil"/>
              <w:bottom w:val="single" w:color="auto" w:sz="4" w:space="0"/>
              <w:right w:val="single" w:color="auto" w:sz="4" w:space="0"/>
            </w:tcBorders>
            <w:shd w:val="clear" w:color="auto" w:fill="FFFFFF"/>
            <w:noWrap/>
            <w:vAlign w:val="center"/>
          </w:tcPr>
          <w:p w14:paraId="5FD9F247">
            <w:pPr>
              <w:pStyle w:val="104"/>
              <w:ind w:left="-29" w:leftChars="-13" w:right="-68" w:rightChars="-31"/>
              <w:jc w:val="left"/>
              <w:rPr>
                <w:rFonts w:ascii="宋体" w:hAnsi="宋体" w:cs="宋体"/>
                <w:bCs/>
                <w:kern w:val="0"/>
                <w:sz w:val="16"/>
                <w:szCs w:val="16"/>
              </w:rPr>
            </w:pPr>
            <w:r>
              <w:rPr>
                <w:rFonts w:hint="eastAsia" w:ascii="宋体" w:hAnsi="宋体" w:cs="宋体"/>
                <w:bCs/>
                <w:kern w:val="0"/>
                <w:sz w:val="16"/>
                <w:szCs w:val="16"/>
              </w:rPr>
              <w:t>软件和信息技术服务业</w:t>
            </w:r>
          </w:p>
        </w:tc>
        <w:tc>
          <w:tcPr>
            <w:tcW w:w="851" w:type="dxa"/>
            <w:tcBorders>
              <w:top w:val="nil"/>
              <w:left w:val="nil"/>
              <w:bottom w:val="single" w:color="auto" w:sz="4" w:space="0"/>
              <w:right w:val="single" w:color="auto" w:sz="4" w:space="0"/>
            </w:tcBorders>
            <w:shd w:val="clear" w:color="auto" w:fill="FFFFFF"/>
            <w:noWrap/>
            <w:vAlign w:val="center"/>
          </w:tcPr>
          <w:p w14:paraId="385F99FA">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≥10000</w:t>
            </w:r>
          </w:p>
        </w:tc>
        <w:tc>
          <w:tcPr>
            <w:tcW w:w="850" w:type="dxa"/>
            <w:tcBorders>
              <w:top w:val="nil"/>
              <w:left w:val="nil"/>
              <w:bottom w:val="single" w:color="auto" w:sz="4" w:space="0"/>
              <w:right w:val="single" w:color="auto" w:sz="4" w:space="0"/>
            </w:tcBorders>
            <w:shd w:val="clear" w:color="auto" w:fill="FFFFFF"/>
            <w:noWrap/>
            <w:vAlign w:val="center"/>
          </w:tcPr>
          <w:p w14:paraId="67344362">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且≥300</w:t>
            </w:r>
          </w:p>
        </w:tc>
        <w:tc>
          <w:tcPr>
            <w:tcW w:w="851" w:type="dxa"/>
            <w:tcBorders>
              <w:top w:val="nil"/>
              <w:left w:val="nil"/>
              <w:bottom w:val="single" w:color="auto" w:sz="4" w:space="0"/>
              <w:right w:val="single" w:color="auto" w:sz="4" w:space="0"/>
            </w:tcBorders>
            <w:shd w:val="clear" w:color="auto" w:fill="FFFFFF"/>
            <w:noWrap/>
            <w:vAlign w:val="center"/>
          </w:tcPr>
          <w:p w14:paraId="6C583A84">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7732EADE">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≥1000</w:t>
            </w:r>
          </w:p>
        </w:tc>
        <w:tc>
          <w:tcPr>
            <w:tcW w:w="709" w:type="dxa"/>
            <w:tcBorders>
              <w:top w:val="nil"/>
              <w:left w:val="nil"/>
              <w:bottom w:val="single" w:color="auto" w:sz="4" w:space="0"/>
              <w:right w:val="single" w:color="auto" w:sz="4" w:space="0"/>
            </w:tcBorders>
            <w:shd w:val="clear" w:color="auto" w:fill="FFFFFF"/>
            <w:noWrap/>
            <w:vAlign w:val="center"/>
          </w:tcPr>
          <w:p w14:paraId="1F1AB0F1">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且≥100</w:t>
            </w:r>
          </w:p>
        </w:tc>
        <w:tc>
          <w:tcPr>
            <w:tcW w:w="851" w:type="dxa"/>
            <w:tcBorders>
              <w:top w:val="nil"/>
              <w:left w:val="nil"/>
              <w:bottom w:val="single" w:color="auto" w:sz="4" w:space="0"/>
              <w:right w:val="single" w:color="auto" w:sz="4" w:space="0"/>
            </w:tcBorders>
            <w:shd w:val="clear" w:color="auto" w:fill="FFFFFF"/>
            <w:noWrap/>
            <w:vAlign w:val="center"/>
          </w:tcPr>
          <w:p w14:paraId="394FAE2D">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74BDB881">
            <w:pPr>
              <w:pStyle w:val="104"/>
              <w:widowControl/>
              <w:jc w:val="center"/>
              <w:rPr>
                <w:rFonts w:ascii="宋体" w:hAnsi="宋体" w:cs="宋体"/>
                <w:bCs/>
                <w:kern w:val="0"/>
                <w:sz w:val="18"/>
                <w:szCs w:val="18"/>
              </w:rPr>
            </w:pPr>
            <w:r>
              <w:rPr>
                <w:rFonts w:hint="eastAsia" w:ascii="宋体" w:hAnsi="宋体" w:cs="宋体"/>
                <w:bCs/>
                <w:kern w:val="0"/>
                <w:sz w:val="18"/>
                <w:szCs w:val="18"/>
              </w:rPr>
              <w:t>≥50</w:t>
            </w:r>
          </w:p>
        </w:tc>
        <w:tc>
          <w:tcPr>
            <w:tcW w:w="851" w:type="dxa"/>
            <w:tcBorders>
              <w:top w:val="nil"/>
              <w:left w:val="nil"/>
              <w:bottom w:val="single" w:color="auto" w:sz="4" w:space="0"/>
              <w:right w:val="single" w:color="auto" w:sz="4" w:space="0"/>
            </w:tcBorders>
            <w:shd w:val="clear" w:color="auto" w:fill="FFFFFF"/>
            <w:noWrap/>
            <w:vAlign w:val="center"/>
          </w:tcPr>
          <w:p w14:paraId="2B5CE129">
            <w:pPr>
              <w:pStyle w:val="104"/>
              <w:widowControl/>
              <w:jc w:val="center"/>
              <w:rPr>
                <w:rFonts w:ascii="宋体" w:hAnsi="宋体" w:cs="宋体"/>
                <w:bCs/>
                <w:kern w:val="0"/>
                <w:sz w:val="18"/>
                <w:szCs w:val="18"/>
              </w:rPr>
            </w:pPr>
            <w:r>
              <w:rPr>
                <w:rFonts w:hint="eastAsia" w:ascii="宋体" w:hAnsi="宋体" w:cs="宋体"/>
                <w:bCs/>
                <w:kern w:val="0"/>
                <w:sz w:val="18"/>
                <w:szCs w:val="18"/>
              </w:rPr>
              <w:t>且≥10</w:t>
            </w:r>
          </w:p>
        </w:tc>
        <w:tc>
          <w:tcPr>
            <w:tcW w:w="708" w:type="dxa"/>
            <w:tcBorders>
              <w:top w:val="nil"/>
              <w:left w:val="nil"/>
              <w:bottom w:val="single" w:color="auto" w:sz="4" w:space="0"/>
              <w:right w:val="single" w:color="auto" w:sz="4" w:space="0"/>
            </w:tcBorders>
            <w:shd w:val="clear" w:color="auto" w:fill="FFFFFF"/>
            <w:noWrap/>
            <w:vAlign w:val="center"/>
          </w:tcPr>
          <w:p w14:paraId="02C9B73B">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36542962">
            <w:pPr>
              <w:pStyle w:val="104"/>
              <w:widowControl/>
              <w:jc w:val="center"/>
              <w:rPr>
                <w:rFonts w:ascii="宋体" w:hAnsi="宋体" w:cs="宋体"/>
                <w:bCs/>
                <w:kern w:val="0"/>
                <w:sz w:val="18"/>
                <w:szCs w:val="18"/>
              </w:rPr>
            </w:pPr>
            <w:r>
              <w:rPr>
                <w:rFonts w:hint="eastAsia" w:ascii="宋体" w:hAnsi="宋体" w:cs="宋体"/>
                <w:bCs/>
                <w:kern w:val="0"/>
                <w:sz w:val="18"/>
                <w:szCs w:val="18"/>
              </w:rPr>
              <w:t>＜50</w:t>
            </w:r>
          </w:p>
        </w:tc>
        <w:tc>
          <w:tcPr>
            <w:tcW w:w="709" w:type="dxa"/>
            <w:tcBorders>
              <w:top w:val="nil"/>
              <w:left w:val="nil"/>
              <w:bottom w:val="single" w:color="auto" w:sz="4" w:space="0"/>
              <w:right w:val="single" w:color="auto" w:sz="4" w:space="0"/>
            </w:tcBorders>
            <w:shd w:val="clear" w:color="auto" w:fill="FFFFFF"/>
            <w:noWrap/>
            <w:vAlign w:val="center"/>
          </w:tcPr>
          <w:p w14:paraId="40AC6851">
            <w:pPr>
              <w:pStyle w:val="104"/>
              <w:widowControl/>
              <w:jc w:val="center"/>
              <w:rPr>
                <w:rFonts w:ascii="宋体" w:hAnsi="宋体" w:cs="宋体"/>
                <w:bCs/>
                <w:kern w:val="0"/>
                <w:sz w:val="18"/>
                <w:szCs w:val="18"/>
              </w:rPr>
            </w:pPr>
            <w:r>
              <w:rPr>
                <w:rFonts w:hint="eastAsia" w:ascii="宋体" w:hAnsi="宋体" w:cs="宋体"/>
                <w:bCs/>
                <w:kern w:val="0"/>
                <w:sz w:val="18"/>
                <w:szCs w:val="18"/>
              </w:rPr>
              <w:t>或＜10</w:t>
            </w:r>
          </w:p>
        </w:tc>
        <w:tc>
          <w:tcPr>
            <w:tcW w:w="709" w:type="dxa"/>
            <w:tcBorders>
              <w:top w:val="nil"/>
              <w:left w:val="nil"/>
              <w:bottom w:val="single" w:color="auto" w:sz="4" w:space="0"/>
              <w:right w:val="single" w:color="auto" w:sz="4" w:space="0"/>
            </w:tcBorders>
            <w:shd w:val="clear" w:color="auto" w:fill="FFFFFF"/>
            <w:noWrap/>
            <w:vAlign w:val="center"/>
          </w:tcPr>
          <w:p w14:paraId="714FE26F">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r>
      <w:tr w14:paraId="31A4D860">
        <w:tblPrEx>
          <w:tblCellMar>
            <w:top w:w="0" w:type="dxa"/>
            <w:left w:w="108" w:type="dxa"/>
            <w:bottom w:w="0" w:type="dxa"/>
            <w:right w:w="108" w:type="dxa"/>
          </w:tblCellMar>
        </w:tblPrEx>
        <w:trPr>
          <w:trHeight w:val="381" w:hRule="atLeast"/>
          <w:jc w:val="center"/>
        </w:trPr>
        <w:tc>
          <w:tcPr>
            <w:tcW w:w="479" w:type="dxa"/>
            <w:tcBorders>
              <w:top w:val="nil"/>
              <w:left w:val="single" w:color="auto" w:sz="4" w:space="0"/>
              <w:bottom w:val="single" w:color="auto" w:sz="4" w:space="0"/>
              <w:right w:val="single" w:color="auto" w:sz="4" w:space="0"/>
            </w:tcBorders>
            <w:shd w:val="clear" w:color="auto" w:fill="FFFFFF"/>
            <w:noWrap/>
            <w:vAlign w:val="center"/>
          </w:tcPr>
          <w:p w14:paraId="77AAAEB6">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13</w:t>
            </w:r>
          </w:p>
        </w:tc>
        <w:tc>
          <w:tcPr>
            <w:tcW w:w="764" w:type="dxa"/>
            <w:tcBorders>
              <w:top w:val="nil"/>
              <w:left w:val="nil"/>
              <w:bottom w:val="single" w:color="auto" w:sz="4" w:space="0"/>
              <w:right w:val="single" w:color="auto" w:sz="4" w:space="0"/>
            </w:tcBorders>
            <w:shd w:val="clear" w:color="auto" w:fill="FFFFFF"/>
            <w:noWrap/>
            <w:vAlign w:val="center"/>
          </w:tcPr>
          <w:p w14:paraId="2FE56347">
            <w:pPr>
              <w:pStyle w:val="104"/>
              <w:ind w:left="-29" w:leftChars="-13" w:right="-68" w:rightChars="-31"/>
              <w:jc w:val="left"/>
              <w:rPr>
                <w:rFonts w:ascii="宋体" w:hAnsi="宋体" w:cs="宋体"/>
                <w:bCs/>
                <w:kern w:val="0"/>
                <w:sz w:val="16"/>
                <w:szCs w:val="16"/>
              </w:rPr>
            </w:pPr>
            <w:r>
              <w:rPr>
                <w:rFonts w:hint="eastAsia" w:ascii="宋体" w:hAnsi="宋体" w:cs="宋体"/>
                <w:bCs/>
                <w:kern w:val="0"/>
                <w:sz w:val="16"/>
                <w:szCs w:val="16"/>
              </w:rPr>
              <w:t>房地产开发经营</w:t>
            </w:r>
          </w:p>
        </w:tc>
        <w:tc>
          <w:tcPr>
            <w:tcW w:w="851" w:type="dxa"/>
            <w:tcBorders>
              <w:top w:val="nil"/>
              <w:left w:val="nil"/>
              <w:bottom w:val="single" w:color="auto" w:sz="4" w:space="0"/>
              <w:right w:val="single" w:color="auto" w:sz="4" w:space="0"/>
            </w:tcBorders>
            <w:shd w:val="clear" w:color="auto" w:fill="FFFFFF"/>
            <w:noWrap/>
            <w:vAlign w:val="center"/>
          </w:tcPr>
          <w:p w14:paraId="28FF54EE">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≥200000</w:t>
            </w:r>
          </w:p>
        </w:tc>
        <w:tc>
          <w:tcPr>
            <w:tcW w:w="850" w:type="dxa"/>
            <w:tcBorders>
              <w:top w:val="nil"/>
              <w:left w:val="nil"/>
              <w:bottom w:val="single" w:color="auto" w:sz="4" w:space="0"/>
              <w:right w:val="single" w:color="auto" w:sz="4" w:space="0"/>
            </w:tcBorders>
            <w:shd w:val="clear" w:color="auto" w:fill="FFFFFF"/>
            <w:noWrap/>
            <w:vAlign w:val="center"/>
          </w:tcPr>
          <w:p w14:paraId="3F5DBACB">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1" w:type="dxa"/>
            <w:tcBorders>
              <w:top w:val="nil"/>
              <w:left w:val="nil"/>
              <w:bottom w:val="single" w:color="auto" w:sz="4" w:space="0"/>
              <w:right w:val="single" w:color="auto" w:sz="4" w:space="0"/>
            </w:tcBorders>
            <w:shd w:val="clear" w:color="auto" w:fill="FFFFFF"/>
            <w:noWrap/>
            <w:vAlign w:val="center"/>
          </w:tcPr>
          <w:p w14:paraId="5DADEC3F">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且≥10000</w:t>
            </w:r>
          </w:p>
        </w:tc>
        <w:tc>
          <w:tcPr>
            <w:tcW w:w="850" w:type="dxa"/>
            <w:tcBorders>
              <w:top w:val="nil"/>
              <w:left w:val="nil"/>
              <w:bottom w:val="single" w:color="auto" w:sz="4" w:space="0"/>
              <w:right w:val="single" w:color="auto" w:sz="4" w:space="0"/>
            </w:tcBorders>
            <w:shd w:val="clear" w:color="auto" w:fill="FFFFFF"/>
            <w:noWrap/>
            <w:vAlign w:val="center"/>
          </w:tcPr>
          <w:p w14:paraId="0F30458A">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≥1000</w:t>
            </w:r>
          </w:p>
        </w:tc>
        <w:tc>
          <w:tcPr>
            <w:tcW w:w="709" w:type="dxa"/>
            <w:tcBorders>
              <w:top w:val="nil"/>
              <w:left w:val="nil"/>
              <w:bottom w:val="single" w:color="auto" w:sz="4" w:space="0"/>
              <w:right w:val="single" w:color="auto" w:sz="4" w:space="0"/>
            </w:tcBorders>
            <w:shd w:val="clear" w:color="auto" w:fill="FFFFFF"/>
            <w:noWrap/>
            <w:vAlign w:val="center"/>
          </w:tcPr>
          <w:p w14:paraId="549D5F81">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1" w:type="dxa"/>
            <w:tcBorders>
              <w:top w:val="nil"/>
              <w:left w:val="nil"/>
              <w:bottom w:val="single" w:color="auto" w:sz="4" w:space="0"/>
              <w:right w:val="single" w:color="auto" w:sz="4" w:space="0"/>
            </w:tcBorders>
            <w:shd w:val="clear" w:color="auto" w:fill="FFFFFF"/>
            <w:noWrap/>
            <w:vAlign w:val="center"/>
          </w:tcPr>
          <w:p w14:paraId="398C6F58">
            <w:pPr>
              <w:pStyle w:val="104"/>
              <w:widowControl/>
              <w:jc w:val="center"/>
              <w:rPr>
                <w:rFonts w:ascii="宋体" w:hAnsi="宋体" w:cs="宋体"/>
                <w:bCs/>
                <w:kern w:val="0"/>
                <w:sz w:val="18"/>
                <w:szCs w:val="18"/>
              </w:rPr>
            </w:pPr>
            <w:r>
              <w:rPr>
                <w:rFonts w:hint="eastAsia" w:ascii="宋体" w:hAnsi="宋体" w:cs="宋体"/>
                <w:bCs/>
                <w:kern w:val="0"/>
                <w:sz w:val="18"/>
                <w:szCs w:val="18"/>
              </w:rPr>
              <w:t>且≥5000</w:t>
            </w:r>
          </w:p>
        </w:tc>
        <w:tc>
          <w:tcPr>
            <w:tcW w:w="850" w:type="dxa"/>
            <w:tcBorders>
              <w:top w:val="nil"/>
              <w:left w:val="nil"/>
              <w:bottom w:val="single" w:color="auto" w:sz="4" w:space="0"/>
              <w:right w:val="single" w:color="auto" w:sz="4" w:space="0"/>
            </w:tcBorders>
            <w:shd w:val="clear" w:color="auto" w:fill="FFFFFF"/>
            <w:noWrap/>
            <w:vAlign w:val="center"/>
          </w:tcPr>
          <w:p w14:paraId="455477A5">
            <w:pPr>
              <w:pStyle w:val="104"/>
              <w:widowControl/>
              <w:jc w:val="center"/>
              <w:rPr>
                <w:rFonts w:ascii="宋体" w:hAnsi="宋体" w:cs="宋体"/>
                <w:bCs/>
                <w:kern w:val="0"/>
                <w:sz w:val="18"/>
                <w:szCs w:val="18"/>
              </w:rPr>
            </w:pPr>
            <w:r>
              <w:rPr>
                <w:rFonts w:hint="eastAsia" w:ascii="宋体" w:hAnsi="宋体" w:cs="宋体"/>
                <w:bCs/>
                <w:kern w:val="0"/>
                <w:sz w:val="18"/>
                <w:szCs w:val="18"/>
              </w:rPr>
              <w:t>≥100</w:t>
            </w:r>
          </w:p>
        </w:tc>
        <w:tc>
          <w:tcPr>
            <w:tcW w:w="851" w:type="dxa"/>
            <w:tcBorders>
              <w:top w:val="nil"/>
              <w:left w:val="nil"/>
              <w:bottom w:val="single" w:color="auto" w:sz="4" w:space="0"/>
              <w:right w:val="single" w:color="auto" w:sz="4" w:space="0"/>
            </w:tcBorders>
            <w:shd w:val="clear" w:color="auto" w:fill="FFFFFF"/>
            <w:noWrap/>
            <w:vAlign w:val="center"/>
          </w:tcPr>
          <w:p w14:paraId="108593E3">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8" w:type="dxa"/>
            <w:tcBorders>
              <w:top w:val="nil"/>
              <w:left w:val="nil"/>
              <w:bottom w:val="single" w:color="auto" w:sz="4" w:space="0"/>
              <w:right w:val="single" w:color="auto" w:sz="4" w:space="0"/>
            </w:tcBorders>
            <w:shd w:val="clear" w:color="auto" w:fill="FFFFFF"/>
            <w:noWrap/>
            <w:vAlign w:val="center"/>
          </w:tcPr>
          <w:p w14:paraId="5B851E4A">
            <w:pPr>
              <w:pStyle w:val="104"/>
              <w:widowControl/>
              <w:jc w:val="center"/>
              <w:rPr>
                <w:rFonts w:ascii="宋体" w:hAnsi="宋体" w:cs="宋体"/>
                <w:bCs/>
                <w:kern w:val="0"/>
                <w:sz w:val="18"/>
                <w:szCs w:val="18"/>
              </w:rPr>
            </w:pPr>
            <w:r>
              <w:rPr>
                <w:rFonts w:hint="eastAsia" w:ascii="宋体" w:hAnsi="宋体" w:cs="宋体"/>
                <w:bCs/>
                <w:kern w:val="0"/>
                <w:sz w:val="18"/>
                <w:szCs w:val="18"/>
              </w:rPr>
              <w:t>且≥2000</w:t>
            </w:r>
          </w:p>
        </w:tc>
        <w:tc>
          <w:tcPr>
            <w:tcW w:w="709" w:type="dxa"/>
            <w:tcBorders>
              <w:top w:val="nil"/>
              <w:left w:val="nil"/>
              <w:bottom w:val="single" w:color="auto" w:sz="4" w:space="0"/>
              <w:right w:val="single" w:color="auto" w:sz="4" w:space="0"/>
            </w:tcBorders>
            <w:shd w:val="clear" w:color="auto" w:fill="FFFFFF"/>
            <w:noWrap/>
            <w:vAlign w:val="center"/>
          </w:tcPr>
          <w:p w14:paraId="5E7E9073">
            <w:pPr>
              <w:pStyle w:val="104"/>
              <w:widowControl/>
              <w:jc w:val="center"/>
              <w:rPr>
                <w:rFonts w:ascii="宋体" w:hAnsi="宋体" w:cs="宋体"/>
                <w:bCs/>
                <w:kern w:val="0"/>
                <w:sz w:val="18"/>
                <w:szCs w:val="18"/>
              </w:rPr>
            </w:pPr>
            <w:r>
              <w:rPr>
                <w:rFonts w:hint="eastAsia" w:ascii="宋体" w:hAnsi="宋体" w:cs="宋体"/>
                <w:bCs/>
                <w:kern w:val="0"/>
                <w:sz w:val="18"/>
                <w:szCs w:val="18"/>
              </w:rPr>
              <w:t>＜100</w:t>
            </w:r>
          </w:p>
        </w:tc>
        <w:tc>
          <w:tcPr>
            <w:tcW w:w="709" w:type="dxa"/>
            <w:tcBorders>
              <w:top w:val="nil"/>
              <w:left w:val="nil"/>
              <w:bottom w:val="single" w:color="auto" w:sz="4" w:space="0"/>
              <w:right w:val="single" w:color="auto" w:sz="4" w:space="0"/>
            </w:tcBorders>
            <w:shd w:val="clear" w:color="auto" w:fill="FFFFFF"/>
            <w:noWrap/>
            <w:vAlign w:val="center"/>
          </w:tcPr>
          <w:p w14:paraId="623F0CE1">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6370C646">
            <w:pPr>
              <w:pStyle w:val="104"/>
              <w:widowControl/>
              <w:jc w:val="center"/>
              <w:rPr>
                <w:rFonts w:ascii="宋体" w:hAnsi="宋体" w:cs="宋体"/>
                <w:bCs/>
                <w:kern w:val="0"/>
                <w:sz w:val="18"/>
                <w:szCs w:val="18"/>
              </w:rPr>
            </w:pPr>
            <w:r>
              <w:rPr>
                <w:rFonts w:hint="eastAsia" w:ascii="宋体" w:hAnsi="宋体" w:cs="宋体"/>
                <w:bCs/>
                <w:kern w:val="0"/>
                <w:sz w:val="18"/>
                <w:szCs w:val="18"/>
              </w:rPr>
              <w:t>或＜2000</w:t>
            </w:r>
          </w:p>
        </w:tc>
      </w:tr>
      <w:tr w14:paraId="18438F61">
        <w:tblPrEx>
          <w:shd w:val="clear" w:color="auto" w:fill="FFFFFF"/>
          <w:tblCellMar>
            <w:top w:w="0" w:type="dxa"/>
            <w:left w:w="108" w:type="dxa"/>
            <w:bottom w:w="0" w:type="dxa"/>
            <w:right w:w="108" w:type="dxa"/>
          </w:tblCellMar>
        </w:tblPrEx>
        <w:trPr>
          <w:trHeight w:val="220" w:hRule="atLeast"/>
          <w:jc w:val="center"/>
        </w:trPr>
        <w:tc>
          <w:tcPr>
            <w:tcW w:w="479" w:type="dxa"/>
            <w:tcBorders>
              <w:top w:val="nil"/>
              <w:left w:val="single" w:color="auto" w:sz="4" w:space="0"/>
              <w:bottom w:val="single" w:color="auto" w:sz="4" w:space="0"/>
              <w:right w:val="single" w:color="auto" w:sz="4" w:space="0"/>
            </w:tcBorders>
            <w:shd w:val="clear" w:color="auto" w:fill="FFFFFF"/>
            <w:noWrap/>
            <w:vAlign w:val="center"/>
          </w:tcPr>
          <w:p w14:paraId="7BAEF5DF">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14</w:t>
            </w:r>
          </w:p>
        </w:tc>
        <w:tc>
          <w:tcPr>
            <w:tcW w:w="764" w:type="dxa"/>
            <w:tcBorders>
              <w:top w:val="nil"/>
              <w:left w:val="nil"/>
              <w:bottom w:val="single" w:color="auto" w:sz="4" w:space="0"/>
              <w:right w:val="single" w:color="auto" w:sz="4" w:space="0"/>
            </w:tcBorders>
            <w:shd w:val="clear" w:color="auto" w:fill="FFFFFF"/>
            <w:noWrap/>
            <w:vAlign w:val="center"/>
          </w:tcPr>
          <w:p w14:paraId="6BAA8DA2">
            <w:pPr>
              <w:pStyle w:val="104"/>
              <w:ind w:left="-29" w:leftChars="-13" w:right="-68" w:rightChars="-31"/>
              <w:jc w:val="left"/>
              <w:rPr>
                <w:rFonts w:ascii="宋体" w:hAnsi="宋体" w:cs="宋体"/>
                <w:bCs/>
                <w:kern w:val="0"/>
                <w:sz w:val="16"/>
                <w:szCs w:val="16"/>
              </w:rPr>
            </w:pPr>
            <w:r>
              <w:rPr>
                <w:rFonts w:hint="eastAsia" w:ascii="宋体" w:hAnsi="宋体" w:cs="宋体"/>
                <w:bCs/>
                <w:kern w:val="0"/>
                <w:sz w:val="16"/>
                <w:szCs w:val="16"/>
              </w:rPr>
              <w:t>物业管理</w:t>
            </w:r>
          </w:p>
        </w:tc>
        <w:tc>
          <w:tcPr>
            <w:tcW w:w="851" w:type="dxa"/>
            <w:tcBorders>
              <w:top w:val="nil"/>
              <w:left w:val="nil"/>
              <w:bottom w:val="single" w:color="auto" w:sz="4" w:space="0"/>
              <w:right w:val="single" w:color="auto" w:sz="4" w:space="0"/>
            </w:tcBorders>
            <w:shd w:val="clear" w:color="auto" w:fill="FFFFFF"/>
            <w:noWrap/>
            <w:vAlign w:val="center"/>
          </w:tcPr>
          <w:p w14:paraId="68847938">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≥5000</w:t>
            </w:r>
          </w:p>
        </w:tc>
        <w:tc>
          <w:tcPr>
            <w:tcW w:w="850" w:type="dxa"/>
            <w:tcBorders>
              <w:top w:val="nil"/>
              <w:left w:val="nil"/>
              <w:bottom w:val="single" w:color="auto" w:sz="4" w:space="0"/>
              <w:right w:val="single" w:color="auto" w:sz="4" w:space="0"/>
            </w:tcBorders>
            <w:shd w:val="clear" w:color="auto" w:fill="FFFFFF"/>
            <w:noWrap/>
            <w:vAlign w:val="center"/>
          </w:tcPr>
          <w:p w14:paraId="628CF27B">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且≥1000</w:t>
            </w:r>
          </w:p>
        </w:tc>
        <w:tc>
          <w:tcPr>
            <w:tcW w:w="851" w:type="dxa"/>
            <w:tcBorders>
              <w:top w:val="nil"/>
              <w:left w:val="nil"/>
              <w:bottom w:val="single" w:color="auto" w:sz="4" w:space="0"/>
              <w:right w:val="single" w:color="auto" w:sz="4" w:space="0"/>
            </w:tcBorders>
            <w:shd w:val="clear" w:color="auto" w:fill="FFFFFF"/>
            <w:noWrap/>
            <w:vAlign w:val="center"/>
          </w:tcPr>
          <w:p w14:paraId="7829F937">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5A812296">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≥1000</w:t>
            </w:r>
          </w:p>
        </w:tc>
        <w:tc>
          <w:tcPr>
            <w:tcW w:w="709" w:type="dxa"/>
            <w:tcBorders>
              <w:top w:val="nil"/>
              <w:left w:val="nil"/>
              <w:bottom w:val="single" w:color="auto" w:sz="4" w:space="0"/>
              <w:right w:val="single" w:color="auto" w:sz="4" w:space="0"/>
            </w:tcBorders>
            <w:shd w:val="clear" w:color="auto" w:fill="FFFFFF"/>
            <w:noWrap/>
            <w:vAlign w:val="center"/>
          </w:tcPr>
          <w:p w14:paraId="6D029C14">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且≥300</w:t>
            </w:r>
          </w:p>
        </w:tc>
        <w:tc>
          <w:tcPr>
            <w:tcW w:w="851" w:type="dxa"/>
            <w:tcBorders>
              <w:top w:val="nil"/>
              <w:left w:val="nil"/>
              <w:bottom w:val="single" w:color="auto" w:sz="4" w:space="0"/>
              <w:right w:val="single" w:color="auto" w:sz="4" w:space="0"/>
            </w:tcBorders>
            <w:shd w:val="clear" w:color="auto" w:fill="FFFFFF"/>
            <w:noWrap/>
            <w:vAlign w:val="center"/>
          </w:tcPr>
          <w:p w14:paraId="6DBEEA16">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08DB1DE3">
            <w:pPr>
              <w:pStyle w:val="104"/>
              <w:widowControl/>
              <w:jc w:val="center"/>
              <w:rPr>
                <w:rFonts w:ascii="宋体" w:hAnsi="宋体" w:cs="宋体"/>
                <w:bCs/>
                <w:kern w:val="0"/>
                <w:sz w:val="18"/>
                <w:szCs w:val="18"/>
              </w:rPr>
            </w:pPr>
            <w:r>
              <w:rPr>
                <w:rFonts w:hint="eastAsia" w:ascii="宋体" w:hAnsi="宋体" w:cs="宋体"/>
                <w:bCs/>
                <w:kern w:val="0"/>
                <w:sz w:val="18"/>
                <w:szCs w:val="18"/>
              </w:rPr>
              <w:t>≥500</w:t>
            </w:r>
          </w:p>
        </w:tc>
        <w:tc>
          <w:tcPr>
            <w:tcW w:w="851" w:type="dxa"/>
            <w:tcBorders>
              <w:top w:val="nil"/>
              <w:left w:val="nil"/>
              <w:bottom w:val="single" w:color="auto" w:sz="4" w:space="0"/>
              <w:right w:val="single" w:color="auto" w:sz="4" w:space="0"/>
            </w:tcBorders>
            <w:shd w:val="clear" w:color="auto" w:fill="FFFFFF"/>
            <w:noWrap/>
            <w:vAlign w:val="center"/>
          </w:tcPr>
          <w:p w14:paraId="6B54E21A">
            <w:pPr>
              <w:pStyle w:val="104"/>
              <w:widowControl/>
              <w:jc w:val="center"/>
              <w:rPr>
                <w:rFonts w:ascii="宋体" w:hAnsi="宋体" w:cs="宋体"/>
                <w:bCs/>
                <w:kern w:val="0"/>
                <w:sz w:val="18"/>
                <w:szCs w:val="18"/>
              </w:rPr>
            </w:pPr>
            <w:r>
              <w:rPr>
                <w:rFonts w:hint="eastAsia" w:ascii="宋体" w:hAnsi="宋体" w:cs="宋体"/>
                <w:bCs/>
                <w:kern w:val="0"/>
                <w:sz w:val="18"/>
                <w:szCs w:val="18"/>
              </w:rPr>
              <w:t>且≥100</w:t>
            </w:r>
          </w:p>
        </w:tc>
        <w:tc>
          <w:tcPr>
            <w:tcW w:w="708" w:type="dxa"/>
            <w:tcBorders>
              <w:top w:val="nil"/>
              <w:left w:val="nil"/>
              <w:bottom w:val="single" w:color="auto" w:sz="4" w:space="0"/>
              <w:right w:val="single" w:color="auto" w:sz="4" w:space="0"/>
            </w:tcBorders>
            <w:shd w:val="clear" w:color="auto" w:fill="FFFFFF"/>
            <w:noWrap/>
            <w:vAlign w:val="center"/>
          </w:tcPr>
          <w:p w14:paraId="0FBED963">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4F1021D5">
            <w:pPr>
              <w:pStyle w:val="104"/>
              <w:widowControl/>
              <w:jc w:val="center"/>
              <w:rPr>
                <w:rFonts w:ascii="宋体" w:hAnsi="宋体" w:cs="宋体"/>
                <w:bCs/>
                <w:kern w:val="0"/>
                <w:sz w:val="18"/>
                <w:szCs w:val="18"/>
              </w:rPr>
            </w:pPr>
            <w:r>
              <w:rPr>
                <w:rFonts w:hint="eastAsia" w:ascii="宋体" w:hAnsi="宋体" w:cs="宋体"/>
                <w:bCs/>
                <w:kern w:val="0"/>
                <w:sz w:val="18"/>
                <w:szCs w:val="18"/>
              </w:rPr>
              <w:t>＜500</w:t>
            </w:r>
          </w:p>
        </w:tc>
        <w:tc>
          <w:tcPr>
            <w:tcW w:w="709" w:type="dxa"/>
            <w:tcBorders>
              <w:top w:val="nil"/>
              <w:left w:val="nil"/>
              <w:bottom w:val="single" w:color="auto" w:sz="4" w:space="0"/>
              <w:right w:val="single" w:color="auto" w:sz="4" w:space="0"/>
            </w:tcBorders>
            <w:shd w:val="clear" w:color="auto" w:fill="FFFFFF"/>
            <w:noWrap/>
            <w:vAlign w:val="center"/>
          </w:tcPr>
          <w:p w14:paraId="462346FF">
            <w:pPr>
              <w:pStyle w:val="104"/>
              <w:widowControl/>
              <w:jc w:val="center"/>
              <w:rPr>
                <w:rFonts w:ascii="宋体" w:hAnsi="宋体" w:cs="宋体"/>
                <w:bCs/>
                <w:kern w:val="0"/>
                <w:sz w:val="18"/>
                <w:szCs w:val="18"/>
              </w:rPr>
            </w:pPr>
            <w:r>
              <w:rPr>
                <w:rFonts w:hint="eastAsia" w:ascii="宋体" w:hAnsi="宋体" w:cs="宋体"/>
                <w:bCs/>
                <w:kern w:val="0"/>
                <w:sz w:val="18"/>
                <w:szCs w:val="18"/>
              </w:rPr>
              <w:t>或＜100</w:t>
            </w:r>
          </w:p>
        </w:tc>
        <w:tc>
          <w:tcPr>
            <w:tcW w:w="709" w:type="dxa"/>
            <w:tcBorders>
              <w:top w:val="nil"/>
              <w:left w:val="nil"/>
              <w:bottom w:val="single" w:color="auto" w:sz="4" w:space="0"/>
              <w:right w:val="single" w:color="auto" w:sz="4" w:space="0"/>
            </w:tcBorders>
            <w:shd w:val="clear" w:color="auto" w:fill="FFFFFF"/>
            <w:noWrap/>
            <w:vAlign w:val="center"/>
          </w:tcPr>
          <w:p w14:paraId="28612FFC">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r>
      <w:tr w14:paraId="6EEB491F">
        <w:tblPrEx>
          <w:tblCellMar>
            <w:top w:w="0" w:type="dxa"/>
            <w:left w:w="108" w:type="dxa"/>
            <w:bottom w:w="0" w:type="dxa"/>
            <w:right w:w="108" w:type="dxa"/>
          </w:tblCellMar>
        </w:tblPrEx>
        <w:trPr>
          <w:trHeight w:val="356" w:hRule="atLeast"/>
          <w:jc w:val="center"/>
        </w:trPr>
        <w:tc>
          <w:tcPr>
            <w:tcW w:w="479" w:type="dxa"/>
            <w:tcBorders>
              <w:top w:val="nil"/>
              <w:left w:val="single" w:color="auto" w:sz="4" w:space="0"/>
              <w:bottom w:val="single" w:color="auto" w:sz="4" w:space="0"/>
              <w:right w:val="single" w:color="auto" w:sz="4" w:space="0"/>
            </w:tcBorders>
            <w:shd w:val="clear" w:color="auto" w:fill="FFFFFF"/>
            <w:noWrap/>
            <w:vAlign w:val="center"/>
          </w:tcPr>
          <w:p w14:paraId="7DCAEB03">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15</w:t>
            </w:r>
          </w:p>
        </w:tc>
        <w:tc>
          <w:tcPr>
            <w:tcW w:w="764" w:type="dxa"/>
            <w:tcBorders>
              <w:top w:val="nil"/>
              <w:left w:val="nil"/>
              <w:bottom w:val="single" w:color="auto" w:sz="4" w:space="0"/>
              <w:right w:val="single" w:color="auto" w:sz="4" w:space="0"/>
            </w:tcBorders>
            <w:shd w:val="clear" w:color="auto" w:fill="FFFFFF"/>
            <w:noWrap/>
            <w:vAlign w:val="center"/>
          </w:tcPr>
          <w:p w14:paraId="6C15B6A4">
            <w:pPr>
              <w:pStyle w:val="104"/>
              <w:ind w:left="-29" w:leftChars="-13" w:right="-68" w:rightChars="-31"/>
              <w:jc w:val="left"/>
              <w:rPr>
                <w:rFonts w:ascii="宋体" w:hAnsi="宋体" w:cs="宋体"/>
                <w:bCs/>
                <w:kern w:val="0"/>
                <w:sz w:val="16"/>
                <w:szCs w:val="16"/>
              </w:rPr>
            </w:pPr>
            <w:r>
              <w:rPr>
                <w:rFonts w:hint="eastAsia" w:ascii="宋体" w:hAnsi="宋体" w:cs="宋体"/>
                <w:bCs/>
                <w:kern w:val="0"/>
                <w:sz w:val="16"/>
                <w:szCs w:val="16"/>
              </w:rPr>
              <w:t>租赁和商务服务业</w:t>
            </w:r>
          </w:p>
        </w:tc>
        <w:tc>
          <w:tcPr>
            <w:tcW w:w="851" w:type="dxa"/>
            <w:tcBorders>
              <w:top w:val="nil"/>
              <w:left w:val="nil"/>
              <w:bottom w:val="single" w:color="auto" w:sz="4" w:space="0"/>
              <w:right w:val="single" w:color="auto" w:sz="4" w:space="0"/>
            </w:tcBorders>
            <w:shd w:val="clear" w:color="auto" w:fill="FFFFFF"/>
            <w:noWrap/>
            <w:vAlign w:val="center"/>
          </w:tcPr>
          <w:p w14:paraId="7E56EB93">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1ECC8569">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≥300</w:t>
            </w:r>
          </w:p>
        </w:tc>
        <w:tc>
          <w:tcPr>
            <w:tcW w:w="851" w:type="dxa"/>
            <w:tcBorders>
              <w:top w:val="nil"/>
              <w:left w:val="nil"/>
              <w:bottom w:val="single" w:color="auto" w:sz="4" w:space="0"/>
              <w:right w:val="single" w:color="auto" w:sz="4" w:space="0"/>
            </w:tcBorders>
            <w:shd w:val="clear" w:color="auto" w:fill="FFFFFF"/>
            <w:noWrap/>
            <w:vAlign w:val="center"/>
          </w:tcPr>
          <w:p w14:paraId="4E117BF0">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且≥120000</w:t>
            </w:r>
          </w:p>
        </w:tc>
        <w:tc>
          <w:tcPr>
            <w:tcW w:w="850" w:type="dxa"/>
            <w:tcBorders>
              <w:top w:val="nil"/>
              <w:left w:val="nil"/>
              <w:bottom w:val="single" w:color="auto" w:sz="4" w:space="0"/>
              <w:right w:val="single" w:color="auto" w:sz="4" w:space="0"/>
            </w:tcBorders>
            <w:shd w:val="clear" w:color="auto" w:fill="FFFFFF"/>
            <w:noWrap/>
            <w:vAlign w:val="center"/>
          </w:tcPr>
          <w:p w14:paraId="608DA310">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20C31CDD">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≥100</w:t>
            </w:r>
          </w:p>
        </w:tc>
        <w:tc>
          <w:tcPr>
            <w:tcW w:w="851" w:type="dxa"/>
            <w:tcBorders>
              <w:top w:val="nil"/>
              <w:left w:val="nil"/>
              <w:bottom w:val="single" w:color="auto" w:sz="4" w:space="0"/>
              <w:right w:val="single" w:color="auto" w:sz="4" w:space="0"/>
            </w:tcBorders>
            <w:shd w:val="clear" w:color="auto" w:fill="FFFFFF"/>
            <w:noWrap/>
            <w:vAlign w:val="center"/>
          </w:tcPr>
          <w:p w14:paraId="43B24A66">
            <w:pPr>
              <w:pStyle w:val="104"/>
              <w:widowControl/>
              <w:jc w:val="center"/>
              <w:rPr>
                <w:rFonts w:ascii="宋体" w:hAnsi="宋体" w:cs="宋体"/>
                <w:bCs/>
                <w:kern w:val="0"/>
                <w:sz w:val="18"/>
                <w:szCs w:val="18"/>
              </w:rPr>
            </w:pPr>
            <w:r>
              <w:rPr>
                <w:rFonts w:hint="eastAsia" w:ascii="宋体" w:hAnsi="宋体" w:cs="宋体"/>
                <w:bCs/>
                <w:kern w:val="0"/>
                <w:sz w:val="18"/>
                <w:szCs w:val="18"/>
              </w:rPr>
              <w:t>且≥8000</w:t>
            </w:r>
          </w:p>
        </w:tc>
        <w:tc>
          <w:tcPr>
            <w:tcW w:w="850" w:type="dxa"/>
            <w:tcBorders>
              <w:top w:val="nil"/>
              <w:left w:val="nil"/>
              <w:bottom w:val="single" w:color="auto" w:sz="4" w:space="0"/>
              <w:right w:val="single" w:color="auto" w:sz="4" w:space="0"/>
            </w:tcBorders>
            <w:shd w:val="clear" w:color="auto" w:fill="FFFFFF"/>
            <w:noWrap/>
            <w:vAlign w:val="center"/>
          </w:tcPr>
          <w:p w14:paraId="27B0FC0E">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851" w:type="dxa"/>
            <w:tcBorders>
              <w:top w:val="nil"/>
              <w:left w:val="nil"/>
              <w:bottom w:val="single" w:color="auto" w:sz="4" w:space="0"/>
              <w:right w:val="single" w:color="auto" w:sz="4" w:space="0"/>
            </w:tcBorders>
            <w:shd w:val="clear" w:color="auto" w:fill="FFFFFF"/>
            <w:noWrap/>
            <w:vAlign w:val="center"/>
          </w:tcPr>
          <w:p w14:paraId="5AA2733D">
            <w:pPr>
              <w:pStyle w:val="104"/>
              <w:widowControl/>
              <w:jc w:val="center"/>
              <w:rPr>
                <w:rFonts w:ascii="宋体" w:hAnsi="宋体" w:cs="宋体"/>
                <w:bCs/>
                <w:kern w:val="0"/>
                <w:sz w:val="18"/>
                <w:szCs w:val="18"/>
              </w:rPr>
            </w:pPr>
            <w:r>
              <w:rPr>
                <w:rFonts w:hint="eastAsia" w:ascii="宋体" w:hAnsi="宋体" w:cs="宋体"/>
                <w:bCs/>
                <w:kern w:val="0"/>
                <w:sz w:val="18"/>
                <w:szCs w:val="18"/>
              </w:rPr>
              <w:t>≥10</w:t>
            </w:r>
          </w:p>
        </w:tc>
        <w:tc>
          <w:tcPr>
            <w:tcW w:w="708" w:type="dxa"/>
            <w:tcBorders>
              <w:top w:val="nil"/>
              <w:left w:val="nil"/>
              <w:bottom w:val="single" w:color="auto" w:sz="4" w:space="0"/>
              <w:right w:val="single" w:color="auto" w:sz="4" w:space="0"/>
            </w:tcBorders>
            <w:shd w:val="clear" w:color="auto" w:fill="FFFFFF"/>
            <w:noWrap/>
            <w:vAlign w:val="center"/>
          </w:tcPr>
          <w:p w14:paraId="13AF6441">
            <w:pPr>
              <w:pStyle w:val="104"/>
              <w:widowControl/>
              <w:jc w:val="center"/>
              <w:rPr>
                <w:rFonts w:ascii="宋体" w:hAnsi="宋体" w:cs="宋体"/>
                <w:bCs/>
                <w:kern w:val="0"/>
                <w:sz w:val="18"/>
                <w:szCs w:val="18"/>
              </w:rPr>
            </w:pPr>
            <w:r>
              <w:rPr>
                <w:rFonts w:hint="eastAsia" w:ascii="宋体" w:hAnsi="宋体" w:cs="宋体"/>
                <w:bCs/>
                <w:kern w:val="0"/>
                <w:sz w:val="18"/>
                <w:szCs w:val="18"/>
              </w:rPr>
              <w:t>且≥100</w:t>
            </w:r>
          </w:p>
        </w:tc>
        <w:tc>
          <w:tcPr>
            <w:tcW w:w="709" w:type="dxa"/>
            <w:tcBorders>
              <w:top w:val="nil"/>
              <w:left w:val="nil"/>
              <w:bottom w:val="single" w:color="auto" w:sz="4" w:space="0"/>
              <w:right w:val="single" w:color="auto" w:sz="4" w:space="0"/>
            </w:tcBorders>
            <w:shd w:val="clear" w:color="auto" w:fill="FFFFFF"/>
            <w:noWrap/>
            <w:vAlign w:val="center"/>
          </w:tcPr>
          <w:p w14:paraId="15F86273">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75573DF9">
            <w:pPr>
              <w:pStyle w:val="104"/>
              <w:widowControl/>
              <w:jc w:val="center"/>
              <w:rPr>
                <w:rFonts w:ascii="宋体" w:hAnsi="宋体" w:cs="宋体"/>
                <w:bCs/>
                <w:kern w:val="0"/>
                <w:sz w:val="18"/>
                <w:szCs w:val="18"/>
              </w:rPr>
            </w:pPr>
            <w:r>
              <w:rPr>
                <w:rFonts w:hint="eastAsia" w:ascii="宋体" w:hAnsi="宋体" w:cs="宋体"/>
                <w:bCs/>
                <w:kern w:val="0"/>
                <w:sz w:val="18"/>
                <w:szCs w:val="18"/>
              </w:rPr>
              <w:t>＜10</w:t>
            </w:r>
          </w:p>
        </w:tc>
        <w:tc>
          <w:tcPr>
            <w:tcW w:w="709" w:type="dxa"/>
            <w:tcBorders>
              <w:top w:val="nil"/>
              <w:left w:val="nil"/>
              <w:bottom w:val="single" w:color="auto" w:sz="4" w:space="0"/>
              <w:right w:val="single" w:color="auto" w:sz="4" w:space="0"/>
            </w:tcBorders>
            <w:shd w:val="clear" w:color="auto" w:fill="FFFFFF"/>
            <w:noWrap/>
            <w:vAlign w:val="center"/>
          </w:tcPr>
          <w:p w14:paraId="45A341D7">
            <w:pPr>
              <w:pStyle w:val="104"/>
              <w:widowControl/>
              <w:jc w:val="center"/>
              <w:rPr>
                <w:rFonts w:ascii="宋体" w:hAnsi="宋体" w:cs="宋体"/>
                <w:bCs/>
                <w:kern w:val="0"/>
                <w:sz w:val="18"/>
                <w:szCs w:val="18"/>
              </w:rPr>
            </w:pPr>
            <w:r>
              <w:rPr>
                <w:rFonts w:hint="eastAsia" w:ascii="宋体" w:hAnsi="宋体" w:cs="宋体"/>
                <w:bCs/>
                <w:kern w:val="0"/>
                <w:sz w:val="18"/>
                <w:szCs w:val="18"/>
              </w:rPr>
              <w:t>或＜100</w:t>
            </w:r>
          </w:p>
        </w:tc>
      </w:tr>
      <w:tr w14:paraId="1FF66A19">
        <w:tblPrEx>
          <w:tblCellMar>
            <w:top w:w="0" w:type="dxa"/>
            <w:left w:w="108" w:type="dxa"/>
            <w:bottom w:w="0" w:type="dxa"/>
            <w:right w:w="108" w:type="dxa"/>
          </w:tblCellMar>
        </w:tblPrEx>
        <w:trPr>
          <w:trHeight w:val="177" w:hRule="atLeast"/>
          <w:jc w:val="center"/>
        </w:trPr>
        <w:tc>
          <w:tcPr>
            <w:tcW w:w="479" w:type="dxa"/>
            <w:tcBorders>
              <w:top w:val="nil"/>
              <w:left w:val="single" w:color="auto" w:sz="4" w:space="0"/>
              <w:bottom w:val="single" w:color="auto" w:sz="4" w:space="0"/>
              <w:right w:val="single" w:color="auto" w:sz="4" w:space="0"/>
            </w:tcBorders>
            <w:shd w:val="clear" w:color="auto" w:fill="FFFFFF"/>
            <w:noWrap/>
            <w:vAlign w:val="center"/>
          </w:tcPr>
          <w:p w14:paraId="19122E5E">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16</w:t>
            </w:r>
          </w:p>
        </w:tc>
        <w:tc>
          <w:tcPr>
            <w:tcW w:w="764" w:type="dxa"/>
            <w:tcBorders>
              <w:top w:val="nil"/>
              <w:left w:val="nil"/>
              <w:bottom w:val="single" w:color="auto" w:sz="4" w:space="0"/>
              <w:right w:val="single" w:color="auto" w:sz="4" w:space="0"/>
            </w:tcBorders>
            <w:shd w:val="clear" w:color="auto" w:fill="FFFFFF"/>
            <w:noWrap/>
            <w:vAlign w:val="center"/>
          </w:tcPr>
          <w:p w14:paraId="3CE533E1">
            <w:pPr>
              <w:pStyle w:val="104"/>
              <w:ind w:left="-29" w:leftChars="-13" w:right="-68" w:rightChars="-31"/>
              <w:jc w:val="left"/>
              <w:rPr>
                <w:rFonts w:ascii="宋体" w:hAnsi="宋体" w:cs="宋体"/>
                <w:bCs/>
                <w:kern w:val="0"/>
                <w:sz w:val="16"/>
                <w:szCs w:val="16"/>
              </w:rPr>
            </w:pPr>
            <w:r>
              <w:rPr>
                <w:rFonts w:hint="eastAsia" w:ascii="宋体" w:hAnsi="宋体" w:cs="宋体"/>
                <w:bCs/>
                <w:kern w:val="0"/>
                <w:sz w:val="16"/>
                <w:szCs w:val="16"/>
              </w:rPr>
              <w:t>其他未列明行业</w:t>
            </w:r>
          </w:p>
        </w:tc>
        <w:tc>
          <w:tcPr>
            <w:tcW w:w="851" w:type="dxa"/>
            <w:tcBorders>
              <w:top w:val="nil"/>
              <w:left w:val="nil"/>
              <w:bottom w:val="single" w:color="auto" w:sz="4" w:space="0"/>
              <w:right w:val="single" w:color="auto" w:sz="4" w:space="0"/>
            </w:tcBorders>
            <w:shd w:val="clear" w:color="auto" w:fill="FFFFFF"/>
            <w:noWrap/>
            <w:vAlign w:val="center"/>
          </w:tcPr>
          <w:p w14:paraId="20587E37">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2CDC02FC">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≥300</w:t>
            </w:r>
          </w:p>
        </w:tc>
        <w:tc>
          <w:tcPr>
            <w:tcW w:w="851" w:type="dxa"/>
            <w:tcBorders>
              <w:top w:val="nil"/>
              <w:left w:val="nil"/>
              <w:bottom w:val="single" w:color="auto" w:sz="4" w:space="0"/>
              <w:right w:val="single" w:color="auto" w:sz="4" w:space="0"/>
            </w:tcBorders>
            <w:shd w:val="clear" w:color="auto" w:fill="FFFFFF"/>
            <w:noWrap/>
            <w:vAlign w:val="center"/>
          </w:tcPr>
          <w:p w14:paraId="0A738A19">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5835F828">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551385CC">
            <w:pPr>
              <w:pStyle w:val="104"/>
              <w:widowControl/>
              <w:ind w:left="-112" w:leftChars="-51" w:right="-112" w:rightChars="-51"/>
              <w:jc w:val="center"/>
              <w:rPr>
                <w:rFonts w:ascii="宋体" w:hAnsi="宋体" w:cs="宋体"/>
                <w:bCs/>
                <w:kern w:val="0"/>
                <w:sz w:val="18"/>
                <w:szCs w:val="18"/>
              </w:rPr>
            </w:pPr>
            <w:r>
              <w:rPr>
                <w:rFonts w:hint="eastAsia" w:ascii="宋体" w:hAnsi="宋体" w:cs="宋体"/>
                <w:bCs/>
                <w:kern w:val="0"/>
                <w:sz w:val="18"/>
                <w:szCs w:val="18"/>
              </w:rPr>
              <w:t>≥100</w:t>
            </w:r>
          </w:p>
        </w:tc>
        <w:tc>
          <w:tcPr>
            <w:tcW w:w="851" w:type="dxa"/>
            <w:tcBorders>
              <w:top w:val="nil"/>
              <w:left w:val="nil"/>
              <w:bottom w:val="single" w:color="auto" w:sz="4" w:space="0"/>
              <w:right w:val="single" w:color="auto" w:sz="4" w:space="0"/>
            </w:tcBorders>
            <w:shd w:val="clear" w:color="auto" w:fill="FFFFFF"/>
            <w:noWrap/>
            <w:vAlign w:val="center"/>
          </w:tcPr>
          <w:p w14:paraId="32D4CF16">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850" w:type="dxa"/>
            <w:tcBorders>
              <w:top w:val="nil"/>
              <w:left w:val="nil"/>
              <w:bottom w:val="single" w:color="auto" w:sz="4" w:space="0"/>
              <w:right w:val="single" w:color="auto" w:sz="4" w:space="0"/>
            </w:tcBorders>
            <w:shd w:val="clear" w:color="auto" w:fill="FFFFFF"/>
            <w:noWrap/>
            <w:vAlign w:val="center"/>
          </w:tcPr>
          <w:p w14:paraId="44D6164C">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851" w:type="dxa"/>
            <w:tcBorders>
              <w:top w:val="nil"/>
              <w:left w:val="nil"/>
              <w:bottom w:val="single" w:color="auto" w:sz="4" w:space="0"/>
              <w:right w:val="single" w:color="auto" w:sz="4" w:space="0"/>
            </w:tcBorders>
            <w:shd w:val="clear" w:color="auto" w:fill="FFFFFF"/>
            <w:noWrap/>
            <w:vAlign w:val="center"/>
          </w:tcPr>
          <w:p w14:paraId="3ACDC54C">
            <w:pPr>
              <w:pStyle w:val="104"/>
              <w:widowControl/>
              <w:jc w:val="center"/>
              <w:rPr>
                <w:rFonts w:ascii="宋体" w:hAnsi="宋体" w:cs="宋体"/>
                <w:bCs/>
                <w:kern w:val="0"/>
                <w:sz w:val="18"/>
                <w:szCs w:val="18"/>
              </w:rPr>
            </w:pPr>
            <w:r>
              <w:rPr>
                <w:rFonts w:hint="eastAsia" w:ascii="宋体" w:hAnsi="宋体" w:cs="宋体"/>
                <w:bCs/>
                <w:kern w:val="0"/>
                <w:sz w:val="18"/>
                <w:szCs w:val="18"/>
              </w:rPr>
              <w:t>≥10</w:t>
            </w:r>
          </w:p>
        </w:tc>
        <w:tc>
          <w:tcPr>
            <w:tcW w:w="708" w:type="dxa"/>
            <w:tcBorders>
              <w:top w:val="nil"/>
              <w:left w:val="nil"/>
              <w:bottom w:val="single" w:color="auto" w:sz="4" w:space="0"/>
              <w:right w:val="single" w:color="auto" w:sz="4" w:space="0"/>
            </w:tcBorders>
            <w:shd w:val="clear" w:color="auto" w:fill="FFFFFF"/>
            <w:noWrap/>
            <w:vAlign w:val="center"/>
          </w:tcPr>
          <w:p w14:paraId="0F1BD140">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552C8B36">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c>
          <w:tcPr>
            <w:tcW w:w="709" w:type="dxa"/>
            <w:tcBorders>
              <w:top w:val="nil"/>
              <w:left w:val="nil"/>
              <w:bottom w:val="single" w:color="auto" w:sz="4" w:space="0"/>
              <w:right w:val="single" w:color="auto" w:sz="4" w:space="0"/>
            </w:tcBorders>
            <w:shd w:val="clear" w:color="auto" w:fill="FFFFFF"/>
            <w:noWrap/>
            <w:vAlign w:val="center"/>
          </w:tcPr>
          <w:p w14:paraId="2A08F725">
            <w:pPr>
              <w:pStyle w:val="104"/>
              <w:widowControl/>
              <w:jc w:val="center"/>
              <w:rPr>
                <w:rFonts w:ascii="宋体" w:hAnsi="宋体" w:cs="宋体"/>
                <w:bCs/>
                <w:kern w:val="0"/>
                <w:sz w:val="18"/>
                <w:szCs w:val="18"/>
              </w:rPr>
            </w:pPr>
            <w:r>
              <w:rPr>
                <w:rFonts w:hint="eastAsia" w:ascii="宋体" w:hAnsi="宋体" w:cs="宋体"/>
                <w:bCs/>
                <w:kern w:val="0"/>
                <w:sz w:val="18"/>
                <w:szCs w:val="18"/>
              </w:rPr>
              <w:t>＜10</w:t>
            </w:r>
          </w:p>
        </w:tc>
        <w:tc>
          <w:tcPr>
            <w:tcW w:w="709" w:type="dxa"/>
            <w:tcBorders>
              <w:top w:val="nil"/>
              <w:left w:val="nil"/>
              <w:bottom w:val="single" w:color="auto" w:sz="4" w:space="0"/>
              <w:right w:val="single" w:color="auto" w:sz="4" w:space="0"/>
            </w:tcBorders>
            <w:shd w:val="clear" w:color="auto" w:fill="FFFFFF"/>
            <w:noWrap/>
            <w:vAlign w:val="center"/>
          </w:tcPr>
          <w:p w14:paraId="4F146C46">
            <w:pPr>
              <w:pStyle w:val="104"/>
              <w:widowControl/>
              <w:jc w:val="center"/>
              <w:rPr>
                <w:rFonts w:ascii="宋体" w:hAnsi="宋体" w:cs="宋体"/>
                <w:bCs/>
                <w:kern w:val="0"/>
                <w:sz w:val="18"/>
                <w:szCs w:val="18"/>
              </w:rPr>
            </w:pPr>
            <w:r>
              <w:rPr>
                <w:rFonts w:hint="eastAsia" w:ascii="宋体" w:hAnsi="宋体" w:cs="宋体"/>
                <w:bCs/>
                <w:kern w:val="0"/>
                <w:sz w:val="18"/>
                <w:szCs w:val="18"/>
              </w:rPr>
              <w:t>　</w:t>
            </w:r>
          </w:p>
        </w:tc>
      </w:tr>
    </w:tbl>
    <w:p w14:paraId="7676AE16">
      <w:pPr>
        <w:adjustRightInd w:val="0"/>
        <w:snapToGrid w:val="0"/>
        <w:spacing w:line="360" w:lineRule="auto"/>
        <w:rPr>
          <w:rFonts w:ascii="黑体" w:hAnsi="华文中宋" w:eastAsia="黑体" w:cs="宋体"/>
          <w:bCs/>
          <w:spacing w:val="6"/>
          <w:kern w:val="0"/>
          <w:szCs w:val="21"/>
        </w:rPr>
      </w:pPr>
    </w:p>
    <w:p w14:paraId="3926074E">
      <w:pPr>
        <w:adjustRightInd w:val="0"/>
        <w:snapToGrid w:val="0"/>
        <w:spacing w:line="360" w:lineRule="auto"/>
        <w:rPr>
          <w:rFonts w:ascii="宋体" w:hAnsi="宋体" w:cs="宋体"/>
          <w:b/>
          <w:kern w:val="0"/>
          <w:sz w:val="16"/>
          <w:szCs w:val="16"/>
        </w:rPr>
      </w:pPr>
      <w:r>
        <w:rPr>
          <w:rFonts w:hint="eastAsia" w:ascii="宋体" w:hAnsi="宋体" w:cs="宋体"/>
          <w:b/>
          <w:kern w:val="0"/>
          <w:sz w:val="16"/>
          <w:szCs w:val="16"/>
        </w:rPr>
        <w:t>注：本项目所属行业为“中小企业划型标准”中的“工业”</w:t>
      </w:r>
    </w:p>
    <w:p w14:paraId="50501CF1">
      <w:pPr>
        <w:pStyle w:val="5"/>
        <w:rPr>
          <w:rFonts w:ascii="黑体" w:hAnsi="华文中宋" w:cs="宋体"/>
          <w:spacing w:val="6"/>
          <w:sz w:val="21"/>
          <w:szCs w:val="21"/>
        </w:rPr>
        <w:sectPr>
          <w:footerReference r:id="rId18" w:type="default"/>
          <w:pgSz w:w="11906" w:h="16838"/>
          <w:pgMar w:top="1157" w:right="1080" w:bottom="1213" w:left="1080" w:header="737" w:footer="907" w:gutter="0"/>
          <w:pgNumType w:fmt="decimal"/>
          <w:cols w:space="720" w:num="1"/>
          <w:docGrid w:type="lines" w:linePitch="312" w:charSpace="0"/>
        </w:sectPr>
      </w:pPr>
    </w:p>
    <w:p w14:paraId="6D120F5E">
      <w:pPr>
        <w:adjustRightInd w:val="0"/>
        <w:snapToGrid w:val="0"/>
        <w:jc w:val="left"/>
        <w:rPr>
          <w:rFonts w:hint="eastAsia" w:ascii="宋体" w:hAnsi="宋体" w:cs="宋体"/>
          <w:b/>
          <w:bCs/>
          <w:color w:val="000000"/>
          <w:sz w:val="24"/>
          <w:highlight w:val="none"/>
        </w:rPr>
      </w:pPr>
    </w:p>
    <w:p w14:paraId="50C248B6">
      <w:pPr>
        <w:adjustRightInd w:val="0"/>
        <w:snapToGrid w:val="0"/>
        <w:jc w:val="left"/>
        <w:rPr>
          <w:rFonts w:hint="eastAsia" w:ascii="宋体" w:hAnsi="宋体" w:cs="宋体"/>
          <w:b/>
          <w:bCs/>
          <w:color w:val="000000"/>
          <w:sz w:val="24"/>
          <w:highlight w:val="none"/>
        </w:rPr>
      </w:pPr>
    </w:p>
    <w:p w14:paraId="6052DAE4">
      <w:pPr>
        <w:adjustRightInd w:val="0"/>
        <w:snapToGrid w:val="0"/>
        <w:jc w:val="left"/>
        <w:rPr>
          <w:rFonts w:hint="eastAsia" w:ascii="宋体" w:hAnsi="宋体" w:cs="宋体"/>
          <w:b/>
          <w:bCs/>
          <w:color w:val="000000"/>
          <w:sz w:val="24"/>
          <w:highlight w:val="none"/>
        </w:rPr>
      </w:pPr>
    </w:p>
    <w:p w14:paraId="52F41413">
      <w:pPr>
        <w:adjustRightInd w:val="0"/>
        <w:snapToGrid w:val="0"/>
        <w:jc w:val="left"/>
        <w:rPr>
          <w:rFonts w:hint="eastAsia" w:ascii="宋体" w:hAnsi="宋体" w:cs="宋体"/>
          <w:b/>
          <w:bCs/>
          <w:color w:val="000000"/>
          <w:sz w:val="24"/>
          <w:highlight w:val="none"/>
        </w:rPr>
      </w:pPr>
    </w:p>
    <w:p w14:paraId="44CDFB3E">
      <w:pPr>
        <w:adjustRightInd w:val="0"/>
        <w:snapToGrid w:val="0"/>
        <w:jc w:val="left"/>
        <w:rPr>
          <w:rFonts w:hint="eastAsia" w:ascii="宋体" w:hAnsi="宋体" w:cs="宋体"/>
          <w:b/>
          <w:bCs/>
          <w:color w:val="000000"/>
          <w:sz w:val="24"/>
          <w:highlight w:val="none"/>
        </w:rPr>
      </w:pPr>
    </w:p>
    <w:p w14:paraId="4D1AF598">
      <w:pPr>
        <w:adjustRightInd w:val="0"/>
        <w:snapToGrid w:val="0"/>
        <w:jc w:val="left"/>
        <w:rPr>
          <w:rFonts w:hint="eastAsia" w:ascii="宋体" w:hAnsi="宋体" w:cs="宋体"/>
          <w:b/>
          <w:bCs/>
          <w:color w:val="000000"/>
          <w:sz w:val="24"/>
          <w:highlight w:val="none"/>
        </w:rPr>
      </w:pPr>
    </w:p>
    <w:p w14:paraId="14DCF3C2">
      <w:pPr>
        <w:adjustRightInd w:val="0"/>
        <w:snapToGrid w:val="0"/>
        <w:jc w:val="left"/>
        <w:rPr>
          <w:rFonts w:hint="eastAsia" w:ascii="宋体" w:hAnsi="宋体" w:cs="宋体"/>
          <w:b/>
          <w:bCs/>
          <w:color w:val="000000"/>
          <w:sz w:val="24"/>
          <w:highlight w:val="none"/>
        </w:rPr>
      </w:pPr>
    </w:p>
    <w:p w14:paraId="0EE56801">
      <w:pPr>
        <w:adjustRightInd w:val="0"/>
        <w:snapToGrid w:val="0"/>
        <w:jc w:val="left"/>
        <w:rPr>
          <w:rFonts w:hint="eastAsia" w:ascii="宋体" w:hAnsi="宋体" w:cs="宋体"/>
          <w:b/>
          <w:bCs/>
          <w:color w:val="000000"/>
          <w:sz w:val="22"/>
          <w:szCs w:val="22"/>
          <w:highlight w:val="none"/>
        </w:rPr>
      </w:pPr>
      <w:r>
        <w:rPr>
          <w:rFonts w:hint="eastAsia" w:ascii="宋体" w:hAnsi="宋体" w:cs="宋体"/>
          <w:b/>
          <w:bCs/>
          <w:color w:val="000000"/>
          <w:sz w:val="24"/>
          <w:highlight w:val="none"/>
        </w:rPr>
        <w:t>附7-</w:t>
      </w:r>
      <w:r>
        <w:rPr>
          <w:rFonts w:hint="eastAsia" w:cs="宋体"/>
          <w:b/>
          <w:bCs/>
          <w:color w:val="000000"/>
          <w:sz w:val="24"/>
          <w:highlight w:val="none"/>
          <w:lang w:val="en-US" w:eastAsia="zh-CN"/>
        </w:rPr>
        <w:t>1</w:t>
      </w:r>
      <w:r>
        <w:rPr>
          <w:rFonts w:hint="eastAsia" w:ascii="宋体" w:hAnsi="宋体" w:cs="宋体"/>
          <w:b/>
          <w:bCs/>
          <w:color w:val="000000"/>
          <w:sz w:val="22"/>
          <w:szCs w:val="22"/>
          <w:highlight w:val="none"/>
        </w:rPr>
        <w:t xml:space="preserve">                 </w:t>
      </w:r>
    </w:p>
    <w:p w14:paraId="1FE8BF42">
      <w:pPr>
        <w:pStyle w:val="4"/>
        <w:jc w:val="center"/>
        <w:rPr>
          <w:sz w:val="28"/>
          <w:szCs w:val="28"/>
          <w:highlight w:val="none"/>
        </w:rPr>
      </w:pPr>
      <w:bookmarkStart w:id="245" w:name="_Toc29982"/>
      <w:bookmarkStart w:id="246" w:name="_Toc3162"/>
      <w:r>
        <w:rPr>
          <w:rFonts w:hint="eastAsia"/>
          <w:sz w:val="28"/>
          <w:szCs w:val="28"/>
          <w:highlight w:val="none"/>
        </w:rPr>
        <w:t>残疾人福利性单位声明函</w:t>
      </w:r>
      <w:bookmarkEnd w:id="245"/>
      <w:bookmarkEnd w:id="246"/>
    </w:p>
    <w:p w14:paraId="21DC9E12">
      <w:pPr>
        <w:adjustRightInd w:val="0"/>
        <w:snapToGrid w:val="0"/>
        <w:ind w:left="-92" w:leftChars="-42"/>
        <w:jc w:val="center"/>
        <w:rPr>
          <w:rFonts w:ascii="宋体" w:hAnsi="宋体"/>
          <w:bCs/>
          <w:color w:val="000000"/>
          <w:sz w:val="24"/>
          <w:highlight w:val="none"/>
        </w:rPr>
      </w:pPr>
      <w:r>
        <w:rPr>
          <w:rFonts w:hint="eastAsia" w:ascii="宋体" w:hAnsi="宋体"/>
          <w:bCs/>
          <w:color w:val="000000"/>
          <w:sz w:val="24"/>
          <w:highlight w:val="none"/>
        </w:rPr>
        <w:t>(不属于残疾人福利性单位的无需填写)</w:t>
      </w:r>
    </w:p>
    <w:p w14:paraId="4C34E2AF">
      <w:pPr>
        <w:adjustRightInd w:val="0"/>
        <w:snapToGrid w:val="0"/>
        <w:ind w:firstLine="464" w:firstLineChars="200"/>
        <w:rPr>
          <w:rFonts w:ascii="宋体" w:hAnsi="宋体"/>
          <w:color w:val="000000"/>
          <w:spacing w:val="6"/>
          <w:szCs w:val="21"/>
          <w:highlight w:val="none"/>
        </w:rPr>
      </w:pPr>
    </w:p>
    <w:p w14:paraId="404E3D55">
      <w:pPr>
        <w:adjustRightInd w:val="0"/>
        <w:snapToGrid w:val="0"/>
        <w:ind w:firstLine="504" w:firstLineChars="200"/>
        <w:rPr>
          <w:rFonts w:ascii="宋体" w:hAnsi="宋体"/>
          <w:color w:val="000000"/>
          <w:spacing w:val="6"/>
          <w:sz w:val="24"/>
          <w:highlight w:val="none"/>
        </w:rPr>
      </w:pPr>
      <w:r>
        <w:rPr>
          <w:rFonts w:hint="eastAsia" w:ascii="宋体" w:hAnsi="宋体"/>
          <w:color w:val="000000"/>
          <w:spacing w:val="6"/>
          <w:sz w:val="24"/>
          <w:highlight w:val="none"/>
        </w:rPr>
        <w:t>本单位郑重声明，根据《财政部 民政部 中国残疾人联合会关于促进残疾人就业政府采购政策的通知》（财库</w:t>
      </w:r>
      <w:r>
        <w:rPr>
          <w:rFonts w:hint="eastAsia" w:ascii="宋体" w:hAnsi="宋体"/>
          <w:color w:val="000000"/>
          <w:sz w:val="24"/>
          <w:highlight w:val="none"/>
        </w:rPr>
        <w:t>〔2017〕141</w:t>
      </w:r>
      <w:r>
        <w:rPr>
          <w:rFonts w:hint="eastAsia" w:ascii="宋体" w:hAnsi="宋体"/>
          <w:color w:val="000000"/>
          <w:spacing w:val="6"/>
          <w:sz w:val="24"/>
          <w:highlight w:val="none"/>
        </w:rPr>
        <w:t>号）的规定，本单位为符合条件的残疾人福利性单位，且本单位参加</w:t>
      </w:r>
      <w:r>
        <w:rPr>
          <w:rFonts w:hint="eastAsia" w:ascii="宋体" w:hAnsi="宋体"/>
          <w:color w:val="000000"/>
          <w:sz w:val="24"/>
          <w:highlight w:val="none"/>
          <w:u w:val="single"/>
        </w:rPr>
        <w:t xml:space="preserve">               </w:t>
      </w:r>
      <w:r>
        <w:rPr>
          <w:rFonts w:hint="eastAsia" w:ascii="宋体" w:hAnsi="宋体"/>
          <w:color w:val="000000"/>
          <w:spacing w:val="6"/>
          <w:sz w:val="24"/>
          <w:highlight w:val="none"/>
        </w:rPr>
        <w:t>单位的</w:t>
      </w:r>
      <w:r>
        <w:rPr>
          <w:rFonts w:hint="eastAsia" w:ascii="宋体" w:hAnsi="宋体"/>
          <w:color w:val="000000"/>
          <w:sz w:val="24"/>
          <w:highlight w:val="none"/>
          <w:u w:val="single"/>
        </w:rPr>
        <w:t xml:space="preserve">               </w:t>
      </w:r>
      <w:r>
        <w:rPr>
          <w:rFonts w:hint="eastAsia" w:ascii="宋体" w:hAnsi="宋体"/>
          <w:color w:val="000000"/>
          <w:spacing w:val="6"/>
          <w:sz w:val="24"/>
          <w:highlight w:val="none"/>
        </w:rPr>
        <w:t>项目采购活动提供本单位制造的货物（由本单位承担工程/提供服务），或者提供其他残疾人福利性单位制造的货物（不包括使用非残疾人福利性单位注册商标的货物）。</w:t>
      </w:r>
    </w:p>
    <w:p w14:paraId="73522718">
      <w:pPr>
        <w:adjustRightInd w:val="0"/>
        <w:snapToGrid w:val="0"/>
        <w:ind w:firstLine="504" w:firstLineChars="200"/>
        <w:rPr>
          <w:rFonts w:ascii="宋体" w:hAnsi="宋体"/>
          <w:color w:val="000000"/>
          <w:spacing w:val="6"/>
          <w:sz w:val="24"/>
          <w:highlight w:val="none"/>
        </w:rPr>
      </w:pPr>
      <w:r>
        <w:rPr>
          <w:rFonts w:hint="eastAsia" w:ascii="宋体" w:hAnsi="宋体"/>
          <w:color w:val="000000"/>
          <w:spacing w:val="6"/>
          <w:sz w:val="24"/>
          <w:highlight w:val="none"/>
        </w:rPr>
        <w:t>本单位对上述声明的真实性负责。如有虚假，将依法承担相应责任。</w:t>
      </w:r>
    </w:p>
    <w:p w14:paraId="7B493F50">
      <w:pPr>
        <w:adjustRightInd w:val="0"/>
        <w:snapToGrid w:val="0"/>
        <w:ind w:firstLine="504" w:firstLineChars="200"/>
        <w:rPr>
          <w:rFonts w:ascii="宋体" w:hAnsi="宋体"/>
          <w:color w:val="000000"/>
          <w:spacing w:val="6"/>
          <w:sz w:val="24"/>
          <w:highlight w:val="none"/>
        </w:rPr>
      </w:pPr>
    </w:p>
    <w:p w14:paraId="3BC7817E">
      <w:pPr>
        <w:rPr>
          <w:rFonts w:hint="eastAsia"/>
          <w:sz w:val="24"/>
          <w:highlight w:val="none"/>
        </w:rPr>
      </w:pPr>
    </w:p>
    <w:p w14:paraId="05C4A6FA">
      <w:pPr>
        <w:rPr>
          <w:rFonts w:hint="eastAsia"/>
          <w:sz w:val="24"/>
          <w:highlight w:val="none"/>
        </w:rPr>
      </w:pPr>
    </w:p>
    <w:p w14:paraId="5DBDF900">
      <w:pPr>
        <w:rPr>
          <w:rFonts w:hint="eastAsia"/>
          <w:sz w:val="24"/>
          <w:highlight w:val="none"/>
        </w:rPr>
      </w:pPr>
    </w:p>
    <w:p w14:paraId="6910E9B4">
      <w:pPr>
        <w:rPr>
          <w:rFonts w:hint="eastAsia"/>
          <w:sz w:val="24"/>
          <w:highlight w:val="none"/>
        </w:rPr>
      </w:pPr>
    </w:p>
    <w:p w14:paraId="0CC088A9">
      <w:pPr>
        <w:rPr>
          <w:rFonts w:hint="eastAsia"/>
          <w:sz w:val="24"/>
          <w:highlight w:val="none"/>
        </w:rPr>
      </w:pPr>
    </w:p>
    <w:p w14:paraId="26A457C4">
      <w:pPr>
        <w:rPr>
          <w:rFonts w:hint="eastAsia"/>
          <w:sz w:val="24"/>
          <w:highlight w:val="none"/>
        </w:rPr>
      </w:pPr>
    </w:p>
    <w:p w14:paraId="15F93C53">
      <w:pPr>
        <w:rPr>
          <w:rFonts w:hint="eastAsia"/>
          <w:sz w:val="24"/>
          <w:highlight w:val="none"/>
        </w:rPr>
      </w:pPr>
    </w:p>
    <w:p w14:paraId="0E962CBD">
      <w:pPr>
        <w:rPr>
          <w:rFonts w:hint="eastAsia"/>
          <w:sz w:val="24"/>
          <w:highlight w:val="none"/>
        </w:rPr>
      </w:pPr>
    </w:p>
    <w:p w14:paraId="5C9DDB8E">
      <w:pPr>
        <w:rPr>
          <w:rFonts w:hint="eastAsia"/>
          <w:sz w:val="24"/>
          <w:highlight w:val="none"/>
        </w:rPr>
      </w:pPr>
    </w:p>
    <w:p w14:paraId="35D644BC">
      <w:pPr>
        <w:rPr>
          <w:rFonts w:hint="eastAsia"/>
          <w:sz w:val="24"/>
          <w:highlight w:val="none"/>
        </w:rPr>
      </w:pPr>
    </w:p>
    <w:p w14:paraId="60632625">
      <w:pPr>
        <w:rPr>
          <w:rFonts w:hint="eastAsia"/>
          <w:sz w:val="24"/>
          <w:highlight w:val="none"/>
        </w:rPr>
      </w:pPr>
    </w:p>
    <w:p w14:paraId="7FB7DB14">
      <w:pPr>
        <w:rPr>
          <w:rFonts w:hint="eastAsia"/>
          <w:sz w:val="24"/>
          <w:highlight w:val="none"/>
        </w:rPr>
      </w:pPr>
    </w:p>
    <w:p w14:paraId="79A79442">
      <w:pPr>
        <w:rPr>
          <w:rFonts w:hint="eastAsia"/>
          <w:sz w:val="24"/>
          <w:highlight w:val="none"/>
        </w:rPr>
      </w:pPr>
    </w:p>
    <w:p w14:paraId="0D79CF0C">
      <w:pPr>
        <w:rPr>
          <w:rFonts w:hint="eastAsia"/>
          <w:sz w:val="24"/>
          <w:highlight w:val="none"/>
        </w:rPr>
      </w:pPr>
    </w:p>
    <w:p w14:paraId="2359FE39">
      <w:pPr>
        <w:rPr>
          <w:rFonts w:hint="eastAsia"/>
          <w:sz w:val="24"/>
          <w:highlight w:val="none"/>
        </w:rPr>
      </w:pPr>
    </w:p>
    <w:p w14:paraId="373199F4">
      <w:pPr>
        <w:rPr>
          <w:rFonts w:hint="eastAsia"/>
          <w:sz w:val="24"/>
          <w:highlight w:val="none"/>
        </w:rPr>
      </w:pPr>
    </w:p>
    <w:p w14:paraId="4DFD3E05">
      <w:pPr>
        <w:ind w:firstLine="3840" w:firstLineChars="1600"/>
        <w:rPr>
          <w:sz w:val="24"/>
          <w:highlight w:val="none"/>
        </w:rPr>
      </w:pPr>
      <w:r>
        <w:rPr>
          <w:rFonts w:hint="eastAsia"/>
          <w:sz w:val="24"/>
          <w:highlight w:val="none"/>
        </w:rPr>
        <w:t>单位名称（盖单位章）：</w:t>
      </w:r>
      <w:r>
        <w:rPr>
          <w:rFonts w:hint="eastAsia" w:ascii="宋体" w:hAnsi="宋体"/>
          <w:color w:val="000000"/>
          <w:sz w:val="24"/>
          <w:highlight w:val="none"/>
          <w:u w:val="single"/>
        </w:rPr>
        <w:t xml:space="preserve">               </w:t>
      </w:r>
    </w:p>
    <w:p w14:paraId="1C8D8939">
      <w:pPr>
        <w:ind w:firstLine="3840" w:firstLineChars="1600"/>
        <w:rPr>
          <w:sz w:val="24"/>
          <w:highlight w:val="none"/>
        </w:rPr>
      </w:pPr>
      <w:r>
        <w:rPr>
          <w:rFonts w:hint="eastAsia"/>
          <w:sz w:val="24"/>
          <w:highlight w:val="none"/>
        </w:rPr>
        <w:t>日期：</w:t>
      </w:r>
      <w:r>
        <w:rPr>
          <w:rFonts w:hint="eastAsia"/>
          <w:sz w:val="24"/>
          <w:highlight w:val="none"/>
          <w:u w:val="single"/>
        </w:rPr>
        <w:t xml:space="preserve">      </w:t>
      </w:r>
      <w:r>
        <w:rPr>
          <w:rFonts w:hint="eastAsia"/>
          <w:sz w:val="24"/>
          <w:highlight w:val="none"/>
        </w:rPr>
        <w:t>年</w:t>
      </w:r>
      <w:r>
        <w:rPr>
          <w:rFonts w:hint="eastAsia"/>
          <w:sz w:val="24"/>
          <w:highlight w:val="none"/>
          <w:u w:val="single"/>
        </w:rPr>
        <w:t xml:space="preserve">    </w:t>
      </w:r>
      <w:r>
        <w:rPr>
          <w:rFonts w:hint="eastAsia"/>
          <w:sz w:val="24"/>
          <w:highlight w:val="none"/>
        </w:rPr>
        <w:t>月</w:t>
      </w:r>
      <w:r>
        <w:rPr>
          <w:rFonts w:hint="eastAsia"/>
          <w:sz w:val="24"/>
          <w:highlight w:val="none"/>
          <w:u w:val="single"/>
        </w:rPr>
        <w:t xml:space="preserve">    </w:t>
      </w:r>
      <w:r>
        <w:rPr>
          <w:rFonts w:hint="eastAsia"/>
          <w:sz w:val="24"/>
          <w:highlight w:val="none"/>
        </w:rPr>
        <w:t>日</w:t>
      </w:r>
    </w:p>
    <w:p w14:paraId="0DD6686D">
      <w:pPr>
        <w:rPr>
          <w:sz w:val="24"/>
          <w:highlight w:val="none"/>
        </w:rPr>
      </w:pPr>
    </w:p>
    <w:p w14:paraId="3CB1EDA4">
      <w:pPr>
        <w:adjustRightInd w:val="0"/>
        <w:snapToGrid w:val="0"/>
        <w:jc w:val="left"/>
        <w:rPr>
          <w:rFonts w:hint="eastAsia" w:ascii="宋体" w:hAnsi="宋体" w:cs="宋体"/>
          <w:b/>
          <w:bCs/>
          <w:color w:val="000000"/>
          <w:sz w:val="24"/>
          <w:highlight w:val="none"/>
        </w:rPr>
        <w:sectPr>
          <w:pgSz w:w="11906" w:h="16838"/>
          <w:pgMar w:top="1418" w:right="1418" w:bottom="1418" w:left="1418" w:header="851" w:footer="992" w:gutter="0"/>
          <w:pgNumType w:fmt="decimal"/>
          <w:cols w:space="720" w:num="1"/>
          <w:docGrid w:linePitch="312" w:charSpace="0"/>
        </w:sectPr>
      </w:pPr>
    </w:p>
    <w:p w14:paraId="6C33C31F">
      <w:pPr>
        <w:adjustRightInd w:val="0"/>
        <w:snapToGrid w:val="0"/>
        <w:ind w:left="-92" w:leftChars="-42"/>
        <w:jc w:val="left"/>
        <w:rPr>
          <w:rFonts w:hint="eastAsia" w:ascii="宋体" w:hAnsi="宋体" w:eastAsia="宋体" w:cs="宋体"/>
          <w:b/>
          <w:bCs/>
          <w:color w:val="000000"/>
          <w:sz w:val="22"/>
          <w:szCs w:val="22"/>
          <w:highlight w:val="none"/>
          <w:lang w:val="en-US" w:eastAsia="zh-CN"/>
        </w:rPr>
      </w:pPr>
      <w:r>
        <w:rPr>
          <w:rFonts w:hint="eastAsia" w:ascii="宋体" w:hAnsi="宋体" w:cs="宋体"/>
          <w:b/>
          <w:bCs/>
          <w:color w:val="000000"/>
          <w:sz w:val="24"/>
          <w:highlight w:val="none"/>
        </w:rPr>
        <w:t>附7-</w:t>
      </w:r>
      <w:r>
        <w:rPr>
          <w:rFonts w:hint="eastAsia" w:cs="宋体"/>
          <w:b/>
          <w:bCs/>
          <w:color w:val="000000"/>
          <w:sz w:val="24"/>
          <w:highlight w:val="none"/>
          <w:lang w:val="en-US" w:eastAsia="zh-CN"/>
        </w:rPr>
        <w:t>2</w:t>
      </w:r>
    </w:p>
    <w:p w14:paraId="46E1C719">
      <w:pPr>
        <w:pStyle w:val="4"/>
        <w:jc w:val="center"/>
        <w:rPr>
          <w:sz w:val="28"/>
          <w:szCs w:val="28"/>
          <w:highlight w:val="none"/>
        </w:rPr>
      </w:pPr>
      <w:bookmarkStart w:id="247" w:name="_Toc6770"/>
      <w:bookmarkStart w:id="248" w:name="_Toc11361"/>
      <w:r>
        <w:rPr>
          <w:rFonts w:hint="eastAsia"/>
          <w:sz w:val="28"/>
          <w:szCs w:val="28"/>
          <w:highlight w:val="none"/>
        </w:rPr>
        <w:t>监狱企业证明资料</w:t>
      </w:r>
      <w:bookmarkEnd w:id="247"/>
      <w:bookmarkEnd w:id="248"/>
    </w:p>
    <w:p w14:paraId="60ED813B">
      <w:pPr>
        <w:adjustRightInd w:val="0"/>
        <w:snapToGrid w:val="0"/>
        <w:jc w:val="center"/>
        <w:rPr>
          <w:rFonts w:ascii="宋体" w:hAnsi="宋体"/>
          <w:bCs/>
          <w:color w:val="000000"/>
          <w:spacing w:val="6"/>
          <w:sz w:val="24"/>
          <w:highlight w:val="none"/>
        </w:rPr>
      </w:pPr>
      <w:r>
        <w:rPr>
          <w:rFonts w:hint="eastAsia" w:ascii="宋体" w:hAnsi="宋体"/>
          <w:bCs/>
          <w:color w:val="000000"/>
          <w:spacing w:val="6"/>
          <w:sz w:val="24"/>
          <w:highlight w:val="none"/>
        </w:rPr>
        <w:t>(不属于监狱企业的无需提供)</w:t>
      </w:r>
    </w:p>
    <w:p w14:paraId="26EDBF69">
      <w:pPr>
        <w:adjustRightInd w:val="0"/>
        <w:snapToGrid w:val="0"/>
        <w:rPr>
          <w:rFonts w:ascii="宋体" w:hAnsi="宋体"/>
          <w:color w:val="000000"/>
          <w:szCs w:val="21"/>
          <w:highlight w:val="none"/>
        </w:rPr>
      </w:pPr>
    </w:p>
    <w:p w14:paraId="15F62970">
      <w:pPr>
        <w:adjustRightInd w:val="0"/>
        <w:snapToGrid w:val="0"/>
        <w:rPr>
          <w:rFonts w:hint="eastAsia" w:ascii="宋体" w:hAnsi="宋体" w:cs="宋体"/>
          <w:b/>
          <w:color w:val="000000"/>
          <w:spacing w:val="6"/>
          <w:kern w:val="0"/>
          <w:sz w:val="24"/>
          <w:highlight w:val="none"/>
        </w:rPr>
      </w:pPr>
    </w:p>
    <w:p w14:paraId="1B53835E">
      <w:pPr>
        <w:adjustRightInd w:val="0"/>
        <w:snapToGrid w:val="0"/>
        <w:rPr>
          <w:rFonts w:hint="eastAsia" w:ascii="宋体" w:hAnsi="宋体" w:cs="宋体"/>
          <w:b/>
          <w:color w:val="000000"/>
          <w:spacing w:val="6"/>
          <w:kern w:val="0"/>
          <w:sz w:val="24"/>
          <w:highlight w:val="none"/>
        </w:rPr>
      </w:pPr>
    </w:p>
    <w:p w14:paraId="69EE57ED">
      <w:pPr>
        <w:adjustRightInd w:val="0"/>
        <w:snapToGrid w:val="0"/>
        <w:rPr>
          <w:rFonts w:hint="eastAsia" w:ascii="宋体" w:hAnsi="宋体" w:cs="宋体"/>
          <w:b/>
          <w:color w:val="000000"/>
          <w:spacing w:val="6"/>
          <w:kern w:val="0"/>
          <w:sz w:val="24"/>
          <w:highlight w:val="none"/>
        </w:rPr>
      </w:pPr>
    </w:p>
    <w:p w14:paraId="1A913DD1">
      <w:pPr>
        <w:adjustRightInd w:val="0"/>
        <w:snapToGrid w:val="0"/>
        <w:rPr>
          <w:rFonts w:hint="eastAsia" w:ascii="宋体" w:hAnsi="宋体" w:cs="宋体"/>
          <w:b/>
          <w:color w:val="000000"/>
          <w:spacing w:val="6"/>
          <w:kern w:val="0"/>
          <w:sz w:val="24"/>
          <w:highlight w:val="none"/>
        </w:rPr>
      </w:pPr>
    </w:p>
    <w:p w14:paraId="7A5FF6A7">
      <w:pPr>
        <w:adjustRightInd w:val="0"/>
        <w:snapToGrid w:val="0"/>
        <w:rPr>
          <w:rFonts w:hint="eastAsia" w:ascii="宋体" w:hAnsi="宋体" w:cs="宋体"/>
          <w:b/>
          <w:color w:val="000000"/>
          <w:spacing w:val="6"/>
          <w:kern w:val="0"/>
          <w:sz w:val="24"/>
          <w:highlight w:val="none"/>
        </w:rPr>
      </w:pPr>
    </w:p>
    <w:p w14:paraId="2B482880">
      <w:pPr>
        <w:adjustRightInd w:val="0"/>
        <w:snapToGrid w:val="0"/>
        <w:rPr>
          <w:rFonts w:hint="eastAsia" w:ascii="宋体" w:hAnsi="宋体" w:cs="宋体"/>
          <w:b/>
          <w:color w:val="000000"/>
          <w:spacing w:val="6"/>
          <w:kern w:val="0"/>
          <w:sz w:val="24"/>
          <w:highlight w:val="none"/>
        </w:rPr>
      </w:pPr>
    </w:p>
    <w:p w14:paraId="30D6231B">
      <w:pPr>
        <w:adjustRightInd w:val="0"/>
        <w:snapToGrid w:val="0"/>
        <w:rPr>
          <w:rFonts w:hint="eastAsia" w:ascii="宋体" w:hAnsi="宋体" w:cs="宋体"/>
          <w:b/>
          <w:color w:val="000000"/>
          <w:spacing w:val="6"/>
          <w:kern w:val="0"/>
          <w:sz w:val="24"/>
          <w:highlight w:val="none"/>
        </w:rPr>
      </w:pPr>
    </w:p>
    <w:p w14:paraId="2F2288A2">
      <w:pPr>
        <w:adjustRightInd w:val="0"/>
        <w:snapToGrid w:val="0"/>
        <w:rPr>
          <w:rFonts w:hint="eastAsia" w:ascii="宋体" w:hAnsi="宋体" w:cs="宋体"/>
          <w:b/>
          <w:color w:val="000000"/>
          <w:spacing w:val="6"/>
          <w:kern w:val="0"/>
          <w:sz w:val="24"/>
          <w:highlight w:val="none"/>
        </w:rPr>
      </w:pPr>
    </w:p>
    <w:p w14:paraId="5899B60B">
      <w:pPr>
        <w:adjustRightInd w:val="0"/>
        <w:snapToGrid w:val="0"/>
        <w:rPr>
          <w:rFonts w:hint="eastAsia" w:ascii="宋体" w:hAnsi="宋体" w:cs="宋体"/>
          <w:b/>
          <w:color w:val="000000"/>
          <w:spacing w:val="6"/>
          <w:kern w:val="0"/>
          <w:sz w:val="24"/>
          <w:highlight w:val="none"/>
        </w:rPr>
      </w:pPr>
    </w:p>
    <w:p w14:paraId="349FC2BD">
      <w:pPr>
        <w:adjustRightInd w:val="0"/>
        <w:snapToGrid w:val="0"/>
        <w:rPr>
          <w:rFonts w:hint="eastAsia" w:ascii="宋体" w:hAnsi="宋体" w:cs="宋体"/>
          <w:b/>
          <w:color w:val="000000"/>
          <w:spacing w:val="6"/>
          <w:kern w:val="0"/>
          <w:sz w:val="24"/>
          <w:highlight w:val="none"/>
        </w:rPr>
      </w:pPr>
    </w:p>
    <w:p w14:paraId="48288449">
      <w:pPr>
        <w:adjustRightInd w:val="0"/>
        <w:snapToGrid w:val="0"/>
        <w:rPr>
          <w:rFonts w:hint="eastAsia" w:ascii="宋体" w:hAnsi="宋体" w:cs="宋体"/>
          <w:b/>
          <w:color w:val="000000"/>
          <w:spacing w:val="6"/>
          <w:kern w:val="0"/>
          <w:sz w:val="24"/>
          <w:highlight w:val="none"/>
        </w:rPr>
      </w:pPr>
    </w:p>
    <w:p w14:paraId="7AF1B3E6">
      <w:pPr>
        <w:adjustRightInd w:val="0"/>
        <w:snapToGrid w:val="0"/>
        <w:rPr>
          <w:rFonts w:hint="eastAsia" w:ascii="宋体" w:hAnsi="宋体" w:cs="宋体"/>
          <w:b/>
          <w:color w:val="000000"/>
          <w:spacing w:val="6"/>
          <w:kern w:val="0"/>
          <w:sz w:val="24"/>
          <w:highlight w:val="none"/>
        </w:rPr>
      </w:pPr>
    </w:p>
    <w:p w14:paraId="021BD6ED">
      <w:pPr>
        <w:adjustRightInd w:val="0"/>
        <w:snapToGrid w:val="0"/>
        <w:rPr>
          <w:rFonts w:hint="eastAsia" w:ascii="宋体" w:hAnsi="宋体" w:cs="宋体"/>
          <w:b/>
          <w:color w:val="000000"/>
          <w:spacing w:val="6"/>
          <w:kern w:val="0"/>
          <w:sz w:val="24"/>
          <w:highlight w:val="none"/>
        </w:rPr>
      </w:pPr>
    </w:p>
    <w:p w14:paraId="02B0B531">
      <w:pPr>
        <w:adjustRightInd w:val="0"/>
        <w:snapToGrid w:val="0"/>
        <w:rPr>
          <w:rFonts w:hint="eastAsia" w:ascii="宋体" w:hAnsi="宋体" w:cs="宋体"/>
          <w:b/>
          <w:color w:val="000000"/>
          <w:spacing w:val="6"/>
          <w:kern w:val="0"/>
          <w:sz w:val="24"/>
          <w:highlight w:val="none"/>
        </w:rPr>
      </w:pPr>
    </w:p>
    <w:p w14:paraId="1905E1A8">
      <w:pPr>
        <w:adjustRightInd w:val="0"/>
        <w:snapToGrid w:val="0"/>
        <w:rPr>
          <w:rFonts w:hint="eastAsia" w:ascii="宋体" w:hAnsi="宋体" w:cs="宋体"/>
          <w:b/>
          <w:color w:val="000000"/>
          <w:spacing w:val="6"/>
          <w:kern w:val="0"/>
          <w:sz w:val="24"/>
          <w:highlight w:val="none"/>
        </w:rPr>
      </w:pPr>
    </w:p>
    <w:p w14:paraId="6B2D5C9F">
      <w:pPr>
        <w:adjustRightInd w:val="0"/>
        <w:snapToGrid w:val="0"/>
        <w:rPr>
          <w:rFonts w:hint="eastAsia" w:ascii="宋体" w:hAnsi="宋体" w:cs="宋体"/>
          <w:b/>
          <w:color w:val="000000"/>
          <w:spacing w:val="6"/>
          <w:kern w:val="0"/>
          <w:sz w:val="24"/>
          <w:highlight w:val="none"/>
        </w:rPr>
      </w:pPr>
    </w:p>
    <w:p w14:paraId="2786A798">
      <w:pPr>
        <w:adjustRightInd w:val="0"/>
        <w:snapToGrid w:val="0"/>
        <w:rPr>
          <w:rFonts w:hint="eastAsia" w:ascii="宋体" w:hAnsi="宋体" w:cs="宋体"/>
          <w:b/>
          <w:color w:val="000000"/>
          <w:spacing w:val="6"/>
          <w:kern w:val="0"/>
          <w:sz w:val="24"/>
          <w:highlight w:val="none"/>
        </w:rPr>
      </w:pPr>
    </w:p>
    <w:p w14:paraId="16222866">
      <w:pPr>
        <w:adjustRightInd w:val="0"/>
        <w:snapToGrid w:val="0"/>
        <w:rPr>
          <w:rFonts w:hint="eastAsia" w:ascii="宋体" w:hAnsi="宋体" w:cs="宋体"/>
          <w:b/>
          <w:color w:val="000000"/>
          <w:spacing w:val="6"/>
          <w:kern w:val="0"/>
          <w:sz w:val="24"/>
          <w:highlight w:val="none"/>
        </w:rPr>
      </w:pPr>
    </w:p>
    <w:p w14:paraId="30CAD373">
      <w:pPr>
        <w:adjustRightInd w:val="0"/>
        <w:snapToGrid w:val="0"/>
        <w:rPr>
          <w:rFonts w:hint="eastAsia" w:ascii="宋体" w:hAnsi="宋体" w:cs="宋体"/>
          <w:b/>
          <w:color w:val="000000"/>
          <w:spacing w:val="6"/>
          <w:kern w:val="0"/>
          <w:sz w:val="24"/>
          <w:highlight w:val="none"/>
        </w:rPr>
      </w:pPr>
    </w:p>
    <w:p w14:paraId="0B4AFD80">
      <w:pPr>
        <w:adjustRightInd w:val="0"/>
        <w:snapToGrid w:val="0"/>
        <w:rPr>
          <w:rFonts w:hint="eastAsia" w:ascii="宋体" w:hAnsi="宋体" w:cs="宋体"/>
          <w:b/>
          <w:color w:val="000000"/>
          <w:spacing w:val="6"/>
          <w:kern w:val="0"/>
          <w:sz w:val="24"/>
          <w:highlight w:val="none"/>
        </w:rPr>
      </w:pPr>
    </w:p>
    <w:p w14:paraId="09CF4572">
      <w:pPr>
        <w:adjustRightInd w:val="0"/>
        <w:snapToGrid w:val="0"/>
        <w:rPr>
          <w:rFonts w:hint="eastAsia" w:ascii="宋体" w:hAnsi="宋体" w:cs="宋体"/>
          <w:b/>
          <w:color w:val="000000"/>
          <w:spacing w:val="6"/>
          <w:kern w:val="0"/>
          <w:sz w:val="24"/>
          <w:highlight w:val="none"/>
        </w:rPr>
      </w:pPr>
    </w:p>
    <w:p w14:paraId="7908057A">
      <w:pPr>
        <w:adjustRightInd w:val="0"/>
        <w:snapToGrid w:val="0"/>
        <w:rPr>
          <w:rFonts w:hint="eastAsia" w:ascii="宋体" w:hAnsi="宋体" w:cs="宋体"/>
          <w:b/>
          <w:color w:val="000000"/>
          <w:spacing w:val="6"/>
          <w:kern w:val="0"/>
          <w:sz w:val="24"/>
          <w:highlight w:val="none"/>
        </w:rPr>
      </w:pPr>
    </w:p>
    <w:p w14:paraId="354B8B70">
      <w:pPr>
        <w:adjustRightInd w:val="0"/>
        <w:snapToGrid w:val="0"/>
        <w:ind w:firstLine="506" w:firstLineChars="200"/>
        <w:rPr>
          <w:rFonts w:ascii="宋体" w:hAnsi="宋体"/>
          <w:b/>
          <w:color w:val="000000"/>
          <w:sz w:val="24"/>
          <w:highlight w:val="none"/>
        </w:rPr>
      </w:pPr>
      <w:r>
        <w:rPr>
          <w:rFonts w:hint="eastAsia" w:ascii="宋体" w:hAnsi="宋体" w:cs="宋体"/>
          <w:b/>
          <w:color w:val="000000"/>
          <w:spacing w:val="6"/>
          <w:kern w:val="0"/>
          <w:sz w:val="24"/>
          <w:highlight w:val="none"/>
        </w:rPr>
        <w:t>备注：</w:t>
      </w:r>
      <w:r>
        <w:rPr>
          <w:rFonts w:hint="eastAsia" w:ascii="宋体" w:hAnsi="宋体"/>
          <w:b/>
          <w:color w:val="000000"/>
          <w:sz w:val="24"/>
          <w:highlight w:val="none"/>
        </w:rPr>
        <w:t>按</w:t>
      </w:r>
      <w:r>
        <w:rPr>
          <w:rFonts w:hint="eastAsia" w:ascii="宋体" w:hAnsi="宋体"/>
          <w:b/>
          <w:color w:val="000000"/>
          <w:spacing w:val="6"/>
          <w:sz w:val="24"/>
          <w:highlight w:val="none"/>
        </w:rPr>
        <w:t>《</w:t>
      </w:r>
      <w:r>
        <w:rPr>
          <w:rFonts w:hint="eastAsia" w:ascii="宋体" w:hAnsi="宋体"/>
          <w:b/>
          <w:color w:val="000000"/>
          <w:sz w:val="24"/>
          <w:highlight w:val="none"/>
        </w:rPr>
        <w:t>财政部 司法部关于政府采购支持监狱企业发展有关问题的通知</w:t>
      </w:r>
      <w:r>
        <w:rPr>
          <w:rFonts w:hint="eastAsia" w:ascii="宋体" w:hAnsi="宋体"/>
          <w:b/>
          <w:color w:val="000000"/>
          <w:spacing w:val="6"/>
          <w:sz w:val="24"/>
          <w:highlight w:val="none"/>
        </w:rPr>
        <w:t>》</w:t>
      </w:r>
      <w:r>
        <w:rPr>
          <w:rFonts w:hint="eastAsia" w:ascii="宋体" w:hAnsi="宋体"/>
          <w:b/>
          <w:color w:val="000000"/>
          <w:sz w:val="24"/>
          <w:highlight w:val="none"/>
        </w:rPr>
        <w:t>(财库〔2014〕68号)文件规定提供证明文件（复印件）。</w:t>
      </w:r>
    </w:p>
    <w:p w14:paraId="19F91D3C">
      <w:pPr>
        <w:adjustRightInd w:val="0"/>
        <w:snapToGrid w:val="0"/>
        <w:spacing w:before="50"/>
        <w:rPr>
          <w:rFonts w:hint="eastAsia" w:ascii="宋体" w:hAnsi="宋体" w:cs="宋体"/>
          <w:b/>
          <w:bCs/>
          <w:color w:val="000000"/>
          <w:sz w:val="22"/>
          <w:szCs w:val="22"/>
          <w:highlight w:val="none"/>
        </w:rPr>
      </w:pPr>
    </w:p>
    <w:p w14:paraId="6DB74A39">
      <w:pPr>
        <w:adjustRightInd w:val="0"/>
        <w:snapToGrid w:val="0"/>
        <w:spacing w:before="50"/>
        <w:rPr>
          <w:rFonts w:hint="eastAsia" w:ascii="宋体" w:hAnsi="宋体" w:cs="宋体"/>
          <w:b/>
          <w:bCs/>
          <w:color w:val="000000"/>
          <w:sz w:val="22"/>
          <w:szCs w:val="22"/>
          <w:highlight w:val="none"/>
        </w:rPr>
      </w:pPr>
    </w:p>
    <w:p w14:paraId="22DE0FDE">
      <w:pPr>
        <w:adjustRightInd w:val="0"/>
        <w:snapToGrid w:val="0"/>
        <w:spacing w:before="50"/>
        <w:rPr>
          <w:rFonts w:hint="eastAsia" w:ascii="宋体" w:hAnsi="宋体" w:cs="宋体"/>
          <w:b/>
          <w:bCs/>
          <w:color w:val="000000"/>
          <w:sz w:val="22"/>
          <w:szCs w:val="22"/>
          <w:highlight w:val="none"/>
        </w:rPr>
      </w:pPr>
    </w:p>
    <w:p w14:paraId="4B90CF5A">
      <w:pPr>
        <w:adjustRightInd w:val="0"/>
        <w:snapToGrid w:val="0"/>
        <w:spacing w:before="50"/>
        <w:rPr>
          <w:rFonts w:hint="eastAsia" w:ascii="宋体" w:hAnsi="宋体" w:cs="宋体"/>
          <w:b/>
          <w:bCs/>
          <w:color w:val="000000"/>
          <w:sz w:val="22"/>
          <w:szCs w:val="22"/>
          <w:highlight w:val="none"/>
        </w:rPr>
      </w:pPr>
    </w:p>
    <w:p w14:paraId="1CFF14D2">
      <w:pPr>
        <w:adjustRightInd w:val="0"/>
        <w:snapToGrid w:val="0"/>
        <w:spacing w:before="50"/>
        <w:rPr>
          <w:rFonts w:hint="eastAsia" w:ascii="宋体" w:hAnsi="宋体" w:cs="宋体"/>
          <w:b/>
          <w:bCs/>
          <w:color w:val="000000"/>
          <w:sz w:val="22"/>
          <w:szCs w:val="22"/>
          <w:highlight w:val="none"/>
        </w:rPr>
      </w:pPr>
    </w:p>
    <w:p w14:paraId="163E1D50">
      <w:pPr>
        <w:adjustRightInd w:val="0"/>
        <w:snapToGrid w:val="0"/>
        <w:spacing w:before="50"/>
        <w:rPr>
          <w:rFonts w:hint="eastAsia" w:ascii="宋体" w:hAnsi="宋体" w:cs="宋体"/>
          <w:b/>
          <w:bCs/>
          <w:color w:val="000000"/>
          <w:sz w:val="22"/>
          <w:szCs w:val="22"/>
          <w:highlight w:val="none"/>
        </w:rPr>
      </w:pPr>
    </w:p>
    <w:p w14:paraId="43FF6F74">
      <w:pPr>
        <w:adjustRightInd w:val="0"/>
        <w:snapToGrid w:val="0"/>
        <w:spacing w:before="50"/>
        <w:rPr>
          <w:rFonts w:hint="eastAsia" w:ascii="宋体" w:hAnsi="宋体" w:cs="宋体"/>
          <w:b/>
          <w:bCs/>
          <w:color w:val="000000"/>
          <w:sz w:val="22"/>
          <w:szCs w:val="22"/>
          <w:highlight w:val="none"/>
        </w:rPr>
      </w:pPr>
    </w:p>
    <w:p w14:paraId="5399D87F">
      <w:pPr>
        <w:adjustRightInd w:val="0"/>
        <w:snapToGrid w:val="0"/>
        <w:spacing w:before="50"/>
        <w:rPr>
          <w:rFonts w:hint="eastAsia" w:ascii="宋体" w:hAnsi="宋体" w:cs="宋体"/>
          <w:b/>
          <w:bCs/>
          <w:color w:val="000000"/>
          <w:sz w:val="22"/>
          <w:szCs w:val="22"/>
          <w:highlight w:val="none"/>
        </w:rPr>
      </w:pPr>
    </w:p>
    <w:p w14:paraId="3F23E4F6">
      <w:pPr>
        <w:adjustRightInd w:val="0"/>
        <w:snapToGrid w:val="0"/>
        <w:spacing w:before="50"/>
        <w:rPr>
          <w:rFonts w:hint="eastAsia" w:ascii="宋体" w:hAnsi="宋体" w:cs="宋体"/>
          <w:b/>
          <w:bCs/>
          <w:color w:val="000000"/>
          <w:sz w:val="22"/>
          <w:szCs w:val="22"/>
          <w:highlight w:val="none"/>
        </w:rPr>
      </w:pPr>
    </w:p>
    <w:p w14:paraId="6827D7E7">
      <w:pPr>
        <w:adjustRightInd w:val="0"/>
        <w:snapToGrid w:val="0"/>
        <w:spacing w:before="50"/>
        <w:rPr>
          <w:rFonts w:hint="eastAsia" w:ascii="宋体" w:hAnsi="宋体" w:cs="宋体"/>
          <w:b/>
          <w:bCs/>
          <w:color w:val="000000"/>
          <w:sz w:val="22"/>
          <w:szCs w:val="22"/>
          <w:highlight w:val="none"/>
        </w:rPr>
      </w:pPr>
    </w:p>
    <w:p w14:paraId="60E439B8">
      <w:pPr>
        <w:adjustRightInd w:val="0"/>
        <w:snapToGrid w:val="0"/>
        <w:spacing w:before="50"/>
        <w:rPr>
          <w:rFonts w:hint="eastAsia" w:ascii="宋体" w:hAnsi="宋体" w:cs="宋体"/>
          <w:b/>
          <w:bCs/>
          <w:color w:val="000000"/>
          <w:sz w:val="22"/>
          <w:szCs w:val="22"/>
          <w:highlight w:val="none"/>
        </w:rPr>
      </w:pPr>
    </w:p>
    <w:p w14:paraId="74A39F83">
      <w:pPr>
        <w:adjustRightInd w:val="0"/>
        <w:snapToGrid w:val="0"/>
        <w:spacing w:before="50"/>
        <w:rPr>
          <w:rFonts w:hint="eastAsia" w:ascii="宋体" w:hAnsi="宋体" w:cs="宋体"/>
          <w:b/>
          <w:bCs/>
          <w:color w:val="000000"/>
          <w:sz w:val="22"/>
          <w:szCs w:val="22"/>
          <w:highlight w:val="none"/>
        </w:rPr>
      </w:pPr>
    </w:p>
    <w:p w14:paraId="2C2B7751">
      <w:pPr>
        <w:adjustRightInd w:val="0"/>
        <w:snapToGrid w:val="0"/>
        <w:spacing w:before="50"/>
        <w:rPr>
          <w:rFonts w:hint="eastAsia" w:ascii="宋体" w:hAnsi="宋体" w:cs="宋体"/>
          <w:b/>
          <w:bCs/>
          <w:color w:val="000000"/>
          <w:sz w:val="22"/>
          <w:szCs w:val="22"/>
          <w:highlight w:val="none"/>
        </w:rPr>
      </w:pPr>
    </w:p>
    <w:p w14:paraId="3C4D0504">
      <w:pPr>
        <w:adjustRightInd w:val="0"/>
        <w:snapToGrid w:val="0"/>
        <w:spacing w:before="50"/>
        <w:rPr>
          <w:rFonts w:hint="eastAsia" w:ascii="宋体" w:hAnsi="宋体" w:cs="宋体"/>
          <w:b/>
          <w:bCs/>
          <w:color w:val="000000"/>
          <w:sz w:val="22"/>
          <w:szCs w:val="22"/>
          <w:highlight w:val="none"/>
        </w:rPr>
      </w:pPr>
    </w:p>
    <w:p w14:paraId="435B6F51">
      <w:pPr>
        <w:adjustRightInd w:val="0"/>
        <w:snapToGrid w:val="0"/>
        <w:spacing w:before="50"/>
        <w:rPr>
          <w:rFonts w:hint="eastAsia" w:ascii="宋体" w:hAnsi="宋体" w:cs="宋体"/>
          <w:b/>
          <w:bCs/>
          <w:color w:val="000000"/>
          <w:sz w:val="22"/>
          <w:szCs w:val="22"/>
          <w:highlight w:val="none"/>
        </w:rPr>
      </w:pPr>
    </w:p>
    <w:p w14:paraId="444FF2A8">
      <w:pPr>
        <w:adjustRightInd w:val="0"/>
        <w:snapToGrid w:val="0"/>
        <w:spacing w:before="50"/>
        <w:rPr>
          <w:rFonts w:hint="eastAsia" w:ascii="宋体" w:hAnsi="宋体" w:cs="宋体"/>
          <w:b/>
          <w:bCs/>
          <w:color w:val="000000"/>
          <w:sz w:val="22"/>
          <w:szCs w:val="22"/>
          <w:highlight w:val="none"/>
        </w:rPr>
      </w:pPr>
    </w:p>
    <w:p w14:paraId="7419AB76">
      <w:pPr>
        <w:pStyle w:val="3"/>
        <w:numPr>
          <w:ilvl w:val="0"/>
          <w:numId w:val="52"/>
        </w:numPr>
        <w:jc w:val="center"/>
        <w:rPr>
          <w:rFonts w:hint="eastAsia"/>
          <w:sz w:val="28"/>
          <w:szCs w:val="28"/>
          <w:highlight w:val="none"/>
        </w:rPr>
      </w:pPr>
      <w:bookmarkStart w:id="249" w:name="_Toc9450"/>
      <w:bookmarkStart w:id="250" w:name="_Toc20003"/>
      <w:r>
        <w:rPr>
          <w:rFonts w:hint="eastAsia"/>
          <w:sz w:val="28"/>
          <w:szCs w:val="28"/>
          <w:highlight w:val="none"/>
        </w:rPr>
        <w:t>供应商认为需提供的其它资料及说明</w:t>
      </w:r>
      <w:bookmarkEnd w:id="249"/>
      <w:bookmarkEnd w:id="250"/>
    </w:p>
    <w:p w14:paraId="61626C22">
      <w:pPr>
        <w:rPr>
          <w:highlight w:val="none"/>
        </w:rPr>
      </w:pPr>
    </w:p>
    <w:p w14:paraId="28CA1620">
      <w:pPr>
        <w:widowControl/>
        <w:snapToGrid w:val="0"/>
        <w:jc w:val="center"/>
        <w:rPr>
          <w:rFonts w:hint="eastAsia" w:ascii="宋体" w:hAnsi="宋体"/>
          <w:b/>
          <w:color w:val="000000"/>
          <w:sz w:val="24"/>
          <w:highlight w:val="none"/>
        </w:rPr>
      </w:pPr>
      <w:r>
        <w:rPr>
          <w:rFonts w:hint="eastAsia" w:ascii="宋体" w:hAnsi="宋体"/>
          <w:color w:val="000000"/>
          <w:sz w:val="24"/>
          <w:highlight w:val="none"/>
        </w:rPr>
        <w:t>提供磋商文件或评分标准需要提供的相关证明文件复印件</w:t>
      </w:r>
      <w:r>
        <w:rPr>
          <w:rFonts w:hint="eastAsia" w:ascii="宋体" w:hAnsi="宋体"/>
          <w:b/>
          <w:color w:val="000000"/>
          <w:sz w:val="24"/>
          <w:highlight w:val="none"/>
        </w:rPr>
        <w:t>。</w:t>
      </w:r>
    </w:p>
    <w:p w14:paraId="58EBE82A">
      <w:pPr>
        <w:widowControl/>
        <w:spacing w:line="240" w:lineRule="auto"/>
        <w:jc w:val="center"/>
        <w:outlineLvl w:val="1"/>
        <w:rPr>
          <w:rStyle w:val="102"/>
          <w:sz w:val="28"/>
          <w:szCs w:val="28"/>
          <w:highlight w:val="none"/>
        </w:rPr>
      </w:pPr>
      <w:r>
        <w:rPr>
          <w:rFonts w:hint="eastAsia" w:ascii="宋体" w:hAnsi="宋体"/>
          <w:b/>
          <w:bCs/>
          <w:color w:val="000000"/>
          <w:sz w:val="32"/>
          <w:szCs w:val="32"/>
          <w:highlight w:val="none"/>
        </w:rPr>
        <w:br w:type="page"/>
      </w:r>
      <w:bookmarkStart w:id="251" w:name="_Toc15751"/>
      <w:r>
        <w:rPr>
          <w:rStyle w:val="102"/>
          <w:rFonts w:hint="eastAsia"/>
          <w:sz w:val="28"/>
          <w:szCs w:val="28"/>
          <w:highlight w:val="none"/>
        </w:rPr>
        <w:t>九、最后报价表（现场提供）</w:t>
      </w:r>
      <w:bookmarkEnd w:id="251"/>
    </w:p>
    <w:tbl>
      <w:tblPr>
        <w:tblStyle w:val="24"/>
        <w:tblW w:w="947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2732"/>
        <w:gridCol w:w="2785"/>
        <w:gridCol w:w="1761"/>
        <w:gridCol w:w="2200"/>
      </w:tblGrid>
      <w:tr w14:paraId="31229B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87" w:hRule="atLeast"/>
          <w:jc w:val="center"/>
        </w:trPr>
        <w:tc>
          <w:tcPr>
            <w:tcW w:w="2732" w:type="dxa"/>
            <w:vMerge w:val="restart"/>
            <w:tcBorders>
              <w:top w:val="double" w:color="auto" w:sz="4" w:space="0"/>
              <w:bottom w:val="single" w:color="auto" w:sz="6" w:space="0"/>
              <w:right w:val="single" w:color="auto" w:sz="6" w:space="0"/>
            </w:tcBorders>
            <w:noWrap w:val="0"/>
            <w:vAlign w:val="center"/>
          </w:tcPr>
          <w:p w14:paraId="1AA89BBC">
            <w:pPr>
              <w:spacing w:line="240" w:lineRule="auto"/>
              <w:ind w:right="24" w:rightChars="11"/>
              <w:jc w:val="center"/>
              <w:rPr>
                <w:rFonts w:hint="eastAsia" w:ascii="宋体" w:hAnsi="宋体" w:cs="宋体"/>
                <w:b/>
                <w:bCs/>
                <w:sz w:val="24"/>
                <w:highlight w:val="none"/>
              </w:rPr>
            </w:pPr>
            <w:r>
              <w:rPr>
                <w:rFonts w:hint="eastAsia" w:ascii="宋体" w:hAnsi="宋体" w:cs="宋体"/>
                <w:b/>
                <w:bCs/>
                <w:sz w:val="24"/>
                <w:highlight w:val="none"/>
              </w:rPr>
              <w:t>项目名称</w:t>
            </w:r>
          </w:p>
        </w:tc>
        <w:tc>
          <w:tcPr>
            <w:tcW w:w="2785" w:type="dxa"/>
            <w:vMerge w:val="restart"/>
            <w:tcBorders>
              <w:top w:val="double" w:color="auto" w:sz="4" w:space="0"/>
              <w:left w:val="single" w:color="auto" w:sz="6" w:space="0"/>
              <w:bottom w:val="single" w:color="auto" w:sz="6" w:space="0"/>
              <w:right w:val="single" w:color="auto" w:sz="6" w:space="0"/>
            </w:tcBorders>
            <w:noWrap w:val="0"/>
            <w:vAlign w:val="center"/>
          </w:tcPr>
          <w:p w14:paraId="30ACAE30">
            <w:pPr>
              <w:spacing w:line="240" w:lineRule="auto"/>
              <w:ind w:right="24" w:rightChars="11"/>
              <w:jc w:val="center"/>
              <w:rPr>
                <w:rFonts w:hint="eastAsia" w:ascii="宋体" w:hAnsi="宋体" w:eastAsia="宋体" w:cs="宋体"/>
                <w:sz w:val="24"/>
                <w:highlight w:val="none"/>
                <w:lang w:eastAsia="zh-CN"/>
              </w:rPr>
            </w:pPr>
          </w:p>
        </w:tc>
        <w:tc>
          <w:tcPr>
            <w:tcW w:w="1761" w:type="dxa"/>
            <w:tcBorders>
              <w:top w:val="double" w:color="auto" w:sz="4" w:space="0"/>
              <w:left w:val="single" w:color="auto" w:sz="6" w:space="0"/>
              <w:bottom w:val="single" w:color="auto" w:sz="6" w:space="0"/>
              <w:right w:val="single" w:color="auto" w:sz="6" w:space="0"/>
            </w:tcBorders>
            <w:noWrap w:val="0"/>
            <w:vAlign w:val="center"/>
          </w:tcPr>
          <w:p w14:paraId="647965A3">
            <w:pPr>
              <w:pStyle w:val="40"/>
              <w:spacing w:line="360" w:lineRule="auto"/>
              <w:jc w:val="center"/>
              <w:rPr>
                <w:rFonts w:hint="eastAsia" w:ascii="宋体" w:hAnsi="宋体" w:eastAsia="宋体" w:cs="宋体"/>
                <w:b/>
                <w:bCs/>
                <w:sz w:val="24"/>
                <w:szCs w:val="22"/>
                <w:highlight w:val="none"/>
                <w:lang w:val="en-US" w:eastAsia="zh-CN" w:bidi="zh-CN"/>
              </w:rPr>
            </w:pPr>
          </w:p>
          <w:p w14:paraId="4A386037">
            <w:pPr>
              <w:pStyle w:val="40"/>
              <w:spacing w:line="360" w:lineRule="auto"/>
              <w:jc w:val="center"/>
              <w:rPr>
                <w:rFonts w:hint="default" w:ascii="宋体" w:hAnsi="宋体" w:eastAsia="宋体" w:cs="宋体"/>
                <w:b/>
                <w:bCs/>
                <w:sz w:val="24"/>
                <w:szCs w:val="22"/>
                <w:highlight w:val="none"/>
                <w:lang w:val="en-US" w:eastAsia="zh-CN" w:bidi="zh-CN"/>
              </w:rPr>
            </w:pPr>
            <w:r>
              <w:rPr>
                <w:rFonts w:hint="eastAsia" w:ascii="宋体" w:hAnsi="宋体" w:eastAsia="宋体" w:cs="宋体"/>
                <w:b/>
                <w:bCs/>
                <w:sz w:val="24"/>
                <w:szCs w:val="22"/>
                <w:highlight w:val="none"/>
                <w:lang w:val="en-US" w:eastAsia="zh-CN" w:bidi="zh-CN"/>
              </w:rPr>
              <w:t>政府采购编号</w:t>
            </w:r>
          </w:p>
          <w:p w14:paraId="2B5BDE2D">
            <w:pPr>
              <w:spacing w:line="240" w:lineRule="auto"/>
              <w:ind w:right="24" w:rightChars="11"/>
              <w:jc w:val="center"/>
              <w:rPr>
                <w:rFonts w:hint="eastAsia" w:ascii="宋体" w:hAnsi="宋体" w:eastAsia="宋体" w:cs="宋体"/>
                <w:b/>
                <w:bCs/>
                <w:sz w:val="24"/>
                <w:szCs w:val="22"/>
                <w:highlight w:val="none"/>
                <w:lang w:val="zh-CN" w:eastAsia="zh-CN" w:bidi="zh-CN"/>
              </w:rPr>
            </w:pPr>
          </w:p>
        </w:tc>
        <w:tc>
          <w:tcPr>
            <w:tcW w:w="2200" w:type="dxa"/>
            <w:tcBorders>
              <w:top w:val="double" w:color="auto" w:sz="4" w:space="0"/>
              <w:left w:val="single" w:color="auto" w:sz="6" w:space="0"/>
              <w:bottom w:val="single" w:color="auto" w:sz="6" w:space="0"/>
            </w:tcBorders>
            <w:noWrap w:val="0"/>
            <w:vAlign w:val="center"/>
          </w:tcPr>
          <w:p w14:paraId="7B01C3BF">
            <w:pPr>
              <w:wordWrap w:val="0"/>
              <w:spacing w:line="240" w:lineRule="auto"/>
              <w:ind w:right="24" w:rightChars="11"/>
              <w:jc w:val="center"/>
              <w:rPr>
                <w:rFonts w:hint="eastAsia" w:ascii="宋体" w:hAnsi="宋体" w:eastAsia="宋体" w:cs="宋体"/>
                <w:color w:val="0000FF"/>
                <w:sz w:val="24"/>
                <w:highlight w:val="none"/>
                <w:lang w:eastAsia="zh-CN"/>
              </w:rPr>
            </w:pPr>
          </w:p>
        </w:tc>
      </w:tr>
      <w:tr w14:paraId="5C2D69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732" w:type="dxa"/>
            <w:vMerge w:val="continue"/>
            <w:tcBorders>
              <w:top w:val="single" w:color="auto" w:sz="6" w:space="0"/>
              <w:bottom w:val="single" w:color="auto" w:sz="6" w:space="0"/>
              <w:right w:val="single" w:color="auto" w:sz="6" w:space="0"/>
            </w:tcBorders>
            <w:noWrap w:val="0"/>
            <w:vAlign w:val="center"/>
          </w:tcPr>
          <w:p w14:paraId="7F82E64A">
            <w:pPr>
              <w:spacing w:line="240" w:lineRule="auto"/>
              <w:ind w:right="24" w:rightChars="11"/>
              <w:jc w:val="center"/>
              <w:rPr>
                <w:rFonts w:hint="eastAsia" w:ascii="宋体" w:hAnsi="宋体" w:cs="宋体"/>
                <w:b/>
                <w:bCs/>
                <w:sz w:val="24"/>
                <w:highlight w:val="none"/>
              </w:rPr>
            </w:pPr>
          </w:p>
        </w:tc>
        <w:tc>
          <w:tcPr>
            <w:tcW w:w="2785" w:type="dxa"/>
            <w:vMerge w:val="continue"/>
            <w:tcBorders>
              <w:top w:val="single" w:color="auto" w:sz="6" w:space="0"/>
              <w:left w:val="single" w:color="auto" w:sz="6" w:space="0"/>
              <w:bottom w:val="single" w:color="auto" w:sz="6" w:space="0"/>
              <w:right w:val="single" w:color="auto" w:sz="6" w:space="0"/>
            </w:tcBorders>
            <w:noWrap w:val="0"/>
            <w:vAlign w:val="center"/>
          </w:tcPr>
          <w:p w14:paraId="25589D67">
            <w:pPr>
              <w:spacing w:line="240" w:lineRule="auto"/>
              <w:ind w:right="24" w:rightChars="11"/>
              <w:jc w:val="center"/>
              <w:rPr>
                <w:rFonts w:hint="eastAsia" w:ascii="宋体" w:hAnsi="宋体" w:cs="宋体"/>
                <w:sz w:val="24"/>
                <w:highlight w:val="none"/>
              </w:rPr>
            </w:pPr>
          </w:p>
        </w:tc>
        <w:tc>
          <w:tcPr>
            <w:tcW w:w="1761" w:type="dxa"/>
            <w:tcBorders>
              <w:top w:val="single" w:color="auto" w:sz="6" w:space="0"/>
              <w:left w:val="single" w:color="auto" w:sz="6" w:space="0"/>
              <w:bottom w:val="single" w:color="auto" w:sz="6" w:space="0"/>
              <w:right w:val="single" w:color="auto" w:sz="6" w:space="0"/>
            </w:tcBorders>
            <w:noWrap w:val="0"/>
            <w:vAlign w:val="center"/>
          </w:tcPr>
          <w:p w14:paraId="4BDD6590">
            <w:pPr>
              <w:spacing w:line="240" w:lineRule="auto"/>
              <w:ind w:right="24" w:rightChars="11"/>
              <w:jc w:val="center"/>
              <w:rPr>
                <w:rFonts w:hint="eastAsia" w:ascii="宋体" w:hAnsi="宋体" w:cs="宋体"/>
                <w:b/>
                <w:bCs/>
                <w:sz w:val="24"/>
                <w:highlight w:val="none"/>
              </w:rPr>
            </w:pPr>
            <w:r>
              <w:rPr>
                <w:rFonts w:hint="eastAsia" w:ascii="宋体" w:hAnsi="宋体" w:cs="宋体"/>
                <w:b/>
                <w:bCs/>
                <w:sz w:val="24"/>
                <w:highlight w:val="none"/>
              </w:rPr>
              <w:t>采购代理编号</w:t>
            </w:r>
          </w:p>
        </w:tc>
        <w:tc>
          <w:tcPr>
            <w:tcW w:w="2200" w:type="dxa"/>
            <w:tcBorders>
              <w:top w:val="single" w:color="auto" w:sz="6" w:space="0"/>
              <w:left w:val="single" w:color="auto" w:sz="6" w:space="0"/>
              <w:bottom w:val="single" w:color="auto" w:sz="6" w:space="0"/>
            </w:tcBorders>
            <w:noWrap w:val="0"/>
            <w:vAlign w:val="center"/>
          </w:tcPr>
          <w:p w14:paraId="34D154AC">
            <w:pPr>
              <w:spacing w:line="240" w:lineRule="auto"/>
              <w:ind w:right="24" w:rightChars="11"/>
              <w:jc w:val="center"/>
              <w:rPr>
                <w:rFonts w:hint="eastAsia" w:ascii="宋体" w:hAnsi="宋体" w:eastAsia="宋体" w:cs="宋体"/>
                <w:color w:val="0000FF"/>
                <w:sz w:val="24"/>
                <w:highlight w:val="none"/>
                <w:lang w:eastAsia="zh-CN"/>
              </w:rPr>
            </w:pPr>
          </w:p>
        </w:tc>
      </w:tr>
      <w:tr w14:paraId="5330D8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732" w:type="dxa"/>
            <w:tcBorders>
              <w:top w:val="single" w:color="auto" w:sz="6" w:space="0"/>
              <w:bottom w:val="single" w:color="auto" w:sz="6" w:space="0"/>
            </w:tcBorders>
            <w:noWrap w:val="0"/>
            <w:vAlign w:val="center"/>
          </w:tcPr>
          <w:p w14:paraId="53A2D077">
            <w:pPr>
              <w:spacing w:line="240" w:lineRule="auto"/>
              <w:ind w:right="24" w:rightChars="11"/>
              <w:jc w:val="center"/>
              <w:rPr>
                <w:rFonts w:hint="eastAsia" w:ascii="宋体" w:hAnsi="宋体" w:cs="宋体"/>
                <w:b/>
                <w:bCs/>
                <w:sz w:val="24"/>
                <w:highlight w:val="none"/>
              </w:rPr>
            </w:pPr>
            <w:r>
              <w:rPr>
                <w:rFonts w:hint="eastAsia" w:ascii="宋体" w:hAnsi="宋体" w:cs="宋体"/>
                <w:b/>
                <w:bCs/>
                <w:sz w:val="24"/>
                <w:highlight w:val="none"/>
              </w:rPr>
              <w:t>品目代码</w:t>
            </w:r>
          </w:p>
        </w:tc>
        <w:tc>
          <w:tcPr>
            <w:tcW w:w="6746" w:type="dxa"/>
            <w:gridSpan w:val="3"/>
            <w:tcBorders>
              <w:top w:val="single" w:color="auto" w:sz="6" w:space="0"/>
              <w:bottom w:val="single" w:color="auto" w:sz="6" w:space="0"/>
            </w:tcBorders>
            <w:noWrap w:val="0"/>
            <w:vAlign w:val="center"/>
          </w:tcPr>
          <w:p w14:paraId="46AA4F0C">
            <w:pPr>
              <w:spacing w:line="240" w:lineRule="auto"/>
              <w:ind w:right="24" w:rightChars="11"/>
              <w:jc w:val="center"/>
              <w:rPr>
                <w:rFonts w:hint="eastAsia" w:ascii="宋体" w:hAnsi="宋体" w:eastAsia="宋体" w:cs="宋体"/>
                <w:sz w:val="24"/>
                <w:highlight w:val="none"/>
                <w:lang w:eastAsia="zh-CN"/>
              </w:rPr>
            </w:pPr>
          </w:p>
        </w:tc>
      </w:tr>
      <w:tr w14:paraId="10FEFE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69" w:hRule="atLeast"/>
          <w:jc w:val="center"/>
        </w:trPr>
        <w:tc>
          <w:tcPr>
            <w:tcW w:w="2732" w:type="dxa"/>
            <w:tcBorders>
              <w:top w:val="single" w:color="auto" w:sz="6" w:space="0"/>
              <w:bottom w:val="single" w:color="auto" w:sz="6" w:space="0"/>
            </w:tcBorders>
            <w:noWrap w:val="0"/>
            <w:vAlign w:val="center"/>
          </w:tcPr>
          <w:p w14:paraId="5159A0E3">
            <w:pPr>
              <w:spacing w:line="240" w:lineRule="auto"/>
              <w:ind w:right="24" w:rightChars="11"/>
              <w:jc w:val="center"/>
              <w:rPr>
                <w:rFonts w:hint="eastAsia" w:ascii="宋体" w:hAnsi="宋体" w:eastAsia="宋体" w:cs="宋体"/>
                <w:b/>
                <w:bCs/>
                <w:sz w:val="24"/>
                <w:highlight w:val="none"/>
                <w:lang w:eastAsia="zh-CN"/>
              </w:rPr>
            </w:pPr>
            <w:r>
              <w:rPr>
                <w:rFonts w:hint="eastAsia" w:ascii="宋体" w:hAnsi="宋体" w:cs="宋体"/>
                <w:b/>
                <w:bCs/>
                <w:sz w:val="24"/>
                <w:highlight w:val="none"/>
                <w:lang w:eastAsia="zh-CN"/>
              </w:rPr>
              <w:t>项目总报价</w:t>
            </w:r>
          </w:p>
        </w:tc>
        <w:tc>
          <w:tcPr>
            <w:tcW w:w="6746" w:type="dxa"/>
            <w:gridSpan w:val="3"/>
            <w:tcBorders>
              <w:top w:val="single" w:color="auto" w:sz="6" w:space="0"/>
              <w:bottom w:val="single" w:color="auto" w:sz="6" w:space="0"/>
            </w:tcBorders>
            <w:noWrap w:val="0"/>
            <w:vAlign w:val="center"/>
          </w:tcPr>
          <w:p w14:paraId="64634517">
            <w:pPr>
              <w:spacing w:line="240" w:lineRule="auto"/>
              <w:ind w:right="24" w:rightChars="11"/>
              <w:jc w:val="center"/>
              <w:rPr>
                <w:rFonts w:hint="eastAsia" w:ascii="宋体" w:hAnsi="宋体" w:cs="宋体"/>
                <w:sz w:val="24"/>
                <w:highlight w:val="none"/>
              </w:rPr>
            </w:pPr>
          </w:p>
          <w:p w14:paraId="28F0CC12">
            <w:pPr>
              <w:spacing w:line="240" w:lineRule="auto"/>
              <w:ind w:right="24" w:rightChars="11"/>
              <w:jc w:val="center"/>
              <w:rPr>
                <w:rFonts w:hint="eastAsia" w:ascii="宋体" w:hAnsi="宋体" w:cs="宋体"/>
                <w:sz w:val="24"/>
                <w:highlight w:val="none"/>
              </w:rPr>
            </w:pPr>
            <w:r>
              <w:rPr>
                <w:rFonts w:hint="eastAsia" w:ascii="宋体" w:hAnsi="宋体" w:cs="宋体"/>
                <w:sz w:val="24"/>
                <w:highlight w:val="none"/>
              </w:rPr>
              <w:t>大写：</w:t>
            </w:r>
            <w:r>
              <w:rPr>
                <w:rFonts w:hint="eastAsia" w:ascii="宋体" w:hAnsi="宋体" w:cs="宋体"/>
                <w:sz w:val="24"/>
                <w:highlight w:val="none"/>
                <w:u w:val="single"/>
              </w:rPr>
              <w:t xml:space="preserve">                                  </w:t>
            </w:r>
            <w:r>
              <w:rPr>
                <w:rFonts w:hint="eastAsia" w:ascii="宋体" w:hAnsi="宋体" w:cs="宋体"/>
                <w:sz w:val="24"/>
                <w:highlight w:val="none"/>
              </w:rPr>
              <w:t>元人民币</w:t>
            </w:r>
          </w:p>
          <w:p w14:paraId="519D0A93">
            <w:pPr>
              <w:spacing w:line="240" w:lineRule="auto"/>
              <w:ind w:right="24" w:rightChars="11"/>
              <w:jc w:val="center"/>
              <w:rPr>
                <w:rFonts w:hint="eastAsia" w:ascii="宋体" w:hAnsi="宋体" w:cs="宋体"/>
                <w:sz w:val="24"/>
                <w:highlight w:val="none"/>
              </w:rPr>
            </w:pPr>
          </w:p>
          <w:p w14:paraId="4FDC5BBF">
            <w:pPr>
              <w:spacing w:line="240" w:lineRule="auto"/>
              <w:ind w:right="24" w:rightChars="11"/>
              <w:jc w:val="center"/>
              <w:rPr>
                <w:rFonts w:hint="eastAsia" w:ascii="宋体" w:hAnsi="宋体" w:cs="宋体"/>
                <w:sz w:val="24"/>
                <w:highlight w:val="none"/>
              </w:rPr>
            </w:pPr>
            <w:r>
              <w:rPr>
                <w:rFonts w:hint="eastAsia" w:ascii="宋体" w:hAnsi="宋体" w:cs="宋体"/>
                <w:sz w:val="24"/>
                <w:highlight w:val="none"/>
              </w:rPr>
              <w:t>小写：</w:t>
            </w:r>
            <w:r>
              <w:rPr>
                <w:rFonts w:hint="eastAsia" w:ascii="宋体" w:hAnsi="宋体" w:cs="宋体"/>
                <w:sz w:val="24"/>
                <w:highlight w:val="none"/>
                <w:u w:val="single"/>
              </w:rPr>
              <w:t xml:space="preserve">                                  </w:t>
            </w:r>
            <w:r>
              <w:rPr>
                <w:rFonts w:hint="eastAsia" w:ascii="宋体" w:hAnsi="宋体" w:cs="宋体"/>
                <w:sz w:val="24"/>
                <w:highlight w:val="none"/>
              </w:rPr>
              <w:t>元人民币</w:t>
            </w:r>
          </w:p>
        </w:tc>
      </w:tr>
      <w:tr w14:paraId="4C3079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732" w:type="dxa"/>
            <w:tcBorders>
              <w:top w:val="single" w:color="auto" w:sz="6" w:space="0"/>
              <w:bottom w:val="single" w:color="auto" w:sz="6" w:space="0"/>
            </w:tcBorders>
            <w:noWrap w:val="0"/>
            <w:vAlign w:val="center"/>
          </w:tcPr>
          <w:p w14:paraId="121037BB">
            <w:pPr>
              <w:spacing w:line="240" w:lineRule="auto"/>
              <w:ind w:right="24" w:rightChars="11"/>
              <w:jc w:val="center"/>
              <w:rPr>
                <w:rFonts w:hint="eastAsia" w:ascii="宋体" w:hAnsi="宋体" w:eastAsia="宋体" w:cs="宋体"/>
                <w:b/>
                <w:bCs/>
                <w:sz w:val="24"/>
                <w:highlight w:val="none"/>
                <w:lang w:eastAsia="zh-CN"/>
              </w:rPr>
            </w:pPr>
            <w:r>
              <w:rPr>
                <w:rFonts w:hint="eastAsia" w:ascii="宋体" w:hAnsi="宋体" w:eastAsia="宋体" w:cs="宋体"/>
                <w:b/>
                <w:bCs/>
                <w:sz w:val="24"/>
                <w:highlight w:val="none"/>
                <w:lang w:eastAsia="zh-CN"/>
              </w:rPr>
              <w:t>合同履行期限</w:t>
            </w:r>
          </w:p>
        </w:tc>
        <w:tc>
          <w:tcPr>
            <w:tcW w:w="6746" w:type="dxa"/>
            <w:gridSpan w:val="3"/>
            <w:tcBorders>
              <w:top w:val="single" w:color="auto" w:sz="6" w:space="0"/>
              <w:bottom w:val="single" w:color="auto" w:sz="6" w:space="0"/>
            </w:tcBorders>
            <w:noWrap w:val="0"/>
            <w:vAlign w:val="center"/>
          </w:tcPr>
          <w:p w14:paraId="77DDA7B1">
            <w:pPr>
              <w:spacing w:line="240" w:lineRule="auto"/>
              <w:ind w:right="24" w:rightChars="11"/>
              <w:jc w:val="center"/>
              <w:rPr>
                <w:rFonts w:hint="eastAsia" w:ascii="宋体" w:hAnsi="宋体" w:cs="宋体"/>
                <w:color w:val="FF0000"/>
                <w:sz w:val="24"/>
                <w:highlight w:val="none"/>
              </w:rPr>
            </w:pPr>
          </w:p>
        </w:tc>
      </w:tr>
      <w:tr w14:paraId="4E228E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732" w:type="dxa"/>
            <w:tcBorders>
              <w:top w:val="single" w:color="auto" w:sz="6" w:space="0"/>
              <w:bottom w:val="single" w:color="auto" w:sz="6" w:space="0"/>
            </w:tcBorders>
            <w:noWrap w:val="0"/>
            <w:vAlign w:val="center"/>
          </w:tcPr>
          <w:p w14:paraId="39D5BE44">
            <w:pPr>
              <w:spacing w:line="240" w:lineRule="auto"/>
              <w:ind w:right="24" w:rightChars="11"/>
              <w:jc w:val="center"/>
              <w:rPr>
                <w:rFonts w:hint="default" w:ascii="宋体" w:hAnsi="宋体" w:eastAsia="宋体" w:cs="宋体"/>
                <w:b/>
                <w:bCs/>
                <w:sz w:val="24"/>
                <w:highlight w:val="none"/>
                <w:lang w:val="en-US" w:eastAsia="zh-CN"/>
              </w:rPr>
            </w:pPr>
            <w:r>
              <w:rPr>
                <w:rFonts w:hint="eastAsia" w:ascii="宋体" w:hAnsi="宋体" w:eastAsia="宋体" w:cs="宋体"/>
                <w:b/>
                <w:bCs/>
                <w:sz w:val="24"/>
                <w:highlight w:val="none"/>
                <w:lang w:val="en-US" w:eastAsia="zh-CN"/>
              </w:rPr>
              <w:t>项目负责人/联系电话</w:t>
            </w:r>
          </w:p>
        </w:tc>
        <w:tc>
          <w:tcPr>
            <w:tcW w:w="6746" w:type="dxa"/>
            <w:gridSpan w:val="3"/>
            <w:tcBorders>
              <w:top w:val="single" w:color="auto" w:sz="6" w:space="0"/>
              <w:bottom w:val="single" w:color="auto" w:sz="6" w:space="0"/>
            </w:tcBorders>
            <w:noWrap w:val="0"/>
            <w:vAlign w:val="center"/>
          </w:tcPr>
          <w:p w14:paraId="3C7EC6CD">
            <w:pPr>
              <w:spacing w:line="240" w:lineRule="auto"/>
              <w:ind w:right="24" w:rightChars="11"/>
              <w:jc w:val="left"/>
              <w:rPr>
                <w:rFonts w:hint="eastAsia" w:ascii="宋体" w:hAnsi="宋体" w:eastAsia="宋体" w:cs="宋体"/>
                <w:color w:val="FF0000"/>
                <w:sz w:val="24"/>
                <w:highlight w:val="none"/>
                <w:lang w:eastAsia="zh-CN"/>
              </w:rPr>
            </w:pPr>
          </w:p>
        </w:tc>
      </w:tr>
      <w:tr w14:paraId="6C62F5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732" w:type="dxa"/>
            <w:tcBorders>
              <w:top w:val="single" w:color="auto" w:sz="6" w:space="0"/>
              <w:bottom w:val="double" w:color="auto" w:sz="4" w:space="0"/>
            </w:tcBorders>
            <w:noWrap w:val="0"/>
            <w:vAlign w:val="center"/>
          </w:tcPr>
          <w:p w14:paraId="32E5B4AA">
            <w:pPr>
              <w:spacing w:line="240" w:lineRule="auto"/>
              <w:ind w:right="24" w:rightChars="11"/>
              <w:jc w:val="center"/>
              <w:rPr>
                <w:rFonts w:hint="eastAsia" w:ascii="宋体" w:hAnsi="宋体" w:cs="宋体"/>
                <w:sz w:val="24"/>
                <w:highlight w:val="none"/>
              </w:rPr>
            </w:pPr>
            <w:r>
              <w:rPr>
                <w:rFonts w:hint="eastAsia" w:ascii="宋体" w:hAnsi="宋体" w:cs="宋体"/>
                <w:b/>
                <w:bCs/>
                <w:sz w:val="24"/>
                <w:highlight w:val="none"/>
              </w:rPr>
              <w:t>备  注</w:t>
            </w:r>
          </w:p>
        </w:tc>
        <w:tc>
          <w:tcPr>
            <w:tcW w:w="6746" w:type="dxa"/>
            <w:gridSpan w:val="3"/>
            <w:tcBorders>
              <w:top w:val="single" w:color="auto" w:sz="6" w:space="0"/>
              <w:bottom w:val="double" w:color="auto" w:sz="4" w:space="0"/>
            </w:tcBorders>
            <w:noWrap w:val="0"/>
            <w:vAlign w:val="center"/>
          </w:tcPr>
          <w:p w14:paraId="77697754">
            <w:pPr>
              <w:spacing w:line="240" w:lineRule="auto"/>
              <w:ind w:right="24" w:rightChars="11"/>
              <w:jc w:val="center"/>
              <w:rPr>
                <w:rFonts w:hint="eastAsia" w:ascii="宋体" w:hAnsi="宋体" w:cs="宋体"/>
                <w:sz w:val="24"/>
                <w:highlight w:val="none"/>
              </w:rPr>
            </w:pPr>
          </w:p>
        </w:tc>
      </w:tr>
    </w:tbl>
    <w:p w14:paraId="1385235F">
      <w:pPr>
        <w:ind w:firstLine="482" w:firstLineChars="200"/>
        <w:rPr>
          <w:rFonts w:hint="eastAsia"/>
          <w:b/>
          <w:bCs/>
          <w:sz w:val="24"/>
          <w:highlight w:val="none"/>
        </w:rPr>
      </w:pPr>
    </w:p>
    <w:p w14:paraId="7A33D0A5">
      <w:pPr>
        <w:rPr>
          <w:rFonts w:hint="eastAsia"/>
          <w:b/>
          <w:bCs/>
          <w:sz w:val="24"/>
          <w:highlight w:val="none"/>
        </w:rPr>
      </w:pPr>
    </w:p>
    <w:p w14:paraId="63F0A6C8">
      <w:pPr>
        <w:rPr>
          <w:rFonts w:hint="eastAsia"/>
          <w:b/>
          <w:bCs/>
          <w:sz w:val="24"/>
          <w:highlight w:val="none"/>
        </w:rPr>
      </w:pPr>
    </w:p>
    <w:p w14:paraId="7C39CB68">
      <w:pPr>
        <w:rPr>
          <w:rFonts w:hint="eastAsia"/>
          <w:b/>
          <w:bCs/>
          <w:sz w:val="24"/>
          <w:highlight w:val="none"/>
        </w:rPr>
      </w:pPr>
    </w:p>
    <w:p w14:paraId="3E3BFC33">
      <w:pPr>
        <w:rPr>
          <w:rFonts w:hint="eastAsia"/>
          <w:b/>
          <w:bCs/>
          <w:sz w:val="24"/>
          <w:highlight w:val="none"/>
        </w:rPr>
      </w:pPr>
    </w:p>
    <w:p w14:paraId="03237E73">
      <w:pPr>
        <w:adjustRightInd w:val="0"/>
        <w:snapToGrid w:val="0"/>
        <w:rPr>
          <w:rFonts w:hint="eastAsia" w:ascii="宋体" w:hAnsi="宋体" w:cs="宋体"/>
          <w:sz w:val="24"/>
          <w:highlight w:val="none"/>
        </w:rPr>
      </w:pPr>
      <w:r>
        <w:rPr>
          <w:rFonts w:hint="eastAsia" w:ascii="宋体" w:hAnsi="宋体" w:cs="宋体"/>
          <w:sz w:val="24"/>
          <w:highlight w:val="none"/>
        </w:rPr>
        <w:t>供应商名称（盖单位章）：</w:t>
      </w:r>
      <w:r>
        <w:rPr>
          <w:rFonts w:hint="eastAsia" w:ascii="宋体" w:hAnsi="宋体"/>
          <w:color w:val="000000"/>
          <w:sz w:val="24"/>
          <w:highlight w:val="none"/>
          <w:u w:val="single"/>
        </w:rPr>
        <w:t xml:space="preserve">               </w:t>
      </w:r>
    </w:p>
    <w:p w14:paraId="6D9DC16F">
      <w:pPr>
        <w:adjustRightInd w:val="0"/>
        <w:snapToGrid w:val="0"/>
        <w:rPr>
          <w:rFonts w:hint="eastAsia" w:ascii="宋体" w:hAnsi="宋体" w:cs="宋体"/>
          <w:sz w:val="24"/>
          <w:highlight w:val="none"/>
        </w:rPr>
      </w:pPr>
      <w:r>
        <w:rPr>
          <w:rFonts w:hint="eastAsia" w:ascii="宋体" w:hAnsi="宋体" w:cs="宋体"/>
          <w:sz w:val="24"/>
          <w:highlight w:val="none"/>
        </w:rPr>
        <w:t>法定代表人或其委托代理人（</w:t>
      </w:r>
      <w:r>
        <w:rPr>
          <w:rFonts w:hint="eastAsia" w:ascii="宋体" w:hAnsi="宋体" w:cs="宋体"/>
          <w:color w:val="000000"/>
          <w:sz w:val="24"/>
          <w:highlight w:val="none"/>
        </w:rPr>
        <w:t>签字或印章</w:t>
      </w:r>
      <w:r>
        <w:rPr>
          <w:rFonts w:hint="eastAsia" w:ascii="宋体" w:hAnsi="宋体" w:cs="宋体"/>
          <w:sz w:val="24"/>
          <w:highlight w:val="none"/>
        </w:rPr>
        <w:t>）：</w:t>
      </w:r>
      <w:r>
        <w:rPr>
          <w:rFonts w:hint="eastAsia" w:ascii="宋体" w:hAnsi="宋体"/>
          <w:color w:val="000000"/>
          <w:sz w:val="24"/>
          <w:highlight w:val="none"/>
          <w:u w:val="single"/>
        </w:rPr>
        <w:t xml:space="preserve">               </w:t>
      </w:r>
    </w:p>
    <w:p w14:paraId="6916ECDE">
      <w:pPr>
        <w:adjustRightInd w:val="0"/>
        <w:snapToGrid w:val="0"/>
        <w:rPr>
          <w:b/>
          <w:bCs/>
          <w:color w:val="000000"/>
          <w:highlight w:val="none"/>
        </w:rPr>
      </w:pPr>
      <w:r>
        <w:rPr>
          <w:rFonts w:hint="eastAsia" w:ascii="宋体" w:hAnsi="宋体" w:cs="宋体"/>
          <w:sz w:val="24"/>
          <w:highlight w:val="none"/>
        </w:rPr>
        <w:t>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33ECCD78">
      <w:pPr>
        <w:rPr>
          <w:rFonts w:hint="eastAsia" w:ascii="宋体" w:hAnsi="宋体" w:cs="宋体"/>
          <w:sz w:val="24"/>
          <w:highlight w:val="none"/>
        </w:rPr>
      </w:pPr>
    </w:p>
    <w:p w14:paraId="62259148">
      <w:pPr>
        <w:pStyle w:val="13"/>
        <w:ind w:left="0" w:leftChars="0" w:firstLine="482"/>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注：最后报价相关内容和表格不装订在响应文件中，供应商须单独自行准备，现场进行最后报价。</w:t>
      </w:r>
    </w:p>
    <w:p w14:paraId="62CEFD5C">
      <w:pPr>
        <w:rPr>
          <w:rFonts w:hint="eastAsia" w:cs="黑体"/>
          <w:b/>
          <w:bCs/>
          <w:color w:val="auto"/>
          <w:sz w:val="28"/>
          <w:szCs w:val="28"/>
          <w:highlight w:val="none"/>
          <w:lang w:val="en-US" w:eastAsia="zh-CN" w:bidi="zh-CN"/>
        </w:rPr>
      </w:pPr>
    </w:p>
    <w:p w14:paraId="6ED33FC8">
      <w:pPr>
        <w:rPr>
          <w:rFonts w:hint="eastAsia" w:cs="黑体"/>
          <w:b/>
          <w:bCs/>
          <w:color w:val="auto"/>
          <w:sz w:val="28"/>
          <w:szCs w:val="28"/>
          <w:highlight w:val="none"/>
          <w:lang w:val="en-US" w:eastAsia="zh-CN" w:bidi="zh-CN"/>
        </w:rPr>
      </w:pPr>
    </w:p>
    <w:p w14:paraId="5B3419AC">
      <w:pPr>
        <w:rPr>
          <w:rFonts w:hint="eastAsia" w:cs="黑体"/>
          <w:b/>
          <w:bCs/>
          <w:color w:val="auto"/>
          <w:sz w:val="28"/>
          <w:szCs w:val="28"/>
          <w:highlight w:val="none"/>
          <w:lang w:val="en-US" w:eastAsia="zh-CN" w:bidi="zh-CN"/>
        </w:rPr>
      </w:pPr>
    </w:p>
    <w:p w14:paraId="4B099AFF">
      <w:pPr>
        <w:rPr>
          <w:rFonts w:hint="eastAsia" w:cs="黑体"/>
          <w:b/>
          <w:bCs/>
          <w:color w:val="auto"/>
          <w:sz w:val="28"/>
          <w:szCs w:val="28"/>
          <w:highlight w:val="none"/>
          <w:lang w:val="en-US" w:eastAsia="zh-CN" w:bidi="zh-CN"/>
        </w:rPr>
      </w:pPr>
    </w:p>
    <w:p w14:paraId="2B0F7224">
      <w:pPr>
        <w:rPr>
          <w:rFonts w:hint="eastAsia" w:cs="黑体"/>
          <w:b/>
          <w:bCs/>
          <w:color w:val="auto"/>
          <w:sz w:val="28"/>
          <w:szCs w:val="28"/>
          <w:highlight w:val="none"/>
          <w:lang w:val="en-US" w:eastAsia="zh-CN" w:bidi="zh-CN"/>
        </w:rPr>
      </w:pPr>
    </w:p>
    <w:p w14:paraId="54199003">
      <w:pPr>
        <w:rPr>
          <w:rFonts w:hint="eastAsia" w:cs="黑体"/>
          <w:b/>
          <w:bCs/>
          <w:color w:val="auto"/>
          <w:sz w:val="28"/>
          <w:szCs w:val="28"/>
          <w:highlight w:val="none"/>
          <w:lang w:val="en-US" w:eastAsia="zh-CN" w:bidi="zh-CN"/>
        </w:rPr>
      </w:pPr>
    </w:p>
    <w:p w14:paraId="65FB59F3">
      <w:pPr>
        <w:rPr>
          <w:rFonts w:hint="eastAsia" w:cs="黑体"/>
          <w:b/>
          <w:bCs/>
          <w:color w:val="auto"/>
          <w:sz w:val="28"/>
          <w:szCs w:val="28"/>
          <w:highlight w:val="none"/>
          <w:lang w:val="en-US" w:eastAsia="zh-CN" w:bidi="zh-CN"/>
        </w:rPr>
      </w:pPr>
    </w:p>
    <w:p w14:paraId="296E41C9">
      <w:pPr>
        <w:rPr>
          <w:rFonts w:hint="eastAsia" w:cs="黑体"/>
          <w:b/>
          <w:bCs/>
          <w:color w:val="auto"/>
          <w:sz w:val="28"/>
          <w:szCs w:val="28"/>
          <w:highlight w:val="none"/>
          <w:lang w:val="en-US" w:eastAsia="zh-CN" w:bidi="zh-CN"/>
        </w:rPr>
      </w:pPr>
    </w:p>
    <w:p w14:paraId="628F4E5B">
      <w:pPr>
        <w:rPr>
          <w:rFonts w:hint="eastAsia" w:cs="黑体"/>
          <w:b/>
          <w:bCs/>
          <w:color w:val="auto"/>
          <w:sz w:val="28"/>
          <w:szCs w:val="28"/>
          <w:highlight w:val="none"/>
          <w:lang w:val="en-US" w:eastAsia="zh-CN" w:bidi="zh-CN"/>
        </w:rPr>
      </w:pPr>
    </w:p>
    <w:p w14:paraId="35D4178F">
      <w:pPr>
        <w:rPr>
          <w:rFonts w:hint="eastAsia" w:cs="黑体"/>
          <w:b/>
          <w:bCs/>
          <w:color w:val="auto"/>
          <w:sz w:val="28"/>
          <w:szCs w:val="28"/>
          <w:highlight w:val="none"/>
          <w:lang w:val="en-US" w:eastAsia="zh-CN" w:bidi="zh-CN"/>
        </w:rPr>
      </w:pPr>
    </w:p>
    <w:p w14:paraId="239C4173">
      <w:pPr>
        <w:rPr>
          <w:rFonts w:hint="eastAsia" w:cs="黑体"/>
          <w:b/>
          <w:bCs/>
          <w:color w:val="auto"/>
          <w:sz w:val="28"/>
          <w:szCs w:val="28"/>
          <w:highlight w:val="none"/>
          <w:lang w:val="en-US" w:eastAsia="zh-CN" w:bidi="zh-CN"/>
        </w:rPr>
      </w:pPr>
    </w:p>
    <w:p w14:paraId="4AEBE7F9">
      <w:pPr>
        <w:rPr>
          <w:rFonts w:hint="eastAsia" w:cs="黑体"/>
          <w:b/>
          <w:bCs/>
          <w:color w:val="auto"/>
          <w:sz w:val="28"/>
          <w:szCs w:val="28"/>
          <w:highlight w:val="none"/>
          <w:lang w:val="en-US" w:eastAsia="zh-CN" w:bidi="zh-CN"/>
        </w:rPr>
      </w:pPr>
    </w:p>
    <w:bookmarkEnd w:id="125"/>
    <w:bookmarkEnd w:id="126"/>
    <w:p w14:paraId="16AC78FB">
      <w:pPr>
        <w:rPr>
          <w:rFonts w:hint="eastAsia" w:cs="黑体"/>
          <w:b/>
          <w:bCs/>
          <w:color w:val="auto"/>
          <w:sz w:val="28"/>
          <w:szCs w:val="28"/>
          <w:highlight w:val="none"/>
          <w:lang w:val="en-US" w:eastAsia="zh-CN" w:bidi="zh-CN"/>
        </w:rPr>
      </w:pPr>
    </w:p>
    <w:sectPr>
      <w:headerReference r:id="rId19" w:type="default"/>
      <w:footerReference r:id="rId20" w:type="default"/>
      <w:pgSz w:w="11910" w:h="16840"/>
      <w:pgMar w:top="1500" w:right="770" w:bottom="1180" w:left="1020" w:header="0" w:footer="993"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幼圆">
    <w:panose1 w:val="0201050906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283" w:usb1="288F0000" w:usb2="00000006" w:usb3="00000000" w:csb0="00040001" w:csb1="00000000"/>
  </w:font>
  <w:font w:name="GEETYPE晴空黑GB 中黑">
    <w:altName w:val="黑体"/>
    <w:panose1 w:val="02010604000000000000"/>
    <w:charset w:val="86"/>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FD678">
    <w:pPr>
      <w:pStyle w:val="11"/>
      <w:spacing w:line="14" w:lineRule="auto"/>
      <w:rPr>
        <w:sz w:val="20"/>
      </w:rPr>
    </w:pPr>
    <w:r>
      <w:rPr>
        <w:sz w:val="24"/>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5487AF">
                          <w:pPr>
                            <w:pStyle w:val="1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5487AF">
                    <w:pPr>
                      <w:pStyle w:val="17"/>
                    </w:pPr>
                  </w:p>
                </w:txbxContent>
              </v:textbox>
            </v:shape>
          </w:pict>
        </mc:Fallback>
      </mc:AlternateContent>
    </w:r>
    <w:r>
      <mc:AlternateContent>
        <mc:Choice Requires="wps">
          <w:drawing>
            <wp:anchor distT="0" distB="0" distL="114300" distR="114300" simplePos="0" relativeHeight="251673600" behindDoc="1" locked="0" layoutInCell="1" allowOverlap="1">
              <wp:simplePos x="0" y="0"/>
              <wp:positionH relativeFrom="page">
                <wp:posOffset>1109980</wp:posOffset>
              </wp:positionH>
              <wp:positionV relativeFrom="page">
                <wp:posOffset>9917430</wp:posOffset>
              </wp:positionV>
              <wp:extent cx="1397000" cy="1397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397000" cy="139700"/>
                      </a:xfrm>
                      <a:prstGeom prst="rect">
                        <a:avLst/>
                      </a:prstGeom>
                      <a:noFill/>
                      <a:ln>
                        <a:noFill/>
                      </a:ln>
                    </wps:spPr>
                    <wps:txbx>
                      <w:txbxContent>
                        <w:p w14:paraId="1BD43991">
                          <w:pPr>
                            <w:spacing w:before="0" w:line="220" w:lineRule="exact"/>
                            <w:ind w:left="20" w:right="0" w:firstLine="0"/>
                            <w:jc w:val="left"/>
                            <w:rPr>
                              <w:rFonts w:hint="eastAsia" w:eastAsia="宋体"/>
                              <w:sz w:val="18"/>
                              <w:lang w:eastAsia="zh-CN"/>
                            </w:rPr>
                          </w:pPr>
                        </w:p>
                      </w:txbxContent>
                    </wps:txbx>
                    <wps:bodyPr lIns="0" tIns="0" rIns="0" bIns="0" upright="1"/>
                  </wps:wsp>
                </a:graphicData>
              </a:graphic>
            </wp:anchor>
          </w:drawing>
        </mc:Choice>
        <mc:Fallback>
          <w:pict>
            <v:shape id="_x0000_s1026" o:spid="_x0000_s1026" o:spt="202" type="#_x0000_t202" style="position:absolute;left:0pt;margin-left:87.4pt;margin-top:780.9pt;height:11pt;width:110pt;mso-position-horizontal-relative:page;mso-position-vertical-relative:page;z-index:-251642880;mso-width-relative:page;mso-height-relative:page;" filled="f" stroked="f" coordsize="21600,21600" o:gfxdata="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glmLs2QAAAA0BAAAPAAAAAAAAAAEAIAAAACIAAABkcnMvZG93bnJldi54bWxQSwECFAAUAAAA&#10;CACHTuJA3sRYKLQBAAByAwAADgAAAAAAAAABACAAAAAoAQAAZHJzL2Uyb0RvYy54bWxQSwUGAAAA&#10;AAYABgBZAQAATgUAAAAA&#10;">
              <v:fill on="f" focussize="0,0"/>
              <v:stroke on="f"/>
              <v:imagedata o:title=""/>
              <o:lock v:ext="edit" aspectratio="f"/>
              <v:textbox inset="0mm,0mm,0mm,0mm">
                <w:txbxContent>
                  <w:p w14:paraId="1BD43991">
                    <w:pPr>
                      <w:spacing w:before="0" w:line="220" w:lineRule="exact"/>
                      <w:ind w:left="20" w:right="0" w:firstLine="0"/>
                      <w:jc w:val="left"/>
                      <w:rPr>
                        <w:rFonts w:hint="eastAsia" w:eastAsia="宋体"/>
                        <w:sz w:val="18"/>
                        <w:lang w:eastAsia="zh-CN"/>
                      </w:rPr>
                    </w:pPr>
                  </w:p>
                </w:txbxContent>
              </v:textbox>
            </v:shape>
          </w:pict>
        </mc:Fallback>
      </mc:AlternateContent>
    </w:r>
    <w:r>
      <mc:AlternateContent>
        <mc:Choice Requires="wps">
          <w:drawing>
            <wp:anchor distT="0" distB="0" distL="114300" distR="114300" simplePos="0" relativeHeight="251674624" behindDoc="1" locked="0" layoutInCell="1" allowOverlap="1">
              <wp:simplePos x="0" y="0"/>
              <wp:positionH relativeFrom="page">
                <wp:posOffset>5395595</wp:posOffset>
              </wp:positionH>
              <wp:positionV relativeFrom="page">
                <wp:posOffset>9917430</wp:posOffset>
              </wp:positionV>
              <wp:extent cx="1055370" cy="1397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55370" cy="139700"/>
                      </a:xfrm>
                      <a:prstGeom prst="rect">
                        <a:avLst/>
                      </a:prstGeom>
                      <a:noFill/>
                      <a:ln>
                        <a:noFill/>
                      </a:ln>
                    </wps:spPr>
                    <wps:txbx>
                      <w:txbxContent>
                        <w:p w14:paraId="534D9FAF">
                          <w:pPr>
                            <w:spacing w:before="0" w:line="220" w:lineRule="exact"/>
                            <w:ind w:left="20" w:right="0" w:firstLine="0"/>
                            <w:jc w:val="left"/>
                            <w:rPr>
                              <w:rFonts w:hint="eastAsia" w:eastAsia="宋体"/>
                              <w:sz w:val="18"/>
                              <w:lang w:eastAsia="zh-CN"/>
                            </w:rPr>
                          </w:pPr>
                        </w:p>
                      </w:txbxContent>
                    </wps:txbx>
                    <wps:bodyPr lIns="0" tIns="0" rIns="0" bIns="0" upright="1"/>
                  </wps:wsp>
                </a:graphicData>
              </a:graphic>
            </wp:anchor>
          </w:drawing>
        </mc:Choice>
        <mc:Fallback>
          <w:pict>
            <v:shape id="_x0000_s1026" o:spid="_x0000_s1026" o:spt="202" type="#_x0000_t202" style="position:absolute;left:0pt;margin-left:424.85pt;margin-top:780.9pt;height:11pt;width:83.1pt;mso-position-horizontal-relative:page;mso-position-vertical-relative:page;z-index:-251641856;mso-width-relative:page;mso-height-relative:page;" filled="f" stroked="f" coordsize="21600,21600" o:gfxdata="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rtSjxdoAAAAOAQAADwAAAAAAAAABACAAAAAiAAAAZHJzL2Rvd25yZXYueG1sUEsB&#10;AhQAFAAAAAgAh07iQIN9Ms26AQAAdAMAAA4AAAAAAAAAAQAgAAAAKQEAAGRycy9lMm9Eb2MueG1s&#10;UEsFBgAAAAAGAAYAWQEAAFUFAAAAAA==&#10;">
              <v:fill on="f" focussize="0,0"/>
              <v:stroke on="f"/>
              <v:imagedata o:title=""/>
              <o:lock v:ext="edit" aspectratio="f"/>
              <v:textbox inset="0mm,0mm,0mm,0mm">
                <w:txbxContent>
                  <w:p w14:paraId="534D9FAF">
                    <w:pPr>
                      <w:spacing w:before="0" w:line="220" w:lineRule="exact"/>
                      <w:ind w:left="20" w:right="0" w:firstLine="0"/>
                      <w:jc w:val="left"/>
                      <w:rPr>
                        <w:rFonts w:hint="eastAsia" w:eastAsia="宋体"/>
                        <w:sz w:val="18"/>
                        <w:lang w:eastAsia="zh-CN"/>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3A4A3">
    <w:pPr>
      <w:spacing w:line="177" w:lineRule="auto"/>
      <w:ind w:left="8000"/>
      <w:rPr>
        <w:rFonts w:ascii="宋体" w:hAnsi="宋体" w:cs="宋体"/>
        <w:sz w:val="32"/>
        <w:szCs w:val="32"/>
      </w:rPr>
    </w:pPr>
    <w:r>
      <w:rPr>
        <w:sz w:val="32"/>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3DC920">
                          <w:pPr>
                            <w:pStyle w:val="17"/>
                          </w:pPr>
                          <w:r>
                            <w:fldChar w:fldCharType="begin"/>
                          </w:r>
                          <w:r>
                            <w:instrText xml:space="preserve"> PAGE  \* MERGEFORMAT </w:instrText>
                          </w:r>
                          <w:r>
                            <w:fldChar w:fldCharType="separate"/>
                          </w:r>
                          <w:r>
                            <w:t>227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0E3DC920">
                    <w:pPr>
                      <w:pStyle w:val="17"/>
                    </w:pPr>
                    <w:r>
                      <w:fldChar w:fldCharType="begin"/>
                    </w:r>
                    <w:r>
                      <w:instrText xml:space="preserve"> PAGE  \* MERGEFORMAT </w:instrText>
                    </w:r>
                    <w:r>
                      <w:fldChar w:fldCharType="separate"/>
                    </w:r>
                    <w:r>
                      <w:t>227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DB776">
    <w:pPr>
      <w:pStyle w:val="11"/>
      <w:spacing w:line="14" w:lineRule="auto"/>
      <w:rPr>
        <w:sz w:val="20"/>
      </w:rPr>
    </w:pPr>
    <w:r>
      <w:rPr>
        <w:sz w:val="20"/>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2CB5D">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0512CB5D">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89589">
    <w:pPr>
      <w:pStyle w:val="11"/>
      <w:spacing w:line="14" w:lineRule="auto"/>
      <w:rPr>
        <w:sz w:val="20"/>
      </w:rPr>
    </w:pPr>
    <w:r>
      <w:rPr>
        <w:sz w:val="24"/>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367371">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3A367371">
                    <w:pPr>
                      <w:pStyle w:val="17"/>
                    </w:pPr>
                    <w:r>
                      <w:fldChar w:fldCharType="begin"/>
                    </w:r>
                    <w:r>
                      <w:instrText xml:space="preserve"> PAGE  \* MERGEFORMAT </w:instrText>
                    </w:r>
                    <w:r>
                      <w:fldChar w:fldCharType="separate"/>
                    </w:r>
                    <w:r>
                      <w:t>1</w:t>
                    </w:r>
                    <w:r>
                      <w:fldChar w:fldCharType="end"/>
                    </w:r>
                  </w:p>
                </w:txbxContent>
              </v:textbox>
            </v:shape>
          </w:pict>
        </mc:Fallback>
      </mc:AlternateContent>
    </w:r>
    <w:r>
      <w:rPr>
        <w:sz w:val="24"/>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65474">
                          <w:pPr>
                            <w:pStyle w:val="1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6E65474">
                    <w:pPr>
                      <w:pStyle w:val="17"/>
                    </w:pPr>
                  </w:p>
                </w:txbxContent>
              </v:textbox>
            </v:shape>
          </w:pict>
        </mc:Fallback>
      </mc:AlternateContent>
    </w:r>
    <w:r>
      <mc:AlternateContent>
        <mc:Choice Requires="wps">
          <w:drawing>
            <wp:anchor distT="0" distB="0" distL="114300" distR="114300" simplePos="0" relativeHeight="251679744" behindDoc="1" locked="0" layoutInCell="1" allowOverlap="1">
              <wp:simplePos x="0" y="0"/>
              <wp:positionH relativeFrom="page">
                <wp:posOffset>1109980</wp:posOffset>
              </wp:positionH>
              <wp:positionV relativeFrom="page">
                <wp:posOffset>9917430</wp:posOffset>
              </wp:positionV>
              <wp:extent cx="1397000" cy="1397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397000" cy="139700"/>
                      </a:xfrm>
                      <a:prstGeom prst="rect">
                        <a:avLst/>
                      </a:prstGeom>
                      <a:noFill/>
                      <a:ln>
                        <a:noFill/>
                      </a:ln>
                    </wps:spPr>
                    <wps:txbx>
                      <w:txbxContent>
                        <w:p w14:paraId="57915DFC">
                          <w:pPr>
                            <w:spacing w:before="0" w:line="220" w:lineRule="exact"/>
                            <w:ind w:left="20" w:right="0" w:firstLine="0"/>
                            <w:jc w:val="left"/>
                            <w:rPr>
                              <w:rFonts w:hint="eastAsia" w:eastAsia="宋体"/>
                              <w:sz w:val="18"/>
                              <w:lang w:eastAsia="zh-CN"/>
                            </w:rPr>
                          </w:pPr>
                        </w:p>
                      </w:txbxContent>
                    </wps:txbx>
                    <wps:bodyPr lIns="0" tIns="0" rIns="0" bIns="0" upright="1"/>
                  </wps:wsp>
                </a:graphicData>
              </a:graphic>
            </wp:anchor>
          </w:drawing>
        </mc:Choice>
        <mc:Fallback>
          <w:pict>
            <v:shape id="_x0000_s1026" o:spid="_x0000_s1026" o:spt="202" type="#_x0000_t202" style="position:absolute;left:0pt;margin-left:87.4pt;margin-top:780.9pt;height:11pt;width:110pt;mso-position-horizontal-relative:page;mso-position-vertical-relative:page;z-index:-251636736;mso-width-relative:page;mso-height-relative:page;" filled="f" stroked="f" coordsize="21600,21600" o:gfxdata="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oJZi7NkAAAANAQAADwAAAAAAAAABACAAAAAiAAAAZHJzL2Rvd25yZXYueG1sUEsBAhQAFAAA&#10;AAgAh07iQJm+qES1AQAAdAMAAA4AAAAAAAAAAQAgAAAAKAEAAGRycy9lMm9Eb2MueG1sUEsFBgAA&#10;AAAGAAYAWQEAAE8FAAAAAA==&#10;">
              <v:fill on="f" focussize="0,0"/>
              <v:stroke on="f"/>
              <v:imagedata o:title=""/>
              <o:lock v:ext="edit" aspectratio="f"/>
              <v:textbox inset="0mm,0mm,0mm,0mm">
                <w:txbxContent>
                  <w:p w14:paraId="57915DFC">
                    <w:pPr>
                      <w:spacing w:before="0" w:line="220" w:lineRule="exact"/>
                      <w:ind w:left="20" w:right="0" w:firstLine="0"/>
                      <w:jc w:val="left"/>
                      <w:rPr>
                        <w:rFonts w:hint="eastAsia" w:eastAsia="宋体"/>
                        <w:sz w:val="18"/>
                        <w:lang w:eastAsia="zh-CN"/>
                      </w:rPr>
                    </w:pPr>
                  </w:p>
                </w:txbxContent>
              </v:textbox>
            </v:shape>
          </w:pict>
        </mc:Fallback>
      </mc:AlternateContent>
    </w:r>
    <w:r>
      <mc:AlternateContent>
        <mc:Choice Requires="wps">
          <w:drawing>
            <wp:anchor distT="0" distB="0" distL="114300" distR="114300" simplePos="0" relativeHeight="251680768" behindDoc="1" locked="0" layoutInCell="1" allowOverlap="1">
              <wp:simplePos x="0" y="0"/>
              <wp:positionH relativeFrom="page">
                <wp:posOffset>5395595</wp:posOffset>
              </wp:positionH>
              <wp:positionV relativeFrom="page">
                <wp:posOffset>9917430</wp:posOffset>
              </wp:positionV>
              <wp:extent cx="1055370" cy="1397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055370" cy="139700"/>
                      </a:xfrm>
                      <a:prstGeom prst="rect">
                        <a:avLst/>
                      </a:prstGeom>
                      <a:noFill/>
                      <a:ln>
                        <a:noFill/>
                      </a:ln>
                    </wps:spPr>
                    <wps:txbx>
                      <w:txbxContent>
                        <w:p w14:paraId="03C2DE84">
                          <w:pPr>
                            <w:spacing w:before="0" w:line="220" w:lineRule="exact"/>
                            <w:ind w:left="20" w:right="0" w:firstLine="0"/>
                            <w:jc w:val="left"/>
                            <w:rPr>
                              <w:rFonts w:hint="eastAsia" w:eastAsia="宋体"/>
                              <w:sz w:val="18"/>
                              <w:lang w:eastAsia="zh-CN"/>
                            </w:rPr>
                          </w:pPr>
                        </w:p>
                      </w:txbxContent>
                    </wps:txbx>
                    <wps:bodyPr lIns="0" tIns="0" rIns="0" bIns="0" upright="1"/>
                  </wps:wsp>
                </a:graphicData>
              </a:graphic>
            </wp:anchor>
          </w:drawing>
        </mc:Choice>
        <mc:Fallback>
          <w:pict>
            <v:shape id="_x0000_s1026" o:spid="_x0000_s1026" o:spt="202" type="#_x0000_t202" style="position:absolute;left:0pt;margin-left:424.85pt;margin-top:780.9pt;height:11pt;width:83.1pt;mso-position-horizontal-relative:page;mso-position-vertical-relative:page;z-index:-251635712;mso-width-relative:page;mso-height-relative:page;" filled="f" stroked="f" coordsize="21600,21600" o:gfxdata="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K7Uo8XaAAAADgEAAA8AAAAAAAAAAQAgAAAAIgAAAGRycy9kb3ducmV2LnhtbFBL&#10;AQIUABQAAAAIAIdO4kDcLpAVuwEAAHQDAAAOAAAAAAAAAAEAIAAAACkBAABkcnMvZTJvRG9jLnht&#10;bFBLBQYAAAAABgAGAFkBAABWBQAAAAA=&#10;">
              <v:fill on="f" focussize="0,0"/>
              <v:stroke on="f"/>
              <v:imagedata o:title=""/>
              <o:lock v:ext="edit" aspectratio="f"/>
              <v:textbox inset="0mm,0mm,0mm,0mm">
                <w:txbxContent>
                  <w:p w14:paraId="03C2DE84">
                    <w:pPr>
                      <w:spacing w:before="0" w:line="220" w:lineRule="exact"/>
                      <w:ind w:left="20" w:right="0" w:firstLine="0"/>
                      <w:jc w:val="left"/>
                      <w:rPr>
                        <w:rFonts w:hint="eastAsia" w:eastAsia="宋体"/>
                        <w:sz w:val="18"/>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382D7">
    <w:pPr>
      <w:pStyle w:val="11"/>
      <w:spacing w:line="14" w:lineRule="auto"/>
      <w:rPr>
        <w:sz w:val="20"/>
      </w:rPr>
    </w:pPr>
    <w:r>
      <w:rPr>
        <w:sz w:val="24"/>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D377A">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5ED377A">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75648" behindDoc="1" locked="0" layoutInCell="1" allowOverlap="1">
              <wp:simplePos x="0" y="0"/>
              <wp:positionH relativeFrom="page">
                <wp:posOffset>1109980</wp:posOffset>
              </wp:positionH>
              <wp:positionV relativeFrom="page">
                <wp:posOffset>9917430</wp:posOffset>
              </wp:positionV>
              <wp:extent cx="1397000" cy="139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397000" cy="139700"/>
                      </a:xfrm>
                      <a:prstGeom prst="rect">
                        <a:avLst/>
                      </a:prstGeom>
                      <a:noFill/>
                      <a:ln>
                        <a:noFill/>
                      </a:ln>
                    </wps:spPr>
                    <wps:txbx>
                      <w:txbxContent>
                        <w:p w14:paraId="052BDD5B">
                          <w:pPr>
                            <w:spacing w:before="0" w:line="220" w:lineRule="exact"/>
                            <w:ind w:left="20" w:right="0" w:firstLine="0"/>
                            <w:jc w:val="left"/>
                            <w:rPr>
                              <w:rFonts w:hint="eastAsia" w:eastAsia="宋体"/>
                              <w:sz w:val="18"/>
                              <w:lang w:eastAsia="zh-CN"/>
                            </w:rPr>
                          </w:pPr>
                        </w:p>
                      </w:txbxContent>
                    </wps:txbx>
                    <wps:bodyPr lIns="0" tIns="0" rIns="0" bIns="0" upright="1"/>
                  </wps:wsp>
                </a:graphicData>
              </a:graphic>
            </wp:anchor>
          </w:drawing>
        </mc:Choice>
        <mc:Fallback>
          <w:pict>
            <v:shape id="_x0000_s1026" o:spid="_x0000_s1026" o:spt="202" type="#_x0000_t202" style="position:absolute;left:0pt;margin-left:87.4pt;margin-top:780.9pt;height:11pt;width:110pt;mso-position-horizontal-relative:page;mso-position-vertical-relative:page;z-index:-251640832;mso-width-relative:page;mso-height-relative:page;" filled="f" stroked="f" coordsize="21600,21600" o:gfxdata="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oJZi7NkAAAANAQAADwAAAAAAAAABACAAAAAiAAAAZHJzL2Rvd25yZXYueG1sUEsBAhQAFAAA&#10;AAgAh07iQELzAXu1AQAAdAMAAA4AAAAAAAAAAQAgAAAAKAEAAGRycy9lMm9Eb2MueG1sUEsFBgAA&#10;AAAGAAYAWQEAAE8FAAAAAA==&#10;">
              <v:fill on="f" focussize="0,0"/>
              <v:stroke on="f"/>
              <v:imagedata o:title=""/>
              <o:lock v:ext="edit" aspectratio="f"/>
              <v:textbox inset="0mm,0mm,0mm,0mm">
                <w:txbxContent>
                  <w:p w14:paraId="052BDD5B">
                    <w:pPr>
                      <w:spacing w:before="0" w:line="220" w:lineRule="exact"/>
                      <w:ind w:left="20" w:right="0" w:firstLine="0"/>
                      <w:jc w:val="left"/>
                      <w:rPr>
                        <w:rFonts w:hint="eastAsia" w:eastAsia="宋体"/>
                        <w:sz w:val="18"/>
                        <w:lang w:eastAsia="zh-CN"/>
                      </w:rPr>
                    </w:pPr>
                  </w:p>
                </w:txbxContent>
              </v:textbox>
            </v:shape>
          </w:pict>
        </mc:Fallback>
      </mc:AlternateContent>
    </w:r>
    <w:r>
      <mc:AlternateContent>
        <mc:Choice Requires="wps">
          <w:drawing>
            <wp:anchor distT="0" distB="0" distL="114300" distR="114300" simplePos="0" relativeHeight="251676672" behindDoc="1" locked="0" layoutInCell="1" allowOverlap="1">
              <wp:simplePos x="0" y="0"/>
              <wp:positionH relativeFrom="page">
                <wp:posOffset>5395595</wp:posOffset>
              </wp:positionH>
              <wp:positionV relativeFrom="page">
                <wp:posOffset>9917430</wp:posOffset>
              </wp:positionV>
              <wp:extent cx="1055370" cy="139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055370" cy="139700"/>
                      </a:xfrm>
                      <a:prstGeom prst="rect">
                        <a:avLst/>
                      </a:prstGeom>
                      <a:noFill/>
                      <a:ln>
                        <a:noFill/>
                      </a:ln>
                    </wps:spPr>
                    <wps:txbx>
                      <w:txbxContent>
                        <w:p w14:paraId="1BD13CF2">
                          <w:pPr>
                            <w:spacing w:before="0" w:line="220" w:lineRule="exact"/>
                            <w:ind w:left="20" w:right="0" w:firstLine="0"/>
                            <w:jc w:val="left"/>
                            <w:rPr>
                              <w:rFonts w:hint="eastAsia" w:eastAsia="宋体"/>
                              <w:sz w:val="18"/>
                              <w:lang w:eastAsia="zh-CN"/>
                            </w:rPr>
                          </w:pPr>
                        </w:p>
                      </w:txbxContent>
                    </wps:txbx>
                    <wps:bodyPr lIns="0" tIns="0" rIns="0" bIns="0" upright="1"/>
                  </wps:wsp>
                </a:graphicData>
              </a:graphic>
            </wp:anchor>
          </w:drawing>
        </mc:Choice>
        <mc:Fallback>
          <w:pict>
            <v:shape id="_x0000_s1026" o:spid="_x0000_s1026" o:spt="202" type="#_x0000_t202" style="position:absolute;left:0pt;margin-left:424.85pt;margin-top:780.9pt;height:11pt;width:83.1pt;mso-position-horizontal-relative:page;mso-position-vertical-relative:page;z-index:-251639808;mso-width-relative:page;mso-height-relative:page;" filled="f" stroked="f" coordsize="21600,21600" o:gfxdata="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K7Uo8XaAAAADgEAAA8AAAAAAAAAAQAgAAAAIgAAAGRycy9kb3ducmV2LnhtbFBL&#10;AQIUABQAAAAIAIdO4kAHYzkquwEAAHQDAAAOAAAAAAAAAAEAIAAAACkBAABkcnMvZTJvRG9jLnht&#10;bFBLBQYAAAAABgAGAFkBAABWBQAAAAA=&#10;">
              <v:fill on="f" focussize="0,0"/>
              <v:stroke on="f"/>
              <v:imagedata o:title=""/>
              <o:lock v:ext="edit" aspectratio="f"/>
              <v:textbox inset="0mm,0mm,0mm,0mm">
                <w:txbxContent>
                  <w:p w14:paraId="1BD13CF2">
                    <w:pPr>
                      <w:spacing w:before="0" w:line="220" w:lineRule="exact"/>
                      <w:ind w:left="20" w:right="0" w:firstLine="0"/>
                      <w:jc w:val="left"/>
                      <w:rPr>
                        <w:rFonts w:hint="eastAsia" w:eastAsia="宋体"/>
                        <w:sz w:val="18"/>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FA3D6">
    <w:pPr>
      <w:pStyle w:val="11"/>
      <w:spacing w:line="14" w:lineRule="auto"/>
      <w:rPr>
        <w:sz w:val="20"/>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6096F8">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236096F8">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1109980</wp:posOffset>
              </wp:positionH>
              <wp:positionV relativeFrom="page">
                <wp:posOffset>9917430</wp:posOffset>
              </wp:positionV>
              <wp:extent cx="1654810" cy="15811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654810" cy="158115"/>
                      </a:xfrm>
                      <a:prstGeom prst="rect">
                        <a:avLst/>
                      </a:prstGeom>
                      <a:noFill/>
                      <a:ln>
                        <a:noFill/>
                      </a:ln>
                    </wps:spPr>
                    <wps:txbx>
                      <w:txbxContent>
                        <w:p w14:paraId="753BCC09">
                          <w:pPr>
                            <w:spacing w:before="0" w:line="220" w:lineRule="exact"/>
                            <w:ind w:left="20" w:right="0" w:firstLine="0"/>
                            <w:jc w:val="left"/>
                            <w:rPr>
                              <w:rFonts w:hint="eastAsia" w:eastAsia="宋体"/>
                              <w:sz w:val="18"/>
                              <w:lang w:eastAsia="zh-CN"/>
                            </w:rPr>
                          </w:pPr>
                        </w:p>
                      </w:txbxContent>
                    </wps:txbx>
                    <wps:bodyPr lIns="0" tIns="0" rIns="0" bIns="0" upright="1"/>
                  </wps:wsp>
                </a:graphicData>
              </a:graphic>
            </wp:anchor>
          </w:drawing>
        </mc:Choice>
        <mc:Fallback>
          <w:pict>
            <v:shape id="_x0000_s1026" o:spid="_x0000_s1026" o:spt="202" type="#_x0000_t202" style="position:absolute;left:0pt;margin-left:87.4pt;margin-top:780.9pt;height:12.45pt;width:130.3pt;mso-position-horizontal-relative:page;mso-position-vertical-relative:page;z-index:-251657216;mso-width-relative:page;mso-height-relative:page;" filled="f" stroked="f" coordsize="21600,21600" o:gfxdata="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1EcCT2gAAAA0BAAAPAAAAAAAAAAEAIAAAACIAAABkcnMvZG93bnJldi54bWxQSwEC&#10;FAAUAAAACACHTuJAPu4AnrkBAAByAwAADgAAAAAAAAABACAAAAApAQAAZHJzL2Uyb0RvYy54bWxQ&#10;SwUGAAAAAAYABgBZAQAAVAUAAAAA&#10;">
              <v:fill on="f" focussize="0,0"/>
              <v:stroke on="f"/>
              <v:imagedata o:title=""/>
              <o:lock v:ext="edit" aspectratio="f"/>
              <v:textbox inset="0mm,0mm,0mm,0mm">
                <w:txbxContent>
                  <w:p w14:paraId="753BCC09">
                    <w:pPr>
                      <w:spacing w:before="0" w:line="220" w:lineRule="exact"/>
                      <w:ind w:left="20" w:right="0" w:firstLine="0"/>
                      <w:jc w:val="left"/>
                      <w:rPr>
                        <w:rFonts w:hint="eastAsia" w:eastAsia="宋体"/>
                        <w:sz w:val="18"/>
                        <w:lang w:eastAsia="zh-CN"/>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5395595</wp:posOffset>
              </wp:positionH>
              <wp:positionV relativeFrom="page">
                <wp:posOffset>9917430</wp:posOffset>
              </wp:positionV>
              <wp:extent cx="1055370" cy="1397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055370" cy="139700"/>
                      </a:xfrm>
                      <a:prstGeom prst="rect">
                        <a:avLst/>
                      </a:prstGeom>
                      <a:noFill/>
                      <a:ln>
                        <a:noFill/>
                      </a:ln>
                    </wps:spPr>
                    <wps:txbx>
                      <w:txbxContent>
                        <w:p w14:paraId="59A1EE1B">
                          <w:pPr>
                            <w:spacing w:before="0" w:line="220" w:lineRule="exact"/>
                            <w:ind w:left="20" w:right="0" w:firstLine="0"/>
                            <w:jc w:val="left"/>
                            <w:rPr>
                              <w:rFonts w:hint="eastAsia" w:eastAsia="宋体"/>
                              <w:sz w:val="18"/>
                              <w:lang w:eastAsia="zh-CN"/>
                            </w:rPr>
                          </w:pPr>
                        </w:p>
                      </w:txbxContent>
                    </wps:txbx>
                    <wps:bodyPr lIns="0" tIns="0" rIns="0" bIns="0" upright="1"/>
                  </wps:wsp>
                </a:graphicData>
              </a:graphic>
            </wp:anchor>
          </w:drawing>
        </mc:Choice>
        <mc:Fallback>
          <w:pict>
            <v:shape id="_x0000_s1026" o:spid="_x0000_s1026" o:spt="202" type="#_x0000_t202" style="position:absolute;left:0pt;margin-left:424.85pt;margin-top:780.9pt;height:11pt;width:83.1pt;mso-position-horizontal-relative:page;mso-position-vertical-relative:page;z-index:-251656192;mso-width-relative:page;mso-height-relative:page;" filled="f" stroked="f" coordsize="21600,21600" o:gfxdata="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K7Uo8XaAAAADgEAAA8AAAAAAAAAAQAgAAAAIgAAAGRycy9kb3ducmV2LnhtbFBL&#10;AQIUABQAAAAIAIdO4kC6c8JfuwEAAHIDAAAOAAAAAAAAAAEAIAAAACkBAABkcnMvZTJvRG9jLnht&#10;bFBLBQYAAAAABgAGAFkBAABWBQAAAAA=&#10;">
              <v:fill on="f" focussize="0,0"/>
              <v:stroke on="f"/>
              <v:imagedata o:title=""/>
              <o:lock v:ext="edit" aspectratio="f"/>
              <v:textbox inset="0mm,0mm,0mm,0mm">
                <w:txbxContent>
                  <w:p w14:paraId="59A1EE1B">
                    <w:pPr>
                      <w:spacing w:before="0" w:line="220" w:lineRule="exact"/>
                      <w:ind w:left="20" w:right="0" w:firstLine="0"/>
                      <w:jc w:val="left"/>
                      <w:rPr>
                        <w:rFonts w:hint="eastAsia" w:eastAsia="宋体"/>
                        <w:sz w:val="18"/>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83F6A">
    <w:pPr>
      <w:pStyle w:val="11"/>
      <w:spacing w:line="14" w:lineRule="auto"/>
      <w:rPr>
        <w:sz w:val="20"/>
      </w:rPr>
    </w:pPr>
    <w:r>
      <w:rPr>
        <w:sz w:val="24"/>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F743B2">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EF743B2">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5408" behindDoc="1" locked="0" layoutInCell="1" allowOverlap="1">
              <wp:simplePos x="0" y="0"/>
              <wp:positionH relativeFrom="page">
                <wp:posOffset>1109980</wp:posOffset>
              </wp:positionH>
              <wp:positionV relativeFrom="page">
                <wp:posOffset>9917430</wp:posOffset>
              </wp:positionV>
              <wp:extent cx="1929765" cy="16764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929765" cy="167640"/>
                      </a:xfrm>
                      <a:prstGeom prst="rect">
                        <a:avLst/>
                      </a:prstGeom>
                      <a:noFill/>
                      <a:ln>
                        <a:noFill/>
                      </a:ln>
                    </wps:spPr>
                    <wps:txbx>
                      <w:txbxContent>
                        <w:p w14:paraId="7CD662EA">
                          <w:pPr>
                            <w:spacing w:before="0" w:line="220" w:lineRule="exact"/>
                            <w:ind w:left="20" w:right="0" w:firstLine="0"/>
                            <w:jc w:val="left"/>
                            <w:rPr>
                              <w:rFonts w:hint="eastAsia" w:eastAsia="宋体"/>
                              <w:sz w:val="18"/>
                              <w:lang w:eastAsia="zh-CN"/>
                            </w:rPr>
                          </w:pPr>
                        </w:p>
                      </w:txbxContent>
                    </wps:txbx>
                    <wps:bodyPr lIns="0" tIns="0" rIns="0" bIns="0" upright="1"/>
                  </wps:wsp>
                </a:graphicData>
              </a:graphic>
            </wp:anchor>
          </w:drawing>
        </mc:Choice>
        <mc:Fallback>
          <w:pict>
            <v:shape id="_x0000_s1026" o:spid="_x0000_s1026" o:spt="202" type="#_x0000_t202" style="position:absolute;left:0pt;margin-left:87.4pt;margin-top:780.9pt;height:13.2pt;width:151.95pt;mso-position-horizontal-relative:page;mso-position-vertical-relative:page;z-index:-251651072;mso-width-relative:page;mso-height-relative:page;" filled="f" stroked="f" coordsize="21600,21600" o:gfxdata="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aW6w39oAAAANAQAADwAAAAAAAAABACAAAAAiAAAAZHJzL2Rvd25yZXYueG1s&#10;UEsBAhQAFAAAAAgAh07iQAxXCFK9AQAAdAMAAA4AAAAAAAAAAQAgAAAAKQEAAGRycy9lMm9Eb2Mu&#10;eG1sUEsFBgAAAAAGAAYAWQEAAFgFAAAAAA==&#10;">
              <v:fill on="f" focussize="0,0"/>
              <v:stroke on="f"/>
              <v:imagedata o:title=""/>
              <o:lock v:ext="edit" aspectratio="f"/>
              <v:textbox inset="0mm,0mm,0mm,0mm">
                <w:txbxContent>
                  <w:p w14:paraId="7CD662EA">
                    <w:pPr>
                      <w:spacing w:before="0" w:line="220" w:lineRule="exact"/>
                      <w:ind w:left="20" w:right="0" w:firstLine="0"/>
                      <w:jc w:val="left"/>
                      <w:rPr>
                        <w:rFonts w:hint="eastAsia" w:eastAsia="宋体"/>
                        <w:sz w:val="18"/>
                        <w:lang w:eastAsia="zh-CN"/>
                      </w:rPr>
                    </w:pPr>
                  </w:p>
                </w:txbxContent>
              </v:textbox>
            </v:shape>
          </w:pict>
        </mc:Fallback>
      </mc:AlternateContent>
    </w:r>
    <w:r>
      <mc:AlternateContent>
        <mc:Choice Requires="wps">
          <w:drawing>
            <wp:anchor distT="0" distB="0" distL="114300" distR="114300" simplePos="0" relativeHeight="251666432" behindDoc="1" locked="0" layoutInCell="1" allowOverlap="1">
              <wp:simplePos x="0" y="0"/>
              <wp:positionH relativeFrom="page">
                <wp:posOffset>5395595</wp:posOffset>
              </wp:positionH>
              <wp:positionV relativeFrom="page">
                <wp:posOffset>9917430</wp:posOffset>
              </wp:positionV>
              <wp:extent cx="1055370" cy="1397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055370" cy="139700"/>
                      </a:xfrm>
                      <a:prstGeom prst="rect">
                        <a:avLst/>
                      </a:prstGeom>
                      <a:noFill/>
                      <a:ln>
                        <a:noFill/>
                      </a:ln>
                    </wps:spPr>
                    <wps:txbx>
                      <w:txbxContent>
                        <w:p w14:paraId="7501046F">
                          <w:pPr>
                            <w:spacing w:before="0" w:line="220" w:lineRule="exact"/>
                            <w:ind w:left="20" w:right="0" w:firstLine="0"/>
                            <w:jc w:val="left"/>
                            <w:rPr>
                              <w:rFonts w:hint="eastAsia" w:eastAsia="宋体"/>
                              <w:sz w:val="18"/>
                              <w:lang w:eastAsia="zh-CN"/>
                            </w:rPr>
                          </w:pPr>
                        </w:p>
                      </w:txbxContent>
                    </wps:txbx>
                    <wps:bodyPr lIns="0" tIns="0" rIns="0" bIns="0" upright="1"/>
                  </wps:wsp>
                </a:graphicData>
              </a:graphic>
            </wp:anchor>
          </w:drawing>
        </mc:Choice>
        <mc:Fallback>
          <w:pict>
            <v:shape id="_x0000_s1026" o:spid="_x0000_s1026" o:spt="202" type="#_x0000_t202" style="position:absolute;left:0pt;margin-left:424.85pt;margin-top:780.9pt;height:11pt;width:83.1pt;mso-position-horizontal-relative:page;mso-position-vertical-relative:page;z-index:-251650048;mso-width-relative:page;mso-height-relative:page;" filled="f" stroked="f" coordsize="21600,21600" o:gfxdata="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u1KPF2gAAAA4BAAAPAAAAAAAAAAEAIAAAACIAAABkcnMvZG93bnJldi54bWxQ&#10;SwECFAAUAAAACACHTuJAQeHjxLwBAAB0AwAADgAAAAAAAAABACAAAAApAQAAZHJzL2Uyb0RvYy54&#10;bWxQSwUGAAAAAAYABgBZAQAAVwUAAAAA&#10;">
              <v:fill on="f" focussize="0,0"/>
              <v:stroke on="f"/>
              <v:imagedata o:title=""/>
              <o:lock v:ext="edit" aspectratio="f"/>
              <v:textbox inset="0mm,0mm,0mm,0mm">
                <w:txbxContent>
                  <w:p w14:paraId="7501046F">
                    <w:pPr>
                      <w:spacing w:before="0" w:line="220" w:lineRule="exact"/>
                      <w:ind w:left="20" w:right="0" w:firstLine="0"/>
                      <w:jc w:val="left"/>
                      <w:rPr>
                        <w:rFonts w:hint="eastAsia" w:eastAsia="宋体"/>
                        <w:sz w:val="18"/>
                        <w:lang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24FAC">
    <w:pPr>
      <w:pStyle w:val="11"/>
      <w:spacing w:line="14" w:lineRule="auto"/>
      <w:rPr>
        <w:sz w:val="20"/>
      </w:rPr>
    </w:pPr>
    <w:r>
      <w:rPr>
        <w:sz w:val="24"/>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93038E">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0493038E">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1109980</wp:posOffset>
              </wp:positionH>
              <wp:positionV relativeFrom="page">
                <wp:posOffset>9917430</wp:posOffset>
              </wp:positionV>
              <wp:extent cx="1929765" cy="16764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929765" cy="167640"/>
                      </a:xfrm>
                      <a:prstGeom prst="rect">
                        <a:avLst/>
                      </a:prstGeom>
                      <a:noFill/>
                      <a:ln>
                        <a:noFill/>
                      </a:ln>
                    </wps:spPr>
                    <wps:txbx>
                      <w:txbxContent>
                        <w:p w14:paraId="264B6603">
                          <w:pPr>
                            <w:spacing w:before="0" w:line="220" w:lineRule="exact"/>
                            <w:ind w:right="0"/>
                            <w:jc w:val="left"/>
                            <w:rPr>
                              <w:rFonts w:hint="eastAsia" w:eastAsia="宋体"/>
                              <w:sz w:val="18"/>
                              <w:lang w:eastAsia="zh-CN"/>
                            </w:rPr>
                          </w:pPr>
                        </w:p>
                      </w:txbxContent>
                    </wps:txbx>
                    <wps:bodyPr lIns="0" tIns="0" rIns="0" bIns="0" upright="1"/>
                  </wps:wsp>
                </a:graphicData>
              </a:graphic>
            </wp:anchor>
          </w:drawing>
        </mc:Choice>
        <mc:Fallback>
          <w:pict>
            <v:shape id="_x0000_s1026" o:spid="_x0000_s1026" o:spt="202" type="#_x0000_t202" style="position:absolute;left:0pt;margin-left:87.4pt;margin-top:780.9pt;height:13.2pt;width:151.95pt;mso-position-horizontal-relative:page;mso-position-vertical-relative:page;z-index:-251655168;mso-width-relative:page;mso-height-relative:page;" filled="f" stroked="f" coordsize="21600,21600" o:gfxdata="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lusN/aAAAADQEAAA8AAAAAAAAAAQAgAAAAIgAAAGRycy9kb3ducmV2LnhtbFBL&#10;AQIUABQAAAAIAIdO4kCpVp0xuwEAAHIDAAAOAAAAAAAAAAEAIAAAACkBAABkcnMvZTJvRG9jLnht&#10;bFBLBQYAAAAABgAGAFkBAABWBQAAAAA=&#10;">
              <v:fill on="f" focussize="0,0"/>
              <v:stroke on="f"/>
              <v:imagedata o:title=""/>
              <o:lock v:ext="edit" aspectratio="f"/>
              <v:textbox inset="0mm,0mm,0mm,0mm">
                <w:txbxContent>
                  <w:p w14:paraId="264B6603">
                    <w:pPr>
                      <w:spacing w:before="0" w:line="220" w:lineRule="exact"/>
                      <w:ind w:right="0"/>
                      <w:jc w:val="left"/>
                      <w:rPr>
                        <w:rFonts w:hint="eastAsia" w:eastAsia="宋体"/>
                        <w:sz w:val="18"/>
                        <w:lang w:eastAsia="zh-CN"/>
                      </w:rPr>
                    </w:pP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5395595</wp:posOffset>
              </wp:positionH>
              <wp:positionV relativeFrom="page">
                <wp:posOffset>9917430</wp:posOffset>
              </wp:positionV>
              <wp:extent cx="1055370" cy="1397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055370" cy="139700"/>
                      </a:xfrm>
                      <a:prstGeom prst="rect">
                        <a:avLst/>
                      </a:prstGeom>
                      <a:noFill/>
                      <a:ln>
                        <a:noFill/>
                      </a:ln>
                    </wps:spPr>
                    <wps:txbx>
                      <w:txbxContent>
                        <w:p w14:paraId="39853E03">
                          <w:pPr>
                            <w:spacing w:before="0" w:line="220" w:lineRule="exact"/>
                            <w:ind w:right="0"/>
                            <w:jc w:val="left"/>
                            <w:rPr>
                              <w:rFonts w:hint="eastAsia" w:eastAsia="宋体"/>
                              <w:sz w:val="18"/>
                              <w:lang w:eastAsia="zh-CN"/>
                            </w:rPr>
                          </w:pPr>
                        </w:p>
                      </w:txbxContent>
                    </wps:txbx>
                    <wps:bodyPr lIns="0" tIns="0" rIns="0" bIns="0" upright="1"/>
                  </wps:wsp>
                </a:graphicData>
              </a:graphic>
            </wp:anchor>
          </w:drawing>
        </mc:Choice>
        <mc:Fallback>
          <w:pict>
            <v:shape id="_x0000_s1026" o:spid="_x0000_s1026" o:spt="202" type="#_x0000_t202" style="position:absolute;left:0pt;margin-left:424.85pt;margin-top:780.9pt;height:11pt;width:83.1pt;mso-position-horizontal-relative:page;mso-position-vertical-relative:page;z-index:-251654144;mso-width-relative:page;mso-height-relative:page;" filled="f" stroked="f" coordsize="21600,21600" o:gfxdata="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rtSjxdoAAAAOAQAADwAAAAAAAAABACAAAAAiAAAAZHJzL2Rvd25yZXYueG1sUEsB&#10;AhQAFAAAAAgAh07iQALRCY26AQAAcgMAAA4AAAAAAAAAAQAgAAAAKQEAAGRycy9lMm9Eb2MueG1s&#10;UEsFBgAAAAAGAAYAWQEAAFUFAAAAAA==&#10;">
              <v:fill on="f" focussize="0,0"/>
              <v:stroke on="f"/>
              <v:imagedata o:title=""/>
              <o:lock v:ext="edit" aspectratio="f"/>
              <v:textbox inset="0mm,0mm,0mm,0mm">
                <w:txbxContent>
                  <w:p w14:paraId="39853E03">
                    <w:pPr>
                      <w:spacing w:before="0" w:line="220" w:lineRule="exact"/>
                      <w:ind w:right="0"/>
                      <w:jc w:val="left"/>
                      <w:rPr>
                        <w:rFonts w:hint="eastAsia" w:eastAsia="宋体"/>
                        <w:sz w:val="18"/>
                        <w:lang w:eastAsia="zh-CN"/>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E4694">
    <w:pPr>
      <w:pStyle w:val="11"/>
      <w:spacing w:line="14" w:lineRule="auto"/>
      <w:rPr>
        <w:sz w:val="20"/>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59A3912">
                          <w:pPr>
                            <w:pStyle w:val="17"/>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59A3912">
                    <w:pPr>
                      <w:pStyle w:val="17"/>
                    </w:pPr>
                    <w:r>
                      <w:fldChar w:fldCharType="begin"/>
                    </w:r>
                    <w:r>
                      <w:instrText xml:space="preserve"> PAGE  \* MERGEFORMAT </w:instrText>
                    </w:r>
                    <w:r>
                      <w:fldChar w:fldCharType="separate"/>
                    </w:r>
                    <w:r>
                      <w:t>34</w:t>
                    </w:r>
                    <w:r>
                      <w:fldChar w:fldCharType="end"/>
                    </w:r>
                  </w:p>
                </w:txbxContent>
              </v:textbox>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1130300</wp:posOffset>
              </wp:positionH>
              <wp:positionV relativeFrom="page">
                <wp:posOffset>9917430</wp:posOffset>
              </wp:positionV>
              <wp:extent cx="1825625" cy="139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5625" cy="139700"/>
                      </a:xfrm>
                      <a:prstGeom prst="rect">
                        <a:avLst/>
                      </a:prstGeom>
                      <a:noFill/>
                      <a:ln>
                        <a:noFill/>
                      </a:ln>
                      <a:effectLst/>
                    </wps:spPr>
                    <wps:txbx>
                      <w:txbxContent>
                        <w:p w14:paraId="709658C7">
                          <w:pPr>
                            <w:spacing w:line="220"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89pt;margin-top:780.9pt;height:11pt;width:143.75pt;mso-position-horizontal-relative:page;mso-position-vertical-relative:page;z-index:-251653120;mso-width-relative:page;mso-height-relative:page;" filled="f" stroked="f" coordsize="21600,21600" o:gfxdata="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5X5AatoAAAANAQAADwAAAAAAAAABACAAAAAiAAAAZHJzL2Rvd25yZXYu&#10;eG1sUEsBAhQAFAAAAAgAh07iQFOFz9fAAQAAgAMAAA4AAAAAAAAAAQAgAAAAKQEAAGRycy9lMm9E&#10;b2MueG1sUEsFBgAAAAAGAAYAWQEAAFsFAAAAAA==&#10;">
              <v:fill on="f" focussize="0,0"/>
              <v:stroke on="f"/>
              <v:imagedata o:title=""/>
              <o:lock v:ext="edit" aspectratio="f"/>
              <v:textbox inset="0mm,0mm,0mm,0mm">
                <w:txbxContent>
                  <w:p w14:paraId="709658C7">
                    <w:pPr>
                      <w:spacing w:line="220" w:lineRule="exact"/>
                      <w:ind w:left="20"/>
                      <w:rPr>
                        <w:sz w:val="18"/>
                      </w:rPr>
                    </w:pPr>
                  </w:p>
                </w:txbxContent>
              </v:textbox>
            </v:shape>
          </w:pict>
        </mc:Fallback>
      </mc:AlternateContent>
    </w:r>
    <w:r>
      <mc:AlternateContent>
        <mc:Choice Requires="wps">
          <w:drawing>
            <wp:anchor distT="0" distB="0" distL="114300" distR="114300" simplePos="0" relativeHeight="251664384" behindDoc="1" locked="0" layoutInCell="1" allowOverlap="1">
              <wp:simplePos x="0" y="0"/>
              <wp:positionH relativeFrom="page">
                <wp:posOffset>5415280</wp:posOffset>
              </wp:positionH>
              <wp:positionV relativeFrom="page">
                <wp:posOffset>9917430</wp:posOffset>
              </wp:positionV>
              <wp:extent cx="1015365" cy="1397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015365" cy="139700"/>
                      </a:xfrm>
                      <a:prstGeom prst="rect">
                        <a:avLst/>
                      </a:prstGeom>
                      <a:noFill/>
                      <a:ln>
                        <a:noFill/>
                      </a:ln>
                      <a:effectLst/>
                    </wps:spPr>
                    <wps:txbx>
                      <w:txbxContent>
                        <w:p w14:paraId="6DB27BC2">
                          <w:pPr>
                            <w:spacing w:line="220"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426.4pt;margin-top:780.9pt;height:11pt;width:79.95pt;mso-position-horizontal-relative:page;mso-position-vertical-relative:page;z-index:-251652096;mso-width-relative:page;mso-height-relative:page;" filled="f" stroked="f" coordsize="21600,21600" o:gfxdata="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HwQOT2gAAAA4BAAAPAAAAAAAAAAEAIAAAACIAAABkcnMvZG93bnJldi54&#10;bWxQSwECFAAUAAAACACHTuJADhoS3r8BAACAAwAADgAAAAAAAAABACAAAAApAQAAZHJzL2Uyb0Rv&#10;Yy54bWxQSwUGAAAAAAYABgBZAQAAWgUAAAAA&#10;">
              <v:fill on="f" focussize="0,0"/>
              <v:stroke on="f"/>
              <v:imagedata o:title=""/>
              <o:lock v:ext="edit" aspectratio="f"/>
              <v:textbox inset="0mm,0mm,0mm,0mm">
                <w:txbxContent>
                  <w:p w14:paraId="6DB27BC2">
                    <w:pPr>
                      <w:spacing w:line="220" w:lineRule="exact"/>
                      <w:ind w:left="20"/>
                      <w:rPr>
                        <w:sz w:val="18"/>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561B9">
    <w:pPr>
      <w:pStyle w:val="11"/>
      <w:spacing w:line="14" w:lineRule="auto"/>
      <w:rPr>
        <w:sz w:val="20"/>
      </w:rPr>
    </w:pPr>
    <w:r>
      <w:rPr>
        <w:sz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77A713">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5B77A713">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30</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1130300</wp:posOffset>
              </wp:positionH>
              <wp:positionV relativeFrom="page">
                <wp:posOffset>9917430</wp:posOffset>
              </wp:positionV>
              <wp:extent cx="1825625" cy="1397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5625" cy="139700"/>
                      </a:xfrm>
                      <a:prstGeom prst="rect">
                        <a:avLst/>
                      </a:prstGeom>
                      <a:noFill/>
                      <a:ln>
                        <a:noFill/>
                      </a:ln>
                    </wps:spPr>
                    <wps:txbx>
                      <w:txbxContent>
                        <w:p w14:paraId="7627177A">
                          <w:pPr>
                            <w:spacing w:before="0" w:line="220" w:lineRule="exact"/>
                            <w:ind w:left="20" w:right="0" w:firstLine="0"/>
                            <w:jc w:val="left"/>
                            <w:rPr>
                              <w:rFonts w:hint="eastAsia" w:eastAsia="宋体"/>
                              <w:sz w:val="18"/>
                              <w:lang w:eastAsia="zh-CN"/>
                            </w:rPr>
                          </w:pPr>
                        </w:p>
                      </w:txbxContent>
                    </wps:txbx>
                    <wps:bodyPr lIns="0" tIns="0" rIns="0" bIns="0" upright="1"/>
                  </wps:wsp>
                </a:graphicData>
              </a:graphic>
            </wp:anchor>
          </w:drawing>
        </mc:Choice>
        <mc:Fallback>
          <w:pict>
            <v:shape id="_x0000_s1026" o:spid="_x0000_s1026" o:spt="202" type="#_x0000_t202" style="position:absolute;left:0pt;margin-left:89pt;margin-top:780.9pt;height:11pt;width:143.75pt;mso-position-horizontal-relative:page;mso-position-vertical-relative:page;z-index:-251653120;mso-width-relative:page;mso-height-relative:page;" filled="f" stroked="f" coordsize="21600,21600" o:gfxdata="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lfkBq2gAAAA0BAAAPAAAAAAAAAAEAIAAAACIAAABkcnMvZG93bnJldi54bWxQ&#10;SwECFAAUAAAACACHTuJAYJh/R7wBAAB0AwAADgAAAAAAAAABACAAAAApAQAAZHJzL2Uyb0RvYy54&#10;bWxQSwUGAAAAAAYABgBZAQAAVwUAAAAA&#10;">
              <v:fill on="f" focussize="0,0"/>
              <v:stroke on="f"/>
              <v:imagedata o:title=""/>
              <o:lock v:ext="edit" aspectratio="f"/>
              <v:textbox inset="0mm,0mm,0mm,0mm">
                <w:txbxContent>
                  <w:p w14:paraId="7627177A">
                    <w:pPr>
                      <w:spacing w:before="0" w:line="220" w:lineRule="exact"/>
                      <w:ind w:left="20" w:right="0" w:firstLine="0"/>
                      <w:jc w:val="left"/>
                      <w:rPr>
                        <w:rFonts w:hint="eastAsia" w:eastAsia="宋体"/>
                        <w:sz w:val="18"/>
                        <w:lang w:eastAsia="zh-CN"/>
                      </w:rPr>
                    </w:pPr>
                  </w:p>
                </w:txbxContent>
              </v:textbox>
            </v:shape>
          </w:pict>
        </mc:Fallback>
      </mc:AlternateContent>
    </w:r>
    <w:r>
      <mc:AlternateContent>
        <mc:Choice Requires="wps">
          <w:drawing>
            <wp:anchor distT="0" distB="0" distL="114300" distR="114300" simplePos="0" relativeHeight="251664384" behindDoc="1" locked="0" layoutInCell="1" allowOverlap="1">
              <wp:simplePos x="0" y="0"/>
              <wp:positionH relativeFrom="page">
                <wp:posOffset>5415280</wp:posOffset>
              </wp:positionH>
              <wp:positionV relativeFrom="page">
                <wp:posOffset>9917430</wp:posOffset>
              </wp:positionV>
              <wp:extent cx="1015365" cy="1397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015365" cy="139700"/>
                      </a:xfrm>
                      <a:prstGeom prst="rect">
                        <a:avLst/>
                      </a:prstGeom>
                      <a:noFill/>
                      <a:ln>
                        <a:noFill/>
                      </a:ln>
                    </wps:spPr>
                    <wps:txbx>
                      <w:txbxContent>
                        <w:p w14:paraId="14D439D1">
                          <w:pPr>
                            <w:spacing w:before="0" w:line="220" w:lineRule="exact"/>
                            <w:ind w:left="20" w:right="0" w:firstLine="0"/>
                            <w:jc w:val="left"/>
                            <w:rPr>
                              <w:rFonts w:hint="eastAsia" w:eastAsia="宋体"/>
                              <w:sz w:val="18"/>
                              <w:lang w:eastAsia="zh-CN"/>
                            </w:rPr>
                          </w:pPr>
                        </w:p>
                      </w:txbxContent>
                    </wps:txbx>
                    <wps:bodyPr lIns="0" tIns="0" rIns="0" bIns="0" upright="1"/>
                  </wps:wsp>
                </a:graphicData>
              </a:graphic>
            </wp:anchor>
          </w:drawing>
        </mc:Choice>
        <mc:Fallback>
          <w:pict>
            <v:shape id="_x0000_s1026" o:spid="_x0000_s1026" o:spt="202" type="#_x0000_t202" style="position:absolute;left:0pt;margin-left:426.4pt;margin-top:780.9pt;height:11pt;width:79.95pt;mso-position-horizontal-relative:page;mso-position-vertical-relative:page;z-index:-251652096;mso-width-relative:page;mso-height-relative:page;" filled="f" stroked="f" coordsize="21600,21600" o:gfxdata="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HwQOT2gAAAA4BAAAPAAAAAAAAAAEAIAAAACIAAABkcnMvZG93bnJldi54bWxQ&#10;SwECFAAUAAAACACHTuJAmtl/xrwBAAB0AwAADgAAAAAAAAABACAAAAApAQAAZHJzL2Uyb0RvYy54&#10;bWxQSwUGAAAAAAYABgBZAQAAVwUAAAAA&#10;">
              <v:fill on="f" focussize="0,0"/>
              <v:stroke on="f"/>
              <v:imagedata o:title=""/>
              <o:lock v:ext="edit" aspectratio="f"/>
              <v:textbox inset="0mm,0mm,0mm,0mm">
                <w:txbxContent>
                  <w:p w14:paraId="14D439D1">
                    <w:pPr>
                      <w:spacing w:before="0" w:line="220" w:lineRule="exact"/>
                      <w:ind w:left="20" w:right="0" w:firstLine="0"/>
                      <w:jc w:val="left"/>
                      <w:rPr>
                        <w:rFonts w:hint="eastAsia" w:eastAsia="宋体"/>
                        <w:sz w:val="18"/>
                        <w:lang w:eastAsia="zh-CN"/>
                      </w:rPr>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C035C">
    <w:pPr>
      <w:pStyle w:val="17"/>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9CCCA4">
                          <w:pPr>
                            <w:pStyle w:val="17"/>
                          </w:pPr>
                          <w:r>
                            <w:fldChar w:fldCharType="begin"/>
                          </w:r>
                          <w:r>
                            <w:instrText xml:space="preserve"> PAGE  \* MERGEFORMAT </w:instrText>
                          </w:r>
                          <w:r>
                            <w:fldChar w:fldCharType="separate"/>
                          </w:r>
                          <w:r>
                            <w:t>63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OwyWM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jOwyWMoBAACbAwAADgAAAAAAAAABACAAAAAeAQAAZHJzL2Uyb0Rv&#10;Yy54bWxQSwUGAAAAAAYABgBZAQAAWgUAAAAA&#10;">
              <v:fill on="f" focussize="0,0"/>
              <v:stroke on="f"/>
              <v:imagedata o:title=""/>
              <o:lock v:ext="edit" aspectratio="f"/>
              <v:textbox inset="0mm,0mm,0mm,0mm" style="mso-fit-shape-to-text:t;">
                <w:txbxContent>
                  <w:p w14:paraId="539CCCA4">
                    <w:pPr>
                      <w:pStyle w:val="17"/>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E25D3">
    <w:pPr>
      <w:pStyle w:val="18"/>
      <w:pBdr>
        <w:bottom w:val="single" w:color="auto" w:sz="4" w:space="1"/>
      </w:pBdr>
      <w:wordWrap w:val="0"/>
      <w:jc w:val="both"/>
      <w:rPr>
        <w:rFonts w:hint="eastAsia"/>
        <w:lang w:val="en-US" w:eastAsia="zh-CN"/>
      </w:rPr>
    </w:pPr>
  </w:p>
  <w:p w14:paraId="51F98B77">
    <w:pPr>
      <w:pStyle w:val="18"/>
      <w:pBdr>
        <w:bottom w:val="single" w:color="auto" w:sz="4" w:space="1"/>
      </w:pBdr>
      <w:wordWrap w:val="0"/>
      <w:jc w:val="both"/>
      <w:rPr>
        <w:rFonts w:hint="eastAsia"/>
        <w:lang w:val="en-US" w:eastAsia="zh-CN"/>
      </w:rPr>
    </w:pPr>
  </w:p>
  <w:p w14:paraId="78E08A25">
    <w:pPr>
      <w:pStyle w:val="18"/>
      <w:pBdr>
        <w:bottom w:val="single" w:color="auto" w:sz="4" w:space="1"/>
      </w:pBdr>
      <w:wordWrap w:val="0"/>
      <w:jc w:val="both"/>
      <w:rPr>
        <w:rFonts w:hint="eastAsia"/>
        <w:lang w:val="en-US" w:eastAsia="zh-CN"/>
      </w:rPr>
    </w:pPr>
  </w:p>
  <w:p w14:paraId="7A5145D7">
    <w:pPr>
      <w:pStyle w:val="18"/>
      <w:pBdr>
        <w:bottom w:val="single" w:color="auto" w:sz="4" w:space="1"/>
      </w:pBdr>
      <w:wordWrap w:val="0"/>
      <w:jc w:val="both"/>
      <w:rPr>
        <w:rFonts w:hint="eastAsia"/>
        <w:lang w:val="en-US" w:eastAsia="zh-CN"/>
      </w:rPr>
    </w:pPr>
  </w:p>
  <w:p w14:paraId="3404DE8D">
    <w:pPr>
      <w:pStyle w:val="18"/>
      <w:pBdr>
        <w:bottom w:val="single" w:color="auto" w:sz="4" w:space="1"/>
      </w:pBdr>
      <w:wordWrap w:val="0"/>
      <w:jc w:val="both"/>
      <w:rPr>
        <w:rFonts w:hint="eastAsia"/>
        <w:lang w:val="en-US" w:eastAsia="zh-CN"/>
      </w:rPr>
    </w:pPr>
  </w:p>
  <w:p w14:paraId="31892A9E">
    <w:pPr>
      <w:pStyle w:val="18"/>
      <w:pBdr>
        <w:bottom w:val="single" w:color="auto" w:sz="4" w:space="1"/>
      </w:pBdr>
      <w:wordWrap w:val="0"/>
      <w:jc w:val="both"/>
      <w:rPr>
        <w:rFonts w:hint="default" w:eastAsia="宋体"/>
        <w:lang w:val="en-US" w:eastAsia="zh-CN"/>
      </w:rPr>
    </w:pPr>
    <w:r>
      <w:rPr>
        <w:rFonts w:hint="eastAsia"/>
        <w:lang w:val="en-US" w:eastAsia="zh-CN"/>
      </w:rPr>
      <w:t>湖南湘建智科工程技术有限公司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B637F">
    <w:pPr>
      <w:pStyle w:val="18"/>
      <w:pBdr>
        <w:bottom w:val="single" w:color="auto" w:sz="4" w:space="1"/>
      </w:pBdr>
      <w:wordWrap w:val="0"/>
      <w:jc w:val="both"/>
      <w:rPr>
        <w:rFonts w:hint="eastAsia"/>
        <w:lang w:val="en-US" w:eastAsia="zh-CN"/>
      </w:rPr>
    </w:pPr>
  </w:p>
  <w:p w14:paraId="3E48AFA9">
    <w:pPr>
      <w:pStyle w:val="18"/>
      <w:pBdr>
        <w:bottom w:val="single" w:color="auto" w:sz="4" w:space="1"/>
      </w:pBdr>
      <w:wordWrap w:val="0"/>
      <w:jc w:val="both"/>
      <w:rPr>
        <w:rFonts w:hint="eastAsia"/>
        <w:lang w:val="en-US" w:eastAsia="zh-CN"/>
      </w:rPr>
    </w:pPr>
  </w:p>
  <w:p w14:paraId="5E2D7F37">
    <w:pPr>
      <w:pStyle w:val="18"/>
      <w:pBdr>
        <w:bottom w:val="single" w:color="auto" w:sz="4" w:space="1"/>
      </w:pBdr>
      <w:wordWrap w:val="0"/>
      <w:jc w:val="both"/>
      <w:rPr>
        <w:rFonts w:hint="eastAsia"/>
        <w:lang w:val="en-US" w:eastAsia="zh-CN"/>
      </w:rPr>
    </w:pPr>
  </w:p>
  <w:p w14:paraId="6CEBE319">
    <w:pPr>
      <w:pStyle w:val="18"/>
      <w:pBdr>
        <w:bottom w:val="single" w:color="auto" w:sz="4" w:space="1"/>
      </w:pBdr>
      <w:wordWrap w:val="0"/>
      <w:jc w:val="both"/>
      <w:rPr>
        <w:rFonts w:hint="eastAsia"/>
        <w:lang w:val="en-US" w:eastAsia="zh-CN"/>
      </w:rPr>
    </w:pPr>
  </w:p>
  <w:p w14:paraId="46296B28">
    <w:pPr>
      <w:pStyle w:val="18"/>
      <w:pBdr>
        <w:bottom w:val="single" w:color="auto" w:sz="4" w:space="1"/>
      </w:pBdr>
      <w:wordWrap w:val="0"/>
      <w:jc w:val="both"/>
      <w:rPr>
        <w:rFonts w:hint="eastAsia"/>
        <w:lang w:val="en-US" w:eastAsia="zh-CN"/>
      </w:rPr>
    </w:pPr>
  </w:p>
  <w:p w14:paraId="28B24CC2">
    <w:pPr>
      <w:pStyle w:val="18"/>
      <w:pBdr>
        <w:bottom w:val="single" w:color="auto" w:sz="4" w:space="1"/>
      </w:pBdr>
      <w:wordWrap w:val="0"/>
      <w:jc w:val="both"/>
      <w:rPr>
        <w:rFonts w:hint="default" w:eastAsia="宋体"/>
        <w:lang w:val="en-US" w:eastAsia="zh-CN"/>
      </w:rPr>
    </w:pPr>
    <w:r>
      <w:rPr>
        <w:rFonts w:hint="eastAsia"/>
        <w:lang w:val="en-US" w:eastAsia="zh-CN"/>
      </w:rPr>
      <w:t>湖南湘建智科工程技术有限公司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F251F">
    <w:pPr>
      <w:pStyle w:val="18"/>
      <w:pBdr>
        <w:bottom w:val="single" w:color="auto" w:sz="4" w:space="1"/>
      </w:pBdr>
      <w:wordWrap w:val="0"/>
      <w:jc w:val="both"/>
      <w:rPr>
        <w:rFonts w:hint="eastAsia"/>
        <w:lang w:val="en-US" w:eastAsia="zh-CN"/>
      </w:rPr>
    </w:pPr>
  </w:p>
  <w:p w14:paraId="01EEE131">
    <w:pPr>
      <w:pStyle w:val="18"/>
      <w:pBdr>
        <w:bottom w:val="single" w:color="auto" w:sz="4" w:space="1"/>
      </w:pBdr>
      <w:wordWrap w:val="0"/>
      <w:jc w:val="both"/>
      <w:rPr>
        <w:rFonts w:hint="default" w:eastAsia="宋体"/>
        <w:lang w:val="en-US" w:eastAsia="zh-CN"/>
      </w:rPr>
    </w:pPr>
    <w:r>
      <w:rPr>
        <w:rFonts w:hint="eastAsia"/>
        <w:lang w:val="en-US" w:eastAsia="zh-CN"/>
      </w:rPr>
      <w:t>湖南湘建智科工程技术有限公司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95BAE">
    <w:pPr>
      <w:pStyle w:val="18"/>
      <w:pBdr>
        <w:bottom w:val="single" w:color="auto" w:sz="4" w:space="1"/>
      </w:pBdr>
      <w:wordWrap w:val="0"/>
      <w:jc w:val="both"/>
      <w:rPr>
        <w:rFonts w:hint="eastAsia"/>
        <w:lang w:val="en-US" w:eastAsia="zh-CN"/>
      </w:rPr>
    </w:pPr>
  </w:p>
  <w:p w14:paraId="363B2BC0">
    <w:pPr>
      <w:pStyle w:val="18"/>
      <w:pBdr>
        <w:bottom w:val="single" w:color="auto" w:sz="4" w:space="1"/>
      </w:pBdr>
      <w:wordWrap w:val="0"/>
      <w:jc w:val="both"/>
      <w:rPr>
        <w:rFonts w:hint="default" w:eastAsia="宋体"/>
        <w:lang w:val="en-US" w:eastAsia="zh-CN"/>
      </w:rPr>
    </w:pPr>
    <w:r>
      <w:rPr>
        <w:rFonts w:hint="eastAsia"/>
        <w:lang w:val="en-US" w:eastAsia="zh-CN"/>
      </w:rPr>
      <w:t>湖南湘建智科工程技术有限公司</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4D02A">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B5372"/>
    <w:multiLevelType w:val="multilevel"/>
    <w:tmpl w:val="845B5372"/>
    <w:lvl w:ilvl="0" w:tentative="0">
      <w:start w:val="2"/>
      <w:numFmt w:val="decimal"/>
      <w:lvlText w:val="%1"/>
      <w:lvlJc w:val="left"/>
      <w:pPr>
        <w:ind w:left="1003" w:hanging="420"/>
        <w:jc w:val="left"/>
      </w:pPr>
      <w:rPr>
        <w:rFonts w:hint="default"/>
        <w:lang w:val="zh-CN" w:eastAsia="zh-CN" w:bidi="zh-CN"/>
      </w:rPr>
    </w:lvl>
    <w:lvl w:ilvl="1" w:tentative="0">
      <w:start w:val="1"/>
      <w:numFmt w:val="decimal"/>
      <w:lvlText w:val="%1.%2"/>
      <w:lvlJc w:val="left"/>
      <w:pPr>
        <w:ind w:left="1003" w:hanging="420"/>
        <w:jc w:val="left"/>
      </w:pPr>
      <w:rPr>
        <w:rFonts w:hint="default" w:ascii="宋体" w:hAnsi="宋体" w:eastAsia="宋体" w:cs="宋体"/>
        <w:w w:val="100"/>
        <w:sz w:val="24"/>
        <w:szCs w:val="24"/>
        <w:lang w:val="zh-CN" w:eastAsia="zh-CN" w:bidi="zh-CN"/>
      </w:rPr>
    </w:lvl>
    <w:lvl w:ilvl="2" w:tentative="0">
      <w:start w:val="1"/>
      <w:numFmt w:val="decimal"/>
      <w:lvlText w:val="%1.%2.%3"/>
      <w:lvlJc w:val="left"/>
      <w:pPr>
        <w:ind w:left="112" w:hanging="723"/>
        <w:jc w:val="left"/>
      </w:pPr>
      <w:rPr>
        <w:rFonts w:hint="default" w:ascii="宋体" w:hAnsi="宋体" w:eastAsia="宋体" w:cs="宋体"/>
        <w:w w:val="100"/>
        <w:sz w:val="24"/>
        <w:szCs w:val="24"/>
        <w:lang w:val="zh-CN" w:eastAsia="zh-CN" w:bidi="zh-CN"/>
      </w:rPr>
    </w:lvl>
    <w:lvl w:ilvl="3" w:tentative="0">
      <w:start w:val="0"/>
      <w:numFmt w:val="bullet"/>
      <w:lvlText w:val="•"/>
      <w:lvlJc w:val="left"/>
      <w:pPr>
        <w:ind w:left="2370" w:hanging="723"/>
      </w:pPr>
      <w:rPr>
        <w:rFonts w:hint="default"/>
        <w:lang w:val="zh-CN" w:eastAsia="zh-CN" w:bidi="zh-CN"/>
      </w:rPr>
    </w:lvl>
    <w:lvl w:ilvl="4" w:tentative="0">
      <w:start w:val="0"/>
      <w:numFmt w:val="bullet"/>
      <w:lvlText w:val="•"/>
      <w:lvlJc w:val="left"/>
      <w:pPr>
        <w:ind w:left="3501" w:hanging="723"/>
      </w:pPr>
      <w:rPr>
        <w:rFonts w:hint="default"/>
        <w:lang w:val="zh-CN" w:eastAsia="zh-CN" w:bidi="zh-CN"/>
      </w:rPr>
    </w:lvl>
    <w:lvl w:ilvl="5" w:tentative="0">
      <w:start w:val="0"/>
      <w:numFmt w:val="bullet"/>
      <w:lvlText w:val="•"/>
      <w:lvlJc w:val="left"/>
      <w:pPr>
        <w:ind w:left="4632" w:hanging="723"/>
      </w:pPr>
      <w:rPr>
        <w:rFonts w:hint="default"/>
        <w:lang w:val="zh-CN" w:eastAsia="zh-CN" w:bidi="zh-CN"/>
      </w:rPr>
    </w:lvl>
    <w:lvl w:ilvl="6" w:tentative="0">
      <w:start w:val="0"/>
      <w:numFmt w:val="bullet"/>
      <w:lvlText w:val="•"/>
      <w:lvlJc w:val="left"/>
      <w:pPr>
        <w:ind w:left="5763" w:hanging="723"/>
      </w:pPr>
      <w:rPr>
        <w:rFonts w:hint="default"/>
        <w:lang w:val="zh-CN" w:eastAsia="zh-CN" w:bidi="zh-CN"/>
      </w:rPr>
    </w:lvl>
    <w:lvl w:ilvl="7" w:tentative="0">
      <w:start w:val="0"/>
      <w:numFmt w:val="bullet"/>
      <w:lvlText w:val="•"/>
      <w:lvlJc w:val="left"/>
      <w:pPr>
        <w:ind w:left="6893" w:hanging="723"/>
      </w:pPr>
      <w:rPr>
        <w:rFonts w:hint="default"/>
        <w:lang w:val="zh-CN" w:eastAsia="zh-CN" w:bidi="zh-CN"/>
      </w:rPr>
    </w:lvl>
    <w:lvl w:ilvl="8" w:tentative="0">
      <w:start w:val="0"/>
      <w:numFmt w:val="bullet"/>
      <w:lvlText w:val="•"/>
      <w:lvlJc w:val="left"/>
      <w:pPr>
        <w:ind w:left="8024" w:hanging="723"/>
      </w:pPr>
      <w:rPr>
        <w:rFonts w:hint="default"/>
        <w:lang w:val="zh-CN" w:eastAsia="zh-CN" w:bidi="zh-CN"/>
      </w:rPr>
    </w:lvl>
  </w:abstractNum>
  <w:abstractNum w:abstractNumId="1">
    <w:nsid w:val="8B6DEA71"/>
    <w:multiLevelType w:val="singleLevel"/>
    <w:tmpl w:val="8B6DEA71"/>
    <w:lvl w:ilvl="0" w:tentative="0">
      <w:start w:val="1"/>
      <w:numFmt w:val="decimal"/>
      <w:lvlText w:val="(%1)"/>
      <w:lvlJc w:val="left"/>
      <w:pPr>
        <w:ind w:left="425" w:hanging="425"/>
      </w:pPr>
      <w:rPr>
        <w:rFonts w:hint="default"/>
      </w:rPr>
    </w:lvl>
  </w:abstractNum>
  <w:abstractNum w:abstractNumId="2">
    <w:nsid w:val="8CAEB125"/>
    <w:multiLevelType w:val="multilevel"/>
    <w:tmpl w:val="8CAEB125"/>
    <w:lvl w:ilvl="0" w:tentative="0">
      <w:start w:val="1"/>
      <w:numFmt w:val="decimal"/>
      <w:lvlText w:val="（%1）"/>
      <w:lvlJc w:val="left"/>
      <w:pPr>
        <w:ind w:left="1193"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108" w:hanging="601"/>
      </w:pPr>
      <w:rPr>
        <w:rFonts w:hint="default"/>
        <w:lang w:val="zh-CN" w:eastAsia="zh-CN" w:bidi="zh-CN"/>
      </w:rPr>
    </w:lvl>
    <w:lvl w:ilvl="2" w:tentative="0">
      <w:start w:val="0"/>
      <w:numFmt w:val="bullet"/>
      <w:lvlText w:val="•"/>
      <w:lvlJc w:val="left"/>
      <w:pPr>
        <w:ind w:left="3017" w:hanging="601"/>
      </w:pPr>
      <w:rPr>
        <w:rFonts w:hint="default"/>
        <w:lang w:val="zh-CN" w:eastAsia="zh-CN" w:bidi="zh-CN"/>
      </w:rPr>
    </w:lvl>
    <w:lvl w:ilvl="3" w:tentative="0">
      <w:start w:val="0"/>
      <w:numFmt w:val="bullet"/>
      <w:lvlText w:val="•"/>
      <w:lvlJc w:val="left"/>
      <w:pPr>
        <w:ind w:left="392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43" w:hanging="601"/>
      </w:pPr>
      <w:rPr>
        <w:rFonts w:hint="default"/>
        <w:lang w:val="zh-CN" w:eastAsia="zh-CN" w:bidi="zh-CN"/>
      </w:rPr>
    </w:lvl>
    <w:lvl w:ilvl="6" w:tentative="0">
      <w:start w:val="0"/>
      <w:numFmt w:val="bullet"/>
      <w:lvlText w:val="•"/>
      <w:lvlJc w:val="left"/>
      <w:pPr>
        <w:ind w:left="6651" w:hanging="601"/>
      </w:pPr>
      <w:rPr>
        <w:rFonts w:hint="default"/>
        <w:lang w:val="zh-CN" w:eastAsia="zh-CN" w:bidi="zh-CN"/>
      </w:rPr>
    </w:lvl>
    <w:lvl w:ilvl="7" w:tentative="0">
      <w:start w:val="0"/>
      <w:numFmt w:val="bullet"/>
      <w:lvlText w:val="•"/>
      <w:lvlJc w:val="left"/>
      <w:pPr>
        <w:ind w:left="7560" w:hanging="601"/>
      </w:pPr>
      <w:rPr>
        <w:rFonts w:hint="default"/>
        <w:lang w:val="zh-CN" w:eastAsia="zh-CN" w:bidi="zh-CN"/>
      </w:rPr>
    </w:lvl>
    <w:lvl w:ilvl="8" w:tentative="0">
      <w:start w:val="0"/>
      <w:numFmt w:val="bullet"/>
      <w:lvlText w:val="•"/>
      <w:lvlJc w:val="left"/>
      <w:pPr>
        <w:ind w:left="8468" w:hanging="601"/>
      </w:pPr>
      <w:rPr>
        <w:rFonts w:hint="default"/>
        <w:lang w:val="zh-CN" w:eastAsia="zh-CN" w:bidi="zh-CN"/>
      </w:rPr>
    </w:lvl>
  </w:abstractNum>
  <w:abstractNum w:abstractNumId="3">
    <w:nsid w:val="91995D4F"/>
    <w:multiLevelType w:val="multilevel"/>
    <w:tmpl w:val="91995D4F"/>
    <w:lvl w:ilvl="0" w:tentative="0">
      <w:start w:val="41"/>
      <w:numFmt w:val="decimal"/>
      <w:lvlText w:val="%1"/>
      <w:lvlJc w:val="left"/>
      <w:pPr>
        <w:ind w:left="1132" w:hanging="540"/>
        <w:jc w:val="left"/>
      </w:pPr>
      <w:rPr>
        <w:rFonts w:hint="default"/>
        <w:lang w:val="zh-CN" w:eastAsia="zh-CN" w:bidi="zh-CN"/>
      </w:rPr>
    </w:lvl>
    <w:lvl w:ilvl="1" w:tentative="0">
      <w:start w:val="1"/>
      <w:numFmt w:val="decimal"/>
      <w:lvlText w:val="%1.%2"/>
      <w:lvlJc w:val="left"/>
      <w:pPr>
        <w:ind w:left="1132"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969" w:hanging="540"/>
      </w:pPr>
      <w:rPr>
        <w:rFonts w:hint="default"/>
        <w:lang w:val="zh-CN" w:eastAsia="zh-CN" w:bidi="zh-CN"/>
      </w:rPr>
    </w:lvl>
    <w:lvl w:ilvl="3" w:tentative="0">
      <w:start w:val="0"/>
      <w:numFmt w:val="bullet"/>
      <w:lvlText w:val="•"/>
      <w:lvlJc w:val="left"/>
      <w:pPr>
        <w:ind w:left="3883" w:hanging="540"/>
      </w:pPr>
      <w:rPr>
        <w:rFonts w:hint="default"/>
        <w:lang w:val="zh-CN" w:eastAsia="zh-CN" w:bidi="zh-CN"/>
      </w:rPr>
    </w:lvl>
    <w:lvl w:ilvl="4" w:tentative="0">
      <w:start w:val="0"/>
      <w:numFmt w:val="bullet"/>
      <w:lvlText w:val="•"/>
      <w:lvlJc w:val="left"/>
      <w:pPr>
        <w:ind w:left="4798" w:hanging="540"/>
      </w:pPr>
      <w:rPr>
        <w:rFonts w:hint="default"/>
        <w:lang w:val="zh-CN" w:eastAsia="zh-CN" w:bidi="zh-CN"/>
      </w:rPr>
    </w:lvl>
    <w:lvl w:ilvl="5" w:tentative="0">
      <w:start w:val="0"/>
      <w:numFmt w:val="bullet"/>
      <w:lvlText w:val="•"/>
      <w:lvlJc w:val="left"/>
      <w:pPr>
        <w:ind w:left="5713" w:hanging="540"/>
      </w:pPr>
      <w:rPr>
        <w:rFonts w:hint="default"/>
        <w:lang w:val="zh-CN" w:eastAsia="zh-CN" w:bidi="zh-CN"/>
      </w:rPr>
    </w:lvl>
    <w:lvl w:ilvl="6" w:tentative="0">
      <w:start w:val="0"/>
      <w:numFmt w:val="bullet"/>
      <w:lvlText w:val="•"/>
      <w:lvlJc w:val="left"/>
      <w:pPr>
        <w:ind w:left="6627" w:hanging="540"/>
      </w:pPr>
      <w:rPr>
        <w:rFonts w:hint="default"/>
        <w:lang w:val="zh-CN" w:eastAsia="zh-CN" w:bidi="zh-CN"/>
      </w:rPr>
    </w:lvl>
    <w:lvl w:ilvl="7" w:tentative="0">
      <w:start w:val="0"/>
      <w:numFmt w:val="bullet"/>
      <w:lvlText w:val="•"/>
      <w:lvlJc w:val="left"/>
      <w:pPr>
        <w:ind w:left="7542" w:hanging="540"/>
      </w:pPr>
      <w:rPr>
        <w:rFonts w:hint="default"/>
        <w:lang w:val="zh-CN" w:eastAsia="zh-CN" w:bidi="zh-CN"/>
      </w:rPr>
    </w:lvl>
    <w:lvl w:ilvl="8" w:tentative="0">
      <w:start w:val="0"/>
      <w:numFmt w:val="bullet"/>
      <w:lvlText w:val="•"/>
      <w:lvlJc w:val="left"/>
      <w:pPr>
        <w:ind w:left="8456" w:hanging="540"/>
      </w:pPr>
      <w:rPr>
        <w:rFonts w:hint="default"/>
        <w:lang w:val="zh-CN" w:eastAsia="zh-CN" w:bidi="zh-CN"/>
      </w:rPr>
    </w:lvl>
  </w:abstractNum>
  <w:abstractNum w:abstractNumId="4">
    <w:nsid w:val="9239341B"/>
    <w:multiLevelType w:val="multilevel"/>
    <w:tmpl w:val="9239341B"/>
    <w:lvl w:ilvl="0" w:tentative="0">
      <w:start w:val="0"/>
      <w:numFmt w:val="bullet"/>
      <w:lvlText w:val="■"/>
      <w:lvlJc w:val="left"/>
      <w:pPr>
        <w:ind w:left="315" w:hanging="212"/>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799" w:hanging="212"/>
      </w:pPr>
      <w:rPr>
        <w:rFonts w:hint="default"/>
        <w:lang w:val="zh-CN" w:eastAsia="zh-CN" w:bidi="zh-CN"/>
      </w:rPr>
    </w:lvl>
    <w:lvl w:ilvl="2" w:tentative="0">
      <w:start w:val="0"/>
      <w:numFmt w:val="bullet"/>
      <w:lvlText w:val="•"/>
      <w:lvlJc w:val="left"/>
      <w:pPr>
        <w:ind w:left="1278" w:hanging="212"/>
      </w:pPr>
      <w:rPr>
        <w:rFonts w:hint="default"/>
        <w:lang w:val="zh-CN" w:eastAsia="zh-CN" w:bidi="zh-CN"/>
      </w:rPr>
    </w:lvl>
    <w:lvl w:ilvl="3" w:tentative="0">
      <w:start w:val="0"/>
      <w:numFmt w:val="bullet"/>
      <w:lvlText w:val="•"/>
      <w:lvlJc w:val="left"/>
      <w:pPr>
        <w:ind w:left="1758" w:hanging="212"/>
      </w:pPr>
      <w:rPr>
        <w:rFonts w:hint="default"/>
        <w:lang w:val="zh-CN" w:eastAsia="zh-CN" w:bidi="zh-CN"/>
      </w:rPr>
    </w:lvl>
    <w:lvl w:ilvl="4" w:tentative="0">
      <w:start w:val="0"/>
      <w:numFmt w:val="bullet"/>
      <w:lvlText w:val="•"/>
      <w:lvlJc w:val="left"/>
      <w:pPr>
        <w:ind w:left="2237" w:hanging="212"/>
      </w:pPr>
      <w:rPr>
        <w:rFonts w:hint="default"/>
        <w:lang w:val="zh-CN" w:eastAsia="zh-CN" w:bidi="zh-CN"/>
      </w:rPr>
    </w:lvl>
    <w:lvl w:ilvl="5" w:tentative="0">
      <w:start w:val="0"/>
      <w:numFmt w:val="bullet"/>
      <w:lvlText w:val="•"/>
      <w:lvlJc w:val="left"/>
      <w:pPr>
        <w:ind w:left="2717" w:hanging="212"/>
      </w:pPr>
      <w:rPr>
        <w:rFonts w:hint="default"/>
        <w:lang w:val="zh-CN" w:eastAsia="zh-CN" w:bidi="zh-CN"/>
      </w:rPr>
    </w:lvl>
    <w:lvl w:ilvl="6" w:tentative="0">
      <w:start w:val="0"/>
      <w:numFmt w:val="bullet"/>
      <w:lvlText w:val="•"/>
      <w:lvlJc w:val="left"/>
      <w:pPr>
        <w:ind w:left="3196" w:hanging="212"/>
      </w:pPr>
      <w:rPr>
        <w:rFonts w:hint="default"/>
        <w:lang w:val="zh-CN" w:eastAsia="zh-CN" w:bidi="zh-CN"/>
      </w:rPr>
    </w:lvl>
    <w:lvl w:ilvl="7" w:tentative="0">
      <w:start w:val="0"/>
      <w:numFmt w:val="bullet"/>
      <w:lvlText w:val="•"/>
      <w:lvlJc w:val="left"/>
      <w:pPr>
        <w:ind w:left="3676" w:hanging="212"/>
      </w:pPr>
      <w:rPr>
        <w:rFonts w:hint="default"/>
        <w:lang w:val="zh-CN" w:eastAsia="zh-CN" w:bidi="zh-CN"/>
      </w:rPr>
    </w:lvl>
    <w:lvl w:ilvl="8" w:tentative="0">
      <w:start w:val="0"/>
      <w:numFmt w:val="bullet"/>
      <w:lvlText w:val="•"/>
      <w:lvlJc w:val="left"/>
      <w:pPr>
        <w:ind w:left="4155" w:hanging="212"/>
      </w:pPr>
      <w:rPr>
        <w:rFonts w:hint="default"/>
        <w:lang w:val="zh-CN" w:eastAsia="zh-CN" w:bidi="zh-CN"/>
      </w:rPr>
    </w:lvl>
  </w:abstractNum>
  <w:abstractNum w:abstractNumId="5">
    <w:nsid w:val="9288B902"/>
    <w:multiLevelType w:val="multilevel"/>
    <w:tmpl w:val="9288B902"/>
    <w:lvl w:ilvl="0" w:tentative="0">
      <w:start w:val="5"/>
      <w:numFmt w:val="decimal"/>
      <w:lvlText w:val="（%1）"/>
      <w:lvlJc w:val="left"/>
      <w:pPr>
        <w:ind w:left="1193"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108" w:hanging="601"/>
      </w:pPr>
      <w:rPr>
        <w:rFonts w:hint="default"/>
        <w:lang w:val="zh-CN" w:eastAsia="zh-CN" w:bidi="zh-CN"/>
      </w:rPr>
    </w:lvl>
    <w:lvl w:ilvl="2" w:tentative="0">
      <w:start w:val="0"/>
      <w:numFmt w:val="bullet"/>
      <w:lvlText w:val="•"/>
      <w:lvlJc w:val="left"/>
      <w:pPr>
        <w:ind w:left="3017" w:hanging="601"/>
      </w:pPr>
      <w:rPr>
        <w:rFonts w:hint="default"/>
        <w:lang w:val="zh-CN" w:eastAsia="zh-CN" w:bidi="zh-CN"/>
      </w:rPr>
    </w:lvl>
    <w:lvl w:ilvl="3" w:tentative="0">
      <w:start w:val="0"/>
      <w:numFmt w:val="bullet"/>
      <w:lvlText w:val="•"/>
      <w:lvlJc w:val="left"/>
      <w:pPr>
        <w:ind w:left="392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43" w:hanging="601"/>
      </w:pPr>
      <w:rPr>
        <w:rFonts w:hint="default"/>
        <w:lang w:val="zh-CN" w:eastAsia="zh-CN" w:bidi="zh-CN"/>
      </w:rPr>
    </w:lvl>
    <w:lvl w:ilvl="6" w:tentative="0">
      <w:start w:val="0"/>
      <w:numFmt w:val="bullet"/>
      <w:lvlText w:val="•"/>
      <w:lvlJc w:val="left"/>
      <w:pPr>
        <w:ind w:left="6651" w:hanging="601"/>
      </w:pPr>
      <w:rPr>
        <w:rFonts w:hint="default"/>
        <w:lang w:val="zh-CN" w:eastAsia="zh-CN" w:bidi="zh-CN"/>
      </w:rPr>
    </w:lvl>
    <w:lvl w:ilvl="7" w:tentative="0">
      <w:start w:val="0"/>
      <w:numFmt w:val="bullet"/>
      <w:lvlText w:val="•"/>
      <w:lvlJc w:val="left"/>
      <w:pPr>
        <w:ind w:left="7560" w:hanging="601"/>
      </w:pPr>
      <w:rPr>
        <w:rFonts w:hint="default"/>
        <w:lang w:val="zh-CN" w:eastAsia="zh-CN" w:bidi="zh-CN"/>
      </w:rPr>
    </w:lvl>
    <w:lvl w:ilvl="8" w:tentative="0">
      <w:start w:val="0"/>
      <w:numFmt w:val="bullet"/>
      <w:lvlText w:val="•"/>
      <w:lvlJc w:val="left"/>
      <w:pPr>
        <w:ind w:left="8468" w:hanging="601"/>
      </w:pPr>
      <w:rPr>
        <w:rFonts w:hint="default"/>
        <w:lang w:val="zh-CN" w:eastAsia="zh-CN" w:bidi="zh-CN"/>
      </w:rPr>
    </w:lvl>
  </w:abstractNum>
  <w:abstractNum w:abstractNumId="6">
    <w:nsid w:val="B0F1ACD9"/>
    <w:multiLevelType w:val="multilevel"/>
    <w:tmpl w:val="B0F1ACD9"/>
    <w:lvl w:ilvl="0" w:tentative="0">
      <w:start w:val="14"/>
      <w:numFmt w:val="decimal"/>
      <w:lvlText w:val="%1."/>
      <w:lvlJc w:val="left"/>
      <w:pPr>
        <w:ind w:left="476" w:hanging="364"/>
        <w:jc w:val="left"/>
      </w:pPr>
      <w:rPr>
        <w:rFonts w:hint="default" w:ascii="宋体" w:hAnsi="宋体" w:eastAsia="宋体" w:cs="宋体"/>
        <w:b/>
        <w:bCs/>
        <w:spacing w:val="-1"/>
        <w:w w:val="99"/>
        <w:sz w:val="22"/>
        <w:szCs w:val="22"/>
        <w:lang w:val="zh-CN" w:eastAsia="zh-CN" w:bidi="zh-CN"/>
      </w:rPr>
    </w:lvl>
    <w:lvl w:ilvl="1" w:tentative="0">
      <w:start w:val="1"/>
      <w:numFmt w:val="decimal"/>
      <w:lvlText w:val="%1.%2"/>
      <w:lvlJc w:val="left"/>
      <w:pPr>
        <w:ind w:left="112" w:hanging="600"/>
        <w:jc w:val="left"/>
      </w:pPr>
      <w:rPr>
        <w:rFonts w:hint="default" w:ascii="宋体" w:hAnsi="宋体" w:eastAsia="宋体" w:cs="宋体"/>
        <w:spacing w:val="-41"/>
        <w:w w:val="100"/>
        <w:sz w:val="24"/>
        <w:szCs w:val="24"/>
        <w:lang w:val="zh-CN" w:eastAsia="zh-CN" w:bidi="zh-CN"/>
      </w:rPr>
    </w:lvl>
    <w:lvl w:ilvl="2" w:tentative="0">
      <w:start w:val="0"/>
      <w:numFmt w:val="bullet"/>
      <w:lvlText w:val="•"/>
      <w:lvlJc w:val="left"/>
      <w:pPr>
        <w:ind w:left="1569" w:hanging="600"/>
      </w:pPr>
      <w:rPr>
        <w:rFonts w:hint="default"/>
        <w:lang w:val="zh-CN" w:eastAsia="zh-CN" w:bidi="zh-CN"/>
      </w:rPr>
    </w:lvl>
    <w:lvl w:ilvl="3" w:tentative="0">
      <w:start w:val="0"/>
      <w:numFmt w:val="bullet"/>
      <w:lvlText w:val="•"/>
      <w:lvlJc w:val="left"/>
      <w:pPr>
        <w:ind w:left="2659" w:hanging="600"/>
      </w:pPr>
      <w:rPr>
        <w:rFonts w:hint="default"/>
        <w:lang w:val="zh-CN" w:eastAsia="zh-CN" w:bidi="zh-CN"/>
      </w:rPr>
    </w:lvl>
    <w:lvl w:ilvl="4" w:tentative="0">
      <w:start w:val="0"/>
      <w:numFmt w:val="bullet"/>
      <w:lvlText w:val="•"/>
      <w:lvlJc w:val="left"/>
      <w:pPr>
        <w:ind w:left="3748" w:hanging="600"/>
      </w:pPr>
      <w:rPr>
        <w:rFonts w:hint="default"/>
        <w:lang w:val="zh-CN" w:eastAsia="zh-CN" w:bidi="zh-CN"/>
      </w:rPr>
    </w:lvl>
    <w:lvl w:ilvl="5" w:tentative="0">
      <w:start w:val="0"/>
      <w:numFmt w:val="bullet"/>
      <w:lvlText w:val="•"/>
      <w:lvlJc w:val="left"/>
      <w:pPr>
        <w:ind w:left="4838" w:hanging="600"/>
      </w:pPr>
      <w:rPr>
        <w:rFonts w:hint="default"/>
        <w:lang w:val="zh-CN" w:eastAsia="zh-CN" w:bidi="zh-CN"/>
      </w:rPr>
    </w:lvl>
    <w:lvl w:ilvl="6" w:tentative="0">
      <w:start w:val="0"/>
      <w:numFmt w:val="bullet"/>
      <w:lvlText w:val="•"/>
      <w:lvlJc w:val="left"/>
      <w:pPr>
        <w:ind w:left="5927" w:hanging="600"/>
      </w:pPr>
      <w:rPr>
        <w:rFonts w:hint="default"/>
        <w:lang w:val="zh-CN" w:eastAsia="zh-CN" w:bidi="zh-CN"/>
      </w:rPr>
    </w:lvl>
    <w:lvl w:ilvl="7" w:tentative="0">
      <w:start w:val="0"/>
      <w:numFmt w:val="bullet"/>
      <w:lvlText w:val="•"/>
      <w:lvlJc w:val="left"/>
      <w:pPr>
        <w:ind w:left="7017" w:hanging="600"/>
      </w:pPr>
      <w:rPr>
        <w:rFonts w:hint="default"/>
        <w:lang w:val="zh-CN" w:eastAsia="zh-CN" w:bidi="zh-CN"/>
      </w:rPr>
    </w:lvl>
    <w:lvl w:ilvl="8" w:tentative="0">
      <w:start w:val="0"/>
      <w:numFmt w:val="bullet"/>
      <w:lvlText w:val="•"/>
      <w:lvlJc w:val="left"/>
      <w:pPr>
        <w:ind w:left="8106" w:hanging="600"/>
      </w:pPr>
      <w:rPr>
        <w:rFonts w:hint="default"/>
        <w:lang w:val="zh-CN" w:eastAsia="zh-CN" w:bidi="zh-CN"/>
      </w:rPr>
    </w:lvl>
  </w:abstractNum>
  <w:abstractNum w:abstractNumId="7">
    <w:nsid w:val="B5E306ED"/>
    <w:multiLevelType w:val="multilevel"/>
    <w:tmpl w:val="B5E306ED"/>
    <w:lvl w:ilvl="0" w:tentative="0">
      <w:start w:val="0"/>
      <w:numFmt w:val="bullet"/>
      <w:lvlText w:val="■"/>
      <w:lvlJc w:val="left"/>
      <w:pPr>
        <w:ind w:left="315" w:hanging="212"/>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799" w:hanging="212"/>
      </w:pPr>
      <w:rPr>
        <w:rFonts w:hint="default"/>
        <w:lang w:val="zh-CN" w:eastAsia="zh-CN" w:bidi="zh-CN"/>
      </w:rPr>
    </w:lvl>
    <w:lvl w:ilvl="2" w:tentative="0">
      <w:start w:val="0"/>
      <w:numFmt w:val="bullet"/>
      <w:lvlText w:val="•"/>
      <w:lvlJc w:val="left"/>
      <w:pPr>
        <w:ind w:left="1278" w:hanging="212"/>
      </w:pPr>
      <w:rPr>
        <w:rFonts w:hint="default"/>
        <w:lang w:val="zh-CN" w:eastAsia="zh-CN" w:bidi="zh-CN"/>
      </w:rPr>
    </w:lvl>
    <w:lvl w:ilvl="3" w:tentative="0">
      <w:start w:val="0"/>
      <w:numFmt w:val="bullet"/>
      <w:lvlText w:val="•"/>
      <w:lvlJc w:val="left"/>
      <w:pPr>
        <w:ind w:left="1758" w:hanging="212"/>
      </w:pPr>
      <w:rPr>
        <w:rFonts w:hint="default"/>
        <w:lang w:val="zh-CN" w:eastAsia="zh-CN" w:bidi="zh-CN"/>
      </w:rPr>
    </w:lvl>
    <w:lvl w:ilvl="4" w:tentative="0">
      <w:start w:val="0"/>
      <w:numFmt w:val="bullet"/>
      <w:lvlText w:val="•"/>
      <w:lvlJc w:val="left"/>
      <w:pPr>
        <w:ind w:left="2237" w:hanging="212"/>
      </w:pPr>
      <w:rPr>
        <w:rFonts w:hint="default"/>
        <w:lang w:val="zh-CN" w:eastAsia="zh-CN" w:bidi="zh-CN"/>
      </w:rPr>
    </w:lvl>
    <w:lvl w:ilvl="5" w:tentative="0">
      <w:start w:val="0"/>
      <w:numFmt w:val="bullet"/>
      <w:lvlText w:val="•"/>
      <w:lvlJc w:val="left"/>
      <w:pPr>
        <w:ind w:left="2717" w:hanging="212"/>
      </w:pPr>
      <w:rPr>
        <w:rFonts w:hint="default"/>
        <w:lang w:val="zh-CN" w:eastAsia="zh-CN" w:bidi="zh-CN"/>
      </w:rPr>
    </w:lvl>
    <w:lvl w:ilvl="6" w:tentative="0">
      <w:start w:val="0"/>
      <w:numFmt w:val="bullet"/>
      <w:lvlText w:val="•"/>
      <w:lvlJc w:val="left"/>
      <w:pPr>
        <w:ind w:left="3196" w:hanging="212"/>
      </w:pPr>
      <w:rPr>
        <w:rFonts w:hint="default"/>
        <w:lang w:val="zh-CN" w:eastAsia="zh-CN" w:bidi="zh-CN"/>
      </w:rPr>
    </w:lvl>
    <w:lvl w:ilvl="7" w:tentative="0">
      <w:start w:val="0"/>
      <w:numFmt w:val="bullet"/>
      <w:lvlText w:val="•"/>
      <w:lvlJc w:val="left"/>
      <w:pPr>
        <w:ind w:left="3676" w:hanging="212"/>
      </w:pPr>
      <w:rPr>
        <w:rFonts w:hint="default"/>
        <w:lang w:val="zh-CN" w:eastAsia="zh-CN" w:bidi="zh-CN"/>
      </w:rPr>
    </w:lvl>
    <w:lvl w:ilvl="8" w:tentative="0">
      <w:start w:val="0"/>
      <w:numFmt w:val="bullet"/>
      <w:lvlText w:val="•"/>
      <w:lvlJc w:val="left"/>
      <w:pPr>
        <w:ind w:left="4155" w:hanging="212"/>
      </w:pPr>
      <w:rPr>
        <w:rFonts w:hint="default"/>
        <w:lang w:val="zh-CN" w:eastAsia="zh-CN" w:bidi="zh-CN"/>
      </w:rPr>
    </w:lvl>
  </w:abstractNum>
  <w:abstractNum w:abstractNumId="8">
    <w:nsid w:val="B8CEF35B"/>
    <w:multiLevelType w:val="multilevel"/>
    <w:tmpl w:val="B8CEF35B"/>
    <w:lvl w:ilvl="0" w:tentative="0">
      <w:start w:val="42"/>
      <w:numFmt w:val="decimal"/>
      <w:lvlText w:val="%1."/>
      <w:lvlJc w:val="left"/>
      <w:pPr>
        <w:ind w:left="597" w:hanging="485"/>
        <w:jc w:val="left"/>
      </w:pPr>
      <w:rPr>
        <w:rFonts w:hint="default" w:ascii="宋体" w:hAnsi="宋体" w:eastAsia="宋体" w:cs="宋体"/>
        <w:b/>
        <w:bCs/>
        <w:spacing w:val="0"/>
        <w:w w:val="99"/>
        <w:sz w:val="24"/>
        <w:szCs w:val="24"/>
        <w:lang w:val="zh-CN" w:eastAsia="zh-CN" w:bidi="zh-CN"/>
      </w:rPr>
    </w:lvl>
    <w:lvl w:ilvl="1" w:tentative="0">
      <w:start w:val="1"/>
      <w:numFmt w:val="decimal"/>
      <w:lvlText w:val="%1.%2"/>
      <w:lvlJc w:val="left"/>
      <w:pPr>
        <w:ind w:left="1132"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156" w:hanging="540"/>
      </w:pPr>
      <w:rPr>
        <w:rFonts w:hint="default"/>
        <w:lang w:val="zh-CN" w:eastAsia="zh-CN" w:bidi="zh-CN"/>
      </w:rPr>
    </w:lvl>
    <w:lvl w:ilvl="3" w:tentative="0">
      <w:start w:val="0"/>
      <w:numFmt w:val="bullet"/>
      <w:lvlText w:val="•"/>
      <w:lvlJc w:val="left"/>
      <w:pPr>
        <w:ind w:left="3172" w:hanging="540"/>
      </w:pPr>
      <w:rPr>
        <w:rFonts w:hint="default"/>
        <w:lang w:val="zh-CN" w:eastAsia="zh-CN" w:bidi="zh-CN"/>
      </w:rPr>
    </w:lvl>
    <w:lvl w:ilvl="4" w:tentative="0">
      <w:start w:val="0"/>
      <w:numFmt w:val="bullet"/>
      <w:lvlText w:val="•"/>
      <w:lvlJc w:val="left"/>
      <w:pPr>
        <w:ind w:left="4188" w:hanging="540"/>
      </w:pPr>
      <w:rPr>
        <w:rFonts w:hint="default"/>
        <w:lang w:val="zh-CN" w:eastAsia="zh-CN" w:bidi="zh-CN"/>
      </w:rPr>
    </w:lvl>
    <w:lvl w:ilvl="5" w:tentative="0">
      <w:start w:val="0"/>
      <w:numFmt w:val="bullet"/>
      <w:lvlText w:val="•"/>
      <w:lvlJc w:val="left"/>
      <w:pPr>
        <w:ind w:left="5204" w:hanging="540"/>
      </w:pPr>
      <w:rPr>
        <w:rFonts w:hint="default"/>
        <w:lang w:val="zh-CN" w:eastAsia="zh-CN" w:bidi="zh-CN"/>
      </w:rPr>
    </w:lvl>
    <w:lvl w:ilvl="6" w:tentative="0">
      <w:start w:val="0"/>
      <w:numFmt w:val="bullet"/>
      <w:lvlText w:val="•"/>
      <w:lvlJc w:val="left"/>
      <w:pPr>
        <w:ind w:left="6221" w:hanging="540"/>
      </w:pPr>
      <w:rPr>
        <w:rFonts w:hint="default"/>
        <w:lang w:val="zh-CN" w:eastAsia="zh-CN" w:bidi="zh-CN"/>
      </w:rPr>
    </w:lvl>
    <w:lvl w:ilvl="7" w:tentative="0">
      <w:start w:val="0"/>
      <w:numFmt w:val="bullet"/>
      <w:lvlText w:val="•"/>
      <w:lvlJc w:val="left"/>
      <w:pPr>
        <w:ind w:left="7237" w:hanging="540"/>
      </w:pPr>
      <w:rPr>
        <w:rFonts w:hint="default"/>
        <w:lang w:val="zh-CN" w:eastAsia="zh-CN" w:bidi="zh-CN"/>
      </w:rPr>
    </w:lvl>
    <w:lvl w:ilvl="8" w:tentative="0">
      <w:start w:val="0"/>
      <w:numFmt w:val="bullet"/>
      <w:lvlText w:val="•"/>
      <w:lvlJc w:val="left"/>
      <w:pPr>
        <w:ind w:left="8253" w:hanging="540"/>
      </w:pPr>
      <w:rPr>
        <w:rFonts w:hint="default"/>
        <w:lang w:val="zh-CN" w:eastAsia="zh-CN" w:bidi="zh-CN"/>
      </w:rPr>
    </w:lvl>
  </w:abstractNum>
  <w:abstractNum w:abstractNumId="9">
    <w:nsid w:val="BB64CFA9"/>
    <w:multiLevelType w:val="multilevel"/>
    <w:tmpl w:val="BB64CFA9"/>
    <w:lvl w:ilvl="0" w:tentative="0">
      <w:start w:val="36"/>
      <w:numFmt w:val="decimal"/>
      <w:lvlText w:val="%1."/>
      <w:lvlJc w:val="left"/>
      <w:pPr>
        <w:ind w:left="476" w:hanging="364"/>
        <w:jc w:val="left"/>
      </w:pPr>
      <w:rPr>
        <w:rFonts w:hint="default" w:ascii="宋体" w:hAnsi="宋体" w:eastAsia="宋体" w:cs="宋体"/>
        <w:b/>
        <w:bCs/>
        <w:spacing w:val="-1"/>
        <w:w w:val="99"/>
        <w:sz w:val="22"/>
        <w:szCs w:val="22"/>
        <w:lang w:val="zh-CN" w:eastAsia="zh-CN" w:bidi="zh-CN"/>
      </w:rPr>
    </w:lvl>
    <w:lvl w:ilvl="1" w:tentative="0">
      <w:start w:val="1"/>
      <w:numFmt w:val="decimal"/>
      <w:lvlText w:val="%1.%2"/>
      <w:lvlJc w:val="left"/>
      <w:pPr>
        <w:ind w:left="112" w:hanging="519"/>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1140" w:hanging="519"/>
      </w:pPr>
      <w:rPr>
        <w:rFonts w:hint="default"/>
        <w:lang w:val="zh-CN" w:eastAsia="zh-CN" w:bidi="zh-CN"/>
      </w:rPr>
    </w:lvl>
    <w:lvl w:ilvl="3" w:tentative="0">
      <w:start w:val="0"/>
      <w:numFmt w:val="bullet"/>
      <w:lvlText w:val="•"/>
      <w:lvlJc w:val="left"/>
      <w:pPr>
        <w:ind w:left="2283" w:hanging="519"/>
      </w:pPr>
      <w:rPr>
        <w:rFonts w:hint="default"/>
        <w:lang w:val="zh-CN" w:eastAsia="zh-CN" w:bidi="zh-CN"/>
      </w:rPr>
    </w:lvl>
    <w:lvl w:ilvl="4" w:tentative="0">
      <w:start w:val="0"/>
      <w:numFmt w:val="bullet"/>
      <w:lvlText w:val="•"/>
      <w:lvlJc w:val="left"/>
      <w:pPr>
        <w:ind w:left="3426" w:hanging="519"/>
      </w:pPr>
      <w:rPr>
        <w:rFonts w:hint="default"/>
        <w:lang w:val="zh-CN" w:eastAsia="zh-CN" w:bidi="zh-CN"/>
      </w:rPr>
    </w:lvl>
    <w:lvl w:ilvl="5" w:tentative="0">
      <w:start w:val="0"/>
      <w:numFmt w:val="bullet"/>
      <w:lvlText w:val="•"/>
      <w:lvlJc w:val="left"/>
      <w:pPr>
        <w:ind w:left="4569" w:hanging="519"/>
      </w:pPr>
      <w:rPr>
        <w:rFonts w:hint="default"/>
        <w:lang w:val="zh-CN" w:eastAsia="zh-CN" w:bidi="zh-CN"/>
      </w:rPr>
    </w:lvl>
    <w:lvl w:ilvl="6" w:tentative="0">
      <w:start w:val="0"/>
      <w:numFmt w:val="bullet"/>
      <w:lvlText w:val="•"/>
      <w:lvlJc w:val="left"/>
      <w:pPr>
        <w:ind w:left="5713" w:hanging="519"/>
      </w:pPr>
      <w:rPr>
        <w:rFonts w:hint="default"/>
        <w:lang w:val="zh-CN" w:eastAsia="zh-CN" w:bidi="zh-CN"/>
      </w:rPr>
    </w:lvl>
    <w:lvl w:ilvl="7" w:tentative="0">
      <w:start w:val="0"/>
      <w:numFmt w:val="bullet"/>
      <w:lvlText w:val="•"/>
      <w:lvlJc w:val="left"/>
      <w:pPr>
        <w:ind w:left="6856" w:hanging="519"/>
      </w:pPr>
      <w:rPr>
        <w:rFonts w:hint="default"/>
        <w:lang w:val="zh-CN" w:eastAsia="zh-CN" w:bidi="zh-CN"/>
      </w:rPr>
    </w:lvl>
    <w:lvl w:ilvl="8" w:tentative="0">
      <w:start w:val="0"/>
      <w:numFmt w:val="bullet"/>
      <w:lvlText w:val="•"/>
      <w:lvlJc w:val="left"/>
      <w:pPr>
        <w:ind w:left="7999" w:hanging="519"/>
      </w:pPr>
      <w:rPr>
        <w:rFonts w:hint="default"/>
        <w:lang w:val="zh-CN" w:eastAsia="zh-CN" w:bidi="zh-CN"/>
      </w:rPr>
    </w:lvl>
  </w:abstractNum>
  <w:abstractNum w:abstractNumId="10">
    <w:nsid w:val="BE923771"/>
    <w:multiLevelType w:val="multilevel"/>
    <w:tmpl w:val="BE923771"/>
    <w:lvl w:ilvl="0" w:tentative="0">
      <w:start w:val="1"/>
      <w:numFmt w:val="decimal"/>
      <w:lvlText w:val="（%1）"/>
      <w:lvlJc w:val="left"/>
      <w:pPr>
        <w:ind w:left="1193" w:hanging="601"/>
        <w:jc w:val="left"/>
      </w:pPr>
      <w:rPr>
        <w:rFonts w:hint="default" w:ascii="宋体" w:hAnsi="宋体" w:eastAsia="宋体" w:cs="宋体"/>
        <w:w w:val="99"/>
        <w:sz w:val="22"/>
        <w:szCs w:val="22"/>
        <w:lang w:val="zh-CN" w:eastAsia="zh-CN" w:bidi="zh-CN"/>
      </w:rPr>
    </w:lvl>
    <w:lvl w:ilvl="1" w:tentative="0">
      <w:start w:val="0"/>
      <w:numFmt w:val="bullet"/>
      <w:lvlText w:val="•"/>
      <w:lvlJc w:val="left"/>
      <w:pPr>
        <w:ind w:left="2108" w:hanging="601"/>
      </w:pPr>
      <w:rPr>
        <w:rFonts w:hint="default"/>
        <w:lang w:val="zh-CN" w:eastAsia="zh-CN" w:bidi="zh-CN"/>
      </w:rPr>
    </w:lvl>
    <w:lvl w:ilvl="2" w:tentative="0">
      <w:start w:val="0"/>
      <w:numFmt w:val="bullet"/>
      <w:lvlText w:val="•"/>
      <w:lvlJc w:val="left"/>
      <w:pPr>
        <w:ind w:left="3017" w:hanging="601"/>
      </w:pPr>
      <w:rPr>
        <w:rFonts w:hint="default"/>
        <w:lang w:val="zh-CN" w:eastAsia="zh-CN" w:bidi="zh-CN"/>
      </w:rPr>
    </w:lvl>
    <w:lvl w:ilvl="3" w:tentative="0">
      <w:start w:val="0"/>
      <w:numFmt w:val="bullet"/>
      <w:lvlText w:val="•"/>
      <w:lvlJc w:val="left"/>
      <w:pPr>
        <w:ind w:left="392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43" w:hanging="601"/>
      </w:pPr>
      <w:rPr>
        <w:rFonts w:hint="default"/>
        <w:lang w:val="zh-CN" w:eastAsia="zh-CN" w:bidi="zh-CN"/>
      </w:rPr>
    </w:lvl>
    <w:lvl w:ilvl="6" w:tentative="0">
      <w:start w:val="0"/>
      <w:numFmt w:val="bullet"/>
      <w:lvlText w:val="•"/>
      <w:lvlJc w:val="left"/>
      <w:pPr>
        <w:ind w:left="6651" w:hanging="601"/>
      </w:pPr>
      <w:rPr>
        <w:rFonts w:hint="default"/>
        <w:lang w:val="zh-CN" w:eastAsia="zh-CN" w:bidi="zh-CN"/>
      </w:rPr>
    </w:lvl>
    <w:lvl w:ilvl="7" w:tentative="0">
      <w:start w:val="0"/>
      <w:numFmt w:val="bullet"/>
      <w:lvlText w:val="•"/>
      <w:lvlJc w:val="left"/>
      <w:pPr>
        <w:ind w:left="7560" w:hanging="601"/>
      </w:pPr>
      <w:rPr>
        <w:rFonts w:hint="default"/>
        <w:lang w:val="zh-CN" w:eastAsia="zh-CN" w:bidi="zh-CN"/>
      </w:rPr>
    </w:lvl>
    <w:lvl w:ilvl="8" w:tentative="0">
      <w:start w:val="0"/>
      <w:numFmt w:val="bullet"/>
      <w:lvlText w:val="•"/>
      <w:lvlJc w:val="left"/>
      <w:pPr>
        <w:ind w:left="8468" w:hanging="601"/>
      </w:pPr>
      <w:rPr>
        <w:rFonts w:hint="default"/>
        <w:lang w:val="zh-CN" w:eastAsia="zh-CN" w:bidi="zh-CN"/>
      </w:rPr>
    </w:lvl>
  </w:abstractNum>
  <w:abstractNum w:abstractNumId="11">
    <w:nsid w:val="BF205925"/>
    <w:multiLevelType w:val="multilevel"/>
    <w:tmpl w:val="BF205925"/>
    <w:lvl w:ilvl="0" w:tentative="0">
      <w:start w:val="0"/>
      <w:numFmt w:val="bullet"/>
      <w:lvlText w:val="■"/>
      <w:lvlJc w:val="left"/>
      <w:pPr>
        <w:ind w:left="420" w:hanging="317"/>
      </w:pPr>
      <w:rPr>
        <w:rFonts w:hint="default" w:ascii="宋体" w:hAnsi="宋体" w:eastAsia="宋体" w:cs="宋体"/>
        <w:w w:val="99"/>
        <w:sz w:val="21"/>
        <w:szCs w:val="21"/>
        <w:lang w:val="zh-CN" w:eastAsia="zh-CN" w:bidi="zh-CN"/>
      </w:rPr>
    </w:lvl>
    <w:lvl w:ilvl="1" w:tentative="0">
      <w:start w:val="0"/>
      <w:numFmt w:val="bullet"/>
      <w:lvlText w:val="•"/>
      <w:lvlJc w:val="left"/>
      <w:pPr>
        <w:ind w:left="889" w:hanging="317"/>
      </w:pPr>
      <w:rPr>
        <w:rFonts w:hint="default"/>
        <w:lang w:val="zh-CN" w:eastAsia="zh-CN" w:bidi="zh-CN"/>
      </w:rPr>
    </w:lvl>
    <w:lvl w:ilvl="2" w:tentative="0">
      <w:start w:val="0"/>
      <w:numFmt w:val="bullet"/>
      <w:lvlText w:val="•"/>
      <w:lvlJc w:val="left"/>
      <w:pPr>
        <w:ind w:left="1358" w:hanging="317"/>
      </w:pPr>
      <w:rPr>
        <w:rFonts w:hint="default"/>
        <w:lang w:val="zh-CN" w:eastAsia="zh-CN" w:bidi="zh-CN"/>
      </w:rPr>
    </w:lvl>
    <w:lvl w:ilvl="3" w:tentative="0">
      <w:start w:val="0"/>
      <w:numFmt w:val="bullet"/>
      <w:lvlText w:val="•"/>
      <w:lvlJc w:val="left"/>
      <w:pPr>
        <w:ind w:left="1828" w:hanging="317"/>
      </w:pPr>
      <w:rPr>
        <w:rFonts w:hint="default"/>
        <w:lang w:val="zh-CN" w:eastAsia="zh-CN" w:bidi="zh-CN"/>
      </w:rPr>
    </w:lvl>
    <w:lvl w:ilvl="4" w:tentative="0">
      <w:start w:val="0"/>
      <w:numFmt w:val="bullet"/>
      <w:lvlText w:val="•"/>
      <w:lvlJc w:val="left"/>
      <w:pPr>
        <w:ind w:left="2297" w:hanging="317"/>
      </w:pPr>
      <w:rPr>
        <w:rFonts w:hint="default"/>
        <w:lang w:val="zh-CN" w:eastAsia="zh-CN" w:bidi="zh-CN"/>
      </w:rPr>
    </w:lvl>
    <w:lvl w:ilvl="5" w:tentative="0">
      <w:start w:val="0"/>
      <w:numFmt w:val="bullet"/>
      <w:lvlText w:val="•"/>
      <w:lvlJc w:val="left"/>
      <w:pPr>
        <w:ind w:left="2767" w:hanging="317"/>
      </w:pPr>
      <w:rPr>
        <w:rFonts w:hint="default"/>
        <w:lang w:val="zh-CN" w:eastAsia="zh-CN" w:bidi="zh-CN"/>
      </w:rPr>
    </w:lvl>
    <w:lvl w:ilvl="6" w:tentative="0">
      <w:start w:val="0"/>
      <w:numFmt w:val="bullet"/>
      <w:lvlText w:val="•"/>
      <w:lvlJc w:val="left"/>
      <w:pPr>
        <w:ind w:left="3236" w:hanging="317"/>
      </w:pPr>
      <w:rPr>
        <w:rFonts w:hint="default"/>
        <w:lang w:val="zh-CN" w:eastAsia="zh-CN" w:bidi="zh-CN"/>
      </w:rPr>
    </w:lvl>
    <w:lvl w:ilvl="7" w:tentative="0">
      <w:start w:val="0"/>
      <w:numFmt w:val="bullet"/>
      <w:lvlText w:val="•"/>
      <w:lvlJc w:val="left"/>
      <w:pPr>
        <w:ind w:left="3706" w:hanging="317"/>
      </w:pPr>
      <w:rPr>
        <w:rFonts w:hint="default"/>
        <w:lang w:val="zh-CN" w:eastAsia="zh-CN" w:bidi="zh-CN"/>
      </w:rPr>
    </w:lvl>
    <w:lvl w:ilvl="8" w:tentative="0">
      <w:start w:val="0"/>
      <w:numFmt w:val="bullet"/>
      <w:lvlText w:val="•"/>
      <w:lvlJc w:val="left"/>
      <w:pPr>
        <w:ind w:left="4175" w:hanging="317"/>
      </w:pPr>
      <w:rPr>
        <w:rFonts w:hint="default"/>
        <w:lang w:val="zh-CN" w:eastAsia="zh-CN" w:bidi="zh-CN"/>
      </w:rPr>
    </w:lvl>
  </w:abstractNum>
  <w:abstractNum w:abstractNumId="12">
    <w:nsid w:val="C8879AEF"/>
    <w:multiLevelType w:val="multilevel"/>
    <w:tmpl w:val="C8879AEF"/>
    <w:lvl w:ilvl="0" w:tentative="0">
      <w:start w:val="1"/>
      <w:numFmt w:val="decimal"/>
      <w:lvlText w:val="（%1）"/>
      <w:lvlJc w:val="left"/>
      <w:pPr>
        <w:ind w:left="1059" w:hanging="527"/>
        <w:jc w:val="left"/>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1982" w:hanging="527"/>
      </w:pPr>
      <w:rPr>
        <w:rFonts w:hint="default"/>
        <w:lang w:val="zh-CN" w:eastAsia="zh-CN" w:bidi="zh-CN"/>
      </w:rPr>
    </w:lvl>
    <w:lvl w:ilvl="2" w:tentative="0">
      <w:start w:val="0"/>
      <w:numFmt w:val="bullet"/>
      <w:lvlText w:val="•"/>
      <w:lvlJc w:val="left"/>
      <w:pPr>
        <w:ind w:left="2905" w:hanging="527"/>
      </w:pPr>
      <w:rPr>
        <w:rFonts w:hint="default"/>
        <w:lang w:val="zh-CN" w:eastAsia="zh-CN" w:bidi="zh-CN"/>
      </w:rPr>
    </w:lvl>
    <w:lvl w:ilvl="3" w:tentative="0">
      <w:start w:val="0"/>
      <w:numFmt w:val="bullet"/>
      <w:lvlText w:val="•"/>
      <w:lvlJc w:val="left"/>
      <w:pPr>
        <w:ind w:left="3827" w:hanging="527"/>
      </w:pPr>
      <w:rPr>
        <w:rFonts w:hint="default"/>
        <w:lang w:val="zh-CN" w:eastAsia="zh-CN" w:bidi="zh-CN"/>
      </w:rPr>
    </w:lvl>
    <w:lvl w:ilvl="4" w:tentative="0">
      <w:start w:val="0"/>
      <w:numFmt w:val="bullet"/>
      <w:lvlText w:val="•"/>
      <w:lvlJc w:val="left"/>
      <w:pPr>
        <w:ind w:left="4750" w:hanging="527"/>
      </w:pPr>
      <w:rPr>
        <w:rFonts w:hint="default"/>
        <w:lang w:val="zh-CN" w:eastAsia="zh-CN" w:bidi="zh-CN"/>
      </w:rPr>
    </w:lvl>
    <w:lvl w:ilvl="5" w:tentative="0">
      <w:start w:val="0"/>
      <w:numFmt w:val="bullet"/>
      <w:lvlText w:val="•"/>
      <w:lvlJc w:val="left"/>
      <w:pPr>
        <w:ind w:left="5673" w:hanging="527"/>
      </w:pPr>
      <w:rPr>
        <w:rFonts w:hint="default"/>
        <w:lang w:val="zh-CN" w:eastAsia="zh-CN" w:bidi="zh-CN"/>
      </w:rPr>
    </w:lvl>
    <w:lvl w:ilvl="6" w:tentative="0">
      <w:start w:val="0"/>
      <w:numFmt w:val="bullet"/>
      <w:lvlText w:val="•"/>
      <w:lvlJc w:val="left"/>
      <w:pPr>
        <w:ind w:left="6595" w:hanging="527"/>
      </w:pPr>
      <w:rPr>
        <w:rFonts w:hint="default"/>
        <w:lang w:val="zh-CN" w:eastAsia="zh-CN" w:bidi="zh-CN"/>
      </w:rPr>
    </w:lvl>
    <w:lvl w:ilvl="7" w:tentative="0">
      <w:start w:val="0"/>
      <w:numFmt w:val="bullet"/>
      <w:lvlText w:val="•"/>
      <w:lvlJc w:val="left"/>
      <w:pPr>
        <w:ind w:left="7518" w:hanging="527"/>
      </w:pPr>
      <w:rPr>
        <w:rFonts w:hint="default"/>
        <w:lang w:val="zh-CN" w:eastAsia="zh-CN" w:bidi="zh-CN"/>
      </w:rPr>
    </w:lvl>
    <w:lvl w:ilvl="8" w:tentative="0">
      <w:start w:val="0"/>
      <w:numFmt w:val="bullet"/>
      <w:lvlText w:val="•"/>
      <w:lvlJc w:val="left"/>
      <w:pPr>
        <w:ind w:left="8440" w:hanging="527"/>
      </w:pPr>
      <w:rPr>
        <w:rFonts w:hint="default"/>
        <w:lang w:val="zh-CN" w:eastAsia="zh-CN" w:bidi="zh-CN"/>
      </w:rPr>
    </w:lvl>
  </w:abstractNum>
  <w:abstractNum w:abstractNumId="13">
    <w:nsid w:val="CF092B84"/>
    <w:multiLevelType w:val="multilevel"/>
    <w:tmpl w:val="CF092B84"/>
    <w:lvl w:ilvl="0" w:tentative="0">
      <w:start w:val="2"/>
      <w:numFmt w:val="decimal"/>
      <w:lvlText w:val="%1"/>
      <w:lvlJc w:val="left"/>
      <w:pPr>
        <w:ind w:left="264" w:hanging="361"/>
        <w:jc w:val="left"/>
      </w:pPr>
      <w:rPr>
        <w:rFonts w:hint="default"/>
        <w:lang w:val="zh-CN" w:eastAsia="zh-CN" w:bidi="zh-CN"/>
      </w:rPr>
    </w:lvl>
    <w:lvl w:ilvl="1" w:tentative="0">
      <w:start w:val="3"/>
      <w:numFmt w:val="decimal"/>
      <w:lvlText w:val="%1.%2"/>
      <w:lvlJc w:val="left"/>
      <w:pPr>
        <w:ind w:left="264" w:hanging="361"/>
        <w:jc w:val="left"/>
      </w:pPr>
      <w:rPr>
        <w:rFonts w:hint="default" w:ascii="宋体" w:hAnsi="宋体" w:eastAsia="宋体" w:cs="宋体"/>
        <w:w w:val="100"/>
        <w:sz w:val="22"/>
        <w:szCs w:val="22"/>
        <w:lang w:val="zh-CN" w:eastAsia="zh-CN" w:bidi="zh-CN"/>
      </w:rPr>
    </w:lvl>
    <w:lvl w:ilvl="2" w:tentative="0">
      <w:start w:val="1"/>
      <w:numFmt w:val="decimal"/>
      <w:lvlText w:val="%3."/>
      <w:lvlJc w:val="left"/>
      <w:pPr>
        <w:ind w:left="1060" w:hanging="317"/>
        <w:jc w:val="left"/>
      </w:pPr>
      <w:rPr>
        <w:rFonts w:hint="default" w:ascii="宋体" w:hAnsi="宋体" w:eastAsia="宋体" w:cs="宋体"/>
        <w:spacing w:val="1"/>
        <w:w w:val="99"/>
        <w:sz w:val="19"/>
        <w:szCs w:val="19"/>
        <w:lang w:val="zh-CN" w:eastAsia="zh-CN" w:bidi="zh-CN"/>
      </w:rPr>
    </w:lvl>
    <w:lvl w:ilvl="3" w:tentative="0">
      <w:start w:val="0"/>
      <w:numFmt w:val="bullet"/>
      <w:lvlText w:val="•"/>
      <w:lvlJc w:val="left"/>
      <w:pPr>
        <w:ind w:left="3110" w:hanging="317"/>
      </w:pPr>
      <w:rPr>
        <w:rFonts w:hint="default"/>
        <w:lang w:val="zh-CN" w:eastAsia="zh-CN" w:bidi="zh-CN"/>
      </w:rPr>
    </w:lvl>
    <w:lvl w:ilvl="4" w:tentative="0">
      <w:start w:val="0"/>
      <w:numFmt w:val="bullet"/>
      <w:lvlText w:val="•"/>
      <w:lvlJc w:val="left"/>
      <w:pPr>
        <w:ind w:left="4135" w:hanging="317"/>
      </w:pPr>
      <w:rPr>
        <w:rFonts w:hint="default"/>
        <w:lang w:val="zh-CN" w:eastAsia="zh-CN" w:bidi="zh-CN"/>
      </w:rPr>
    </w:lvl>
    <w:lvl w:ilvl="5" w:tentative="0">
      <w:start w:val="0"/>
      <w:numFmt w:val="bullet"/>
      <w:lvlText w:val="•"/>
      <w:lvlJc w:val="left"/>
      <w:pPr>
        <w:ind w:left="5160" w:hanging="317"/>
      </w:pPr>
      <w:rPr>
        <w:rFonts w:hint="default"/>
        <w:lang w:val="zh-CN" w:eastAsia="zh-CN" w:bidi="zh-CN"/>
      </w:rPr>
    </w:lvl>
    <w:lvl w:ilvl="6" w:tentative="0">
      <w:start w:val="0"/>
      <w:numFmt w:val="bullet"/>
      <w:lvlText w:val="•"/>
      <w:lvlJc w:val="left"/>
      <w:pPr>
        <w:ind w:left="6185" w:hanging="317"/>
      </w:pPr>
      <w:rPr>
        <w:rFonts w:hint="default"/>
        <w:lang w:val="zh-CN" w:eastAsia="zh-CN" w:bidi="zh-CN"/>
      </w:rPr>
    </w:lvl>
    <w:lvl w:ilvl="7" w:tentative="0">
      <w:start w:val="0"/>
      <w:numFmt w:val="bullet"/>
      <w:lvlText w:val="•"/>
      <w:lvlJc w:val="left"/>
      <w:pPr>
        <w:ind w:left="7210" w:hanging="317"/>
      </w:pPr>
      <w:rPr>
        <w:rFonts w:hint="default"/>
        <w:lang w:val="zh-CN" w:eastAsia="zh-CN" w:bidi="zh-CN"/>
      </w:rPr>
    </w:lvl>
    <w:lvl w:ilvl="8" w:tentative="0">
      <w:start w:val="0"/>
      <w:numFmt w:val="bullet"/>
      <w:lvlText w:val="•"/>
      <w:lvlJc w:val="left"/>
      <w:pPr>
        <w:ind w:left="8235" w:hanging="317"/>
      </w:pPr>
      <w:rPr>
        <w:rFonts w:hint="default"/>
        <w:lang w:val="zh-CN" w:eastAsia="zh-CN" w:bidi="zh-CN"/>
      </w:rPr>
    </w:lvl>
  </w:abstractNum>
  <w:abstractNum w:abstractNumId="14">
    <w:nsid w:val="D125D300"/>
    <w:multiLevelType w:val="singleLevel"/>
    <w:tmpl w:val="D125D300"/>
    <w:lvl w:ilvl="0" w:tentative="0">
      <w:start w:val="1"/>
      <w:numFmt w:val="chineseCounting"/>
      <w:suff w:val="space"/>
      <w:lvlText w:val="第%1章"/>
      <w:lvlJc w:val="left"/>
      <w:rPr>
        <w:rFonts w:hint="eastAsia"/>
      </w:rPr>
    </w:lvl>
  </w:abstractNum>
  <w:abstractNum w:abstractNumId="15">
    <w:nsid w:val="DCBA6B53"/>
    <w:multiLevelType w:val="multilevel"/>
    <w:tmpl w:val="DCBA6B53"/>
    <w:lvl w:ilvl="0" w:tentative="0">
      <w:start w:val="1"/>
      <w:numFmt w:val="decimal"/>
      <w:lvlText w:val="%1."/>
      <w:lvlJc w:val="left"/>
      <w:pPr>
        <w:ind w:left="356" w:hanging="244"/>
        <w:jc w:val="left"/>
      </w:pPr>
      <w:rPr>
        <w:rFonts w:hint="default" w:ascii="宋体" w:hAnsi="宋体" w:eastAsia="宋体" w:cs="宋体"/>
        <w:b/>
        <w:bCs/>
        <w:spacing w:val="-1"/>
        <w:w w:val="99"/>
        <w:sz w:val="22"/>
        <w:szCs w:val="22"/>
        <w:lang w:val="zh-CN" w:eastAsia="zh-CN" w:bidi="zh-CN"/>
      </w:rPr>
    </w:lvl>
    <w:lvl w:ilvl="1" w:tentative="0">
      <w:start w:val="1"/>
      <w:numFmt w:val="decimal"/>
      <w:lvlText w:val="%1.%2"/>
      <w:lvlJc w:val="left"/>
      <w:pPr>
        <w:ind w:left="112" w:hanging="483"/>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1020" w:hanging="483"/>
      </w:pPr>
      <w:rPr>
        <w:rFonts w:hint="default"/>
        <w:lang w:val="zh-CN" w:eastAsia="zh-CN" w:bidi="zh-CN"/>
      </w:rPr>
    </w:lvl>
    <w:lvl w:ilvl="3" w:tentative="0">
      <w:start w:val="0"/>
      <w:numFmt w:val="bullet"/>
      <w:lvlText w:val="•"/>
      <w:lvlJc w:val="left"/>
      <w:pPr>
        <w:ind w:left="1080" w:hanging="483"/>
      </w:pPr>
      <w:rPr>
        <w:rFonts w:hint="default"/>
        <w:lang w:val="zh-CN" w:eastAsia="zh-CN" w:bidi="zh-CN"/>
      </w:rPr>
    </w:lvl>
    <w:lvl w:ilvl="4" w:tentative="0">
      <w:start w:val="0"/>
      <w:numFmt w:val="bullet"/>
      <w:lvlText w:val="•"/>
      <w:lvlJc w:val="left"/>
      <w:pPr>
        <w:ind w:left="2395" w:hanging="483"/>
      </w:pPr>
      <w:rPr>
        <w:rFonts w:hint="default"/>
        <w:lang w:val="zh-CN" w:eastAsia="zh-CN" w:bidi="zh-CN"/>
      </w:rPr>
    </w:lvl>
    <w:lvl w:ilvl="5" w:tentative="0">
      <w:start w:val="0"/>
      <w:numFmt w:val="bullet"/>
      <w:lvlText w:val="•"/>
      <w:lvlJc w:val="left"/>
      <w:pPr>
        <w:ind w:left="3710" w:hanging="483"/>
      </w:pPr>
      <w:rPr>
        <w:rFonts w:hint="default"/>
        <w:lang w:val="zh-CN" w:eastAsia="zh-CN" w:bidi="zh-CN"/>
      </w:rPr>
    </w:lvl>
    <w:lvl w:ilvl="6" w:tentative="0">
      <w:start w:val="0"/>
      <w:numFmt w:val="bullet"/>
      <w:lvlText w:val="•"/>
      <w:lvlJc w:val="left"/>
      <w:pPr>
        <w:ind w:left="5025" w:hanging="483"/>
      </w:pPr>
      <w:rPr>
        <w:rFonts w:hint="default"/>
        <w:lang w:val="zh-CN" w:eastAsia="zh-CN" w:bidi="zh-CN"/>
      </w:rPr>
    </w:lvl>
    <w:lvl w:ilvl="7" w:tentative="0">
      <w:start w:val="0"/>
      <w:numFmt w:val="bullet"/>
      <w:lvlText w:val="•"/>
      <w:lvlJc w:val="left"/>
      <w:pPr>
        <w:ind w:left="6340" w:hanging="483"/>
      </w:pPr>
      <w:rPr>
        <w:rFonts w:hint="default"/>
        <w:lang w:val="zh-CN" w:eastAsia="zh-CN" w:bidi="zh-CN"/>
      </w:rPr>
    </w:lvl>
    <w:lvl w:ilvl="8" w:tentative="0">
      <w:start w:val="0"/>
      <w:numFmt w:val="bullet"/>
      <w:lvlText w:val="•"/>
      <w:lvlJc w:val="left"/>
      <w:pPr>
        <w:ind w:left="7655" w:hanging="483"/>
      </w:pPr>
      <w:rPr>
        <w:rFonts w:hint="default"/>
        <w:lang w:val="zh-CN" w:eastAsia="zh-CN" w:bidi="zh-CN"/>
      </w:rPr>
    </w:lvl>
  </w:abstractNum>
  <w:abstractNum w:abstractNumId="16">
    <w:nsid w:val="DD34CAAC"/>
    <w:multiLevelType w:val="singleLevel"/>
    <w:tmpl w:val="DD34CAAC"/>
    <w:lvl w:ilvl="0" w:tentative="0">
      <w:start w:val="1"/>
      <w:numFmt w:val="decimal"/>
      <w:lvlText w:val="%1."/>
      <w:lvlJc w:val="left"/>
      <w:pPr>
        <w:ind w:left="425" w:hanging="425"/>
      </w:pPr>
      <w:rPr>
        <w:rFonts w:hint="default"/>
      </w:rPr>
    </w:lvl>
  </w:abstractNum>
  <w:abstractNum w:abstractNumId="17">
    <w:nsid w:val="E093A4B0"/>
    <w:multiLevelType w:val="multilevel"/>
    <w:tmpl w:val="E093A4B0"/>
    <w:lvl w:ilvl="0" w:tentative="0">
      <w:start w:val="1"/>
      <w:numFmt w:val="decimal"/>
      <w:lvlText w:val="（%1）"/>
      <w:lvlJc w:val="left"/>
      <w:pPr>
        <w:ind w:left="460" w:hanging="601"/>
        <w:jc w:val="left"/>
      </w:pPr>
      <w:rPr>
        <w:rFonts w:hint="default" w:ascii="宋体" w:hAnsi="宋体" w:eastAsia="宋体" w:cs="宋体"/>
        <w:spacing w:val="-10"/>
        <w:w w:val="100"/>
        <w:sz w:val="22"/>
        <w:szCs w:val="22"/>
        <w:lang w:val="zh-CN" w:eastAsia="zh-CN" w:bidi="zh-CN"/>
      </w:rPr>
    </w:lvl>
    <w:lvl w:ilvl="1" w:tentative="0">
      <w:start w:val="0"/>
      <w:numFmt w:val="bullet"/>
      <w:lvlText w:val="•"/>
      <w:lvlJc w:val="left"/>
      <w:pPr>
        <w:ind w:left="1136" w:hanging="601"/>
      </w:pPr>
      <w:rPr>
        <w:rFonts w:hint="default"/>
        <w:lang w:val="zh-CN" w:eastAsia="zh-CN" w:bidi="zh-CN"/>
      </w:rPr>
    </w:lvl>
    <w:lvl w:ilvl="2" w:tentative="0">
      <w:start w:val="0"/>
      <w:numFmt w:val="bullet"/>
      <w:lvlText w:val="•"/>
      <w:lvlJc w:val="left"/>
      <w:pPr>
        <w:ind w:left="2153" w:hanging="601"/>
      </w:pPr>
      <w:rPr>
        <w:rFonts w:hint="default"/>
        <w:lang w:val="zh-CN" w:eastAsia="zh-CN" w:bidi="zh-CN"/>
      </w:rPr>
    </w:lvl>
    <w:lvl w:ilvl="3" w:tentative="0">
      <w:start w:val="0"/>
      <w:numFmt w:val="bullet"/>
      <w:lvlText w:val="•"/>
      <w:lvlJc w:val="left"/>
      <w:pPr>
        <w:ind w:left="3169" w:hanging="601"/>
      </w:pPr>
      <w:rPr>
        <w:rFonts w:hint="default"/>
        <w:lang w:val="zh-CN" w:eastAsia="zh-CN" w:bidi="zh-CN"/>
      </w:rPr>
    </w:lvl>
    <w:lvl w:ilvl="4" w:tentative="0">
      <w:start w:val="0"/>
      <w:numFmt w:val="bullet"/>
      <w:lvlText w:val="•"/>
      <w:lvlJc w:val="left"/>
      <w:pPr>
        <w:ind w:left="4186" w:hanging="601"/>
      </w:pPr>
      <w:rPr>
        <w:rFonts w:hint="default"/>
        <w:lang w:val="zh-CN" w:eastAsia="zh-CN" w:bidi="zh-CN"/>
      </w:rPr>
    </w:lvl>
    <w:lvl w:ilvl="5" w:tentative="0">
      <w:start w:val="0"/>
      <w:numFmt w:val="bullet"/>
      <w:lvlText w:val="•"/>
      <w:lvlJc w:val="left"/>
      <w:pPr>
        <w:ind w:left="5203" w:hanging="601"/>
      </w:pPr>
      <w:rPr>
        <w:rFonts w:hint="default"/>
        <w:lang w:val="zh-CN" w:eastAsia="zh-CN" w:bidi="zh-CN"/>
      </w:rPr>
    </w:lvl>
    <w:lvl w:ilvl="6" w:tentative="0">
      <w:start w:val="0"/>
      <w:numFmt w:val="bullet"/>
      <w:lvlText w:val="•"/>
      <w:lvlJc w:val="left"/>
      <w:pPr>
        <w:ind w:left="6219" w:hanging="601"/>
      </w:pPr>
      <w:rPr>
        <w:rFonts w:hint="default"/>
        <w:lang w:val="zh-CN" w:eastAsia="zh-CN" w:bidi="zh-CN"/>
      </w:rPr>
    </w:lvl>
    <w:lvl w:ilvl="7" w:tentative="0">
      <w:start w:val="0"/>
      <w:numFmt w:val="bullet"/>
      <w:lvlText w:val="•"/>
      <w:lvlJc w:val="left"/>
      <w:pPr>
        <w:ind w:left="7236" w:hanging="601"/>
      </w:pPr>
      <w:rPr>
        <w:rFonts w:hint="default"/>
        <w:lang w:val="zh-CN" w:eastAsia="zh-CN" w:bidi="zh-CN"/>
      </w:rPr>
    </w:lvl>
    <w:lvl w:ilvl="8" w:tentative="0">
      <w:start w:val="0"/>
      <w:numFmt w:val="bullet"/>
      <w:lvlText w:val="•"/>
      <w:lvlJc w:val="left"/>
      <w:pPr>
        <w:ind w:left="8252" w:hanging="601"/>
      </w:pPr>
      <w:rPr>
        <w:rFonts w:hint="default"/>
        <w:lang w:val="zh-CN" w:eastAsia="zh-CN" w:bidi="zh-CN"/>
      </w:rPr>
    </w:lvl>
  </w:abstractNum>
  <w:abstractNum w:abstractNumId="18">
    <w:nsid w:val="F4B5D9F5"/>
    <w:multiLevelType w:val="multilevel"/>
    <w:tmpl w:val="F4B5D9F5"/>
    <w:lvl w:ilvl="0" w:tentative="0">
      <w:start w:val="1"/>
      <w:numFmt w:val="decimal"/>
      <w:lvlText w:val="%1."/>
      <w:lvlJc w:val="left"/>
      <w:pPr>
        <w:ind w:left="112" w:hanging="320"/>
        <w:jc w:val="left"/>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1136" w:hanging="320"/>
      </w:pPr>
      <w:rPr>
        <w:rFonts w:hint="default"/>
        <w:lang w:val="zh-CN" w:eastAsia="zh-CN" w:bidi="zh-CN"/>
      </w:rPr>
    </w:lvl>
    <w:lvl w:ilvl="2" w:tentative="0">
      <w:start w:val="0"/>
      <w:numFmt w:val="bullet"/>
      <w:lvlText w:val="•"/>
      <w:lvlJc w:val="left"/>
      <w:pPr>
        <w:ind w:left="2153" w:hanging="320"/>
      </w:pPr>
      <w:rPr>
        <w:rFonts w:hint="default"/>
        <w:lang w:val="zh-CN" w:eastAsia="zh-CN" w:bidi="zh-CN"/>
      </w:rPr>
    </w:lvl>
    <w:lvl w:ilvl="3" w:tentative="0">
      <w:start w:val="0"/>
      <w:numFmt w:val="bullet"/>
      <w:lvlText w:val="•"/>
      <w:lvlJc w:val="left"/>
      <w:pPr>
        <w:ind w:left="3169" w:hanging="320"/>
      </w:pPr>
      <w:rPr>
        <w:rFonts w:hint="default"/>
        <w:lang w:val="zh-CN" w:eastAsia="zh-CN" w:bidi="zh-CN"/>
      </w:rPr>
    </w:lvl>
    <w:lvl w:ilvl="4" w:tentative="0">
      <w:start w:val="0"/>
      <w:numFmt w:val="bullet"/>
      <w:lvlText w:val="•"/>
      <w:lvlJc w:val="left"/>
      <w:pPr>
        <w:ind w:left="4186" w:hanging="320"/>
      </w:pPr>
      <w:rPr>
        <w:rFonts w:hint="default"/>
        <w:lang w:val="zh-CN" w:eastAsia="zh-CN" w:bidi="zh-CN"/>
      </w:rPr>
    </w:lvl>
    <w:lvl w:ilvl="5" w:tentative="0">
      <w:start w:val="0"/>
      <w:numFmt w:val="bullet"/>
      <w:lvlText w:val="•"/>
      <w:lvlJc w:val="left"/>
      <w:pPr>
        <w:ind w:left="5203" w:hanging="320"/>
      </w:pPr>
      <w:rPr>
        <w:rFonts w:hint="default"/>
        <w:lang w:val="zh-CN" w:eastAsia="zh-CN" w:bidi="zh-CN"/>
      </w:rPr>
    </w:lvl>
    <w:lvl w:ilvl="6" w:tentative="0">
      <w:start w:val="0"/>
      <w:numFmt w:val="bullet"/>
      <w:lvlText w:val="•"/>
      <w:lvlJc w:val="left"/>
      <w:pPr>
        <w:ind w:left="6219" w:hanging="320"/>
      </w:pPr>
      <w:rPr>
        <w:rFonts w:hint="default"/>
        <w:lang w:val="zh-CN" w:eastAsia="zh-CN" w:bidi="zh-CN"/>
      </w:rPr>
    </w:lvl>
    <w:lvl w:ilvl="7" w:tentative="0">
      <w:start w:val="0"/>
      <w:numFmt w:val="bullet"/>
      <w:lvlText w:val="•"/>
      <w:lvlJc w:val="left"/>
      <w:pPr>
        <w:ind w:left="7236" w:hanging="320"/>
      </w:pPr>
      <w:rPr>
        <w:rFonts w:hint="default"/>
        <w:lang w:val="zh-CN" w:eastAsia="zh-CN" w:bidi="zh-CN"/>
      </w:rPr>
    </w:lvl>
    <w:lvl w:ilvl="8" w:tentative="0">
      <w:start w:val="0"/>
      <w:numFmt w:val="bullet"/>
      <w:lvlText w:val="•"/>
      <w:lvlJc w:val="left"/>
      <w:pPr>
        <w:ind w:left="8252" w:hanging="320"/>
      </w:pPr>
      <w:rPr>
        <w:rFonts w:hint="default"/>
        <w:lang w:val="zh-CN" w:eastAsia="zh-CN" w:bidi="zh-CN"/>
      </w:rPr>
    </w:lvl>
  </w:abstractNum>
  <w:abstractNum w:abstractNumId="19">
    <w:nsid w:val="F7735DC9"/>
    <w:multiLevelType w:val="multilevel"/>
    <w:tmpl w:val="F7735DC9"/>
    <w:lvl w:ilvl="0" w:tentative="0">
      <w:start w:val="30"/>
      <w:numFmt w:val="decimal"/>
      <w:lvlText w:val="%1."/>
      <w:lvlJc w:val="left"/>
      <w:pPr>
        <w:ind w:left="476" w:hanging="364"/>
        <w:jc w:val="left"/>
      </w:pPr>
      <w:rPr>
        <w:rFonts w:hint="default" w:ascii="宋体" w:hAnsi="宋体" w:eastAsia="宋体" w:cs="宋体"/>
        <w:b/>
        <w:bCs/>
        <w:spacing w:val="-1"/>
        <w:w w:val="99"/>
        <w:sz w:val="22"/>
        <w:szCs w:val="22"/>
        <w:lang w:val="zh-CN" w:eastAsia="zh-CN" w:bidi="zh-CN"/>
      </w:rPr>
    </w:lvl>
    <w:lvl w:ilvl="1" w:tentative="0">
      <w:start w:val="1"/>
      <w:numFmt w:val="decimal"/>
      <w:lvlText w:val="%1.%2"/>
      <w:lvlJc w:val="left"/>
      <w:pPr>
        <w:ind w:left="112"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1140" w:hanging="540"/>
      </w:pPr>
      <w:rPr>
        <w:rFonts w:hint="default"/>
        <w:lang w:val="zh-CN" w:eastAsia="zh-CN" w:bidi="zh-CN"/>
      </w:rPr>
    </w:lvl>
    <w:lvl w:ilvl="3" w:tentative="0">
      <w:start w:val="0"/>
      <w:numFmt w:val="bullet"/>
      <w:lvlText w:val="•"/>
      <w:lvlJc w:val="left"/>
      <w:pPr>
        <w:ind w:left="2283" w:hanging="540"/>
      </w:pPr>
      <w:rPr>
        <w:rFonts w:hint="default"/>
        <w:lang w:val="zh-CN" w:eastAsia="zh-CN" w:bidi="zh-CN"/>
      </w:rPr>
    </w:lvl>
    <w:lvl w:ilvl="4" w:tentative="0">
      <w:start w:val="0"/>
      <w:numFmt w:val="bullet"/>
      <w:lvlText w:val="•"/>
      <w:lvlJc w:val="left"/>
      <w:pPr>
        <w:ind w:left="3426" w:hanging="540"/>
      </w:pPr>
      <w:rPr>
        <w:rFonts w:hint="default"/>
        <w:lang w:val="zh-CN" w:eastAsia="zh-CN" w:bidi="zh-CN"/>
      </w:rPr>
    </w:lvl>
    <w:lvl w:ilvl="5" w:tentative="0">
      <w:start w:val="0"/>
      <w:numFmt w:val="bullet"/>
      <w:lvlText w:val="•"/>
      <w:lvlJc w:val="left"/>
      <w:pPr>
        <w:ind w:left="4569" w:hanging="540"/>
      </w:pPr>
      <w:rPr>
        <w:rFonts w:hint="default"/>
        <w:lang w:val="zh-CN" w:eastAsia="zh-CN" w:bidi="zh-CN"/>
      </w:rPr>
    </w:lvl>
    <w:lvl w:ilvl="6" w:tentative="0">
      <w:start w:val="0"/>
      <w:numFmt w:val="bullet"/>
      <w:lvlText w:val="•"/>
      <w:lvlJc w:val="left"/>
      <w:pPr>
        <w:ind w:left="5713" w:hanging="540"/>
      </w:pPr>
      <w:rPr>
        <w:rFonts w:hint="default"/>
        <w:lang w:val="zh-CN" w:eastAsia="zh-CN" w:bidi="zh-CN"/>
      </w:rPr>
    </w:lvl>
    <w:lvl w:ilvl="7" w:tentative="0">
      <w:start w:val="0"/>
      <w:numFmt w:val="bullet"/>
      <w:lvlText w:val="•"/>
      <w:lvlJc w:val="left"/>
      <w:pPr>
        <w:ind w:left="6856" w:hanging="540"/>
      </w:pPr>
      <w:rPr>
        <w:rFonts w:hint="default"/>
        <w:lang w:val="zh-CN" w:eastAsia="zh-CN" w:bidi="zh-CN"/>
      </w:rPr>
    </w:lvl>
    <w:lvl w:ilvl="8" w:tentative="0">
      <w:start w:val="0"/>
      <w:numFmt w:val="bullet"/>
      <w:lvlText w:val="•"/>
      <w:lvlJc w:val="left"/>
      <w:pPr>
        <w:ind w:left="7999" w:hanging="540"/>
      </w:pPr>
      <w:rPr>
        <w:rFonts w:hint="default"/>
        <w:lang w:val="zh-CN" w:eastAsia="zh-CN" w:bidi="zh-CN"/>
      </w:rPr>
    </w:lvl>
  </w:abstractNum>
  <w:abstractNum w:abstractNumId="20">
    <w:nsid w:val="FF49D68A"/>
    <w:multiLevelType w:val="singleLevel"/>
    <w:tmpl w:val="FF49D68A"/>
    <w:lvl w:ilvl="0" w:tentative="0">
      <w:start w:val="2"/>
      <w:numFmt w:val="chineseCounting"/>
      <w:suff w:val="nothing"/>
      <w:lvlText w:val="%1、"/>
      <w:lvlJc w:val="left"/>
      <w:rPr>
        <w:rFonts w:hint="eastAsia"/>
      </w:rPr>
    </w:lvl>
  </w:abstractNum>
  <w:abstractNum w:abstractNumId="21">
    <w:nsid w:val="0248C179"/>
    <w:multiLevelType w:val="multilevel"/>
    <w:tmpl w:val="0248C179"/>
    <w:lvl w:ilvl="0" w:tentative="0">
      <w:start w:val="0"/>
      <w:numFmt w:val="bullet"/>
      <w:lvlText w:val="■"/>
      <w:lvlJc w:val="left"/>
      <w:pPr>
        <w:ind w:left="420" w:hanging="317"/>
      </w:pPr>
      <w:rPr>
        <w:rFonts w:hint="default" w:ascii="宋体" w:hAnsi="宋体" w:eastAsia="宋体" w:cs="宋体"/>
        <w:w w:val="99"/>
        <w:sz w:val="21"/>
        <w:szCs w:val="21"/>
        <w:lang w:val="zh-CN" w:eastAsia="zh-CN" w:bidi="zh-CN"/>
      </w:rPr>
    </w:lvl>
    <w:lvl w:ilvl="1" w:tentative="0">
      <w:start w:val="0"/>
      <w:numFmt w:val="bullet"/>
      <w:lvlText w:val="•"/>
      <w:lvlJc w:val="left"/>
      <w:pPr>
        <w:ind w:left="889" w:hanging="317"/>
      </w:pPr>
      <w:rPr>
        <w:rFonts w:hint="default"/>
        <w:lang w:val="zh-CN" w:eastAsia="zh-CN" w:bidi="zh-CN"/>
      </w:rPr>
    </w:lvl>
    <w:lvl w:ilvl="2" w:tentative="0">
      <w:start w:val="0"/>
      <w:numFmt w:val="bullet"/>
      <w:lvlText w:val="•"/>
      <w:lvlJc w:val="left"/>
      <w:pPr>
        <w:ind w:left="1358" w:hanging="317"/>
      </w:pPr>
      <w:rPr>
        <w:rFonts w:hint="default"/>
        <w:lang w:val="zh-CN" w:eastAsia="zh-CN" w:bidi="zh-CN"/>
      </w:rPr>
    </w:lvl>
    <w:lvl w:ilvl="3" w:tentative="0">
      <w:start w:val="0"/>
      <w:numFmt w:val="bullet"/>
      <w:lvlText w:val="•"/>
      <w:lvlJc w:val="left"/>
      <w:pPr>
        <w:ind w:left="1828" w:hanging="317"/>
      </w:pPr>
      <w:rPr>
        <w:rFonts w:hint="default"/>
        <w:lang w:val="zh-CN" w:eastAsia="zh-CN" w:bidi="zh-CN"/>
      </w:rPr>
    </w:lvl>
    <w:lvl w:ilvl="4" w:tentative="0">
      <w:start w:val="0"/>
      <w:numFmt w:val="bullet"/>
      <w:lvlText w:val="•"/>
      <w:lvlJc w:val="left"/>
      <w:pPr>
        <w:ind w:left="2297" w:hanging="317"/>
      </w:pPr>
      <w:rPr>
        <w:rFonts w:hint="default"/>
        <w:lang w:val="zh-CN" w:eastAsia="zh-CN" w:bidi="zh-CN"/>
      </w:rPr>
    </w:lvl>
    <w:lvl w:ilvl="5" w:tentative="0">
      <w:start w:val="0"/>
      <w:numFmt w:val="bullet"/>
      <w:lvlText w:val="•"/>
      <w:lvlJc w:val="left"/>
      <w:pPr>
        <w:ind w:left="2767" w:hanging="317"/>
      </w:pPr>
      <w:rPr>
        <w:rFonts w:hint="default"/>
        <w:lang w:val="zh-CN" w:eastAsia="zh-CN" w:bidi="zh-CN"/>
      </w:rPr>
    </w:lvl>
    <w:lvl w:ilvl="6" w:tentative="0">
      <w:start w:val="0"/>
      <w:numFmt w:val="bullet"/>
      <w:lvlText w:val="•"/>
      <w:lvlJc w:val="left"/>
      <w:pPr>
        <w:ind w:left="3236" w:hanging="317"/>
      </w:pPr>
      <w:rPr>
        <w:rFonts w:hint="default"/>
        <w:lang w:val="zh-CN" w:eastAsia="zh-CN" w:bidi="zh-CN"/>
      </w:rPr>
    </w:lvl>
    <w:lvl w:ilvl="7" w:tentative="0">
      <w:start w:val="0"/>
      <w:numFmt w:val="bullet"/>
      <w:lvlText w:val="•"/>
      <w:lvlJc w:val="left"/>
      <w:pPr>
        <w:ind w:left="3706" w:hanging="317"/>
      </w:pPr>
      <w:rPr>
        <w:rFonts w:hint="default"/>
        <w:lang w:val="zh-CN" w:eastAsia="zh-CN" w:bidi="zh-CN"/>
      </w:rPr>
    </w:lvl>
    <w:lvl w:ilvl="8" w:tentative="0">
      <w:start w:val="0"/>
      <w:numFmt w:val="bullet"/>
      <w:lvlText w:val="•"/>
      <w:lvlJc w:val="left"/>
      <w:pPr>
        <w:ind w:left="4175" w:hanging="317"/>
      </w:pPr>
      <w:rPr>
        <w:rFonts w:hint="default"/>
        <w:lang w:val="zh-CN" w:eastAsia="zh-CN" w:bidi="zh-CN"/>
      </w:rPr>
    </w:lvl>
  </w:abstractNum>
  <w:abstractNum w:abstractNumId="22">
    <w:nsid w:val="03D62ECE"/>
    <w:multiLevelType w:val="multilevel"/>
    <w:tmpl w:val="03D62ECE"/>
    <w:lvl w:ilvl="0" w:tentative="0">
      <w:start w:val="0"/>
      <w:numFmt w:val="bullet"/>
      <w:lvlText w:val="■"/>
      <w:lvlJc w:val="left"/>
      <w:pPr>
        <w:ind w:left="315" w:hanging="212"/>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799" w:hanging="212"/>
      </w:pPr>
      <w:rPr>
        <w:rFonts w:hint="default"/>
        <w:lang w:val="zh-CN" w:eastAsia="zh-CN" w:bidi="zh-CN"/>
      </w:rPr>
    </w:lvl>
    <w:lvl w:ilvl="2" w:tentative="0">
      <w:start w:val="0"/>
      <w:numFmt w:val="bullet"/>
      <w:lvlText w:val="•"/>
      <w:lvlJc w:val="left"/>
      <w:pPr>
        <w:ind w:left="1278" w:hanging="212"/>
      </w:pPr>
      <w:rPr>
        <w:rFonts w:hint="default"/>
        <w:lang w:val="zh-CN" w:eastAsia="zh-CN" w:bidi="zh-CN"/>
      </w:rPr>
    </w:lvl>
    <w:lvl w:ilvl="3" w:tentative="0">
      <w:start w:val="0"/>
      <w:numFmt w:val="bullet"/>
      <w:lvlText w:val="•"/>
      <w:lvlJc w:val="left"/>
      <w:pPr>
        <w:ind w:left="1758" w:hanging="212"/>
      </w:pPr>
      <w:rPr>
        <w:rFonts w:hint="default"/>
        <w:lang w:val="zh-CN" w:eastAsia="zh-CN" w:bidi="zh-CN"/>
      </w:rPr>
    </w:lvl>
    <w:lvl w:ilvl="4" w:tentative="0">
      <w:start w:val="0"/>
      <w:numFmt w:val="bullet"/>
      <w:lvlText w:val="•"/>
      <w:lvlJc w:val="left"/>
      <w:pPr>
        <w:ind w:left="2237" w:hanging="212"/>
      </w:pPr>
      <w:rPr>
        <w:rFonts w:hint="default"/>
        <w:lang w:val="zh-CN" w:eastAsia="zh-CN" w:bidi="zh-CN"/>
      </w:rPr>
    </w:lvl>
    <w:lvl w:ilvl="5" w:tentative="0">
      <w:start w:val="0"/>
      <w:numFmt w:val="bullet"/>
      <w:lvlText w:val="•"/>
      <w:lvlJc w:val="left"/>
      <w:pPr>
        <w:ind w:left="2717" w:hanging="212"/>
      </w:pPr>
      <w:rPr>
        <w:rFonts w:hint="default"/>
        <w:lang w:val="zh-CN" w:eastAsia="zh-CN" w:bidi="zh-CN"/>
      </w:rPr>
    </w:lvl>
    <w:lvl w:ilvl="6" w:tentative="0">
      <w:start w:val="0"/>
      <w:numFmt w:val="bullet"/>
      <w:lvlText w:val="•"/>
      <w:lvlJc w:val="left"/>
      <w:pPr>
        <w:ind w:left="3196" w:hanging="212"/>
      </w:pPr>
      <w:rPr>
        <w:rFonts w:hint="default"/>
        <w:lang w:val="zh-CN" w:eastAsia="zh-CN" w:bidi="zh-CN"/>
      </w:rPr>
    </w:lvl>
    <w:lvl w:ilvl="7" w:tentative="0">
      <w:start w:val="0"/>
      <w:numFmt w:val="bullet"/>
      <w:lvlText w:val="•"/>
      <w:lvlJc w:val="left"/>
      <w:pPr>
        <w:ind w:left="3676" w:hanging="212"/>
      </w:pPr>
      <w:rPr>
        <w:rFonts w:hint="default"/>
        <w:lang w:val="zh-CN" w:eastAsia="zh-CN" w:bidi="zh-CN"/>
      </w:rPr>
    </w:lvl>
    <w:lvl w:ilvl="8" w:tentative="0">
      <w:start w:val="0"/>
      <w:numFmt w:val="bullet"/>
      <w:lvlText w:val="•"/>
      <w:lvlJc w:val="left"/>
      <w:pPr>
        <w:ind w:left="4155" w:hanging="212"/>
      </w:pPr>
      <w:rPr>
        <w:rFonts w:hint="default"/>
        <w:lang w:val="zh-CN" w:eastAsia="zh-CN" w:bidi="zh-CN"/>
      </w:rPr>
    </w:lvl>
  </w:abstractNum>
  <w:abstractNum w:abstractNumId="23">
    <w:nsid w:val="0E640482"/>
    <w:multiLevelType w:val="multilevel"/>
    <w:tmpl w:val="0E640482"/>
    <w:lvl w:ilvl="0" w:tentative="0">
      <w:start w:val="8"/>
      <w:numFmt w:val="decimal"/>
      <w:lvlText w:val="%1."/>
      <w:lvlJc w:val="left"/>
      <w:pPr>
        <w:ind w:left="356" w:hanging="244"/>
        <w:jc w:val="left"/>
      </w:pPr>
      <w:rPr>
        <w:rFonts w:hint="default" w:ascii="宋体" w:hAnsi="宋体" w:eastAsia="宋体" w:cs="宋体"/>
        <w:b/>
        <w:bCs/>
        <w:spacing w:val="-1"/>
        <w:w w:val="99"/>
        <w:sz w:val="22"/>
        <w:szCs w:val="22"/>
        <w:lang w:val="zh-CN" w:eastAsia="zh-CN" w:bidi="zh-CN"/>
      </w:rPr>
    </w:lvl>
    <w:lvl w:ilvl="1" w:tentative="0">
      <w:start w:val="1"/>
      <w:numFmt w:val="decimal"/>
      <w:lvlText w:val="%1.%2"/>
      <w:lvlJc w:val="left"/>
      <w:pPr>
        <w:ind w:left="112" w:hanging="42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600" w:hanging="420"/>
      </w:pPr>
      <w:rPr>
        <w:rFonts w:hint="default"/>
        <w:lang w:val="zh-CN" w:eastAsia="zh-CN" w:bidi="zh-CN"/>
      </w:rPr>
    </w:lvl>
    <w:lvl w:ilvl="3" w:tentative="0">
      <w:start w:val="0"/>
      <w:numFmt w:val="bullet"/>
      <w:lvlText w:val="•"/>
      <w:lvlJc w:val="left"/>
      <w:pPr>
        <w:ind w:left="1810" w:hanging="420"/>
      </w:pPr>
      <w:rPr>
        <w:rFonts w:hint="default"/>
        <w:lang w:val="zh-CN" w:eastAsia="zh-CN" w:bidi="zh-CN"/>
      </w:rPr>
    </w:lvl>
    <w:lvl w:ilvl="4" w:tentative="0">
      <w:start w:val="0"/>
      <w:numFmt w:val="bullet"/>
      <w:lvlText w:val="•"/>
      <w:lvlJc w:val="left"/>
      <w:pPr>
        <w:ind w:left="3021" w:hanging="420"/>
      </w:pPr>
      <w:rPr>
        <w:rFonts w:hint="default"/>
        <w:lang w:val="zh-CN" w:eastAsia="zh-CN" w:bidi="zh-CN"/>
      </w:rPr>
    </w:lvl>
    <w:lvl w:ilvl="5" w:tentative="0">
      <w:start w:val="0"/>
      <w:numFmt w:val="bullet"/>
      <w:lvlText w:val="•"/>
      <w:lvlJc w:val="left"/>
      <w:pPr>
        <w:ind w:left="4232" w:hanging="420"/>
      </w:pPr>
      <w:rPr>
        <w:rFonts w:hint="default"/>
        <w:lang w:val="zh-CN" w:eastAsia="zh-CN" w:bidi="zh-CN"/>
      </w:rPr>
    </w:lvl>
    <w:lvl w:ilvl="6" w:tentative="0">
      <w:start w:val="0"/>
      <w:numFmt w:val="bullet"/>
      <w:lvlText w:val="•"/>
      <w:lvlJc w:val="left"/>
      <w:pPr>
        <w:ind w:left="5443" w:hanging="420"/>
      </w:pPr>
      <w:rPr>
        <w:rFonts w:hint="default"/>
        <w:lang w:val="zh-CN" w:eastAsia="zh-CN" w:bidi="zh-CN"/>
      </w:rPr>
    </w:lvl>
    <w:lvl w:ilvl="7" w:tentative="0">
      <w:start w:val="0"/>
      <w:numFmt w:val="bullet"/>
      <w:lvlText w:val="•"/>
      <w:lvlJc w:val="left"/>
      <w:pPr>
        <w:ind w:left="6653" w:hanging="420"/>
      </w:pPr>
      <w:rPr>
        <w:rFonts w:hint="default"/>
        <w:lang w:val="zh-CN" w:eastAsia="zh-CN" w:bidi="zh-CN"/>
      </w:rPr>
    </w:lvl>
    <w:lvl w:ilvl="8" w:tentative="0">
      <w:start w:val="0"/>
      <w:numFmt w:val="bullet"/>
      <w:lvlText w:val="•"/>
      <w:lvlJc w:val="left"/>
      <w:pPr>
        <w:ind w:left="7864" w:hanging="420"/>
      </w:pPr>
      <w:rPr>
        <w:rFonts w:hint="default"/>
        <w:lang w:val="zh-CN" w:eastAsia="zh-CN" w:bidi="zh-CN"/>
      </w:rPr>
    </w:lvl>
  </w:abstractNum>
  <w:abstractNum w:abstractNumId="24">
    <w:nsid w:val="1407C813"/>
    <w:multiLevelType w:val="singleLevel"/>
    <w:tmpl w:val="1407C813"/>
    <w:lvl w:ilvl="0" w:tentative="0">
      <w:start w:val="5"/>
      <w:numFmt w:val="chineseCounting"/>
      <w:suff w:val="nothing"/>
      <w:lvlText w:val="%1、"/>
      <w:lvlJc w:val="left"/>
      <w:rPr>
        <w:rFonts w:hint="eastAsia"/>
      </w:rPr>
    </w:lvl>
  </w:abstractNum>
  <w:abstractNum w:abstractNumId="25">
    <w:nsid w:val="1ACDE60F"/>
    <w:multiLevelType w:val="multilevel"/>
    <w:tmpl w:val="1ACDE60F"/>
    <w:lvl w:ilvl="0" w:tentative="0">
      <w:start w:val="1"/>
      <w:numFmt w:val="decimal"/>
      <w:lvlText w:val="（%1）"/>
      <w:lvlJc w:val="left"/>
      <w:pPr>
        <w:ind w:left="1184"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090" w:hanging="601"/>
      </w:pPr>
      <w:rPr>
        <w:rFonts w:hint="default"/>
        <w:lang w:val="zh-CN" w:eastAsia="zh-CN" w:bidi="zh-CN"/>
      </w:rPr>
    </w:lvl>
    <w:lvl w:ilvl="2" w:tentative="0">
      <w:start w:val="0"/>
      <w:numFmt w:val="bullet"/>
      <w:lvlText w:val="•"/>
      <w:lvlJc w:val="left"/>
      <w:pPr>
        <w:ind w:left="3001" w:hanging="601"/>
      </w:pPr>
      <w:rPr>
        <w:rFonts w:hint="default"/>
        <w:lang w:val="zh-CN" w:eastAsia="zh-CN" w:bidi="zh-CN"/>
      </w:rPr>
    </w:lvl>
    <w:lvl w:ilvl="3" w:tentative="0">
      <w:start w:val="0"/>
      <w:numFmt w:val="bullet"/>
      <w:lvlText w:val="•"/>
      <w:lvlJc w:val="left"/>
      <w:pPr>
        <w:ind w:left="3911" w:hanging="601"/>
      </w:pPr>
      <w:rPr>
        <w:rFonts w:hint="default"/>
        <w:lang w:val="zh-CN" w:eastAsia="zh-CN" w:bidi="zh-CN"/>
      </w:rPr>
    </w:lvl>
    <w:lvl w:ilvl="4" w:tentative="0">
      <w:start w:val="0"/>
      <w:numFmt w:val="bullet"/>
      <w:lvlText w:val="•"/>
      <w:lvlJc w:val="left"/>
      <w:pPr>
        <w:ind w:left="4822" w:hanging="601"/>
      </w:pPr>
      <w:rPr>
        <w:rFonts w:hint="default"/>
        <w:lang w:val="zh-CN" w:eastAsia="zh-CN" w:bidi="zh-CN"/>
      </w:rPr>
    </w:lvl>
    <w:lvl w:ilvl="5" w:tentative="0">
      <w:start w:val="0"/>
      <w:numFmt w:val="bullet"/>
      <w:lvlText w:val="•"/>
      <w:lvlJc w:val="left"/>
      <w:pPr>
        <w:ind w:left="5733" w:hanging="601"/>
      </w:pPr>
      <w:rPr>
        <w:rFonts w:hint="default"/>
        <w:lang w:val="zh-CN" w:eastAsia="zh-CN" w:bidi="zh-CN"/>
      </w:rPr>
    </w:lvl>
    <w:lvl w:ilvl="6" w:tentative="0">
      <w:start w:val="0"/>
      <w:numFmt w:val="bullet"/>
      <w:lvlText w:val="•"/>
      <w:lvlJc w:val="left"/>
      <w:pPr>
        <w:ind w:left="6643" w:hanging="601"/>
      </w:pPr>
      <w:rPr>
        <w:rFonts w:hint="default"/>
        <w:lang w:val="zh-CN" w:eastAsia="zh-CN" w:bidi="zh-CN"/>
      </w:rPr>
    </w:lvl>
    <w:lvl w:ilvl="7" w:tentative="0">
      <w:start w:val="0"/>
      <w:numFmt w:val="bullet"/>
      <w:lvlText w:val="•"/>
      <w:lvlJc w:val="left"/>
      <w:pPr>
        <w:ind w:left="7554" w:hanging="601"/>
      </w:pPr>
      <w:rPr>
        <w:rFonts w:hint="default"/>
        <w:lang w:val="zh-CN" w:eastAsia="zh-CN" w:bidi="zh-CN"/>
      </w:rPr>
    </w:lvl>
    <w:lvl w:ilvl="8" w:tentative="0">
      <w:start w:val="0"/>
      <w:numFmt w:val="bullet"/>
      <w:lvlText w:val="•"/>
      <w:lvlJc w:val="left"/>
      <w:pPr>
        <w:ind w:left="8464" w:hanging="601"/>
      </w:pPr>
      <w:rPr>
        <w:rFonts w:hint="default"/>
        <w:lang w:val="zh-CN" w:eastAsia="zh-CN" w:bidi="zh-CN"/>
      </w:rPr>
    </w:lvl>
  </w:abstractNum>
  <w:abstractNum w:abstractNumId="26">
    <w:nsid w:val="2470EC97"/>
    <w:multiLevelType w:val="multilevel"/>
    <w:tmpl w:val="2470EC97"/>
    <w:lvl w:ilvl="0" w:tentative="0">
      <w:start w:val="1"/>
      <w:numFmt w:val="decimal"/>
      <w:lvlText w:val="%1."/>
      <w:lvlJc w:val="left"/>
      <w:pPr>
        <w:ind w:left="848" w:hanging="316"/>
        <w:jc w:val="left"/>
      </w:pPr>
      <w:rPr>
        <w:rFonts w:hint="default" w:ascii="宋体" w:hAnsi="宋体" w:eastAsia="宋体" w:cs="宋体"/>
        <w:spacing w:val="-1"/>
        <w:w w:val="99"/>
        <w:sz w:val="19"/>
        <w:szCs w:val="19"/>
        <w:lang w:val="zh-CN" w:eastAsia="zh-CN" w:bidi="zh-CN"/>
      </w:rPr>
    </w:lvl>
    <w:lvl w:ilvl="1" w:tentative="0">
      <w:start w:val="0"/>
      <w:numFmt w:val="bullet"/>
      <w:lvlText w:val="•"/>
      <w:lvlJc w:val="left"/>
      <w:pPr>
        <w:ind w:left="1784" w:hanging="316"/>
      </w:pPr>
      <w:rPr>
        <w:rFonts w:hint="default"/>
        <w:lang w:val="zh-CN" w:eastAsia="zh-CN" w:bidi="zh-CN"/>
      </w:rPr>
    </w:lvl>
    <w:lvl w:ilvl="2" w:tentative="0">
      <w:start w:val="0"/>
      <w:numFmt w:val="bullet"/>
      <w:lvlText w:val="•"/>
      <w:lvlJc w:val="left"/>
      <w:pPr>
        <w:ind w:left="2729" w:hanging="316"/>
      </w:pPr>
      <w:rPr>
        <w:rFonts w:hint="default"/>
        <w:lang w:val="zh-CN" w:eastAsia="zh-CN" w:bidi="zh-CN"/>
      </w:rPr>
    </w:lvl>
    <w:lvl w:ilvl="3" w:tentative="0">
      <w:start w:val="0"/>
      <w:numFmt w:val="bullet"/>
      <w:lvlText w:val="•"/>
      <w:lvlJc w:val="left"/>
      <w:pPr>
        <w:ind w:left="3673" w:hanging="316"/>
      </w:pPr>
      <w:rPr>
        <w:rFonts w:hint="default"/>
        <w:lang w:val="zh-CN" w:eastAsia="zh-CN" w:bidi="zh-CN"/>
      </w:rPr>
    </w:lvl>
    <w:lvl w:ilvl="4" w:tentative="0">
      <w:start w:val="0"/>
      <w:numFmt w:val="bullet"/>
      <w:lvlText w:val="•"/>
      <w:lvlJc w:val="left"/>
      <w:pPr>
        <w:ind w:left="4618" w:hanging="316"/>
      </w:pPr>
      <w:rPr>
        <w:rFonts w:hint="default"/>
        <w:lang w:val="zh-CN" w:eastAsia="zh-CN" w:bidi="zh-CN"/>
      </w:rPr>
    </w:lvl>
    <w:lvl w:ilvl="5" w:tentative="0">
      <w:start w:val="0"/>
      <w:numFmt w:val="bullet"/>
      <w:lvlText w:val="•"/>
      <w:lvlJc w:val="left"/>
      <w:pPr>
        <w:ind w:left="5563" w:hanging="316"/>
      </w:pPr>
      <w:rPr>
        <w:rFonts w:hint="default"/>
        <w:lang w:val="zh-CN" w:eastAsia="zh-CN" w:bidi="zh-CN"/>
      </w:rPr>
    </w:lvl>
    <w:lvl w:ilvl="6" w:tentative="0">
      <w:start w:val="0"/>
      <w:numFmt w:val="bullet"/>
      <w:lvlText w:val="•"/>
      <w:lvlJc w:val="left"/>
      <w:pPr>
        <w:ind w:left="6507" w:hanging="316"/>
      </w:pPr>
      <w:rPr>
        <w:rFonts w:hint="default"/>
        <w:lang w:val="zh-CN" w:eastAsia="zh-CN" w:bidi="zh-CN"/>
      </w:rPr>
    </w:lvl>
    <w:lvl w:ilvl="7" w:tentative="0">
      <w:start w:val="0"/>
      <w:numFmt w:val="bullet"/>
      <w:lvlText w:val="•"/>
      <w:lvlJc w:val="left"/>
      <w:pPr>
        <w:ind w:left="7452" w:hanging="316"/>
      </w:pPr>
      <w:rPr>
        <w:rFonts w:hint="default"/>
        <w:lang w:val="zh-CN" w:eastAsia="zh-CN" w:bidi="zh-CN"/>
      </w:rPr>
    </w:lvl>
    <w:lvl w:ilvl="8" w:tentative="0">
      <w:start w:val="0"/>
      <w:numFmt w:val="bullet"/>
      <w:lvlText w:val="•"/>
      <w:lvlJc w:val="left"/>
      <w:pPr>
        <w:ind w:left="8396" w:hanging="316"/>
      </w:pPr>
      <w:rPr>
        <w:rFonts w:hint="default"/>
        <w:lang w:val="zh-CN" w:eastAsia="zh-CN" w:bidi="zh-CN"/>
      </w:rPr>
    </w:lvl>
  </w:abstractNum>
  <w:abstractNum w:abstractNumId="27">
    <w:nsid w:val="263E8E94"/>
    <w:multiLevelType w:val="singleLevel"/>
    <w:tmpl w:val="263E8E94"/>
    <w:lvl w:ilvl="0" w:tentative="0">
      <w:start w:val="1"/>
      <w:numFmt w:val="decimal"/>
      <w:lvlText w:val="%1."/>
      <w:lvlJc w:val="left"/>
      <w:pPr>
        <w:ind w:left="425" w:hanging="425"/>
      </w:pPr>
      <w:rPr>
        <w:rFonts w:hint="default"/>
      </w:rPr>
    </w:lvl>
  </w:abstractNum>
  <w:abstractNum w:abstractNumId="28">
    <w:nsid w:val="30FC5B15"/>
    <w:multiLevelType w:val="multilevel"/>
    <w:tmpl w:val="30FC5B15"/>
    <w:lvl w:ilvl="0" w:tentative="0">
      <w:start w:val="1"/>
      <w:numFmt w:val="decimal"/>
      <w:lvlText w:val="（%1）"/>
      <w:lvlJc w:val="left"/>
      <w:pPr>
        <w:ind w:left="112" w:hanging="601"/>
        <w:jc w:val="left"/>
      </w:pPr>
      <w:rPr>
        <w:rFonts w:hint="default" w:ascii="宋体" w:hAnsi="宋体" w:eastAsia="宋体" w:cs="宋体"/>
        <w:spacing w:val="-20"/>
        <w:w w:val="100"/>
        <w:sz w:val="22"/>
        <w:szCs w:val="22"/>
        <w:lang w:val="zh-CN" w:eastAsia="zh-CN" w:bidi="zh-CN"/>
      </w:rPr>
    </w:lvl>
    <w:lvl w:ilvl="1" w:tentative="0">
      <w:start w:val="0"/>
      <w:numFmt w:val="bullet"/>
      <w:lvlText w:val="•"/>
      <w:lvlJc w:val="left"/>
      <w:pPr>
        <w:ind w:left="1136" w:hanging="601"/>
      </w:pPr>
      <w:rPr>
        <w:rFonts w:hint="default"/>
        <w:lang w:val="zh-CN" w:eastAsia="zh-CN" w:bidi="zh-CN"/>
      </w:rPr>
    </w:lvl>
    <w:lvl w:ilvl="2" w:tentative="0">
      <w:start w:val="0"/>
      <w:numFmt w:val="bullet"/>
      <w:lvlText w:val="•"/>
      <w:lvlJc w:val="left"/>
      <w:pPr>
        <w:ind w:left="2153" w:hanging="601"/>
      </w:pPr>
      <w:rPr>
        <w:rFonts w:hint="default"/>
        <w:lang w:val="zh-CN" w:eastAsia="zh-CN" w:bidi="zh-CN"/>
      </w:rPr>
    </w:lvl>
    <w:lvl w:ilvl="3" w:tentative="0">
      <w:start w:val="0"/>
      <w:numFmt w:val="bullet"/>
      <w:lvlText w:val="•"/>
      <w:lvlJc w:val="left"/>
      <w:pPr>
        <w:ind w:left="3169" w:hanging="601"/>
      </w:pPr>
      <w:rPr>
        <w:rFonts w:hint="default"/>
        <w:lang w:val="zh-CN" w:eastAsia="zh-CN" w:bidi="zh-CN"/>
      </w:rPr>
    </w:lvl>
    <w:lvl w:ilvl="4" w:tentative="0">
      <w:start w:val="0"/>
      <w:numFmt w:val="bullet"/>
      <w:lvlText w:val="•"/>
      <w:lvlJc w:val="left"/>
      <w:pPr>
        <w:ind w:left="4186" w:hanging="601"/>
      </w:pPr>
      <w:rPr>
        <w:rFonts w:hint="default"/>
        <w:lang w:val="zh-CN" w:eastAsia="zh-CN" w:bidi="zh-CN"/>
      </w:rPr>
    </w:lvl>
    <w:lvl w:ilvl="5" w:tentative="0">
      <w:start w:val="0"/>
      <w:numFmt w:val="bullet"/>
      <w:lvlText w:val="•"/>
      <w:lvlJc w:val="left"/>
      <w:pPr>
        <w:ind w:left="5203" w:hanging="601"/>
      </w:pPr>
      <w:rPr>
        <w:rFonts w:hint="default"/>
        <w:lang w:val="zh-CN" w:eastAsia="zh-CN" w:bidi="zh-CN"/>
      </w:rPr>
    </w:lvl>
    <w:lvl w:ilvl="6" w:tentative="0">
      <w:start w:val="0"/>
      <w:numFmt w:val="bullet"/>
      <w:lvlText w:val="•"/>
      <w:lvlJc w:val="left"/>
      <w:pPr>
        <w:ind w:left="6219" w:hanging="601"/>
      </w:pPr>
      <w:rPr>
        <w:rFonts w:hint="default"/>
        <w:lang w:val="zh-CN" w:eastAsia="zh-CN" w:bidi="zh-CN"/>
      </w:rPr>
    </w:lvl>
    <w:lvl w:ilvl="7" w:tentative="0">
      <w:start w:val="0"/>
      <w:numFmt w:val="bullet"/>
      <w:lvlText w:val="•"/>
      <w:lvlJc w:val="left"/>
      <w:pPr>
        <w:ind w:left="7236" w:hanging="601"/>
      </w:pPr>
      <w:rPr>
        <w:rFonts w:hint="default"/>
        <w:lang w:val="zh-CN" w:eastAsia="zh-CN" w:bidi="zh-CN"/>
      </w:rPr>
    </w:lvl>
    <w:lvl w:ilvl="8" w:tentative="0">
      <w:start w:val="0"/>
      <w:numFmt w:val="bullet"/>
      <w:lvlText w:val="•"/>
      <w:lvlJc w:val="left"/>
      <w:pPr>
        <w:ind w:left="8252" w:hanging="601"/>
      </w:pPr>
      <w:rPr>
        <w:rFonts w:hint="default"/>
        <w:lang w:val="zh-CN" w:eastAsia="zh-CN" w:bidi="zh-CN"/>
      </w:rPr>
    </w:lvl>
  </w:abstractNum>
  <w:abstractNum w:abstractNumId="29">
    <w:nsid w:val="39A0D9AC"/>
    <w:multiLevelType w:val="multilevel"/>
    <w:tmpl w:val="39A0D9AC"/>
    <w:lvl w:ilvl="0" w:tentative="0">
      <w:start w:val="23"/>
      <w:numFmt w:val="decimal"/>
      <w:lvlText w:val="%1"/>
      <w:lvlJc w:val="left"/>
      <w:pPr>
        <w:ind w:left="112" w:hanging="540"/>
        <w:jc w:val="left"/>
      </w:pPr>
      <w:rPr>
        <w:rFonts w:hint="default"/>
        <w:lang w:val="zh-CN" w:eastAsia="zh-CN" w:bidi="zh-CN"/>
      </w:rPr>
    </w:lvl>
    <w:lvl w:ilvl="1" w:tentative="0">
      <w:start w:val="1"/>
      <w:numFmt w:val="decimal"/>
      <w:lvlText w:val="%1.%2"/>
      <w:lvlJc w:val="left"/>
      <w:pPr>
        <w:ind w:left="112"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153" w:hanging="540"/>
      </w:pPr>
      <w:rPr>
        <w:rFonts w:hint="default"/>
        <w:lang w:val="zh-CN" w:eastAsia="zh-CN" w:bidi="zh-CN"/>
      </w:rPr>
    </w:lvl>
    <w:lvl w:ilvl="3" w:tentative="0">
      <w:start w:val="0"/>
      <w:numFmt w:val="bullet"/>
      <w:lvlText w:val="•"/>
      <w:lvlJc w:val="left"/>
      <w:pPr>
        <w:ind w:left="3169" w:hanging="540"/>
      </w:pPr>
      <w:rPr>
        <w:rFonts w:hint="default"/>
        <w:lang w:val="zh-CN" w:eastAsia="zh-CN" w:bidi="zh-CN"/>
      </w:rPr>
    </w:lvl>
    <w:lvl w:ilvl="4" w:tentative="0">
      <w:start w:val="0"/>
      <w:numFmt w:val="bullet"/>
      <w:lvlText w:val="•"/>
      <w:lvlJc w:val="left"/>
      <w:pPr>
        <w:ind w:left="4186" w:hanging="540"/>
      </w:pPr>
      <w:rPr>
        <w:rFonts w:hint="default"/>
        <w:lang w:val="zh-CN" w:eastAsia="zh-CN" w:bidi="zh-CN"/>
      </w:rPr>
    </w:lvl>
    <w:lvl w:ilvl="5" w:tentative="0">
      <w:start w:val="0"/>
      <w:numFmt w:val="bullet"/>
      <w:lvlText w:val="•"/>
      <w:lvlJc w:val="left"/>
      <w:pPr>
        <w:ind w:left="5203" w:hanging="540"/>
      </w:pPr>
      <w:rPr>
        <w:rFonts w:hint="default"/>
        <w:lang w:val="zh-CN" w:eastAsia="zh-CN" w:bidi="zh-CN"/>
      </w:rPr>
    </w:lvl>
    <w:lvl w:ilvl="6" w:tentative="0">
      <w:start w:val="0"/>
      <w:numFmt w:val="bullet"/>
      <w:lvlText w:val="•"/>
      <w:lvlJc w:val="left"/>
      <w:pPr>
        <w:ind w:left="6219" w:hanging="540"/>
      </w:pPr>
      <w:rPr>
        <w:rFonts w:hint="default"/>
        <w:lang w:val="zh-CN" w:eastAsia="zh-CN" w:bidi="zh-CN"/>
      </w:rPr>
    </w:lvl>
    <w:lvl w:ilvl="7" w:tentative="0">
      <w:start w:val="0"/>
      <w:numFmt w:val="bullet"/>
      <w:lvlText w:val="•"/>
      <w:lvlJc w:val="left"/>
      <w:pPr>
        <w:ind w:left="7236" w:hanging="540"/>
      </w:pPr>
      <w:rPr>
        <w:rFonts w:hint="default"/>
        <w:lang w:val="zh-CN" w:eastAsia="zh-CN" w:bidi="zh-CN"/>
      </w:rPr>
    </w:lvl>
    <w:lvl w:ilvl="8" w:tentative="0">
      <w:start w:val="0"/>
      <w:numFmt w:val="bullet"/>
      <w:lvlText w:val="•"/>
      <w:lvlJc w:val="left"/>
      <w:pPr>
        <w:ind w:left="8252" w:hanging="540"/>
      </w:pPr>
      <w:rPr>
        <w:rFonts w:hint="default"/>
        <w:lang w:val="zh-CN" w:eastAsia="zh-CN" w:bidi="zh-CN"/>
      </w:rPr>
    </w:lvl>
  </w:abstractNum>
  <w:abstractNum w:abstractNumId="30">
    <w:nsid w:val="3D9DC6B2"/>
    <w:multiLevelType w:val="multilevel"/>
    <w:tmpl w:val="3D9DC6B2"/>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31">
    <w:nsid w:val="46A08BB8"/>
    <w:multiLevelType w:val="multilevel"/>
    <w:tmpl w:val="46A08BB8"/>
    <w:lvl w:ilvl="0" w:tentative="0">
      <w:start w:val="13"/>
      <w:numFmt w:val="decimal"/>
      <w:lvlText w:val="%1"/>
      <w:lvlJc w:val="left"/>
      <w:pPr>
        <w:ind w:left="112" w:hanging="543"/>
        <w:jc w:val="left"/>
      </w:pPr>
      <w:rPr>
        <w:rFonts w:hint="default"/>
        <w:lang w:val="zh-CN" w:eastAsia="zh-CN" w:bidi="zh-CN"/>
      </w:rPr>
    </w:lvl>
    <w:lvl w:ilvl="1" w:tentative="0">
      <w:start w:val="1"/>
      <w:numFmt w:val="decimal"/>
      <w:lvlText w:val="%1.%2"/>
      <w:lvlJc w:val="left"/>
      <w:pPr>
        <w:ind w:left="112" w:hanging="543"/>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153" w:hanging="543"/>
      </w:pPr>
      <w:rPr>
        <w:rFonts w:hint="default"/>
        <w:lang w:val="zh-CN" w:eastAsia="zh-CN" w:bidi="zh-CN"/>
      </w:rPr>
    </w:lvl>
    <w:lvl w:ilvl="3" w:tentative="0">
      <w:start w:val="0"/>
      <w:numFmt w:val="bullet"/>
      <w:lvlText w:val="•"/>
      <w:lvlJc w:val="left"/>
      <w:pPr>
        <w:ind w:left="3169" w:hanging="543"/>
      </w:pPr>
      <w:rPr>
        <w:rFonts w:hint="default"/>
        <w:lang w:val="zh-CN" w:eastAsia="zh-CN" w:bidi="zh-CN"/>
      </w:rPr>
    </w:lvl>
    <w:lvl w:ilvl="4" w:tentative="0">
      <w:start w:val="0"/>
      <w:numFmt w:val="bullet"/>
      <w:lvlText w:val="•"/>
      <w:lvlJc w:val="left"/>
      <w:pPr>
        <w:ind w:left="4186" w:hanging="543"/>
      </w:pPr>
      <w:rPr>
        <w:rFonts w:hint="default"/>
        <w:lang w:val="zh-CN" w:eastAsia="zh-CN" w:bidi="zh-CN"/>
      </w:rPr>
    </w:lvl>
    <w:lvl w:ilvl="5" w:tentative="0">
      <w:start w:val="0"/>
      <w:numFmt w:val="bullet"/>
      <w:lvlText w:val="•"/>
      <w:lvlJc w:val="left"/>
      <w:pPr>
        <w:ind w:left="5203" w:hanging="543"/>
      </w:pPr>
      <w:rPr>
        <w:rFonts w:hint="default"/>
        <w:lang w:val="zh-CN" w:eastAsia="zh-CN" w:bidi="zh-CN"/>
      </w:rPr>
    </w:lvl>
    <w:lvl w:ilvl="6" w:tentative="0">
      <w:start w:val="0"/>
      <w:numFmt w:val="bullet"/>
      <w:lvlText w:val="•"/>
      <w:lvlJc w:val="left"/>
      <w:pPr>
        <w:ind w:left="6219" w:hanging="543"/>
      </w:pPr>
      <w:rPr>
        <w:rFonts w:hint="default"/>
        <w:lang w:val="zh-CN" w:eastAsia="zh-CN" w:bidi="zh-CN"/>
      </w:rPr>
    </w:lvl>
    <w:lvl w:ilvl="7" w:tentative="0">
      <w:start w:val="0"/>
      <w:numFmt w:val="bullet"/>
      <w:lvlText w:val="•"/>
      <w:lvlJc w:val="left"/>
      <w:pPr>
        <w:ind w:left="7236" w:hanging="543"/>
      </w:pPr>
      <w:rPr>
        <w:rFonts w:hint="default"/>
        <w:lang w:val="zh-CN" w:eastAsia="zh-CN" w:bidi="zh-CN"/>
      </w:rPr>
    </w:lvl>
    <w:lvl w:ilvl="8" w:tentative="0">
      <w:start w:val="0"/>
      <w:numFmt w:val="bullet"/>
      <w:lvlText w:val="•"/>
      <w:lvlJc w:val="left"/>
      <w:pPr>
        <w:ind w:left="8252" w:hanging="543"/>
      </w:pPr>
      <w:rPr>
        <w:rFonts w:hint="default"/>
        <w:lang w:val="zh-CN" w:eastAsia="zh-CN" w:bidi="zh-CN"/>
      </w:rPr>
    </w:lvl>
  </w:abstractNum>
  <w:abstractNum w:abstractNumId="32">
    <w:nsid w:val="4C3D7A74"/>
    <w:multiLevelType w:val="multilevel"/>
    <w:tmpl w:val="4C3D7A74"/>
    <w:lvl w:ilvl="0" w:tentative="0">
      <w:start w:val="1"/>
      <w:numFmt w:val="decimal"/>
      <w:lvlText w:val="（%1）"/>
      <w:lvlJc w:val="left"/>
      <w:pPr>
        <w:ind w:left="1193"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108" w:hanging="601"/>
      </w:pPr>
      <w:rPr>
        <w:rFonts w:hint="default"/>
        <w:lang w:val="zh-CN" w:eastAsia="zh-CN" w:bidi="zh-CN"/>
      </w:rPr>
    </w:lvl>
    <w:lvl w:ilvl="2" w:tentative="0">
      <w:start w:val="0"/>
      <w:numFmt w:val="bullet"/>
      <w:lvlText w:val="•"/>
      <w:lvlJc w:val="left"/>
      <w:pPr>
        <w:ind w:left="3017" w:hanging="601"/>
      </w:pPr>
      <w:rPr>
        <w:rFonts w:hint="default"/>
        <w:lang w:val="zh-CN" w:eastAsia="zh-CN" w:bidi="zh-CN"/>
      </w:rPr>
    </w:lvl>
    <w:lvl w:ilvl="3" w:tentative="0">
      <w:start w:val="0"/>
      <w:numFmt w:val="bullet"/>
      <w:lvlText w:val="•"/>
      <w:lvlJc w:val="left"/>
      <w:pPr>
        <w:ind w:left="392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43" w:hanging="601"/>
      </w:pPr>
      <w:rPr>
        <w:rFonts w:hint="default"/>
        <w:lang w:val="zh-CN" w:eastAsia="zh-CN" w:bidi="zh-CN"/>
      </w:rPr>
    </w:lvl>
    <w:lvl w:ilvl="6" w:tentative="0">
      <w:start w:val="0"/>
      <w:numFmt w:val="bullet"/>
      <w:lvlText w:val="•"/>
      <w:lvlJc w:val="left"/>
      <w:pPr>
        <w:ind w:left="6651" w:hanging="601"/>
      </w:pPr>
      <w:rPr>
        <w:rFonts w:hint="default"/>
        <w:lang w:val="zh-CN" w:eastAsia="zh-CN" w:bidi="zh-CN"/>
      </w:rPr>
    </w:lvl>
    <w:lvl w:ilvl="7" w:tentative="0">
      <w:start w:val="0"/>
      <w:numFmt w:val="bullet"/>
      <w:lvlText w:val="•"/>
      <w:lvlJc w:val="left"/>
      <w:pPr>
        <w:ind w:left="7560" w:hanging="601"/>
      </w:pPr>
      <w:rPr>
        <w:rFonts w:hint="default"/>
        <w:lang w:val="zh-CN" w:eastAsia="zh-CN" w:bidi="zh-CN"/>
      </w:rPr>
    </w:lvl>
    <w:lvl w:ilvl="8" w:tentative="0">
      <w:start w:val="0"/>
      <w:numFmt w:val="bullet"/>
      <w:lvlText w:val="•"/>
      <w:lvlJc w:val="left"/>
      <w:pPr>
        <w:ind w:left="8468" w:hanging="601"/>
      </w:pPr>
      <w:rPr>
        <w:rFonts w:hint="default"/>
        <w:lang w:val="zh-CN" w:eastAsia="zh-CN" w:bidi="zh-CN"/>
      </w:rPr>
    </w:lvl>
  </w:abstractNum>
  <w:abstractNum w:abstractNumId="33">
    <w:nsid w:val="4D4DC07F"/>
    <w:multiLevelType w:val="multilevel"/>
    <w:tmpl w:val="4D4DC07F"/>
    <w:lvl w:ilvl="0" w:tentative="0">
      <w:start w:val="1"/>
      <w:numFmt w:val="decimal"/>
      <w:lvlText w:val="%1."/>
      <w:lvlJc w:val="left"/>
      <w:pPr>
        <w:ind w:left="112" w:hanging="320"/>
        <w:jc w:val="left"/>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1136" w:hanging="320"/>
      </w:pPr>
      <w:rPr>
        <w:rFonts w:hint="default"/>
        <w:lang w:val="zh-CN" w:eastAsia="zh-CN" w:bidi="zh-CN"/>
      </w:rPr>
    </w:lvl>
    <w:lvl w:ilvl="2" w:tentative="0">
      <w:start w:val="0"/>
      <w:numFmt w:val="bullet"/>
      <w:lvlText w:val="•"/>
      <w:lvlJc w:val="left"/>
      <w:pPr>
        <w:ind w:left="2153" w:hanging="320"/>
      </w:pPr>
      <w:rPr>
        <w:rFonts w:hint="default"/>
        <w:lang w:val="zh-CN" w:eastAsia="zh-CN" w:bidi="zh-CN"/>
      </w:rPr>
    </w:lvl>
    <w:lvl w:ilvl="3" w:tentative="0">
      <w:start w:val="0"/>
      <w:numFmt w:val="bullet"/>
      <w:lvlText w:val="•"/>
      <w:lvlJc w:val="left"/>
      <w:pPr>
        <w:ind w:left="3169" w:hanging="320"/>
      </w:pPr>
      <w:rPr>
        <w:rFonts w:hint="default"/>
        <w:lang w:val="zh-CN" w:eastAsia="zh-CN" w:bidi="zh-CN"/>
      </w:rPr>
    </w:lvl>
    <w:lvl w:ilvl="4" w:tentative="0">
      <w:start w:val="0"/>
      <w:numFmt w:val="bullet"/>
      <w:lvlText w:val="•"/>
      <w:lvlJc w:val="left"/>
      <w:pPr>
        <w:ind w:left="4186" w:hanging="320"/>
      </w:pPr>
      <w:rPr>
        <w:rFonts w:hint="default"/>
        <w:lang w:val="zh-CN" w:eastAsia="zh-CN" w:bidi="zh-CN"/>
      </w:rPr>
    </w:lvl>
    <w:lvl w:ilvl="5" w:tentative="0">
      <w:start w:val="0"/>
      <w:numFmt w:val="bullet"/>
      <w:lvlText w:val="•"/>
      <w:lvlJc w:val="left"/>
      <w:pPr>
        <w:ind w:left="5203" w:hanging="320"/>
      </w:pPr>
      <w:rPr>
        <w:rFonts w:hint="default"/>
        <w:lang w:val="zh-CN" w:eastAsia="zh-CN" w:bidi="zh-CN"/>
      </w:rPr>
    </w:lvl>
    <w:lvl w:ilvl="6" w:tentative="0">
      <w:start w:val="0"/>
      <w:numFmt w:val="bullet"/>
      <w:lvlText w:val="•"/>
      <w:lvlJc w:val="left"/>
      <w:pPr>
        <w:ind w:left="6219" w:hanging="320"/>
      </w:pPr>
      <w:rPr>
        <w:rFonts w:hint="default"/>
        <w:lang w:val="zh-CN" w:eastAsia="zh-CN" w:bidi="zh-CN"/>
      </w:rPr>
    </w:lvl>
    <w:lvl w:ilvl="7" w:tentative="0">
      <w:start w:val="0"/>
      <w:numFmt w:val="bullet"/>
      <w:lvlText w:val="•"/>
      <w:lvlJc w:val="left"/>
      <w:pPr>
        <w:ind w:left="7236" w:hanging="320"/>
      </w:pPr>
      <w:rPr>
        <w:rFonts w:hint="default"/>
        <w:lang w:val="zh-CN" w:eastAsia="zh-CN" w:bidi="zh-CN"/>
      </w:rPr>
    </w:lvl>
    <w:lvl w:ilvl="8" w:tentative="0">
      <w:start w:val="0"/>
      <w:numFmt w:val="bullet"/>
      <w:lvlText w:val="•"/>
      <w:lvlJc w:val="left"/>
      <w:pPr>
        <w:ind w:left="8252" w:hanging="320"/>
      </w:pPr>
      <w:rPr>
        <w:rFonts w:hint="default"/>
        <w:lang w:val="zh-CN" w:eastAsia="zh-CN" w:bidi="zh-CN"/>
      </w:rPr>
    </w:lvl>
  </w:abstractNum>
  <w:abstractNum w:abstractNumId="34">
    <w:nsid w:val="4D94DA66"/>
    <w:multiLevelType w:val="multilevel"/>
    <w:tmpl w:val="4D94DA66"/>
    <w:lvl w:ilvl="0" w:tentative="0">
      <w:start w:val="29"/>
      <w:numFmt w:val="decimal"/>
      <w:lvlText w:val="%1"/>
      <w:lvlJc w:val="left"/>
      <w:pPr>
        <w:ind w:left="112" w:hanging="600"/>
        <w:jc w:val="left"/>
      </w:pPr>
      <w:rPr>
        <w:rFonts w:hint="default"/>
        <w:lang w:val="zh-CN" w:eastAsia="zh-CN" w:bidi="zh-CN"/>
      </w:rPr>
    </w:lvl>
    <w:lvl w:ilvl="1" w:tentative="0">
      <w:start w:val="1"/>
      <w:numFmt w:val="decimal"/>
      <w:lvlText w:val="%1.%2"/>
      <w:lvlJc w:val="left"/>
      <w:pPr>
        <w:ind w:left="112" w:hanging="600"/>
        <w:jc w:val="left"/>
      </w:pPr>
      <w:rPr>
        <w:rFonts w:hint="default" w:ascii="宋体" w:hAnsi="宋体" w:eastAsia="宋体" w:cs="宋体"/>
        <w:spacing w:val="-16"/>
        <w:w w:val="100"/>
        <w:sz w:val="24"/>
        <w:szCs w:val="24"/>
        <w:lang w:val="zh-CN" w:eastAsia="zh-CN" w:bidi="zh-CN"/>
      </w:rPr>
    </w:lvl>
    <w:lvl w:ilvl="2" w:tentative="0">
      <w:start w:val="0"/>
      <w:numFmt w:val="bullet"/>
      <w:lvlText w:val="•"/>
      <w:lvlJc w:val="left"/>
      <w:pPr>
        <w:ind w:left="2153" w:hanging="600"/>
      </w:pPr>
      <w:rPr>
        <w:rFonts w:hint="default"/>
        <w:lang w:val="zh-CN" w:eastAsia="zh-CN" w:bidi="zh-CN"/>
      </w:rPr>
    </w:lvl>
    <w:lvl w:ilvl="3" w:tentative="0">
      <w:start w:val="0"/>
      <w:numFmt w:val="bullet"/>
      <w:lvlText w:val="•"/>
      <w:lvlJc w:val="left"/>
      <w:pPr>
        <w:ind w:left="3169" w:hanging="600"/>
      </w:pPr>
      <w:rPr>
        <w:rFonts w:hint="default"/>
        <w:lang w:val="zh-CN" w:eastAsia="zh-CN" w:bidi="zh-CN"/>
      </w:rPr>
    </w:lvl>
    <w:lvl w:ilvl="4" w:tentative="0">
      <w:start w:val="0"/>
      <w:numFmt w:val="bullet"/>
      <w:lvlText w:val="•"/>
      <w:lvlJc w:val="left"/>
      <w:pPr>
        <w:ind w:left="4186" w:hanging="600"/>
      </w:pPr>
      <w:rPr>
        <w:rFonts w:hint="default"/>
        <w:lang w:val="zh-CN" w:eastAsia="zh-CN" w:bidi="zh-CN"/>
      </w:rPr>
    </w:lvl>
    <w:lvl w:ilvl="5" w:tentative="0">
      <w:start w:val="0"/>
      <w:numFmt w:val="bullet"/>
      <w:lvlText w:val="•"/>
      <w:lvlJc w:val="left"/>
      <w:pPr>
        <w:ind w:left="5203" w:hanging="600"/>
      </w:pPr>
      <w:rPr>
        <w:rFonts w:hint="default"/>
        <w:lang w:val="zh-CN" w:eastAsia="zh-CN" w:bidi="zh-CN"/>
      </w:rPr>
    </w:lvl>
    <w:lvl w:ilvl="6" w:tentative="0">
      <w:start w:val="0"/>
      <w:numFmt w:val="bullet"/>
      <w:lvlText w:val="•"/>
      <w:lvlJc w:val="left"/>
      <w:pPr>
        <w:ind w:left="6219" w:hanging="600"/>
      </w:pPr>
      <w:rPr>
        <w:rFonts w:hint="default"/>
        <w:lang w:val="zh-CN" w:eastAsia="zh-CN" w:bidi="zh-CN"/>
      </w:rPr>
    </w:lvl>
    <w:lvl w:ilvl="7" w:tentative="0">
      <w:start w:val="0"/>
      <w:numFmt w:val="bullet"/>
      <w:lvlText w:val="•"/>
      <w:lvlJc w:val="left"/>
      <w:pPr>
        <w:ind w:left="7236" w:hanging="600"/>
      </w:pPr>
      <w:rPr>
        <w:rFonts w:hint="default"/>
        <w:lang w:val="zh-CN" w:eastAsia="zh-CN" w:bidi="zh-CN"/>
      </w:rPr>
    </w:lvl>
    <w:lvl w:ilvl="8" w:tentative="0">
      <w:start w:val="0"/>
      <w:numFmt w:val="bullet"/>
      <w:lvlText w:val="•"/>
      <w:lvlJc w:val="left"/>
      <w:pPr>
        <w:ind w:left="8252" w:hanging="600"/>
      </w:pPr>
      <w:rPr>
        <w:rFonts w:hint="default"/>
        <w:lang w:val="zh-CN" w:eastAsia="zh-CN" w:bidi="zh-CN"/>
      </w:rPr>
    </w:lvl>
  </w:abstractNum>
  <w:abstractNum w:abstractNumId="35">
    <w:nsid w:val="524A8C6C"/>
    <w:multiLevelType w:val="singleLevel"/>
    <w:tmpl w:val="524A8C6C"/>
    <w:lvl w:ilvl="0" w:tentative="0">
      <w:start w:val="1"/>
      <w:numFmt w:val="decimal"/>
      <w:suff w:val="space"/>
      <w:lvlText w:val="%1."/>
      <w:lvlJc w:val="left"/>
    </w:lvl>
  </w:abstractNum>
  <w:abstractNum w:abstractNumId="36">
    <w:nsid w:val="58765686"/>
    <w:multiLevelType w:val="multilevel"/>
    <w:tmpl w:val="58765686"/>
    <w:lvl w:ilvl="0" w:tentative="0">
      <w:start w:val="25"/>
      <w:numFmt w:val="decimal"/>
      <w:lvlText w:val="%1."/>
      <w:lvlJc w:val="left"/>
      <w:pPr>
        <w:ind w:left="476" w:hanging="364"/>
        <w:jc w:val="left"/>
      </w:pPr>
      <w:rPr>
        <w:rFonts w:hint="default" w:ascii="宋体" w:hAnsi="宋体" w:eastAsia="宋体" w:cs="宋体"/>
        <w:b/>
        <w:bCs/>
        <w:spacing w:val="-1"/>
        <w:w w:val="99"/>
        <w:sz w:val="22"/>
        <w:szCs w:val="22"/>
        <w:lang w:val="zh-CN" w:eastAsia="zh-CN" w:bidi="zh-CN"/>
      </w:rPr>
    </w:lvl>
    <w:lvl w:ilvl="1" w:tentative="0">
      <w:start w:val="1"/>
      <w:numFmt w:val="decimal"/>
      <w:lvlText w:val="%1.%2"/>
      <w:lvlJc w:val="left"/>
      <w:pPr>
        <w:ind w:left="112"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1569" w:hanging="540"/>
      </w:pPr>
      <w:rPr>
        <w:rFonts w:hint="default"/>
        <w:lang w:val="zh-CN" w:eastAsia="zh-CN" w:bidi="zh-CN"/>
      </w:rPr>
    </w:lvl>
    <w:lvl w:ilvl="3" w:tentative="0">
      <w:start w:val="0"/>
      <w:numFmt w:val="bullet"/>
      <w:lvlText w:val="•"/>
      <w:lvlJc w:val="left"/>
      <w:pPr>
        <w:ind w:left="2659" w:hanging="540"/>
      </w:pPr>
      <w:rPr>
        <w:rFonts w:hint="default"/>
        <w:lang w:val="zh-CN" w:eastAsia="zh-CN" w:bidi="zh-CN"/>
      </w:rPr>
    </w:lvl>
    <w:lvl w:ilvl="4" w:tentative="0">
      <w:start w:val="0"/>
      <w:numFmt w:val="bullet"/>
      <w:lvlText w:val="•"/>
      <w:lvlJc w:val="left"/>
      <w:pPr>
        <w:ind w:left="3748" w:hanging="540"/>
      </w:pPr>
      <w:rPr>
        <w:rFonts w:hint="default"/>
        <w:lang w:val="zh-CN" w:eastAsia="zh-CN" w:bidi="zh-CN"/>
      </w:rPr>
    </w:lvl>
    <w:lvl w:ilvl="5" w:tentative="0">
      <w:start w:val="0"/>
      <w:numFmt w:val="bullet"/>
      <w:lvlText w:val="•"/>
      <w:lvlJc w:val="left"/>
      <w:pPr>
        <w:ind w:left="4838" w:hanging="540"/>
      </w:pPr>
      <w:rPr>
        <w:rFonts w:hint="default"/>
        <w:lang w:val="zh-CN" w:eastAsia="zh-CN" w:bidi="zh-CN"/>
      </w:rPr>
    </w:lvl>
    <w:lvl w:ilvl="6" w:tentative="0">
      <w:start w:val="0"/>
      <w:numFmt w:val="bullet"/>
      <w:lvlText w:val="•"/>
      <w:lvlJc w:val="left"/>
      <w:pPr>
        <w:ind w:left="5927" w:hanging="540"/>
      </w:pPr>
      <w:rPr>
        <w:rFonts w:hint="default"/>
        <w:lang w:val="zh-CN" w:eastAsia="zh-CN" w:bidi="zh-CN"/>
      </w:rPr>
    </w:lvl>
    <w:lvl w:ilvl="7" w:tentative="0">
      <w:start w:val="0"/>
      <w:numFmt w:val="bullet"/>
      <w:lvlText w:val="•"/>
      <w:lvlJc w:val="left"/>
      <w:pPr>
        <w:ind w:left="7017" w:hanging="540"/>
      </w:pPr>
      <w:rPr>
        <w:rFonts w:hint="default"/>
        <w:lang w:val="zh-CN" w:eastAsia="zh-CN" w:bidi="zh-CN"/>
      </w:rPr>
    </w:lvl>
    <w:lvl w:ilvl="8" w:tentative="0">
      <w:start w:val="0"/>
      <w:numFmt w:val="bullet"/>
      <w:lvlText w:val="•"/>
      <w:lvlJc w:val="left"/>
      <w:pPr>
        <w:ind w:left="8106" w:hanging="540"/>
      </w:pPr>
      <w:rPr>
        <w:rFonts w:hint="default"/>
        <w:lang w:val="zh-CN" w:eastAsia="zh-CN" w:bidi="zh-CN"/>
      </w:rPr>
    </w:lvl>
  </w:abstractNum>
  <w:abstractNum w:abstractNumId="37">
    <w:nsid w:val="5BC0CDEC"/>
    <w:multiLevelType w:val="singleLevel"/>
    <w:tmpl w:val="5BC0CDEC"/>
    <w:lvl w:ilvl="0" w:tentative="0">
      <w:start w:val="1"/>
      <w:numFmt w:val="decimal"/>
      <w:lvlText w:val="%1."/>
      <w:lvlJc w:val="left"/>
      <w:pPr>
        <w:tabs>
          <w:tab w:val="left" w:pos="312"/>
        </w:tabs>
      </w:pPr>
    </w:lvl>
  </w:abstractNum>
  <w:abstractNum w:abstractNumId="38">
    <w:nsid w:val="5E29AB5A"/>
    <w:multiLevelType w:val="multilevel"/>
    <w:tmpl w:val="5E29AB5A"/>
    <w:lvl w:ilvl="0" w:tentative="0">
      <w:start w:val="1"/>
      <w:numFmt w:val="decimal"/>
      <w:lvlText w:val="%1"/>
      <w:lvlJc w:val="left"/>
      <w:pPr>
        <w:ind w:left="1065" w:hanging="483"/>
        <w:jc w:val="left"/>
      </w:pPr>
      <w:rPr>
        <w:rFonts w:hint="default"/>
        <w:lang w:val="zh-CN" w:eastAsia="zh-CN" w:bidi="zh-CN"/>
      </w:rPr>
    </w:lvl>
    <w:lvl w:ilvl="1" w:tentative="0">
      <w:start w:val="1"/>
      <w:numFmt w:val="decimal"/>
      <w:lvlText w:val="%1.%2"/>
      <w:lvlJc w:val="left"/>
      <w:pPr>
        <w:ind w:left="1065" w:hanging="483"/>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905" w:hanging="483"/>
      </w:pPr>
      <w:rPr>
        <w:rFonts w:hint="default"/>
        <w:lang w:val="zh-CN" w:eastAsia="zh-CN" w:bidi="zh-CN"/>
      </w:rPr>
    </w:lvl>
    <w:lvl w:ilvl="3" w:tentative="0">
      <w:start w:val="0"/>
      <w:numFmt w:val="bullet"/>
      <w:lvlText w:val="•"/>
      <w:lvlJc w:val="left"/>
      <w:pPr>
        <w:ind w:left="3827" w:hanging="483"/>
      </w:pPr>
      <w:rPr>
        <w:rFonts w:hint="default"/>
        <w:lang w:val="zh-CN" w:eastAsia="zh-CN" w:bidi="zh-CN"/>
      </w:rPr>
    </w:lvl>
    <w:lvl w:ilvl="4" w:tentative="0">
      <w:start w:val="0"/>
      <w:numFmt w:val="bullet"/>
      <w:lvlText w:val="•"/>
      <w:lvlJc w:val="left"/>
      <w:pPr>
        <w:ind w:left="4750" w:hanging="483"/>
      </w:pPr>
      <w:rPr>
        <w:rFonts w:hint="default"/>
        <w:lang w:val="zh-CN" w:eastAsia="zh-CN" w:bidi="zh-CN"/>
      </w:rPr>
    </w:lvl>
    <w:lvl w:ilvl="5" w:tentative="0">
      <w:start w:val="0"/>
      <w:numFmt w:val="bullet"/>
      <w:lvlText w:val="•"/>
      <w:lvlJc w:val="left"/>
      <w:pPr>
        <w:ind w:left="5673" w:hanging="483"/>
      </w:pPr>
      <w:rPr>
        <w:rFonts w:hint="default"/>
        <w:lang w:val="zh-CN" w:eastAsia="zh-CN" w:bidi="zh-CN"/>
      </w:rPr>
    </w:lvl>
    <w:lvl w:ilvl="6" w:tentative="0">
      <w:start w:val="0"/>
      <w:numFmt w:val="bullet"/>
      <w:lvlText w:val="•"/>
      <w:lvlJc w:val="left"/>
      <w:pPr>
        <w:ind w:left="6595" w:hanging="483"/>
      </w:pPr>
      <w:rPr>
        <w:rFonts w:hint="default"/>
        <w:lang w:val="zh-CN" w:eastAsia="zh-CN" w:bidi="zh-CN"/>
      </w:rPr>
    </w:lvl>
    <w:lvl w:ilvl="7" w:tentative="0">
      <w:start w:val="0"/>
      <w:numFmt w:val="bullet"/>
      <w:lvlText w:val="•"/>
      <w:lvlJc w:val="left"/>
      <w:pPr>
        <w:ind w:left="7518" w:hanging="483"/>
      </w:pPr>
      <w:rPr>
        <w:rFonts w:hint="default"/>
        <w:lang w:val="zh-CN" w:eastAsia="zh-CN" w:bidi="zh-CN"/>
      </w:rPr>
    </w:lvl>
    <w:lvl w:ilvl="8" w:tentative="0">
      <w:start w:val="0"/>
      <w:numFmt w:val="bullet"/>
      <w:lvlText w:val="•"/>
      <w:lvlJc w:val="left"/>
      <w:pPr>
        <w:ind w:left="8440" w:hanging="483"/>
      </w:pPr>
      <w:rPr>
        <w:rFonts w:hint="default"/>
        <w:lang w:val="zh-CN" w:eastAsia="zh-CN" w:bidi="zh-CN"/>
      </w:rPr>
    </w:lvl>
  </w:abstractNum>
  <w:abstractNum w:abstractNumId="39">
    <w:nsid w:val="5FFFB1A7"/>
    <w:multiLevelType w:val="multilevel"/>
    <w:tmpl w:val="5FFFB1A7"/>
    <w:lvl w:ilvl="0" w:tentative="0">
      <w:start w:val="1"/>
      <w:numFmt w:val="decimal"/>
      <w:lvlText w:val="（%1）"/>
      <w:lvlJc w:val="left"/>
      <w:pPr>
        <w:ind w:left="1193"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108" w:hanging="601"/>
      </w:pPr>
      <w:rPr>
        <w:rFonts w:hint="default"/>
        <w:lang w:val="zh-CN" w:eastAsia="zh-CN" w:bidi="zh-CN"/>
      </w:rPr>
    </w:lvl>
    <w:lvl w:ilvl="2" w:tentative="0">
      <w:start w:val="0"/>
      <w:numFmt w:val="bullet"/>
      <w:lvlText w:val="•"/>
      <w:lvlJc w:val="left"/>
      <w:pPr>
        <w:ind w:left="3017" w:hanging="601"/>
      </w:pPr>
      <w:rPr>
        <w:rFonts w:hint="default"/>
        <w:lang w:val="zh-CN" w:eastAsia="zh-CN" w:bidi="zh-CN"/>
      </w:rPr>
    </w:lvl>
    <w:lvl w:ilvl="3" w:tentative="0">
      <w:start w:val="0"/>
      <w:numFmt w:val="bullet"/>
      <w:lvlText w:val="•"/>
      <w:lvlJc w:val="left"/>
      <w:pPr>
        <w:ind w:left="392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43" w:hanging="601"/>
      </w:pPr>
      <w:rPr>
        <w:rFonts w:hint="default"/>
        <w:lang w:val="zh-CN" w:eastAsia="zh-CN" w:bidi="zh-CN"/>
      </w:rPr>
    </w:lvl>
    <w:lvl w:ilvl="6" w:tentative="0">
      <w:start w:val="0"/>
      <w:numFmt w:val="bullet"/>
      <w:lvlText w:val="•"/>
      <w:lvlJc w:val="left"/>
      <w:pPr>
        <w:ind w:left="6651" w:hanging="601"/>
      </w:pPr>
      <w:rPr>
        <w:rFonts w:hint="default"/>
        <w:lang w:val="zh-CN" w:eastAsia="zh-CN" w:bidi="zh-CN"/>
      </w:rPr>
    </w:lvl>
    <w:lvl w:ilvl="7" w:tentative="0">
      <w:start w:val="0"/>
      <w:numFmt w:val="bullet"/>
      <w:lvlText w:val="•"/>
      <w:lvlJc w:val="left"/>
      <w:pPr>
        <w:ind w:left="7560" w:hanging="601"/>
      </w:pPr>
      <w:rPr>
        <w:rFonts w:hint="default"/>
        <w:lang w:val="zh-CN" w:eastAsia="zh-CN" w:bidi="zh-CN"/>
      </w:rPr>
    </w:lvl>
    <w:lvl w:ilvl="8" w:tentative="0">
      <w:start w:val="0"/>
      <w:numFmt w:val="bullet"/>
      <w:lvlText w:val="•"/>
      <w:lvlJc w:val="left"/>
      <w:pPr>
        <w:ind w:left="8468" w:hanging="601"/>
      </w:pPr>
      <w:rPr>
        <w:rFonts w:hint="default"/>
        <w:lang w:val="zh-CN" w:eastAsia="zh-CN" w:bidi="zh-CN"/>
      </w:rPr>
    </w:lvl>
  </w:abstractNum>
  <w:abstractNum w:abstractNumId="40">
    <w:nsid w:val="60382F6E"/>
    <w:multiLevelType w:val="multilevel"/>
    <w:tmpl w:val="60382F6E"/>
    <w:lvl w:ilvl="0" w:tentative="0">
      <w:start w:val="7"/>
      <w:numFmt w:val="decimal"/>
      <w:lvlText w:val="%1"/>
      <w:lvlJc w:val="left"/>
      <w:pPr>
        <w:ind w:left="1012" w:hanging="420"/>
        <w:jc w:val="left"/>
      </w:pPr>
      <w:rPr>
        <w:rFonts w:hint="default"/>
        <w:lang w:val="zh-CN" w:eastAsia="zh-CN" w:bidi="zh-CN"/>
      </w:rPr>
    </w:lvl>
    <w:lvl w:ilvl="1" w:tentative="0">
      <w:start w:val="1"/>
      <w:numFmt w:val="decimal"/>
      <w:lvlText w:val="%1.%2"/>
      <w:lvlJc w:val="left"/>
      <w:pPr>
        <w:ind w:left="1012" w:hanging="42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873" w:hanging="420"/>
      </w:pPr>
      <w:rPr>
        <w:rFonts w:hint="default"/>
        <w:lang w:val="zh-CN" w:eastAsia="zh-CN" w:bidi="zh-CN"/>
      </w:rPr>
    </w:lvl>
    <w:lvl w:ilvl="3" w:tentative="0">
      <w:start w:val="0"/>
      <w:numFmt w:val="bullet"/>
      <w:lvlText w:val="•"/>
      <w:lvlJc w:val="left"/>
      <w:pPr>
        <w:ind w:left="3799" w:hanging="420"/>
      </w:pPr>
      <w:rPr>
        <w:rFonts w:hint="default"/>
        <w:lang w:val="zh-CN" w:eastAsia="zh-CN" w:bidi="zh-CN"/>
      </w:rPr>
    </w:lvl>
    <w:lvl w:ilvl="4" w:tentative="0">
      <w:start w:val="0"/>
      <w:numFmt w:val="bullet"/>
      <w:lvlText w:val="•"/>
      <w:lvlJc w:val="left"/>
      <w:pPr>
        <w:ind w:left="4726" w:hanging="420"/>
      </w:pPr>
      <w:rPr>
        <w:rFonts w:hint="default"/>
        <w:lang w:val="zh-CN" w:eastAsia="zh-CN" w:bidi="zh-CN"/>
      </w:rPr>
    </w:lvl>
    <w:lvl w:ilvl="5" w:tentative="0">
      <w:start w:val="0"/>
      <w:numFmt w:val="bullet"/>
      <w:lvlText w:val="•"/>
      <w:lvlJc w:val="left"/>
      <w:pPr>
        <w:ind w:left="5653" w:hanging="420"/>
      </w:pPr>
      <w:rPr>
        <w:rFonts w:hint="default"/>
        <w:lang w:val="zh-CN" w:eastAsia="zh-CN" w:bidi="zh-CN"/>
      </w:rPr>
    </w:lvl>
    <w:lvl w:ilvl="6" w:tentative="0">
      <w:start w:val="0"/>
      <w:numFmt w:val="bullet"/>
      <w:lvlText w:val="•"/>
      <w:lvlJc w:val="left"/>
      <w:pPr>
        <w:ind w:left="6579" w:hanging="420"/>
      </w:pPr>
      <w:rPr>
        <w:rFonts w:hint="default"/>
        <w:lang w:val="zh-CN" w:eastAsia="zh-CN" w:bidi="zh-CN"/>
      </w:rPr>
    </w:lvl>
    <w:lvl w:ilvl="7" w:tentative="0">
      <w:start w:val="0"/>
      <w:numFmt w:val="bullet"/>
      <w:lvlText w:val="•"/>
      <w:lvlJc w:val="left"/>
      <w:pPr>
        <w:ind w:left="7506" w:hanging="420"/>
      </w:pPr>
      <w:rPr>
        <w:rFonts w:hint="default"/>
        <w:lang w:val="zh-CN" w:eastAsia="zh-CN" w:bidi="zh-CN"/>
      </w:rPr>
    </w:lvl>
    <w:lvl w:ilvl="8" w:tentative="0">
      <w:start w:val="0"/>
      <w:numFmt w:val="bullet"/>
      <w:lvlText w:val="•"/>
      <w:lvlJc w:val="left"/>
      <w:pPr>
        <w:ind w:left="8432" w:hanging="420"/>
      </w:pPr>
      <w:rPr>
        <w:rFonts w:hint="default"/>
        <w:lang w:val="zh-CN" w:eastAsia="zh-CN" w:bidi="zh-CN"/>
      </w:rPr>
    </w:lvl>
  </w:abstractNum>
  <w:abstractNum w:abstractNumId="41">
    <w:nsid w:val="629F7852"/>
    <w:multiLevelType w:val="multilevel"/>
    <w:tmpl w:val="629F7852"/>
    <w:lvl w:ilvl="0" w:tentative="0">
      <w:start w:val="1"/>
      <w:numFmt w:val="decimal"/>
      <w:lvlText w:val="（%1）"/>
      <w:lvlJc w:val="left"/>
      <w:pPr>
        <w:ind w:left="1193"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1200" w:hanging="601"/>
      </w:pPr>
      <w:rPr>
        <w:rFonts w:hint="default"/>
        <w:lang w:val="zh-CN" w:eastAsia="zh-CN" w:bidi="zh-CN"/>
      </w:rPr>
    </w:lvl>
    <w:lvl w:ilvl="2" w:tentative="0">
      <w:start w:val="0"/>
      <w:numFmt w:val="bullet"/>
      <w:lvlText w:val="•"/>
      <w:lvlJc w:val="left"/>
      <w:pPr>
        <w:ind w:left="2209" w:hanging="601"/>
      </w:pPr>
      <w:rPr>
        <w:rFonts w:hint="default"/>
        <w:lang w:val="zh-CN" w:eastAsia="zh-CN" w:bidi="zh-CN"/>
      </w:rPr>
    </w:lvl>
    <w:lvl w:ilvl="3" w:tentative="0">
      <w:start w:val="0"/>
      <w:numFmt w:val="bullet"/>
      <w:lvlText w:val="•"/>
      <w:lvlJc w:val="left"/>
      <w:pPr>
        <w:ind w:left="3219" w:hanging="601"/>
      </w:pPr>
      <w:rPr>
        <w:rFonts w:hint="default"/>
        <w:lang w:val="zh-CN" w:eastAsia="zh-CN" w:bidi="zh-CN"/>
      </w:rPr>
    </w:lvl>
    <w:lvl w:ilvl="4" w:tentative="0">
      <w:start w:val="0"/>
      <w:numFmt w:val="bullet"/>
      <w:lvlText w:val="•"/>
      <w:lvlJc w:val="left"/>
      <w:pPr>
        <w:ind w:left="4228" w:hanging="601"/>
      </w:pPr>
      <w:rPr>
        <w:rFonts w:hint="default"/>
        <w:lang w:val="zh-CN" w:eastAsia="zh-CN" w:bidi="zh-CN"/>
      </w:rPr>
    </w:lvl>
    <w:lvl w:ilvl="5" w:tentative="0">
      <w:start w:val="0"/>
      <w:numFmt w:val="bullet"/>
      <w:lvlText w:val="•"/>
      <w:lvlJc w:val="left"/>
      <w:pPr>
        <w:ind w:left="5238" w:hanging="601"/>
      </w:pPr>
      <w:rPr>
        <w:rFonts w:hint="default"/>
        <w:lang w:val="zh-CN" w:eastAsia="zh-CN" w:bidi="zh-CN"/>
      </w:rPr>
    </w:lvl>
    <w:lvl w:ilvl="6" w:tentative="0">
      <w:start w:val="0"/>
      <w:numFmt w:val="bullet"/>
      <w:lvlText w:val="•"/>
      <w:lvlJc w:val="left"/>
      <w:pPr>
        <w:ind w:left="6247" w:hanging="601"/>
      </w:pPr>
      <w:rPr>
        <w:rFonts w:hint="default"/>
        <w:lang w:val="zh-CN" w:eastAsia="zh-CN" w:bidi="zh-CN"/>
      </w:rPr>
    </w:lvl>
    <w:lvl w:ilvl="7" w:tentative="0">
      <w:start w:val="0"/>
      <w:numFmt w:val="bullet"/>
      <w:lvlText w:val="•"/>
      <w:lvlJc w:val="left"/>
      <w:pPr>
        <w:ind w:left="7257" w:hanging="601"/>
      </w:pPr>
      <w:rPr>
        <w:rFonts w:hint="default"/>
        <w:lang w:val="zh-CN" w:eastAsia="zh-CN" w:bidi="zh-CN"/>
      </w:rPr>
    </w:lvl>
    <w:lvl w:ilvl="8" w:tentative="0">
      <w:start w:val="0"/>
      <w:numFmt w:val="bullet"/>
      <w:lvlText w:val="•"/>
      <w:lvlJc w:val="left"/>
      <w:pPr>
        <w:ind w:left="8266" w:hanging="601"/>
      </w:pPr>
      <w:rPr>
        <w:rFonts w:hint="default"/>
        <w:lang w:val="zh-CN" w:eastAsia="zh-CN" w:bidi="zh-CN"/>
      </w:rPr>
    </w:lvl>
  </w:abstractNum>
  <w:abstractNum w:abstractNumId="42">
    <w:nsid w:val="724B9A7B"/>
    <w:multiLevelType w:val="singleLevel"/>
    <w:tmpl w:val="724B9A7B"/>
    <w:lvl w:ilvl="0" w:tentative="0">
      <w:start w:val="2"/>
      <w:numFmt w:val="chineseCounting"/>
      <w:suff w:val="nothing"/>
      <w:lvlText w:val="%1、"/>
      <w:lvlJc w:val="left"/>
      <w:rPr>
        <w:rFonts w:hint="eastAsia"/>
      </w:rPr>
    </w:lvl>
  </w:abstractNum>
  <w:abstractNum w:abstractNumId="43">
    <w:nsid w:val="74C28B35"/>
    <w:multiLevelType w:val="multilevel"/>
    <w:tmpl w:val="74C28B35"/>
    <w:lvl w:ilvl="0" w:tentative="0">
      <w:start w:val="1"/>
      <w:numFmt w:val="decimal"/>
      <w:lvlText w:val="（%1）"/>
      <w:lvlJc w:val="left"/>
      <w:pPr>
        <w:ind w:left="1193"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108" w:hanging="601"/>
      </w:pPr>
      <w:rPr>
        <w:rFonts w:hint="default"/>
        <w:lang w:val="zh-CN" w:eastAsia="zh-CN" w:bidi="zh-CN"/>
      </w:rPr>
    </w:lvl>
    <w:lvl w:ilvl="2" w:tentative="0">
      <w:start w:val="0"/>
      <w:numFmt w:val="bullet"/>
      <w:lvlText w:val="•"/>
      <w:lvlJc w:val="left"/>
      <w:pPr>
        <w:ind w:left="3017" w:hanging="601"/>
      </w:pPr>
      <w:rPr>
        <w:rFonts w:hint="default"/>
        <w:lang w:val="zh-CN" w:eastAsia="zh-CN" w:bidi="zh-CN"/>
      </w:rPr>
    </w:lvl>
    <w:lvl w:ilvl="3" w:tentative="0">
      <w:start w:val="0"/>
      <w:numFmt w:val="bullet"/>
      <w:lvlText w:val="•"/>
      <w:lvlJc w:val="left"/>
      <w:pPr>
        <w:ind w:left="392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43" w:hanging="601"/>
      </w:pPr>
      <w:rPr>
        <w:rFonts w:hint="default"/>
        <w:lang w:val="zh-CN" w:eastAsia="zh-CN" w:bidi="zh-CN"/>
      </w:rPr>
    </w:lvl>
    <w:lvl w:ilvl="6" w:tentative="0">
      <w:start w:val="0"/>
      <w:numFmt w:val="bullet"/>
      <w:lvlText w:val="•"/>
      <w:lvlJc w:val="left"/>
      <w:pPr>
        <w:ind w:left="6651" w:hanging="601"/>
      </w:pPr>
      <w:rPr>
        <w:rFonts w:hint="default"/>
        <w:lang w:val="zh-CN" w:eastAsia="zh-CN" w:bidi="zh-CN"/>
      </w:rPr>
    </w:lvl>
    <w:lvl w:ilvl="7" w:tentative="0">
      <w:start w:val="0"/>
      <w:numFmt w:val="bullet"/>
      <w:lvlText w:val="•"/>
      <w:lvlJc w:val="left"/>
      <w:pPr>
        <w:ind w:left="7560" w:hanging="601"/>
      </w:pPr>
      <w:rPr>
        <w:rFonts w:hint="default"/>
        <w:lang w:val="zh-CN" w:eastAsia="zh-CN" w:bidi="zh-CN"/>
      </w:rPr>
    </w:lvl>
    <w:lvl w:ilvl="8" w:tentative="0">
      <w:start w:val="0"/>
      <w:numFmt w:val="bullet"/>
      <w:lvlText w:val="•"/>
      <w:lvlJc w:val="left"/>
      <w:pPr>
        <w:ind w:left="8468" w:hanging="601"/>
      </w:pPr>
      <w:rPr>
        <w:rFonts w:hint="default"/>
        <w:lang w:val="zh-CN" w:eastAsia="zh-CN" w:bidi="zh-CN"/>
      </w:rPr>
    </w:lvl>
  </w:abstractNum>
  <w:abstractNum w:abstractNumId="44">
    <w:nsid w:val="77ECEA79"/>
    <w:multiLevelType w:val="multilevel"/>
    <w:tmpl w:val="77ECEA79"/>
    <w:lvl w:ilvl="0" w:tentative="0">
      <w:start w:val="16"/>
      <w:numFmt w:val="decimal"/>
      <w:lvlText w:val="%1."/>
      <w:lvlJc w:val="left"/>
      <w:pPr>
        <w:ind w:left="476" w:hanging="364"/>
        <w:jc w:val="left"/>
      </w:pPr>
      <w:rPr>
        <w:rFonts w:hint="default" w:ascii="宋体" w:hAnsi="宋体" w:eastAsia="宋体" w:cs="宋体"/>
        <w:b/>
        <w:bCs/>
        <w:spacing w:val="-1"/>
        <w:w w:val="99"/>
        <w:sz w:val="22"/>
        <w:szCs w:val="22"/>
        <w:lang w:val="zh-CN" w:eastAsia="zh-CN" w:bidi="zh-CN"/>
      </w:rPr>
    </w:lvl>
    <w:lvl w:ilvl="1" w:tentative="0">
      <w:start w:val="1"/>
      <w:numFmt w:val="decimal"/>
      <w:lvlText w:val="%1.%2"/>
      <w:lvlJc w:val="left"/>
      <w:pPr>
        <w:ind w:left="112"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1140" w:hanging="540"/>
      </w:pPr>
      <w:rPr>
        <w:rFonts w:hint="default"/>
        <w:lang w:val="zh-CN" w:eastAsia="zh-CN" w:bidi="zh-CN"/>
      </w:rPr>
    </w:lvl>
    <w:lvl w:ilvl="3" w:tentative="0">
      <w:start w:val="0"/>
      <w:numFmt w:val="bullet"/>
      <w:lvlText w:val="•"/>
      <w:lvlJc w:val="left"/>
      <w:pPr>
        <w:ind w:left="2283" w:hanging="540"/>
      </w:pPr>
      <w:rPr>
        <w:rFonts w:hint="default"/>
        <w:lang w:val="zh-CN" w:eastAsia="zh-CN" w:bidi="zh-CN"/>
      </w:rPr>
    </w:lvl>
    <w:lvl w:ilvl="4" w:tentative="0">
      <w:start w:val="0"/>
      <w:numFmt w:val="bullet"/>
      <w:lvlText w:val="•"/>
      <w:lvlJc w:val="left"/>
      <w:pPr>
        <w:ind w:left="3426" w:hanging="540"/>
      </w:pPr>
      <w:rPr>
        <w:rFonts w:hint="default"/>
        <w:lang w:val="zh-CN" w:eastAsia="zh-CN" w:bidi="zh-CN"/>
      </w:rPr>
    </w:lvl>
    <w:lvl w:ilvl="5" w:tentative="0">
      <w:start w:val="0"/>
      <w:numFmt w:val="bullet"/>
      <w:lvlText w:val="•"/>
      <w:lvlJc w:val="left"/>
      <w:pPr>
        <w:ind w:left="4569" w:hanging="540"/>
      </w:pPr>
      <w:rPr>
        <w:rFonts w:hint="default"/>
        <w:lang w:val="zh-CN" w:eastAsia="zh-CN" w:bidi="zh-CN"/>
      </w:rPr>
    </w:lvl>
    <w:lvl w:ilvl="6" w:tentative="0">
      <w:start w:val="0"/>
      <w:numFmt w:val="bullet"/>
      <w:lvlText w:val="•"/>
      <w:lvlJc w:val="left"/>
      <w:pPr>
        <w:ind w:left="5713" w:hanging="540"/>
      </w:pPr>
      <w:rPr>
        <w:rFonts w:hint="default"/>
        <w:lang w:val="zh-CN" w:eastAsia="zh-CN" w:bidi="zh-CN"/>
      </w:rPr>
    </w:lvl>
    <w:lvl w:ilvl="7" w:tentative="0">
      <w:start w:val="0"/>
      <w:numFmt w:val="bullet"/>
      <w:lvlText w:val="•"/>
      <w:lvlJc w:val="left"/>
      <w:pPr>
        <w:ind w:left="6856" w:hanging="540"/>
      </w:pPr>
      <w:rPr>
        <w:rFonts w:hint="default"/>
        <w:lang w:val="zh-CN" w:eastAsia="zh-CN" w:bidi="zh-CN"/>
      </w:rPr>
    </w:lvl>
    <w:lvl w:ilvl="8" w:tentative="0">
      <w:start w:val="0"/>
      <w:numFmt w:val="bullet"/>
      <w:lvlText w:val="•"/>
      <w:lvlJc w:val="left"/>
      <w:pPr>
        <w:ind w:left="7999" w:hanging="540"/>
      </w:pPr>
      <w:rPr>
        <w:rFonts w:hint="default"/>
        <w:lang w:val="zh-CN" w:eastAsia="zh-CN" w:bidi="zh-CN"/>
      </w:rPr>
    </w:lvl>
  </w:abstractNum>
  <w:abstractNum w:abstractNumId="45">
    <w:nsid w:val="78886A97"/>
    <w:multiLevelType w:val="singleLevel"/>
    <w:tmpl w:val="78886A97"/>
    <w:lvl w:ilvl="0" w:tentative="0">
      <w:start w:val="1"/>
      <w:numFmt w:val="decimal"/>
      <w:lvlText w:val="%1."/>
      <w:lvlJc w:val="left"/>
      <w:pPr>
        <w:ind w:left="425" w:hanging="425"/>
      </w:pPr>
      <w:rPr>
        <w:rFonts w:hint="default"/>
      </w:rPr>
    </w:lvl>
  </w:abstractNum>
  <w:abstractNum w:abstractNumId="46">
    <w:nsid w:val="7969F3B5"/>
    <w:multiLevelType w:val="singleLevel"/>
    <w:tmpl w:val="7969F3B5"/>
    <w:lvl w:ilvl="0" w:tentative="0">
      <w:start w:val="29"/>
      <w:numFmt w:val="decimal"/>
      <w:lvlText w:val="%1."/>
      <w:lvlJc w:val="left"/>
      <w:pPr>
        <w:tabs>
          <w:tab w:val="left" w:pos="312"/>
        </w:tabs>
      </w:pPr>
    </w:lvl>
  </w:abstractNum>
  <w:abstractNum w:abstractNumId="47">
    <w:nsid w:val="79AA4FA4"/>
    <w:multiLevelType w:val="multilevel"/>
    <w:tmpl w:val="79AA4FA4"/>
    <w:lvl w:ilvl="0" w:tentative="0">
      <w:start w:val="1"/>
      <w:numFmt w:val="decimal"/>
      <w:lvlText w:val="（%1）"/>
      <w:lvlJc w:val="left"/>
      <w:pPr>
        <w:ind w:left="1193"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108" w:hanging="601"/>
      </w:pPr>
      <w:rPr>
        <w:rFonts w:hint="default"/>
        <w:lang w:val="zh-CN" w:eastAsia="zh-CN" w:bidi="zh-CN"/>
      </w:rPr>
    </w:lvl>
    <w:lvl w:ilvl="2" w:tentative="0">
      <w:start w:val="0"/>
      <w:numFmt w:val="bullet"/>
      <w:lvlText w:val="•"/>
      <w:lvlJc w:val="left"/>
      <w:pPr>
        <w:ind w:left="3017" w:hanging="601"/>
      </w:pPr>
      <w:rPr>
        <w:rFonts w:hint="default"/>
        <w:lang w:val="zh-CN" w:eastAsia="zh-CN" w:bidi="zh-CN"/>
      </w:rPr>
    </w:lvl>
    <w:lvl w:ilvl="3" w:tentative="0">
      <w:start w:val="0"/>
      <w:numFmt w:val="bullet"/>
      <w:lvlText w:val="•"/>
      <w:lvlJc w:val="left"/>
      <w:pPr>
        <w:ind w:left="3925" w:hanging="601"/>
      </w:pPr>
      <w:rPr>
        <w:rFonts w:hint="default"/>
        <w:lang w:val="zh-CN" w:eastAsia="zh-CN" w:bidi="zh-CN"/>
      </w:rPr>
    </w:lvl>
    <w:lvl w:ilvl="4" w:tentative="0">
      <w:start w:val="0"/>
      <w:numFmt w:val="bullet"/>
      <w:lvlText w:val="•"/>
      <w:lvlJc w:val="left"/>
      <w:pPr>
        <w:ind w:left="4834" w:hanging="601"/>
      </w:pPr>
      <w:rPr>
        <w:rFonts w:hint="default"/>
        <w:lang w:val="zh-CN" w:eastAsia="zh-CN" w:bidi="zh-CN"/>
      </w:rPr>
    </w:lvl>
    <w:lvl w:ilvl="5" w:tentative="0">
      <w:start w:val="0"/>
      <w:numFmt w:val="bullet"/>
      <w:lvlText w:val="•"/>
      <w:lvlJc w:val="left"/>
      <w:pPr>
        <w:ind w:left="5743" w:hanging="601"/>
      </w:pPr>
      <w:rPr>
        <w:rFonts w:hint="default"/>
        <w:lang w:val="zh-CN" w:eastAsia="zh-CN" w:bidi="zh-CN"/>
      </w:rPr>
    </w:lvl>
    <w:lvl w:ilvl="6" w:tentative="0">
      <w:start w:val="0"/>
      <w:numFmt w:val="bullet"/>
      <w:lvlText w:val="•"/>
      <w:lvlJc w:val="left"/>
      <w:pPr>
        <w:ind w:left="6651" w:hanging="601"/>
      </w:pPr>
      <w:rPr>
        <w:rFonts w:hint="default"/>
        <w:lang w:val="zh-CN" w:eastAsia="zh-CN" w:bidi="zh-CN"/>
      </w:rPr>
    </w:lvl>
    <w:lvl w:ilvl="7" w:tentative="0">
      <w:start w:val="0"/>
      <w:numFmt w:val="bullet"/>
      <w:lvlText w:val="•"/>
      <w:lvlJc w:val="left"/>
      <w:pPr>
        <w:ind w:left="7560" w:hanging="601"/>
      </w:pPr>
      <w:rPr>
        <w:rFonts w:hint="default"/>
        <w:lang w:val="zh-CN" w:eastAsia="zh-CN" w:bidi="zh-CN"/>
      </w:rPr>
    </w:lvl>
    <w:lvl w:ilvl="8" w:tentative="0">
      <w:start w:val="0"/>
      <w:numFmt w:val="bullet"/>
      <w:lvlText w:val="•"/>
      <w:lvlJc w:val="left"/>
      <w:pPr>
        <w:ind w:left="8468" w:hanging="601"/>
      </w:pPr>
      <w:rPr>
        <w:rFonts w:hint="default"/>
        <w:lang w:val="zh-CN" w:eastAsia="zh-CN" w:bidi="zh-CN"/>
      </w:rPr>
    </w:lvl>
  </w:abstractNum>
  <w:abstractNum w:abstractNumId="48">
    <w:nsid w:val="7B0FD72F"/>
    <w:multiLevelType w:val="singleLevel"/>
    <w:tmpl w:val="7B0FD72F"/>
    <w:lvl w:ilvl="0" w:tentative="0">
      <w:start w:val="8"/>
      <w:numFmt w:val="chineseCounting"/>
      <w:suff w:val="nothing"/>
      <w:lvlText w:val="%1、"/>
      <w:lvlJc w:val="left"/>
      <w:rPr>
        <w:rFonts w:hint="eastAsia"/>
      </w:rPr>
    </w:lvl>
  </w:abstractNum>
  <w:abstractNum w:abstractNumId="49">
    <w:nsid w:val="7C246926"/>
    <w:multiLevelType w:val="multilevel"/>
    <w:tmpl w:val="7C246926"/>
    <w:lvl w:ilvl="0" w:tentative="0">
      <w:start w:val="15"/>
      <w:numFmt w:val="decimal"/>
      <w:lvlText w:val="%1"/>
      <w:lvlJc w:val="left"/>
      <w:pPr>
        <w:ind w:left="592" w:hanging="600"/>
        <w:jc w:val="left"/>
      </w:pPr>
      <w:rPr>
        <w:rFonts w:hint="default"/>
        <w:lang w:val="zh-CN" w:eastAsia="zh-CN" w:bidi="zh-CN"/>
      </w:rPr>
    </w:lvl>
    <w:lvl w:ilvl="1" w:tentative="0">
      <w:start w:val="1"/>
      <w:numFmt w:val="decimal"/>
      <w:lvlText w:val="%1.%2"/>
      <w:lvlJc w:val="left"/>
      <w:pPr>
        <w:ind w:left="592" w:hanging="600"/>
        <w:jc w:val="left"/>
      </w:pPr>
      <w:rPr>
        <w:rFonts w:hint="default" w:ascii="宋体" w:hAnsi="宋体" w:eastAsia="宋体" w:cs="宋体"/>
        <w:spacing w:val="-17"/>
        <w:w w:val="100"/>
        <w:sz w:val="24"/>
        <w:szCs w:val="24"/>
        <w:lang w:val="zh-CN" w:eastAsia="zh-CN" w:bidi="zh-CN"/>
      </w:rPr>
    </w:lvl>
    <w:lvl w:ilvl="2" w:tentative="0">
      <w:start w:val="0"/>
      <w:numFmt w:val="bullet"/>
      <w:lvlText w:val="•"/>
      <w:lvlJc w:val="left"/>
      <w:pPr>
        <w:ind w:left="2537" w:hanging="600"/>
      </w:pPr>
      <w:rPr>
        <w:rFonts w:hint="default"/>
        <w:lang w:val="zh-CN" w:eastAsia="zh-CN" w:bidi="zh-CN"/>
      </w:rPr>
    </w:lvl>
    <w:lvl w:ilvl="3" w:tentative="0">
      <w:start w:val="0"/>
      <w:numFmt w:val="bullet"/>
      <w:lvlText w:val="•"/>
      <w:lvlJc w:val="left"/>
      <w:pPr>
        <w:ind w:left="3505" w:hanging="600"/>
      </w:pPr>
      <w:rPr>
        <w:rFonts w:hint="default"/>
        <w:lang w:val="zh-CN" w:eastAsia="zh-CN" w:bidi="zh-CN"/>
      </w:rPr>
    </w:lvl>
    <w:lvl w:ilvl="4" w:tentative="0">
      <w:start w:val="0"/>
      <w:numFmt w:val="bullet"/>
      <w:lvlText w:val="•"/>
      <w:lvlJc w:val="left"/>
      <w:pPr>
        <w:ind w:left="4474" w:hanging="600"/>
      </w:pPr>
      <w:rPr>
        <w:rFonts w:hint="default"/>
        <w:lang w:val="zh-CN" w:eastAsia="zh-CN" w:bidi="zh-CN"/>
      </w:rPr>
    </w:lvl>
    <w:lvl w:ilvl="5" w:tentative="0">
      <w:start w:val="0"/>
      <w:numFmt w:val="bullet"/>
      <w:lvlText w:val="•"/>
      <w:lvlJc w:val="left"/>
      <w:pPr>
        <w:ind w:left="5443" w:hanging="600"/>
      </w:pPr>
      <w:rPr>
        <w:rFonts w:hint="default"/>
        <w:lang w:val="zh-CN" w:eastAsia="zh-CN" w:bidi="zh-CN"/>
      </w:rPr>
    </w:lvl>
    <w:lvl w:ilvl="6" w:tentative="0">
      <w:start w:val="0"/>
      <w:numFmt w:val="bullet"/>
      <w:lvlText w:val="•"/>
      <w:lvlJc w:val="left"/>
      <w:pPr>
        <w:ind w:left="6411" w:hanging="600"/>
      </w:pPr>
      <w:rPr>
        <w:rFonts w:hint="default"/>
        <w:lang w:val="zh-CN" w:eastAsia="zh-CN" w:bidi="zh-CN"/>
      </w:rPr>
    </w:lvl>
    <w:lvl w:ilvl="7" w:tentative="0">
      <w:start w:val="0"/>
      <w:numFmt w:val="bullet"/>
      <w:lvlText w:val="•"/>
      <w:lvlJc w:val="left"/>
      <w:pPr>
        <w:ind w:left="7380" w:hanging="600"/>
      </w:pPr>
      <w:rPr>
        <w:rFonts w:hint="default"/>
        <w:lang w:val="zh-CN" w:eastAsia="zh-CN" w:bidi="zh-CN"/>
      </w:rPr>
    </w:lvl>
    <w:lvl w:ilvl="8" w:tentative="0">
      <w:start w:val="0"/>
      <w:numFmt w:val="bullet"/>
      <w:lvlText w:val="•"/>
      <w:lvlJc w:val="left"/>
      <w:pPr>
        <w:ind w:left="8348" w:hanging="600"/>
      </w:pPr>
      <w:rPr>
        <w:rFonts w:hint="default"/>
        <w:lang w:val="zh-CN" w:eastAsia="zh-CN" w:bidi="zh-CN"/>
      </w:rPr>
    </w:lvl>
  </w:abstractNum>
  <w:abstractNum w:abstractNumId="50">
    <w:nsid w:val="7DEC2089"/>
    <w:multiLevelType w:val="multilevel"/>
    <w:tmpl w:val="7DEC2089"/>
    <w:lvl w:ilvl="0" w:tentative="0">
      <w:start w:val="27"/>
      <w:numFmt w:val="decimal"/>
      <w:lvlText w:val="%1"/>
      <w:lvlJc w:val="left"/>
      <w:pPr>
        <w:ind w:left="112" w:hanging="540"/>
        <w:jc w:val="left"/>
      </w:pPr>
      <w:rPr>
        <w:rFonts w:hint="default"/>
        <w:lang w:val="zh-CN" w:eastAsia="zh-CN" w:bidi="zh-CN"/>
      </w:rPr>
    </w:lvl>
    <w:lvl w:ilvl="1" w:tentative="0">
      <w:start w:val="1"/>
      <w:numFmt w:val="decimal"/>
      <w:lvlText w:val="%1.%2"/>
      <w:lvlJc w:val="left"/>
      <w:pPr>
        <w:ind w:left="112"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153" w:hanging="540"/>
      </w:pPr>
      <w:rPr>
        <w:rFonts w:hint="default"/>
        <w:lang w:val="zh-CN" w:eastAsia="zh-CN" w:bidi="zh-CN"/>
      </w:rPr>
    </w:lvl>
    <w:lvl w:ilvl="3" w:tentative="0">
      <w:start w:val="0"/>
      <w:numFmt w:val="bullet"/>
      <w:lvlText w:val="•"/>
      <w:lvlJc w:val="left"/>
      <w:pPr>
        <w:ind w:left="3169" w:hanging="540"/>
      </w:pPr>
      <w:rPr>
        <w:rFonts w:hint="default"/>
        <w:lang w:val="zh-CN" w:eastAsia="zh-CN" w:bidi="zh-CN"/>
      </w:rPr>
    </w:lvl>
    <w:lvl w:ilvl="4" w:tentative="0">
      <w:start w:val="0"/>
      <w:numFmt w:val="bullet"/>
      <w:lvlText w:val="•"/>
      <w:lvlJc w:val="left"/>
      <w:pPr>
        <w:ind w:left="4186" w:hanging="540"/>
      </w:pPr>
      <w:rPr>
        <w:rFonts w:hint="default"/>
        <w:lang w:val="zh-CN" w:eastAsia="zh-CN" w:bidi="zh-CN"/>
      </w:rPr>
    </w:lvl>
    <w:lvl w:ilvl="5" w:tentative="0">
      <w:start w:val="0"/>
      <w:numFmt w:val="bullet"/>
      <w:lvlText w:val="•"/>
      <w:lvlJc w:val="left"/>
      <w:pPr>
        <w:ind w:left="5203" w:hanging="540"/>
      </w:pPr>
      <w:rPr>
        <w:rFonts w:hint="default"/>
        <w:lang w:val="zh-CN" w:eastAsia="zh-CN" w:bidi="zh-CN"/>
      </w:rPr>
    </w:lvl>
    <w:lvl w:ilvl="6" w:tentative="0">
      <w:start w:val="0"/>
      <w:numFmt w:val="bullet"/>
      <w:lvlText w:val="•"/>
      <w:lvlJc w:val="left"/>
      <w:pPr>
        <w:ind w:left="6219" w:hanging="540"/>
      </w:pPr>
      <w:rPr>
        <w:rFonts w:hint="default"/>
        <w:lang w:val="zh-CN" w:eastAsia="zh-CN" w:bidi="zh-CN"/>
      </w:rPr>
    </w:lvl>
    <w:lvl w:ilvl="7" w:tentative="0">
      <w:start w:val="0"/>
      <w:numFmt w:val="bullet"/>
      <w:lvlText w:val="•"/>
      <w:lvlJc w:val="left"/>
      <w:pPr>
        <w:ind w:left="7236" w:hanging="540"/>
      </w:pPr>
      <w:rPr>
        <w:rFonts w:hint="default"/>
        <w:lang w:val="zh-CN" w:eastAsia="zh-CN" w:bidi="zh-CN"/>
      </w:rPr>
    </w:lvl>
    <w:lvl w:ilvl="8" w:tentative="0">
      <w:start w:val="0"/>
      <w:numFmt w:val="bullet"/>
      <w:lvlText w:val="•"/>
      <w:lvlJc w:val="left"/>
      <w:pPr>
        <w:ind w:left="8252" w:hanging="540"/>
      </w:pPr>
      <w:rPr>
        <w:rFonts w:hint="default"/>
        <w:lang w:val="zh-CN" w:eastAsia="zh-CN" w:bidi="zh-CN"/>
      </w:rPr>
    </w:lvl>
  </w:abstractNum>
  <w:abstractNum w:abstractNumId="51">
    <w:nsid w:val="7FCA7025"/>
    <w:multiLevelType w:val="singleLevel"/>
    <w:tmpl w:val="7FCA7025"/>
    <w:lvl w:ilvl="0" w:tentative="0">
      <w:start w:val="3"/>
      <w:numFmt w:val="decimal"/>
      <w:suff w:val="nothing"/>
      <w:lvlText w:val="%1、"/>
      <w:lvlJc w:val="left"/>
    </w:lvl>
  </w:abstractNum>
  <w:num w:numId="1">
    <w:abstractNumId w:val="14"/>
  </w:num>
  <w:num w:numId="2">
    <w:abstractNumId w:val="42"/>
  </w:num>
  <w:num w:numId="3">
    <w:abstractNumId w:val="51"/>
  </w:num>
  <w:num w:numId="4">
    <w:abstractNumId w:val="11"/>
  </w:num>
  <w:num w:numId="5">
    <w:abstractNumId w:val="7"/>
  </w:num>
  <w:num w:numId="6">
    <w:abstractNumId w:val="22"/>
  </w:num>
  <w:num w:numId="7">
    <w:abstractNumId w:val="21"/>
  </w:num>
  <w:num w:numId="8">
    <w:abstractNumId w:val="4"/>
  </w:num>
  <w:num w:numId="9">
    <w:abstractNumId w:val="13"/>
  </w:num>
  <w:num w:numId="10">
    <w:abstractNumId w:val="12"/>
  </w:num>
  <w:num w:numId="11">
    <w:abstractNumId w:val="33"/>
  </w:num>
  <w:num w:numId="12">
    <w:abstractNumId w:val="18"/>
  </w:num>
  <w:num w:numId="13">
    <w:abstractNumId w:val="26"/>
  </w:num>
  <w:num w:numId="14">
    <w:abstractNumId w:val="15"/>
  </w:num>
  <w:num w:numId="15">
    <w:abstractNumId w:val="40"/>
  </w:num>
  <w:num w:numId="16">
    <w:abstractNumId w:val="23"/>
  </w:num>
  <w:num w:numId="17">
    <w:abstractNumId w:val="31"/>
  </w:num>
  <w:num w:numId="18">
    <w:abstractNumId w:val="6"/>
  </w:num>
  <w:num w:numId="19">
    <w:abstractNumId w:val="49"/>
  </w:num>
  <w:num w:numId="20">
    <w:abstractNumId w:val="44"/>
  </w:num>
  <w:num w:numId="21">
    <w:abstractNumId w:val="10"/>
  </w:num>
  <w:num w:numId="22">
    <w:abstractNumId w:val="41"/>
  </w:num>
  <w:num w:numId="23">
    <w:abstractNumId w:val="5"/>
  </w:num>
  <w:num w:numId="24">
    <w:abstractNumId w:val="29"/>
  </w:num>
  <w:num w:numId="25">
    <w:abstractNumId w:val="24"/>
  </w:num>
  <w:num w:numId="26">
    <w:abstractNumId w:val="36"/>
  </w:num>
  <w:num w:numId="27">
    <w:abstractNumId w:val="50"/>
  </w:num>
  <w:num w:numId="28">
    <w:abstractNumId w:val="1"/>
  </w:num>
  <w:num w:numId="29">
    <w:abstractNumId w:val="46"/>
  </w:num>
  <w:num w:numId="30">
    <w:abstractNumId w:val="34"/>
  </w:num>
  <w:num w:numId="31">
    <w:abstractNumId w:val="19"/>
  </w:num>
  <w:num w:numId="32">
    <w:abstractNumId w:val="17"/>
  </w:num>
  <w:num w:numId="33">
    <w:abstractNumId w:val="28"/>
  </w:num>
  <w:num w:numId="34">
    <w:abstractNumId w:val="47"/>
  </w:num>
  <w:num w:numId="35">
    <w:abstractNumId w:val="9"/>
  </w:num>
  <w:num w:numId="36">
    <w:abstractNumId w:val="3"/>
  </w:num>
  <w:num w:numId="37">
    <w:abstractNumId w:val="8"/>
  </w:num>
  <w:num w:numId="38">
    <w:abstractNumId w:val="38"/>
  </w:num>
  <w:num w:numId="39">
    <w:abstractNumId w:val="0"/>
  </w:num>
  <w:num w:numId="40">
    <w:abstractNumId w:val="25"/>
  </w:num>
  <w:num w:numId="41">
    <w:abstractNumId w:val="2"/>
  </w:num>
  <w:num w:numId="42">
    <w:abstractNumId w:val="39"/>
  </w:num>
  <w:num w:numId="43">
    <w:abstractNumId w:val="43"/>
  </w:num>
  <w:num w:numId="44">
    <w:abstractNumId w:val="32"/>
  </w:num>
  <w:num w:numId="45">
    <w:abstractNumId w:val="20"/>
  </w:num>
  <w:num w:numId="46">
    <w:abstractNumId w:val="35"/>
  </w:num>
  <w:num w:numId="47">
    <w:abstractNumId w:val="37"/>
  </w:num>
  <w:num w:numId="48">
    <w:abstractNumId w:val="30"/>
  </w:num>
  <w:num w:numId="49">
    <w:abstractNumId w:val="27"/>
  </w:num>
  <w:num w:numId="50">
    <w:abstractNumId w:val="16"/>
  </w:num>
  <w:num w:numId="51">
    <w:abstractNumId w:val="45"/>
  </w:num>
  <w:num w:numId="52">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kZGNmYTIyNTc0ODgxMzBkZDJhNGMzZjA1MTVhNTYifQ=="/>
  </w:docVars>
  <w:rsids>
    <w:rsidRoot w:val="00172A27"/>
    <w:rsid w:val="00B000A7"/>
    <w:rsid w:val="00EB60B2"/>
    <w:rsid w:val="0161512A"/>
    <w:rsid w:val="0170796F"/>
    <w:rsid w:val="020C0372"/>
    <w:rsid w:val="025974C0"/>
    <w:rsid w:val="03443858"/>
    <w:rsid w:val="03FB038F"/>
    <w:rsid w:val="04B84BE3"/>
    <w:rsid w:val="04C030A2"/>
    <w:rsid w:val="04D75807"/>
    <w:rsid w:val="05063F8B"/>
    <w:rsid w:val="051C479A"/>
    <w:rsid w:val="05714540"/>
    <w:rsid w:val="06312235"/>
    <w:rsid w:val="06652E29"/>
    <w:rsid w:val="06A91D61"/>
    <w:rsid w:val="06FE686F"/>
    <w:rsid w:val="071F5622"/>
    <w:rsid w:val="07C17A98"/>
    <w:rsid w:val="08654F34"/>
    <w:rsid w:val="089B7AF2"/>
    <w:rsid w:val="0A6F6C7B"/>
    <w:rsid w:val="0ABE7B30"/>
    <w:rsid w:val="0BBE5FC4"/>
    <w:rsid w:val="0CCC2BC8"/>
    <w:rsid w:val="0CE205D9"/>
    <w:rsid w:val="0D4029D6"/>
    <w:rsid w:val="0DE111FD"/>
    <w:rsid w:val="0DF260DE"/>
    <w:rsid w:val="0E0B7A0D"/>
    <w:rsid w:val="0E155296"/>
    <w:rsid w:val="0E507345"/>
    <w:rsid w:val="0E9A3450"/>
    <w:rsid w:val="0EA26773"/>
    <w:rsid w:val="0F2316F8"/>
    <w:rsid w:val="0F607064"/>
    <w:rsid w:val="0FC44EDE"/>
    <w:rsid w:val="0FE6615D"/>
    <w:rsid w:val="109B41FD"/>
    <w:rsid w:val="10F07257"/>
    <w:rsid w:val="11A00088"/>
    <w:rsid w:val="1389118A"/>
    <w:rsid w:val="149F6637"/>
    <w:rsid w:val="14B32327"/>
    <w:rsid w:val="14F37F0A"/>
    <w:rsid w:val="1508525C"/>
    <w:rsid w:val="156D517B"/>
    <w:rsid w:val="16243781"/>
    <w:rsid w:val="192E0083"/>
    <w:rsid w:val="19465989"/>
    <w:rsid w:val="19794AC4"/>
    <w:rsid w:val="19892A42"/>
    <w:rsid w:val="19BE5D1C"/>
    <w:rsid w:val="1A1E1617"/>
    <w:rsid w:val="1A4D2B70"/>
    <w:rsid w:val="1BCC5356"/>
    <w:rsid w:val="1C4170EB"/>
    <w:rsid w:val="1C597D2F"/>
    <w:rsid w:val="1D2057E8"/>
    <w:rsid w:val="1D666A52"/>
    <w:rsid w:val="1D6A6513"/>
    <w:rsid w:val="1E037AA1"/>
    <w:rsid w:val="1E187A4F"/>
    <w:rsid w:val="1E62409D"/>
    <w:rsid w:val="1E65723B"/>
    <w:rsid w:val="1EB411A8"/>
    <w:rsid w:val="1F5A46D7"/>
    <w:rsid w:val="1F6C2E15"/>
    <w:rsid w:val="1F6F37B7"/>
    <w:rsid w:val="20191C70"/>
    <w:rsid w:val="202C6073"/>
    <w:rsid w:val="2045600A"/>
    <w:rsid w:val="205E3F6F"/>
    <w:rsid w:val="20DE7998"/>
    <w:rsid w:val="21C63CB3"/>
    <w:rsid w:val="22375F55"/>
    <w:rsid w:val="226843E8"/>
    <w:rsid w:val="2278640C"/>
    <w:rsid w:val="228710BF"/>
    <w:rsid w:val="23CA1B7D"/>
    <w:rsid w:val="23FA41EF"/>
    <w:rsid w:val="24010128"/>
    <w:rsid w:val="24285550"/>
    <w:rsid w:val="245A04E3"/>
    <w:rsid w:val="24662546"/>
    <w:rsid w:val="24736143"/>
    <w:rsid w:val="24785399"/>
    <w:rsid w:val="24E92FC0"/>
    <w:rsid w:val="24EF18EF"/>
    <w:rsid w:val="25653FBE"/>
    <w:rsid w:val="25E92C7A"/>
    <w:rsid w:val="270771EB"/>
    <w:rsid w:val="27226459"/>
    <w:rsid w:val="272F1F82"/>
    <w:rsid w:val="27395EE4"/>
    <w:rsid w:val="28826C05"/>
    <w:rsid w:val="28DA234E"/>
    <w:rsid w:val="293F0EAA"/>
    <w:rsid w:val="294914E9"/>
    <w:rsid w:val="29593F6E"/>
    <w:rsid w:val="296006CA"/>
    <w:rsid w:val="299C43F6"/>
    <w:rsid w:val="2A1169DF"/>
    <w:rsid w:val="2A452002"/>
    <w:rsid w:val="2A74382A"/>
    <w:rsid w:val="2A8B5963"/>
    <w:rsid w:val="2AC71D2E"/>
    <w:rsid w:val="2AF62D12"/>
    <w:rsid w:val="2B167E3E"/>
    <w:rsid w:val="2B98585A"/>
    <w:rsid w:val="2BEB08BD"/>
    <w:rsid w:val="2C215CCF"/>
    <w:rsid w:val="2C767716"/>
    <w:rsid w:val="2C835BFF"/>
    <w:rsid w:val="2C943206"/>
    <w:rsid w:val="2C982517"/>
    <w:rsid w:val="2CD95674"/>
    <w:rsid w:val="2EDE53EF"/>
    <w:rsid w:val="2F295C76"/>
    <w:rsid w:val="2F2B34B4"/>
    <w:rsid w:val="2FDB3569"/>
    <w:rsid w:val="302976F1"/>
    <w:rsid w:val="306028C2"/>
    <w:rsid w:val="307E7259"/>
    <w:rsid w:val="310C1D29"/>
    <w:rsid w:val="310D5422"/>
    <w:rsid w:val="313F7826"/>
    <w:rsid w:val="31BA3F28"/>
    <w:rsid w:val="321966B7"/>
    <w:rsid w:val="32AF5D4C"/>
    <w:rsid w:val="331A5C89"/>
    <w:rsid w:val="34145DFB"/>
    <w:rsid w:val="34303897"/>
    <w:rsid w:val="345C4989"/>
    <w:rsid w:val="34651868"/>
    <w:rsid w:val="34836392"/>
    <w:rsid w:val="360402A5"/>
    <w:rsid w:val="375D3CCF"/>
    <w:rsid w:val="37D606EA"/>
    <w:rsid w:val="37ED6304"/>
    <w:rsid w:val="381F678F"/>
    <w:rsid w:val="38215CF5"/>
    <w:rsid w:val="388C7CF5"/>
    <w:rsid w:val="398515EE"/>
    <w:rsid w:val="39914804"/>
    <w:rsid w:val="3A4253F9"/>
    <w:rsid w:val="3A673231"/>
    <w:rsid w:val="3A7605F8"/>
    <w:rsid w:val="3B085440"/>
    <w:rsid w:val="3BC907C3"/>
    <w:rsid w:val="3BCC2061"/>
    <w:rsid w:val="3BE74D98"/>
    <w:rsid w:val="3C53190D"/>
    <w:rsid w:val="3C807F5B"/>
    <w:rsid w:val="3C9F71B8"/>
    <w:rsid w:val="3CB26E9D"/>
    <w:rsid w:val="3DBD6F53"/>
    <w:rsid w:val="3DC04573"/>
    <w:rsid w:val="3E105C31"/>
    <w:rsid w:val="3F312F99"/>
    <w:rsid w:val="3F9C45A6"/>
    <w:rsid w:val="3FFA6726"/>
    <w:rsid w:val="401C691B"/>
    <w:rsid w:val="406F22E6"/>
    <w:rsid w:val="40DC1BAB"/>
    <w:rsid w:val="4136178E"/>
    <w:rsid w:val="421E1387"/>
    <w:rsid w:val="423C6C0F"/>
    <w:rsid w:val="429C5782"/>
    <w:rsid w:val="43443F6B"/>
    <w:rsid w:val="435231CB"/>
    <w:rsid w:val="43F52A81"/>
    <w:rsid w:val="449212AB"/>
    <w:rsid w:val="450C6585"/>
    <w:rsid w:val="456B7524"/>
    <w:rsid w:val="459E42A4"/>
    <w:rsid w:val="46091F79"/>
    <w:rsid w:val="46A01C30"/>
    <w:rsid w:val="46B330F2"/>
    <w:rsid w:val="47893ECC"/>
    <w:rsid w:val="47B86EA4"/>
    <w:rsid w:val="48704228"/>
    <w:rsid w:val="493B56C8"/>
    <w:rsid w:val="49E8602E"/>
    <w:rsid w:val="49F94A4A"/>
    <w:rsid w:val="4A5C1147"/>
    <w:rsid w:val="4B44720B"/>
    <w:rsid w:val="4B8F71DF"/>
    <w:rsid w:val="4BE8259F"/>
    <w:rsid w:val="4BF7583F"/>
    <w:rsid w:val="4C8272C8"/>
    <w:rsid w:val="4CA07656"/>
    <w:rsid w:val="4D1F6B05"/>
    <w:rsid w:val="4D495436"/>
    <w:rsid w:val="4D5F0696"/>
    <w:rsid w:val="4DDB2330"/>
    <w:rsid w:val="4E336D4F"/>
    <w:rsid w:val="4E5F6D26"/>
    <w:rsid w:val="4EA477CD"/>
    <w:rsid w:val="4EC20FB3"/>
    <w:rsid w:val="4F405286"/>
    <w:rsid w:val="4F4D052B"/>
    <w:rsid w:val="4F5A2235"/>
    <w:rsid w:val="50890E92"/>
    <w:rsid w:val="50C00990"/>
    <w:rsid w:val="5151471D"/>
    <w:rsid w:val="53C420D3"/>
    <w:rsid w:val="55314161"/>
    <w:rsid w:val="56C97471"/>
    <w:rsid w:val="57725357"/>
    <w:rsid w:val="57FA49F7"/>
    <w:rsid w:val="58A0246D"/>
    <w:rsid w:val="58CA5579"/>
    <w:rsid w:val="58E25F7B"/>
    <w:rsid w:val="5B8322E4"/>
    <w:rsid w:val="5C6D4CAC"/>
    <w:rsid w:val="5C7A5924"/>
    <w:rsid w:val="5D7D0A59"/>
    <w:rsid w:val="5DA16F39"/>
    <w:rsid w:val="5DF44E4E"/>
    <w:rsid w:val="5ED911F2"/>
    <w:rsid w:val="5F06615E"/>
    <w:rsid w:val="5F981499"/>
    <w:rsid w:val="609E069B"/>
    <w:rsid w:val="60C54904"/>
    <w:rsid w:val="612F52B7"/>
    <w:rsid w:val="614E3F2B"/>
    <w:rsid w:val="62256C46"/>
    <w:rsid w:val="624314BD"/>
    <w:rsid w:val="62FF6E9F"/>
    <w:rsid w:val="630F4F07"/>
    <w:rsid w:val="6434704E"/>
    <w:rsid w:val="64904EA0"/>
    <w:rsid w:val="64991802"/>
    <w:rsid w:val="65034325"/>
    <w:rsid w:val="658B371F"/>
    <w:rsid w:val="65AB1A98"/>
    <w:rsid w:val="66416E12"/>
    <w:rsid w:val="66BE6B31"/>
    <w:rsid w:val="66BF1CA6"/>
    <w:rsid w:val="66E50AE4"/>
    <w:rsid w:val="6728423A"/>
    <w:rsid w:val="67AD6DA3"/>
    <w:rsid w:val="67AE56C8"/>
    <w:rsid w:val="68040119"/>
    <w:rsid w:val="68C100E0"/>
    <w:rsid w:val="68FD6EA6"/>
    <w:rsid w:val="69F10030"/>
    <w:rsid w:val="6A2A201B"/>
    <w:rsid w:val="6A645231"/>
    <w:rsid w:val="6BBB6E94"/>
    <w:rsid w:val="6BF10651"/>
    <w:rsid w:val="6D0F1460"/>
    <w:rsid w:val="6D67698D"/>
    <w:rsid w:val="6DF2527D"/>
    <w:rsid w:val="6E443714"/>
    <w:rsid w:val="6E9131A6"/>
    <w:rsid w:val="6F467D9D"/>
    <w:rsid w:val="6F487BB6"/>
    <w:rsid w:val="6F7E60DA"/>
    <w:rsid w:val="701E355A"/>
    <w:rsid w:val="702D7BAE"/>
    <w:rsid w:val="703E0B09"/>
    <w:rsid w:val="709C4124"/>
    <w:rsid w:val="72112525"/>
    <w:rsid w:val="7291768F"/>
    <w:rsid w:val="72B85756"/>
    <w:rsid w:val="732570D0"/>
    <w:rsid w:val="73465D53"/>
    <w:rsid w:val="73467414"/>
    <w:rsid w:val="739041DB"/>
    <w:rsid w:val="74600EF0"/>
    <w:rsid w:val="74652A44"/>
    <w:rsid w:val="749963E5"/>
    <w:rsid w:val="755E6EC8"/>
    <w:rsid w:val="76257685"/>
    <w:rsid w:val="76974A99"/>
    <w:rsid w:val="76D0370F"/>
    <w:rsid w:val="7747204A"/>
    <w:rsid w:val="778116D7"/>
    <w:rsid w:val="779E0977"/>
    <w:rsid w:val="77B26361"/>
    <w:rsid w:val="78731E6D"/>
    <w:rsid w:val="79005241"/>
    <w:rsid w:val="7910529A"/>
    <w:rsid w:val="79160D7A"/>
    <w:rsid w:val="79AF3FD6"/>
    <w:rsid w:val="79D51422"/>
    <w:rsid w:val="7AFA4AA0"/>
    <w:rsid w:val="7B871525"/>
    <w:rsid w:val="7BC633E4"/>
    <w:rsid w:val="7CD633DE"/>
    <w:rsid w:val="7DA220D0"/>
    <w:rsid w:val="7DD345AE"/>
    <w:rsid w:val="7E4E7398"/>
    <w:rsid w:val="7EE64E04"/>
    <w:rsid w:val="7F520E08"/>
    <w:rsid w:val="7FAE2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ind w:right="420"/>
      <w:jc w:val="center"/>
      <w:outlineLvl w:val="1"/>
    </w:pPr>
    <w:rPr>
      <w:rFonts w:ascii="宋体" w:hAnsi="宋体" w:eastAsia="宋体" w:cs="宋体"/>
      <w:b/>
      <w:bCs/>
      <w:sz w:val="84"/>
      <w:szCs w:val="84"/>
      <w:lang w:val="zh-CN" w:eastAsia="zh-CN" w:bidi="zh-CN"/>
    </w:rPr>
  </w:style>
  <w:style w:type="paragraph" w:styleId="3">
    <w:name w:val="heading 2"/>
    <w:basedOn w:val="1"/>
    <w:next w:val="1"/>
    <w:link w:val="102"/>
    <w:qFormat/>
    <w:uiPriority w:val="1"/>
    <w:pPr>
      <w:jc w:val="center"/>
      <w:outlineLvl w:val="2"/>
    </w:pPr>
    <w:rPr>
      <w:rFonts w:ascii="黑体" w:hAnsi="黑体" w:eastAsia="黑体" w:cs="黑体"/>
      <w:b/>
      <w:bCs/>
      <w:sz w:val="36"/>
      <w:szCs w:val="36"/>
      <w:lang w:val="zh-CN" w:eastAsia="zh-CN" w:bidi="zh-CN"/>
    </w:rPr>
  </w:style>
  <w:style w:type="paragraph" w:styleId="4">
    <w:name w:val="heading 3"/>
    <w:basedOn w:val="1"/>
    <w:next w:val="1"/>
    <w:qFormat/>
    <w:uiPriority w:val="1"/>
    <w:pPr>
      <w:ind w:left="112"/>
      <w:outlineLvl w:val="3"/>
    </w:pPr>
    <w:rPr>
      <w:rFonts w:ascii="宋体" w:hAnsi="宋体" w:eastAsia="宋体" w:cs="宋体"/>
      <w:b/>
      <w:bCs/>
      <w:sz w:val="32"/>
      <w:szCs w:val="32"/>
      <w:lang w:val="zh-CN" w:eastAsia="zh-CN" w:bidi="zh-CN"/>
    </w:rPr>
  </w:style>
  <w:style w:type="paragraph" w:styleId="5">
    <w:name w:val="heading 4"/>
    <w:basedOn w:val="1"/>
    <w:next w:val="1"/>
    <w:qFormat/>
    <w:uiPriority w:val="1"/>
    <w:pPr>
      <w:jc w:val="center"/>
      <w:outlineLvl w:val="4"/>
    </w:pPr>
    <w:rPr>
      <w:rFonts w:ascii="宋体" w:hAnsi="宋体" w:eastAsia="宋体" w:cs="宋体"/>
      <w:b/>
      <w:bCs/>
      <w:sz w:val="28"/>
      <w:szCs w:val="28"/>
      <w:lang w:val="zh-CN" w:eastAsia="zh-CN" w:bidi="zh-CN"/>
    </w:rPr>
  </w:style>
  <w:style w:type="paragraph" w:styleId="6">
    <w:name w:val="heading 5"/>
    <w:basedOn w:val="1"/>
    <w:next w:val="1"/>
    <w:qFormat/>
    <w:uiPriority w:val="1"/>
    <w:pPr>
      <w:ind w:left="511"/>
      <w:outlineLvl w:val="5"/>
    </w:pPr>
    <w:rPr>
      <w:rFonts w:ascii="宋体" w:hAnsi="宋体" w:eastAsia="宋体" w:cs="宋体"/>
      <w:sz w:val="28"/>
      <w:szCs w:val="28"/>
      <w:lang w:val="zh-CN" w:eastAsia="zh-CN" w:bidi="zh-CN"/>
    </w:rPr>
  </w:style>
  <w:style w:type="paragraph" w:styleId="7">
    <w:name w:val="heading 6"/>
    <w:basedOn w:val="1"/>
    <w:next w:val="1"/>
    <w:qFormat/>
    <w:uiPriority w:val="1"/>
    <w:pPr>
      <w:ind w:left="476" w:hanging="365"/>
      <w:outlineLvl w:val="6"/>
    </w:pPr>
    <w:rPr>
      <w:rFonts w:ascii="宋体" w:hAnsi="宋体" w:eastAsia="宋体" w:cs="宋体"/>
      <w:b/>
      <w:bCs/>
      <w:sz w:val="24"/>
      <w:szCs w:val="24"/>
      <w:lang w:val="zh-CN" w:eastAsia="zh-CN" w:bidi="zh-CN"/>
    </w:rPr>
  </w:style>
  <w:style w:type="paragraph" w:styleId="8">
    <w:name w:val="heading 7"/>
    <w:basedOn w:val="1"/>
    <w:next w:val="1"/>
    <w:qFormat/>
    <w:uiPriority w:val="0"/>
    <w:pPr>
      <w:keepNext/>
      <w:keepLines/>
      <w:widowControl w:val="0"/>
      <w:adjustRightInd w:val="0"/>
      <w:spacing w:before="240" w:after="64" w:line="320" w:lineRule="atLeast"/>
      <w:jc w:val="left"/>
      <w:textAlignment w:val="baseline"/>
      <w:outlineLvl w:val="6"/>
    </w:pPr>
    <w:rPr>
      <w:rFonts w:ascii="Times New Roman" w:hAnsi="Times New Roman" w:eastAsia="宋体" w:cs="Times New Roman"/>
      <w:b/>
      <w:bCs/>
      <w:kern w:val="0"/>
      <w:sz w:val="24"/>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9">
    <w:name w:val="Normal Indent"/>
    <w:basedOn w:val="1"/>
    <w:qFormat/>
    <w:uiPriority w:val="0"/>
    <w:pPr>
      <w:widowControl/>
      <w:ind w:firstLine="420"/>
      <w:jc w:val="left"/>
    </w:pPr>
    <w:rPr>
      <w:kern w:val="0"/>
      <w:sz w:val="20"/>
      <w:szCs w:val="20"/>
    </w:rPr>
  </w:style>
  <w:style w:type="paragraph" w:styleId="10">
    <w:name w:val="index 5"/>
    <w:basedOn w:val="1"/>
    <w:next w:val="1"/>
    <w:qFormat/>
    <w:uiPriority w:val="0"/>
    <w:pPr>
      <w:ind w:left="800" w:leftChars="800"/>
    </w:pPr>
  </w:style>
  <w:style w:type="paragraph" w:styleId="11">
    <w:name w:val="Body Text"/>
    <w:basedOn w:val="1"/>
    <w:qFormat/>
    <w:uiPriority w:val="1"/>
    <w:rPr>
      <w:rFonts w:ascii="宋体" w:hAnsi="宋体" w:eastAsia="宋体" w:cs="宋体"/>
      <w:sz w:val="24"/>
      <w:szCs w:val="24"/>
      <w:lang w:val="zh-CN" w:eastAsia="zh-CN" w:bidi="zh-CN"/>
    </w:rPr>
  </w:style>
  <w:style w:type="paragraph" w:styleId="12">
    <w:name w:val="Body Text Indent"/>
    <w:basedOn w:val="1"/>
    <w:next w:val="13"/>
    <w:qFormat/>
    <w:uiPriority w:val="0"/>
    <w:pPr>
      <w:spacing w:after="120"/>
      <w:ind w:left="420" w:leftChars="200"/>
    </w:pPr>
  </w:style>
  <w:style w:type="paragraph" w:styleId="13">
    <w:name w:val="Body Text First Indent 2"/>
    <w:basedOn w:val="12"/>
    <w:next w:val="9"/>
    <w:qFormat/>
    <w:uiPriority w:val="0"/>
    <w:pPr>
      <w:ind w:firstLine="420" w:firstLineChars="200"/>
    </w:pPr>
  </w:style>
  <w:style w:type="paragraph" w:styleId="14">
    <w:name w:val="Plain Text"/>
    <w:basedOn w:val="1"/>
    <w:qFormat/>
    <w:uiPriority w:val="0"/>
    <w:rPr>
      <w:rFonts w:ascii="宋体" w:hAnsi="Courier New" w:cs="Courier New"/>
      <w:szCs w:val="21"/>
    </w:rPr>
  </w:style>
  <w:style w:type="paragraph" w:styleId="15">
    <w:name w:val="Date"/>
    <w:basedOn w:val="1"/>
    <w:next w:val="1"/>
    <w:qFormat/>
    <w:uiPriority w:val="0"/>
    <w:rPr>
      <w:sz w:val="24"/>
      <w:szCs w:val="20"/>
    </w:rPr>
  </w:style>
  <w:style w:type="paragraph" w:styleId="16">
    <w:name w:val="Body Text Indent 2"/>
    <w:basedOn w:val="1"/>
    <w:qFormat/>
    <w:uiPriority w:val="0"/>
    <w:pPr>
      <w:spacing w:after="120" w:line="480" w:lineRule="auto"/>
      <w:ind w:left="420" w:leftChars="200"/>
    </w:p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toc 1"/>
    <w:basedOn w:val="1"/>
    <w:next w:val="1"/>
    <w:qFormat/>
    <w:uiPriority w:val="1"/>
    <w:pPr>
      <w:spacing w:before="43"/>
      <w:ind w:right="531"/>
      <w:jc w:val="right"/>
    </w:pPr>
    <w:rPr>
      <w:rFonts w:ascii="宋体" w:hAnsi="宋体" w:eastAsia="宋体" w:cs="宋体"/>
      <w:sz w:val="21"/>
      <w:szCs w:val="21"/>
      <w:lang w:val="zh-CN" w:eastAsia="zh-CN" w:bidi="zh-CN"/>
    </w:rPr>
  </w:style>
  <w:style w:type="paragraph" w:styleId="20">
    <w:name w:val="toc 4"/>
    <w:basedOn w:val="1"/>
    <w:next w:val="1"/>
    <w:qFormat/>
    <w:uiPriority w:val="0"/>
    <w:pPr>
      <w:ind w:left="1260" w:leftChars="600"/>
    </w:pPr>
  </w:style>
  <w:style w:type="paragraph" w:styleId="21">
    <w:name w:val="toc 2"/>
    <w:basedOn w:val="1"/>
    <w:next w:val="1"/>
    <w:qFormat/>
    <w:uiPriority w:val="1"/>
    <w:pPr>
      <w:spacing w:before="43"/>
      <w:ind w:right="532"/>
      <w:jc w:val="right"/>
    </w:pPr>
    <w:rPr>
      <w:rFonts w:ascii="宋体" w:hAnsi="宋体" w:eastAsia="宋体" w:cs="宋体"/>
      <w:b/>
      <w:bCs/>
      <w:i/>
      <w:lang w:val="zh-CN" w:eastAsia="zh-CN" w:bidi="zh-CN"/>
    </w:rPr>
  </w:style>
  <w:style w:type="paragraph" w:styleId="22">
    <w:name w:val="Normal (Web)"/>
    <w:basedOn w:val="1"/>
    <w:qFormat/>
    <w:uiPriority w:val="0"/>
    <w:pPr>
      <w:spacing w:before="0" w:beforeAutospacing="0" w:after="0" w:afterAutospacing="0"/>
      <w:ind w:left="0" w:right="0"/>
      <w:jc w:val="left"/>
    </w:pPr>
    <w:rPr>
      <w:kern w:val="0"/>
      <w:sz w:val="24"/>
      <w:lang w:val="en-US" w:eastAsia="zh-CN" w:bidi="ar"/>
    </w:rPr>
  </w:style>
  <w:style w:type="paragraph" w:styleId="23">
    <w:name w:val="Body Text First Indent"/>
    <w:basedOn w:val="11"/>
    <w:qFormat/>
    <w:uiPriority w:val="0"/>
    <w:pPr>
      <w:spacing w:line="360" w:lineRule="auto"/>
      <w:ind w:firstLine="309" w:firstLineChars="100"/>
      <w:outlineLvl w:val="0"/>
    </w:pPr>
    <w:rPr>
      <w:bCs/>
      <w:color w:val="000000"/>
      <w:kern w:val="28"/>
      <w:szCs w:val="21"/>
    </w:rPr>
  </w:style>
  <w:style w:type="table" w:styleId="25">
    <w:name w:val="Table Grid"/>
    <w:basedOn w:val="24"/>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bCs/>
    </w:rPr>
  </w:style>
  <w:style w:type="character" w:styleId="28">
    <w:name w:val="page number"/>
    <w:basedOn w:val="26"/>
    <w:qFormat/>
    <w:uiPriority w:val="0"/>
  </w:style>
  <w:style w:type="character" w:styleId="29">
    <w:name w:val="FollowedHyperlink"/>
    <w:basedOn w:val="26"/>
    <w:qFormat/>
    <w:uiPriority w:val="0"/>
    <w:rPr>
      <w:color w:val="338DE6"/>
      <w:u w:val="none"/>
    </w:rPr>
  </w:style>
  <w:style w:type="character" w:styleId="30">
    <w:name w:val="Emphasis"/>
    <w:basedOn w:val="26"/>
    <w:qFormat/>
    <w:uiPriority w:val="0"/>
  </w:style>
  <w:style w:type="character" w:styleId="31">
    <w:name w:val="HTML Definition"/>
    <w:basedOn w:val="26"/>
    <w:qFormat/>
    <w:uiPriority w:val="0"/>
  </w:style>
  <w:style w:type="character" w:styleId="32">
    <w:name w:val="HTML Variable"/>
    <w:basedOn w:val="26"/>
    <w:qFormat/>
    <w:uiPriority w:val="0"/>
  </w:style>
  <w:style w:type="character" w:styleId="33">
    <w:name w:val="Hyperlink"/>
    <w:basedOn w:val="26"/>
    <w:qFormat/>
    <w:uiPriority w:val="0"/>
    <w:rPr>
      <w:color w:val="338DE6"/>
      <w:u w:val="none"/>
    </w:rPr>
  </w:style>
  <w:style w:type="character" w:styleId="34">
    <w:name w:val="HTML Code"/>
    <w:basedOn w:val="26"/>
    <w:qFormat/>
    <w:uiPriority w:val="0"/>
    <w:rPr>
      <w:rFonts w:ascii="serif" w:hAnsi="serif" w:eastAsia="serif" w:cs="serif"/>
      <w:sz w:val="21"/>
      <w:szCs w:val="21"/>
    </w:rPr>
  </w:style>
  <w:style w:type="character" w:styleId="35">
    <w:name w:val="HTML Cite"/>
    <w:basedOn w:val="26"/>
    <w:qFormat/>
    <w:uiPriority w:val="0"/>
  </w:style>
  <w:style w:type="character" w:styleId="36">
    <w:name w:val="HTML Keyboard"/>
    <w:basedOn w:val="26"/>
    <w:qFormat/>
    <w:uiPriority w:val="0"/>
    <w:rPr>
      <w:rFonts w:hint="default" w:ascii="serif" w:hAnsi="serif" w:eastAsia="serif" w:cs="serif"/>
      <w:sz w:val="21"/>
      <w:szCs w:val="21"/>
    </w:rPr>
  </w:style>
  <w:style w:type="character" w:styleId="37">
    <w:name w:val="HTML Sample"/>
    <w:basedOn w:val="26"/>
    <w:qFormat/>
    <w:uiPriority w:val="0"/>
    <w:rPr>
      <w:rFonts w:hint="default" w:ascii="serif" w:hAnsi="serif" w:eastAsia="serif" w:cs="serif"/>
      <w:sz w:val="21"/>
      <w:szCs w:val="21"/>
    </w:rPr>
  </w:style>
  <w:style w:type="paragraph" w:customStyle="1" w:styleId="38">
    <w:name w:val="正文1"/>
    <w:basedOn w:val="39"/>
    <w:qFormat/>
    <w:uiPriority w:val="0"/>
    <w:pPr>
      <w:tabs>
        <w:tab w:val="left" w:pos="360"/>
      </w:tabs>
      <w:spacing w:line="360" w:lineRule="auto"/>
      <w:ind w:left="350" w:leftChars="350"/>
    </w:pPr>
    <w:rPr>
      <w:sz w:val="24"/>
    </w:rPr>
  </w:style>
  <w:style w:type="paragraph" w:customStyle="1" w:styleId="39">
    <w:name w:val="样式1"/>
    <w:basedOn w:val="21"/>
    <w:next w:val="1"/>
    <w:qFormat/>
    <w:uiPriority w:val="0"/>
    <w:pPr>
      <w:tabs>
        <w:tab w:val="left" w:pos="360"/>
      </w:tabs>
      <w:adjustRightInd w:val="0"/>
      <w:ind w:left="360" w:hanging="360"/>
      <w:textAlignment w:val="baseline"/>
    </w:pPr>
    <w:rPr>
      <w:rFonts w:ascii="宋体" w:hAnsi="宋体"/>
      <w:kern w:val="0"/>
      <w:szCs w:val="21"/>
    </w:rPr>
  </w:style>
  <w:style w:type="paragraph" w:customStyle="1" w:styleId="4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41">
    <w:name w:val="文档正文"/>
    <w:basedOn w:val="1"/>
    <w:qFormat/>
    <w:uiPriority w:val="0"/>
    <w:pPr>
      <w:ind w:firstLine="482"/>
    </w:pPr>
    <w:rPr>
      <w:kern w:val="2"/>
      <w:szCs w:val="24"/>
    </w:rPr>
  </w:style>
  <w:style w:type="paragraph" w:customStyle="1" w:styleId="42">
    <w:name w:val="一级条标题"/>
    <w:basedOn w:val="43"/>
    <w:next w:val="44"/>
    <w:qFormat/>
    <w:uiPriority w:val="0"/>
    <w:pPr>
      <w:spacing w:line="240" w:lineRule="auto"/>
      <w:ind w:left="420"/>
      <w:outlineLvl w:val="2"/>
    </w:pPr>
  </w:style>
  <w:style w:type="paragraph" w:customStyle="1" w:styleId="43">
    <w:name w:val="章标题"/>
    <w:next w:val="1"/>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44">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45">
    <w:name w:val="列出段落1"/>
    <w:basedOn w:val="46"/>
    <w:qFormat/>
    <w:uiPriority w:val="0"/>
    <w:pPr>
      <w:ind w:firstLine="200" w:firstLineChars="200"/>
    </w:pPr>
    <w:rPr>
      <w:rFonts w:ascii="Calibri" w:hAnsi="Calibri" w:eastAsia="宋体" w:cs="Times New Roman"/>
      <w:lang w:bidi="ar-SA"/>
    </w:rPr>
  </w:style>
  <w:style w:type="paragraph" w:customStyle="1" w:styleId="46">
    <w:name w:val="正文_0"/>
    <w:basedOn w:val="1"/>
    <w:qFormat/>
    <w:uiPriority w:val="0"/>
  </w:style>
  <w:style w:type="paragraph" w:customStyle="1" w:styleId="47">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正文首行缩进1"/>
    <w:basedOn w:val="1"/>
    <w:qFormat/>
    <w:uiPriority w:val="99"/>
    <w:pPr>
      <w:spacing w:after="120"/>
      <w:ind w:firstLine="420" w:firstLineChars="100"/>
    </w:pPr>
  </w:style>
  <w:style w:type="paragraph" w:customStyle="1" w:styleId="49">
    <w:name w:val="Table Paragraph"/>
    <w:basedOn w:val="1"/>
    <w:qFormat/>
    <w:uiPriority w:val="1"/>
    <w:rPr>
      <w:rFonts w:ascii="宋体" w:hAnsi="宋体" w:eastAsia="宋体" w:cs="宋体"/>
      <w:lang w:val="zh-CN" w:eastAsia="zh-CN" w:bidi="zh-CN"/>
    </w:rPr>
  </w:style>
  <w:style w:type="paragraph" w:styleId="50">
    <w:name w:val="List Paragraph"/>
    <w:basedOn w:val="1"/>
    <w:qFormat/>
    <w:uiPriority w:val="1"/>
    <w:pPr>
      <w:ind w:left="112" w:firstLine="480"/>
    </w:pPr>
    <w:rPr>
      <w:rFonts w:ascii="宋体" w:hAnsi="宋体" w:eastAsia="宋体" w:cs="宋体"/>
      <w:lang w:val="zh-CN" w:eastAsia="zh-CN" w:bidi="zh-CN"/>
    </w:rPr>
  </w:style>
  <w:style w:type="paragraph" w:customStyle="1" w:styleId="51">
    <w:name w:val="Normal_0_2"/>
    <w:qFormat/>
    <w:uiPriority w:val="0"/>
    <w:rPr>
      <w:rFonts w:ascii="Times New Roman" w:hAnsi="Times New Roman" w:eastAsia="Times New Roman" w:cs="Times New Roman"/>
      <w:sz w:val="24"/>
      <w:szCs w:val="24"/>
      <w:lang w:val="en-US" w:eastAsia="zh-CN" w:bidi="ar-SA"/>
    </w:rPr>
  </w:style>
  <w:style w:type="paragraph" w:customStyle="1" w:styleId="52">
    <w:name w:val="Normal_0_1"/>
    <w:qFormat/>
    <w:uiPriority w:val="0"/>
    <w:rPr>
      <w:rFonts w:ascii="Times New Roman" w:hAnsi="Times New Roman" w:eastAsia="Times New Roman" w:cs="Times New Roman"/>
      <w:sz w:val="24"/>
      <w:szCs w:val="24"/>
      <w:lang w:val="en-US" w:eastAsia="zh-CN" w:bidi="ar-SA"/>
    </w:rPr>
  </w:style>
  <w:style w:type="paragraph" w:customStyle="1" w:styleId="53">
    <w:name w:val="Body text|1"/>
    <w:basedOn w:val="1"/>
    <w:qFormat/>
    <w:uiPriority w:val="0"/>
    <w:pPr>
      <w:widowControl w:val="0"/>
      <w:shd w:val="clear" w:color="auto" w:fill="auto"/>
      <w:spacing w:line="439" w:lineRule="auto"/>
      <w:ind w:firstLine="400"/>
    </w:pPr>
    <w:rPr>
      <w:rFonts w:ascii="宋体" w:hAnsi="宋体" w:eastAsia="宋体" w:cs="宋体"/>
      <w:sz w:val="30"/>
      <w:szCs w:val="30"/>
      <w:u w:val="none"/>
      <w:shd w:val="clear" w:color="auto" w:fill="auto"/>
      <w:lang w:val="zh-TW" w:eastAsia="zh-TW" w:bidi="zh-TW"/>
    </w:rPr>
  </w:style>
  <w:style w:type="character" w:customStyle="1" w:styleId="54">
    <w:name w:val="标题 2 Char"/>
    <w:link w:val="3"/>
    <w:qFormat/>
    <w:uiPriority w:val="0"/>
    <w:rPr>
      <w:rFonts w:ascii="黑体" w:hAnsi="黑体" w:eastAsia="黑体" w:cs="黑体"/>
      <w:b/>
      <w:bCs/>
      <w:sz w:val="36"/>
      <w:szCs w:val="36"/>
      <w:lang w:val="zh-CN" w:eastAsia="zh-CN" w:bidi="zh-CN"/>
    </w:rPr>
  </w:style>
  <w:style w:type="paragraph" w:customStyle="1" w:styleId="55">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56">
    <w:name w:val="WPSOffice手动目录 1"/>
    <w:qFormat/>
    <w:uiPriority w:val="0"/>
    <w:pPr>
      <w:ind w:leftChars="0"/>
    </w:pPr>
    <w:rPr>
      <w:rFonts w:asciiTheme="minorHAnsi" w:hAnsiTheme="minorHAnsi" w:eastAsiaTheme="minorEastAsia" w:cstheme="minorBidi"/>
      <w:sz w:val="20"/>
      <w:szCs w:val="20"/>
    </w:rPr>
  </w:style>
  <w:style w:type="paragraph" w:customStyle="1" w:styleId="57">
    <w:name w:val="WPSOffice手动目录 2"/>
    <w:qFormat/>
    <w:uiPriority w:val="0"/>
    <w:pPr>
      <w:ind w:leftChars="200"/>
    </w:pPr>
    <w:rPr>
      <w:rFonts w:asciiTheme="minorHAnsi" w:hAnsiTheme="minorHAnsi" w:eastAsiaTheme="minorEastAsia" w:cstheme="minorBidi"/>
      <w:sz w:val="20"/>
      <w:szCs w:val="20"/>
    </w:rPr>
  </w:style>
  <w:style w:type="character" w:customStyle="1" w:styleId="58">
    <w:name w:val="fontstrikethrough"/>
    <w:basedOn w:val="26"/>
    <w:qFormat/>
    <w:uiPriority w:val="0"/>
    <w:rPr>
      <w:strike/>
    </w:rPr>
  </w:style>
  <w:style w:type="character" w:customStyle="1" w:styleId="59">
    <w:name w:val="fontborder"/>
    <w:basedOn w:val="26"/>
    <w:qFormat/>
    <w:uiPriority w:val="0"/>
    <w:rPr>
      <w:bdr w:val="single" w:color="000000" w:sz="6" w:space="0"/>
    </w:rPr>
  </w:style>
  <w:style w:type="character" w:customStyle="1" w:styleId="60">
    <w:name w:val="l-btn-text"/>
    <w:basedOn w:val="26"/>
    <w:qFormat/>
    <w:uiPriority w:val="0"/>
    <w:rPr>
      <w:sz w:val="18"/>
      <w:szCs w:val="18"/>
      <w:vertAlign w:val="baseline"/>
    </w:rPr>
  </w:style>
  <w:style w:type="character" w:customStyle="1" w:styleId="61">
    <w:name w:val="l-btn-left"/>
    <w:basedOn w:val="26"/>
    <w:qFormat/>
    <w:uiPriority w:val="0"/>
  </w:style>
  <w:style w:type="character" w:customStyle="1" w:styleId="62">
    <w:name w:val="l-btn-left1"/>
    <w:basedOn w:val="26"/>
    <w:qFormat/>
    <w:uiPriority w:val="0"/>
  </w:style>
  <w:style w:type="character" w:customStyle="1" w:styleId="63">
    <w:name w:val="l-btn-left2"/>
    <w:basedOn w:val="26"/>
    <w:qFormat/>
    <w:uiPriority w:val="0"/>
  </w:style>
  <w:style w:type="character" w:customStyle="1" w:styleId="64">
    <w:name w:val="l-btn-left3"/>
    <w:basedOn w:val="26"/>
    <w:qFormat/>
    <w:uiPriority w:val="0"/>
  </w:style>
  <w:style w:type="character" w:customStyle="1" w:styleId="65">
    <w:name w:val="l-btn-icon-left"/>
    <w:basedOn w:val="26"/>
    <w:qFormat/>
    <w:uiPriority w:val="0"/>
  </w:style>
  <w:style w:type="character" w:customStyle="1" w:styleId="66">
    <w:name w:val="l-btn-icon-right"/>
    <w:basedOn w:val="26"/>
    <w:qFormat/>
    <w:uiPriority w:val="0"/>
  </w:style>
  <w:style w:type="character" w:customStyle="1" w:styleId="67">
    <w:name w:val="l-btn-empty"/>
    <w:basedOn w:val="26"/>
    <w:qFormat/>
    <w:uiPriority w:val="0"/>
  </w:style>
  <w:style w:type="character" w:customStyle="1" w:styleId="68">
    <w:name w:val="l-btn-left4"/>
    <w:basedOn w:val="26"/>
    <w:qFormat/>
    <w:uiPriority w:val="0"/>
  </w:style>
  <w:style w:type="character" w:customStyle="1" w:styleId="69">
    <w:name w:val="l-btn-left5"/>
    <w:basedOn w:val="26"/>
    <w:qFormat/>
    <w:uiPriority w:val="0"/>
  </w:style>
  <w:style w:type="paragraph" w:customStyle="1" w:styleId="70">
    <w:name w:val="目录 81"/>
    <w:basedOn w:val="1"/>
    <w:next w:val="1"/>
    <w:qFormat/>
    <w:uiPriority w:val="0"/>
    <w:pPr>
      <w:ind w:left="2940"/>
    </w:pPr>
    <w:rPr>
      <w:rFonts w:ascii="Calibri" w:hAnsi="Times New Roman" w:eastAsia="宋体" w:cs="Times New Roman"/>
      <w:szCs w:val="24"/>
    </w:rPr>
  </w:style>
  <w:style w:type="character" w:customStyle="1" w:styleId="71">
    <w:name w:val="one-lines"/>
    <w:basedOn w:val="26"/>
    <w:qFormat/>
    <w:uiPriority w:val="0"/>
  </w:style>
  <w:style w:type="character" w:customStyle="1" w:styleId="72">
    <w:name w:val="trumbowyg-msg-error"/>
    <w:basedOn w:val="26"/>
    <w:qFormat/>
    <w:uiPriority w:val="0"/>
    <w:rPr>
      <w:color w:val="E74C3C"/>
    </w:rPr>
  </w:style>
  <w:style w:type="character" w:customStyle="1" w:styleId="73">
    <w:name w:val="trumbowyg-msg-error1"/>
    <w:basedOn w:val="26"/>
    <w:qFormat/>
    <w:uiPriority w:val="0"/>
    <w:rPr>
      <w:color w:val="E74C3C"/>
    </w:rPr>
  </w:style>
  <w:style w:type="character" w:customStyle="1" w:styleId="74">
    <w:name w:val="two-lines"/>
    <w:basedOn w:val="26"/>
    <w:qFormat/>
    <w:uiPriority w:val="0"/>
  </w:style>
  <w:style w:type="character" w:customStyle="1" w:styleId="75">
    <w:name w:val="hidden"/>
    <w:basedOn w:val="26"/>
    <w:qFormat/>
    <w:uiPriority w:val="0"/>
    <w:rPr>
      <w:vanish/>
    </w:rPr>
  </w:style>
  <w:style w:type="character" w:customStyle="1" w:styleId="76">
    <w:name w:val="hidden4"/>
    <w:basedOn w:val="26"/>
    <w:qFormat/>
    <w:uiPriority w:val="0"/>
    <w:rPr>
      <w:vanish/>
    </w:rPr>
  </w:style>
  <w:style w:type="paragraph" w:customStyle="1" w:styleId="77">
    <w:name w:val="Body text|2"/>
    <w:basedOn w:val="1"/>
    <w:qFormat/>
    <w:uiPriority w:val="0"/>
    <w:pPr>
      <w:widowControl w:val="0"/>
      <w:shd w:val="clear" w:color="auto" w:fill="auto"/>
      <w:spacing w:after="160" w:line="329" w:lineRule="auto"/>
      <w:ind w:firstLine="400"/>
    </w:pPr>
    <w:rPr>
      <w:rFonts w:ascii="宋体" w:hAnsi="宋体" w:eastAsia="宋体" w:cs="宋体"/>
      <w:u w:val="none"/>
      <w:shd w:val="clear" w:color="auto" w:fill="auto"/>
      <w:lang w:val="zh-TW" w:eastAsia="zh-TW" w:bidi="zh-TW"/>
    </w:rPr>
  </w:style>
  <w:style w:type="character" w:customStyle="1" w:styleId="78">
    <w:name w:val="next"/>
    <w:basedOn w:val="26"/>
    <w:qFormat/>
    <w:uiPriority w:val="0"/>
    <w:rPr>
      <w:rFonts w:ascii="微软雅黑" w:hAnsi="微软雅黑" w:eastAsia="微软雅黑" w:cs="微软雅黑"/>
      <w:sz w:val="21"/>
      <w:szCs w:val="21"/>
    </w:rPr>
  </w:style>
  <w:style w:type="character" w:customStyle="1" w:styleId="79">
    <w:name w:val="next1"/>
    <w:basedOn w:val="26"/>
    <w:qFormat/>
    <w:uiPriority w:val="0"/>
    <w:rPr>
      <w:color w:val="888888"/>
    </w:rPr>
  </w:style>
  <w:style w:type="character" w:customStyle="1" w:styleId="80">
    <w:name w:val="cfdate"/>
    <w:basedOn w:val="26"/>
    <w:qFormat/>
    <w:uiPriority w:val="0"/>
    <w:rPr>
      <w:color w:val="333333"/>
      <w:sz w:val="18"/>
      <w:szCs w:val="18"/>
    </w:rPr>
  </w:style>
  <w:style w:type="character" w:customStyle="1" w:styleId="81">
    <w:name w:val="qxdate"/>
    <w:basedOn w:val="26"/>
    <w:qFormat/>
    <w:uiPriority w:val="0"/>
    <w:rPr>
      <w:color w:val="333333"/>
      <w:sz w:val="18"/>
      <w:szCs w:val="18"/>
    </w:rPr>
  </w:style>
  <w:style w:type="character" w:customStyle="1" w:styleId="82">
    <w:name w:val="gjfg"/>
    <w:basedOn w:val="26"/>
    <w:qFormat/>
    <w:uiPriority w:val="0"/>
  </w:style>
  <w:style w:type="character" w:customStyle="1" w:styleId="83">
    <w:name w:val="displayarti"/>
    <w:basedOn w:val="26"/>
    <w:qFormat/>
    <w:uiPriority w:val="0"/>
    <w:rPr>
      <w:color w:val="FFFFFF"/>
      <w:shd w:val="clear" w:fill="A00000"/>
    </w:rPr>
  </w:style>
  <w:style w:type="character" w:customStyle="1" w:styleId="84">
    <w:name w:val="prev2"/>
    <w:basedOn w:val="26"/>
    <w:qFormat/>
    <w:uiPriority w:val="0"/>
    <w:rPr>
      <w:rFonts w:hint="eastAsia" w:ascii="微软雅黑" w:hAnsi="微软雅黑" w:eastAsia="微软雅黑" w:cs="微软雅黑"/>
      <w:sz w:val="21"/>
      <w:szCs w:val="21"/>
    </w:rPr>
  </w:style>
  <w:style w:type="character" w:customStyle="1" w:styleId="85">
    <w:name w:val="prev3"/>
    <w:basedOn w:val="26"/>
    <w:qFormat/>
    <w:uiPriority w:val="0"/>
    <w:rPr>
      <w:color w:val="888888"/>
    </w:rPr>
  </w:style>
  <w:style w:type="character" w:customStyle="1" w:styleId="86">
    <w:name w:val="redfilefwwh"/>
    <w:basedOn w:val="26"/>
    <w:qFormat/>
    <w:uiPriority w:val="0"/>
    <w:rPr>
      <w:color w:val="BA2636"/>
      <w:sz w:val="18"/>
      <w:szCs w:val="18"/>
    </w:rPr>
  </w:style>
  <w:style w:type="character" w:customStyle="1" w:styleId="87">
    <w:name w:val="redfilenumber"/>
    <w:basedOn w:val="26"/>
    <w:qFormat/>
    <w:uiPriority w:val="0"/>
    <w:rPr>
      <w:color w:val="BA2636"/>
      <w:sz w:val="18"/>
      <w:szCs w:val="18"/>
    </w:rPr>
  </w:style>
  <w:style w:type="character" w:customStyle="1" w:styleId="88">
    <w:name w:val="font01"/>
    <w:basedOn w:val="26"/>
    <w:qFormat/>
    <w:uiPriority w:val="0"/>
    <w:rPr>
      <w:rFonts w:hint="eastAsia" w:ascii="宋体" w:hAnsi="宋体" w:eastAsia="宋体" w:cs="宋体"/>
      <w:color w:val="FF0000"/>
      <w:sz w:val="21"/>
      <w:szCs w:val="21"/>
      <w:u w:val="none"/>
    </w:rPr>
  </w:style>
  <w:style w:type="character" w:customStyle="1" w:styleId="89">
    <w:name w:val="font21"/>
    <w:basedOn w:val="26"/>
    <w:qFormat/>
    <w:uiPriority w:val="0"/>
    <w:rPr>
      <w:rFonts w:hint="eastAsia" w:ascii="宋体" w:hAnsi="宋体" w:eastAsia="宋体" w:cs="宋体"/>
      <w:color w:val="FF0000"/>
      <w:sz w:val="21"/>
      <w:szCs w:val="21"/>
      <w:u w:val="none"/>
    </w:rPr>
  </w:style>
  <w:style w:type="character" w:customStyle="1" w:styleId="90">
    <w:name w:val="font81"/>
    <w:basedOn w:val="26"/>
    <w:qFormat/>
    <w:uiPriority w:val="0"/>
    <w:rPr>
      <w:rFonts w:hint="eastAsia" w:ascii="宋体" w:hAnsi="宋体" w:eastAsia="宋体" w:cs="宋体"/>
      <w:color w:val="000000"/>
      <w:sz w:val="20"/>
      <w:szCs w:val="20"/>
      <w:u w:val="none"/>
    </w:rPr>
  </w:style>
  <w:style w:type="character" w:customStyle="1" w:styleId="91">
    <w:name w:val="font101"/>
    <w:basedOn w:val="26"/>
    <w:qFormat/>
    <w:uiPriority w:val="0"/>
    <w:rPr>
      <w:rFonts w:hint="eastAsia" w:ascii="宋体" w:hAnsi="宋体" w:eastAsia="宋体" w:cs="宋体"/>
      <w:color w:val="FF0000"/>
      <w:sz w:val="20"/>
      <w:szCs w:val="20"/>
      <w:u w:val="none"/>
    </w:rPr>
  </w:style>
  <w:style w:type="character" w:customStyle="1" w:styleId="92">
    <w:name w:val="font91"/>
    <w:basedOn w:val="26"/>
    <w:qFormat/>
    <w:uiPriority w:val="0"/>
    <w:rPr>
      <w:rFonts w:hint="eastAsia" w:ascii="宋体" w:hAnsi="宋体" w:eastAsia="宋体" w:cs="宋体"/>
      <w:color w:val="000000"/>
      <w:sz w:val="20"/>
      <w:szCs w:val="20"/>
      <w:u w:val="none"/>
    </w:rPr>
  </w:style>
  <w:style w:type="character" w:customStyle="1" w:styleId="93">
    <w:name w:val="font112"/>
    <w:basedOn w:val="26"/>
    <w:qFormat/>
    <w:uiPriority w:val="0"/>
    <w:rPr>
      <w:rFonts w:ascii="Calibri" w:hAnsi="Calibri" w:cs="Calibri"/>
      <w:color w:val="000000"/>
      <w:sz w:val="20"/>
      <w:szCs w:val="20"/>
      <w:u w:val="none"/>
    </w:rPr>
  </w:style>
  <w:style w:type="character" w:customStyle="1" w:styleId="94">
    <w:name w:val="font121"/>
    <w:basedOn w:val="26"/>
    <w:qFormat/>
    <w:uiPriority w:val="0"/>
    <w:rPr>
      <w:rFonts w:hint="eastAsia" w:ascii="宋体" w:hAnsi="宋体" w:eastAsia="宋体" w:cs="宋体"/>
      <w:color w:val="000000"/>
      <w:sz w:val="20"/>
      <w:szCs w:val="20"/>
      <w:u w:val="none"/>
    </w:rPr>
  </w:style>
  <w:style w:type="character" w:customStyle="1" w:styleId="95">
    <w:name w:val="font131"/>
    <w:basedOn w:val="26"/>
    <w:qFormat/>
    <w:uiPriority w:val="0"/>
    <w:rPr>
      <w:rFonts w:hint="eastAsia" w:ascii="宋体" w:hAnsi="宋体" w:eastAsia="宋体" w:cs="宋体"/>
      <w:color w:val="FF0000"/>
      <w:sz w:val="20"/>
      <w:szCs w:val="20"/>
      <w:u w:val="none"/>
    </w:rPr>
  </w:style>
  <w:style w:type="character" w:customStyle="1" w:styleId="96">
    <w:name w:val="font71"/>
    <w:basedOn w:val="26"/>
    <w:qFormat/>
    <w:uiPriority w:val="0"/>
    <w:rPr>
      <w:rFonts w:hint="eastAsia" w:ascii="宋体" w:hAnsi="宋体" w:eastAsia="宋体" w:cs="宋体"/>
      <w:color w:val="000000"/>
      <w:sz w:val="20"/>
      <w:szCs w:val="20"/>
      <w:u w:val="none"/>
    </w:rPr>
  </w:style>
  <w:style w:type="character" w:customStyle="1" w:styleId="97">
    <w:name w:val="font111"/>
    <w:basedOn w:val="26"/>
    <w:qFormat/>
    <w:uiPriority w:val="0"/>
    <w:rPr>
      <w:rFonts w:ascii="Calibri" w:hAnsi="Calibri" w:cs="Calibri"/>
      <w:color w:val="000000"/>
      <w:sz w:val="20"/>
      <w:szCs w:val="20"/>
      <w:u w:val="none"/>
    </w:rPr>
  </w:style>
  <w:style w:type="character" w:customStyle="1" w:styleId="98">
    <w:name w:val="font122"/>
    <w:basedOn w:val="26"/>
    <w:qFormat/>
    <w:uiPriority w:val="0"/>
    <w:rPr>
      <w:rFonts w:hint="eastAsia" w:ascii="宋体" w:hAnsi="宋体" w:eastAsia="宋体" w:cs="宋体"/>
      <w:color w:val="000000"/>
      <w:sz w:val="20"/>
      <w:szCs w:val="20"/>
      <w:u w:val="none"/>
    </w:rPr>
  </w:style>
  <w:style w:type="paragraph" w:customStyle="1" w:styleId="99">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0">
    <w:name w:val="Normal_0"/>
    <w:qFormat/>
    <w:uiPriority w:val="0"/>
    <w:rPr>
      <w:rFonts w:ascii="Times New Roman" w:hAnsi="Times New Roman" w:eastAsia="Times New Roman" w:cs="Times New Roman"/>
      <w:sz w:val="24"/>
      <w:szCs w:val="24"/>
    </w:rPr>
  </w:style>
  <w:style w:type="paragraph" w:customStyle="1" w:styleId="101">
    <w:name w:val="_Style 2"/>
    <w:qFormat/>
    <w:uiPriority w:val="1"/>
    <w:pPr>
      <w:widowControl w:val="0"/>
      <w:jc w:val="both"/>
    </w:pPr>
    <w:rPr>
      <w:rFonts w:hint="eastAsia" w:ascii="Calibri" w:hAnsi="Calibri" w:eastAsia="宋体" w:cs="Times New Roman"/>
      <w:kern w:val="2"/>
      <w:sz w:val="21"/>
      <w:szCs w:val="22"/>
      <w:lang w:val="en-US" w:eastAsia="zh-CN" w:bidi="ar-SA"/>
    </w:rPr>
  </w:style>
  <w:style w:type="character" w:customStyle="1" w:styleId="102">
    <w:name w:val="标题 2 字符"/>
    <w:link w:val="3"/>
    <w:qFormat/>
    <w:uiPriority w:val="0"/>
    <w:rPr>
      <w:rFonts w:ascii="Arial" w:hAnsi="Arial"/>
      <w:b/>
      <w:bCs/>
      <w:sz w:val="24"/>
      <w:szCs w:val="32"/>
    </w:rPr>
  </w:style>
  <w:style w:type="paragraph" w:customStyle="1" w:styleId="103">
    <w:name w:val="正文_2_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4">
    <w:name w:val="正文_1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0.xml"/><Relationship Id="rId17" Type="http://schemas.openxmlformats.org/officeDocument/2006/relationships/header" Target="header4.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3.xml"/><Relationship Id="rId13" Type="http://schemas.openxmlformats.org/officeDocument/2006/relationships/footer" Target="footer7.xml"/><Relationship Id="rId12" Type="http://schemas.openxmlformats.org/officeDocument/2006/relationships/header" Target="header2.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10964</Words>
  <Characters>11667</Characters>
  <Lines>0</Lines>
  <Paragraphs>0</Paragraphs>
  <TotalTime>13</TotalTime>
  <ScaleCrop>false</ScaleCrop>
  <LinksUpToDate>false</LinksUpToDate>
  <CharactersWithSpaces>12069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2021-04-15T00:39:00Z</dcterms:created>
  <dc:creator>Administrator</dc:creator>
  <cp:lastModifiedBy>微信用户</cp:lastModifiedBy>
  <cp:lastPrinted>2026-08-05T13:47:00Z</cp:lastPrinted>
  <dcterms:modified xsi:type="dcterms:W3CDTF">2026-08-13T04:23:36Z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7B5F377FC1E9403AA7BBD10D4D57DB7D_13</vt:lpwstr>
  </property>
  <property fmtid="{D5CDD505-2E9C-101B-9397-08002B2CF9AE}" pid="4" name="KSOTemplateDocerSaveRecord">
    <vt:lpwstr>eyJoZGlkIjoiNTcyOGY2Y2ZlMjBkOGUyZDY3YmNiNWUzNGQyYmM5NzEiLCJ1c2VySWQiOiIxMzYxODEwOTUzIn0=</vt:lpwstr>
  </property>
</Properties>
</file>