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0029B9">
      <w:pPr>
        <w:pStyle w:val="4"/>
        <w:adjustRightInd w:val="0"/>
        <w:snapToGrid w:val="0"/>
        <w:spacing w:line="360" w:lineRule="auto"/>
        <w:jc w:val="center"/>
        <w:outlineLvl w:val="0"/>
        <w:rPr>
          <w:color w:val="auto"/>
          <w:highlight w:val="none"/>
        </w:rPr>
      </w:pPr>
      <w:r>
        <w:rPr>
          <w:rFonts w:hint="eastAsia" w:ascii="黑体" w:hAnsi="华文中宋" w:eastAsia="黑体"/>
          <w:b/>
          <w:color w:val="auto"/>
          <w:sz w:val="32"/>
          <w:szCs w:val="32"/>
          <w:highlight w:val="none"/>
        </w:rPr>
        <w:t>采购需求</w:t>
      </w:r>
    </w:p>
    <w:p w14:paraId="7E9F71FD">
      <w:pPr>
        <w:pStyle w:val="2"/>
        <w:adjustRightInd w:val="0"/>
        <w:snapToGrid w:val="0"/>
        <w:spacing w:before="156" w:beforeLines="50"/>
        <w:jc w:val="center"/>
        <w:rPr>
          <w:rFonts w:hint="eastAsia" w:ascii="黑体" w:hAnsi="黑体" w:eastAsia="黑体"/>
          <w:color w:val="auto"/>
          <w:sz w:val="28"/>
          <w:szCs w:val="28"/>
          <w:highlight w:val="none"/>
        </w:rPr>
      </w:pPr>
      <w:r>
        <w:rPr>
          <w:rFonts w:hint="eastAsia" w:ascii="黑体" w:hAnsi="黑体" w:eastAsia="黑体"/>
          <w:color w:val="auto"/>
          <w:sz w:val="28"/>
          <w:szCs w:val="28"/>
          <w:highlight w:val="none"/>
        </w:rPr>
        <w:t>第一节 采购清单一览表</w:t>
      </w:r>
    </w:p>
    <w:p w14:paraId="286186C9">
      <w:pPr>
        <w:spacing w:line="320" w:lineRule="exact"/>
        <w:rPr>
          <w:color w:val="auto"/>
          <w:highlight w:val="none"/>
        </w:rPr>
      </w:pPr>
    </w:p>
    <w:tbl>
      <w:tblPr>
        <w:tblStyle w:val="6"/>
        <w:tblW w:w="9344"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108" w:type="dxa"/>
          <w:bottom w:w="0" w:type="dxa"/>
          <w:right w:w="108" w:type="dxa"/>
        </w:tblCellMar>
      </w:tblPr>
      <w:tblGrid>
        <w:gridCol w:w="745"/>
        <w:gridCol w:w="2445"/>
        <w:gridCol w:w="2485"/>
        <w:gridCol w:w="1171"/>
        <w:gridCol w:w="969"/>
        <w:gridCol w:w="1529"/>
      </w:tblGrid>
      <w:tr w14:paraId="46A8B4FC">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99" w:hRule="atLeast"/>
          <w:jc w:val="center"/>
        </w:trPr>
        <w:tc>
          <w:tcPr>
            <w:tcW w:w="745" w:type="dxa"/>
            <w:tcBorders>
              <w:bottom w:val="single" w:color="000000" w:sz="4" w:space="0"/>
              <w:right w:val="single" w:color="000000" w:sz="4" w:space="0"/>
            </w:tcBorders>
            <w:noWrap w:val="0"/>
            <w:vAlign w:val="center"/>
          </w:tcPr>
          <w:p w14:paraId="12657748">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包号</w:t>
            </w:r>
          </w:p>
        </w:tc>
        <w:tc>
          <w:tcPr>
            <w:tcW w:w="2445" w:type="dxa"/>
            <w:tcBorders>
              <w:left w:val="single" w:color="000000" w:sz="4" w:space="0"/>
              <w:bottom w:val="single" w:color="auto" w:sz="4" w:space="0"/>
              <w:right w:val="single" w:color="000000" w:sz="4" w:space="0"/>
            </w:tcBorders>
            <w:noWrap w:val="0"/>
            <w:vAlign w:val="center"/>
          </w:tcPr>
          <w:p w14:paraId="53541E25">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车辆分类</w:t>
            </w:r>
          </w:p>
        </w:tc>
        <w:tc>
          <w:tcPr>
            <w:tcW w:w="2485" w:type="dxa"/>
            <w:tcBorders>
              <w:left w:val="single" w:color="000000" w:sz="4" w:space="0"/>
              <w:bottom w:val="single" w:color="auto" w:sz="4" w:space="0"/>
              <w:right w:val="single" w:color="000000" w:sz="4" w:space="0"/>
            </w:tcBorders>
            <w:noWrap w:val="0"/>
            <w:vAlign w:val="center"/>
          </w:tcPr>
          <w:p w14:paraId="42CC8998">
            <w:pPr>
              <w:widowControl/>
              <w:spacing w:line="320" w:lineRule="exact"/>
              <w:jc w:val="center"/>
              <w:textAlignment w:val="center"/>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val="en-US" w:eastAsia="zh-CN"/>
              </w:rPr>
              <w:t>车型</w:t>
            </w:r>
          </w:p>
        </w:tc>
        <w:tc>
          <w:tcPr>
            <w:tcW w:w="1171" w:type="dxa"/>
            <w:tcBorders>
              <w:left w:val="single" w:color="000000" w:sz="4" w:space="0"/>
              <w:bottom w:val="single" w:color="000000" w:sz="4" w:space="0"/>
              <w:right w:val="single" w:color="000000" w:sz="4" w:space="0"/>
            </w:tcBorders>
            <w:noWrap w:val="0"/>
            <w:vAlign w:val="center"/>
          </w:tcPr>
          <w:p w14:paraId="7735DD73">
            <w:pPr>
              <w:widowControl/>
              <w:spacing w:line="320" w:lineRule="exact"/>
              <w:jc w:val="center"/>
              <w:textAlignment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单位</w:t>
            </w:r>
          </w:p>
        </w:tc>
        <w:tc>
          <w:tcPr>
            <w:tcW w:w="969" w:type="dxa"/>
            <w:tcBorders>
              <w:left w:val="single" w:color="000000" w:sz="4" w:space="0"/>
              <w:bottom w:val="single" w:color="000000" w:sz="4" w:space="0"/>
              <w:right w:val="single" w:color="000000" w:sz="4" w:space="0"/>
            </w:tcBorders>
            <w:noWrap w:val="0"/>
            <w:vAlign w:val="center"/>
          </w:tcPr>
          <w:p w14:paraId="61FBC723">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数量</w:t>
            </w:r>
          </w:p>
        </w:tc>
        <w:tc>
          <w:tcPr>
            <w:tcW w:w="1529" w:type="dxa"/>
            <w:tcBorders>
              <w:left w:val="single" w:color="000000" w:sz="4" w:space="0"/>
              <w:bottom w:val="single" w:color="000000" w:sz="4" w:space="0"/>
            </w:tcBorders>
            <w:noWrap w:val="0"/>
            <w:vAlign w:val="center"/>
          </w:tcPr>
          <w:p w14:paraId="3EEC35A3">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备注</w:t>
            </w:r>
          </w:p>
        </w:tc>
      </w:tr>
      <w:tr w14:paraId="15ACF14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737" w:hRule="atLeast"/>
          <w:jc w:val="center"/>
        </w:trPr>
        <w:tc>
          <w:tcPr>
            <w:tcW w:w="745" w:type="dxa"/>
            <w:vMerge w:val="restart"/>
            <w:tcBorders>
              <w:top w:val="single" w:color="000000" w:sz="4" w:space="0"/>
              <w:right w:val="single" w:color="auto" w:sz="4" w:space="0"/>
            </w:tcBorders>
            <w:noWrap w:val="0"/>
            <w:vAlign w:val="center"/>
          </w:tcPr>
          <w:p w14:paraId="2E0780C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1</w:t>
            </w:r>
          </w:p>
        </w:tc>
        <w:tc>
          <w:tcPr>
            <w:tcW w:w="2445" w:type="dxa"/>
            <w:vMerge w:val="restart"/>
            <w:tcBorders>
              <w:top w:val="single" w:color="auto" w:sz="4" w:space="0"/>
              <w:left w:val="single" w:color="auto" w:sz="4" w:space="0"/>
              <w:bottom w:val="single" w:color="auto" w:sz="4" w:space="0"/>
              <w:right w:val="single" w:color="auto" w:sz="4" w:space="0"/>
            </w:tcBorders>
            <w:noWrap w:val="0"/>
            <w:vAlign w:val="center"/>
          </w:tcPr>
          <w:p w14:paraId="1C4F5001">
            <w:pPr>
              <w:widowControl/>
              <w:spacing w:line="320" w:lineRule="exact"/>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专业队伍标准化建设</w:t>
            </w:r>
          </w:p>
        </w:tc>
        <w:tc>
          <w:tcPr>
            <w:tcW w:w="2485" w:type="dxa"/>
            <w:tcBorders>
              <w:top w:val="single" w:color="auto" w:sz="4" w:space="0"/>
              <w:left w:val="single" w:color="auto" w:sz="4" w:space="0"/>
              <w:bottom w:val="single" w:color="auto" w:sz="4" w:space="0"/>
              <w:right w:val="single" w:color="auto" w:sz="4" w:space="0"/>
            </w:tcBorders>
            <w:noWrap w:val="0"/>
            <w:vAlign w:val="center"/>
          </w:tcPr>
          <w:p w14:paraId="7B7D467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运兵车</w:t>
            </w:r>
          </w:p>
        </w:tc>
        <w:tc>
          <w:tcPr>
            <w:tcW w:w="1171" w:type="dxa"/>
            <w:tcBorders>
              <w:top w:val="single" w:color="000000" w:sz="4" w:space="0"/>
              <w:left w:val="single" w:color="auto" w:sz="4" w:space="0"/>
              <w:bottom w:val="single" w:color="000000" w:sz="4" w:space="0"/>
              <w:right w:val="single" w:color="000000" w:sz="4" w:space="0"/>
            </w:tcBorders>
            <w:noWrap w:val="0"/>
            <w:vAlign w:val="center"/>
          </w:tcPr>
          <w:p w14:paraId="63D81C82">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auto" w:sz="4" w:space="0"/>
              <w:bottom w:val="single" w:color="000000" w:sz="4" w:space="0"/>
              <w:right w:val="single" w:color="000000" w:sz="4" w:space="0"/>
            </w:tcBorders>
            <w:noWrap w:val="0"/>
            <w:vAlign w:val="center"/>
          </w:tcPr>
          <w:p w14:paraId="2893E7C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1529" w:type="dxa"/>
            <w:vMerge w:val="restart"/>
            <w:tcBorders>
              <w:top w:val="single" w:color="000000" w:sz="4" w:space="0"/>
              <w:left w:val="single" w:color="000000" w:sz="4" w:space="0"/>
            </w:tcBorders>
            <w:noWrap w:val="0"/>
            <w:vAlign w:val="center"/>
          </w:tcPr>
          <w:p w14:paraId="43A48DA6">
            <w:pPr>
              <w:widowControl/>
              <w:spacing w:line="320" w:lineRule="exact"/>
              <w:jc w:val="center"/>
              <w:textAlignment w:val="center"/>
              <w:rPr>
                <w:rFonts w:hint="default" w:ascii="宋体" w:hAnsi="宋体" w:eastAsia="宋体" w:cs="宋体"/>
                <w:b/>
                <w:bCs/>
                <w:color w:val="auto"/>
                <w:kern w:val="0"/>
                <w:sz w:val="21"/>
                <w:szCs w:val="21"/>
                <w:highlight w:val="none"/>
                <w:lang w:val="en-US" w:eastAsia="zh-CN"/>
              </w:rPr>
            </w:pPr>
            <w:r>
              <w:rPr>
                <w:rFonts w:hint="eastAsia" w:ascii="宋体" w:hAnsi="宋体" w:cs="宋体"/>
                <w:b/>
                <w:bCs/>
                <w:color w:val="auto"/>
                <w:kern w:val="0"/>
                <w:sz w:val="21"/>
                <w:szCs w:val="21"/>
                <w:highlight w:val="none"/>
                <w:lang w:val="en-US" w:eastAsia="zh-CN"/>
              </w:rPr>
              <w:t>技术参数附后</w:t>
            </w:r>
          </w:p>
        </w:tc>
      </w:tr>
      <w:tr w14:paraId="4051CE0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668" w:hRule="atLeast"/>
          <w:jc w:val="center"/>
        </w:trPr>
        <w:tc>
          <w:tcPr>
            <w:tcW w:w="745" w:type="dxa"/>
            <w:vMerge w:val="continue"/>
            <w:tcBorders>
              <w:right w:val="single" w:color="auto" w:sz="4" w:space="0"/>
            </w:tcBorders>
            <w:noWrap w:val="0"/>
            <w:vAlign w:val="center"/>
          </w:tcPr>
          <w:p w14:paraId="0E3A1308">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48A025D7">
            <w:pPr>
              <w:widowControl/>
              <w:spacing w:line="320" w:lineRule="exact"/>
              <w:jc w:val="center"/>
              <w:textAlignment w:val="center"/>
              <w:rPr>
                <w:rFonts w:hint="eastAsia" w:ascii="宋体" w:hAnsi="宋体" w:cs="宋体"/>
                <w:color w:val="auto"/>
                <w:kern w:val="0"/>
                <w:szCs w:val="21"/>
                <w:highlight w:val="none"/>
              </w:rPr>
            </w:pPr>
          </w:p>
        </w:tc>
        <w:tc>
          <w:tcPr>
            <w:tcW w:w="2485" w:type="dxa"/>
            <w:tcBorders>
              <w:top w:val="single" w:color="auto" w:sz="4" w:space="0"/>
              <w:left w:val="single" w:color="auto" w:sz="4" w:space="0"/>
              <w:bottom w:val="single" w:color="auto" w:sz="4" w:space="0"/>
              <w:right w:val="single" w:color="auto" w:sz="4" w:space="0"/>
            </w:tcBorders>
            <w:noWrap w:val="0"/>
            <w:vAlign w:val="center"/>
          </w:tcPr>
          <w:p w14:paraId="231EB22A">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机具车</w:t>
            </w:r>
          </w:p>
        </w:tc>
        <w:tc>
          <w:tcPr>
            <w:tcW w:w="1171" w:type="dxa"/>
            <w:tcBorders>
              <w:top w:val="single" w:color="000000" w:sz="4" w:space="0"/>
              <w:left w:val="single" w:color="auto" w:sz="4" w:space="0"/>
              <w:bottom w:val="single" w:color="000000" w:sz="4" w:space="0"/>
              <w:right w:val="single" w:color="000000" w:sz="4" w:space="0"/>
            </w:tcBorders>
            <w:noWrap w:val="0"/>
            <w:vAlign w:val="center"/>
          </w:tcPr>
          <w:p w14:paraId="53927E5D">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auto" w:sz="4" w:space="0"/>
              <w:bottom w:val="single" w:color="000000" w:sz="4" w:space="0"/>
              <w:right w:val="single" w:color="000000" w:sz="4" w:space="0"/>
            </w:tcBorders>
            <w:noWrap w:val="0"/>
            <w:vAlign w:val="center"/>
          </w:tcPr>
          <w:p w14:paraId="4C4F7B9A">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w:t>
            </w:r>
          </w:p>
        </w:tc>
        <w:tc>
          <w:tcPr>
            <w:tcW w:w="1529" w:type="dxa"/>
            <w:vMerge w:val="continue"/>
            <w:tcBorders>
              <w:left w:val="single" w:color="000000" w:sz="4" w:space="0"/>
            </w:tcBorders>
            <w:noWrap w:val="0"/>
            <w:vAlign w:val="center"/>
          </w:tcPr>
          <w:p w14:paraId="18428981">
            <w:pPr>
              <w:widowControl/>
              <w:spacing w:line="320" w:lineRule="exact"/>
              <w:jc w:val="center"/>
              <w:textAlignment w:val="center"/>
              <w:rPr>
                <w:rFonts w:hint="eastAsia" w:ascii="宋体" w:hAnsi="宋体" w:cs="宋体"/>
                <w:color w:val="auto"/>
                <w:sz w:val="24"/>
                <w:highlight w:val="none"/>
              </w:rPr>
            </w:pPr>
          </w:p>
        </w:tc>
      </w:tr>
      <w:tr w14:paraId="6AA84D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66F8DB7E">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108EC117">
            <w:pPr>
              <w:widowControl/>
              <w:spacing w:line="320" w:lineRule="exact"/>
              <w:jc w:val="center"/>
              <w:textAlignment w:val="center"/>
              <w:rPr>
                <w:rFonts w:hint="eastAsia" w:ascii="宋体" w:hAnsi="宋体" w:cs="宋体"/>
                <w:color w:val="auto"/>
                <w:kern w:val="0"/>
                <w:szCs w:val="21"/>
                <w:highlight w:val="none"/>
              </w:rPr>
            </w:pPr>
          </w:p>
        </w:tc>
        <w:tc>
          <w:tcPr>
            <w:tcW w:w="2485" w:type="dxa"/>
            <w:tcBorders>
              <w:top w:val="single" w:color="auto" w:sz="4" w:space="0"/>
              <w:left w:val="single" w:color="auto" w:sz="4" w:space="0"/>
              <w:bottom w:val="single" w:color="auto" w:sz="4" w:space="0"/>
              <w:right w:val="single" w:color="000000" w:sz="4" w:space="0"/>
            </w:tcBorders>
            <w:noWrap w:val="0"/>
            <w:vAlign w:val="center"/>
          </w:tcPr>
          <w:p w14:paraId="0A5768C8">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rPr>
              <w:t>单兵越野巡护车（两轮）</w:t>
            </w:r>
          </w:p>
        </w:tc>
        <w:tc>
          <w:tcPr>
            <w:tcW w:w="1171" w:type="dxa"/>
            <w:tcBorders>
              <w:top w:val="single" w:color="000000" w:sz="4" w:space="0"/>
              <w:left w:val="single" w:color="000000" w:sz="4" w:space="0"/>
              <w:bottom w:val="single" w:color="000000" w:sz="4" w:space="0"/>
              <w:right w:val="single" w:color="000000" w:sz="4" w:space="0"/>
            </w:tcBorders>
            <w:noWrap w:val="0"/>
            <w:vAlign w:val="center"/>
          </w:tcPr>
          <w:p w14:paraId="3726DF2E">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000000" w:sz="4" w:space="0"/>
              <w:bottom w:val="single" w:color="000000" w:sz="4" w:space="0"/>
              <w:right w:val="single" w:color="000000" w:sz="4" w:space="0"/>
            </w:tcBorders>
            <w:noWrap w:val="0"/>
            <w:vAlign w:val="center"/>
          </w:tcPr>
          <w:p w14:paraId="6C082CF5">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17</w:t>
            </w:r>
          </w:p>
        </w:tc>
        <w:tc>
          <w:tcPr>
            <w:tcW w:w="1529" w:type="dxa"/>
            <w:vMerge w:val="continue"/>
            <w:tcBorders>
              <w:left w:val="single" w:color="000000" w:sz="4" w:space="0"/>
            </w:tcBorders>
            <w:noWrap w:val="0"/>
            <w:vAlign w:val="center"/>
          </w:tcPr>
          <w:p w14:paraId="03F50A1A">
            <w:pPr>
              <w:widowControl/>
              <w:spacing w:line="320" w:lineRule="exact"/>
              <w:jc w:val="center"/>
              <w:textAlignment w:val="center"/>
              <w:rPr>
                <w:rFonts w:hint="eastAsia" w:ascii="宋体" w:hAnsi="宋体" w:cs="宋体"/>
                <w:color w:val="auto"/>
                <w:sz w:val="24"/>
                <w:highlight w:val="none"/>
              </w:rPr>
            </w:pPr>
          </w:p>
        </w:tc>
      </w:tr>
      <w:tr w14:paraId="09A9F53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1882C4CC">
            <w:pPr>
              <w:widowControl/>
              <w:spacing w:line="320" w:lineRule="exact"/>
              <w:jc w:val="center"/>
              <w:textAlignment w:val="center"/>
              <w:rPr>
                <w:rFonts w:hint="eastAsia" w:ascii="宋体" w:hAnsi="宋体" w:cs="宋体"/>
                <w:color w:val="auto"/>
                <w:kern w:val="0"/>
                <w:szCs w:val="21"/>
                <w:highlight w:val="none"/>
              </w:rPr>
            </w:pPr>
          </w:p>
        </w:tc>
        <w:tc>
          <w:tcPr>
            <w:tcW w:w="2445" w:type="dxa"/>
            <w:vMerge w:val="continue"/>
            <w:tcBorders>
              <w:top w:val="single" w:color="auto" w:sz="4" w:space="0"/>
              <w:left w:val="single" w:color="auto" w:sz="4" w:space="0"/>
              <w:bottom w:val="single" w:color="auto" w:sz="4" w:space="0"/>
              <w:right w:val="single" w:color="auto" w:sz="4" w:space="0"/>
            </w:tcBorders>
            <w:noWrap w:val="0"/>
            <w:vAlign w:val="center"/>
          </w:tcPr>
          <w:p w14:paraId="7D891CE8">
            <w:pPr>
              <w:widowControl/>
              <w:spacing w:line="320" w:lineRule="exact"/>
              <w:jc w:val="center"/>
              <w:textAlignment w:val="center"/>
              <w:rPr>
                <w:rFonts w:hint="eastAsia" w:ascii="宋体" w:hAnsi="宋体" w:cs="宋体"/>
                <w:color w:val="auto"/>
                <w:kern w:val="0"/>
                <w:szCs w:val="21"/>
                <w:highlight w:val="none"/>
              </w:rPr>
            </w:pPr>
          </w:p>
        </w:tc>
        <w:tc>
          <w:tcPr>
            <w:tcW w:w="2485" w:type="dxa"/>
            <w:tcBorders>
              <w:top w:val="single" w:color="auto" w:sz="4" w:space="0"/>
              <w:left w:val="single" w:color="auto" w:sz="4" w:space="0"/>
              <w:bottom w:val="single" w:color="auto" w:sz="4" w:space="0"/>
              <w:right w:val="single" w:color="000000" w:sz="4" w:space="0"/>
            </w:tcBorders>
            <w:noWrap w:val="0"/>
            <w:vAlign w:val="center"/>
          </w:tcPr>
          <w:p w14:paraId="7699F321">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rPr>
              <w:t>山地地形车</w:t>
            </w:r>
          </w:p>
        </w:tc>
        <w:tc>
          <w:tcPr>
            <w:tcW w:w="1171" w:type="dxa"/>
            <w:tcBorders>
              <w:top w:val="single" w:color="000000" w:sz="4" w:space="0"/>
              <w:left w:val="single" w:color="000000" w:sz="4" w:space="0"/>
              <w:bottom w:val="single" w:color="000000" w:sz="4" w:space="0"/>
              <w:right w:val="single" w:color="000000" w:sz="4" w:space="0"/>
            </w:tcBorders>
            <w:noWrap w:val="0"/>
            <w:vAlign w:val="center"/>
          </w:tcPr>
          <w:p w14:paraId="26900430">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color w:val="auto"/>
                <w:sz w:val="21"/>
                <w:szCs w:val="21"/>
                <w:highlight w:val="none"/>
              </w:rPr>
              <w:t>辆</w:t>
            </w:r>
          </w:p>
        </w:tc>
        <w:tc>
          <w:tcPr>
            <w:tcW w:w="969" w:type="dxa"/>
            <w:tcBorders>
              <w:top w:val="single" w:color="000000" w:sz="4" w:space="0"/>
              <w:left w:val="single" w:color="000000" w:sz="4" w:space="0"/>
              <w:bottom w:val="single" w:color="000000" w:sz="4" w:space="0"/>
              <w:right w:val="single" w:color="000000" w:sz="4" w:space="0"/>
            </w:tcBorders>
            <w:noWrap w:val="0"/>
            <w:vAlign w:val="center"/>
          </w:tcPr>
          <w:p w14:paraId="5AEEEA60">
            <w:pPr>
              <w:keepNext w:val="0"/>
              <w:keepLines w:val="0"/>
              <w:widowControl/>
              <w:suppressLineNumbers w:val="0"/>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15</w:t>
            </w:r>
          </w:p>
        </w:tc>
        <w:tc>
          <w:tcPr>
            <w:tcW w:w="1529" w:type="dxa"/>
            <w:vMerge w:val="continue"/>
            <w:tcBorders>
              <w:left w:val="single" w:color="000000" w:sz="4" w:space="0"/>
            </w:tcBorders>
            <w:noWrap w:val="0"/>
            <w:vAlign w:val="center"/>
          </w:tcPr>
          <w:p w14:paraId="662E7A25">
            <w:pPr>
              <w:widowControl/>
              <w:spacing w:line="320" w:lineRule="exact"/>
              <w:jc w:val="center"/>
              <w:textAlignment w:val="center"/>
              <w:rPr>
                <w:rFonts w:hint="eastAsia" w:ascii="宋体" w:hAnsi="宋体" w:cs="宋体"/>
                <w:color w:val="auto"/>
                <w:sz w:val="24"/>
                <w:highlight w:val="none"/>
              </w:rPr>
            </w:pPr>
          </w:p>
        </w:tc>
      </w:tr>
      <w:tr w14:paraId="3BAB37F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108" w:type="dxa"/>
            <w:bottom w:w="0" w:type="dxa"/>
            <w:right w:w="108" w:type="dxa"/>
          </w:tblCellMar>
        </w:tblPrEx>
        <w:trPr>
          <w:trHeight w:val="598" w:hRule="atLeast"/>
          <w:jc w:val="center"/>
        </w:trPr>
        <w:tc>
          <w:tcPr>
            <w:tcW w:w="745" w:type="dxa"/>
            <w:vMerge w:val="continue"/>
            <w:tcBorders>
              <w:right w:val="single" w:color="auto" w:sz="4" w:space="0"/>
            </w:tcBorders>
            <w:noWrap w:val="0"/>
            <w:vAlign w:val="center"/>
          </w:tcPr>
          <w:p w14:paraId="4447D91B">
            <w:pPr>
              <w:widowControl/>
              <w:spacing w:line="320" w:lineRule="exact"/>
              <w:jc w:val="center"/>
              <w:textAlignment w:val="center"/>
              <w:rPr>
                <w:rFonts w:hint="eastAsia" w:ascii="宋体" w:hAnsi="宋体" w:cs="宋体"/>
                <w:color w:val="auto"/>
                <w:kern w:val="0"/>
                <w:szCs w:val="21"/>
                <w:highlight w:val="none"/>
              </w:rPr>
            </w:pPr>
          </w:p>
        </w:tc>
        <w:tc>
          <w:tcPr>
            <w:tcW w:w="2445" w:type="dxa"/>
            <w:tcBorders>
              <w:top w:val="single" w:color="auto" w:sz="4" w:space="0"/>
              <w:left w:val="single" w:color="auto" w:sz="4" w:space="0"/>
              <w:right w:val="single" w:color="auto" w:sz="4" w:space="0"/>
            </w:tcBorders>
            <w:noWrap w:val="0"/>
            <w:vAlign w:val="center"/>
          </w:tcPr>
          <w:p w14:paraId="017609BD">
            <w:pPr>
              <w:widowControl/>
              <w:spacing w:line="320" w:lineRule="exact"/>
              <w:jc w:val="center"/>
              <w:textAlignment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以水灭火设施设备建设</w:t>
            </w:r>
          </w:p>
        </w:tc>
        <w:tc>
          <w:tcPr>
            <w:tcW w:w="2485" w:type="dxa"/>
            <w:tcBorders>
              <w:top w:val="single" w:color="auto" w:sz="4" w:space="0"/>
              <w:left w:val="single" w:color="auto" w:sz="4" w:space="0"/>
              <w:right w:val="single" w:color="000000" w:sz="4" w:space="0"/>
            </w:tcBorders>
            <w:noWrap w:val="0"/>
            <w:vAlign w:val="center"/>
          </w:tcPr>
          <w:p w14:paraId="1BA68361">
            <w:pPr>
              <w:widowControl/>
              <w:spacing w:line="320" w:lineRule="exact"/>
              <w:jc w:val="center"/>
              <w:textAlignment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消防水车</w:t>
            </w:r>
          </w:p>
        </w:tc>
        <w:tc>
          <w:tcPr>
            <w:tcW w:w="1171" w:type="dxa"/>
            <w:tcBorders>
              <w:top w:val="single" w:color="000000" w:sz="4" w:space="0"/>
              <w:left w:val="single" w:color="000000" w:sz="4" w:space="0"/>
              <w:right w:val="single" w:color="000000" w:sz="4" w:space="0"/>
            </w:tcBorders>
            <w:noWrap w:val="0"/>
            <w:vAlign w:val="center"/>
          </w:tcPr>
          <w:p w14:paraId="5995A98B">
            <w:pPr>
              <w:widowControl/>
              <w:spacing w:line="320" w:lineRule="exact"/>
              <w:jc w:val="center"/>
              <w:textAlignment w:val="center"/>
              <w:rPr>
                <w:rFonts w:hint="eastAsia" w:ascii="宋体" w:hAnsi="宋体" w:cs="宋体"/>
                <w:color w:val="auto"/>
                <w:kern w:val="0"/>
                <w:sz w:val="21"/>
                <w:szCs w:val="21"/>
                <w:highlight w:val="none"/>
                <w:lang w:val="en-US" w:eastAsia="zh-CN"/>
              </w:rPr>
            </w:pPr>
            <w:r>
              <w:rPr>
                <w:rFonts w:hint="eastAsia"/>
                <w:color w:val="auto"/>
                <w:sz w:val="21"/>
                <w:szCs w:val="21"/>
                <w:highlight w:val="none"/>
              </w:rPr>
              <w:t>辆</w:t>
            </w:r>
          </w:p>
        </w:tc>
        <w:tc>
          <w:tcPr>
            <w:tcW w:w="969" w:type="dxa"/>
            <w:tcBorders>
              <w:top w:val="single" w:color="000000" w:sz="4" w:space="0"/>
              <w:left w:val="single" w:color="000000" w:sz="4" w:space="0"/>
              <w:right w:val="single" w:color="000000" w:sz="4" w:space="0"/>
            </w:tcBorders>
            <w:noWrap w:val="0"/>
            <w:vAlign w:val="center"/>
          </w:tcPr>
          <w:p w14:paraId="7010F6FD">
            <w:pPr>
              <w:widowControl/>
              <w:spacing w:line="320" w:lineRule="exact"/>
              <w:jc w:val="center"/>
              <w:textAlignment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16</w:t>
            </w:r>
          </w:p>
        </w:tc>
        <w:tc>
          <w:tcPr>
            <w:tcW w:w="1529" w:type="dxa"/>
            <w:vMerge w:val="continue"/>
            <w:tcBorders>
              <w:left w:val="single" w:color="000000" w:sz="4" w:space="0"/>
            </w:tcBorders>
            <w:noWrap w:val="0"/>
            <w:vAlign w:val="center"/>
          </w:tcPr>
          <w:p w14:paraId="0D4B002E">
            <w:pPr>
              <w:widowControl/>
              <w:spacing w:line="320" w:lineRule="exact"/>
              <w:jc w:val="center"/>
              <w:textAlignment w:val="center"/>
              <w:rPr>
                <w:rFonts w:hint="eastAsia" w:ascii="宋体" w:hAnsi="宋体" w:cs="宋体"/>
                <w:color w:val="auto"/>
                <w:sz w:val="24"/>
                <w:highlight w:val="none"/>
              </w:rPr>
            </w:pPr>
          </w:p>
        </w:tc>
      </w:tr>
    </w:tbl>
    <w:p w14:paraId="2F03282D">
      <w:pPr>
        <w:numPr>
          <w:ilvl w:val="0"/>
          <w:numId w:val="0"/>
        </w:numPr>
        <w:rPr>
          <w:color w:val="auto"/>
          <w:highlight w:val="none"/>
        </w:rPr>
      </w:pPr>
    </w:p>
    <w:p w14:paraId="1200C460">
      <w:pPr>
        <w:adjustRightInd w:val="0"/>
        <w:snapToGrid w:val="0"/>
        <w:spacing w:before="156" w:beforeLines="50" w:line="360" w:lineRule="auto"/>
        <w:rPr>
          <w:rFonts w:hint="eastAsia" w:ascii="宋体" w:hAnsi="宋体" w:eastAsia="宋体"/>
          <w:color w:val="auto"/>
          <w:szCs w:val="21"/>
          <w:highlight w:val="none"/>
        </w:rPr>
      </w:pPr>
      <w:r>
        <w:rPr>
          <w:rFonts w:hint="eastAsia" w:ascii="宋体" w:hAnsi="宋体" w:eastAsia="宋体" w:cs="宋体"/>
          <w:b/>
          <w:bCs/>
          <w:color w:val="auto"/>
          <w:sz w:val="28"/>
          <w:szCs w:val="28"/>
          <w:highlight w:val="none"/>
        </w:rPr>
        <w:t>★</w:t>
      </w:r>
      <w:r>
        <w:rPr>
          <w:rFonts w:hint="eastAsia" w:ascii="宋体" w:hAnsi="宋体"/>
          <w:b/>
          <w:bCs/>
          <w:color w:val="auto"/>
          <w:sz w:val="24"/>
          <w:szCs w:val="24"/>
          <w:highlight w:val="none"/>
          <w:lang w:val="en-US" w:eastAsia="zh-CN"/>
        </w:rPr>
        <w:t>备注：</w:t>
      </w:r>
      <w:r>
        <w:rPr>
          <w:rFonts w:hint="eastAsia" w:ascii="宋体" w:hAnsi="宋体" w:eastAsia="宋体"/>
          <w:b/>
          <w:bCs/>
          <w:color w:val="auto"/>
          <w:sz w:val="24"/>
          <w:szCs w:val="24"/>
          <w:highlight w:val="none"/>
        </w:rPr>
        <w:t>本招标文件所列货物数量均为预估采购数量，实际采购数量可能因项目所在县市区车辆编制控制原因低于预估数量</w:t>
      </w:r>
      <w:r>
        <w:rPr>
          <w:rFonts w:hint="eastAsia" w:ascii="宋体" w:hAnsi="宋体"/>
          <w:b/>
          <w:bCs/>
          <w:color w:val="auto"/>
          <w:sz w:val="24"/>
          <w:szCs w:val="24"/>
          <w:highlight w:val="none"/>
          <w:lang w:eastAsia="zh-CN"/>
        </w:rPr>
        <w:t>（</w:t>
      </w:r>
      <w:r>
        <w:rPr>
          <w:rFonts w:hint="eastAsia" w:ascii="宋体" w:hAnsi="宋体"/>
          <w:b/>
          <w:bCs/>
          <w:color w:val="auto"/>
          <w:sz w:val="24"/>
          <w:szCs w:val="24"/>
          <w:highlight w:val="none"/>
          <w:lang w:val="en-US" w:eastAsia="zh-CN"/>
        </w:rPr>
        <w:t>不会低于预估数量的80%</w:t>
      </w:r>
      <w:r>
        <w:rPr>
          <w:rFonts w:hint="eastAsia" w:ascii="宋体" w:hAnsi="宋体"/>
          <w:b/>
          <w:bCs/>
          <w:color w:val="auto"/>
          <w:sz w:val="24"/>
          <w:szCs w:val="24"/>
          <w:highlight w:val="none"/>
          <w:lang w:eastAsia="zh-CN"/>
        </w:rPr>
        <w:t>）</w:t>
      </w:r>
      <w:r>
        <w:rPr>
          <w:rFonts w:hint="eastAsia" w:ascii="宋体" w:hAnsi="宋体" w:eastAsia="宋体"/>
          <w:b/>
          <w:bCs/>
          <w:color w:val="auto"/>
          <w:sz w:val="24"/>
          <w:szCs w:val="24"/>
          <w:highlight w:val="none"/>
        </w:rPr>
        <w:t>，采购人可根据车辆编制审批情况调整实际采购量，最终结算以实际采购量和中标单价计算确认为准。</w:t>
      </w:r>
    </w:p>
    <w:p w14:paraId="01E158B9">
      <w:pPr>
        <w:adjustRightInd w:val="0"/>
        <w:snapToGrid w:val="0"/>
        <w:spacing w:before="156" w:beforeLines="50" w:line="360" w:lineRule="auto"/>
        <w:ind w:firstLine="210" w:firstLineChars="100"/>
        <w:rPr>
          <w:rFonts w:ascii="宋体" w:hAnsi="宋体" w:eastAsia="宋体"/>
          <w:color w:val="auto"/>
          <w:szCs w:val="21"/>
          <w:highlight w:val="none"/>
        </w:rPr>
      </w:pPr>
      <w:r>
        <w:rPr>
          <w:rFonts w:hint="eastAsia" w:ascii="宋体" w:hAnsi="宋体" w:eastAsia="宋体"/>
          <w:color w:val="auto"/>
          <w:szCs w:val="21"/>
          <w:highlight w:val="none"/>
        </w:rPr>
        <w:t>注：1</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“包”为最小合同单位（最小投标单位）。每“包”内容应细化到具体标的。</w:t>
      </w:r>
    </w:p>
    <w:p w14:paraId="595CE8C3">
      <w:pPr>
        <w:adjustRightInd w:val="0"/>
        <w:snapToGrid w:val="0"/>
        <w:spacing w:before="156" w:beforeLines="50" w:line="360" w:lineRule="auto"/>
        <w:ind w:firstLine="630" w:firstLineChars="300"/>
        <w:rPr>
          <w:rFonts w:ascii="宋体" w:hAnsi="宋体" w:eastAsia="宋体"/>
          <w:color w:val="auto"/>
          <w:szCs w:val="21"/>
          <w:highlight w:val="none"/>
        </w:rPr>
      </w:pPr>
      <w:r>
        <w:rPr>
          <w:rFonts w:hint="eastAsia" w:ascii="宋体" w:hAnsi="宋体" w:eastAsia="宋体"/>
          <w:color w:val="auto"/>
          <w:szCs w:val="21"/>
          <w:highlight w:val="none"/>
        </w:rPr>
        <w:t>2</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投标人必须对一个完整、独立的包进行投标，不得仅对一个包中的部分标的投标，否则</w:t>
      </w:r>
      <w:r>
        <w:rPr>
          <w:rFonts w:hint="eastAsia" w:ascii="宋体" w:hAnsi="宋体" w:eastAsia="宋体"/>
          <w:b/>
          <w:color w:val="auto"/>
          <w:szCs w:val="21"/>
          <w:highlight w:val="none"/>
        </w:rPr>
        <w:t>投标无效。</w:t>
      </w:r>
    </w:p>
    <w:p w14:paraId="1CD30B28">
      <w:pPr>
        <w:adjustRightInd w:val="0"/>
        <w:snapToGrid w:val="0"/>
        <w:spacing w:before="156" w:beforeLines="50" w:line="360" w:lineRule="auto"/>
        <w:ind w:firstLine="630" w:firstLineChars="300"/>
        <w:rPr>
          <w:rFonts w:ascii="宋体" w:hAnsi="宋体" w:eastAsia="宋体" w:cs="宋体"/>
          <w:color w:val="auto"/>
          <w:kern w:val="0"/>
          <w:szCs w:val="21"/>
          <w:highlight w:val="none"/>
        </w:rPr>
      </w:pPr>
      <w:r>
        <w:rPr>
          <w:rFonts w:hint="eastAsia" w:ascii="宋体" w:hAnsi="宋体" w:eastAsia="宋体"/>
          <w:color w:val="auto"/>
          <w:szCs w:val="21"/>
          <w:highlight w:val="none"/>
        </w:rPr>
        <w:t>3</w:t>
      </w:r>
      <w:r>
        <w:rPr>
          <w:rFonts w:hint="eastAsia" w:ascii="宋体" w:hAnsi="宋体"/>
          <w:color w:val="auto"/>
          <w:szCs w:val="21"/>
          <w:highlight w:val="none"/>
          <w:lang w:val="en-US" w:eastAsia="zh-CN"/>
        </w:rPr>
        <w:t>.</w:t>
      </w:r>
      <w:r>
        <w:rPr>
          <w:rFonts w:hint="eastAsia" w:ascii="宋体" w:hAnsi="宋体" w:eastAsia="宋体"/>
          <w:color w:val="auto"/>
          <w:szCs w:val="21"/>
          <w:highlight w:val="none"/>
        </w:rPr>
        <w:t>货物的主要技术参数或规格：</w:t>
      </w:r>
      <w:r>
        <w:rPr>
          <w:rFonts w:ascii="宋体" w:hAnsi="宋体" w:eastAsia="宋体" w:cs="宋体"/>
          <w:color w:val="auto"/>
          <w:kern w:val="0"/>
          <w:szCs w:val="21"/>
          <w:highlight w:val="none"/>
        </w:rPr>
        <w:t>详见“技术要求”中的具体技术参数</w:t>
      </w:r>
      <w:r>
        <w:rPr>
          <w:rFonts w:hint="eastAsia" w:ascii="宋体" w:hAnsi="宋体" w:eastAsia="宋体" w:cs="宋体"/>
          <w:color w:val="auto"/>
          <w:kern w:val="0"/>
          <w:szCs w:val="21"/>
          <w:highlight w:val="none"/>
        </w:rPr>
        <w:t>。</w:t>
      </w:r>
    </w:p>
    <w:p w14:paraId="56DDE699">
      <w:pPr>
        <w:adjustRightInd w:val="0"/>
        <w:snapToGrid w:val="0"/>
        <w:spacing w:before="156" w:beforeLines="50" w:line="360" w:lineRule="auto"/>
        <w:ind w:firstLine="630" w:firstLineChars="300"/>
        <w:rPr>
          <w:color w:val="auto"/>
          <w:highlight w:val="none"/>
        </w:rPr>
      </w:pPr>
      <w:r>
        <w:rPr>
          <w:rFonts w:hint="eastAsia" w:ascii="宋体" w:hAnsi="宋体" w:cs="宋体"/>
          <w:bCs/>
          <w:color w:val="auto"/>
          <w:kern w:val="0"/>
          <w:szCs w:val="21"/>
          <w:highlight w:val="none"/>
        </w:rPr>
        <w:t>4</w:t>
      </w:r>
      <w:r>
        <w:rPr>
          <w:rFonts w:hint="eastAsia" w:ascii="宋体" w:hAnsi="宋体" w:cs="宋体"/>
          <w:bCs/>
          <w:color w:val="auto"/>
          <w:kern w:val="0"/>
          <w:szCs w:val="21"/>
          <w:highlight w:val="none"/>
          <w:lang w:val="en-US" w:eastAsia="zh-CN"/>
        </w:rPr>
        <w:t>.</w:t>
      </w:r>
      <w:r>
        <w:rPr>
          <w:rFonts w:hint="eastAsia" w:ascii="宋体" w:hAnsi="宋体" w:cs="宋体"/>
          <w:bCs/>
          <w:color w:val="auto"/>
          <w:kern w:val="0"/>
          <w:szCs w:val="21"/>
          <w:highlight w:val="none"/>
        </w:rPr>
        <w:t>投标人应</w:t>
      </w:r>
      <w:r>
        <w:rPr>
          <w:rFonts w:hint="eastAsia" w:ascii="宋体" w:hAnsi="宋体" w:cs="宋体"/>
          <w:color w:val="auto"/>
          <w:kern w:val="0"/>
          <w:szCs w:val="21"/>
          <w:highlight w:val="none"/>
        </w:rPr>
        <w:t>在投标文件《分项报价明细表》中按</w:t>
      </w:r>
      <w:r>
        <w:rPr>
          <w:rFonts w:hint="eastAsia" w:ascii="宋体" w:hAnsi="宋体"/>
          <w:color w:val="auto"/>
          <w:szCs w:val="21"/>
          <w:highlight w:val="none"/>
        </w:rPr>
        <w:t>标的名称</w:t>
      </w:r>
      <w:r>
        <w:rPr>
          <w:rFonts w:hint="eastAsia" w:ascii="宋体" w:hAnsi="宋体" w:cs="宋体"/>
          <w:color w:val="auto"/>
          <w:kern w:val="0"/>
          <w:szCs w:val="21"/>
          <w:highlight w:val="none"/>
        </w:rPr>
        <w:t>顺序逐项填写，且每个标的中的条目均需按招标文件规定报价。如有缺项、漏项，其</w:t>
      </w:r>
      <w:r>
        <w:rPr>
          <w:rFonts w:hint="eastAsia" w:ascii="宋体" w:hAnsi="宋体" w:cs="宋体"/>
          <w:b/>
          <w:color w:val="auto"/>
          <w:kern w:val="0"/>
          <w:szCs w:val="21"/>
          <w:highlight w:val="none"/>
        </w:rPr>
        <w:t>投标无效</w:t>
      </w:r>
      <w:r>
        <w:rPr>
          <w:rFonts w:hint="eastAsia" w:ascii="宋体" w:hAnsi="宋体" w:cs="宋体"/>
          <w:color w:val="auto"/>
          <w:kern w:val="0"/>
          <w:szCs w:val="21"/>
          <w:highlight w:val="none"/>
        </w:rPr>
        <w:t>。</w:t>
      </w:r>
    </w:p>
    <w:p w14:paraId="6769272F">
      <w:pPr>
        <w:spacing w:line="320" w:lineRule="exact"/>
        <w:rPr>
          <w:color w:val="auto"/>
          <w:highlight w:val="none"/>
        </w:rPr>
      </w:pPr>
      <w:bookmarkStart w:id="6" w:name="_GoBack"/>
      <w:bookmarkEnd w:id="6"/>
    </w:p>
    <w:p w14:paraId="7A964F83">
      <w:pPr>
        <w:spacing w:line="320" w:lineRule="exact"/>
        <w:rPr>
          <w:color w:val="auto"/>
          <w:highlight w:val="none"/>
        </w:rPr>
      </w:pPr>
    </w:p>
    <w:p w14:paraId="6731EBA0">
      <w:pPr>
        <w:rPr>
          <w:rFonts w:hint="eastAsia" w:ascii="黑体" w:hAnsi="黑体" w:eastAsia="黑体" w:cs="Times New Roman"/>
          <w:b/>
          <w:bCs/>
          <w:color w:val="auto"/>
          <w:kern w:val="2"/>
          <w:sz w:val="28"/>
          <w:szCs w:val="28"/>
          <w:highlight w:val="none"/>
          <w:lang w:val="en-US" w:eastAsia="zh-CN" w:bidi="ar-SA"/>
        </w:rPr>
      </w:pPr>
      <w:bookmarkStart w:id="0" w:name="_Toc17459"/>
      <w:bookmarkStart w:id="1" w:name="_Toc17069"/>
      <w:bookmarkStart w:id="2" w:name="_Toc4525"/>
      <w:r>
        <w:rPr>
          <w:rFonts w:hint="eastAsia" w:ascii="黑体" w:hAnsi="黑体" w:eastAsia="黑体" w:cs="Times New Roman"/>
          <w:b/>
          <w:bCs/>
          <w:color w:val="auto"/>
          <w:kern w:val="2"/>
          <w:sz w:val="28"/>
          <w:szCs w:val="28"/>
          <w:highlight w:val="none"/>
          <w:lang w:val="en-US" w:eastAsia="zh-CN" w:bidi="ar-SA"/>
        </w:rPr>
        <w:br w:type="page"/>
      </w:r>
    </w:p>
    <w:p w14:paraId="28F07BC1">
      <w:pPr>
        <w:pStyle w:val="8"/>
        <w:jc w:val="center"/>
        <w:rPr>
          <w:rFonts w:hint="eastAsia" w:ascii="黑体" w:hAnsi="黑体" w:eastAsia="黑体" w:cs="Times New Roman"/>
          <w:b/>
          <w:bCs/>
          <w:color w:val="auto"/>
          <w:kern w:val="2"/>
          <w:sz w:val="28"/>
          <w:szCs w:val="28"/>
          <w:highlight w:val="none"/>
          <w:lang w:val="en-US" w:eastAsia="zh-CN" w:bidi="ar-SA"/>
        </w:rPr>
      </w:pPr>
      <w:r>
        <w:rPr>
          <w:rFonts w:hint="eastAsia" w:ascii="黑体" w:hAnsi="黑体" w:eastAsia="黑体" w:cs="Times New Roman"/>
          <w:b/>
          <w:bCs/>
          <w:color w:val="auto"/>
          <w:kern w:val="2"/>
          <w:sz w:val="28"/>
          <w:szCs w:val="28"/>
          <w:highlight w:val="none"/>
          <w:lang w:val="en-US" w:eastAsia="zh-CN" w:bidi="ar-SA"/>
        </w:rPr>
        <w:t>第二节 技术</w:t>
      </w:r>
      <w:bookmarkEnd w:id="0"/>
      <w:r>
        <w:rPr>
          <w:rFonts w:hint="eastAsia" w:ascii="黑体" w:hAnsi="黑体" w:eastAsia="黑体" w:cs="Times New Roman"/>
          <w:b/>
          <w:bCs/>
          <w:color w:val="auto"/>
          <w:kern w:val="2"/>
          <w:sz w:val="28"/>
          <w:szCs w:val="28"/>
          <w:highlight w:val="none"/>
          <w:lang w:val="en-US" w:eastAsia="zh-CN" w:bidi="ar-SA"/>
        </w:rPr>
        <w:t>参数</w:t>
      </w:r>
    </w:p>
    <w:p w14:paraId="4146686C">
      <w:pPr>
        <w:rPr>
          <w:rFonts w:hint="eastAsia" w:ascii="Times New Roman" w:hAnsi="Times New Roman" w:eastAsia="宋体" w:cs="Times New Roman"/>
          <w:b/>
          <w:bCs/>
          <w:color w:val="auto"/>
          <w:sz w:val="28"/>
          <w:szCs w:val="32"/>
          <w:highlight w:val="none"/>
          <w:lang w:val="en-US" w:eastAsia="zh-CN"/>
        </w:rPr>
      </w:pPr>
      <w:r>
        <w:rPr>
          <w:rFonts w:hint="eastAsia" w:ascii="Times New Roman" w:hAnsi="Times New Roman" w:eastAsia="宋体" w:cs="Times New Roman"/>
          <w:color w:val="auto"/>
          <w:sz w:val="21"/>
          <w:szCs w:val="24"/>
          <w:highlight w:val="none"/>
        </w:rPr>
        <w:t>注：技术要求是指对采购标的的功能和质量要求，包括性能、材料、结构、外观、安全，或者服务内容和标准等。</w:t>
      </w:r>
    </w:p>
    <w:p w14:paraId="49CCA330">
      <w:pPr>
        <w:rPr>
          <w:rFonts w:hint="eastAsia"/>
          <w:color w:val="auto"/>
          <w:highlight w:val="none"/>
        </w:rPr>
      </w:pPr>
    </w:p>
    <w:tbl>
      <w:tblPr>
        <w:tblStyle w:val="6"/>
        <w:tblW w:w="8901" w:type="dxa"/>
        <w:jc w:val="center"/>
        <w:tblLayout w:type="fixed"/>
        <w:tblCellMar>
          <w:top w:w="0" w:type="dxa"/>
          <w:left w:w="108" w:type="dxa"/>
          <w:bottom w:w="0" w:type="dxa"/>
          <w:right w:w="108" w:type="dxa"/>
        </w:tblCellMar>
      </w:tblPr>
      <w:tblGrid>
        <w:gridCol w:w="562"/>
        <w:gridCol w:w="980"/>
        <w:gridCol w:w="5793"/>
        <w:gridCol w:w="813"/>
        <w:gridCol w:w="753"/>
      </w:tblGrid>
      <w:tr w14:paraId="5ED89BF8">
        <w:tblPrEx>
          <w:tblCellMar>
            <w:top w:w="0" w:type="dxa"/>
            <w:left w:w="108" w:type="dxa"/>
            <w:bottom w:w="0" w:type="dxa"/>
            <w:right w:w="108" w:type="dxa"/>
          </w:tblCellMar>
        </w:tblPrEx>
        <w:trPr>
          <w:trHeight w:val="328" w:hRule="atLeast"/>
          <w:tblHeader/>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65D27CD4">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序号</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7E37E2A9">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设备名称</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1A0D961B">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技术参数</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3A74C988">
            <w:pPr>
              <w:keepNext w:val="0"/>
              <w:keepLines w:val="0"/>
              <w:widowControl/>
              <w:suppressLineNumbers w:val="0"/>
              <w:jc w:val="center"/>
              <w:textAlignment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bCs/>
                <w:i w:val="0"/>
                <w:iCs w:val="0"/>
                <w:snapToGrid w:val="0"/>
                <w:color w:val="auto"/>
                <w:kern w:val="0"/>
                <w:sz w:val="16"/>
                <w:szCs w:val="16"/>
                <w:highlight w:val="none"/>
                <w:u w:val="none"/>
                <w:lang w:val="en-US" w:eastAsia="zh-CN" w:bidi="ar"/>
              </w:rPr>
              <w:t>单位</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41802F8C">
            <w:pPr>
              <w:keepNext w:val="0"/>
              <w:keepLines w:val="0"/>
              <w:widowControl/>
              <w:suppressLineNumbers w:val="0"/>
              <w:jc w:val="center"/>
              <w:textAlignment w:val="center"/>
              <w:rPr>
                <w:rFonts w:ascii="宋体" w:hAnsi="宋体" w:eastAsia="宋体" w:cs="宋体"/>
                <w:b/>
                <w:color w:val="auto"/>
                <w:sz w:val="21"/>
                <w:szCs w:val="21"/>
                <w:highlight w:val="none"/>
              </w:rPr>
            </w:pPr>
            <w:r>
              <w:rPr>
                <w:rFonts w:hint="eastAsia" w:ascii="宋体" w:hAnsi="宋体" w:eastAsia="宋体" w:cs="宋体"/>
                <w:b/>
                <w:bCs/>
                <w:i w:val="0"/>
                <w:iCs w:val="0"/>
                <w:snapToGrid w:val="0"/>
                <w:color w:val="auto"/>
                <w:kern w:val="0"/>
                <w:sz w:val="16"/>
                <w:szCs w:val="16"/>
                <w:highlight w:val="none"/>
                <w:u w:val="none"/>
                <w:lang w:val="en-US" w:eastAsia="zh-CN" w:bidi="ar"/>
              </w:rPr>
              <w:t>工程量</w:t>
            </w:r>
          </w:p>
        </w:tc>
      </w:tr>
      <w:tr w14:paraId="2F55B502">
        <w:tblPrEx>
          <w:tblCellMar>
            <w:top w:w="0" w:type="dxa"/>
            <w:left w:w="108" w:type="dxa"/>
            <w:bottom w:w="0" w:type="dxa"/>
            <w:right w:w="108" w:type="dxa"/>
          </w:tblCellMar>
        </w:tblPrEx>
        <w:trPr>
          <w:trHeight w:val="378"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11171B41">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1</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F24732D">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运兵车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FFF081C">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一、底盘技术要求</w:t>
            </w:r>
          </w:p>
          <w:p w14:paraId="1AEC07BF">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1、</w:t>
            </w:r>
            <w:r>
              <w:rPr>
                <w:rFonts w:hint="eastAsia" w:ascii="宋体" w:hAnsi="宋体" w:eastAsia="宋体" w:cs="宋体"/>
                <w:color w:val="auto"/>
                <w:sz w:val="16"/>
                <w:szCs w:val="21"/>
                <w:highlight w:val="none"/>
                <w:lang w:val="en-US" w:eastAsia="zh-CN"/>
              </w:rPr>
              <w:t>燃油种类：汽油；</w:t>
            </w:r>
          </w:p>
          <w:p w14:paraId="5AE8A5F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lang w:val="en-US" w:eastAsia="zh-CN"/>
              </w:rPr>
              <w:t>排放依据标准：国六；</w:t>
            </w:r>
          </w:p>
          <w:p w14:paraId="48A8EA8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lang w:val="en-US" w:eastAsia="zh-CN"/>
              </w:rPr>
              <w:t>排量和功率≥1990ml/180kw；</w:t>
            </w:r>
          </w:p>
          <w:p w14:paraId="09F83C42">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4、</w:t>
            </w:r>
            <w:r>
              <w:rPr>
                <w:rFonts w:hint="eastAsia" w:ascii="宋体" w:hAnsi="宋体" w:eastAsia="宋体" w:cs="宋体"/>
                <w:color w:val="auto"/>
                <w:sz w:val="16"/>
                <w:szCs w:val="21"/>
                <w:highlight w:val="none"/>
                <w:lang w:val="en-US" w:eastAsia="zh-CN"/>
              </w:rPr>
              <w:t>车身尺寸：≥4950×1950×1780mm；</w:t>
            </w:r>
          </w:p>
          <w:p w14:paraId="07DB2497">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5、总质量</w:t>
            </w:r>
            <w:r>
              <w:rPr>
                <w:rFonts w:hint="eastAsia" w:ascii="宋体" w:hAnsi="宋体" w:eastAsia="宋体" w:cs="宋体"/>
                <w:color w:val="auto"/>
                <w:sz w:val="16"/>
                <w:szCs w:val="21"/>
                <w:highlight w:val="none"/>
                <w:lang w:val="en-US" w:eastAsia="zh-CN"/>
              </w:rPr>
              <w:t>：≥2500kg；</w:t>
            </w:r>
          </w:p>
          <w:p w14:paraId="1EF2B23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lang w:val="en-US" w:eastAsia="zh-CN"/>
              </w:rPr>
              <w:t>轴距：3100mm≥轴距≥2900mm；</w:t>
            </w:r>
          </w:p>
          <w:p w14:paraId="006D6CA8">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lang w:val="en-US" w:eastAsia="zh-CN"/>
              </w:rPr>
              <w:t>额定载客人数： ≥5 人；</w:t>
            </w:r>
          </w:p>
          <w:p w14:paraId="41FDFA6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lang w:val="en-US" w:eastAsia="zh-CN"/>
              </w:rPr>
              <w:t>最高时速</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 xml:space="preserve"> ≥120km/h；</w:t>
            </w:r>
          </w:p>
          <w:p w14:paraId="7AA7E24D">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lang w:val="en-US" w:eastAsia="zh-CN"/>
              </w:rPr>
              <w:t>前置四驱；</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8档</w:t>
            </w:r>
            <w:r>
              <w:rPr>
                <w:rFonts w:hint="eastAsia" w:ascii="宋体" w:hAnsi="宋体" w:cs="宋体"/>
                <w:color w:val="auto"/>
                <w:sz w:val="16"/>
                <w:szCs w:val="21"/>
                <w:highlight w:val="none"/>
                <w:lang w:val="en-US" w:eastAsia="zh-CN"/>
              </w:rPr>
              <w:t>自动档</w:t>
            </w:r>
            <w:r>
              <w:rPr>
                <w:rFonts w:hint="eastAsia" w:ascii="宋体" w:hAnsi="宋体" w:eastAsia="宋体" w:cs="宋体"/>
                <w:color w:val="auto"/>
                <w:sz w:val="16"/>
                <w:szCs w:val="21"/>
                <w:highlight w:val="none"/>
                <w:lang w:val="en-US" w:eastAsia="zh-CN"/>
              </w:rPr>
              <w:t>、ABS+EBD 、胎压监测、540 度全景影像/透明底盘，全速自适应巡航等，车辆质保：</w:t>
            </w:r>
            <w:r>
              <w:rPr>
                <w:rFonts w:hint="eastAsia" w:ascii="宋体" w:hAnsi="宋体" w:cs="宋体"/>
                <w:color w:val="auto"/>
                <w:sz w:val="16"/>
                <w:szCs w:val="21"/>
                <w:highlight w:val="none"/>
                <w:lang w:val="en-US" w:eastAsia="zh-CN"/>
              </w:rPr>
              <w:t>不少于</w:t>
            </w:r>
            <w:r>
              <w:rPr>
                <w:rFonts w:hint="eastAsia" w:ascii="宋体" w:hAnsi="宋体" w:eastAsia="宋体" w:cs="宋体"/>
                <w:color w:val="auto"/>
                <w:sz w:val="16"/>
                <w:szCs w:val="21"/>
                <w:highlight w:val="none"/>
                <w:lang w:val="en-US" w:eastAsia="zh-CN"/>
              </w:rPr>
              <w:t>五年或 15 万公里</w:t>
            </w:r>
            <w:r>
              <w:rPr>
                <w:rFonts w:hint="eastAsia" w:ascii="宋体" w:hAnsi="宋体" w:cs="宋体"/>
                <w:color w:val="auto"/>
                <w:sz w:val="16"/>
                <w:szCs w:val="21"/>
                <w:highlight w:val="none"/>
                <w:lang w:val="en-US" w:eastAsia="zh-CN"/>
              </w:rPr>
              <w:t>；</w:t>
            </w:r>
          </w:p>
          <w:p w14:paraId="2514C95A">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lang w:val="en-US" w:eastAsia="zh-CN"/>
              </w:rPr>
              <w:t>最大扭矩（N.m)</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≥400；</w:t>
            </w:r>
          </w:p>
          <w:p w14:paraId="41EE5862">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lang w:val="en-US" w:eastAsia="zh-CN"/>
              </w:rPr>
              <w:t>最小离地间隙：≥200mm；</w:t>
            </w:r>
          </w:p>
          <w:p w14:paraId="4F215D93">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lang w:val="en-US" w:eastAsia="zh-CN"/>
              </w:rPr>
              <w:t>油箱容积：≥65L</w:t>
            </w:r>
            <w:r>
              <w:rPr>
                <w:rFonts w:hint="eastAsia" w:ascii="宋体" w:hAnsi="宋体" w:cs="宋体"/>
                <w:color w:val="auto"/>
                <w:sz w:val="16"/>
                <w:szCs w:val="21"/>
                <w:highlight w:val="none"/>
                <w:lang w:val="en-US" w:eastAsia="zh-CN"/>
              </w:rPr>
              <w:t>；</w:t>
            </w:r>
          </w:p>
          <w:p w14:paraId="5742B523">
            <w:pPr>
              <w:keepNext w:val="0"/>
              <w:keepLines w:val="0"/>
              <w:widowControl/>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lang w:val="en-US" w:eastAsia="zh-CN"/>
              </w:rPr>
              <w:t>轮胎规格：≥255/50R20</w:t>
            </w:r>
          </w:p>
          <w:p w14:paraId="3386CBE8">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二、整车技术要求</w:t>
            </w:r>
          </w:p>
          <w:p w14:paraId="2A6C1C8C">
            <w:pPr>
              <w:keepNext w:val="0"/>
              <w:keepLines w:val="0"/>
              <w:widowControl/>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14、交付时提供所投产品国家工信部“运兵车”公告（含公告查询网站网址、完整的公告查询截图以及国家认可的第三方整车检验检测报告）。投标时应提交承诺函，承诺在交付时保证提供以上完整的证明材料，格式自拟。</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1CD2B31E">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13E32E3B">
            <w:pPr>
              <w:keepNext w:val="0"/>
              <w:keepLines w:val="0"/>
              <w:widowControl/>
              <w:suppressLineNumbers w:val="0"/>
              <w:jc w:val="center"/>
              <w:textAlignment w:val="center"/>
              <w:rPr>
                <w:rFonts w:ascii="宋体" w:hAnsi="宋体" w:eastAsia="宋体" w:cs="宋体"/>
                <w:color w:val="auto"/>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17</w:t>
            </w:r>
          </w:p>
        </w:tc>
      </w:tr>
      <w:tr w14:paraId="60EA1616">
        <w:tblPrEx>
          <w:tblCellMar>
            <w:top w:w="0" w:type="dxa"/>
            <w:left w:w="108" w:type="dxa"/>
            <w:bottom w:w="0" w:type="dxa"/>
            <w:right w:w="108" w:type="dxa"/>
          </w:tblCellMar>
        </w:tblPrEx>
        <w:trPr>
          <w:trHeight w:val="2568"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7C41FA86">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2</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517C6CD0">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机具车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5C476F35">
            <w:pPr>
              <w:keepNext w:val="0"/>
              <w:keepLines w:val="0"/>
              <w:widowControl/>
              <w:numPr>
                <w:ilvl w:val="0"/>
                <w:numId w:val="0"/>
              </w:numPr>
              <w:suppressLineNumbers w:val="0"/>
              <w:jc w:val="left"/>
              <w:textAlignment w:val="center"/>
              <w:rPr>
                <w:rFonts w:hint="default" w:ascii="宋体" w:hAnsi="宋体" w:cs="宋体"/>
                <w:color w:val="auto"/>
                <w:sz w:val="18"/>
                <w:szCs w:val="21"/>
                <w:highlight w:val="none"/>
                <w:lang w:val="en-US" w:eastAsia="zh-CN"/>
              </w:rPr>
            </w:pPr>
            <w:r>
              <w:rPr>
                <w:rFonts w:hint="eastAsia" w:ascii="宋体" w:hAnsi="宋体" w:cs="宋体"/>
                <w:color w:val="auto"/>
                <w:sz w:val="18"/>
                <w:szCs w:val="21"/>
                <w:highlight w:val="none"/>
                <w:lang w:val="en-US" w:eastAsia="zh-CN"/>
              </w:rPr>
              <w:t>一、底盘技术要求</w:t>
            </w:r>
          </w:p>
          <w:p w14:paraId="67C3BD17">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highlight w:val="none"/>
              </w:rPr>
              <w:t>★</w:t>
            </w:r>
            <w:r>
              <w:rPr>
                <w:rFonts w:hint="eastAsia" w:ascii="宋体" w:hAnsi="宋体" w:cs="宋体"/>
                <w:color w:val="auto"/>
                <w:kern w:val="0"/>
                <w:sz w:val="16"/>
                <w:szCs w:val="21"/>
                <w:highlight w:val="none"/>
                <w:lang w:val="en-US" w:eastAsia="zh-CN"/>
              </w:rPr>
              <w:t>1、</w:t>
            </w:r>
            <w:r>
              <w:rPr>
                <w:rFonts w:hint="eastAsia" w:ascii="宋体" w:hAnsi="宋体" w:eastAsia="宋体" w:cs="宋体"/>
                <w:color w:val="auto"/>
                <w:kern w:val="0"/>
                <w:sz w:val="16"/>
                <w:szCs w:val="21"/>
                <w:highlight w:val="none"/>
                <w:lang w:eastAsia="zh-CN"/>
              </w:rPr>
              <w:t>驱动型式：4×4；</w:t>
            </w:r>
          </w:p>
          <w:p w14:paraId="2BBBA4E1">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2、</w:t>
            </w:r>
            <w:r>
              <w:rPr>
                <w:rFonts w:hint="eastAsia" w:ascii="宋体" w:hAnsi="宋体" w:eastAsia="宋体" w:cs="宋体"/>
                <w:color w:val="auto"/>
                <w:kern w:val="0"/>
                <w:sz w:val="16"/>
                <w:szCs w:val="21"/>
                <w:highlight w:val="none"/>
                <w:lang w:eastAsia="zh-CN"/>
              </w:rPr>
              <w:t>座位数：≥5；</w:t>
            </w:r>
          </w:p>
          <w:p w14:paraId="3D0A03DA">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3、</w:t>
            </w:r>
            <w:r>
              <w:rPr>
                <w:rFonts w:hint="eastAsia" w:ascii="宋体" w:hAnsi="宋体" w:eastAsia="宋体" w:cs="宋体"/>
                <w:color w:val="auto"/>
                <w:kern w:val="0"/>
                <w:sz w:val="16"/>
                <w:szCs w:val="21"/>
                <w:highlight w:val="none"/>
                <w:lang w:eastAsia="zh-CN"/>
              </w:rPr>
              <w:t>车身尺寸 5600mm≤长≤5700mm，1900mm≤宽≤2000mm，1900mm≤高≤2000mm；</w:t>
            </w:r>
          </w:p>
          <w:p w14:paraId="35AB0F6A">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4、</w:t>
            </w:r>
            <w:r>
              <w:rPr>
                <w:rFonts w:hint="eastAsia" w:ascii="宋体" w:hAnsi="宋体" w:eastAsia="宋体" w:cs="宋体"/>
                <w:color w:val="auto"/>
                <w:kern w:val="0"/>
                <w:sz w:val="16"/>
                <w:szCs w:val="21"/>
                <w:highlight w:val="none"/>
                <w:lang w:eastAsia="zh-CN"/>
              </w:rPr>
              <w:t>货厢内部尺寸：1700mm≤长≤1800mm</w:t>
            </w:r>
            <w:r>
              <w:rPr>
                <w:rFonts w:hint="eastAsia" w:ascii="宋体" w:hAnsi="宋体" w:cs="宋体"/>
                <w:color w:val="auto"/>
                <w:kern w:val="0"/>
                <w:sz w:val="16"/>
                <w:szCs w:val="21"/>
                <w:highlight w:val="none"/>
                <w:lang w:eastAsia="zh-CN"/>
              </w:rPr>
              <w:t>，</w:t>
            </w:r>
            <w:r>
              <w:rPr>
                <w:rFonts w:hint="eastAsia" w:ascii="宋体" w:hAnsi="宋体" w:eastAsia="宋体" w:cs="宋体"/>
                <w:color w:val="auto"/>
                <w:kern w:val="0"/>
                <w:sz w:val="16"/>
                <w:szCs w:val="21"/>
                <w:highlight w:val="none"/>
                <w:lang w:eastAsia="zh-CN"/>
              </w:rPr>
              <w:t>1500mm≤宽≤1600mm</w:t>
            </w:r>
            <w:r>
              <w:rPr>
                <w:rFonts w:hint="eastAsia" w:ascii="宋体" w:hAnsi="宋体" w:cs="宋体"/>
                <w:color w:val="auto"/>
                <w:kern w:val="0"/>
                <w:sz w:val="16"/>
                <w:szCs w:val="21"/>
                <w:highlight w:val="none"/>
                <w:lang w:eastAsia="zh-CN"/>
              </w:rPr>
              <w:t>，</w:t>
            </w:r>
            <w:r>
              <w:rPr>
                <w:rFonts w:hint="eastAsia" w:ascii="宋体" w:hAnsi="宋体" w:eastAsia="宋体" w:cs="宋体"/>
                <w:color w:val="auto"/>
                <w:kern w:val="0"/>
                <w:sz w:val="16"/>
                <w:szCs w:val="21"/>
                <w:highlight w:val="none"/>
                <w:lang w:eastAsia="zh-CN"/>
              </w:rPr>
              <w:t>500mm≤高≤550mm；</w:t>
            </w:r>
          </w:p>
          <w:p w14:paraId="2580F76B">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5、</w:t>
            </w:r>
            <w:r>
              <w:rPr>
                <w:rFonts w:hint="eastAsia" w:ascii="宋体" w:hAnsi="宋体" w:eastAsia="宋体" w:cs="宋体"/>
                <w:color w:val="auto"/>
                <w:kern w:val="0"/>
                <w:sz w:val="16"/>
                <w:szCs w:val="21"/>
                <w:highlight w:val="none"/>
                <w:lang w:eastAsia="zh-CN"/>
              </w:rPr>
              <w:t>总质量：≥3495kg；</w:t>
            </w:r>
          </w:p>
          <w:p w14:paraId="4D962E40">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6、</w:t>
            </w:r>
            <w:r>
              <w:rPr>
                <w:rFonts w:hint="eastAsia" w:ascii="宋体" w:hAnsi="宋体" w:eastAsia="宋体" w:cs="宋体"/>
                <w:color w:val="auto"/>
                <w:kern w:val="0"/>
                <w:sz w:val="16"/>
                <w:szCs w:val="21"/>
                <w:highlight w:val="none"/>
                <w:lang w:eastAsia="zh-CN"/>
              </w:rPr>
              <w:t>整备质量：≥2115kg；</w:t>
            </w:r>
          </w:p>
          <w:p w14:paraId="08F3B326">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7、</w:t>
            </w:r>
            <w:r>
              <w:rPr>
                <w:rFonts w:hint="eastAsia" w:ascii="宋体" w:hAnsi="宋体" w:eastAsia="宋体" w:cs="宋体"/>
                <w:color w:val="auto"/>
                <w:kern w:val="0"/>
                <w:sz w:val="16"/>
                <w:szCs w:val="21"/>
                <w:highlight w:val="none"/>
                <w:lang w:eastAsia="zh-CN"/>
              </w:rPr>
              <w:t>额定载质量：≤1055kg；</w:t>
            </w:r>
          </w:p>
          <w:p w14:paraId="52BAC162">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8、</w:t>
            </w:r>
            <w:r>
              <w:rPr>
                <w:rFonts w:hint="eastAsia" w:ascii="宋体" w:hAnsi="宋体" w:eastAsia="宋体" w:cs="宋体"/>
                <w:color w:val="auto"/>
                <w:kern w:val="0"/>
                <w:sz w:val="16"/>
                <w:szCs w:val="21"/>
                <w:highlight w:val="none"/>
                <w:lang w:eastAsia="zh-CN"/>
              </w:rPr>
              <w:t>接近角/离去角：≥30°/25°；</w:t>
            </w:r>
          </w:p>
          <w:p w14:paraId="0EB2BC39">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9、</w:t>
            </w:r>
            <w:r>
              <w:rPr>
                <w:rFonts w:hint="eastAsia" w:ascii="宋体" w:hAnsi="宋体" w:eastAsia="宋体" w:cs="宋体"/>
                <w:color w:val="auto"/>
                <w:kern w:val="0"/>
                <w:sz w:val="16"/>
                <w:szCs w:val="21"/>
                <w:highlight w:val="none"/>
                <w:lang w:eastAsia="zh-CN"/>
              </w:rPr>
              <w:t>最高车速：≥170Km/h；</w:t>
            </w:r>
          </w:p>
          <w:p w14:paraId="71F219A1">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kern w:val="0"/>
                <w:sz w:val="16"/>
                <w:szCs w:val="21"/>
                <w:highlight w:val="none"/>
                <w:lang w:val="en-US" w:eastAsia="zh-CN"/>
              </w:rPr>
              <w:t>10、</w:t>
            </w:r>
            <w:r>
              <w:rPr>
                <w:rFonts w:hint="eastAsia" w:ascii="宋体" w:hAnsi="宋体" w:eastAsia="宋体" w:cs="宋体"/>
                <w:color w:val="auto"/>
                <w:kern w:val="0"/>
                <w:sz w:val="16"/>
                <w:szCs w:val="21"/>
                <w:highlight w:val="none"/>
                <w:lang w:eastAsia="zh-CN"/>
              </w:rPr>
              <w:t>轴距：≥3450mm；</w:t>
            </w:r>
          </w:p>
          <w:p w14:paraId="4FFAAFC3">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11、</w:t>
            </w:r>
            <w:r>
              <w:rPr>
                <w:rFonts w:hint="eastAsia" w:ascii="宋体" w:hAnsi="宋体" w:eastAsia="宋体" w:cs="宋体"/>
                <w:color w:val="auto"/>
                <w:kern w:val="0"/>
                <w:sz w:val="16"/>
                <w:szCs w:val="21"/>
                <w:highlight w:val="none"/>
                <w:lang w:eastAsia="zh-CN"/>
              </w:rPr>
              <w:t>燃料种类：柴油；</w:t>
            </w:r>
          </w:p>
          <w:p w14:paraId="168C4679">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12、</w:t>
            </w:r>
            <w:r>
              <w:rPr>
                <w:rFonts w:hint="eastAsia" w:ascii="宋体" w:hAnsi="宋体" w:eastAsia="宋体" w:cs="宋体"/>
                <w:color w:val="auto"/>
                <w:kern w:val="0"/>
                <w:sz w:val="16"/>
                <w:szCs w:val="21"/>
                <w:highlight w:val="none"/>
                <w:lang w:eastAsia="zh-CN"/>
              </w:rPr>
              <w:t>排放依据标准：国Ⅵ；</w:t>
            </w:r>
          </w:p>
          <w:p w14:paraId="37E500C8">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13、</w:t>
            </w:r>
            <w:r>
              <w:rPr>
                <w:rFonts w:hint="eastAsia" w:ascii="宋体" w:hAnsi="宋体" w:eastAsia="宋体" w:cs="宋体"/>
                <w:color w:val="auto"/>
                <w:kern w:val="0"/>
                <w:sz w:val="16"/>
                <w:szCs w:val="21"/>
                <w:highlight w:val="none"/>
                <w:lang w:eastAsia="zh-CN"/>
              </w:rPr>
              <w:t>发动机额定功率：≥130kW；</w:t>
            </w:r>
          </w:p>
          <w:p w14:paraId="28C669B3">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14、</w:t>
            </w:r>
            <w:r>
              <w:rPr>
                <w:rFonts w:hint="eastAsia" w:ascii="宋体" w:hAnsi="宋体" w:eastAsia="宋体" w:cs="宋体"/>
                <w:color w:val="auto"/>
                <w:kern w:val="0"/>
                <w:sz w:val="16"/>
                <w:szCs w:val="21"/>
                <w:highlight w:val="none"/>
                <w:lang w:eastAsia="zh-CN"/>
              </w:rPr>
              <w:t>发动机排量：≥2200ml；</w:t>
            </w:r>
          </w:p>
          <w:p w14:paraId="30E9B4BD">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15、</w:t>
            </w:r>
            <w:r>
              <w:rPr>
                <w:rFonts w:hint="eastAsia" w:ascii="宋体" w:hAnsi="宋体" w:eastAsia="宋体" w:cs="宋体"/>
                <w:color w:val="auto"/>
                <w:kern w:val="0"/>
                <w:sz w:val="16"/>
                <w:szCs w:val="21"/>
                <w:highlight w:val="none"/>
                <w:lang w:eastAsia="zh-CN"/>
              </w:rPr>
              <w:t>轮胎规格：≥265/65R17；</w:t>
            </w:r>
          </w:p>
          <w:p w14:paraId="0DAB6864">
            <w:pPr>
              <w:keepNext w:val="0"/>
              <w:keepLines w:val="0"/>
              <w:widowControl/>
              <w:numPr>
                <w:ilvl w:val="0"/>
                <w:numId w:val="0"/>
              </w:numPr>
              <w:suppressLineNumbers w:val="0"/>
              <w:jc w:val="left"/>
              <w:textAlignment w:val="center"/>
              <w:rPr>
                <w:rFonts w:hint="default" w:ascii="宋体" w:hAnsi="宋体" w:eastAsia="宋体" w:cs="宋体"/>
                <w:color w:val="auto"/>
                <w:kern w:val="0"/>
                <w:sz w:val="18"/>
                <w:szCs w:val="22"/>
                <w:highlight w:val="none"/>
                <w:lang w:val="en-US" w:eastAsia="zh-CN"/>
              </w:rPr>
            </w:pPr>
            <w:r>
              <w:rPr>
                <w:rFonts w:hint="eastAsia" w:ascii="宋体" w:hAnsi="宋体" w:cs="宋体"/>
                <w:color w:val="auto"/>
                <w:kern w:val="0"/>
                <w:sz w:val="18"/>
                <w:szCs w:val="22"/>
                <w:highlight w:val="none"/>
                <w:lang w:val="en-US" w:eastAsia="zh-CN"/>
              </w:rPr>
              <w:t>二、整车技术要求</w:t>
            </w:r>
          </w:p>
          <w:p w14:paraId="229DB9E8">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16、</w:t>
            </w:r>
            <w:r>
              <w:rPr>
                <w:rFonts w:hint="eastAsia" w:ascii="宋体" w:hAnsi="宋体" w:eastAsia="宋体" w:cs="宋体"/>
                <w:color w:val="auto"/>
                <w:kern w:val="0"/>
                <w:sz w:val="16"/>
                <w:szCs w:val="21"/>
                <w:highlight w:val="none"/>
                <w:lang w:eastAsia="zh-CN"/>
              </w:rPr>
              <w:t>货箱设有方便安装和拆卸尾箱高盖，型号与原车相匹配，螺丝、及相关附件全部采用防锈材质，配备全套快速安装工具</w:t>
            </w:r>
            <w:r>
              <w:rPr>
                <w:rFonts w:hint="eastAsia" w:ascii="宋体" w:hAnsi="宋体" w:cs="宋体"/>
                <w:color w:val="auto"/>
                <w:kern w:val="0"/>
                <w:sz w:val="16"/>
                <w:szCs w:val="21"/>
                <w:highlight w:val="none"/>
                <w:lang w:eastAsia="zh-CN"/>
              </w:rPr>
              <w:t>；</w:t>
            </w:r>
          </w:p>
          <w:p w14:paraId="0B23D3D5">
            <w:pPr>
              <w:keepNext w:val="0"/>
              <w:keepLines w:val="0"/>
              <w:widowControl/>
              <w:numPr>
                <w:ilvl w:val="0"/>
                <w:numId w:val="0"/>
              </w:numPr>
              <w:suppressLineNumbers w:val="0"/>
              <w:jc w:val="left"/>
              <w:textAlignment w:val="center"/>
              <w:rPr>
                <w:rFonts w:hint="eastAsia" w:ascii="宋体" w:hAnsi="宋体" w:eastAsia="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17、</w:t>
            </w:r>
            <w:r>
              <w:rPr>
                <w:rFonts w:hint="eastAsia" w:ascii="宋体" w:hAnsi="宋体" w:eastAsia="宋体" w:cs="宋体"/>
                <w:color w:val="auto"/>
                <w:kern w:val="0"/>
                <w:sz w:val="16"/>
                <w:szCs w:val="21"/>
                <w:highlight w:val="none"/>
                <w:lang w:eastAsia="zh-CN"/>
              </w:rPr>
              <w:t>器材架按战斗编成和战斗展开设计器材集成、分区存放；人体工程学原理设计各种器材托架；按使用逻辑关系和使用频率放置器材；使用防锈、防振、防脱落、防划伤的专用夹具；所有器材合理固定；</w:t>
            </w:r>
          </w:p>
          <w:p w14:paraId="0ED2FD7E">
            <w:pPr>
              <w:keepNext w:val="0"/>
              <w:keepLines w:val="0"/>
              <w:widowControl/>
              <w:numPr>
                <w:ilvl w:val="0"/>
                <w:numId w:val="0"/>
              </w:numPr>
              <w:suppressLineNumbers w:val="0"/>
              <w:jc w:val="left"/>
              <w:textAlignment w:val="center"/>
              <w:rPr>
                <w:rFonts w:hint="eastAsia" w:ascii="宋体" w:hAnsi="宋体" w:cs="宋体"/>
                <w:color w:val="auto"/>
                <w:kern w:val="0"/>
                <w:sz w:val="16"/>
                <w:szCs w:val="21"/>
                <w:highlight w:val="none"/>
                <w:lang w:eastAsia="zh-CN"/>
              </w:rPr>
            </w:pPr>
            <w:r>
              <w:rPr>
                <w:rFonts w:hint="eastAsia" w:ascii="宋体" w:hAnsi="宋体" w:cs="宋体"/>
                <w:color w:val="auto"/>
                <w:kern w:val="0"/>
                <w:sz w:val="16"/>
                <w:szCs w:val="21"/>
                <w:highlight w:val="none"/>
                <w:lang w:val="en-US" w:eastAsia="zh-CN"/>
              </w:rPr>
              <w:t>18、</w:t>
            </w:r>
            <w:r>
              <w:rPr>
                <w:rFonts w:hint="eastAsia" w:ascii="宋体" w:hAnsi="宋体" w:eastAsia="宋体" w:cs="宋体"/>
                <w:color w:val="auto"/>
                <w:kern w:val="0"/>
                <w:sz w:val="16"/>
                <w:szCs w:val="21"/>
                <w:highlight w:val="none"/>
                <w:lang w:eastAsia="zh-CN"/>
              </w:rPr>
              <w:t>涂装要求：整车涂装林业专用橘红或按用户要求定制</w:t>
            </w:r>
            <w:r>
              <w:rPr>
                <w:rFonts w:hint="eastAsia" w:ascii="宋体" w:hAnsi="宋体" w:cs="宋体"/>
                <w:color w:val="auto"/>
                <w:kern w:val="0"/>
                <w:sz w:val="16"/>
                <w:szCs w:val="21"/>
                <w:highlight w:val="none"/>
                <w:lang w:eastAsia="zh-CN"/>
              </w:rPr>
              <w:t>；</w:t>
            </w:r>
          </w:p>
          <w:p w14:paraId="0904EA55">
            <w:pPr>
              <w:keepNext w:val="0"/>
              <w:keepLines w:val="0"/>
              <w:widowControl/>
              <w:numPr>
                <w:ilvl w:val="0"/>
                <w:numId w:val="0"/>
              </w:numPr>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kern w:val="0"/>
                <w:sz w:val="16"/>
                <w:szCs w:val="21"/>
                <w:highlight w:val="none"/>
                <w:lang w:val="en-US" w:eastAsia="zh-CN"/>
              </w:rPr>
              <w:t>19、</w:t>
            </w:r>
            <w:r>
              <w:rPr>
                <w:rFonts w:hint="eastAsia" w:ascii="宋体" w:hAnsi="宋体" w:cs="宋体"/>
                <w:color w:val="auto"/>
                <w:sz w:val="16"/>
                <w:szCs w:val="21"/>
                <w:highlight w:val="none"/>
                <w:lang w:val="en-US" w:eastAsia="zh-CN"/>
              </w:rPr>
              <w:t>投标时提供所投产品国家工信部“森林防火指挥车”或“指挥车”公告（含公告查询网站网址、完整的公告查询截图以及国家认可的第三方整车检验检测报告）</w:t>
            </w:r>
          </w:p>
        </w:tc>
        <w:tc>
          <w:tcPr>
            <w:tcW w:w="813" w:type="dxa"/>
            <w:tcBorders>
              <w:top w:val="single" w:color="000000" w:sz="4" w:space="0"/>
              <w:left w:val="single" w:color="000000" w:sz="4" w:space="0"/>
              <w:bottom w:val="single" w:color="000000" w:sz="4" w:space="0"/>
              <w:right w:val="single" w:color="000000" w:sz="4" w:space="0"/>
            </w:tcBorders>
            <w:noWrap w:val="0"/>
            <w:vAlign w:val="center"/>
          </w:tcPr>
          <w:p w14:paraId="7605D767">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0"/>
            <w:vAlign w:val="center"/>
          </w:tcPr>
          <w:p w14:paraId="4A3E8AED">
            <w:pPr>
              <w:keepNext w:val="0"/>
              <w:keepLines w:val="0"/>
              <w:widowControl/>
              <w:suppressLineNumbers w:val="0"/>
              <w:jc w:val="center"/>
              <w:textAlignment w:val="center"/>
              <w:rPr>
                <w:rFonts w:hint="eastAsia" w:ascii="宋体" w:hAnsi="Calibri" w:eastAsia="宋体"/>
                <w:b/>
                <w:bCs/>
                <w:color w:val="auto"/>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20</w:t>
            </w:r>
          </w:p>
        </w:tc>
      </w:tr>
      <w:tr w14:paraId="4B543836">
        <w:tblPrEx>
          <w:tblCellMar>
            <w:top w:w="0" w:type="dxa"/>
            <w:left w:w="108" w:type="dxa"/>
            <w:bottom w:w="0" w:type="dxa"/>
            <w:right w:w="108" w:type="dxa"/>
          </w:tblCellMar>
        </w:tblPrEx>
        <w:trPr>
          <w:trHeight w:val="190"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134179B5">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3</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5B6812C">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单兵越野巡护车（两轮）</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2F33B39">
            <w:pPr>
              <w:keepNext w:val="0"/>
              <w:keepLines w:val="0"/>
              <w:widowControl/>
              <w:numPr>
                <w:ilvl w:val="0"/>
                <w:numId w:val="1"/>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发动机排量：≥124cc；</w:t>
            </w:r>
          </w:p>
          <w:p w14:paraId="2A81C062">
            <w:pPr>
              <w:keepNext w:val="0"/>
              <w:keepLines w:val="0"/>
              <w:widowControl/>
              <w:numPr>
                <w:ilvl w:val="0"/>
                <w:numId w:val="1"/>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发动机冷却方式：风冷；</w:t>
            </w:r>
          </w:p>
          <w:p w14:paraId="66A83DD2">
            <w:pPr>
              <w:keepNext w:val="0"/>
              <w:keepLines w:val="0"/>
              <w:widowControl/>
              <w:numPr>
                <w:ilvl w:val="0"/>
                <w:numId w:val="1"/>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转向操纵方式：把式；</w:t>
            </w:r>
          </w:p>
          <w:p w14:paraId="0D5419EE">
            <w:pPr>
              <w:keepNext w:val="0"/>
              <w:keepLines w:val="0"/>
              <w:widowControl/>
              <w:numPr>
                <w:ilvl w:val="0"/>
                <w:numId w:val="1"/>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eastAsia="宋体" w:cs="宋体"/>
                <w:color w:val="auto"/>
                <w:sz w:val="16"/>
                <w:szCs w:val="21"/>
                <w:highlight w:val="none"/>
                <w:lang w:val="en-US" w:eastAsia="zh-CN"/>
              </w:rPr>
              <w:t>燃料类型：汽车；</w:t>
            </w:r>
          </w:p>
          <w:p w14:paraId="4A4CE9C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5、</w:t>
            </w:r>
            <w:r>
              <w:rPr>
                <w:rFonts w:hint="eastAsia" w:ascii="宋体" w:hAnsi="宋体" w:eastAsia="宋体" w:cs="宋体"/>
                <w:color w:val="auto"/>
                <w:sz w:val="16"/>
                <w:szCs w:val="21"/>
                <w:highlight w:val="none"/>
                <w:lang w:val="en-US" w:eastAsia="zh-CN"/>
              </w:rPr>
              <w:t>功率：≥7.0kw；</w:t>
            </w:r>
          </w:p>
          <w:p w14:paraId="1E17BC5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lang w:val="en-US" w:eastAsia="zh-CN"/>
              </w:rPr>
              <w:t>发动机</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单缸风冷四冲程汽油机；</w:t>
            </w:r>
          </w:p>
          <w:p w14:paraId="265859A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lang w:val="en-US" w:eastAsia="zh-CN"/>
              </w:rPr>
              <w:t>整备质量：120kg (±10kg）；</w:t>
            </w:r>
          </w:p>
          <w:p w14:paraId="02679D05">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lang w:val="en-US" w:eastAsia="zh-CN"/>
              </w:rPr>
              <w:t>总质量：≤300kg；</w:t>
            </w:r>
          </w:p>
          <w:p w14:paraId="5EAE9E7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lang w:val="en-US" w:eastAsia="zh-CN"/>
              </w:rPr>
              <w:t>乘员：≥2 人；</w:t>
            </w:r>
          </w:p>
          <w:p w14:paraId="55C29CE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lang w:val="en-US" w:eastAsia="zh-CN"/>
              </w:rPr>
              <w:t>摩托车制动方式：前盘后鼓式；</w:t>
            </w:r>
          </w:p>
          <w:p w14:paraId="1072134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lang w:val="en-US" w:eastAsia="zh-CN"/>
              </w:rPr>
              <w:t>车速：≥85km/h；</w:t>
            </w:r>
          </w:p>
          <w:p w14:paraId="6BA9044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eastAsia="zh-CN"/>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lang w:val="en-US" w:eastAsia="zh-CN"/>
              </w:rPr>
              <w:t>轴距</w:t>
            </w:r>
            <w:r>
              <w:rPr>
                <w:rFonts w:hint="eastAsia" w:ascii="宋体" w:hAnsi="宋体" w:cs="宋体"/>
                <w:color w:val="auto"/>
                <w:sz w:val="16"/>
                <w:szCs w:val="21"/>
                <w:highlight w:val="none"/>
                <w:lang w:val="en-US" w:eastAsia="zh-CN"/>
              </w:rPr>
              <w:t>：</w:t>
            </w:r>
            <w:r>
              <w:rPr>
                <w:rFonts w:hint="eastAsia" w:ascii="宋体" w:hAnsi="宋体" w:eastAsia="宋体" w:cs="宋体"/>
                <w:color w:val="auto"/>
                <w:sz w:val="16"/>
                <w:szCs w:val="21"/>
                <w:highlight w:val="none"/>
                <w:lang w:val="en-US" w:eastAsia="zh-CN"/>
              </w:rPr>
              <w:t>≤1280mm；</w:t>
            </w:r>
          </w:p>
          <w:p w14:paraId="6A14736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lang w:val="en-US" w:eastAsia="zh-CN"/>
              </w:rPr>
              <w:t>外廓尺寸：≥1990×840×1100mm</w:t>
            </w:r>
            <w:r>
              <w:rPr>
                <w:rFonts w:hint="eastAsia" w:ascii="宋体" w:hAnsi="宋体" w:cs="宋体"/>
                <w:color w:val="auto"/>
                <w:sz w:val="16"/>
                <w:szCs w:val="21"/>
                <w:highlight w:val="none"/>
                <w:lang w:val="en-US" w:eastAsia="zh-CN"/>
              </w:rPr>
              <w:t>；</w:t>
            </w:r>
          </w:p>
          <w:p w14:paraId="6389D031">
            <w:pPr>
              <w:keepNext w:val="0"/>
              <w:keepLines w:val="0"/>
              <w:widowControl/>
              <w:numPr>
                <w:ilvl w:val="0"/>
                <w:numId w:val="0"/>
              </w:numPr>
              <w:suppressLineNumbers w:val="0"/>
              <w:jc w:val="left"/>
              <w:textAlignment w:val="center"/>
              <w:rPr>
                <w:rFonts w:hint="default" w:ascii="宋体" w:hAnsi="宋体" w:eastAsia="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14、投标时提供所投产品国家工信部“两轮摩托车”公告（含公告查询网站网址、完整的公告查询截图）</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6AE315CA">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6C234FA0">
            <w:pPr>
              <w:keepNext w:val="0"/>
              <w:keepLines w:val="0"/>
              <w:widowControl/>
              <w:suppressLineNumbers w:val="0"/>
              <w:jc w:val="center"/>
              <w:textAlignment w:val="center"/>
              <w:rPr>
                <w:rFonts w:ascii="宋体" w:hAnsi="宋体" w:eastAsia="宋体" w:cs="宋体"/>
                <w:color w:val="auto"/>
                <w:kern w:val="0"/>
                <w:sz w:val="18"/>
                <w:szCs w:val="18"/>
                <w:highlight w:val="none"/>
              </w:rPr>
            </w:pPr>
            <w:r>
              <w:rPr>
                <w:rFonts w:hint="eastAsia" w:ascii="宋体" w:hAnsi="宋体" w:eastAsia="宋体" w:cs="宋体"/>
                <w:i w:val="0"/>
                <w:iCs w:val="0"/>
                <w:color w:val="auto"/>
                <w:kern w:val="0"/>
                <w:sz w:val="16"/>
                <w:szCs w:val="16"/>
                <w:highlight w:val="none"/>
                <w:u w:val="none"/>
                <w:lang w:val="en-US" w:eastAsia="zh-CN" w:bidi="ar"/>
              </w:rPr>
              <w:t>17</w:t>
            </w:r>
          </w:p>
        </w:tc>
      </w:tr>
      <w:tr w14:paraId="5621B9F8">
        <w:tblPrEx>
          <w:tblCellMar>
            <w:top w:w="0" w:type="dxa"/>
            <w:left w:w="108" w:type="dxa"/>
            <w:bottom w:w="0" w:type="dxa"/>
            <w:right w:w="108" w:type="dxa"/>
          </w:tblCellMar>
        </w:tblPrEx>
        <w:trPr>
          <w:trHeight w:val="190"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340489BC">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eastAsia="宋体" w:cs="宋体"/>
                <w:color w:val="auto"/>
                <w:kern w:val="0"/>
                <w:sz w:val="16"/>
                <w:szCs w:val="21"/>
                <w:highlight w:val="none"/>
              </w:rPr>
              <w:t>4</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1A724A09">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山地地形车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5FF5CF4">
            <w:pPr>
              <w:keepNext w:val="0"/>
              <w:keepLines w:val="0"/>
              <w:widowControl/>
              <w:numPr>
                <w:ilvl w:val="0"/>
                <w:numId w:val="2"/>
              </w:numPr>
              <w:suppressLineNumbers w:val="0"/>
              <w:ind w:leftChars="0"/>
              <w:jc w:val="left"/>
              <w:textAlignment w:val="center"/>
              <w:rPr>
                <w:rFonts w:ascii="宋体" w:hAnsi="宋体" w:eastAsia="宋体" w:cs="宋体"/>
                <w:color w:val="auto"/>
                <w:sz w:val="16"/>
                <w:szCs w:val="21"/>
                <w:highlight w:val="none"/>
              </w:rPr>
            </w:pPr>
            <w:r>
              <w:rPr>
                <w:rFonts w:hint="eastAsia" w:ascii="宋体" w:hAnsi="宋体" w:eastAsia="宋体" w:cs="宋体"/>
                <w:color w:val="auto"/>
                <w:sz w:val="16"/>
                <w:szCs w:val="21"/>
                <w:highlight w:val="none"/>
                <w:lang w:val="en-US" w:eastAsia="zh-CN"/>
              </w:rPr>
              <w:t>整车：</w:t>
            </w:r>
          </w:p>
          <w:p w14:paraId="7E18720F">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eastAsia="宋体" w:cs="宋体"/>
                <w:color w:val="auto"/>
                <w:sz w:val="16"/>
                <w:szCs w:val="21"/>
                <w:highlight w:val="none"/>
                <w:lang w:val="en-US" w:eastAsia="zh-CN"/>
              </w:rPr>
              <w:t>1.1、发动机型式：单缸、四冲程、水冷；</w:t>
            </w:r>
          </w:p>
          <w:p w14:paraId="2D74404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1.2、排量：≥350ml；</w:t>
            </w:r>
          </w:p>
          <w:p w14:paraId="7551B20C">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1.3、最大功率：≥19Kw；</w:t>
            </w:r>
          </w:p>
          <w:p w14:paraId="7923A350">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1.4 、最大扭矩：≥27N·m；</w:t>
            </w:r>
          </w:p>
          <w:p w14:paraId="12BB2D30">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1.5 、驾驶操纵方式：方向盘式；</w:t>
            </w:r>
          </w:p>
          <w:p w14:paraId="440D8EE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1.6 、驱动方式：2WD/4WD  自由切换；</w:t>
            </w:r>
          </w:p>
          <w:p w14:paraId="2BA713F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1.7 、传动方式：CVT 轴传动；</w:t>
            </w:r>
          </w:p>
          <w:p w14:paraId="1B0CCF9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1.8 、轴距：≤2000mm；</w:t>
            </w:r>
          </w:p>
          <w:p w14:paraId="66D50E87">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1.9 、转弯半径：≤5000mm；</w:t>
            </w:r>
          </w:p>
          <w:p w14:paraId="4D9BB9D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1.10 、最小离地距离：≥200mm；</w:t>
            </w:r>
          </w:p>
          <w:p w14:paraId="4A6AEA3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1.11 、整车整备质量：≥500Kg；</w:t>
            </w:r>
          </w:p>
          <w:p w14:paraId="293FF2BD">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1.12 、制动器形式：前后盘式液压；</w:t>
            </w:r>
          </w:p>
          <w:p w14:paraId="286973A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1.13 、加装消防上装后：</w:t>
            </w:r>
          </w:p>
          <w:p w14:paraId="1C38B4D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（1）外形尺寸（长×宽×高）：≤3000mm×1500mm×2100mm；</w:t>
            </w:r>
          </w:p>
          <w:p w14:paraId="6B9A9744">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（2）满载质量：≥900Kg；</w:t>
            </w:r>
          </w:p>
          <w:p w14:paraId="4FF33FCB">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（3）最高车速：≥58Km/h；</w:t>
            </w:r>
          </w:p>
          <w:p w14:paraId="3C6DBB6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default" w:cs="宋体"/>
                <w:color w:val="auto"/>
                <w:sz w:val="21"/>
                <w:szCs w:val="21"/>
                <w:highlight w:val="none"/>
                <w:lang w:val="en-US" w:eastAsia="zh-CN"/>
              </w:rPr>
              <w:t>▲</w:t>
            </w:r>
            <w:r>
              <w:rPr>
                <w:rFonts w:hint="eastAsia" w:ascii="宋体" w:hAnsi="宋体" w:eastAsia="宋体" w:cs="宋体"/>
                <w:color w:val="auto"/>
                <w:sz w:val="16"/>
                <w:szCs w:val="21"/>
                <w:highlight w:val="none"/>
                <w:lang w:val="en-US" w:eastAsia="zh-CN"/>
              </w:rPr>
              <w:t>（4）制动距离：≤6m；</w:t>
            </w:r>
          </w:p>
          <w:p w14:paraId="5EE1B81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（5）车身颜色为消防红色，配有顶棚、挡玻、警灯、警具、喊话器；</w:t>
            </w:r>
          </w:p>
          <w:p w14:paraId="478B640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（6）乘坐人数：2 人。</w:t>
            </w:r>
          </w:p>
          <w:p w14:paraId="452412BD">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lang w:val="en-US" w:eastAsia="zh-CN"/>
              </w:rPr>
              <w:t>、喷雾灭火装置：</w:t>
            </w:r>
          </w:p>
          <w:p w14:paraId="34AE83B3">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2.1 、高压泵工作压力 12Mpa 时流量≥0. 15L/s；喷雾枪工作压力 7Mpa  时流量≥0. 15L/s；</w:t>
            </w:r>
          </w:p>
          <w:p w14:paraId="2F16C3CC">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2.2 、喷射距离：直流≥12m；喷雾≥10m</w:t>
            </w:r>
            <w:r>
              <w:rPr>
                <w:rFonts w:hint="eastAsia" w:ascii="宋体" w:hAnsi="宋体" w:cs="宋体"/>
                <w:color w:val="auto"/>
                <w:sz w:val="16"/>
                <w:szCs w:val="21"/>
                <w:highlight w:val="none"/>
                <w:lang w:val="en-US" w:eastAsia="zh-CN"/>
              </w:rPr>
              <w:t>；</w:t>
            </w:r>
          </w:p>
          <w:p w14:paraId="64BC39E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2.3 、有效喷射时间：直流≥9min；喷雾≥9min；</w:t>
            </w:r>
          </w:p>
          <w:p w14:paraId="2D8D50AA">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2.4 、绞盘长度：≥30m；</w:t>
            </w:r>
          </w:p>
          <w:p w14:paraId="103C3B4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2.5 、水箱容积：≥100L；</w:t>
            </w:r>
          </w:p>
          <w:p w14:paraId="00A00EC7">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lang w:val="en-US" w:eastAsia="zh-CN"/>
              </w:rPr>
              <w:t>、</w:t>
            </w:r>
            <w:r>
              <w:rPr>
                <w:rFonts w:hint="eastAsia" w:ascii="宋体" w:hAnsi="宋体" w:cs="宋体"/>
                <w:color w:val="auto"/>
                <w:sz w:val="16"/>
                <w:szCs w:val="21"/>
                <w:highlight w:val="none"/>
                <w:lang w:val="en-US" w:eastAsia="zh-CN"/>
              </w:rPr>
              <w:t>配备</w:t>
            </w:r>
            <w:r>
              <w:rPr>
                <w:rFonts w:hint="eastAsia" w:ascii="宋体" w:hAnsi="宋体" w:eastAsia="宋体" w:cs="宋体"/>
                <w:color w:val="auto"/>
                <w:sz w:val="16"/>
                <w:szCs w:val="21"/>
                <w:highlight w:val="none"/>
                <w:lang w:val="en-US" w:eastAsia="zh-CN"/>
              </w:rPr>
              <w:t>消防泵 1 台（含水枪、进水管、出水管各 1 件）</w:t>
            </w:r>
            <w:r>
              <w:rPr>
                <w:rFonts w:hint="eastAsia" w:ascii="宋体" w:hAnsi="宋体" w:cs="宋体"/>
                <w:color w:val="auto"/>
                <w:sz w:val="16"/>
                <w:szCs w:val="21"/>
                <w:highlight w:val="none"/>
                <w:lang w:val="en-US" w:eastAsia="zh-CN"/>
              </w:rPr>
              <w:t>：</w:t>
            </w:r>
          </w:p>
          <w:p w14:paraId="01C25314">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3.1 、发动机型式：单缸、风冷、四冲程动力；</w:t>
            </w:r>
          </w:p>
          <w:p w14:paraId="37976E7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3.2 、额定流量：≥3L/s；</w:t>
            </w:r>
          </w:p>
          <w:p w14:paraId="2914DBC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3.3 、额定压力：≥0.5Mpa；</w:t>
            </w:r>
          </w:p>
          <w:p w14:paraId="1BD5AF98">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3.4 、功率：≥3Kw；</w:t>
            </w:r>
          </w:p>
          <w:p w14:paraId="6B4D5909">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3.5 、最大扬程：≥50m；</w:t>
            </w:r>
          </w:p>
          <w:p w14:paraId="031F8381">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3.6 、泵可从车上随意拆卸，并可单独操作。</w:t>
            </w:r>
          </w:p>
          <w:p w14:paraId="14EB3F26">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二、整体要求：</w:t>
            </w:r>
          </w:p>
          <w:p w14:paraId="68E1C58E">
            <w:pPr>
              <w:keepNext w:val="0"/>
              <w:keepLines w:val="0"/>
              <w:widowControl/>
              <w:numPr>
                <w:ilvl w:val="0"/>
                <w:numId w:val="0"/>
              </w:numPr>
              <w:suppressLineNumbers w:val="0"/>
              <w:jc w:val="left"/>
              <w:textAlignment w:val="center"/>
              <w:rPr>
                <w:rFonts w:hint="eastAsia" w:ascii="宋体" w:hAnsi="宋体" w:eastAsia="宋体" w:cs="宋体"/>
                <w:color w:val="auto"/>
                <w:sz w:val="16"/>
                <w:szCs w:val="21"/>
                <w:highlight w:val="none"/>
                <w:lang w:val="en-US" w:eastAsia="zh-CN"/>
              </w:rPr>
            </w:pPr>
            <w:r>
              <w:rPr>
                <w:rFonts w:hint="eastAsia" w:ascii="宋体" w:hAnsi="宋体" w:eastAsia="宋体" w:cs="宋体"/>
                <w:color w:val="auto"/>
                <w:sz w:val="16"/>
                <w:szCs w:val="21"/>
                <w:highlight w:val="none"/>
                <w:lang w:val="en-US" w:eastAsia="zh-CN"/>
              </w:rPr>
              <w:t>每辆山地地形车免费提供一年特种设备责任险，保额不低于 20 万元</w:t>
            </w:r>
          </w:p>
          <w:p w14:paraId="7BF3BB82">
            <w:pPr>
              <w:keepNext w:val="0"/>
              <w:keepLines w:val="0"/>
              <w:widowControl/>
              <w:numPr>
                <w:ilvl w:val="0"/>
                <w:numId w:val="0"/>
              </w:numPr>
              <w:suppressLineNumbers w:val="0"/>
              <w:jc w:val="left"/>
              <w:textAlignment w:val="center"/>
              <w:rPr>
                <w:rFonts w:hint="default" w:ascii="宋体" w:hAnsi="宋体" w:eastAsia="宋体" w:cs="宋体"/>
                <w:color w:val="auto"/>
                <w:sz w:val="16"/>
                <w:szCs w:val="21"/>
                <w:highlight w:val="none"/>
                <w:lang w:val="en-US" w:eastAsia="zh-CN"/>
              </w:rPr>
            </w:pP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31D5AF3D">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2C6B31C9">
            <w:pPr>
              <w:keepNext w:val="0"/>
              <w:keepLines w:val="0"/>
              <w:widowControl/>
              <w:suppressLineNumbers w:val="0"/>
              <w:jc w:val="center"/>
              <w:textAlignment w:val="center"/>
              <w:rPr>
                <w:rFonts w:hint="default" w:ascii="宋体" w:hAnsi="宋体" w:eastAsia="宋体" w:cs="宋体"/>
                <w:color w:val="auto"/>
                <w:sz w:val="18"/>
                <w:szCs w:val="18"/>
                <w:highlight w:val="none"/>
                <w:lang w:val="en-US" w:eastAsia="zh-CN"/>
              </w:rPr>
            </w:pPr>
            <w:r>
              <w:rPr>
                <w:rFonts w:hint="eastAsia" w:ascii="宋体" w:hAnsi="宋体" w:cs="宋体"/>
                <w:i w:val="0"/>
                <w:iCs w:val="0"/>
                <w:snapToGrid w:val="0"/>
                <w:color w:val="auto"/>
                <w:kern w:val="0"/>
                <w:sz w:val="16"/>
                <w:szCs w:val="16"/>
                <w:highlight w:val="none"/>
                <w:u w:val="none"/>
                <w:lang w:val="en-US" w:eastAsia="zh-CN" w:bidi="ar"/>
              </w:rPr>
              <w:t>15</w:t>
            </w:r>
          </w:p>
        </w:tc>
      </w:tr>
      <w:tr w14:paraId="03F35B7D">
        <w:tblPrEx>
          <w:tblCellMar>
            <w:top w:w="0" w:type="dxa"/>
            <w:left w:w="108" w:type="dxa"/>
            <w:bottom w:w="0" w:type="dxa"/>
            <w:right w:w="108" w:type="dxa"/>
          </w:tblCellMar>
        </w:tblPrEx>
        <w:trPr>
          <w:trHeight w:val="269" w:hRule="atLeast"/>
          <w:jc w:val="center"/>
        </w:trPr>
        <w:tc>
          <w:tcPr>
            <w:tcW w:w="562" w:type="dxa"/>
            <w:tcBorders>
              <w:top w:val="single" w:color="000000" w:sz="4" w:space="0"/>
              <w:left w:val="single" w:color="000000" w:sz="4" w:space="0"/>
              <w:bottom w:val="single" w:color="000000" w:sz="4" w:space="0"/>
              <w:right w:val="single" w:color="000000" w:sz="4" w:space="0"/>
            </w:tcBorders>
            <w:noWrap/>
            <w:vAlign w:val="center"/>
          </w:tcPr>
          <w:p w14:paraId="0EEC78E3">
            <w:pPr>
              <w:widowControl/>
              <w:snapToGrid w:val="0"/>
              <w:ind w:left="0" w:leftChars="0" w:right="0" w:rightChars="0" w:firstLine="0" w:firstLineChars="0"/>
              <w:jc w:val="center"/>
              <w:textAlignment w:val="center"/>
              <w:rPr>
                <w:rFonts w:ascii="宋体" w:hAnsi="宋体" w:eastAsia="宋体" w:cs="宋体"/>
                <w:color w:val="auto"/>
                <w:sz w:val="16"/>
                <w:szCs w:val="21"/>
                <w:highlight w:val="none"/>
              </w:rPr>
            </w:pPr>
            <w:r>
              <w:rPr>
                <w:rFonts w:hint="eastAsia" w:ascii="宋体" w:hAnsi="宋体" w:cs="宋体"/>
                <w:color w:val="auto"/>
                <w:kern w:val="0"/>
                <w:sz w:val="16"/>
                <w:szCs w:val="21"/>
                <w:highlight w:val="none"/>
                <w:lang w:val="en-US" w:eastAsia="zh-CN"/>
              </w:rPr>
              <w:t>5</w:t>
            </w:r>
          </w:p>
        </w:tc>
        <w:tc>
          <w:tcPr>
            <w:tcW w:w="980" w:type="dxa"/>
            <w:tcBorders>
              <w:top w:val="single" w:color="000000" w:sz="4" w:space="0"/>
              <w:left w:val="single" w:color="000000" w:sz="4" w:space="0"/>
              <w:bottom w:val="single" w:color="000000" w:sz="4" w:space="0"/>
              <w:right w:val="single" w:color="000000" w:sz="4" w:space="0"/>
            </w:tcBorders>
            <w:noWrap w:val="0"/>
            <w:vAlign w:val="center"/>
          </w:tcPr>
          <w:p w14:paraId="32D4A13D">
            <w:pPr>
              <w:keepNext w:val="0"/>
              <w:keepLines w:val="0"/>
              <w:widowControl/>
              <w:suppressLineNumbers w:val="0"/>
              <w:jc w:val="center"/>
              <w:textAlignment w:val="center"/>
              <w:rPr>
                <w:rFonts w:ascii="宋体" w:hAnsi="宋体" w:eastAsia="宋体" w:cs="宋体"/>
                <w:color w:val="auto"/>
                <w:sz w:val="16"/>
                <w:szCs w:val="21"/>
                <w:highlight w:val="none"/>
              </w:rPr>
            </w:pPr>
            <w:r>
              <w:rPr>
                <w:rFonts w:hint="eastAsia" w:ascii="宋体" w:hAnsi="宋体" w:eastAsia="宋体" w:cs="宋体"/>
                <w:i w:val="0"/>
                <w:iCs w:val="0"/>
                <w:color w:val="auto"/>
                <w:kern w:val="0"/>
                <w:sz w:val="16"/>
                <w:szCs w:val="16"/>
                <w:highlight w:val="none"/>
                <w:u w:val="none"/>
                <w:lang w:val="en-US" w:eastAsia="zh-CN" w:bidi="ar"/>
              </w:rPr>
              <w:t>消防水车</w:t>
            </w:r>
          </w:p>
        </w:tc>
        <w:tc>
          <w:tcPr>
            <w:tcW w:w="5793" w:type="dxa"/>
            <w:tcBorders>
              <w:top w:val="single" w:color="000000" w:sz="4" w:space="0"/>
              <w:left w:val="single" w:color="000000" w:sz="4" w:space="0"/>
              <w:bottom w:val="single" w:color="000000" w:sz="4" w:space="0"/>
              <w:right w:val="single" w:color="000000" w:sz="4" w:space="0"/>
            </w:tcBorders>
            <w:noWrap/>
            <w:vAlign w:val="center"/>
          </w:tcPr>
          <w:p w14:paraId="3484446E">
            <w:pPr>
              <w:keepNext w:val="0"/>
              <w:keepLines w:val="0"/>
              <w:widowControl/>
              <w:numPr>
                <w:ilvl w:val="0"/>
                <w:numId w:val="3"/>
              </w:numPr>
              <w:suppressLineNumbers w:val="0"/>
              <w:jc w:val="left"/>
              <w:textAlignment w:val="center"/>
              <w:rPr>
                <w:rFonts w:hint="eastAsia" w:ascii="宋体" w:hAnsi="宋体" w:eastAsia="宋体" w:cs="宋体"/>
                <w:color w:val="auto"/>
                <w:sz w:val="16"/>
                <w:szCs w:val="21"/>
                <w:highlight w:val="none"/>
              </w:rPr>
            </w:pPr>
            <w:r>
              <w:rPr>
                <w:rFonts w:hint="eastAsia" w:ascii="宋体" w:hAnsi="宋体" w:eastAsia="宋体" w:cs="宋体"/>
                <w:color w:val="auto"/>
                <w:sz w:val="16"/>
                <w:szCs w:val="21"/>
                <w:highlight w:val="none"/>
              </w:rPr>
              <w:t>外廓尺寸：5900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≤长≤</w:t>
            </w:r>
            <w:r>
              <w:rPr>
                <w:rFonts w:hint="eastAsia" w:ascii="宋体" w:hAnsi="宋体" w:cs="宋体"/>
                <w:color w:val="auto"/>
                <w:sz w:val="16"/>
                <w:szCs w:val="21"/>
                <w:highlight w:val="none"/>
                <w:lang w:val="en-US" w:eastAsia="zh-CN"/>
              </w:rPr>
              <w:t>6100</w:t>
            </w:r>
            <w:r>
              <w:rPr>
                <w:rFonts w:hint="eastAsia" w:ascii="宋体" w:hAnsi="宋体" w:eastAsia="宋体" w:cs="宋体"/>
                <w:color w:val="auto"/>
                <w:sz w:val="16"/>
                <w:szCs w:val="21"/>
                <w:highlight w:val="none"/>
                <w:lang w:val="en-US" w:eastAsia="zh-CN"/>
              </w:rPr>
              <w:t>mm</w:t>
            </w:r>
            <w:r>
              <w:rPr>
                <w:rFonts w:hint="eastAsia" w:ascii="宋体" w:hAnsi="宋体" w:cs="宋体"/>
                <w:color w:val="auto"/>
                <w:sz w:val="16"/>
                <w:szCs w:val="21"/>
                <w:highlight w:val="none"/>
                <w:lang w:eastAsia="zh-CN"/>
              </w:rPr>
              <w:t>，</w:t>
            </w:r>
            <w:r>
              <w:rPr>
                <w:rFonts w:hint="eastAsia" w:ascii="宋体" w:hAnsi="宋体" w:cs="宋体"/>
                <w:color w:val="auto"/>
                <w:sz w:val="16"/>
                <w:szCs w:val="21"/>
                <w:highlight w:val="none"/>
                <w:lang w:val="en-US" w:eastAsia="zh-CN"/>
              </w:rPr>
              <w:t>1980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≤宽≤2100</w:t>
            </w:r>
            <w:r>
              <w:rPr>
                <w:rFonts w:hint="eastAsia" w:ascii="宋体" w:hAnsi="宋体" w:eastAsia="宋体" w:cs="宋体"/>
                <w:color w:val="auto"/>
                <w:sz w:val="16"/>
                <w:szCs w:val="21"/>
                <w:highlight w:val="none"/>
                <w:lang w:val="en-US" w:eastAsia="zh-CN"/>
              </w:rPr>
              <w:t>mm</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2</w:t>
            </w:r>
            <w:r>
              <w:rPr>
                <w:rFonts w:hint="eastAsia" w:ascii="宋体" w:hAnsi="宋体" w:cs="宋体"/>
                <w:color w:val="auto"/>
                <w:sz w:val="16"/>
                <w:szCs w:val="21"/>
                <w:highlight w:val="none"/>
                <w:lang w:val="en-US" w:eastAsia="zh-CN"/>
              </w:rPr>
              <w:t>650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≤高度≤28</w:t>
            </w:r>
            <w:r>
              <w:rPr>
                <w:rFonts w:hint="eastAsia" w:ascii="宋体" w:hAnsi="宋体" w:cs="宋体"/>
                <w:color w:val="auto"/>
                <w:sz w:val="16"/>
                <w:szCs w:val="21"/>
                <w:highlight w:val="none"/>
                <w:lang w:val="en-US" w:eastAsia="zh-CN"/>
              </w:rPr>
              <w:t>40</w:t>
            </w:r>
            <w:r>
              <w:rPr>
                <w:rFonts w:hint="eastAsia" w:ascii="宋体" w:hAnsi="宋体" w:eastAsia="宋体" w:cs="宋体"/>
                <w:color w:val="auto"/>
                <w:sz w:val="16"/>
                <w:szCs w:val="21"/>
                <w:highlight w:val="none"/>
                <w:lang w:val="en-US" w:eastAsia="zh-CN"/>
              </w:rPr>
              <w:t>mm</w:t>
            </w:r>
            <w:r>
              <w:rPr>
                <w:rFonts w:hint="eastAsia" w:ascii="宋体" w:hAnsi="宋体" w:eastAsia="宋体" w:cs="宋体"/>
                <w:color w:val="auto"/>
                <w:sz w:val="16"/>
                <w:szCs w:val="21"/>
                <w:highlight w:val="none"/>
              </w:rPr>
              <w:t>；</w:t>
            </w:r>
          </w:p>
          <w:p w14:paraId="0B3E517C">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2、</w:t>
            </w:r>
            <w:r>
              <w:rPr>
                <w:rFonts w:hint="eastAsia" w:ascii="宋体" w:hAnsi="宋体" w:eastAsia="宋体" w:cs="宋体"/>
                <w:color w:val="auto"/>
                <w:sz w:val="16"/>
                <w:szCs w:val="21"/>
                <w:highlight w:val="none"/>
              </w:rPr>
              <w:t>乘员人数：≥5 人；</w:t>
            </w:r>
          </w:p>
          <w:p w14:paraId="349C0B5D">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rPr>
              <w:t>水罐：容积≥2500L；</w:t>
            </w:r>
          </w:p>
          <w:p w14:paraId="51236997">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4、</w:t>
            </w:r>
            <w:r>
              <w:rPr>
                <w:rFonts w:hint="eastAsia" w:ascii="宋体" w:hAnsi="宋体" w:eastAsia="宋体" w:cs="宋体"/>
                <w:color w:val="auto"/>
                <w:sz w:val="16"/>
                <w:szCs w:val="21"/>
                <w:highlight w:val="none"/>
              </w:rPr>
              <w:t>消防泵：低压 1.0MPa 时，流量：≥20L/S</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引水时间：≤50s；</w:t>
            </w:r>
          </w:p>
          <w:p w14:paraId="3E0642F6">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5、</w:t>
            </w:r>
            <w:r>
              <w:rPr>
                <w:rFonts w:hint="eastAsia" w:ascii="宋体" w:hAnsi="宋体" w:eastAsia="宋体" w:cs="宋体"/>
                <w:color w:val="auto"/>
                <w:sz w:val="16"/>
                <w:szCs w:val="21"/>
                <w:highlight w:val="none"/>
              </w:rPr>
              <w:t>消防炮流量：≥20L/S</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射程：≥50M；</w:t>
            </w:r>
          </w:p>
          <w:p w14:paraId="60BAE20C">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6、</w:t>
            </w:r>
            <w:r>
              <w:rPr>
                <w:rFonts w:hint="eastAsia" w:ascii="宋体" w:hAnsi="宋体" w:eastAsia="宋体" w:cs="宋体"/>
                <w:color w:val="auto"/>
                <w:sz w:val="16"/>
                <w:szCs w:val="21"/>
                <w:highlight w:val="none"/>
              </w:rPr>
              <w:t>驱动形式：≥4×2；</w:t>
            </w:r>
          </w:p>
          <w:p w14:paraId="5D3995F0">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7、</w:t>
            </w:r>
            <w:r>
              <w:rPr>
                <w:rFonts w:hint="eastAsia" w:ascii="宋体" w:hAnsi="宋体" w:eastAsia="宋体" w:cs="宋体"/>
                <w:color w:val="auto"/>
                <w:sz w:val="16"/>
                <w:szCs w:val="21"/>
                <w:highlight w:val="none"/>
              </w:rPr>
              <w:t>轴距：3300≤L≤3350mm；</w:t>
            </w:r>
          </w:p>
          <w:p w14:paraId="5444C372">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default" w:cs="宋体"/>
                <w:color w:val="auto"/>
                <w:sz w:val="21"/>
                <w:szCs w:val="21"/>
                <w:highlight w:val="none"/>
                <w:lang w:val="en-US" w:eastAsia="zh-CN"/>
              </w:rPr>
              <w:t>▲</w:t>
            </w:r>
            <w:r>
              <w:rPr>
                <w:rFonts w:hint="eastAsia" w:ascii="宋体" w:hAnsi="宋体" w:cs="宋体"/>
                <w:color w:val="auto"/>
                <w:sz w:val="16"/>
                <w:szCs w:val="21"/>
                <w:highlight w:val="none"/>
                <w:lang w:val="en-US" w:eastAsia="zh-CN"/>
              </w:rPr>
              <w:t>8、</w:t>
            </w:r>
            <w:r>
              <w:rPr>
                <w:rFonts w:hint="eastAsia" w:ascii="宋体" w:hAnsi="宋体" w:eastAsia="宋体" w:cs="宋体"/>
                <w:color w:val="auto"/>
                <w:sz w:val="16"/>
                <w:szCs w:val="21"/>
                <w:highlight w:val="none"/>
              </w:rPr>
              <w:t>发动机额定输出功率为：≥85Kw</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排放标准：国Ⅵ</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排量(L)</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≥2.3L</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最大扭矩：≥320（N.m），能源种类：柴油；</w:t>
            </w:r>
          </w:p>
          <w:p w14:paraId="0266C188">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9、</w:t>
            </w:r>
            <w:r>
              <w:rPr>
                <w:rFonts w:hint="eastAsia" w:ascii="宋体" w:hAnsi="宋体" w:eastAsia="宋体" w:cs="宋体"/>
                <w:color w:val="auto"/>
                <w:sz w:val="16"/>
                <w:szCs w:val="21"/>
                <w:highlight w:val="none"/>
              </w:rPr>
              <w:t>变速箱：手动变速箱；</w:t>
            </w:r>
          </w:p>
          <w:p w14:paraId="78421293">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10、</w:t>
            </w:r>
            <w:r>
              <w:rPr>
                <w:rFonts w:hint="eastAsia" w:ascii="宋体" w:hAnsi="宋体" w:eastAsia="宋体" w:cs="宋体"/>
                <w:color w:val="auto"/>
                <w:sz w:val="16"/>
                <w:szCs w:val="21"/>
                <w:highlight w:val="none"/>
              </w:rPr>
              <w:t>制动系统：</w:t>
            </w:r>
            <w:r>
              <w:rPr>
                <w:rFonts w:hint="eastAsia" w:ascii="宋体" w:hAnsi="宋体" w:cs="宋体"/>
                <w:color w:val="auto"/>
                <w:sz w:val="16"/>
                <w:szCs w:val="21"/>
                <w:highlight w:val="none"/>
                <w:lang w:val="en-US" w:eastAsia="zh-CN"/>
              </w:rPr>
              <w:t>盘式断气刹或弹簧制动</w:t>
            </w:r>
            <w:r>
              <w:rPr>
                <w:rFonts w:hint="eastAsia" w:ascii="宋体" w:hAnsi="宋体" w:eastAsia="宋体" w:cs="宋体"/>
                <w:color w:val="auto"/>
                <w:sz w:val="16"/>
                <w:szCs w:val="21"/>
                <w:highlight w:val="none"/>
              </w:rPr>
              <w:t>；</w:t>
            </w:r>
          </w:p>
          <w:p w14:paraId="78BD66A0">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11、</w:t>
            </w:r>
            <w:r>
              <w:rPr>
                <w:rFonts w:hint="eastAsia" w:ascii="宋体" w:hAnsi="宋体" w:eastAsia="宋体" w:cs="宋体"/>
                <w:color w:val="auto"/>
                <w:sz w:val="16"/>
                <w:szCs w:val="21"/>
                <w:highlight w:val="none"/>
              </w:rPr>
              <w:t>最高车速：≥90km/h；</w:t>
            </w:r>
          </w:p>
          <w:p w14:paraId="0A51F884">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12、</w:t>
            </w:r>
            <w:r>
              <w:rPr>
                <w:rFonts w:hint="eastAsia" w:ascii="宋体" w:hAnsi="宋体" w:eastAsia="宋体" w:cs="宋体"/>
                <w:color w:val="auto"/>
                <w:sz w:val="16"/>
                <w:szCs w:val="21"/>
                <w:highlight w:val="none"/>
              </w:rPr>
              <w:t>安全警示发光路锥 1 个，具备爆闪、慢闪两种模式；</w:t>
            </w:r>
          </w:p>
          <w:p w14:paraId="3F42F60D">
            <w:pPr>
              <w:keepNext w:val="0"/>
              <w:keepLines w:val="0"/>
              <w:widowControl/>
              <w:numPr>
                <w:ilvl w:val="0"/>
                <w:numId w:val="0"/>
              </w:numPr>
              <w:suppressLineNumbers w:val="0"/>
              <w:jc w:val="left"/>
              <w:textAlignment w:val="center"/>
              <w:rPr>
                <w:rFonts w:ascii="宋体" w:hAnsi="宋体" w:eastAsia="宋体" w:cs="宋体"/>
                <w:color w:val="auto"/>
                <w:sz w:val="16"/>
                <w:szCs w:val="21"/>
                <w:highlight w:val="none"/>
              </w:rPr>
            </w:pPr>
            <w:r>
              <w:rPr>
                <w:rFonts w:hint="eastAsia" w:ascii="宋体" w:hAnsi="宋体" w:cs="宋体"/>
                <w:color w:val="auto"/>
                <w:sz w:val="16"/>
                <w:szCs w:val="21"/>
                <w:highlight w:val="none"/>
                <w:lang w:val="en-US" w:eastAsia="zh-CN"/>
              </w:rPr>
              <w:t>13、</w:t>
            </w:r>
            <w:r>
              <w:rPr>
                <w:rFonts w:hint="eastAsia" w:ascii="宋体" w:hAnsi="宋体" w:eastAsia="宋体" w:cs="宋体"/>
                <w:color w:val="auto"/>
                <w:sz w:val="16"/>
                <w:szCs w:val="21"/>
                <w:highlight w:val="none"/>
              </w:rPr>
              <w:t>配 2 套防爆 LED 警示伸缩路锥，工作时间≥20h</w:t>
            </w:r>
            <w:r>
              <w:rPr>
                <w:rFonts w:hint="eastAsia" w:ascii="宋体" w:hAnsi="宋体" w:cs="宋体"/>
                <w:color w:val="auto"/>
                <w:sz w:val="16"/>
                <w:szCs w:val="21"/>
                <w:highlight w:val="none"/>
                <w:lang w:eastAsia="zh-CN"/>
              </w:rPr>
              <w:t>；</w:t>
            </w:r>
          </w:p>
          <w:p w14:paraId="7FD185DE">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eastAsia="zh-CN"/>
              </w:rPr>
            </w:pPr>
            <w:r>
              <w:rPr>
                <w:rFonts w:hint="eastAsia" w:ascii="宋体" w:hAnsi="宋体" w:cs="宋体"/>
                <w:color w:val="auto"/>
                <w:sz w:val="16"/>
                <w:szCs w:val="21"/>
                <w:highlight w:val="none"/>
                <w:lang w:val="en-US" w:eastAsia="zh-CN"/>
              </w:rPr>
              <w:t>14、</w:t>
            </w:r>
            <w:r>
              <w:rPr>
                <w:rFonts w:hint="eastAsia" w:ascii="宋体" w:hAnsi="宋体" w:eastAsia="宋体" w:cs="宋体"/>
                <w:color w:val="auto"/>
                <w:sz w:val="16"/>
                <w:szCs w:val="21"/>
                <w:highlight w:val="none"/>
              </w:rPr>
              <w:t>整车总质量：≤7360Kg</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整车整备质量：</w:t>
            </w:r>
            <w:r>
              <w:rPr>
                <w:rFonts w:hint="eastAsia" w:ascii="宋体" w:hAnsi="宋体" w:cs="宋体"/>
                <w:color w:val="auto"/>
                <w:sz w:val="16"/>
                <w:szCs w:val="21"/>
                <w:highlight w:val="none"/>
                <w:lang w:val="en-US" w:eastAsia="zh-CN"/>
              </w:rPr>
              <w:t>3700</w:t>
            </w:r>
            <w:r>
              <w:rPr>
                <w:rFonts w:hint="eastAsia" w:ascii="宋体" w:hAnsi="宋体" w:eastAsia="宋体" w:cs="宋体"/>
                <w:color w:val="auto"/>
                <w:sz w:val="16"/>
                <w:szCs w:val="21"/>
                <w:highlight w:val="none"/>
              </w:rPr>
              <w:t>Kg≤</w:t>
            </w:r>
            <w:r>
              <w:rPr>
                <w:rFonts w:hint="eastAsia" w:ascii="宋体" w:hAnsi="宋体" w:cs="宋体"/>
                <w:color w:val="auto"/>
                <w:sz w:val="16"/>
                <w:szCs w:val="21"/>
                <w:highlight w:val="none"/>
                <w:lang w:val="en-US" w:eastAsia="zh-CN"/>
              </w:rPr>
              <w:t>m</w:t>
            </w:r>
            <w:r>
              <w:rPr>
                <w:rFonts w:hint="eastAsia" w:ascii="宋体" w:hAnsi="宋体" w:eastAsia="宋体" w:cs="宋体"/>
                <w:color w:val="auto"/>
                <w:sz w:val="16"/>
                <w:szCs w:val="21"/>
                <w:highlight w:val="none"/>
              </w:rPr>
              <w:t>≤41</w:t>
            </w:r>
            <w:r>
              <w:rPr>
                <w:rFonts w:hint="eastAsia" w:ascii="宋体" w:hAnsi="宋体" w:cs="宋体"/>
                <w:color w:val="auto"/>
                <w:sz w:val="16"/>
                <w:szCs w:val="21"/>
                <w:highlight w:val="none"/>
                <w:lang w:val="en-US" w:eastAsia="zh-CN"/>
              </w:rPr>
              <w:t>08</w:t>
            </w:r>
            <w:r>
              <w:rPr>
                <w:rFonts w:hint="eastAsia" w:ascii="宋体" w:hAnsi="宋体" w:eastAsia="宋体" w:cs="宋体"/>
                <w:color w:val="auto"/>
                <w:sz w:val="16"/>
                <w:szCs w:val="21"/>
                <w:highlight w:val="none"/>
              </w:rPr>
              <w:t>Kg</w:t>
            </w:r>
            <w:r>
              <w:rPr>
                <w:rFonts w:hint="eastAsia" w:ascii="宋体" w:hAnsi="宋体" w:cs="宋体"/>
                <w:color w:val="auto"/>
                <w:sz w:val="16"/>
                <w:szCs w:val="21"/>
                <w:highlight w:val="none"/>
                <w:lang w:eastAsia="zh-CN"/>
              </w:rPr>
              <w:t>，</w:t>
            </w:r>
            <w:r>
              <w:rPr>
                <w:rFonts w:hint="eastAsia" w:ascii="宋体" w:hAnsi="宋体" w:eastAsia="宋体" w:cs="宋体"/>
                <w:color w:val="auto"/>
                <w:sz w:val="16"/>
                <w:szCs w:val="21"/>
                <w:highlight w:val="none"/>
              </w:rPr>
              <w:t>接近角/离去角： ≥24°/1</w:t>
            </w:r>
            <w:r>
              <w:rPr>
                <w:rFonts w:hint="eastAsia" w:ascii="宋体" w:hAnsi="宋体" w:cs="宋体"/>
                <w:color w:val="auto"/>
                <w:sz w:val="16"/>
                <w:szCs w:val="21"/>
                <w:highlight w:val="none"/>
                <w:lang w:val="en-US" w:eastAsia="zh-CN"/>
              </w:rPr>
              <w:t>3</w:t>
            </w:r>
            <w:r>
              <w:rPr>
                <w:rFonts w:hint="eastAsia" w:ascii="宋体" w:hAnsi="宋体" w:eastAsia="宋体" w:cs="宋体"/>
                <w:color w:val="auto"/>
                <w:sz w:val="16"/>
                <w:szCs w:val="21"/>
                <w:highlight w:val="none"/>
              </w:rPr>
              <w:t>°</w:t>
            </w:r>
            <w:r>
              <w:rPr>
                <w:rFonts w:hint="eastAsia" w:ascii="宋体" w:hAnsi="宋体" w:cs="宋体"/>
                <w:color w:val="auto"/>
                <w:sz w:val="16"/>
                <w:szCs w:val="21"/>
                <w:highlight w:val="none"/>
                <w:lang w:eastAsia="zh-CN"/>
              </w:rPr>
              <w:t>；</w:t>
            </w:r>
          </w:p>
          <w:p w14:paraId="1B910266">
            <w:pPr>
              <w:keepNext w:val="0"/>
              <w:keepLines w:val="0"/>
              <w:widowControl/>
              <w:numPr>
                <w:ilvl w:val="0"/>
                <w:numId w:val="0"/>
              </w:numPr>
              <w:suppressLineNumbers w:val="0"/>
              <w:jc w:val="left"/>
              <w:textAlignment w:val="center"/>
              <w:rPr>
                <w:rFonts w:hint="eastAsia" w:ascii="宋体" w:hAnsi="宋体" w:cs="宋体"/>
                <w:color w:val="auto"/>
                <w:sz w:val="16"/>
                <w:szCs w:val="21"/>
                <w:highlight w:val="none"/>
                <w:lang w:val="en-US" w:eastAsia="zh-CN"/>
              </w:rPr>
            </w:pPr>
            <w:r>
              <w:rPr>
                <w:rFonts w:hint="eastAsia" w:ascii="宋体" w:hAnsi="宋体" w:cs="宋体"/>
                <w:color w:val="auto"/>
                <w:highlight w:val="none"/>
              </w:rPr>
              <w:t>★</w:t>
            </w:r>
            <w:r>
              <w:rPr>
                <w:rFonts w:hint="eastAsia" w:ascii="宋体" w:hAnsi="宋体" w:cs="宋体"/>
                <w:color w:val="auto"/>
                <w:sz w:val="16"/>
                <w:szCs w:val="21"/>
                <w:highlight w:val="none"/>
                <w:lang w:val="en-US" w:eastAsia="zh-CN"/>
              </w:rPr>
              <w:t>15、投标时提供所投产品国家工信部“水罐消防车”公告（含公告查询网站网址、完整的公告查询截图以及国家认可的第三方整车检验检测报告）</w:t>
            </w:r>
          </w:p>
          <w:p w14:paraId="3015A6AF">
            <w:pPr>
              <w:keepNext w:val="0"/>
              <w:keepLines w:val="0"/>
              <w:widowControl/>
              <w:numPr>
                <w:ilvl w:val="0"/>
                <w:numId w:val="0"/>
              </w:numPr>
              <w:suppressLineNumbers w:val="0"/>
              <w:jc w:val="left"/>
              <w:textAlignment w:val="center"/>
              <w:rPr>
                <w:rFonts w:hint="default" w:ascii="宋体" w:hAnsi="宋体" w:cs="宋体"/>
                <w:color w:val="auto"/>
                <w:sz w:val="16"/>
                <w:szCs w:val="21"/>
                <w:highlight w:val="none"/>
                <w:lang w:val="en-US" w:eastAsia="zh-CN"/>
              </w:rPr>
            </w:pPr>
            <w:r>
              <w:rPr>
                <w:rFonts w:hint="eastAsia" w:ascii="宋体" w:hAnsi="宋体" w:cs="宋体"/>
                <w:color w:val="auto"/>
                <w:sz w:val="16"/>
                <w:szCs w:val="21"/>
                <w:highlight w:val="none"/>
                <w:lang w:val="en-US" w:eastAsia="zh-CN"/>
              </w:rPr>
              <w:t>16、配备警灯、警报器</w:t>
            </w:r>
          </w:p>
        </w:tc>
        <w:tc>
          <w:tcPr>
            <w:tcW w:w="813" w:type="dxa"/>
            <w:tcBorders>
              <w:top w:val="single" w:color="000000" w:sz="4" w:space="0"/>
              <w:left w:val="single" w:color="000000" w:sz="4" w:space="0"/>
              <w:bottom w:val="single" w:color="000000" w:sz="4" w:space="0"/>
              <w:right w:val="single" w:color="000000" w:sz="4" w:space="0"/>
            </w:tcBorders>
            <w:noWrap/>
            <w:vAlign w:val="center"/>
          </w:tcPr>
          <w:p w14:paraId="09226425">
            <w:pPr>
              <w:keepNext w:val="0"/>
              <w:keepLines w:val="0"/>
              <w:widowControl/>
              <w:suppressLineNumbers w:val="0"/>
              <w:jc w:val="center"/>
              <w:textAlignment w:val="center"/>
              <w:rPr>
                <w:rFonts w:hint="default" w:ascii="宋体" w:hAnsi="宋体" w:eastAsia="宋体" w:cs="宋体"/>
                <w:color w:val="auto"/>
                <w:kern w:val="0"/>
                <w:sz w:val="16"/>
                <w:szCs w:val="21"/>
                <w:highlight w:val="none"/>
                <w:lang w:val="en-US" w:eastAsia="zh-CN"/>
              </w:rPr>
            </w:pPr>
            <w:r>
              <w:rPr>
                <w:rFonts w:hint="eastAsia" w:ascii="宋体" w:hAnsi="宋体" w:eastAsia="宋体" w:cs="宋体"/>
                <w:i w:val="0"/>
                <w:iCs w:val="0"/>
                <w:color w:val="auto"/>
                <w:kern w:val="0"/>
                <w:sz w:val="16"/>
                <w:szCs w:val="16"/>
                <w:highlight w:val="none"/>
                <w:u w:val="none"/>
                <w:lang w:val="en-US" w:eastAsia="zh-CN" w:bidi="ar"/>
              </w:rPr>
              <w:t>辆</w:t>
            </w:r>
          </w:p>
        </w:tc>
        <w:tc>
          <w:tcPr>
            <w:tcW w:w="753" w:type="dxa"/>
            <w:tcBorders>
              <w:top w:val="single" w:color="000000" w:sz="4" w:space="0"/>
              <w:left w:val="single" w:color="000000" w:sz="4" w:space="0"/>
              <w:bottom w:val="single" w:color="000000" w:sz="4" w:space="0"/>
              <w:right w:val="single" w:color="000000" w:sz="4" w:space="0"/>
            </w:tcBorders>
            <w:noWrap/>
            <w:vAlign w:val="center"/>
          </w:tcPr>
          <w:p w14:paraId="35B1AE73">
            <w:pPr>
              <w:keepNext w:val="0"/>
              <w:keepLines w:val="0"/>
              <w:widowControl/>
              <w:suppressLineNumbers w:val="0"/>
              <w:jc w:val="center"/>
              <w:textAlignment w:val="center"/>
              <w:rPr>
                <w:rFonts w:hint="default" w:ascii="宋体" w:hAnsi="宋体" w:eastAsia="宋体" w:cs="宋体"/>
                <w:color w:val="auto"/>
                <w:sz w:val="18"/>
                <w:szCs w:val="18"/>
                <w:highlight w:val="none"/>
                <w:lang w:val="en-US"/>
              </w:rPr>
            </w:pPr>
            <w:r>
              <w:rPr>
                <w:rFonts w:hint="eastAsia" w:ascii="宋体" w:hAnsi="宋体" w:cs="宋体"/>
                <w:i w:val="0"/>
                <w:iCs w:val="0"/>
                <w:snapToGrid w:val="0"/>
                <w:color w:val="auto"/>
                <w:kern w:val="0"/>
                <w:sz w:val="16"/>
                <w:szCs w:val="16"/>
                <w:highlight w:val="none"/>
                <w:u w:val="none"/>
                <w:lang w:val="en-US" w:eastAsia="zh-CN" w:bidi="ar"/>
              </w:rPr>
              <w:t>16</w:t>
            </w:r>
          </w:p>
        </w:tc>
      </w:tr>
    </w:tbl>
    <w:p w14:paraId="4565BB98">
      <w:pPr>
        <w:rPr>
          <w:rFonts w:hint="eastAsia"/>
          <w:color w:val="auto"/>
          <w:highlight w:val="none"/>
        </w:rPr>
        <w:sectPr>
          <w:footerReference r:id="rId3" w:type="default"/>
          <w:pgSz w:w="11900" w:h="16830"/>
          <w:pgMar w:top="1440" w:right="1080" w:bottom="1440" w:left="1080" w:header="850" w:footer="992" w:gutter="0"/>
          <w:pgBorders>
            <w:top w:val="none" w:sz="0" w:space="0"/>
            <w:left w:val="none" w:sz="0" w:space="0"/>
            <w:bottom w:val="none" w:sz="0" w:space="0"/>
            <w:right w:val="none" w:sz="0" w:space="0"/>
          </w:pgBorders>
          <w:pgNumType w:fmt="decimal"/>
          <w:cols w:space="720" w:num="1"/>
        </w:sectPr>
      </w:pPr>
    </w:p>
    <w:bookmarkEnd w:id="1"/>
    <w:bookmarkEnd w:id="2"/>
    <w:p w14:paraId="42CC55EC">
      <w:pPr>
        <w:pStyle w:val="9"/>
        <w:keepNext w:val="0"/>
        <w:keepLines w:val="0"/>
        <w:pageBreakBefore w:val="0"/>
        <w:numPr>
          <w:ilvl w:val="0"/>
          <w:numId w:val="0"/>
        </w:numPr>
        <w:kinsoku/>
        <w:wordWrap/>
        <w:overflowPunct/>
        <w:topLinePunct w:val="0"/>
        <w:autoSpaceDE/>
        <w:autoSpaceDN/>
        <w:bidi w:val="0"/>
        <w:adjustRightInd w:val="0"/>
        <w:snapToGrid w:val="0"/>
        <w:spacing w:line="360" w:lineRule="auto"/>
        <w:jc w:val="center"/>
        <w:rPr>
          <w:rFonts w:ascii="黑体" w:hAnsi="黑体" w:eastAsia="黑体"/>
          <w:color w:val="auto"/>
          <w:sz w:val="28"/>
          <w:szCs w:val="28"/>
          <w:highlight w:val="none"/>
        </w:rPr>
      </w:pPr>
      <w:r>
        <w:rPr>
          <w:rFonts w:hint="eastAsia" w:ascii="黑体" w:hAnsi="黑体" w:eastAsia="黑体" w:cs="Times New Roman"/>
          <w:color w:val="auto"/>
          <w:kern w:val="2"/>
          <w:sz w:val="28"/>
          <w:szCs w:val="28"/>
          <w:highlight w:val="none"/>
          <w:lang w:val="en-US" w:eastAsia="zh-CN" w:bidi="ar-SA"/>
        </w:rPr>
        <w:t xml:space="preserve">第三节 </w:t>
      </w:r>
      <w:r>
        <w:rPr>
          <w:rFonts w:hint="eastAsia" w:ascii="黑体" w:hAnsi="黑体" w:eastAsia="黑体"/>
          <w:color w:val="auto"/>
          <w:sz w:val="28"/>
          <w:szCs w:val="28"/>
          <w:highlight w:val="none"/>
        </w:rPr>
        <w:t>商务</w:t>
      </w:r>
      <w:r>
        <w:rPr>
          <w:rFonts w:ascii="黑体" w:hAnsi="黑体" w:eastAsia="黑体"/>
          <w:color w:val="auto"/>
          <w:sz w:val="28"/>
          <w:szCs w:val="28"/>
          <w:highlight w:val="none"/>
        </w:rPr>
        <w:t>要求</w:t>
      </w:r>
    </w:p>
    <w:p w14:paraId="4B599392">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一</w:t>
      </w:r>
      <w:r>
        <w:rPr>
          <w:rFonts w:hint="eastAsia" w:ascii="宋体" w:hAnsi="宋体" w:eastAsia="宋体" w:cs="宋体"/>
          <w:b/>
          <w:color w:val="auto"/>
          <w:kern w:val="0"/>
          <w:szCs w:val="21"/>
          <w:highlight w:val="none"/>
          <w:lang w:val="zh-TW" w:bidi="zh-TW"/>
        </w:rPr>
        <w:t>、交货时间、地点及方式</w:t>
      </w:r>
    </w:p>
    <w:p w14:paraId="27DC1269">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hint="eastAsia" w:ascii="宋体" w:hAnsi="宋体" w:eastAsia="宋体" w:cs="宋体"/>
          <w:b/>
          <w:color w:val="auto"/>
          <w:kern w:val="0"/>
          <w:szCs w:val="21"/>
          <w:highlight w:val="none"/>
          <w:lang w:val="zh-TW" w:eastAsia="zh-CN" w:bidi="zh-TW"/>
        </w:rPr>
      </w:pPr>
      <w:r>
        <w:rPr>
          <w:rFonts w:hint="eastAsia" w:ascii="宋体" w:hAnsi="宋体" w:eastAsia="宋体" w:cs="宋体"/>
          <w:b/>
          <w:color w:val="auto"/>
          <w:kern w:val="0"/>
          <w:szCs w:val="21"/>
          <w:highlight w:val="none"/>
          <w:lang w:val="en-US" w:eastAsia="zh-CN" w:bidi="zh-TW"/>
        </w:rPr>
        <w:t>1、</w:t>
      </w:r>
      <w:r>
        <w:rPr>
          <w:rFonts w:hint="eastAsia" w:ascii="宋体" w:hAnsi="宋体" w:eastAsia="宋体" w:cs="宋体"/>
          <w:b/>
          <w:color w:val="auto"/>
          <w:kern w:val="0"/>
          <w:szCs w:val="21"/>
          <w:highlight w:val="none"/>
          <w:lang w:val="zh-TW" w:bidi="zh-TW"/>
        </w:rPr>
        <w:t>交货时间：</w:t>
      </w:r>
      <w:r>
        <w:rPr>
          <w:rFonts w:hint="eastAsia" w:ascii="宋体" w:hAnsi="宋体" w:eastAsia="宋体" w:cs="宋体"/>
          <w:color w:val="auto"/>
          <w:kern w:val="0"/>
          <w:szCs w:val="21"/>
          <w:highlight w:val="none"/>
          <w:lang w:val="zh-TW" w:eastAsia="zh-CN" w:bidi="zh-TW"/>
        </w:rPr>
        <w:t>合同签订之日起</w:t>
      </w:r>
      <w:r>
        <w:rPr>
          <w:rFonts w:hint="eastAsia" w:ascii="宋体" w:hAnsi="宋体" w:cs="宋体"/>
          <w:color w:val="auto"/>
          <w:kern w:val="0"/>
          <w:szCs w:val="21"/>
          <w:highlight w:val="none"/>
          <w:lang w:val="en-US" w:eastAsia="zh-CN" w:bidi="zh-TW"/>
        </w:rPr>
        <w:t>80</w:t>
      </w:r>
      <w:r>
        <w:rPr>
          <w:rFonts w:hint="eastAsia" w:ascii="宋体" w:hAnsi="宋体" w:eastAsia="宋体" w:cs="宋体"/>
          <w:color w:val="auto"/>
          <w:kern w:val="0"/>
          <w:szCs w:val="21"/>
          <w:highlight w:val="none"/>
          <w:lang w:val="zh-TW" w:eastAsia="zh-CN" w:bidi="zh-TW"/>
        </w:rPr>
        <w:t>日历天内交货</w:t>
      </w:r>
      <w:r>
        <w:rPr>
          <w:rFonts w:hint="eastAsia" w:ascii="宋体" w:hAnsi="宋体" w:eastAsia="宋体" w:cs="宋体"/>
          <w:color w:val="auto"/>
          <w:kern w:val="0"/>
          <w:szCs w:val="21"/>
          <w:highlight w:val="none"/>
          <w:lang w:val="en-US" w:eastAsia="zh-CN" w:bidi="zh-TW"/>
        </w:rPr>
        <w:t>，</w:t>
      </w:r>
      <w:r>
        <w:rPr>
          <w:rFonts w:hint="eastAsia" w:ascii="宋体" w:hAnsi="宋体" w:eastAsia="宋体" w:cs="宋体"/>
          <w:color w:val="auto"/>
          <w:kern w:val="0"/>
          <w:szCs w:val="21"/>
          <w:highlight w:val="none"/>
          <w:lang w:val="zh-TW" w:eastAsia="zh-CN" w:bidi="zh-TW"/>
        </w:rPr>
        <w:t>安装调试完毕并交付使用，且经采购人验收合格。</w:t>
      </w:r>
    </w:p>
    <w:p w14:paraId="121276D9">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hint="default" w:ascii="宋体" w:hAnsi="宋体" w:eastAsia="宋体" w:cs="宋体"/>
          <w:color w:val="auto"/>
          <w:kern w:val="0"/>
          <w:szCs w:val="21"/>
          <w:highlight w:val="none"/>
          <w:lang w:val="en-US" w:eastAsia="zh-CN" w:bidi="zh-TW"/>
        </w:rPr>
      </w:pPr>
      <w:r>
        <w:rPr>
          <w:rFonts w:hint="eastAsia" w:ascii="宋体" w:hAnsi="宋体" w:eastAsia="宋体" w:cs="宋体"/>
          <w:b/>
          <w:color w:val="auto"/>
          <w:kern w:val="0"/>
          <w:szCs w:val="21"/>
          <w:highlight w:val="none"/>
          <w:lang w:val="zh-TW" w:bidi="zh-TW"/>
        </w:rPr>
        <w:t>2</w:t>
      </w:r>
      <w:r>
        <w:rPr>
          <w:rFonts w:hint="eastAsia" w:ascii="宋体" w:hAnsi="宋体" w:eastAsia="宋体" w:cs="宋体"/>
          <w:b/>
          <w:color w:val="auto"/>
          <w:kern w:val="0"/>
          <w:szCs w:val="21"/>
          <w:highlight w:val="none"/>
          <w:lang w:val="zh-TW" w:eastAsia="zh-CN" w:bidi="zh-TW"/>
        </w:rPr>
        <w:t>、</w:t>
      </w:r>
      <w:r>
        <w:rPr>
          <w:rFonts w:hint="eastAsia" w:ascii="宋体" w:hAnsi="宋体" w:eastAsia="宋体" w:cs="宋体"/>
          <w:b/>
          <w:color w:val="auto"/>
          <w:kern w:val="0"/>
          <w:szCs w:val="21"/>
          <w:highlight w:val="none"/>
          <w:lang w:val="zh-TW" w:bidi="zh-TW"/>
        </w:rPr>
        <w:t>交货地点：</w:t>
      </w:r>
      <w:r>
        <w:rPr>
          <w:rFonts w:hint="eastAsia" w:ascii="宋体" w:hAnsi="宋体" w:cs="宋体"/>
          <w:b w:val="0"/>
          <w:bCs/>
          <w:color w:val="auto"/>
          <w:kern w:val="0"/>
          <w:szCs w:val="21"/>
          <w:highlight w:val="none"/>
          <w:lang w:val="en-US" w:eastAsia="zh-CN" w:bidi="zh-TW"/>
        </w:rPr>
        <w:t>岳阳市、汨罗市、临湘市、岳阳县、平江县、云溪区(具体以招标人需求为准）</w:t>
      </w:r>
    </w:p>
    <w:p w14:paraId="77DBB2EE">
      <w:pPr>
        <w:keepNext w:val="0"/>
        <w:keepLines w:val="0"/>
        <w:pageBreakBefore w:val="0"/>
        <w:widowControl w:val="0"/>
        <w:kinsoku/>
        <w:wordWrap/>
        <w:overflowPunct/>
        <w:topLinePunct w:val="0"/>
        <w:autoSpaceDE/>
        <w:autoSpaceDN/>
        <w:bidi w:val="0"/>
        <w:spacing w:line="360" w:lineRule="auto"/>
        <w:ind w:firstLine="316" w:firstLineChars="150"/>
        <w:jc w:val="left"/>
        <w:textAlignment w:val="auto"/>
        <w:rPr>
          <w:rFonts w:ascii="宋体" w:hAnsi="宋体" w:eastAsia="宋体" w:cs="宋体"/>
          <w:color w:val="auto"/>
          <w:kern w:val="0"/>
          <w:szCs w:val="21"/>
          <w:highlight w:val="none"/>
          <w:lang w:val="zh-TW" w:bidi="zh-TW"/>
        </w:rPr>
      </w:pPr>
      <w:r>
        <w:rPr>
          <w:rFonts w:hint="eastAsia" w:ascii="宋体" w:hAnsi="宋体" w:eastAsia="宋体" w:cs="宋体"/>
          <w:b/>
          <w:color w:val="auto"/>
          <w:kern w:val="0"/>
          <w:szCs w:val="21"/>
          <w:highlight w:val="none"/>
          <w:lang w:val="zh-TW" w:bidi="zh-TW"/>
        </w:rPr>
        <w:t>3</w:t>
      </w:r>
      <w:r>
        <w:rPr>
          <w:rFonts w:hint="eastAsia" w:ascii="宋体" w:hAnsi="宋体" w:eastAsia="宋体" w:cs="宋体"/>
          <w:b/>
          <w:color w:val="auto"/>
          <w:kern w:val="0"/>
          <w:szCs w:val="21"/>
          <w:highlight w:val="none"/>
          <w:lang w:val="zh-TW" w:eastAsia="zh-CN" w:bidi="zh-TW"/>
        </w:rPr>
        <w:t>、</w:t>
      </w:r>
      <w:r>
        <w:rPr>
          <w:rFonts w:hint="eastAsia" w:ascii="宋体" w:hAnsi="宋体" w:eastAsia="宋体" w:cs="宋体"/>
          <w:b/>
          <w:color w:val="auto"/>
          <w:kern w:val="0"/>
          <w:szCs w:val="21"/>
          <w:highlight w:val="none"/>
          <w:lang w:val="zh-TW" w:bidi="zh-TW"/>
        </w:rPr>
        <w:t>交货方式：</w:t>
      </w:r>
      <w:r>
        <w:rPr>
          <w:rFonts w:hint="eastAsia" w:ascii="宋体" w:hAnsi="宋体" w:eastAsia="宋体" w:cs="宋体"/>
          <w:color w:val="auto"/>
          <w:kern w:val="0"/>
          <w:szCs w:val="21"/>
          <w:highlight w:val="none"/>
          <w:lang w:val="zh-TW" w:bidi="zh-TW"/>
        </w:rPr>
        <w:t>由中标供应商运输至采购人指定地点，中标人负责产品到安装地点的全部运输，包括装卸及现场搬运等，并负责产品在安装地点的保管，直至安装调试、项目验收合格并交付使用。</w:t>
      </w:r>
    </w:p>
    <w:p w14:paraId="6741A519">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二</w:t>
      </w:r>
      <w:r>
        <w:rPr>
          <w:rFonts w:hint="eastAsia" w:ascii="宋体" w:hAnsi="宋体" w:eastAsia="宋体" w:cs="宋体"/>
          <w:b/>
          <w:color w:val="auto"/>
          <w:kern w:val="0"/>
          <w:szCs w:val="21"/>
          <w:highlight w:val="none"/>
          <w:lang w:val="zh-TW" w:bidi="zh-TW"/>
        </w:rPr>
        <w:t>、结算方式</w:t>
      </w:r>
    </w:p>
    <w:p w14:paraId="0EC2AD7E">
      <w:pPr>
        <w:keepNext w:val="0"/>
        <w:keepLines w:val="0"/>
        <w:pageBreakBefore w:val="0"/>
        <w:widowControl w:val="0"/>
        <w:kinsoku/>
        <w:wordWrap/>
        <w:overflowPunct/>
        <w:topLinePunct w:val="0"/>
        <w:autoSpaceDE/>
        <w:autoSpaceDN/>
        <w:bidi w:val="0"/>
        <w:spacing w:line="360" w:lineRule="auto"/>
        <w:ind w:firstLine="420" w:firstLineChars="200"/>
        <w:jc w:val="left"/>
        <w:textAlignment w:val="auto"/>
        <w:rPr>
          <w:rFonts w:hint="default" w:ascii="Times New Roman" w:hAnsi="Times New Roman" w:eastAsia="宋体" w:cs="Times New Roman"/>
          <w:b w:val="0"/>
          <w:bCs/>
          <w:color w:val="auto"/>
          <w:szCs w:val="24"/>
          <w:highlight w:val="none"/>
          <w:lang w:val="en-US" w:eastAsia="zh-CN"/>
        </w:rPr>
      </w:pPr>
      <w:r>
        <w:rPr>
          <w:rFonts w:hint="eastAsia" w:ascii="宋体" w:hAnsi="宋体" w:eastAsia="宋体" w:cs="宋体"/>
          <w:b w:val="0"/>
          <w:bCs/>
          <w:color w:val="auto"/>
          <w:kern w:val="0"/>
          <w:szCs w:val="21"/>
          <w:highlight w:val="none"/>
          <w:lang w:val="zh-TW" w:bidi="zh-TW"/>
        </w:rPr>
        <w:t>付款方式：合同签订</w:t>
      </w:r>
      <w:r>
        <w:rPr>
          <w:rFonts w:hint="eastAsia" w:ascii="宋体" w:hAnsi="宋体" w:eastAsia="宋体" w:cs="宋体"/>
          <w:b w:val="0"/>
          <w:bCs/>
          <w:color w:val="auto"/>
          <w:kern w:val="0"/>
          <w:szCs w:val="21"/>
          <w:highlight w:val="none"/>
          <w:lang w:val="zh-TW" w:eastAsia="zh-CN" w:bidi="zh-TW"/>
        </w:rPr>
        <w:t>后</w:t>
      </w:r>
      <w:r>
        <w:rPr>
          <w:rFonts w:hint="eastAsia" w:ascii="宋体" w:hAnsi="宋体" w:eastAsia="宋体" w:cs="宋体"/>
          <w:b w:val="0"/>
          <w:bCs/>
          <w:color w:val="auto"/>
          <w:kern w:val="0"/>
          <w:szCs w:val="21"/>
          <w:highlight w:val="none"/>
          <w:lang w:val="zh-TW" w:bidi="zh-TW"/>
        </w:rPr>
        <w:t>，甲方向乙方支付</w:t>
      </w:r>
      <w:r>
        <w:rPr>
          <w:rFonts w:hint="eastAsia" w:ascii="宋体" w:hAnsi="宋体" w:cs="宋体"/>
          <w:b w:val="0"/>
          <w:bCs/>
          <w:color w:val="auto"/>
          <w:kern w:val="0"/>
          <w:szCs w:val="21"/>
          <w:highlight w:val="none"/>
          <w:lang w:val="en-US" w:eastAsia="zh-CN" w:bidi="zh-TW"/>
        </w:rPr>
        <w:t>5</w:t>
      </w:r>
      <w:r>
        <w:rPr>
          <w:rFonts w:hint="eastAsia" w:ascii="宋体" w:hAnsi="宋体" w:eastAsia="宋体" w:cs="宋体"/>
          <w:b w:val="0"/>
          <w:bCs/>
          <w:color w:val="auto"/>
          <w:kern w:val="0"/>
          <w:szCs w:val="21"/>
          <w:highlight w:val="none"/>
          <w:lang w:val="en-US" w:eastAsia="zh-CN" w:bidi="zh-TW"/>
        </w:rPr>
        <w:t>0%</w:t>
      </w:r>
      <w:r>
        <w:rPr>
          <w:rFonts w:hint="eastAsia" w:ascii="宋体" w:hAnsi="宋体" w:eastAsia="宋体" w:cs="宋体"/>
          <w:b w:val="0"/>
          <w:bCs/>
          <w:color w:val="auto"/>
          <w:kern w:val="0"/>
          <w:szCs w:val="21"/>
          <w:highlight w:val="none"/>
          <w:lang w:val="zh-TW" w:eastAsia="zh-CN" w:bidi="zh-TW"/>
        </w:rPr>
        <w:t>预付款</w:t>
      </w:r>
      <w:r>
        <w:rPr>
          <w:rFonts w:hint="eastAsia" w:ascii="宋体" w:hAnsi="宋体" w:eastAsia="宋体" w:cs="宋体"/>
          <w:b w:val="0"/>
          <w:bCs/>
          <w:color w:val="auto"/>
          <w:kern w:val="0"/>
          <w:szCs w:val="21"/>
          <w:highlight w:val="none"/>
          <w:lang w:val="zh-TW" w:bidi="zh-TW"/>
        </w:rPr>
        <w:t>，</w:t>
      </w:r>
      <w:r>
        <w:rPr>
          <w:rFonts w:hint="eastAsia" w:ascii="宋体" w:hAnsi="宋体" w:eastAsia="宋体" w:cs="宋体"/>
          <w:b w:val="0"/>
          <w:bCs/>
          <w:color w:val="auto"/>
          <w:kern w:val="0"/>
          <w:szCs w:val="21"/>
          <w:highlight w:val="none"/>
          <w:lang w:val="zh-TW" w:eastAsia="zh-CN" w:bidi="zh-TW"/>
        </w:rPr>
        <w:t>交货</w:t>
      </w:r>
      <w:r>
        <w:rPr>
          <w:rFonts w:hint="eastAsia" w:ascii="宋体" w:hAnsi="宋体" w:eastAsia="宋体" w:cs="宋体"/>
          <w:b w:val="0"/>
          <w:bCs/>
          <w:color w:val="auto"/>
          <w:kern w:val="0"/>
          <w:szCs w:val="21"/>
          <w:highlight w:val="none"/>
          <w:lang w:val="zh-TW" w:bidi="zh-TW"/>
        </w:rPr>
        <w:t>验收合格</w:t>
      </w:r>
      <w:r>
        <w:rPr>
          <w:rFonts w:hint="eastAsia" w:ascii="宋体" w:hAnsi="宋体" w:eastAsia="宋体" w:cs="宋体"/>
          <w:b w:val="0"/>
          <w:bCs/>
          <w:color w:val="auto"/>
          <w:kern w:val="0"/>
          <w:szCs w:val="21"/>
          <w:highlight w:val="none"/>
          <w:lang w:val="zh-TW" w:eastAsia="zh-CN" w:bidi="zh-TW"/>
        </w:rPr>
        <w:t>后</w:t>
      </w:r>
      <w:r>
        <w:rPr>
          <w:rFonts w:hint="eastAsia" w:ascii="宋体" w:hAnsi="宋体" w:eastAsia="宋体" w:cs="宋体"/>
          <w:b w:val="0"/>
          <w:bCs/>
          <w:color w:val="auto"/>
          <w:kern w:val="0"/>
          <w:szCs w:val="21"/>
          <w:highlight w:val="none"/>
          <w:lang w:val="zh-TW" w:bidi="zh-TW"/>
        </w:rPr>
        <w:t>，甲方向乙方支付至本合同总价的9</w:t>
      </w:r>
      <w:r>
        <w:rPr>
          <w:rFonts w:hint="eastAsia" w:ascii="宋体" w:hAnsi="宋体" w:cs="宋体"/>
          <w:b w:val="0"/>
          <w:bCs/>
          <w:color w:val="auto"/>
          <w:kern w:val="0"/>
          <w:szCs w:val="21"/>
          <w:highlight w:val="none"/>
          <w:lang w:val="en-US" w:eastAsia="zh-CN" w:bidi="zh-TW"/>
        </w:rPr>
        <w:t>7</w:t>
      </w:r>
      <w:r>
        <w:rPr>
          <w:rFonts w:hint="eastAsia" w:ascii="宋体" w:hAnsi="宋体" w:eastAsia="宋体" w:cs="宋体"/>
          <w:b w:val="0"/>
          <w:bCs/>
          <w:color w:val="auto"/>
          <w:kern w:val="0"/>
          <w:szCs w:val="21"/>
          <w:highlight w:val="none"/>
          <w:lang w:val="zh-TW" w:bidi="zh-TW"/>
        </w:rPr>
        <w:t>%</w:t>
      </w:r>
      <w:r>
        <w:rPr>
          <w:rFonts w:hint="eastAsia" w:ascii="宋体" w:hAnsi="宋体" w:cs="宋体"/>
          <w:b w:val="0"/>
          <w:bCs/>
          <w:color w:val="auto"/>
          <w:kern w:val="0"/>
          <w:szCs w:val="21"/>
          <w:highlight w:val="none"/>
          <w:lang w:val="zh-TW" w:eastAsia="zh-CN" w:bidi="zh-TW"/>
        </w:rPr>
        <w:t>，</w:t>
      </w:r>
      <w:r>
        <w:rPr>
          <w:rFonts w:hint="eastAsia" w:ascii="宋体" w:hAnsi="宋体" w:cs="宋体"/>
          <w:b w:val="0"/>
          <w:bCs/>
          <w:color w:val="auto"/>
          <w:kern w:val="0"/>
          <w:szCs w:val="21"/>
          <w:highlight w:val="none"/>
          <w:lang w:val="en-US" w:eastAsia="zh-CN" w:bidi="zh-TW"/>
        </w:rPr>
        <w:t>合同尾款3%质保期满后</w:t>
      </w:r>
      <w:r>
        <w:rPr>
          <w:rFonts w:hint="eastAsia" w:ascii="宋体" w:hAnsi="宋体" w:eastAsia="宋体" w:cs="宋体"/>
          <w:b w:val="0"/>
          <w:bCs/>
          <w:color w:val="auto"/>
          <w:kern w:val="0"/>
          <w:szCs w:val="21"/>
          <w:highlight w:val="none"/>
          <w:lang w:val="zh-TW" w:bidi="zh-TW"/>
        </w:rPr>
        <w:t>无质量问题一次性无息结清。</w:t>
      </w:r>
      <w:r>
        <w:rPr>
          <w:rFonts w:hint="eastAsia" w:ascii="宋体" w:hAnsi="宋体" w:cs="宋体"/>
          <w:b w:val="0"/>
          <w:bCs/>
          <w:color w:val="auto"/>
          <w:kern w:val="0"/>
          <w:szCs w:val="21"/>
          <w:highlight w:val="none"/>
          <w:lang w:val="en-US" w:eastAsia="zh-CN" w:bidi="zh-TW"/>
        </w:rPr>
        <w:t>采购人应在收到发票后15个工作日内付款。</w:t>
      </w:r>
      <w:r>
        <w:rPr>
          <w:rFonts w:hint="eastAsia" w:cs="Times New Roman"/>
          <w:b w:val="0"/>
          <w:bCs/>
          <w:color w:val="auto"/>
          <w:szCs w:val="24"/>
          <w:highlight w:val="none"/>
          <w:lang w:val="en-US" w:eastAsia="zh-CN"/>
        </w:rPr>
        <w:t xml:space="preserve"> </w:t>
      </w:r>
    </w:p>
    <w:p w14:paraId="386C5E5A">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三</w:t>
      </w:r>
      <w:r>
        <w:rPr>
          <w:rFonts w:hint="eastAsia" w:ascii="宋体" w:hAnsi="宋体" w:eastAsia="宋体" w:cs="宋体"/>
          <w:b/>
          <w:color w:val="auto"/>
          <w:kern w:val="0"/>
          <w:szCs w:val="21"/>
          <w:highlight w:val="none"/>
          <w:lang w:val="zh-TW" w:bidi="zh-TW"/>
        </w:rPr>
        <w:t>、产品运输、保险及保管</w:t>
      </w:r>
    </w:p>
    <w:p w14:paraId="6445212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负责产品的全部运输，包括所产生的一切材料费、工具费、人工费、手续费、差旅费、食宿费和加班费等，由于搬运、装卸、吊装及运输不当造成的各种事故责任和损失由</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承担。</w:t>
      </w:r>
    </w:p>
    <w:p w14:paraId="5E1A8296">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负责产品在项目地点的保管，直至项目验收合格。</w:t>
      </w:r>
    </w:p>
    <w:p w14:paraId="39A15CC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负责其派出的工作人员的人身意外保险。</w:t>
      </w:r>
    </w:p>
    <w:p w14:paraId="023EA82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应保证产品包装完整，</w:t>
      </w:r>
      <w:r>
        <w:rPr>
          <w:rFonts w:hint="eastAsia" w:ascii="宋体" w:hAnsi="宋体" w:eastAsia="宋体" w:cs="宋体"/>
          <w:color w:val="auto"/>
          <w:szCs w:val="21"/>
          <w:highlight w:val="none"/>
          <w:lang w:eastAsia="zh-CN"/>
        </w:rPr>
        <w:t>原厂原包装送货</w:t>
      </w:r>
      <w:r>
        <w:rPr>
          <w:rFonts w:hint="eastAsia" w:ascii="宋体" w:hAnsi="宋体" w:eastAsia="宋体" w:cs="宋体"/>
          <w:color w:val="auto"/>
          <w:szCs w:val="21"/>
          <w:highlight w:val="none"/>
        </w:rPr>
        <w:t>到达指定的交货地点前未拆封</w:t>
      </w:r>
      <w:r>
        <w:rPr>
          <w:rFonts w:hint="eastAsia" w:ascii="宋体" w:hAnsi="宋体" w:eastAsia="宋体" w:cs="宋体"/>
          <w:color w:val="auto"/>
          <w:szCs w:val="21"/>
          <w:highlight w:val="none"/>
          <w:lang w:eastAsia="zh-CN"/>
        </w:rPr>
        <w:t>，经采购人指定人员验证后方可开箱。</w:t>
      </w:r>
    </w:p>
    <w:p w14:paraId="5FA6671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在接到采购人送货通知后，按采购人要求运送至指定地点，货物经采购人现场验收合格后统一签收，</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自行负责现场保管责任，现场卸货由</w:t>
      </w:r>
      <w:r>
        <w:rPr>
          <w:rFonts w:hint="eastAsia" w:ascii="宋体" w:hAnsi="宋体" w:cs="宋体"/>
          <w:color w:val="auto"/>
          <w:szCs w:val="21"/>
          <w:highlight w:val="none"/>
          <w:lang w:eastAsia="zh-CN"/>
        </w:rPr>
        <w:t>中标单位</w:t>
      </w:r>
      <w:r>
        <w:rPr>
          <w:rFonts w:hint="eastAsia" w:ascii="宋体" w:hAnsi="宋体" w:eastAsia="宋体" w:cs="宋体"/>
          <w:color w:val="auto"/>
          <w:szCs w:val="21"/>
          <w:highlight w:val="none"/>
        </w:rPr>
        <w:t>承担。</w:t>
      </w:r>
    </w:p>
    <w:p w14:paraId="18603CD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Times New Roman" w:hAnsi="Times New Roman" w:eastAsia="宋体" w:cs="Times New Roman"/>
          <w:color w:val="auto"/>
          <w:szCs w:val="21"/>
          <w:highlight w:val="none"/>
        </w:rPr>
      </w:pPr>
      <w:r>
        <w:rPr>
          <w:rFonts w:hint="eastAsia" w:ascii="宋体" w:hAnsi="宋体" w:eastAsia="宋体" w:cs="宋体"/>
          <w:color w:val="auto"/>
          <w:szCs w:val="21"/>
          <w:highlight w:val="none"/>
        </w:rPr>
        <w:t>6</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本项目采用费用包干方式建设，</w:t>
      </w:r>
      <w:r>
        <w:rPr>
          <w:rFonts w:hint="eastAsia" w:ascii="宋体" w:hAnsi="宋体" w:eastAsia="宋体" w:cs="宋体"/>
          <w:color w:val="auto"/>
          <w:szCs w:val="21"/>
          <w:highlight w:val="none"/>
          <w:lang w:eastAsia="zh-CN"/>
        </w:rPr>
        <w:t>合同总价包含但不限于项目所需的货物、材料购置等费用。</w:t>
      </w:r>
      <w:r>
        <w:rPr>
          <w:rFonts w:hint="eastAsia" w:ascii="宋体" w:hAnsi="宋体" w:eastAsia="宋体" w:cs="宋体"/>
          <w:color w:val="auto"/>
          <w:szCs w:val="21"/>
          <w:highlight w:val="none"/>
        </w:rPr>
        <w:t>供应商应根据项目要求和现场情况，详细列明项目所需的</w:t>
      </w:r>
      <w:r>
        <w:rPr>
          <w:rFonts w:hint="eastAsia" w:ascii="宋体" w:hAnsi="宋体" w:eastAsia="宋体" w:cs="宋体"/>
          <w:color w:val="auto"/>
          <w:szCs w:val="21"/>
          <w:highlight w:val="none"/>
          <w:lang w:eastAsia="zh-CN"/>
        </w:rPr>
        <w:t>货物、</w:t>
      </w:r>
      <w:r>
        <w:rPr>
          <w:rFonts w:hint="eastAsia" w:ascii="宋体" w:hAnsi="宋体" w:eastAsia="宋体" w:cs="宋体"/>
          <w:color w:val="auto"/>
          <w:szCs w:val="21"/>
          <w:highlight w:val="none"/>
        </w:rPr>
        <w:t>设备及材料购置，以及产品运输保险保管、项目安装调试、税费、试运行测试通过验收、质保期免费保修维护等所有人工、管理、财务</w:t>
      </w:r>
      <w:r>
        <w:rPr>
          <w:rFonts w:hint="eastAsia" w:ascii="宋体" w:hAnsi="宋体" w:eastAsia="宋体" w:cs="宋体"/>
          <w:color w:val="auto"/>
          <w:szCs w:val="21"/>
          <w:highlight w:val="none"/>
          <w:lang w:eastAsia="zh-CN"/>
        </w:rPr>
        <w:t>、税金</w:t>
      </w:r>
      <w:r>
        <w:rPr>
          <w:rFonts w:hint="eastAsia" w:ascii="宋体" w:hAnsi="宋体" w:eastAsia="宋体" w:cs="宋体"/>
          <w:color w:val="auto"/>
          <w:szCs w:val="21"/>
          <w:highlight w:val="none"/>
        </w:rPr>
        <w:t>等所有费用，如一旦中标，在项目实施中出现任何遗漏，均由中标人免费提供，采购人不再支付任何费用。</w:t>
      </w:r>
    </w:p>
    <w:p w14:paraId="154FF01C">
      <w:pPr>
        <w:keepNext w:val="0"/>
        <w:keepLines w:val="0"/>
        <w:pageBreakBefore w:val="0"/>
        <w:widowControl w:val="0"/>
        <w:kinsoku/>
        <w:wordWrap/>
        <w:overflowPunct/>
        <w:topLinePunct w:val="0"/>
        <w:autoSpaceDE/>
        <w:autoSpaceDN/>
        <w:bidi w:val="0"/>
        <w:spacing w:line="360" w:lineRule="auto"/>
        <w:jc w:val="left"/>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四</w:t>
      </w:r>
      <w:r>
        <w:rPr>
          <w:rFonts w:hint="eastAsia" w:ascii="宋体" w:hAnsi="宋体" w:eastAsia="宋体" w:cs="宋体"/>
          <w:b/>
          <w:color w:val="auto"/>
          <w:kern w:val="0"/>
          <w:szCs w:val="21"/>
          <w:highlight w:val="none"/>
          <w:lang w:val="zh-TW" w:bidi="zh-TW"/>
        </w:rPr>
        <w:t>、安装调试</w:t>
      </w:r>
    </w:p>
    <w:p w14:paraId="4783FEA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负责产品免费送货上门，免费安装、调试</w:t>
      </w:r>
      <w:r>
        <w:rPr>
          <w:rFonts w:hint="eastAsia" w:ascii="Calibri" w:hAnsi="Calibri" w:eastAsia="宋体" w:cs="Times New Roman"/>
          <w:color w:val="auto"/>
          <w:szCs w:val="21"/>
          <w:highlight w:val="none"/>
          <w:lang w:eastAsia="zh-CN"/>
        </w:rPr>
        <w:t>、验收、售后服务等</w:t>
      </w:r>
      <w:r>
        <w:rPr>
          <w:rFonts w:hint="eastAsia" w:ascii="Calibri" w:hAnsi="Calibri" w:eastAsia="宋体" w:cs="Times New Roman"/>
          <w:color w:val="auto"/>
          <w:szCs w:val="21"/>
          <w:highlight w:val="none"/>
        </w:rPr>
        <w:t>，由此所产生的一切材料费、工具费、人工费、手续费、差旅费、食宿费和加班费、及协调费等，均由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承担。安装调试期间所发现一切安全和质量事故及费用，均由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49B768A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2</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送达产品及进行安装调试，应和采购人及采购单位取得联系，以便采购人及采购单位安排验货和配合安装调试等工作。</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须加强安装调试过程的组织管理，所有安装调试人员须遵守文明安全操作的有关规章制度，持证上岗。</w:t>
      </w:r>
    </w:p>
    <w:p w14:paraId="1605C85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项目完成后，</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应将项目有关的全部资料，包括产品资料、技术文档</w:t>
      </w:r>
      <w:r>
        <w:rPr>
          <w:rFonts w:hint="eastAsia" w:ascii="Calibri" w:hAnsi="Calibri" w:eastAsia="宋体" w:cs="Times New Roman"/>
          <w:color w:val="auto"/>
          <w:szCs w:val="21"/>
          <w:highlight w:val="none"/>
          <w:lang w:eastAsia="zh-CN"/>
        </w:rPr>
        <w:t>、使用说明书</w:t>
      </w:r>
      <w:r>
        <w:rPr>
          <w:rFonts w:hint="eastAsia" w:ascii="Calibri" w:hAnsi="Calibri" w:eastAsia="宋体" w:cs="Times New Roman"/>
          <w:color w:val="auto"/>
          <w:szCs w:val="21"/>
          <w:highlight w:val="none"/>
        </w:rPr>
        <w:t>及采购人要求的相关资料等，移交采购人。</w:t>
      </w:r>
    </w:p>
    <w:p w14:paraId="3AAC041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4、设备运行不正常或达不到预期效果，将暂停验收，直至整改完毕。</w:t>
      </w:r>
    </w:p>
    <w:p w14:paraId="718DA60F">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ascii="Calibri" w:hAnsi="Calibri" w:eastAsia="宋体" w:cs="Times New Roman"/>
          <w:color w:val="auto"/>
          <w:szCs w:val="21"/>
          <w:highlight w:val="none"/>
        </w:rPr>
      </w:pPr>
      <w:r>
        <w:rPr>
          <w:rFonts w:hint="eastAsia" w:ascii="Calibri" w:hAnsi="Calibri" w:eastAsia="宋体" w:cs="Times New Roman"/>
          <w:b/>
          <w:color w:val="auto"/>
          <w:szCs w:val="21"/>
          <w:highlight w:val="none"/>
          <w:lang w:val="en-US" w:eastAsia="zh-CN"/>
        </w:rPr>
        <w:t>五</w:t>
      </w:r>
      <w:r>
        <w:rPr>
          <w:rFonts w:hint="eastAsia" w:ascii="Calibri" w:hAnsi="Calibri" w:eastAsia="宋体" w:cs="Times New Roman"/>
          <w:b/>
          <w:color w:val="auto"/>
          <w:szCs w:val="21"/>
          <w:highlight w:val="none"/>
        </w:rPr>
        <w:t>、验收要求</w:t>
      </w:r>
    </w:p>
    <w:p w14:paraId="48C883D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s="宋体"/>
          <w:color w:val="auto"/>
          <w:szCs w:val="21"/>
          <w:highlight w:val="none"/>
        </w:rPr>
      </w:pPr>
      <w:bookmarkStart w:id="3" w:name="bookmark346"/>
      <w:bookmarkEnd w:id="3"/>
      <w:bookmarkStart w:id="4" w:name="bookmark348"/>
      <w:r>
        <w:rPr>
          <w:rFonts w:hint="eastAsia" w:ascii="宋体" w:hAnsi="宋体" w:cs="宋体"/>
          <w:color w:val="auto"/>
          <w:szCs w:val="21"/>
          <w:highlight w:val="none"/>
        </w:rPr>
        <w:t>货物</w:t>
      </w:r>
      <w:r>
        <w:rPr>
          <w:rFonts w:hint="eastAsia" w:ascii="宋体" w:hAnsi="宋体" w:cs="宋体"/>
          <w:color w:val="auto"/>
          <w:szCs w:val="21"/>
          <w:highlight w:val="none"/>
          <w:lang w:eastAsia="zh-CN"/>
        </w:rPr>
        <w:t>运抵</w:t>
      </w:r>
      <w:r>
        <w:rPr>
          <w:rFonts w:hint="eastAsia" w:ascii="宋体" w:hAnsi="宋体" w:cs="宋体"/>
          <w:color w:val="auto"/>
          <w:szCs w:val="21"/>
          <w:highlight w:val="none"/>
        </w:rPr>
        <w:t>采购方指定地点后，由采购方对型号、外观质量、随车备品备件、技术资料等进行检查，要求</w:t>
      </w:r>
      <w:r>
        <w:rPr>
          <w:rFonts w:hint="eastAsia" w:ascii="宋体" w:hAnsi="宋体" w:cs="宋体"/>
          <w:color w:val="auto"/>
          <w:szCs w:val="21"/>
          <w:highlight w:val="none"/>
          <w:lang w:eastAsia="zh-CN"/>
        </w:rPr>
        <w:t>中标单位</w:t>
      </w:r>
      <w:r>
        <w:rPr>
          <w:rFonts w:hint="eastAsia" w:ascii="宋体" w:hAnsi="宋体" w:cs="宋体"/>
          <w:color w:val="auto"/>
          <w:szCs w:val="21"/>
          <w:highlight w:val="none"/>
        </w:rPr>
        <w:t>提供验收方案，与采购方协商后确定。要求</w:t>
      </w:r>
      <w:r>
        <w:rPr>
          <w:rFonts w:hint="eastAsia" w:ascii="宋体" w:hAnsi="宋体" w:cs="宋体"/>
          <w:color w:val="auto"/>
          <w:szCs w:val="21"/>
          <w:highlight w:val="none"/>
          <w:lang w:eastAsia="zh-CN"/>
        </w:rPr>
        <w:t>中标单位</w:t>
      </w:r>
      <w:r>
        <w:rPr>
          <w:rFonts w:hint="eastAsia" w:ascii="宋体" w:hAnsi="宋体" w:cs="宋体"/>
          <w:color w:val="auto"/>
          <w:szCs w:val="21"/>
          <w:highlight w:val="none"/>
        </w:rPr>
        <w:t>在验收前向采购方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0D2E17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项目验收国家有强制性规定的，按国家规定执行，环保等相关部门检测费用（如有）和其他验收费用由</w:t>
      </w:r>
      <w:r>
        <w:rPr>
          <w:rFonts w:hint="eastAsia" w:ascii="宋体" w:hAnsi="宋体" w:eastAsia="宋体" w:cs="宋体"/>
          <w:color w:val="auto"/>
          <w:kern w:val="0"/>
          <w:szCs w:val="21"/>
          <w:highlight w:val="none"/>
          <w:lang w:eastAsia="zh-CN" w:bidi="zh-TW"/>
        </w:rPr>
        <w:t>中标单位</w:t>
      </w:r>
      <w:r>
        <w:rPr>
          <w:rFonts w:hint="eastAsia" w:ascii="Calibri" w:hAnsi="Calibri" w:eastAsia="宋体" w:cs="Times New Roman"/>
          <w:color w:val="auto"/>
          <w:szCs w:val="21"/>
          <w:highlight w:val="none"/>
        </w:rPr>
        <w:t>全部承担，验收报告作为申请付款的凭证之一。</w:t>
      </w:r>
    </w:p>
    <w:p w14:paraId="3D0C2A3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2</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验收过程中产生纠纷的，由质量技术监督部门认定的检测机构检测</w:t>
      </w:r>
      <w:r>
        <w:rPr>
          <w:rFonts w:hint="eastAsia" w:ascii="Calibri" w:hAnsi="Calibri" w:eastAsia="宋体" w:cs="Times New Roman"/>
          <w:color w:val="auto"/>
          <w:szCs w:val="21"/>
          <w:highlight w:val="none"/>
          <w:lang w:eastAsia="zh-CN"/>
        </w:rPr>
        <w:t>，由此而发生的费用</w:t>
      </w:r>
      <w:r>
        <w:rPr>
          <w:rFonts w:hint="eastAsia" w:ascii="Calibri" w:hAnsi="Calibri" w:eastAsia="宋体" w:cs="Times New Roman"/>
          <w:color w:val="auto"/>
          <w:szCs w:val="21"/>
          <w:highlight w:val="none"/>
        </w:rPr>
        <w:t>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06A11A8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验收内容：验收过程中需按产品主要功能、技术指标要求一一进行测试；测试结果不符合要求的视同验收不合格，采购方有权要求</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进行返工整改。</w:t>
      </w:r>
    </w:p>
    <w:p w14:paraId="57C56E06">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4</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项目验收不合格，由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返工直至合格，有关返工、再行验收及由此造成的工期延误责任及给采购人造成的损失等费用由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承担。如经两次项目验收不合格的，采购人有权解除合同，另行选择其他供应商采购，</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应将采购人已支付款项退还给采购人，且由此带来的一切损失由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承担。</w:t>
      </w:r>
    </w:p>
    <w:p w14:paraId="5B22054D">
      <w:pPr>
        <w:keepNext w:val="0"/>
        <w:keepLines w:val="0"/>
        <w:pageBreakBefore w:val="0"/>
        <w:widowControl w:val="0"/>
        <w:tabs>
          <w:tab w:val="left" w:pos="925"/>
        </w:tabs>
        <w:kinsoku/>
        <w:wordWrap/>
        <w:overflowPunct/>
        <w:topLinePunct w:val="0"/>
        <w:autoSpaceDE/>
        <w:autoSpaceDN/>
        <w:bidi w:val="0"/>
        <w:spacing w:line="360" w:lineRule="auto"/>
        <w:ind w:firstLine="440"/>
        <w:textAlignment w:val="auto"/>
        <w:rPr>
          <w:rFonts w:ascii="宋体" w:hAnsi="宋体" w:eastAsia="宋体" w:cs="宋体"/>
          <w:b/>
          <w:color w:val="auto"/>
          <w:kern w:val="0"/>
          <w:szCs w:val="21"/>
          <w:highlight w:val="none"/>
          <w:lang w:val="zh-TW" w:bidi="zh-TW"/>
        </w:rPr>
      </w:pPr>
      <w:r>
        <w:rPr>
          <w:rFonts w:hint="eastAsia" w:ascii="宋体" w:hAnsi="宋体" w:eastAsia="宋体" w:cs="宋体"/>
          <w:b/>
          <w:color w:val="auto"/>
          <w:kern w:val="0"/>
          <w:szCs w:val="21"/>
          <w:highlight w:val="none"/>
          <w:lang w:val="en-US" w:eastAsia="zh-CN" w:bidi="zh-TW"/>
        </w:rPr>
        <w:t>六</w:t>
      </w:r>
      <w:r>
        <w:rPr>
          <w:rFonts w:hint="eastAsia" w:ascii="宋体" w:hAnsi="宋体" w:eastAsia="宋体" w:cs="宋体"/>
          <w:b/>
          <w:color w:val="auto"/>
          <w:kern w:val="0"/>
          <w:szCs w:val="21"/>
          <w:highlight w:val="none"/>
          <w:lang w:val="zh-TW" w:bidi="zh-TW"/>
        </w:rPr>
        <w:t>、售后服务</w:t>
      </w:r>
    </w:p>
    <w:p w14:paraId="3323AA7F">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1</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技术支持</w:t>
      </w:r>
    </w:p>
    <w:p w14:paraId="47AA621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提供 7×24 小时的技术咨询服务，</w:t>
      </w:r>
      <w:r>
        <w:rPr>
          <w:rFonts w:hint="eastAsia" w:ascii="Calibri" w:hAnsi="Calibri" w:cs="Times New Roman"/>
          <w:color w:val="auto"/>
          <w:szCs w:val="21"/>
          <w:highlight w:val="none"/>
          <w:lang w:val="en-US" w:eastAsia="zh-CN"/>
        </w:rPr>
        <w:t>1</w:t>
      </w:r>
      <w:r>
        <w:rPr>
          <w:rFonts w:hint="eastAsia" w:ascii="Calibri" w:hAnsi="Calibri" w:eastAsia="宋体" w:cs="Times New Roman"/>
          <w:color w:val="auto"/>
          <w:szCs w:val="21"/>
          <w:highlight w:val="none"/>
        </w:rPr>
        <w:t>小时内响应</w:t>
      </w:r>
      <w:r>
        <w:rPr>
          <w:rFonts w:hint="eastAsia" w:ascii="Calibri" w:hAnsi="Calibri" w:eastAsia="宋体" w:cs="Times New Roman"/>
          <w:color w:val="auto"/>
          <w:szCs w:val="21"/>
          <w:highlight w:val="none"/>
          <w:lang w:eastAsia="zh-CN"/>
        </w:rPr>
        <w:t>（支持内容包括电话咨询、本地服务）</w:t>
      </w:r>
      <w:r>
        <w:rPr>
          <w:rFonts w:hint="eastAsia" w:ascii="Calibri" w:hAnsi="Calibri" w:eastAsia="宋体" w:cs="Times New Roman"/>
          <w:color w:val="auto"/>
          <w:szCs w:val="21"/>
          <w:highlight w:val="none"/>
        </w:rPr>
        <w:t>。</w:t>
      </w:r>
    </w:p>
    <w:p w14:paraId="1D8526B4">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2</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故障响应</w:t>
      </w:r>
    </w:p>
    <w:p w14:paraId="47D5137B">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Calibri" w:hAnsi="Calibri" w:eastAsia="宋体" w:cs="Times New Roman"/>
          <w:color w:val="auto"/>
          <w:szCs w:val="21"/>
          <w:highlight w:val="none"/>
        </w:rPr>
      </w:pPr>
      <w:r>
        <w:rPr>
          <w:rFonts w:hint="eastAsia" w:ascii="Calibri" w:hAnsi="Calibri" w:eastAsia="宋体" w:cs="Times New Roman"/>
          <w:color w:val="auto"/>
          <w:szCs w:val="21"/>
          <w:highlight w:val="none"/>
        </w:rPr>
        <w:t>①备件服务：遇到重大故障，提供系统所需更换的任何备件提供7×24小时的故障服务受理。</w:t>
      </w:r>
    </w:p>
    <w:p w14:paraId="161E5E6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eastAsia="zh-CN"/>
        </w:rPr>
      </w:pPr>
      <w:r>
        <w:rPr>
          <w:rFonts w:hint="eastAsia" w:ascii="Calibri" w:hAnsi="Calibri" w:eastAsia="宋体" w:cs="Times New Roman"/>
          <w:color w:val="auto"/>
          <w:szCs w:val="21"/>
          <w:highlight w:val="none"/>
        </w:rPr>
        <w:t>②</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必须提供</w:t>
      </w:r>
      <w:r>
        <w:rPr>
          <w:rFonts w:ascii="Calibri" w:hAnsi="Calibri" w:eastAsia="宋体" w:cs="Times New Roman"/>
          <w:color w:val="auto"/>
          <w:szCs w:val="21"/>
          <w:highlight w:val="none"/>
        </w:rPr>
        <w:t>7×24</w:t>
      </w:r>
      <w:r>
        <w:rPr>
          <w:rFonts w:hint="eastAsia" w:ascii="Calibri" w:hAnsi="Calibri" w:eastAsia="宋体" w:cs="Times New Roman"/>
          <w:color w:val="auto"/>
          <w:szCs w:val="21"/>
          <w:highlight w:val="none"/>
        </w:rPr>
        <w:t>小时</w:t>
      </w:r>
      <w:r>
        <w:rPr>
          <w:rFonts w:hint="eastAsia" w:ascii="Calibri" w:hAnsi="Calibri" w:cs="Times New Roman"/>
          <w:color w:val="auto"/>
          <w:szCs w:val="21"/>
          <w:highlight w:val="none"/>
          <w:lang w:eastAsia="zh-CN"/>
        </w:rPr>
        <w:t>故障受理</w:t>
      </w:r>
      <w:r>
        <w:rPr>
          <w:rFonts w:hint="eastAsia" w:ascii="Calibri" w:hAnsi="Calibri" w:eastAsia="宋体" w:cs="Times New Roman"/>
          <w:color w:val="auto"/>
          <w:szCs w:val="21"/>
          <w:highlight w:val="none"/>
        </w:rPr>
        <w:t>热线，</w:t>
      </w:r>
      <w:r>
        <w:rPr>
          <w:rFonts w:hint="eastAsia" w:ascii="Calibri" w:hAnsi="Calibri" w:cs="Times New Roman"/>
          <w:color w:val="auto"/>
          <w:szCs w:val="21"/>
          <w:highlight w:val="none"/>
          <w:lang w:eastAsia="zh-CN"/>
        </w:rPr>
        <w:t>一般故障在接到</w:t>
      </w:r>
      <w:r>
        <w:rPr>
          <w:rFonts w:hint="eastAsia" w:ascii="Calibri" w:hAnsi="Calibri" w:eastAsia="宋体" w:cs="Times New Roman"/>
          <w:color w:val="auto"/>
          <w:szCs w:val="21"/>
          <w:highlight w:val="none"/>
        </w:rPr>
        <w:t>维修通知后</w:t>
      </w:r>
      <w:r>
        <w:rPr>
          <w:rFonts w:hint="eastAsia" w:ascii="Calibri" w:hAnsi="Calibri" w:cs="Times New Roman"/>
          <w:color w:val="auto"/>
          <w:szCs w:val="21"/>
          <w:highlight w:val="none"/>
          <w:lang w:val="en-US" w:eastAsia="zh-CN"/>
        </w:rPr>
        <w:t>30</w:t>
      </w:r>
      <w:r>
        <w:rPr>
          <w:rFonts w:ascii="Calibri" w:hAnsi="Calibri" w:eastAsia="宋体" w:cs="Times New Roman"/>
          <w:color w:val="auto"/>
          <w:szCs w:val="21"/>
          <w:highlight w:val="none"/>
        </w:rPr>
        <w:t xml:space="preserve"> </w:t>
      </w:r>
      <w:r>
        <w:rPr>
          <w:rFonts w:hint="eastAsia" w:ascii="Calibri" w:hAnsi="Calibri" w:eastAsia="宋体" w:cs="Times New Roman"/>
          <w:color w:val="auto"/>
          <w:szCs w:val="21"/>
          <w:highlight w:val="none"/>
        </w:rPr>
        <w:t>分钟内给予答复，</w:t>
      </w:r>
      <w:r>
        <w:rPr>
          <w:rFonts w:hint="eastAsia" w:ascii="Calibri" w:hAnsi="Calibri" w:cs="Times New Roman"/>
          <w:color w:val="auto"/>
          <w:szCs w:val="21"/>
          <w:highlight w:val="none"/>
          <w:lang w:eastAsia="zh-CN"/>
        </w:rPr>
        <w:t>重大故障</w:t>
      </w:r>
      <w:r>
        <w:rPr>
          <w:rFonts w:hint="eastAsia" w:ascii="Calibri" w:hAnsi="Calibri" w:eastAsia="宋体" w:cs="Times New Roman"/>
          <w:color w:val="auto"/>
          <w:szCs w:val="21"/>
          <w:highlight w:val="none"/>
        </w:rPr>
        <w:t>保证在接到故障电话后</w:t>
      </w:r>
      <w:r>
        <w:rPr>
          <w:rFonts w:hint="eastAsia" w:ascii="Calibri" w:hAnsi="Calibri" w:cs="Times New Roman"/>
          <w:color w:val="auto"/>
          <w:szCs w:val="21"/>
          <w:highlight w:val="none"/>
          <w:lang w:val="en-US" w:eastAsia="zh-CN"/>
        </w:rPr>
        <w:t>3</w:t>
      </w:r>
      <w:r>
        <w:rPr>
          <w:rFonts w:hint="eastAsia" w:ascii="Calibri" w:hAnsi="Calibri" w:eastAsia="宋体" w:cs="Times New Roman"/>
          <w:color w:val="auto"/>
          <w:szCs w:val="21"/>
          <w:highlight w:val="none"/>
        </w:rPr>
        <w:t>小时内到场，并在</w:t>
      </w:r>
      <w:r>
        <w:rPr>
          <w:rFonts w:hint="eastAsia" w:ascii="Calibri" w:hAnsi="Calibri" w:cs="Times New Roman"/>
          <w:color w:val="auto"/>
          <w:szCs w:val="21"/>
          <w:highlight w:val="none"/>
          <w:lang w:val="en-US" w:eastAsia="zh-CN"/>
        </w:rPr>
        <w:t>8</w:t>
      </w:r>
      <w:r>
        <w:rPr>
          <w:rFonts w:hint="eastAsia" w:ascii="Calibri" w:hAnsi="Calibri" w:eastAsia="宋体" w:cs="Times New Roman"/>
          <w:color w:val="auto"/>
          <w:szCs w:val="21"/>
          <w:highlight w:val="none"/>
        </w:rPr>
        <w:t>小时内解决故障，对严重影响系统运行的故障应在</w:t>
      </w:r>
      <w:r>
        <w:rPr>
          <w:rFonts w:hint="eastAsia" w:ascii="Calibri" w:hAnsi="Calibri" w:cs="Times New Roman"/>
          <w:color w:val="auto"/>
          <w:szCs w:val="21"/>
          <w:highlight w:val="none"/>
          <w:lang w:val="en-US" w:eastAsia="zh-CN"/>
        </w:rPr>
        <w:t>24</w:t>
      </w:r>
      <w:r>
        <w:rPr>
          <w:rFonts w:hint="eastAsia" w:ascii="Calibri" w:hAnsi="Calibri" w:eastAsia="宋体" w:cs="Times New Roman"/>
          <w:color w:val="auto"/>
          <w:szCs w:val="21"/>
          <w:highlight w:val="none"/>
        </w:rPr>
        <w:t>小时内解决。若</w:t>
      </w:r>
      <w:r>
        <w:rPr>
          <w:rFonts w:hint="eastAsia" w:ascii="Calibri" w:hAnsi="Calibri" w:cs="Times New Roman"/>
          <w:color w:val="auto"/>
          <w:szCs w:val="21"/>
          <w:highlight w:val="none"/>
          <w:lang w:val="en-US" w:eastAsia="zh-CN"/>
        </w:rPr>
        <w:t>24</w:t>
      </w:r>
      <w:r>
        <w:rPr>
          <w:rFonts w:hint="eastAsia" w:ascii="Calibri" w:hAnsi="Calibri" w:eastAsia="宋体" w:cs="Times New Roman"/>
          <w:color w:val="auto"/>
          <w:szCs w:val="21"/>
          <w:highlight w:val="none"/>
        </w:rPr>
        <w:t>小时内无法修复或需要返厂进行维修的，</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必须提供不低于同档次的替代设备给采购人使用，直到故障设备修复正常使用为止，以保证采购方最终用户单位工作</w:t>
      </w:r>
      <w:r>
        <w:rPr>
          <w:rFonts w:hint="eastAsia" w:ascii="Calibri" w:hAnsi="Calibri" w:eastAsia="宋体" w:cs="Times New Roman"/>
          <w:color w:val="auto"/>
          <w:szCs w:val="21"/>
          <w:highlight w:val="none"/>
          <w:lang w:eastAsia="zh-CN"/>
        </w:rPr>
        <w:t>的</w:t>
      </w:r>
      <w:r>
        <w:rPr>
          <w:rFonts w:hint="eastAsia" w:ascii="Calibri" w:hAnsi="Calibri" w:eastAsia="宋体" w:cs="Times New Roman"/>
          <w:color w:val="auto"/>
          <w:szCs w:val="21"/>
          <w:highlight w:val="none"/>
        </w:rPr>
        <w:t>正常开展</w:t>
      </w:r>
      <w:r>
        <w:rPr>
          <w:rFonts w:hint="eastAsia" w:ascii="Calibri" w:hAnsi="Calibri" w:cs="Times New Roman"/>
          <w:color w:val="auto"/>
          <w:szCs w:val="21"/>
          <w:highlight w:val="none"/>
          <w:lang w:eastAsia="zh-CN"/>
        </w:rPr>
        <w:t>。</w:t>
      </w:r>
    </w:p>
    <w:p w14:paraId="3F7C6CB0">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lang w:val="en-US" w:eastAsia="zh-CN"/>
        </w:rPr>
        <w:t>3</w:t>
      </w:r>
      <w:r>
        <w:rPr>
          <w:rFonts w:hint="eastAsia" w:ascii="Calibri" w:hAnsi="Calibri" w:eastAsia="宋体" w:cs="Times New Roman"/>
          <w:color w:val="auto"/>
          <w:szCs w:val="21"/>
          <w:highlight w:val="none"/>
          <w:lang w:eastAsia="zh-CN"/>
        </w:rPr>
        <w:t>、</w:t>
      </w:r>
      <w:r>
        <w:rPr>
          <w:rFonts w:hint="eastAsia" w:ascii="Calibri" w:hAnsi="Calibri" w:eastAsia="宋体" w:cs="Times New Roman"/>
          <w:color w:val="auto"/>
          <w:szCs w:val="21"/>
          <w:highlight w:val="none"/>
        </w:rPr>
        <w:t>在质保期内</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应对产品质量实行三包，质保期内出现任何质量问题（人为破坏或自然灾害等不可抗力除外），由</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负责全免费（免全部工时费、材料费、管理费、财务费等等）更换</w:t>
      </w:r>
      <w:r>
        <w:rPr>
          <w:rFonts w:hint="eastAsia" w:ascii="Calibri" w:hAnsi="Calibri" w:cs="Times New Roman"/>
          <w:color w:val="auto"/>
          <w:szCs w:val="21"/>
          <w:highlight w:val="none"/>
          <w:lang w:eastAsia="zh-CN"/>
        </w:rPr>
        <w:t>、</w:t>
      </w:r>
      <w:r>
        <w:rPr>
          <w:rFonts w:hint="eastAsia" w:ascii="Calibri" w:hAnsi="Calibri" w:eastAsia="宋体" w:cs="Times New Roman"/>
          <w:color w:val="auto"/>
          <w:szCs w:val="21"/>
          <w:highlight w:val="none"/>
        </w:rPr>
        <w:t>维修</w:t>
      </w:r>
      <w:r>
        <w:rPr>
          <w:rFonts w:hint="eastAsia" w:ascii="Calibri" w:hAnsi="Calibri" w:cs="Times New Roman"/>
          <w:color w:val="auto"/>
          <w:szCs w:val="21"/>
          <w:highlight w:val="none"/>
          <w:lang w:val="en-US" w:eastAsia="zh-CN"/>
        </w:rPr>
        <w:t>或提供不低于同档次的替代设备给采购人使用</w:t>
      </w:r>
      <w:r>
        <w:rPr>
          <w:rFonts w:hint="eastAsia" w:ascii="Calibri" w:hAnsi="Calibri" w:eastAsia="宋体" w:cs="Times New Roman"/>
          <w:color w:val="auto"/>
          <w:szCs w:val="21"/>
          <w:highlight w:val="none"/>
        </w:rPr>
        <w:t>；质保期内设备出现两次重大相同故障，</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必须无条件免费更换全新的合格产品，且更换后的产品必须符合本合同约定要求。质保期满后，</w:t>
      </w:r>
      <w:r>
        <w:rPr>
          <w:rFonts w:hint="eastAsia" w:ascii="Calibri" w:hAnsi="Calibri" w:cs="Times New Roman"/>
          <w:color w:val="auto"/>
          <w:szCs w:val="21"/>
          <w:highlight w:val="none"/>
          <w:lang w:val="en-US" w:eastAsia="zh-CN"/>
        </w:rPr>
        <w:t>设备维修售后服务只收配件成本费、服务费按市场询价后的最低价收取</w:t>
      </w:r>
      <w:r>
        <w:rPr>
          <w:rFonts w:hint="eastAsia" w:ascii="Calibri" w:hAnsi="Calibri" w:eastAsia="宋体" w:cs="Times New Roman"/>
          <w:color w:val="auto"/>
          <w:szCs w:val="21"/>
          <w:highlight w:val="none"/>
        </w:rPr>
        <w:t>；无论采购人是否另行选择维保供应商，</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应及时优惠提供所需的备品备件。原厂商不能因为设备停产而拒绝提供备品备件，应提供相应的解决方案和同类档次规格的设备。</w:t>
      </w:r>
    </w:p>
    <w:p w14:paraId="2CCE77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4、中标单位需对用车单位的相应操作人员进行免费培训。</w:t>
      </w:r>
    </w:p>
    <w:p w14:paraId="20DE17E5">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b/>
          <w:bCs/>
          <w:snapToGrid w:val="0"/>
          <w:color w:val="auto"/>
          <w:spacing w:val="-4"/>
          <w:sz w:val="21"/>
          <w:szCs w:val="21"/>
          <w:highlight w:val="none"/>
          <w:u w:val="none"/>
          <w:lang w:val="en-US" w:eastAsia="zh-CN"/>
        </w:rPr>
      </w:pPr>
      <w:r>
        <w:rPr>
          <w:rFonts w:hint="eastAsia" w:ascii="宋体" w:hAnsi="宋体" w:cs="宋体"/>
          <w:color w:val="auto"/>
          <w:highlight w:val="none"/>
        </w:rPr>
        <w:t>★</w:t>
      </w:r>
      <w:r>
        <w:rPr>
          <w:rFonts w:hint="eastAsia" w:ascii="Calibri" w:hAnsi="Calibri" w:cs="Times New Roman"/>
          <w:color w:val="auto"/>
          <w:szCs w:val="21"/>
          <w:highlight w:val="none"/>
          <w:lang w:val="en-US" w:eastAsia="zh-CN"/>
        </w:rPr>
        <w:t>5、</w:t>
      </w:r>
      <w:r>
        <w:rPr>
          <w:rStyle w:val="7"/>
          <w:rFonts w:ascii="宋体" w:hAnsi="宋体" w:eastAsia="宋体" w:cs="宋体"/>
          <w:b/>
          <w:bCs/>
          <w:snapToGrid w:val="0"/>
          <w:color w:val="auto"/>
          <w:spacing w:val="-2"/>
          <w:kern w:val="2"/>
          <w:sz w:val="21"/>
          <w:szCs w:val="21"/>
          <w:lang w:val="en-US" w:eastAsia="zh-CN" w:bidi="ar-SA"/>
        </w:rPr>
        <w:t>需配备专业的售后服务团队人员不得少于6人，团队人员须为投标人在职员工</w:t>
      </w:r>
      <w:r>
        <w:rPr>
          <w:rStyle w:val="7"/>
          <w:rFonts w:ascii="宋体" w:hAnsi="宋体" w:eastAsia="宋体" w:cs="宋体"/>
          <w:b/>
          <w:bCs/>
          <w:snapToGrid w:val="0"/>
          <w:color w:val="auto"/>
          <w:spacing w:val="-4"/>
          <w:kern w:val="2"/>
          <w:sz w:val="21"/>
          <w:szCs w:val="21"/>
          <w:lang w:val="en-US" w:eastAsia="zh-CN" w:bidi="ar-SA"/>
        </w:rPr>
        <w:t>。</w:t>
      </w:r>
      <w:r>
        <w:rPr>
          <w:rFonts w:hint="default" w:ascii="宋体" w:hAnsi="宋体" w:eastAsia="宋体" w:cs="宋体"/>
          <w:b/>
          <w:bCs/>
          <w:snapToGrid w:val="0"/>
          <w:color w:val="auto"/>
          <w:spacing w:val="-4"/>
          <w:sz w:val="21"/>
          <w:szCs w:val="21"/>
          <w:highlight w:val="none"/>
          <w:u w:val="none"/>
          <w:lang w:val="en-US" w:eastAsia="zh-CN"/>
        </w:rPr>
        <w:t>售后服务团队人员中需有车辆</w:t>
      </w:r>
      <w:r>
        <w:rPr>
          <w:rFonts w:hint="default" w:ascii="宋体" w:hAnsi="宋体" w:cs="宋体"/>
          <w:b/>
          <w:bCs/>
          <w:snapToGrid w:val="0"/>
          <w:color w:val="auto"/>
          <w:spacing w:val="-4"/>
          <w:sz w:val="21"/>
          <w:szCs w:val="21"/>
          <w:highlight w:val="none"/>
          <w:u w:val="none"/>
          <w:lang w:val="en-US" w:eastAsia="zh-CN"/>
        </w:rPr>
        <w:t>工程或车辆机械类等相关</w:t>
      </w:r>
      <w:r>
        <w:rPr>
          <w:rFonts w:hint="default" w:ascii="宋体" w:hAnsi="宋体" w:eastAsia="宋体" w:cs="宋体"/>
          <w:b/>
          <w:bCs/>
          <w:snapToGrid w:val="0"/>
          <w:color w:val="auto"/>
          <w:spacing w:val="-4"/>
          <w:sz w:val="21"/>
          <w:szCs w:val="21"/>
          <w:highlight w:val="none"/>
          <w:u w:val="none"/>
          <w:lang w:val="en-US" w:eastAsia="zh-CN"/>
        </w:rPr>
        <w:t>专业中级及以上职称或车辆</w:t>
      </w:r>
      <w:r>
        <w:rPr>
          <w:rFonts w:hint="default" w:ascii="宋体" w:hAnsi="宋体" w:cs="宋体"/>
          <w:b/>
          <w:bCs/>
          <w:snapToGrid w:val="0"/>
          <w:color w:val="auto"/>
          <w:spacing w:val="-4"/>
          <w:sz w:val="21"/>
          <w:szCs w:val="21"/>
          <w:highlight w:val="none"/>
          <w:u w:val="none"/>
          <w:lang w:val="en-US" w:eastAsia="zh-CN"/>
        </w:rPr>
        <w:t>机械</w:t>
      </w:r>
      <w:r>
        <w:rPr>
          <w:rFonts w:hint="default" w:ascii="宋体" w:hAnsi="宋体" w:eastAsia="宋体" w:cs="宋体"/>
          <w:b/>
          <w:bCs/>
          <w:snapToGrid w:val="0"/>
          <w:color w:val="auto"/>
          <w:spacing w:val="-4"/>
          <w:sz w:val="21"/>
          <w:szCs w:val="21"/>
          <w:highlight w:val="none"/>
          <w:u w:val="none"/>
          <w:lang w:val="en-US" w:eastAsia="zh-CN"/>
        </w:rPr>
        <w:t>相关</w:t>
      </w:r>
      <w:r>
        <w:rPr>
          <w:rFonts w:hint="default" w:ascii="宋体" w:hAnsi="宋体" w:cs="宋体"/>
          <w:b/>
          <w:bCs/>
          <w:snapToGrid w:val="0"/>
          <w:color w:val="auto"/>
          <w:spacing w:val="-4"/>
          <w:sz w:val="21"/>
          <w:szCs w:val="21"/>
          <w:highlight w:val="none"/>
          <w:u w:val="none"/>
          <w:lang w:val="en-US" w:eastAsia="zh-CN"/>
        </w:rPr>
        <w:t>维修类</w:t>
      </w:r>
      <w:r>
        <w:rPr>
          <w:rFonts w:hint="default" w:ascii="宋体" w:hAnsi="宋体" w:eastAsia="宋体" w:cs="宋体"/>
          <w:b/>
          <w:bCs/>
          <w:snapToGrid w:val="0"/>
          <w:color w:val="auto"/>
          <w:spacing w:val="-4"/>
          <w:sz w:val="21"/>
          <w:szCs w:val="21"/>
          <w:highlight w:val="none"/>
          <w:u w:val="none"/>
          <w:lang w:val="en-US" w:eastAsia="zh-CN"/>
        </w:rPr>
        <w:t>证书的人员。</w:t>
      </w:r>
    </w:p>
    <w:p w14:paraId="4D1FFA9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Calibri" w:hAnsi="Calibri" w:eastAsia="宋体" w:cs="Times New Roman"/>
          <w:color w:val="auto"/>
          <w:szCs w:val="21"/>
          <w:highlight w:val="none"/>
          <w:lang w:val="en-US" w:eastAsia="zh-CN"/>
        </w:rPr>
      </w:pPr>
      <w:r>
        <w:rPr>
          <w:rFonts w:hint="eastAsia" w:ascii="Calibri" w:hAnsi="Calibri" w:cs="Times New Roman"/>
          <w:color w:val="auto"/>
          <w:szCs w:val="21"/>
          <w:highlight w:val="none"/>
          <w:lang w:val="en-US" w:eastAsia="zh-CN"/>
        </w:rPr>
        <w:t>6、中标单位在岳阳市</w:t>
      </w:r>
      <w:r>
        <w:rPr>
          <w:rFonts w:hint="eastAsia" w:ascii="Calibri" w:hAnsi="Calibri" w:eastAsia="宋体" w:cs="Times New Roman"/>
          <w:color w:val="auto"/>
          <w:szCs w:val="21"/>
          <w:highlight w:val="none"/>
          <w:lang w:val="en-US" w:eastAsia="zh-CN"/>
        </w:rPr>
        <w:t>自建或特约授权委托形式建立特约售后服务机构</w:t>
      </w:r>
      <w:r>
        <w:rPr>
          <w:rFonts w:hint="eastAsia" w:ascii="Calibri" w:hAnsi="Calibri" w:cs="Times New Roman"/>
          <w:color w:val="auto"/>
          <w:szCs w:val="21"/>
          <w:highlight w:val="none"/>
          <w:lang w:val="en-US" w:eastAsia="zh-CN"/>
        </w:rPr>
        <w:t>；</w:t>
      </w:r>
      <w:r>
        <w:rPr>
          <w:rFonts w:hint="eastAsia" w:ascii="Calibri" w:hAnsi="Calibri" w:eastAsia="宋体" w:cs="Times New Roman"/>
          <w:color w:val="auto"/>
          <w:szCs w:val="21"/>
          <w:highlight w:val="none"/>
          <w:lang w:val="en-US" w:eastAsia="zh-CN"/>
        </w:rPr>
        <w:t>（</w:t>
      </w:r>
      <w:r>
        <w:rPr>
          <w:rFonts w:hint="eastAsia" w:ascii="Calibri" w:hAnsi="Calibri" w:cs="Times New Roman"/>
          <w:color w:val="auto"/>
          <w:szCs w:val="21"/>
          <w:highlight w:val="none"/>
          <w:lang w:val="en-US" w:eastAsia="zh-CN"/>
        </w:rPr>
        <w:t>如为委托形式，中标单位</w:t>
      </w:r>
      <w:r>
        <w:rPr>
          <w:rFonts w:hint="eastAsia" w:ascii="Calibri" w:hAnsi="Calibri" w:eastAsia="宋体" w:cs="Times New Roman"/>
          <w:color w:val="auto"/>
          <w:szCs w:val="21"/>
          <w:highlight w:val="none"/>
          <w:lang w:val="en-US" w:eastAsia="zh-CN"/>
        </w:rPr>
        <w:t>对售后服务机构的授权委托售后服务协议期为5年的协议书）。</w:t>
      </w:r>
    </w:p>
    <w:bookmarkEnd w:id="4"/>
    <w:p w14:paraId="3BAC5A06">
      <w:pPr>
        <w:keepNext w:val="0"/>
        <w:keepLines w:val="0"/>
        <w:pageBreakBefore w:val="0"/>
        <w:widowControl w:val="0"/>
        <w:tabs>
          <w:tab w:val="left" w:pos="925"/>
        </w:tabs>
        <w:kinsoku/>
        <w:wordWrap/>
        <w:overflowPunct/>
        <w:topLinePunct w:val="0"/>
        <w:autoSpaceDE/>
        <w:autoSpaceDN/>
        <w:bidi w:val="0"/>
        <w:spacing w:line="360" w:lineRule="auto"/>
        <w:ind w:firstLine="440"/>
        <w:textAlignment w:val="auto"/>
        <w:rPr>
          <w:rFonts w:ascii="宋体" w:hAnsi="宋体" w:eastAsia="宋体" w:cs="宋体"/>
          <w:b/>
          <w:color w:val="auto"/>
          <w:kern w:val="0"/>
          <w:szCs w:val="21"/>
          <w:highlight w:val="none"/>
          <w:lang w:val="zh-TW" w:bidi="zh-TW"/>
        </w:rPr>
      </w:pPr>
      <w:bookmarkStart w:id="5" w:name="bookmark350"/>
      <w:bookmarkEnd w:id="5"/>
      <w:r>
        <w:rPr>
          <w:rFonts w:hint="eastAsia" w:ascii="宋体" w:hAnsi="宋体" w:eastAsia="宋体" w:cs="宋体"/>
          <w:b/>
          <w:color w:val="auto"/>
          <w:kern w:val="0"/>
          <w:szCs w:val="21"/>
          <w:highlight w:val="none"/>
          <w:lang w:val="en-US" w:eastAsia="zh-CN" w:bidi="zh-TW"/>
        </w:rPr>
        <w:t>七</w:t>
      </w:r>
      <w:r>
        <w:rPr>
          <w:rFonts w:hint="eastAsia" w:ascii="宋体" w:hAnsi="宋体" w:eastAsia="宋体" w:cs="宋体"/>
          <w:b/>
          <w:color w:val="auto"/>
          <w:kern w:val="0"/>
          <w:szCs w:val="21"/>
          <w:highlight w:val="none"/>
          <w:lang w:val="zh-TW" w:bidi="zh-TW"/>
        </w:rPr>
        <w:t>、质量保证</w:t>
      </w:r>
    </w:p>
    <w:p w14:paraId="5DFBE2D8">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rPr>
      </w:pPr>
      <w:r>
        <w:rPr>
          <w:rFonts w:hint="eastAsia" w:ascii="Calibri" w:hAnsi="Calibri" w:eastAsia="宋体" w:cs="Times New Roman"/>
          <w:color w:val="auto"/>
          <w:szCs w:val="21"/>
          <w:highlight w:val="none"/>
        </w:rPr>
        <w:t>1</w:t>
      </w:r>
      <w:r>
        <w:rPr>
          <w:rFonts w:hint="eastAsia" w:ascii="Calibri" w:hAnsi="Calibri" w:eastAsia="宋体" w:cs="Times New Roman"/>
          <w:color w:val="auto"/>
          <w:szCs w:val="21"/>
          <w:highlight w:val="none"/>
          <w:lang w:eastAsia="zh-CN"/>
        </w:rPr>
        <w:t>、中标单位应保证</w:t>
      </w:r>
      <w:r>
        <w:rPr>
          <w:rFonts w:hint="eastAsia" w:ascii="Calibri" w:hAnsi="Calibri" w:eastAsia="宋体" w:cs="Times New Roman"/>
          <w:color w:val="auto"/>
          <w:szCs w:val="21"/>
          <w:highlight w:val="none"/>
        </w:rPr>
        <w:t>提供的产品制造标准、安装标准及技术规范应符合国家标准，具有国家认可的出厂合格证或国家鉴定合格证。</w:t>
      </w:r>
    </w:p>
    <w:p w14:paraId="4A5FB21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2、</w:t>
      </w:r>
      <w:r>
        <w:rPr>
          <w:rFonts w:hint="eastAsia" w:ascii="Calibri" w:hAnsi="Calibri" w:eastAsia="宋体" w:cs="Times New Roman"/>
          <w:color w:val="auto"/>
          <w:szCs w:val="21"/>
          <w:highlight w:val="none"/>
          <w:lang w:eastAsia="zh-CN"/>
        </w:rPr>
        <w:t>中标单位</w:t>
      </w:r>
      <w:r>
        <w:rPr>
          <w:rFonts w:hint="eastAsia" w:ascii="Calibri" w:hAnsi="Calibri" w:eastAsia="宋体" w:cs="Times New Roman"/>
          <w:color w:val="auto"/>
          <w:szCs w:val="21"/>
          <w:highlight w:val="none"/>
        </w:rPr>
        <w:t>必须严格遵守《产品质量法》，并完整地履行质保期内的免费现场维修服务承诺。</w:t>
      </w:r>
    </w:p>
    <w:p w14:paraId="254AAC95">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b/>
          <w:bCs/>
          <w:color w:val="auto"/>
          <w:szCs w:val="21"/>
          <w:highlight w:val="none"/>
          <w:lang w:eastAsia="zh-CN"/>
        </w:rPr>
      </w:pPr>
      <w:r>
        <w:rPr>
          <w:rFonts w:hint="eastAsia" w:ascii="Calibri" w:hAnsi="Calibri" w:eastAsia="宋体" w:cs="Times New Roman"/>
          <w:color w:val="auto"/>
          <w:szCs w:val="21"/>
          <w:highlight w:val="none"/>
          <w:lang w:val="en-US" w:eastAsia="zh-CN"/>
        </w:rPr>
        <w:t>3、</w:t>
      </w:r>
      <w:r>
        <w:rPr>
          <w:rFonts w:hint="eastAsia" w:ascii="Calibri" w:hAnsi="Calibri" w:eastAsia="宋体" w:cs="Times New Roman"/>
          <w:b w:val="0"/>
          <w:bCs w:val="0"/>
          <w:color w:val="auto"/>
          <w:szCs w:val="21"/>
          <w:highlight w:val="none"/>
          <w:lang w:eastAsia="zh-CN"/>
        </w:rPr>
        <w:t>整车</w:t>
      </w:r>
      <w:r>
        <w:rPr>
          <w:rFonts w:hint="eastAsia" w:ascii="Calibri" w:hAnsi="Calibri" w:eastAsia="宋体" w:cs="Times New Roman"/>
          <w:b w:val="0"/>
          <w:bCs w:val="0"/>
          <w:color w:val="auto"/>
          <w:szCs w:val="21"/>
          <w:highlight w:val="none"/>
        </w:rPr>
        <w:t>质保期为</w:t>
      </w:r>
      <w:r>
        <w:rPr>
          <w:rFonts w:hint="eastAsia" w:ascii="Calibri" w:hAnsi="Calibri" w:cs="Times New Roman"/>
          <w:b w:val="0"/>
          <w:bCs w:val="0"/>
          <w:color w:val="auto"/>
          <w:szCs w:val="21"/>
          <w:highlight w:val="none"/>
          <w:lang w:val="en-US" w:eastAsia="zh-CN"/>
        </w:rPr>
        <w:t>3</w:t>
      </w:r>
      <w:r>
        <w:rPr>
          <w:rFonts w:hint="eastAsia" w:ascii="Calibri" w:hAnsi="Calibri" w:eastAsia="宋体" w:cs="Times New Roman"/>
          <w:b w:val="0"/>
          <w:bCs w:val="0"/>
          <w:color w:val="auto"/>
          <w:szCs w:val="21"/>
          <w:highlight w:val="none"/>
        </w:rPr>
        <w:t>年；</w:t>
      </w:r>
      <w:r>
        <w:rPr>
          <w:rFonts w:hint="eastAsia" w:ascii="Calibri" w:hAnsi="Calibri" w:eastAsia="宋体" w:cs="Times New Roman"/>
          <w:color w:val="auto"/>
          <w:szCs w:val="21"/>
          <w:highlight w:val="none"/>
        </w:rPr>
        <w:t>质保期从验收合格并交付正常使用开始计算，质保期（用户已经报修，因厂家原因故意拖延以致过质保期，也计入质保期）内除人为因素损坏外不得再收取任何费用。</w:t>
      </w:r>
    </w:p>
    <w:p w14:paraId="59DE57D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Cs w:val="21"/>
          <w:highlight w:val="none"/>
          <w:lang w:eastAsia="zh-CN"/>
        </w:rPr>
      </w:pPr>
      <w:r>
        <w:rPr>
          <w:rFonts w:ascii="宋体" w:hAnsi="宋体"/>
          <w:color w:val="auto"/>
          <w:szCs w:val="21"/>
          <w:highlight w:val="none"/>
        </w:rPr>
        <w:t>在质保期内，</w:t>
      </w:r>
      <w:r>
        <w:rPr>
          <w:rFonts w:hint="eastAsia" w:ascii="宋体" w:hAnsi="宋体"/>
          <w:color w:val="auto"/>
          <w:szCs w:val="21"/>
          <w:highlight w:val="none"/>
          <w:lang w:eastAsia="zh-CN"/>
        </w:rPr>
        <w:t>中标单位</w:t>
      </w:r>
      <w:r>
        <w:rPr>
          <w:rFonts w:ascii="宋体" w:hAnsi="宋体"/>
          <w:color w:val="auto"/>
          <w:szCs w:val="21"/>
          <w:highlight w:val="none"/>
        </w:rPr>
        <w:t>必须及时免费维修、更换</w:t>
      </w:r>
      <w:r>
        <w:rPr>
          <w:rFonts w:hint="eastAsia" w:ascii="宋体" w:hAnsi="宋体"/>
          <w:color w:val="auto"/>
          <w:szCs w:val="21"/>
          <w:highlight w:val="none"/>
          <w:lang w:eastAsia="zh-CN"/>
        </w:rPr>
        <w:t>所</w:t>
      </w:r>
      <w:r>
        <w:rPr>
          <w:rFonts w:ascii="宋体" w:hAnsi="宋体"/>
          <w:color w:val="auto"/>
          <w:szCs w:val="21"/>
          <w:highlight w:val="none"/>
        </w:rPr>
        <w:t>有缺陷的货物或部件。</w:t>
      </w:r>
      <w:r>
        <w:rPr>
          <w:rFonts w:hint="eastAsia" w:ascii="Calibri" w:hAnsi="Calibri" w:eastAsia="宋体" w:cs="Times New Roman"/>
          <w:color w:val="auto"/>
          <w:szCs w:val="21"/>
          <w:highlight w:val="none"/>
        </w:rPr>
        <w:t>并提供所有软、硬件设备的维修、维护、更换配件服务等，由此产生的费用均不再收取。</w:t>
      </w:r>
      <w:r>
        <w:rPr>
          <w:rFonts w:ascii="宋体" w:hAnsi="宋体"/>
          <w:color w:val="auto"/>
          <w:szCs w:val="21"/>
          <w:highlight w:val="none"/>
        </w:rPr>
        <w:t>如果</w:t>
      </w:r>
      <w:r>
        <w:rPr>
          <w:rFonts w:hint="eastAsia" w:ascii="宋体" w:hAnsi="宋体"/>
          <w:color w:val="auto"/>
          <w:szCs w:val="21"/>
          <w:highlight w:val="none"/>
          <w:lang w:eastAsia="zh-CN"/>
        </w:rPr>
        <w:t>中标单位</w:t>
      </w:r>
      <w:r>
        <w:rPr>
          <w:rFonts w:ascii="宋体" w:hAnsi="宋体"/>
          <w:color w:val="auto"/>
          <w:szCs w:val="21"/>
          <w:highlight w:val="none"/>
        </w:rPr>
        <w:t>收到</w:t>
      </w:r>
      <w:r>
        <w:rPr>
          <w:rFonts w:hint="eastAsia" w:ascii="宋体" w:hAnsi="宋体"/>
          <w:color w:val="auto"/>
          <w:szCs w:val="21"/>
          <w:highlight w:val="none"/>
        </w:rPr>
        <w:t>采购</w:t>
      </w:r>
      <w:r>
        <w:rPr>
          <w:rFonts w:hint="eastAsia" w:ascii="宋体" w:hAnsi="宋体"/>
          <w:color w:val="auto"/>
          <w:szCs w:val="21"/>
          <w:highlight w:val="none"/>
          <w:lang w:eastAsia="zh-CN"/>
        </w:rPr>
        <w:t>人</w:t>
      </w:r>
      <w:r>
        <w:rPr>
          <w:rFonts w:ascii="宋体" w:hAnsi="宋体"/>
          <w:color w:val="auto"/>
          <w:szCs w:val="21"/>
          <w:highlight w:val="none"/>
        </w:rPr>
        <w:t>通知后，未在规定的响应时间内赶到现场弥补缺陷，</w:t>
      </w:r>
      <w:r>
        <w:rPr>
          <w:rFonts w:hint="eastAsia" w:ascii="宋体" w:hAnsi="宋体"/>
          <w:color w:val="auto"/>
          <w:szCs w:val="21"/>
          <w:highlight w:val="none"/>
        </w:rPr>
        <w:t>采购</w:t>
      </w:r>
      <w:r>
        <w:rPr>
          <w:rFonts w:hint="eastAsia" w:ascii="宋体" w:hAnsi="宋体"/>
          <w:color w:val="auto"/>
          <w:szCs w:val="21"/>
          <w:highlight w:val="none"/>
          <w:lang w:eastAsia="zh-CN"/>
        </w:rPr>
        <w:t>人</w:t>
      </w:r>
      <w:r>
        <w:rPr>
          <w:rFonts w:ascii="宋体" w:hAnsi="宋体"/>
          <w:color w:val="auto"/>
          <w:szCs w:val="21"/>
          <w:highlight w:val="none"/>
        </w:rPr>
        <w:t>可采取必要的补救措施，但风险和费用全部由</w:t>
      </w:r>
      <w:r>
        <w:rPr>
          <w:rFonts w:hint="eastAsia" w:ascii="宋体" w:hAnsi="宋体"/>
          <w:color w:val="auto"/>
          <w:szCs w:val="21"/>
          <w:highlight w:val="none"/>
          <w:lang w:eastAsia="zh-CN"/>
        </w:rPr>
        <w:t>中标单位</w:t>
      </w:r>
      <w:r>
        <w:rPr>
          <w:rFonts w:ascii="宋体" w:hAnsi="宋体"/>
          <w:color w:val="auto"/>
          <w:szCs w:val="21"/>
          <w:highlight w:val="none"/>
        </w:rPr>
        <w:t>承担，并从质量保证金中抵扣</w:t>
      </w:r>
      <w:r>
        <w:rPr>
          <w:rFonts w:hint="eastAsia" w:ascii="宋体" w:hAnsi="宋体"/>
          <w:color w:val="auto"/>
          <w:szCs w:val="21"/>
          <w:highlight w:val="none"/>
          <w:lang w:eastAsia="zh-CN"/>
        </w:rPr>
        <w:t>。</w:t>
      </w:r>
    </w:p>
    <w:p w14:paraId="5AE08917">
      <w:pPr>
        <w:keepNext w:val="0"/>
        <w:keepLines w:val="0"/>
        <w:pageBreakBefore w:val="0"/>
        <w:widowControl w:val="0"/>
        <w:tabs>
          <w:tab w:val="left" w:pos="925"/>
        </w:tabs>
        <w:kinsoku/>
        <w:wordWrap/>
        <w:overflowPunct/>
        <w:topLinePunct w:val="0"/>
        <w:autoSpaceDE/>
        <w:autoSpaceDN/>
        <w:bidi w:val="0"/>
        <w:spacing w:line="360" w:lineRule="auto"/>
        <w:ind w:firstLine="422" w:firstLineChars="200"/>
        <w:textAlignment w:val="auto"/>
        <w:rPr>
          <w:rFonts w:hint="eastAsia" w:ascii="宋体" w:hAnsi="宋体" w:eastAsia="宋体" w:cs="宋体"/>
          <w:b/>
          <w:color w:val="auto"/>
          <w:kern w:val="0"/>
          <w:szCs w:val="21"/>
          <w:highlight w:val="none"/>
          <w:lang w:val="en-US" w:eastAsia="zh-CN" w:bidi="zh-TW"/>
        </w:rPr>
      </w:pPr>
      <w:r>
        <w:rPr>
          <w:rFonts w:hint="eastAsia" w:ascii="宋体" w:hAnsi="宋体" w:cs="宋体"/>
          <w:b/>
          <w:color w:val="auto"/>
          <w:kern w:val="0"/>
          <w:szCs w:val="21"/>
          <w:highlight w:val="none"/>
          <w:lang w:val="en-US" w:eastAsia="zh-CN" w:bidi="zh-TW"/>
        </w:rPr>
        <w:t>八、</w:t>
      </w:r>
      <w:r>
        <w:rPr>
          <w:rFonts w:hint="eastAsia" w:ascii="宋体" w:hAnsi="宋体" w:eastAsia="宋体" w:cs="宋体"/>
          <w:b/>
          <w:color w:val="auto"/>
          <w:kern w:val="0"/>
          <w:szCs w:val="21"/>
          <w:highlight w:val="none"/>
          <w:lang w:val="en-US" w:eastAsia="zh-CN" w:bidi="zh-TW"/>
        </w:rPr>
        <w:t>其他要求</w:t>
      </w:r>
    </w:p>
    <w:p w14:paraId="30371FB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Calibri" w:hAnsi="Calibri" w:eastAsia="宋体" w:cs="Times New Roman"/>
          <w:color w:val="auto"/>
          <w:szCs w:val="21"/>
          <w:highlight w:val="none"/>
          <w:lang w:val="en-US" w:eastAsia="zh-CN"/>
        </w:rPr>
      </w:pPr>
      <w:r>
        <w:rPr>
          <w:rFonts w:hint="eastAsia" w:ascii="Calibri" w:hAnsi="Calibri" w:eastAsia="宋体" w:cs="Times New Roman"/>
          <w:color w:val="auto"/>
          <w:szCs w:val="21"/>
          <w:highlight w:val="none"/>
          <w:lang w:val="en-US" w:eastAsia="zh-CN"/>
        </w:rPr>
        <w:t>1、交车时必须提供认证证书、认证标识、整车合格证、底盘合格证、主要设备的国家相应检测合格证、底盘号码拓印件、发动机号码拓印件、随车消防器材清单、随车工具清单、消防车跟踪服务卡、车辆交接清单等所有相关资料；</w:t>
      </w:r>
    </w:p>
    <w:p w14:paraId="5AC6645E">
      <w:pPr>
        <w:keepNext w:val="0"/>
        <w:keepLines w:val="0"/>
        <w:pageBreakBefore w:val="0"/>
        <w:kinsoku/>
        <w:wordWrap/>
        <w:overflowPunct/>
        <w:topLinePunct w:val="0"/>
        <w:autoSpaceDE/>
        <w:autoSpaceDN/>
        <w:bidi w:val="0"/>
        <w:adjustRightInd w:val="0"/>
        <w:snapToGrid w:val="0"/>
        <w:spacing w:line="440" w:lineRule="exact"/>
        <w:ind w:right="-105" w:rightChars="-50" w:firstLine="420" w:firstLineChars="200"/>
        <w:textAlignment w:val="auto"/>
      </w:pPr>
      <w:r>
        <w:rPr>
          <w:rFonts w:hint="eastAsia" w:ascii="Calibri" w:hAnsi="Calibri" w:eastAsia="宋体" w:cs="Times New Roman"/>
          <w:color w:val="auto"/>
          <w:szCs w:val="21"/>
          <w:highlight w:val="none"/>
          <w:lang w:val="en-US" w:eastAsia="zh-CN"/>
        </w:rPr>
        <w:t>2、交车时整车及所有主要设备必须提供全套产地证明、产品合格证、操作使用说明书（中文）、维护说明书（中文）、常见故障排除手册（中文）、质量保修卡、电气线路布置图等所有资料文件。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F31BF1-7C87-44FC-9483-688390C60D5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568DFE9-B38D-435D-A02F-2F00DC22DACF}"/>
  </w:font>
  <w:font w:name="华文中宋">
    <w:panose1 w:val="02010600040101010101"/>
    <w:charset w:val="86"/>
    <w:family w:val="auto"/>
    <w:pitch w:val="default"/>
    <w:sig w:usb0="00000287" w:usb1="080F0000" w:usb2="00000000" w:usb3="00000000" w:csb0="0004009F" w:csb1="DFD70000"/>
    <w:embedRegular r:id="rId3" w:fontKey="{3DD11CF0-E682-4835-811B-7FB6FE666F0D}"/>
  </w:font>
  <w:font w:name="楷体_GB2312">
    <w:altName w:val="楷体"/>
    <w:panose1 w:val="02010609030101010101"/>
    <w:charset w:val="86"/>
    <w:family w:val="modern"/>
    <w:pitch w:val="default"/>
    <w:sig w:usb0="00000000" w:usb1="00000000" w:usb2="00000000" w:usb3="00000000" w:csb0="00040000" w:csb1="00000000"/>
    <w:embedRegular r:id="rId4" w:fontKey="{470D42D8-BB46-426E-B377-F31C36D1094D}"/>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1980">
    <w:pPr>
      <w:pStyle w:val="5"/>
      <w:ind w:left="300" w:right="359" w:rightChars="171" w:hanging="180" w:hangingChars="100"/>
      <w:rPr>
        <w:rFonts w:eastAsia="楷体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E2A5E5">
                          <w:pPr>
                            <w:pStyle w:val="5"/>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FE2A5E5">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82C80"/>
    <w:multiLevelType w:val="singleLevel"/>
    <w:tmpl w:val="81D82C80"/>
    <w:lvl w:ilvl="0" w:tentative="0">
      <w:start w:val="1"/>
      <w:numFmt w:val="decimal"/>
      <w:suff w:val="nothing"/>
      <w:lvlText w:val="%1、"/>
      <w:lvlJc w:val="left"/>
    </w:lvl>
  </w:abstractNum>
  <w:abstractNum w:abstractNumId="1">
    <w:nsid w:val="84C1318D"/>
    <w:multiLevelType w:val="singleLevel"/>
    <w:tmpl w:val="84C1318D"/>
    <w:lvl w:ilvl="0" w:tentative="0">
      <w:start w:val="1"/>
      <w:numFmt w:val="chineseCounting"/>
      <w:suff w:val="nothing"/>
      <w:lvlText w:val="%1、"/>
      <w:lvlJc w:val="left"/>
      <w:rPr>
        <w:rFonts w:hint="eastAsia"/>
      </w:rPr>
    </w:lvl>
  </w:abstractNum>
  <w:abstractNum w:abstractNumId="2">
    <w:nsid w:val="1B043050"/>
    <w:multiLevelType w:val="singleLevel"/>
    <w:tmpl w:val="1B043050"/>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FB42ED"/>
    <w:rsid w:val="360E042B"/>
    <w:rsid w:val="55FB42ED"/>
    <w:rsid w:val="69032982"/>
    <w:rsid w:val="6C702411"/>
    <w:rsid w:val="789E4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sz w:val="18"/>
      <w:szCs w:val="18"/>
    </w:rPr>
  </w:style>
  <w:style w:type="paragraph" w:customStyle="1" w:styleId="8">
    <w:name w:val="列出段落1"/>
    <w:basedOn w:val="1"/>
    <w:qFormat/>
    <w:uiPriority w:val="0"/>
    <w:pPr>
      <w:ind w:firstLine="420" w:firstLineChars="200"/>
    </w:pPr>
    <w:rPr>
      <w:szCs w:val="21"/>
    </w:rPr>
  </w:style>
  <w:style w:type="paragraph" w:customStyle="1" w:styleId="9">
    <w:name w:val="正文_22_0"/>
    <w:basedOn w:val="10"/>
    <w:qFormat/>
    <w:uiPriority w:val="0"/>
    <w:rPr>
      <w:rFonts w:ascii="Times New Roman" w:hAnsi="Times New Roman"/>
      <w:szCs w:val="21"/>
    </w:rPr>
  </w:style>
  <w:style w:type="paragraph" w:customStyle="1" w:styleId="10">
    <w:name w:val="正文_21"/>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5179</Words>
  <Characters>5717</Characters>
  <Lines>0</Lines>
  <Paragraphs>0</Paragraphs>
  <TotalTime>0</TotalTime>
  <ScaleCrop>false</ScaleCrop>
  <LinksUpToDate>false</LinksUpToDate>
  <CharactersWithSpaces>5782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2026-08-28T07:38:00Z</dcterms:created>
  <dc:creator>Administrator</dc:creator>
  <cp:lastModifiedBy>Administrator</cp:lastModifiedBy>
  <dcterms:modified xsi:type="dcterms:W3CDTF">2026-09-16T01:35:46Z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B8723715F0A14823BE70AAC277AF7CEF_11</vt:lpwstr>
  </property>
  <property fmtid="{D5CDD505-2E9C-101B-9397-08002B2CF9AE}" pid="4" name="KSOTemplateDocerSaveRecord">
    <vt:lpwstr>eyJoZGlkIjoiZmIwNDY2NThmZmY3OTI3ZGFlZjUwZjJhMTBmMmY1NzciLCJ1c2VySWQiOiIyODExNDg3ODMifQ==</vt:lpwstr>
  </property>
</Properties>
</file>