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page" w:horzAnchor="page" w:tblpX="1397" w:tblpY="1998"/>
        <w:tblOverlap w:val="never"/>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2633"/>
        <w:gridCol w:w="255"/>
        <w:gridCol w:w="5581"/>
        <w:gridCol w:w="373"/>
      </w:tblGrid>
      <w:tr w14:paraId="6913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402C1A7B">
            <w:pPr>
              <w:jc w:val="center"/>
              <w:rPr>
                <w:rFonts w:hint="eastAsia" w:ascii="方正小标宋_GBK" w:hAnsi="方正小标宋_GBK" w:eastAsia="方正小标宋_GBK" w:cs="方正小标宋_GBK"/>
                <w:color w:val="auto"/>
                <w:sz w:val="72"/>
                <w:szCs w:val="72"/>
              </w:rPr>
            </w:pPr>
          </w:p>
        </w:tc>
      </w:tr>
      <w:tr w14:paraId="402C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5" w:type="dxa"/>
            <w:gridSpan w:val="5"/>
            <w:tcBorders>
              <w:top w:val="nil"/>
              <w:left w:val="nil"/>
              <w:bottom w:val="nil"/>
              <w:right w:val="nil"/>
            </w:tcBorders>
          </w:tcPr>
          <w:p w14:paraId="20750316">
            <w:pPr>
              <w:jc w:val="center"/>
              <w:rPr>
                <w:rFonts w:hint="eastAsia" w:ascii="等线" w:hAnsi="等线" w:eastAsia="方正小标宋_GBK" w:cs="宋体"/>
                <w:b/>
                <w:color w:val="auto"/>
                <w:sz w:val="20"/>
                <w:szCs w:val="21"/>
                <w:lang w:eastAsia="zh-CN"/>
              </w:rPr>
            </w:pPr>
            <w:r>
              <w:rPr>
                <w:rFonts w:hint="eastAsia" w:ascii="方正小标宋_GBK" w:hAnsi="方正小标宋_GBK" w:eastAsia="方正小标宋_GBK" w:cs="方正小标宋_GBK"/>
                <w:color w:val="auto"/>
                <w:sz w:val="56"/>
                <w:szCs w:val="56"/>
              </w:rPr>
              <w:t>政府采购</w:t>
            </w:r>
            <w:r>
              <w:rPr>
                <w:rFonts w:hint="eastAsia" w:ascii="方正小标宋_GBK" w:hAnsi="方正小标宋_GBK" w:eastAsia="方正小标宋_GBK" w:cs="方正小标宋_GBK"/>
                <w:color w:val="auto"/>
                <w:sz w:val="56"/>
                <w:szCs w:val="56"/>
                <w:lang w:eastAsia="zh-CN"/>
              </w:rPr>
              <w:t>项目</w:t>
            </w:r>
          </w:p>
        </w:tc>
      </w:tr>
      <w:tr w14:paraId="58FE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9495" w:type="dxa"/>
            <w:gridSpan w:val="5"/>
            <w:tcBorders>
              <w:top w:val="nil"/>
              <w:left w:val="nil"/>
              <w:bottom w:val="nil"/>
              <w:right w:val="nil"/>
            </w:tcBorders>
          </w:tcPr>
          <w:p w14:paraId="19832182">
            <w:pPr>
              <w:jc w:val="center"/>
              <w:rPr>
                <w:rFonts w:hint="eastAsia" w:ascii="等线" w:hAnsi="等线" w:eastAsia="等线" w:cs="宋体"/>
                <w:color w:val="auto"/>
                <w:sz w:val="40"/>
                <w:szCs w:val="21"/>
                <w:lang w:eastAsia="zh-CN"/>
              </w:rPr>
            </w:pPr>
            <w:r>
              <w:rPr>
                <w:rFonts w:hint="eastAsia" w:ascii="方正小标宋_GBK" w:hAnsi="方正小标宋_GBK" w:eastAsia="方正小标宋_GBK" w:cs="方正小标宋_GBK"/>
                <w:color w:val="auto"/>
                <w:sz w:val="56"/>
                <w:szCs w:val="56"/>
                <w:lang w:eastAsia="zh-CN"/>
              </w:rPr>
              <w:t>采购</w:t>
            </w:r>
            <w:r>
              <w:rPr>
                <w:rFonts w:hint="eastAsia" w:ascii="方正小标宋_GBK" w:hAnsi="方正小标宋_GBK" w:eastAsia="方正小标宋_GBK" w:cs="方正小标宋_GBK"/>
                <w:color w:val="auto"/>
                <w:sz w:val="56"/>
                <w:szCs w:val="56"/>
                <w:lang w:val="en-US" w:eastAsia="zh-CN"/>
              </w:rPr>
              <w:t>需求</w:t>
            </w:r>
          </w:p>
        </w:tc>
      </w:tr>
      <w:tr w14:paraId="75D0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9495" w:type="dxa"/>
            <w:gridSpan w:val="5"/>
            <w:tcBorders>
              <w:top w:val="nil"/>
              <w:left w:val="nil"/>
              <w:bottom w:val="nil"/>
              <w:right w:val="nil"/>
            </w:tcBorders>
          </w:tcPr>
          <w:p w14:paraId="77A9D78F">
            <w:pPr>
              <w:widowControl w:val="0"/>
              <w:jc w:val="both"/>
              <w:rPr>
                <w:rFonts w:hint="eastAsia" w:ascii="等线" w:hAnsi="等线" w:eastAsia="楷体_GB2312" w:cs="宋体"/>
                <w:b/>
                <w:color w:val="auto"/>
                <w:kern w:val="36"/>
                <w:sz w:val="52"/>
                <w:szCs w:val="52"/>
                <w:lang w:val="en-US" w:eastAsia="zh-CN" w:bidi="ar-SA"/>
              </w:rPr>
            </w:pPr>
          </w:p>
        </w:tc>
      </w:tr>
      <w:tr w14:paraId="4B54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restart"/>
            <w:tcBorders>
              <w:top w:val="nil"/>
              <w:left w:val="nil"/>
              <w:bottom w:val="nil"/>
              <w:right w:val="nil"/>
            </w:tcBorders>
            <w:vAlign w:val="center"/>
          </w:tcPr>
          <w:p w14:paraId="1AF6AA3A">
            <w:pPr>
              <w:adjustRightInd w:val="0"/>
              <w:snapToGrid w:val="0"/>
              <w:rPr>
                <w:rFonts w:hint="eastAsia" w:ascii="等线" w:hAnsi="等线" w:eastAsia="楷体_GB2312" w:cs="宋体"/>
                <w:color w:val="auto"/>
                <w:sz w:val="52"/>
                <w:szCs w:val="22"/>
              </w:rPr>
            </w:pPr>
          </w:p>
        </w:tc>
        <w:tc>
          <w:tcPr>
            <w:tcW w:w="2633" w:type="dxa"/>
            <w:tcBorders>
              <w:top w:val="nil"/>
              <w:left w:val="nil"/>
              <w:bottom w:val="nil"/>
              <w:right w:val="nil"/>
            </w:tcBorders>
            <w:vAlign w:val="center"/>
          </w:tcPr>
          <w:p w14:paraId="5519E9EC">
            <w:pPr>
              <w:jc w:val="distribute"/>
              <w:rPr>
                <w:rFonts w:ascii="黑体" w:hAnsi="黑体" w:eastAsia="黑体" w:cs="黑体"/>
                <w:color w:val="auto"/>
                <w:sz w:val="32"/>
                <w:szCs w:val="36"/>
              </w:rPr>
            </w:pPr>
            <w:r>
              <w:rPr>
                <w:rFonts w:hint="eastAsia" w:ascii="黑体" w:hAnsi="黑体" w:eastAsia="黑体" w:cs="黑体"/>
                <w:color w:val="auto"/>
                <w:sz w:val="32"/>
                <w:szCs w:val="36"/>
              </w:rPr>
              <w:t>采购项目名称：</w:t>
            </w:r>
          </w:p>
        </w:tc>
        <w:tc>
          <w:tcPr>
            <w:tcW w:w="255" w:type="dxa"/>
            <w:tcBorders>
              <w:top w:val="nil"/>
              <w:left w:val="nil"/>
              <w:bottom w:val="nil"/>
              <w:right w:val="nil"/>
            </w:tcBorders>
            <w:vAlign w:val="center"/>
          </w:tcPr>
          <w:p w14:paraId="07D39C3B">
            <w:pPr>
              <w:widowControl w:val="0"/>
              <w:ind w:firstLine="1960" w:firstLineChars="700"/>
              <w:jc w:val="both"/>
              <w:rPr>
                <w:rFonts w:ascii="等线" w:hAnsi="等线" w:eastAsia="等线" w:cs="宋体"/>
                <w:color w:val="auto"/>
                <w:kern w:val="2"/>
                <w:sz w:val="28"/>
                <w:szCs w:val="28"/>
                <w:lang w:val="en-US" w:eastAsia="zh-CN" w:bidi="ar-SA"/>
              </w:rPr>
            </w:pPr>
          </w:p>
        </w:tc>
        <w:tc>
          <w:tcPr>
            <w:tcW w:w="5581" w:type="dxa"/>
            <w:tcBorders>
              <w:top w:val="nil"/>
              <w:left w:val="nil"/>
              <w:bottom w:val="nil"/>
              <w:right w:val="nil"/>
            </w:tcBorders>
            <w:vAlign w:val="center"/>
          </w:tcPr>
          <w:p w14:paraId="37B114A9">
            <w:pPr>
              <w:jc w:val="left"/>
              <w:rPr>
                <w:rFonts w:hint="eastAsia" w:ascii="黑体" w:hAnsi="黑体" w:eastAsia="黑体" w:cs="黑体"/>
                <w:color w:val="auto"/>
                <w:sz w:val="28"/>
                <w:szCs w:val="32"/>
                <w:lang w:eastAsia="zh-CN"/>
              </w:rPr>
            </w:pPr>
            <w:r>
              <w:rPr>
                <w:rFonts w:hint="eastAsia" w:ascii="黑体" w:hAnsi="黑体" w:eastAsia="黑体" w:cs="黑体"/>
                <w:color w:val="auto"/>
                <w:sz w:val="28"/>
                <w:szCs w:val="32"/>
                <w:lang w:val="en-US" w:eastAsia="zh-CN"/>
              </w:rPr>
              <w:t>第十一届全省少数民族传统运动会自动除颤器（AED）采购项目</w:t>
            </w:r>
          </w:p>
        </w:tc>
        <w:tc>
          <w:tcPr>
            <w:tcW w:w="373" w:type="dxa"/>
            <w:vMerge w:val="restart"/>
            <w:tcBorders>
              <w:top w:val="nil"/>
              <w:left w:val="nil"/>
              <w:bottom w:val="nil"/>
              <w:right w:val="nil"/>
            </w:tcBorders>
            <w:vAlign w:val="center"/>
          </w:tcPr>
          <w:p w14:paraId="38401E75">
            <w:pPr>
              <w:adjustRightInd w:val="0"/>
              <w:snapToGrid w:val="0"/>
              <w:rPr>
                <w:rFonts w:hint="eastAsia" w:ascii="等线" w:hAnsi="等线" w:eastAsia="楷体_GB2312" w:cs="宋体"/>
                <w:color w:val="auto"/>
                <w:sz w:val="52"/>
                <w:szCs w:val="22"/>
              </w:rPr>
            </w:pPr>
          </w:p>
        </w:tc>
      </w:tr>
      <w:tr w14:paraId="1104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6ED9501C">
            <w:pPr>
              <w:widowControl/>
              <w:jc w:val="left"/>
              <w:rPr>
                <w:rFonts w:hint="eastAsia" w:ascii="等线" w:hAnsi="等线" w:eastAsia="楷体_GB2312" w:cs="宋体"/>
                <w:color w:val="auto"/>
                <w:sz w:val="52"/>
                <w:szCs w:val="22"/>
              </w:rPr>
            </w:pPr>
          </w:p>
        </w:tc>
        <w:tc>
          <w:tcPr>
            <w:tcW w:w="2633" w:type="dxa"/>
            <w:tcBorders>
              <w:top w:val="nil"/>
              <w:left w:val="nil"/>
              <w:bottom w:val="nil"/>
              <w:right w:val="nil"/>
            </w:tcBorders>
            <w:vAlign w:val="center"/>
          </w:tcPr>
          <w:p w14:paraId="7A9A8300">
            <w:pPr>
              <w:jc w:val="distribute"/>
              <w:rPr>
                <w:rFonts w:ascii="黑体" w:hAnsi="黑体" w:eastAsia="黑体" w:cs="黑体"/>
                <w:color w:val="auto"/>
                <w:sz w:val="32"/>
                <w:szCs w:val="36"/>
              </w:rPr>
            </w:pPr>
            <w:r>
              <w:rPr>
                <w:rFonts w:hint="eastAsia" w:ascii="黑体" w:hAnsi="黑体" w:eastAsia="黑体" w:cs="黑体"/>
                <w:color w:val="auto"/>
                <w:sz w:val="32"/>
                <w:szCs w:val="36"/>
              </w:rPr>
              <w:t>采   购   人：</w:t>
            </w:r>
          </w:p>
        </w:tc>
        <w:tc>
          <w:tcPr>
            <w:tcW w:w="255" w:type="dxa"/>
            <w:tcBorders>
              <w:top w:val="nil"/>
              <w:left w:val="nil"/>
              <w:bottom w:val="nil"/>
              <w:right w:val="nil"/>
            </w:tcBorders>
            <w:vAlign w:val="center"/>
          </w:tcPr>
          <w:p w14:paraId="24DAAB22">
            <w:pPr>
              <w:widowControl w:val="0"/>
              <w:ind w:firstLine="1960" w:firstLineChars="700"/>
              <w:jc w:val="both"/>
              <w:rPr>
                <w:rFonts w:ascii="等线" w:hAnsi="等线" w:eastAsia="等线" w:cs="宋体"/>
                <w:color w:val="auto"/>
                <w:kern w:val="2"/>
                <w:sz w:val="28"/>
                <w:szCs w:val="28"/>
                <w:lang w:val="en-US" w:eastAsia="zh-CN" w:bidi="ar-SA"/>
              </w:rPr>
            </w:pPr>
          </w:p>
        </w:tc>
        <w:tc>
          <w:tcPr>
            <w:tcW w:w="5581" w:type="dxa"/>
            <w:tcBorders>
              <w:top w:val="nil"/>
              <w:left w:val="nil"/>
              <w:bottom w:val="nil"/>
              <w:right w:val="nil"/>
            </w:tcBorders>
            <w:vAlign w:val="center"/>
          </w:tcPr>
          <w:p w14:paraId="5EE12D03">
            <w:pPr>
              <w:jc w:val="left"/>
              <w:rPr>
                <w:rFonts w:hint="eastAsia" w:ascii="黑体" w:hAnsi="黑体" w:eastAsia="黑体" w:cs="黑体"/>
                <w:color w:val="auto"/>
                <w:sz w:val="28"/>
                <w:szCs w:val="32"/>
                <w:lang w:eastAsia="zh-CN"/>
              </w:rPr>
            </w:pPr>
            <w:r>
              <w:rPr>
                <w:rFonts w:hint="eastAsia" w:ascii="黑体" w:hAnsi="黑体" w:eastAsia="黑体" w:cs="黑体"/>
                <w:color w:val="auto"/>
                <w:sz w:val="28"/>
                <w:szCs w:val="32"/>
                <w:lang w:val="en-US" w:eastAsia="zh-CN"/>
              </w:rPr>
              <w:t>张家界市卫生健康委员会</w:t>
            </w:r>
          </w:p>
        </w:tc>
        <w:tc>
          <w:tcPr>
            <w:tcW w:w="373" w:type="dxa"/>
            <w:vMerge w:val="continue"/>
            <w:tcBorders>
              <w:top w:val="nil"/>
              <w:left w:val="nil"/>
              <w:bottom w:val="nil"/>
              <w:right w:val="nil"/>
            </w:tcBorders>
            <w:vAlign w:val="center"/>
          </w:tcPr>
          <w:p w14:paraId="31605311">
            <w:pPr>
              <w:widowControl/>
              <w:jc w:val="distribute"/>
              <w:rPr>
                <w:rFonts w:hint="eastAsia" w:ascii="等线" w:hAnsi="等线" w:eastAsia="楷体_GB2312" w:cs="宋体"/>
                <w:color w:val="auto"/>
                <w:sz w:val="52"/>
                <w:szCs w:val="22"/>
              </w:rPr>
            </w:pPr>
          </w:p>
        </w:tc>
      </w:tr>
      <w:tr w14:paraId="4A08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092EBFE0">
            <w:pPr>
              <w:widowControl/>
              <w:jc w:val="left"/>
              <w:rPr>
                <w:rFonts w:hint="eastAsia" w:ascii="等线" w:hAnsi="等线" w:eastAsia="楷体_GB2312" w:cs="宋体"/>
                <w:color w:val="auto"/>
                <w:sz w:val="52"/>
                <w:szCs w:val="22"/>
              </w:rPr>
            </w:pPr>
          </w:p>
        </w:tc>
        <w:tc>
          <w:tcPr>
            <w:tcW w:w="2633" w:type="dxa"/>
            <w:tcBorders>
              <w:top w:val="nil"/>
              <w:left w:val="nil"/>
              <w:bottom w:val="nil"/>
              <w:right w:val="nil"/>
            </w:tcBorders>
            <w:vAlign w:val="center"/>
          </w:tcPr>
          <w:p w14:paraId="78EA0564">
            <w:pPr>
              <w:jc w:val="distribute"/>
              <w:rPr>
                <w:rFonts w:ascii="黑体" w:hAnsi="黑体" w:eastAsia="黑体" w:cs="黑体"/>
                <w:color w:val="auto"/>
                <w:sz w:val="32"/>
                <w:szCs w:val="36"/>
              </w:rPr>
            </w:pPr>
            <w:r>
              <w:rPr>
                <w:rFonts w:hint="eastAsia" w:ascii="黑体" w:hAnsi="黑体" w:eastAsia="黑体" w:cs="黑体"/>
                <w:color w:val="auto"/>
                <w:sz w:val="32"/>
                <w:szCs w:val="36"/>
                <w:lang w:eastAsia="zh-CN"/>
              </w:rPr>
              <w:t>编制单位</w:t>
            </w:r>
            <w:r>
              <w:rPr>
                <w:rFonts w:hint="eastAsia" w:ascii="黑体" w:hAnsi="黑体" w:eastAsia="黑体" w:cs="黑体"/>
                <w:color w:val="auto"/>
                <w:sz w:val="32"/>
                <w:szCs w:val="36"/>
              </w:rPr>
              <w:t>：</w:t>
            </w:r>
          </w:p>
        </w:tc>
        <w:tc>
          <w:tcPr>
            <w:tcW w:w="255" w:type="dxa"/>
            <w:tcBorders>
              <w:top w:val="nil"/>
              <w:left w:val="nil"/>
              <w:bottom w:val="nil"/>
              <w:right w:val="nil"/>
            </w:tcBorders>
            <w:vAlign w:val="center"/>
          </w:tcPr>
          <w:p w14:paraId="36C2D7BA">
            <w:pPr>
              <w:widowControl w:val="0"/>
              <w:ind w:firstLine="1960" w:firstLineChars="700"/>
              <w:jc w:val="both"/>
              <w:rPr>
                <w:rFonts w:ascii="等线" w:hAnsi="等线" w:eastAsia="等线" w:cs="宋体"/>
                <w:color w:val="auto"/>
                <w:kern w:val="2"/>
                <w:sz w:val="28"/>
                <w:szCs w:val="28"/>
                <w:lang w:val="en-US" w:eastAsia="zh-CN" w:bidi="ar-SA"/>
              </w:rPr>
            </w:pPr>
          </w:p>
        </w:tc>
        <w:tc>
          <w:tcPr>
            <w:tcW w:w="5581" w:type="dxa"/>
            <w:tcBorders>
              <w:top w:val="nil"/>
              <w:left w:val="nil"/>
              <w:bottom w:val="nil"/>
              <w:right w:val="nil"/>
            </w:tcBorders>
            <w:vAlign w:val="center"/>
          </w:tcPr>
          <w:p w14:paraId="68B008FD">
            <w:pPr>
              <w:jc w:val="left"/>
              <w:rPr>
                <w:rFonts w:hint="eastAsia" w:ascii="黑体" w:hAnsi="黑体" w:eastAsia="黑体" w:cs="黑体"/>
                <w:color w:val="auto"/>
                <w:sz w:val="28"/>
                <w:szCs w:val="32"/>
                <w:lang w:eastAsia="zh-CN"/>
              </w:rPr>
            </w:pPr>
            <w:r>
              <w:rPr>
                <w:rFonts w:hint="eastAsia" w:ascii="黑体" w:hAnsi="黑体" w:eastAsia="黑体" w:cs="黑体"/>
                <w:color w:val="auto"/>
                <w:sz w:val="28"/>
                <w:szCs w:val="32"/>
                <w:lang w:val="en-US" w:eastAsia="zh-CN"/>
              </w:rPr>
              <w:t>张家界市卫生健康委员会</w:t>
            </w:r>
          </w:p>
        </w:tc>
        <w:tc>
          <w:tcPr>
            <w:tcW w:w="373" w:type="dxa"/>
            <w:vMerge w:val="continue"/>
            <w:tcBorders>
              <w:top w:val="nil"/>
              <w:left w:val="nil"/>
              <w:bottom w:val="nil"/>
              <w:right w:val="nil"/>
            </w:tcBorders>
            <w:vAlign w:val="center"/>
          </w:tcPr>
          <w:p w14:paraId="44BAC850">
            <w:pPr>
              <w:widowControl/>
              <w:jc w:val="distribute"/>
              <w:rPr>
                <w:rFonts w:hint="eastAsia" w:ascii="等线" w:hAnsi="等线" w:eastAsia="楷体_GB2312" w:cs="宋体"/>
                <w:color w:val="auto"/>
                <w:sz w:val="52"/>
                <w:szCs w:val="22"/>
              </w:rPr>
            </w:pPr>
          </w:p>
        </w:tc>
      </w:tr>
      <w:tr w14:paraId="2145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53" w:type="dxa"/>
            <w:vMerge w:val="continue"/>
            <w:tcBorders>
              <w:top w:val="nil"/>
              <w:left w:val="nil"/>
              <w:bottom w:val="nil"/>
              <w:right w:val="nil"/>
            </w:tcBorders>
            <w:vAlign w:val="center"/>
          </w:tcPr>
          <w:p w14:paraId="488EBB0A">
            <w:pPr>
              <w:widowControl/>
              <w:jc w:val="left"/>
              <w:rPr>
                <w:rFonts w:hint="eastAsia" w:ascii="等线" w:hAnsi="等线" w:eastAsia="楷体_GB2312" w:cs="宋体"/>
                <w:color w:val="auto"/>
                <w:sz w:val="52"/>
                <w:szCs w:val="22"/>
              </w:rPr>
            </w:pPr>
          </w:p>
        </w:tc>
        <w:tc>
          <w:tcPr>
            <w:tcW w:w="2633" w:type="dxa"/>
            <w:tcBorders>
              <w:top w:val="nil"/>
              <w:left w:val="nil"/>
              <w:bottom w:val="nil"/>
              <w:right w:val="nil"/>
            </w:tcBorders>
            <w:vAlign w:val="center"/>
          </w:tcPr>
          <w:p w14:paraId="33C0C598">
            <w:pPr>
              <w:jc w:val="distribute"/>
              <w:rPr>
                <w:rFonts w:ascii="黑体" w:hAnsi="黑体" w:eastAsia="黑体" w:cs="黑体"/>
                <w:color w:val="auto"/>
                <w:sz w:val="32"/>
                <w:szCs w:val="36"/>
              </w:rPr>
            </w:pPr>
            <w:r>
              <w:rPr>
                <w:rFonts w:hint="eastAsia" w:ascii="黑体" w:hAnsi="黑体" w:eastAsia="黑体" w:cs="黑体"/>
                <w:color w:val="auto"/>
                <w:sz w:val="32"/>
                <w:szCs w:val="36"/>
                <w:lang w:eastAsia="zh-CN"/>
              </w:rPr>
              <w:t>编制时间</w:t>
            </w:r>
            <w:r>
              <w:rPr>
                <w:rFonts w:hint="eastAsia" w:ascii="黑体" w:hAnsi="黑体" w:eastAsia="黑体" w:cs="黑体"/>
                <w:color w:val="auto"/>
                <w:sz w:val="32"/>
                <w:szCs w:val="36"/>
              </w:rPr>
              <w:t>：</w:t>
            </w:r>
          </w:p>
        </w:tc>
        <w:tc>
          <w:tcPr>
            <w:tcW w:w="255" w:type="dxa"/>
            <w:tcBorders>
              <w:top w:val="nil"/>
              <w:left w:val="nil"/>
              <w:bottom w:val="nil"/>
              <w:right w:val="nil"/>
            </w:tcBorders>
            <w:vAlign w:val="center"/>
          </w:tcPr>
          <w:p w14:paraId="6F7C21AA">
            <w:pPr>
              <w:widowControl w:val="0"/>
              <w:ind w:firstLine="1960" w:firstLineChars="700"/>
              <w:jc w:val="both"/>
              <w:rPr>
                <w:rFonts w:ascii="等线" w:hAnsi="等线" w:eastAsia="等线" w:cs="宋体"/>
                <w:color w:val="auto"/>
                <w:kern w:val="2"/>
                <w:sz w:val="28"/>
                <w:szCs w:val="28"/>
                <w:lang w:val="en-US" w:eastAsia="zh-CN" w:bidi="ar-SA"/>
              </w:rPr>
            </w:pPr>
          </w:p>
        </w:tc>
        <w:tc>
          <w:tcPr>
            <w:tcW w:w="5581" w:type="dxa"/>
            <w:tcBorders>
              <w:top w:val="nil"/>
              <w:left w:val="nil"/>
              <w:bottom w:val="nil"/>
              <w:right w:val="nil"/>
            </w:tcBorders>
            <w:vAlign w:val="center"/>
          </w:tcPr>
          <w:p w14:paraId="26B561C9">
            <w:pPr>
              <w:jc w:val="left"/>
              <w:rPr>
                <w:rFonts w:ascii="黑体" w:hAnsi="黑体" w:eastAsia="黑体" w:cs="黑体"/>
                <w:color w:val="auto"/>
                <w:sz w:val="28"/>
                <w:szCs w:val="32"/>
              </w:rPr>
            </w:pPr>
            <w:r>
              <w:rPr>
                <w:rFonts w:hint="eastAsia" w:ascii="黑体" w:hAnsi="黑体" w:eastAsia="黑体" w:cs="黑体"/>
                <w:color w:val="auto"/>
                <w:sz w:val="28"/>
                <w:szCs w:val="32"/>
                <w:lang w:val="en-US" w:eastAsia="zh-CN"/>
              </w:rPr>
              <w:t>2026年9月10</w:t>
            </w:r>
            <w:bookmarkStart w:id="8" w:name="_GoBack"/>
            <w:bookmarkEnd w:id="8"/>
            <w:r>
              <w:rPr>
                <w:rFonts w:hint="eastAsia" w:ascii="黑体" w:hAnsi="黑体" w:eastAsia="黑体" w:cs="黑体"/>
                <w:color w:val="auto"/>
                <w:sz w:val="28"/>
                <w:szCs w:val="32"/>
                <w:lang w:val="en-US" w:eastAsia="zh-CN"/>
              </w:rPr>
              <w:t>日</w:t>
            </w:r>
          </w:p>
        </w:tc>
        <w:tc>
          <w:tcPr>
            <w:tcW w:w="373" w:type="dxa"/>
            <w:vMerge w:val="continue"/>
            <w:tcBorders>
              <w:top w:val="nil"/>
              <w:left w:val="nil"/>
              <w:bottom w:val="nil"/>
              <w:right w:val="nil"/>
            </w:tcBorders>
            <w:vAlign w:val="center"/>
          </w:tcPr>
          <w:p w14:paraId="16A3F82D">
            <w:pPr>
              <w:widowControl/>
              <w:jc w:val="distribute"/>
              <w:rPr>
                <w:rFonts w:hint="eastAsia" w:ascii="等线" w:hAnsi="等线" w:eastAsia="楷体_GB2312" w:cs="宋体"/>
                <w:color w:val="auto"/>
                <w:sz w:val="52"/>
                <w:szCs w:val="22"/>
              </w:rPr>
            </w:pPr>
          </w:p>
        </w:tc>
      </w:tr>
      <w:tr w14:paraId="6920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jc w:val="center"/>
        </w:trPr>
        <w:tc>
          <w:tcPr>
            <w:tcW w:w="9495" w:type="dxa"/>
            <w:gridSpan w:val="5"/>
            <w:tcBorders>
              <w:top w:val="nil"/>
              <w:left w:val="nil"/>
              <w:bottom w:val="nil"/>
              <w:right w:val="nil"/>
            </w:tcBorders>
          </w:tcPr>
          <w:p w14:paraId="270E3FD1">
            <w:pPr>
              <w:widowControl w:val="0"/>
              <w:jc w:val="both"/>
              <w:rPr>
                <w:rFonts w:hint="eastAsia" w:ascii="黑体" w:hAnsi="等线" w:eastAsia="黑体" w:cs="宋体"/>
                <w:color w:val="auto"/>
                <w:kern w:val="2"/>
                <w:sz w:val="32"/>
                <w:szCs w:val="32"/>
                <w:lang w:val="en-US" w:eastAsia="zh-CN" w:bidi="ar-SA"/>
              </w:rPr>
            </w:pPr>
          </w:p>
          <w:p w14:paraId="067A9E28">
            <w:pPr>
              <w:widowControl w:val="0"/>
              <w:jc w:val="both"/>
              <w:rPr>
                <w:rFonts w:hint="eastAsia" w:ascii="黑体" w:hAnsi="等线" w:eastAsia="黑体" w:cs="宋体"/>
                <w:color w:val="auto"/>
                <w:kern w:val="2"/>
                <w:sz w:val="32"/>
                <w:szCs w:val="32"/>
                <w:lang w:val="en-US" w:eastAsia="zh-CN" w:bidi="ar-SA"/>
              </w:rPr>
            </w:pPr>
          </w:p>
          <w:p w14:paraId="5E9067AD">
            <w:pPr>
              <w:widowControl w:val="0"/>
              <w:jc w:val="center"/>
              <w:rPr>
                <w:rFonts w:hint="eastAsia" w:ascii="黑体" w:hAnsi="等线" w:eastAsia="黑体" w:cs="宋体"/>
                <w:color w:val="auto"/>
                <w:kern w:val="2"/>
                <w:sz w:val="32"/>
                <w:szCs w:val="32"/>
                <w:lang w:val="en-US" w:eastAsia="zh-CN" w:bidi="ar-SA"/>
              </w:rPr>
            </w:pPr>
          </w:p>
          <w:p w14:paraId="64B7DF48">
            <w:pPr>
              <w:widowControl w:val="0"/>
              <w:jc w:val="center"/>
              <w:rPr>
                <w:rFonts w:hint="eastAsia" w:ascii="黑体" w:hAnsi="等线" w:eastAsia="黑体" w:cs="宋体"/>
                <w:color w:val="auto"/>
                <w:kern w:val="2"/>
                <w:sz w:val="32"/>
                <w:szCs w:val="32"/>
                <w:lang w:val="en-US" w:eastAsia="zh-CN" w:bidi="ar-SA"/>
              </w:rPr>
            </w:pPr>
          </w:p>
        </w:tc>
      </w:tr>
    </w:tbl>
    <w:p w14:paraId="67D07842">
      <w:pPr>
        <w:rPr>
          <w:rFonts w:hint="eastAsia" w:ascii="微软雅黑" w:hAnsi="微软雅黑" w:eastAsia="微软雅黑" w:cs="微软雅黑"/>
          <w:bCs/>
          <w:color w:val="auto"/>
          <w:kern w:val="44"/>
          <w:sz w:val="36"/>
          <w:szCs w:val="48"/>
          <w:highlight w:val="none"/>
          <w:lang w:val="en-US" w:eastAsia="zh-CN" w:bidi="ar-SA"/>
        </w:rPr>
      </w:pPr>
      <w:r>
        <w:rPr>
          <w:rFonts w:hint="eastAsia" w:ascii="微软雅黑" w:hAnsi="微软雅黑" w:eastAsia="微软雅黑" w:cs="微软雅黑"/>
          <w:bCs/>
          <w:color w:val="auto"/>
          <w:kern w:val="44"/>
          <w:sz w:val="36"/>
          <w:szCs w:val="48"/>
          <w:highlight w:val="none"/>
          <w:lang w:val="en-US" w:eastAsia="zh-CN" w:bidi="ar-SA"/>
        </w:rPr>
        <w:br w:type="page"/>
      </w:r>
    </w:p>
    <w:p w14:paraId="036C61AB">
      <w:pPr>
        <w:widowControl w:val="0"/>
        <w:spacing w:before="156" w:beforeLines="50" w:after="156" w:afterLines="50" w:line="560" w:lineRule="exact"/>
        <w:jc w:val="center"/>
        <w:outlineLvl w:val="0"/>
        <w:rPr>
          <w:rFonts w:hint="eastAsia" w:ascii="微软雅黑" w:hAnsi="微软雅黑" w:eastAsia="微软雅黑" w:cs="微软雅黑"/>
          <w:bCs/>
          <w:color w:val="auto"/>
          <w:kern w:val="44"/>
          <w:sz w:val="36"/>
          <w:szCs w:val="48"/>
          <w:highlight w:val="none"/>
          <w:lang w:val="en-US" w:eastAsia="zh-CN" w:bidi="ar-SA"/>
        </w:rPr>
      </w:pPr>
      <w:r>
        <w:rPr>
          <w:rFonts w:hint="eastAsia" w:ascii="微软雅黑" w:hAnsi="微软雅黑" w:eastAsia="微软雅黑" w:cs="微软雅黑"/>
          <w:bCs/>
          <w:color w:val="auto"/>
          <w:kern w:val="44"/>
          <w:sz w:val="36"/>
          <w:szCs w:val="48"/>
          <w:highlight w:val="none"/>
          <w:lang w:val="en-US" w:eastAsia="zh-CN" w:bidi="ar-SA"/>
        </w:rPr>
        <w:t>项目需求</w:t>
      </w:r>
    </w:p>
    <w:p w14:paraId="65A588E5">
      <w:pPr>
        <w:widowControl w:val="0"/>
        <w:adjustRightInd w:val="0"/>
        <w:snapToGrid w:val="0"/>
        <w:spacing w:before="240" w:beforeLines="50" w:line="440" w:lineRule="exact"/>
        <w:ind w:firstLine="482" w:firstLineChars="200"/>
        <w:jc w:val="both"/>
        <w:rPr>
          <w:rFonts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前注：</w:t>
      </w:r>
    </w:p>
    <w:p w14:paraId="35A22DDF">
      <w:pPr>
        <w:widowControl w:val="0"/>
        <w:numPr>
          <w:ilvl w:val="0"/>
          <w:numId w:val="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根据《关于规范政府采购进口产品有关工作的通知》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23714054">
      <w:pPr>
        <w:widowControl w:val="0"/>
        <w:numPr>
          <w:ilvl w:val="0"/>
          <w:numId w:val="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3507F1DA">
      <w:pPr>
        <w:widowControl w:val="0"/>
        <w:numPr>
          <w:ilvl w:val="0"/>
          <w:numId w:val="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项，响应无效。</w:t>
      </w:r>
    </w:p>
    <w:p w14:paraId="70585BB5">
      <w:pPr>
        <w:keepNext/>
        <w:keepLines/>
        <w:pageBreakBefore w:val="0"/>
        <w:widowControl w:val="0"/>
        <w:numPr>
          <w:ilvl w:val="0"/>
          <w:numId w:val="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bookmarkStart w:id="0" w:name="_Toc24142"/>
      <w:bookmarkStart w:id="1" w:name="_Toc5734"/>
      <w:r>
        <w:rPr>
          <w:rFonts w:hint="eastAsia" w:ascii="Times New Roman" w:hAnsi="Times New Roman" w:eastAsia="黑体" w:cs="Times New Roman"/>
          <w:color w:val="auto"/>
          <w:kern w:val="2"/>
          <w:sz w:val="24"/>
          <w:szCs w:val="24"/>
          <w:highlight w:val="none"/>
          <w:lang w:val="en-US" w:eastAsia="zh-CN" w:bidi="ar-SA"/>
        </w:rPr>
        <w:t>项目概况</w:t>
      </w:r>
      <w:bookmarkEnd w:id="0"/>
      <w:bookmarkEnd w:id="1"/>
    </w:p>
    <w:p w14:paraId="2A9F1716">
      <w:pPr>
        <w:widowControl w:val="0"/>
        <w:spacing w:before="17" w:after="120" w:afterAutospacing="0" w:line="340" w:lineRule="auto"/>
        <w:ind w:firstLine="720" w:firstLineChars="300"/>
        <w:jc w:val="both"/>
        <w:rPr>
          <w:rFonts w:hint="eastAsia" w:ascii="Calibri" w:hAnsi="Calibri" w:eastAsia="宋体" w:cs="宋体"/>
          <w:color w:val="auto"/>
          <w:sz w:val="24"/>
          <w:lang w:eastAsia="zh-CN"/>
        </w:rPr>
      </w:pPr>
      <w:bookmarkStart w:id="2" w:name="_Toc23714"/>
      <w:bookmarkStart w:id="3" w:name="_Toc12943"/>
      <w:r>
        <w:rPr>
          <w:rFonts w:hint="eastAsia" w:ascii="Arial Narrow" w:hAnsi="Arial Narrow" w:eastAsia="宋体" w:cs="宋体"/>
          <w:color w:val="auto"/>
          <w:kern w:val="2"/>
          <w:sz w:val="24"/>
          <w:szCs w:val="22"/>
          <w:lang w:val="en-US" w:eastAsia="zh-CN" w:bidi="ar-SA"/>
        </w:rPr>
        <w:t>为全力做好2026年第十一届全省少数民族传统体育运动会医疗保障工作，我委拟在市城区范围内实施“自动除颤器（AED）采购项目（货物类）”，计划采购21台AED设备，专项用于赛事期间及日常公共区域应急医疗保障。</w:t>
      </w:r>
    </w:p>
    <w:p w14:paraId="1E03526D">
      <w:pPr>
        <w:keepNext/>
        <w:keepLines/>
        <w:pageBreakBefore w:val="0"/>
        <w:widowControl w:val="0"/>
        <w:numPr>
          <w:ilvl w:val="0"/>
          <w:numId w:val="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采购项目预（概）算</w:t>
      </w:r>
      <w:bookmarkEnd w:id="2"/>
      <w:bookmarkEnd w:id="3"/>
    </w:p>
    <w:p w14:paraId="0D89A2C6">
      <w:pPr>
        <w:spacing w:line="440" w:lineRule="exact"/>
        <w:ind w:firstLine="420"/>
        <w:jc w:val="both"/>
        <w:rPr>
          <w:rFonts w:hint="eastAsia" w:ascii="宋体" w:hAnsi="宋体" w:eastAsia="宋体" w:cs="宋体"/>
          <w:color w:val="auto"/>
          <w:kern w:val="2"/>
          <w:sz w:val="24"/>
          <w:szCs w:val="21"/>
          <w:highlight w:val="none"/>
          <w:lang w:val="en-US" w:eastAsia="zh-CN" w:bidi="ar-SA"/>
        </w:rPr>
      </w:pPr>
      <w:bookmarkStart w:id="4" w:name="_Toc7680"/>
      <w:bookmarkStart w:id="5" w:name="_Toc4938"/>
      <w:r>
        <w:rPr>
          <w:rFonts w:hint="eastAsia" w:ascii="宋体" w:hAnsi="宋体" w:eastAsia="宋体" w:cs="宋体"/>
          <w:color w:val="auto"/>
          <w:kern w:val="2"/>
          <w:sz w:val="24"/>
          <w:szCs w:val="21"/>
          <w:highlight w:val="none"/>
          <w:lang w:val="en-US" w:eastAsia="zh-CN" w:bidi="ar-SA"/>
        </w:rPr>
        <w:t>预（概）算∶546000.00元 。</w:t>
      </w:r>
    </w:p>
    <w:p w14:paraId="51AE802B">
      <w:pPr>
        <w:spacing w:line="440" w:lineRule="exact"/>
        <w:ind w:firstLine="420"/>
        <w:jc w:val="both"/>
        <w:rPr>
          <w:rFonts w:hint="default" w:ascii="宋体" w:hAnsi="宋体" w:eastAsia="宋体" w:cs="宋体"/>
          <w:color w:val="auto"/>
          <w:kern w:val="2"/>
          <w:sz w:val="24"/>
          <w:szCs w:val="21"/>
          <w:highlight w:val="none"/>
          <w:lang w:val="en-US" w:eastAsia="zh-CN" w:bidi="ar-SA"/>
        </w:rPr>
      </w:pPr>
      <w:r>
        <w:rPr>
          <w:rFonts w:hint="default" w:ascii="宋体" w:hAnsi="宋体" w:eastAsia="宋体" w:cs="宋体"/>
          <w:color w:val="auto"/>
          <w:kern w:val="2"/>
          <w:sz w:val="24"/>
          <w:szCs w:val="21"/>
          <w:highlight w:val="none"/>
          <w:lang w:val="en-US" w:eastAsia="zh-CN" w:bidi="ar-SA"/>
        </w:rPr>
        <w:t>最高限价∶</w:t>
      </w:r>
      <w:r>
        <w:rPr>
          <w:rFonts w:hint="eastAsia" w:ascii="宋体" w:hAnsi="宋体" w:eastAsia="宋体" w:cs="宋体"/>
          <w:color w:val="auto"/>
          <w:kern w:val="2"/>
          <w:sz w:val="24"/>
          <w:szCs w:val="21"/>
          <w:highlight w:val="none"/>
          <w:lang w:val="en-US" w:eastAsia="zh-CN" w:bidi="ar-SA"/>
        </w:rPr>
        <w:t>546000.00</w:t>
      </w:r>
      <w:r>
        <w:rPr>
          <w:rFonts w:hint="default" w:ascii="宋体" w:hAnsi="宋体" w:eastAsia="宋体" w:cs="宋体"/>
          <w:color w:val="auto"/>
          <w:kern w:val="2"/>
          <w:sz w:val="24"/>
          <w:szCs w:val="21"/>
          <w:highlight w:val="none"/>
          <w:lang w:val="en-US" w:eastAsia="zh-CN" w:bidi="ar-SA"/>
        </w:rPr>
        <w:t xml:space="preserve">元 </w:t>
      </w:r>
      <w:r>
        <w:rPr>
          <w:rFonts w:hint="eastAsia" w:ascii="宋体" w:hAnsi="宋体" w:eastAsia="宋体" w:cs="宋体"/>
          <w:color w:val="auto"/>
          <w:kern w:val="2"/>
          <w:sz w:val="24"/>
          <w:szCs w:val="21"/>
          <w:highlight w:val="none"/>
          <w:lang w:val="en-US" w:eastAsia="zh-CN" w:bidi="ar-SA"/>
        </w:rPr>
        <w:t>。</w:t>
      </w:r>
    </w:p>
    <w:p w14:paraId="4E5CB81F">
      <w:pPr>
        <w:keepNext/>
        <w:keepLines/>
        <w:pageBreakBefore w:val="0"/>
        <w:widowControl w:val="0"/>
        <w:numPr>
          <w:ilvl w:val="0"/>
          <w:numId w:val="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采购标的汇总表</w:t>
      </w:r>
      <w:bookmarkEnd w:id="4"/>
      <w:bookmarkEnd w:id="5"/>
    </w:p>
    <w:tbl>
      <w:tblPr>
        <w:tblStyle w:val="3"/>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80"/>
        <w:gridCol w:w="2571"/>
        <w:gridCol w:w="1790"/>
        <w:gridCol w:w="690"/>
        <w:gridCol w:w="759"/>
        <w:gridCol w:w="1181"/>
      </w:tblGrid>
      <w:tr w14:paraId="472FDE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0EA1BD3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包号</w:t>
            </w:r>
          </w:p>
        </w:tc>
        <w:tc>
          <w:tcPr>
            <w:tcW w:w="780" w:type="dxa"/>
            <w:tcBorders>
              <w:tl2br w:val="nil"/>
              <w:tr2bl w:val="nil"/>
            </w:tcBorders>
            <w:vAlign w:val="center"/>
          </w:tcPr>
          <w:p w14:paraId="7B464B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序号</w:t>
            </w:r>
          </w:p>
        </w:tc>
        <w:tc>
          <w:tcPr>
            <w:tcW w:w="3198" w:type="dxa"/>
            <w:tcBorders>
              <w:tl2br w:val="nil"/>
              <w:tr2bl w:val="nil"/>
            </w:tcBorders>
            <w:vAlign w:val="center"/>
          </w:tcPr>
          <w:p w14:paraId="0F07D5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标的名称</w:t>
            </w:r>
          </w:p>
        </w:tc>
        <w:tc>
          <w:tcPr>
            <w:tcW w:w="1992" w:type="dxa"/>
            <w:tcBorders>
              <w:tl2br w:val="nil"/>
              <w:tr2bl w:val="nil"/>
            </w:tcBorders>
            <w:vAlign w:val="center"/>
          </w:tcPr>
          <w:p w14:paraId="24BE02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品目分类编码</w:t>
            </w:r>
          </w:p>
        </w:tc>
        <w:tc>
          <w:tcPr>
            <w:tcW w:w="720" w:type="dxa"/>
            <w:tcBorders>
              <w:tl2br w:val="nil"/>
              <w:tr2bl w:val="nil"/>
            </w:tcBorders>
            <w:vAlign w:val="center"/>
          </w:tcPr>
          <w:p w14:paraId="7E0C12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计量单位</w:t>
            </w:r>
          </w:p>
        </w:tc>
        <w:tc>
          <w:tcPr>
            <w:tcW w:w="826" w:type="dxa"/>
            <w:tcBorders>
              <w:tl2br w:val="nil"/>
              <w:tr2bl w:val="nil"/>
            </w:tcBorders>
            <w:vAlign w:val="center"/>
          </w:tcPr>
          <w:p w14:paraId="76BA30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数量</w:t>
            </w:r>
          </w:p>
        </w:tc>
        <w:tc>
          <w:tcPr>
            <w:tcW w:w="1424" w:type="dxa"/>
            <w:tcBorders>
              <w:tl2br w:val="nil"/>
              <w:tr2bl w:val="nil"/>
            </w:tcBorders>
            <w:vAlign w:val="center"/>
          </w:tcPr>
          <w:p w14:paraId="67DABA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是否进口</w:t>
            </w:r>
          </w:p>
        </w:tc>
      </w:tr>
      <w:tr w14:paraId="0A210D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4604A356">
            <w:pPr>
              <w:widowControl/>
              <w:numPr>
                <w:ilvl w:val="0"/>
                <w:numId w:val="0"/>
              </w:numPr>
              <w:tabs>
                <w:tab w:val="left" w:pos="0"/>
              </w:tabs>
              <w:bidi w:val="0"/>
              <w:spacing w:line="480" w:lineRule="auto"/>
              <w:ind w:left="0" w:leftChars="0" w:firstLine="0" w:firstLineChars="0"/>
              <w:jc w:val="center"/>
              <w:rPr>
                <w:rFonts w:hint="eastAsia" w:ascii="微软雅黑" w:hAnsi="微软雅黑" w:eastAsia="微软雅黑" w:cs="微软雅黑"/>
                <w:b w:val="0"/>
                <w:bCs w:val="0"/>
                <w:color w:val="auto"/>
                <w:kern w:val="2"/>
                <w:sz w:val="22"/>
                <w:szCs w:val="21"/>
                <w:highlight w:val="none"/>
                <w:vertAlign w:val="baseline"/>
                <w:lang w:val="en-US" w:eastAsia="zh-CN" w:bidi="ar-SA"/>
              </w:rPr>
            </w:pPr>
            <w:bookmarkStart w:id="6" w:name="_Toc5867"/>
            <w:bookmarkStart w:id="7" w:name="_Toc20741"/>
            <w:r>
              <w:rPr>
                <w:rFonts w:hint="eastAsia" w:ascii="微软雅黑" w:hAnsi="微软雅黑" w:eastAsia="微软雅黑" w:cs="微软雅黑"/>
                <w:b w:val="0"/>
                <w:bCs w:val="0"/>
                <w:i w:val="0"/>
                <w:iCs w:val="0"/>
                <w:color w:val="auto"/>
                <w:kern w:val="2"/>
                <w:sz w:val="22"/>
                <w:szCs w:val="21"/>
                <w:vertAlign w:val="baseline"/>
                <w:lang w:val="en-US" w:eastAsia="zh-CN" w:bidi="ar-SA"/>
              </w:rPr>
              <w:t>包1</w:t>
            </w:r>
          </w:p>
        </w:tc>
        <w:tc>
          <w:tcPr>
            <w:tcW w:w="780" w:type="dxa"/>
            <w:tcBorders>
              <w:tl2br w:val="nil"/>
              <w:tr2bl w:val="nil"/>
            </w:tcBorders>
            <w:vAlign w:val="center"/>
          </w:tcPr>
          <w:p w14:paraId="60745FF9">
            <w:pPr>
              <w:widowControl/>
              <w:numPr>
                <w:ilvl w:val="0"/>
                <w:numId w:val="3"/>
              </w:numPr>
              <w:tabs>
                <w:tab w:val="left" w:pos="0"/>
              </w:tabs>
              <w:spacing w:line="480" w:lineRule="auto"/>
              <w:ind w:firstLine="0" w:firstLineChars="0"/>
              <w:jc w:val="center"/>
              <w:rPr>
                <w:rFonts w:hint="eastAsia" w:ascii="Arial Narrow" w:hAnsi="Arial Narrow" w:eastAsia="宋体" w:cs="宋体"/>
                <w:color w:val="auto"/>
                <w:kern w:val="2"/>
                <w:sz w:val="24"/>
                <w:szCs w:val="22"/>
                <w:highlight w:val="none"/>
                <w:lang w:val="en-US" w:eastAsia="zh-CN" w:bidi="ar-SA"/>
              </w:rPr>
            </w:pPr>
          </w:p>
        </w:tc>
        <w:tc>
          <w:tcPr>
            <w:tcW w:w="3198" w:type="dxa"/>
            <w:tcBorders>
              <w:tl2br w:val="nil"/>
              <w:tr2bl w:val="nil"/>
            </w:tcBorders>
            <w:vAlign w:val="center"/>
          </w:tcPr>
          <w:p w14:paraId="69EED413">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48"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lang w:val="en-US" w:eastAsia="zh-CN" w:bidi="ar-SA"/>
              </w:rPr>
              <w:t>第十一届全省少数民族传统运动会自动除颤器（AED）采购项目</w:t>
            </w:r>
          </w:p>
        </w:tc>
        <w:tc>
          <w:tcPr>
            <w:tcW w:w="1992" w:type="dxa"/>
            <w:tcBorders>
              <w:tl2br w:val="nil"/>
              <w:tr2bl w:val="nil"/>
            </w:tcBorders>
            <w:vAlign w:val="center"/>
          </w:tcPr>
          <w:p w14:paraId="687ADB90">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48"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default" w:ascii="微软雅黑" w:hAnsi="微软雅黑" w:eastAsia="微软雅黑" w:cs="微软雅黑"/>
                <w:i w:val="0"/>
                <w:iCs w:val="0"/>
                <w:caps w:val="0"/>
                <w:color w:val="auto"/>
                <w:spacing w:val="0"/>
                <w:kern w:val="2"/>
                <w:sz w:val="21"/>
                <w:szCs w:val="21"/>
                <w:lang w:val="en-US" w:eastAsia="zh-CN" w:bidi="ar-SA"/>
              </w:rPr>
              <w:t>A02322500急救和生命支持设备</w:t>
            </w:r>
          </w:p>
        </w:tc>
        <w:tc>
          <w:tcPr>
            <w:tcW w:w="720" w:type="dxa"/>
            <w:tcBorders>
              <w:tl2br w:val="nil"/>
              <w:tr2bl w:val="nil"/>
            </w:tcBorders>
            <w:vAlign w:val="center"/>
          </w:tcPr>
          <w:p w14:paraId="66F3FD43">
            <w:pPr>
              <w:widowControl/>
              <w:numPr>
                <w:ilvl w:val="0"/>
                <w:numId w:val="0"/>
              </w:numPr>
              <w:tabs>
                <w:tab w:val="left" w:pos="33"/>
              </w:tabs>
              <w:bidi w:val="0"/>
              <w:spacing w:line="300" w:lineRule="exact"/>
              <w:ind w:left="210" w:leftChars="100" w:right="-48" w:rightChars="-23" w:firstLine="0" w:firstLineChars="0"/>
              <w:jc w:val="center"/>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台</w:t>
            </w:r>
          </w:p>
        </w:tc>
        <w:tc>
          <w:tcPr>
            <w:tcW w:w="826" w:type="dxa"/>
            <w:tcBorders>
              <w:tl2br w:val="nil"/>
              <w:tr2bl w:val="nil"/>
            </w:tcBorders>
            <w:vAlign w:val="center"/>
          </w:tcPr>
          <w:p w14:paraId="03FA0BD9">
            <w:pPr>
              <w:widowControl/>
              <w:numPr>
                <w:ilvl w:val="0"/>
                <w:numId w:val="0"/>
              </w:numPr>
              <w:tabs>
                <w:tab w:val="left" w:pos="33"/>
              </w:tabs>
              <w:bidi w:val="0"/>
              <w:spacing w:line="300" w:lineRule="exact"/>
              <w:ind w:left="210" w:leftChars="100" w:right="-48" w:rightChars="-23" w:firstLine="0" w:firstLineChars="0"/>
              <w:jc w:val="both"/>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21</w:t>
            </w:r>
          </w:p>
        </w:tc>
        <w:tc>
          <w:tcPr>
            <w:tcW w:w="1424" w:type="dxa"/>
            <w:tcBorders>
              <w:tl2br w:val="nil"/>
              <w:tr2bl w:val="nil"/>
            </w:tcBorders>
            <w:vAlign w:val="center"/>
          </w:tcPr>
          <w:p w14:paraId="300E5496">
            <w:pPr>
              <w:widowControl/>
              <w:numPr>
                <w:ilvl w:val="0"/>
                <w:numId w:val="0"/>
              </w:numPr>
              <w:tabs>
                <w:tab w:val="left" w:pos="33"/>
              </w:tabs>
              <w:spacing w:line="300" w:lineRule="exact"/>
              <w:ind w:left="210" w:leftChars="100" w:right="-55" w:rightChars="0" w:firstLine="0" w:firstLineChars="0"/>
              <w:jc w:val="left"/>
              <w:rPr>
                <w:rFonts w:hint="eastAsia" w:ascii="Arial Narrow" w:hAnsi="Arial Narrow" w:eastAsia="宋体" w:cs="宋体"/>
                <w:color w:val="auto"/>
                <w:kern w:val="2"/>
                <w:sz w:val="24"/>
                <w:szCs w:val="22"/>
                <w:highlight w:val="none"/>
                <w:lang w:val="en-US" w:eastAsia="zh-CN" w:bidi="ar-SA"/>
              </w:rPr>
            </w:pPr>
            <w:r>
              <w:rPr>
                <w:rFonts w:hint="eastAsia" w:ascii="微软雅黑" w:hAnsi="微软雅黑" w:eastAsia="微软雅黑" w:cs="微软雅黑"/>
                <w:color w:val="auto"/>
                <w:kern w:val="2"/>
                <w:sz w:val="22"/>
                <w:szCs w:val="22"/>
                <w:highlight w:val="none"/>
                <w:lang w:val="en-US" w:eastAsia="zh-CN" w:bidi="ar-SA"/>
              </w:rPr>
              <w:t>否</w:t>
            </w:r>
          </w:p>
        </w:tc>
      </w:tr>
    </w:tbl>
    <w:p w14:paraId="0C48BBF0">
      <w:pPr>
        <w:keepNext/>
        <w:keepLines/>
        <w:widowControl w:val="0"/>
        <w:numPr>
          <w:ilvl w:val="0"/>
          <w:numId w:val="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技术要求</w:t>
      </w:r>
      <w:bookmarkEnd w:id="6"/>
      <w:bookmarkEnd w:id="7"/>
    </w:p>
    <w:p w14:paraId="32973B4C">
      <w:pPr>
        <w:keepNext w:val="0"/>
        <w:keepLines w:val="0"/>
        <w:pageBreakBefore w:val="0"/>
        <w:widowControl w:val="0"/>
        <w:numPr>
          <w:ilvl w:val="0"/>
          <w:numId w:val="4"/>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技术参数</w:t>
      </w:r>
    </w:p>
    <w:p w14:paraId="27C9DF1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用于应急、重大活动保障等场景：</w:t>
      </w:r>
    </w:p>
    <w:p w14:paraId="678AE0B0">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1.物理规格/性能：</w:t>
      </w:r>
    </w:p>
    <w:p w14:paraId="62BB6BED">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1.1设备具备便携把手，具备高便携性。</w:t>
      </w:r>
    </w:p>
    <w:p w14:paraId="0F3C35F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1.2设备能承受在任何角度由≥1.5m高度跌落后仍完好无损。</w:t>
      </w:r>
    </w:p>
    <w:p w14:paraId="1D403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1.3主机</w:t>
      </w:r>
      <w:r>
        <w:rPr>
          <w:rFonts w:hint="eastAsia" w:ascii="宋体" w:hAnsi="宋体" w:eastAsia="宋体" w:cs="宋体"/>
          <w:i w:val="0"/>
          <w:iCs w:val="0"/>
          <w:snapToGrid w:val="0"/>
          <w:color w:val="auto"/>
          <w:kern w:val="0"/>
          <w:sz w:val="24"/>
          <w:szCs w:val="24"/>
          <w:u w:val="none"/>
          <w:lang w:val="en-US" w:eastAsia="zh-CN" w:bidi="ar"/>
        </w:rPr>
        <w:t>为IP</w:t>
      </w:r>
      <w:r>
        <w:rPr>
          <w:rFonts w:hint="eastAsia" w:ascii="宋体" w:hAnsi="宋体" w:eastAsia="宋体" w:cs="宋体"/>
          <w:i w:val="0"/>
          <w:iCs w:val="0"/>
          <w:snapToGrid w:val="0"/>
          <w:color w:val="auto"/>
          <w:kern w:val="0"/>
          <w:sz w:val="24"/>
          <w:szCs w:val="24"/>
          <w:highlight w:val="none"/>
          <w:u w:val="none"/>
          <w:lang w:val="en-US" w:eastAsia="zh-CN" w:bidi="ar"/>
        </w:rPr>
        <w:t>55/</w:t>
      </w:r>
      <w:r>
        <w:rPr>
          <w:rFonts w:hint="eastAsia" w:ascii="宋体" w:hAnsi="宋体" w:eastAsia="宋体" w:cs="宋体"/>
          <w:i w:val="0"/>
          <w:iCs w:val="0"/>
          <w:snapToGrid w:val="0"/>
          <w:color w:val="auto"/>
          <w:kern w:val="0"/>
          <w:sz w:val="24"/>
          <w:szCs w:val="24"/>
          <w:u w:val="none"/>
          <w:lang w:val="en-US" w:eastAsia="zh-CN" w:bidi="ar"/>
        </w:rPr>
        <w:t>IP</w:t>
      </w:r>
      <w:r>
        <w:rPr>
          <w:rFonts w:hint="eastAsia" w:ascii="宋体" w:hAnsi="宋体" w:eastAsia="宋体" w:cs="宋体"/>
          <w:i w:val="0"/>
          <w:iCs w:val="0"/>
          <w:snapToGrid w:val="0"/>
          <w:color w:val="auto"/>
          <w:kern w:val="0"/>
          <w:sz w:val="24"/>
          <w:szCs w:val="24"/>
          <w:highlight w:val="none"/>
          <w:u w:val="none"/>
          <w:lang w:val="en-US" w:eastAsia="zh-CN" w:bidi="ar"/>
        </w:rPr>
        <w:t>65</w:t>
      </w:r>
      <w:r>
        <w:rPr>
          <w:rFonts w:hint="eastAsia" w:ascii="宋体" w:hAnsi="宋体" w:eastAsia="宋体" w:cs="宋体"/>
          <w:i w:val="0"/>
          <w:iCs w:val="0"/>
          <w:snapToGrid w:val="0"/>
          <w:color w:val="auto"/>
          <w:kern w:val="0"/>
          <w:sz w:val="24"/>
          <w:szCs w:val="24"/>
          <w:u w:val="none"/>
          <w:lang w:val="en-US" w:eastAsia="zh-CN" w:bidi="ar"/>
        </w:rPr>
        <w:t>的防尘</w:t>
      </w:r>
      <w:r>
        <w:rPr>
          <w:rFonts w:hint="eastAsia" w:ascii="宋体" w:hAnsi="宋体" w:eastAsia="宋体" w:cs="宋体"/>
          <w:i w:val="0"/>
          <w:iCs w:val="0"/>
          <w:snapToGrid w:val="0"/>
          <w:color w:val="000000"/>
          <w:kern w:val="0"/>
          <w:sz w:val="24"/>
          <w:szCs w:val="24"/>
          <w:u w:val="none"/>
          <w:lang w:val="en-US" w:eastAsia="zh-CN" w:bidi="ar"/>
        </w:rPr>
        <w:t>防水设备。工作温度范围广于等于：-5ºC～50ºC。工作湿度范围广于等于：5%～95%非冷凝。</w:t>
      </w:r>
    </w:p>
    <w:p w14:paraId="7EB5907C">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2.除颤性能：</w:t>
      </w:r>
    </w:p>
    <w:p w14:paraId="4C22033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2.1采用双相波技术，双相指数截断（BTE）波形，波形参数可根据病人阻抗进行自动补偿。</w:t>
      </w:r>
    </w:p>
    <w:p w14:paraId="74DE50E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2.2输出能量：最大能量可支持360J。</w:t>
      </w:r>
      <w:r>
        <w:rPr>
          <w:rFonts w:hint="eastAsia" w:ascii="宋体" w:hAnsi="宋体" w:eastAsia="宋体" w:cs="宋体"/>
          <w:b/>
          <w:bCs/>
          <w:i w:val="0"/>
          <w:iCs w:val="0"/>
          <w:snapToGrid w:val="0"/>
          <w:color w:val="000000"/>
          <w:kern w:val="0"/>
          <w:sz w:val="24"/>
          <w:szCs w:val="24"/>
          <w:u w:val="none"/>
          <w:lang w:val="en-US" w:eastAsia="zh-CN" w:bidi="ar"/>
        </w:rPr>
        <w:t>（提供产品说明书佐证材料，并加盖投标人公章）</w:t>
      </w:r>
    </w:p>
    <w:p w14:paraId="7B93614F">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2.3从开机到200J放电准备就绪用时＜8s。</w:t>
      </w:r>
    </w:p>
    <w:p w14:paraId="31B8E4B1">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2.4开始AED分析到200J放电准备就绪时间＜5s。</w:t>
      </w:r>
    </w:p>
    <w:p w14:paraId="66EE7E86">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3.CPR心肺复苏：</w:t>
      </w:r>
    </w:p>
    <w:p w14:paraId="65EA1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3.1除颤建议：评估电极片连接情况和患者心电图，以确定是否需要除颤。</w:t>
      </w:r>
    </w:p>
    <w:p w14:paraId="1C1DE7B9">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3.2在CPR状态下，设备具有CPR节拍器功能，按照AHA/ERC推荐的频率对病人实施胸部按压，并进行通气。</w:t>
      </w:r>
    </w:p>
    <w:p w14:paraId="7B70A513">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3.3节拍器频率：40cpm～160cpm可变，深度：0～8cm。</w:t>
      </w:r>
    </w:p>
    <w:p w14:paraId="101D949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3.4可选配心肺复苏传感器，提供实时按压质量反馈，显示深度、回弹等数据。</w:t>
      </w:r>
    </w:p>
    <w:p w14:paraId="6709D979">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4.除颤电极片：</w:t>
      </w:r>
    </w:p>
    <w:p w14:paraId="07CEBD8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4.1在待机状态，电极片与主机预先连接，节省了开机后插入电极片步骤，提高抢救效率。</w:t>
      </w:r>
    </w:p>
    <w:p w14:paraId="395F66E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4.2具有电极片连接状态自检功能和报警提示。</w:t>
      </w:r>
    </w:p>
    <w:p w14:paraId="510C2B2A">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4.3可自动识别电极片，并根据电极片类型自动选择对应的除颤能量。</w:t>
      </w:r>
    </w:p>
    <w:p w14:paraId="027833A5">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4.4可识别电极片有效期，检测到电极片快过期时给出报警提示。</w:t>
      </w:r>
    </w:p>
    <w:p w14:paraId="38A5CAC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4.5所投产品配备的电极片具备按压反馈功能：设备可实时监测按压频率，当按压频率不规范时，可提供反馈。</w:t>
      </w:r>
      <w:r>
        <w:rPr>
          <w:rFonts w:hint="eastAsia" w:ascii="宋体" w:hAnsi="宋体" w:eastAsia="宋体" w:cs="宋体"/>
          <w:b/>
          <w:bCs/>
          <w:i w:val="0"/>
          <w:iCs w:val="0"/>
          <w:snapToGrid w:val="0"/>
          <w:color w:val="000000"/>
          <w:kern w:val="0"/>
          <w:sz w:val="24"/>
          <w:szCs w:val="24"/>
          <w:u w:val="none"/>
          <w:lang w:val="en-US" w:eastAsia="zh-CN" w:bidi="ar"/>
        </w:rPr>
        <w:t>（提供产品说明书佐证材料）</w:t>
      </w:r>
    </w:p>
    <w:p w14:paraId="546A6D0E">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5.电池：</w:t>
      </w:r>
    </w:p>
    <w:p w14:paraId="013E1C11">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5.1至少可支持200次360J除颤治疗，提供产品使用说明书证明材料。</w:t>
      </w:r>
    </w:p>
    <w:p w14:paraId="74755DCC">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5.2可检测电池低电量并给出报警提示，低电量报警后至少还可支持10次200J除颤充放电。</w:t>
      </w:r>
    </w:p>
    <w:p w14:paraId="3B54E6E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6.屏幕/操作：</w:t>
      </w:r>
    </w:p>
    <w:p w14:paraId="6722165D">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6.1</w:t>
      </w:r>
      <w:r>
        <w:rPr>
          <w:rFonts w:hint="eastAsia" w:ascii="宋体" w:hAnsi="宋体" w:eastAsia="宋体" w:cs="宋体"/>
          <w:i w:val="0"/>
          <w:iCs w:val="0"/>
          <w:snapToGrid w:val="0"/>
          <w:color w:val="auto"/>
          <w:kern w:val="0"/>
          <w:sz w:val="24"/>
          <w:szCs w:val="24"/>
          <w:u w:val="none"/>
          <w:lang w:val="en-US" w:eastAsia="zh-CN" w:bidi="ar"/>
        </w:rPr>
        <w:t>彩色显示屏</w:t>
      </w:r>
      <w:r>
        <w:rPr>
          <w:rFonts w:hint="eastAsia" w:ascii="宋体" w:hAnsi="宋体" w:eastAsia="宋体" w:cs="宋体"/>
          <w:i w:val="0"/>
          <w:iCs w:val="0"/>
          <w:snapToGrid w:val="0"/>
          <w:color w:val="000000"/>
          <w:kern w:val="0"/>
          <w:sz w:val="24"/>
          <w:szCs w:val="24"/>
          <w:u w:val="none"/>
          <w:lang w:val="en-US" w:eastAsia="zh-CN" w:bidi="ar"/>
        </w:rPr>
        <w:t>，支持动画指导用户执行急救操作。</w:t>
      </w:r>
    </w:p>
    <w:p w14:paraId="192C393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7.数据传输和存储：</w:t>
      </w:r>
    </w:p>
    <w:p w14:paraId="26E1F4A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7.1数据传输及定位系统：内置4G或5G无线数据传输功能，可将自检数据（包含电池电量、电极片、位置信息等）无线传输到采购人远程AED管理平台。</w:t>
      </w:r>
    </w:p>
    <w:p w14:paraId="2DC74AB0">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7.2设备的内部存储容量不小于1GB，可存储至少1000份自检报告。</w:t>
      </w:r>
    </w:p>
    <w:p w14:paraId="02FF8E43">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7.3具备录音功能，可保存≥60分钟抢救现场录音。</w:t>
      </w:r>
    </w:p>
    <w:p w14:paraId="380FCDF9">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7.4可存储抢救记录数据，ECG波形数据、事件数据、录音数据、急救数据（包括急救时间、CPR 持续时间、放电次数、除颤能量等）。</w:t>
      </w:r>
    </w:p>
    <w:p w14:paraId="1723460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7.5支持USB接口，可通过外部USB闪存设备导出抢救记录数据。</w:t>
      </w:r>
    </w:p>
    <w:p w14:paraId="2962ED4A">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7.6 AED可记录存储使用相关数据的功能，并可通过AED管理平台将数据导出，包括全程心电图波形，除颤时间、除颤次数、除颤能量。</w:t>
      </w:r>
    </w:p>
    <w:p w14:paraId="7DA8FA0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8.设备维护与自检：</w:t>
      </w:r>
    </w:p>
    <w:p w14:paraId="2DC6B5EF">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8.1具备自检功能：具有开机自检、每天自检、每月、每季度自检功能。</w:t>
      </w:r>
    </w:p>
    <w:p w14:paraId="2C272516">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9.AED单台标准配置要求：</w:t>
      </w:r>
    </w:p>
    <w:p w14:paraId="60B7536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9.1AED主机1台，带≧4G数据传输</w:t>
      </w:r>
      <w:r>
        <w:rPr>
          <w:rFonts w:hint="eastAsia" w:ascii="宋体" w:hAnsi="宋体" w:eastAsia="宋体" w:cs="宋体"/>
          <w:i w:val="0"/>
          <w:iCs w:val="0"/>
          <w:snapToGrid w:val="0"/>
          <w:color w:val="auto"/>
          <w:kern w:val="0"/>
          <w:sz w:val="24"/>
          <w:szCs w:val="24"/>
          <w:u w:val="none"/>
          <w:lang w:val="en-US" w:eastAsia="zh-CN" w:bidi="ar"/>
        </w:rPr>
        <w:t>卡（含</w:t>
      </w:r>
      <w:r>
        <w:rPr>
          <w:rFonts w:hint="eastAsia" w:ascii="宋体" w:hAnsi="宋体" w:eastAsia="宋体" w:cs="宋体"/>
          <w:b/>
          <w:bCs/>
          <w:i w:val="0"/>
          <w:iCs w:val="0"/>
          <w:snapToGrid w:val="0"/>
          <w:color w:val="auto"/>
          <w:kern w:val="0"/>
          <w:sz w:val="24"/>
          <w:szCs w:val="24"/>
          <w:u w:val="none"/>
          <w:lang w:val="en-US" w:eastAsia="zh-CN" w:bidi="ar"/>
        </w:rPr>
        <w:t>5年</w:t>
      </w:r>
      <w:r>
        <w:rPr>
          <w:rFonts w:hint="eastAsia" w:ascii="宋体" w:hAnsi="宋体" w:eastAsia="宋体" w:cs="宋体"/>
          <w:i w:val="0"/>
          <w:iCs w:val="0"/>
          <w:snapToGrid w:val="0"/>
          <w:color w:val="auto"/>
          <w:kern w:val="0"/>
          <w:sz w:val="24"/>
          <w:szCs w:val="24"/>
          <w:u w:val="none"/>
          <w:lang w:val="en-US" w:eastAsia="zh-CN" w:bidi="ar"/>
        </w:rPr>
        <w:t>费用）；</w:t>
      </w:r>
    </w:p>
    <w:p w14:paraId="38C459CE">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9.2内置电池1套、除颤电极片1副内置电池，1套；</w:t>
      </w:r>
    </w:p>
    <w:p w14:paraId="4D733892">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 xml:space="preserve">9.3除颤电极片，1副； </w:t>
      </w:r>
    </w:p>
    <w:p w14:paraId="6866D50B">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9.4中文说明书，1套；</w:t>
      </w:r>
    </w:p>
    <w:p w14:paraId="5A1B9850">
      <w:pPr>
        <w:keepNext w:val="0"/>
        <w:keepLines w:val="0"/>
        <w:pageBreakBefore w:val="0"/>
        <w:widowControl w:val="0"/>
        <w:kinsoku/>
        <w:wordWrap/>
        <w:overflowPunct w:val="0"/>
        <w:topLinePunct w:val="0"/>
        <w:autoSpaceDE/>
        <w:autoSpaceDN/>
        <w:bidi w:val="0"/>
        <w:spacing w:line="550" w:lineRule="exact"/>
        <w:ind w:left="0" w:leftChars="0" w:right="0" w:rightChars="0" w:firstLine="480" w:firstLineChars="200"/>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9.5中文操作流程卡，1套。</w:t>
      </w:r>
    </w:p>
    <w:p w14:paraId="62BDF232">
      <w:pPr>
        <w:keepNext w:val="0"/>
        <w:keepLines w:val="0"/>
        <w:pageBreakBefore w:val="0"/>
        <w:widowControl w:val="0"/>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二、</w:t>
      </w:r>
      <w:r>
        <w:rPr>
          <w:rFonts w:hint="eastAsia" w:ascii="宋体" w:hAnsi="宋体" w:eastAsia="宋体" w:cs="宋体"/>
          <w:b/>
          <w:bCs/>
          <w:i w:val="0"/>
          <w:iCs w:val="0"/>
          <w:snapToGrid w:val="0"/>
          <w:color w:val="auto"/>
          <w:kern w:val="0"/>
          <w:sz w:val="24"/>
          <w:szCs w:val="24"/>
          <w:u w:val="none"/>
          <w:lang w:val="en-US" w:eastAsia="zh-CN" w:bidi="ar"/>
        </w:rPr>
        <w:t>其它要求</w:t>
      </w:r>
    </w:p>
    <w:p w14:paraId="25AA20A1">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1.AED机柜：</w:t>
      </w:r>
    </w:p>
    <w:p w14:paraId="0C2E0908">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1.1每台AED设备须配套提供1个立式或挂式机柜。机柜、指示牌与设备同时交货。</w:t>
      </w:r>
    </w:p>
    <w:p w14:paraId="7F320437">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1.2机柜具有独立的 AED 存放位和急救包存放位，具备宣传功能。</w:t>
      </w:r>
    </w:p>
    <w:p w14:paraId="1FFA1745">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机柜材质为钢质，机柜色彩由采购人选定。机柜满足耐压耐腐蚀，防生锈、防尘、防晒、防水、防盗损、防污染、抗干扰等要求（配套壁挂报警柜须符合GB/T26572-2011《电器电子产品有害物质限制使用要求》，机柜须通过盐雾测试，保证机柜的耐腐蚀性），室外机柜防锈质保应</w:t>
      </w:r>
      <w:r>
        <w:rPr>
          <w:rFonts w:hint="eastAsia" w:ascii="宋体" w:hAnsi="宋体" w:eastAsia="宋体" w:cs="宋体"/>
          <w:i w:val="0"/>
          <w:iCs w:val="0"/>
          <w:snapToGrid w:val="0"/>
          <w:color w:val="auto"/>
          <w:kern w:val="0"/>
          <w:sz w:val="24"/>
          <w:szCs w:val="24"/>
          <w:u w:val="none"/>
          <w:lang w:val="en-US" w:eastAsia="zh-CN" w:bidi="ar"/>
        </w:rPr>
        <w:t>达5年及以</w:t>
      </w:r>
      <w:r>
        <w:rPr>
          <w:rFonts w:hint="eastAsia" w:ascii="宋体" w:hAnsi="宋体" w:eastAsia="宋体" w:cs="宋体"/>
          <w:i w:val="0"/>
          <w:iCs w:val="0"/>
          <w:snapToGrid w:val="0"/>
          <w:color w:val="000000"/>
          <w:kern w:val="0"/>
          <w:sz w:val="24"/>
          <w:szCs w:val="24"/>
          <w:u w:val="none"/>
          <w:lang w:val="en-US" w:eastAsia="zh-CN" w:bidi="ar"/>
        </w:rPr>
        <w:t>上。</w:t>
      </w:r>
      <w:r>
        <w:rPr>
          <w:rFonts w:hint="eastAsia" w:ascii="宋体" w:hAnsi="宋体" w:eastAsia="宋体" w:cs="宋体"/>
          <w:b/>
          <w:bCs/>
          <w:i w:val="0"/>
          <w:iCs w:val="0"/>
          <w:snapToGrid w:val="0"/>
          <w:color w:val="000000"/>
          <w:kern w:val="0"/>
          <w:sz w:val="24"/>
          <w:szCs w:val="24"/>
          <w:u w:val="none"/>
          <w:lang w:val="en-US" w:eastAsia="zh-CN" w:bidi="ar"/>
        </w:rPr>
        <w:t>（提供“电器电子产品有害物质限制使用要求”和“盐雾测试”国家认可的检测机构出具的检测报告佐证材料，并具备网络可查二维码）</w:t>
      </w:r>
    </w:p>
    <w:p w14:paraId="4271E900">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1.4机柜可根据实际需要选装机械锁。柜体设计便于机械开锁，必要时便捷破窗取用设备。打开柜体即声音报警，及时通知周边人员响应。</w:t>
      </w:r>
    </w:p>
    <w:p w14:paraId="7D6AD46D">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1.5可与AED设备联动提示设备的在位情况。</w:t>
      </w:r>
      <w:r>
        <w:rPr>
          <w:rFonts w:hint="eastAsia" w:ascii="宋体" w:hAnsi="宋体" w:eastAsia="宋体" w:cs="宋体"/>
          <w:b/>
          <w:bCs/>
          <w:i w:val="0"/>
          <w:iCs w:val="0"/>
          <w:snapToGrid w:val="0"/>
          <w:color w:val="000000"/>
          <w:kern w:val="0"/>
          <w:sz w:val="24"/>
          <w:szCs w:val="24"/>
          <w:u w:val="none"/>
          <w:lang w:val="en-US" w:eastAsia="zh-CN" w:bidi="ar"/>
        </w:rPr>
        <w:t>（提供机柜和所投AED产品原厂管理平台截图佐证材料，并提供登陆网址及账号密码备查）</w:t>
      </w:r>
    </w:p>
    <w:p w14:paraId="0663457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p>
    <w:p w14:paraId="6217BD3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2.系统接入：</w:t>
      </w:r>
    </w:p>
    <w:p w14:paraId="6C3C4EB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80" w:firstLineChars="200"/>
        <w:jc w:val="left"/>
        <w:textAlignment w:val="auto"/>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w:t>
      </w:r>
      <w:r>
        <w:rPr>
          <w:rFonts w:hint="eastAsia" w:ascii="宋体" w:hAnsi="宋体" w:eastAsia="宋体" w:cs="宋体"/>
          <w:b/>
          <w:bCs/>
          <w:i w:val="0"/>
          <w:iCs w:val="0"/>
          <w:snapToGrid w:val="0"/>
          <w:color w:val="000000"/>
          <w:kern w:val="0"/>
          <w:sz w:val="24"/>
          <w:szCs w:val="24"/>
          <w:u w:val="none"/>
          <w:lang w:val="en-US" w:eastAsia="zh-CN" w:bidi="ar"/>
        </w:rPr>
        <w:t>全部AED设备须完成接</w:t>
      </w:r>
      <w:r>
        <w:rPr>
          <w:rFonts w:hint="eastAsia" w:ascii="宋体" w:hAnsi="宋体" w:eastAsia="宋体" w:cs="宋体"/>
          <w:b/>
          <w:bCs/>
          <w:i w:val="0"/>
          <w:iCs w:val="0"/>
          <w:snapToGrid w:val="0"/>
          <w:color w:val="auto"/>
          <w:kern w:val="0"/>
          <w:sz w:val="24"/>
          <w:szCs w:val="24"/>
          <w:u w:val="none"/>
          <w:lang w:val="en-US" w:eastAsia="zh-CN" w:bidi="ar"/>
        </w:rPr>
        <w:t>入张家界市5G智慧医疗急救指挥调度信息系统相关部署、调试工作</w:t>
      </w:r>
      <w:r>
        <w:rPr>
          <w:rFonts w:hint="eastAsia" w:ascii="宋体" w:hAnsi="宋体" w:eastAsia="宋体" w:cs="宋体"/>
          <w:b/>
          <w:bCs/>
          <w:i w:val="0"/>
          <w:iCs w:val="0"/>
          <w:snapToGrid w:val="0"/>
          <w:color w:val="000000"/>
          <w:kern w:val="0"/>
          <w:sz w:val="24"/>
          <w:szCs w:val="24"/>
          <w:u w:val="none"/>
          <w:lang w:val="en-US" w:eastAsia="zh-CN" w:bidi="ar"/>
        </w:rPr>
        <w:t>，由此产生的全部软硬件、对接、运维、开通等相关费用均由中标人全额承担，招标人无需支付任何相关费用。</w:t>
      </w:r>
    </w:p>
    <w:p w14:paraId="7CF0815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1E498298">
      <w:pPr>
        <w:keepNext/>
        <w:keepLines/>
        <w:widowControl w:val="0"/>
        <w:numPr>
          <w:ilvl w:val="0"/>
          <w:numId w:val="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商务要求</w:t>
      </w:r>
    </w:p>
    <w:p w14:paraId="79667CA9">
      <w:pPr>
        <w:widowControl w:val="0"/>
        <w:autoSpaceDE w:val="0"/>
        <w:autoSpaceDN w:val="0"/>
        <w:adjustRightInd w:val="0"/>
        <w:rPr>
          <w:rFonts w:hint="eastAsia" w:ascii="楷体_GB2312" w:hAnsi="Times New Roman" w:eastAsia="楷体_GB2312" w:cs="楷体_GB2312"/>
          <w:color w:val="auto"/>
          <w:sz w:val="24"/>
          <w:szCs w:val="24"/>
          <w:lang w:val="en-US" w:eastAsia="zh-CN" w:bidi="ar-SA"/>
        </w:rPr>
      </w:pPr>
    </w:p>
    <w:tbl>
      <w:tblPr>
        <w:tblStyle w:val="2"/>
        <w:tblW w:w="10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380"/>
        <w:gridCol w:w="8210"/>
      </w:tblGrid>
      <w:tr w14:paraId="13EC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530" w:type="dxa"/>
            <w:tcBorders>
              <w:tl2br w:val="nil"/>
              <w:tr2bl w:val="nil"/>
            </w:tcBorders>
            <w:shd w:val="pct10" w:color="ADB9CA" w:fill="D6DCE5"/>
            <w:vAlign w:val="center"/>
          </w:tcPr>
          <w:p w14:paraId="056C23BB">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bCs w:val="0"/>
                <w:color w:val="auto"/>
                <w:sz w:val="22"/>
                <w:szCs w:val="22"/>
              </w:rPr>
            </w:pPr>
            <w:r>
              <w:rPr>
                <w:rFonts w:hint="eastAsia" w:ascii="等线" w:hAnsi="等线" w:eastAsia="等线" w:cs="等线"/>
                <w:b/>
                <w:bCs w:val="0"/>
                <w:color w:val="auto"/>
                <w:sz w:val="22"/>
                <w:szCs w:val="22"/>
              </w:rPr>
              <w:t>序号</w:t>
            </w:r>
          </w:p>
        </w:tc>
        <w:tc>
          <w:tcPr>
            <w:tcW w:w="1380" w:type="dxa"/>
            <w:tcBorders>
              <w:tl2br w:val="nil"/>
              <w:tr2bl w:val="nil"/>
            </w:tcBorders>
            <w:shd w:val="pct10" w:color="ADB9CA" w:fill="D6DCE5"/>
            <w:vAlign w:val="center"/>
          </w:tcPr>
          <w:p w14:paraId="5E556D4B">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商务</w:t>
            </w:r>
          </w:p>
          <w:p w14:paraId="3AC02275">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条款</w:t>
            </w:r>
          </w:p>
        </w:tc>
        <w:tc>
          <w:tcPr>
            <w:tcW w:w="8210" w:type="dxa"/>
            <w:tcBorders>
              <w:tl2br w:val="nil"/>
              <w:tr2bl w:val="nil"/>
            </w:tcBorders>
            <w:shd w:val="pct10" w:color="ADB9CA" w:fill="D6DCE5"/>
            <w:vAlign w:val="center"/>
          </w:tcPr>
          <w:p w14:paraId="32C8F742">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color w:val="auto"/>
                <w:sz w:val="22"/>
                <w:szCs w:val="22"/>
              </w:rPr>
            </w:pPr>
            <w:r>
              <w:rPr>
                <w:rFonts w:hint="eastAsia" w:ascii="等线" w:hAnsi="等线" w:eastAsia="等线" w:cs="等线"/>
                <w:b/>
                <w:color w:val="auto"/>
                <w:sz w:val="22"/>
                <w:szCs w:val="22"/>
              </w:rPr>
              <w:t>内    容</w:t>
            </w:r>
          </w:p>
        </w:tc>
      </w:tr>
      <w:tr w14:paraId="379D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C4BC96" w:fill="auto"/>
            <w:vAlign w:val="center"/>
          </w:tcPr>
          <w:p w14:paraId="70DE86D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1</w:t>
            </w:r>
          </w:p>
        </w:tc>
        <w:tc>
          <w:tcPr>
            <w:tcW w:w="1380" w:type="dxa"/>
            <w:tcBorders>
              <w:tl2br w:val="nil"/>
              <w:tr2bl w:val="nil"/>
            </w:tcBorders>
            <w:shd w:val="clear" w:color="C4BC96" w:fill="auto"/>
            <w:vAlign w:val="center"/>
          </w:tcPr>
          <w:p w14:paraId="614265F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center"/>
              <w:textAlignment w:val="center"/>
              <w:rPr>
                <w:rFonts w:hint="eastAsia" w:ascii="等线" w:hAnsi="等线" w:eastAsia="等线" w:cs="等线"/>
                <w:i w:val="0"/>
                <w:iCs w:val="0"/>
                <w:snapToGrid w:val="0"/>
                <w:color w:val="auto"/>
                <w:kern w:val="0"/>
                <w:sz w:val="22"/>
                <w:szCs w:val="22"/>
                <w:u w:val="none"/>
                <w:lang w:val="en-US" w:eastAsia="zh-CN"/>
              </w:rPr>
            </w:pPr>
            <w:r>
              <w:rPr>
                <w:rFonts w:hint="eastAsia" w:ascii="Calibri" w:hAnsi="Calibri" w:eastAsia="宋体" w:cs="等线"/>
                <w:i w:val="0"/>
                <w:iCs w:val="0"/>
                <w:snapToGrid w:val="0"/>
                <w:color w:val="auto"/>
                <w:kern w:val="0"/>
                <w:sz w:val="22"/>
                <w:szCs w:val="22"/>
                <w:u w:val="none"/>
                <w:lang w:val="en-US" w:eastAsia="zh-CN"/>
              </w:rPr>
              <w:t>交付时间</w:t>
            </w:r>
          </w:p>
        </w:tc>
        <w:tc>
          <w:tcPr>
            <w:tcW w:w="8210" w:type="dxa"/>
            <w:tcBorders>
              <w:tl2br w:val="nil"/>
              <w:tr2bl w:val="nil"/>
            </w:tcBorders>
            <w:shd w:val="clear" w:color="C4BC96" w:fill="auto"/>
            <w:vAlign w:val="center"/>
          </w:tcPr>
          <w:p w14:paraId="099412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等线" w:hAnsi="等线" w:eastAsia="宋体" w:cs="等线"/>
                <w:i w:val="0"/>
                <w:iCs w:val="0"/>
                <w:snapToGrid w:val="0"/>
                <w:color w:val="auto"/>
                <w:kern w:val="0"/>
                <w:sz w:val="22"/>
                <w:szCs w:val="22"/>
                <w:u w:val="none"/>
                <w:lang w:val="en-US" w:eastAsia="zh-CN"/>
              </w:rPr>
            </w:pPr>
            <w:r>
              <w:rPr>
                <w:rFonts w:hint="eastAsia" w:ascii="Calibri" w:hAnsi="Calibri" w:eastAsia="宋体" w:cs="宋体"/>
                <w:color w:val="auto"/>
                <w:sz w:val="24"/>
                <w:u w:val="none"/>
              </w:rPr>
              <w:t>自合同签订之日起</w:t>
            </w: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0天内完成</w:t>
            </w:r>
            <w:r>
              <w:rPr>
                <w:rFonts w:hint="eastAsia" w:ascii="Calibri" w:hAnsi="Calibri" w:eastAsia="宋体" w:cs="宋体"/>
                <w:color w:val="auto"/>
                <w:sz w:val="24"/>
                <w:u w:val="none"/>
                <w:lang w:val="en-US" w:eastAsia="zh-CN"/>
              </w:rPr>
              <w:t>交货</w:t>
            </w:r>
          </w:p>
        </w:tc>
      </w:tr>
      <w:tr w14:paraId="3E4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0" w:type="dxa"/>
            <w:tcBorders>
              <w:tl2br w:val="nil"/>
              <w:tr2bl w:val="nil"/>
            </w:tcBorders>
            <w:shd w:val="clear" w:color="C4BC96" w:fill="auto"/>
            <w:vAlign w:val="center"/>
          </w:tcPr>
          <w:p w14:paraId="3D0EE18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2</w:t>
            </w:r>
          </w:p>
        </w:tc>
        <w:tc>
          <w:tcPr>
            <w:tcW w:w="1380" w:type="dxa"/>
            <w:tcBorders>
              <w:tl2br w:val="nil"/>
              <w:tr2bl w:val="nil"/>
            </w:tcBorders>
            <w:shd w:val="clear" w:color="C4BC96" w:fill="auto"/>
            <w:vAlign w:val="center"/>
          </w:tcPr>
          <w:p w14:paraId="4F619E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交货地点</w:t>
            </w:r>
          </w:p>
        </w:tc>
        <w:tc>
          <w:tcPr>
            <w:tcW w:w="8210" w:type="dxa"/>
            <w:tcBorders>
              <w:tl2br w:val="nil"/>
              <w:tr2bl w:val="nil"/>
            </w:tcBorders>
            <w:shd w:val="clear" w:color="C4BC96" w:fill="auto"/>
            <w:vAlign w:val="center"/>
          </w:tcPr>
          <w:p w14:paraId="509D2918">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甲方指定地点。</w:t>
            </w:r>
          </w:p>
        </w:tc>
      </w:tr>
      <w:tr w14:paraId="748C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30" w:type="dxa"/>
            <w:tcBorders>
              <w:tl2br w:val="nil"/>
              <w:tr2bl w:val="nil"/>
            </w:tcBorders>
            <w:shd w:val="clear" w:color="C4BC96" w:fill="auto"/>
            <w:vAlign w:val="center"/>
          </w:tcPr>
          <w:p w14:paraId="4565B2B5">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3</w:t>
            </w:r>
          </w:p>
        </w:tc>
        <w:tc>
          <w:tcPr>
            <w:tcW w:w="1380" w:type="dxa"/>
            <w:tcBorders>
              <w:tl2br w:val="nil"/>
              <w:tr2bl w:val="nil"/>
            </w:tcBorders>
            <w:shd w:val="clear" w:color="C4BC96" w:fill="auto"/>
            <w:vAlign w:val="center"/>
          </w:tcPr>
          <w:p w14:paraId="7A275C6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质保期</w:t>
            </w:r>
          </w:p>
        </w:tc>
        <w:tc>
          <w:tcPr>
            <w:tcW w:w="8210" w:type="dxa"/>
            <w:tcBorders>
              <w:tl2br w:val="nil"/>
              <w:tr2bl w:val="nil"/>
            </w:tcBorders>
            <w:shd w:val="clear" w:color="C4BC96" w:fill="auto"/>
            <w:vAlign w:val="center"/>
          </w:tcPr>
          <w:p w14:paraId="112F572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整机质保5年（含主机及电池），质保期内免费更换电极片。</w:t>
            </w:r>
            <w:r>
              <w:rPr>
                <w:rFonts w:hint="eastAsia" w:ascii="宋体" w:hAnsi="宋体" w:eastAsia="宋体" w:cs="宋体"/>
                <w:b/>
                <w:bCs/>
                <w:i w:val="0"/>
                <w:iCs w:val="0"/>
                <w:snapToGrid w:val="0"/>
                <w:color w:val="000000"/>
                <w:kern w:val="0"/>
                <w:sz w:val="24"/>
                <w:szCs w:val="24"/>
                <w:u w:val="none"/>
                <w:lang w:val="en-US" w:eastAsia="zh-CN" w:bidi="ar"/>
              </w:rPr>
              <w:t>（提供质保承诺函）</w:t>
            </w:r>
          </w:p>
        </w:tc>
      </w:tr>
      <w:tr w14:paraId="512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6CE0B4C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4</w:t>
            </w:r>
          </w:p>
        </w:tc>
        <w:tc>
          <w:tcPr>
            <w:tcW w:w="1380" w:type="dxa"/>
            <w:vMerge w:val="restart"/>
            <w:tcBorders>
              <w:tl2br w:val="nil"/>
              <w:tr2bl w:val="nil"/>
            </w:tcBorders>
            <w:shd w:val="clear" w:color="auto" w:fill="auto"/>
            <w:vAlign w:val="center"/>
          </w:tcPr>
          <w:p w14:paraId="4DEEBEC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报价要求</w:t>
            </w:r>
          </w:p>
        </w:tc>
        <w:tc>
          <w:tcPr>
            <w:tcW w:w="8210" w:type="dxa"/>
            <w:tcBorders>
              <w:tl2br w:val="nil"/>
              <w:tr2bl w:val="nil"/>
            </w:tcBorders>
            <w:shd w:val="clear" w:color="auto" w:fill="auto"/>
            <w:vAlign w:val="center"/>
          </w:tcPr>
          <w:p w14:paraId="54F9EB8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的报价应包含为完成本</w:t>
            </w:r>
            <w:r>
              <w:rPr>
                <w:rFonts w:hint="eastAsia" w:ascii="Calibri" w:hAnsi="Calibri" w:eastAsia="宋体" w:cs="宋体"/>
                <w:color w:val="auto"/>
                <w:sz w:val="24"/>
                <w:u w:val="none"/>
                <w:lang w:eastAsia="zh-CN"/>
              </w:rPr>
              <w:t>谈判文件</w:t>
            </w:r>
            <w:r>
              <w:rPr>
                <w:rFonts w:hint="eastAsia" w:ascii="Calibri" w:hAnsi="Calibri" w:eastAsia="宋体" w:cs="宋体"/>
                <w:color w:val="auto"/>
                <w:sz w:val="24"/>
                <w:u w:val="none"/>
              </w:rPr>
              <w:t>提出的货物或服务等全部相关工作所有可能发生的费用，即投标</w:t>
            </w:r>
            <w:r>
              <w:rPr>
                <w:rFonts w:hint="eastAsia" w:ascii="Calibri" w:hAnsi="Calibri" w:eastAsia="宋体" w:cs="宋体"/>
                <w:color w:val="auto"/>
                <w:sz w:val="24"/>
                <w:u w:val="none"/>
                <w:lang w:val="en-US" w:eastAsia="zh-CN"/>
              </w:rPr>
              <w:t>报价为全费用单价。若合价计算有误，按全费用单价修改合价。</w:t>
            </w:r>
            <w:r>
              <w:rPr>
                <w:rFonts w:hint="eastAsia" w:ascii="Calibri" w:hAnsi="Calibri" w:eastAsia="宋体" w:cs="宋体"/>
                <w:color w:val="auto"/>
                <w:sz w:val="24"/>
                <w:u w:val="none"/>
              </w:rPr>
              <w:t>对在合同实施过程中可能发生的其他费用，</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概不负责。</w:t>
            </w:r>
          </w:p>
        </w:tc>
      </w:tr>
      <w:tr w14:paraId="2ACF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530" w:type="dxa"/>
            <w:vMerge w:val="continue"/>
            <w:tcBorders>
              <w:tl2br w:val="nil"/>
              <w:tr2bl w:val="nil"/>
            </w:tcBorders>
            <w:shd w:val="clear" w:color="auto" w:fill="auto"/>
            <w:vAlign w:val="center"/>
          </w:tcPr>
          <w:p w14:paraId="64F3930F">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60602D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500143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对本文件未列明，而</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认为必需的费用也需列入投标总报价。在合同实施时，</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将不予支付</w:t>
            </w:r>
            <w:r>
              <w:rPr>
                <w:rFonts w:hint="eastAsia" w:ascii="Calibri" w:hAnsi="Calibri" w:eastAsia="宋体" w:cs="宋体"/>
                <w:color w:val="auto"/>
                <w:sz w:val="24"/>
                <w:u w:val="none"/>
                <w:lang w:eastAsia="zh-CN"/>
              </w:rPr>
              <w:t>中标人</w:t>
            </w:r>
            <w:r>
              <w:rPr>
                <w:rFonts w:hint="eastAsia" w:ascii="Calibri" w:hAnsi="Calibri" w:eastAsia="宋体" w:cs="宋体"/>
                <w:color w:val="auto"/>
                <w:sz w:val="24"/>
                <w:u w:val="none"/>
              </w:rPr>
              <w:t>没有列入的项目费用，并认为此项目的费用已包含在</w:t>
            </w:r>
            <w:r>
              <w:rPr>
                <w:rFonts w:hint="eastAsia" w:ascii="Calibri" w:hAnsi="Calibri" w:eastAsia="宋体" w:cs="宋体"/>
                <w:color w:val="auto"/>
                <w:sz w:val="24"/>
                <w:u w:val="none"/>
                <w:lang w:val="en-US" w:eastAsia="zh-CN"/>
              </w:rPr>
              <w:t>响应</w:t>
            </w:r>
            <w:r>
              <w:rPr>
                <w:rFonts w:hint="eastAsia" w:ascii="Calibri" w:hAnsi="Calibri" w:eastAsia="宋体" w:cs="宋体"/>
                <w:color w:val="auto"/>
                <w:sz w:val="24"/>
                <w:u w:val="none"/>
              </w:rPr>
              <w:t>总报价中。</w:t>
            </w:r>
          </w:p>
        </w:tc>
      </w:tr>
      <w:tr w14:paraId="0AF3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1C679952">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5</w:t>
            </w:r>
          </w:p>
        </w:tc>
        <w:tc>
          <w:tcPr>
            <w:tcW w:w="1380" w:type="dxa"/>
            <w:vMerge w:val="restart"/>
            <w:tcBorders>
              <w:tl2br w:val="nil"/>
              <w:tr2bl w:val="nil"/>
            </w:tcBorders>
            <w:shd w:val="clear" w:color="auto" w:fill="auto"/>
            <w:vAlign w:val="center"/>
          </w:tcPr>
          <w:p w14:paraId="324F657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付款方式</w:t>
            </w:r>
          </w:p>
        </w:tc>
        <w:tc>
          <w:tcPr>
            <w:tcW w:w="8210" w:type="dxa"/>
            <w:tcBorders>
              <w:tl2br w:val="nil"/>
              <w:tr2bl w:val="nil"/>
            </w:tcBorders>
            <w:shd w:val="clear" w:color="auto" w:fill="auto"/>
            <w:vAlign w:val="center"/>
          </w:tcPr>
          <w:p w14:paraId="5F05C6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default"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1.合同签订时约定</w:t>
            </w:r>
          </w:p>
        </w:tc>
      </w:tr>
      <w:tr w14:paraId="4558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954EA16">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4CDC1E5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35FD43F">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2.乙方必须按国家有关财税规定开具发票。</w:t>
            </w:r>
          </w:p>
        </w:tc>
      </w:tr>
      <w:tr w14:paraId="23B1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708F487F">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41A05A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015668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本项目按照项目完成进度情况支付相应的款项，具体比例在合同中约定。</w:t>
            </w:r>
          </w:p>
        </w:tc>
      </w:tr>
      <w:tr w14:paraId="1C9B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vMerge w:val="restart"/>
            <w:tcBorders>
              <w:tl2br w:val="nil"/>
              <w:tr2bl w:val="nil"/>
            </w:tcBorders>
            <w:shd w:val="clear" w:color="auto" w:fill="auto"/>
            <w:vAlign w:val="center"/>
          </w:tcPr>
          <w:p w14:paraId="740193D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6</w:t>
            </w:r>
          </w:p>
        </w:tc>
        <w:tc>
          <w:tcPr>
            <w:tcW w:w="1380" w:type="dxa"/>
            <w:vMerge w:val="restart"/>
            <w:tcBorders>
              <w:tl2br w:val="nil"/>
              <w:tr2bl w:val="nil"/>
            </w:tcBorders>
            <w:shd w:val="clear" w:color="auto" w:fill="auto"/>
            <w:vAlign w:val="center"/>
          </w:tcPr>
          <w:p w14:paraId="6CE885B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验收要求</w:t>
            </w:r>
          </w:p>
        </w:tc>
        <w:tc>
          <w:tcPr>
            <w:tcW w:w="8210" w:type="dxa"/>
            <w:tcBorders>
              <w:tl2br w:val="nil"/>
              <w:tr2bl w:val="nil"/>
            </w:tcBorders>
            <w:shd w:val="clear" w:color="auto" w:fill="auto"/>
            <w:vAlign w:val="center"/>
          </w:tcPr>
          <w:p w14:paraId="1866D2A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履约验收时间：</w:t>
            </w:r>
            <w:r>
              <w:rPr>
                <w:rFonts w:hint="eastAsia" w:ascii="Calibri" w:hAnsi="Calibri" w:eastAsia="宋体" w:cs="宋体"/>
                <w:color w:val="auto"/>
                <w:sz w:val="24"/>
                <w:u w:val="none"/>
                <w:lang w:val="en-US" w:eastAsia="zh-CN"/>
              </w:rPr>
              <w:t>送货完成后，中标人应向采购人提交验收申请。采购人按验收程序组织验收。</w:t>
            </w:r>
          </w:p>
        </w:tc>
      </w:tr>
      <w:tr w14:paraId="583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40B0DB75">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77167F3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678381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2.履约验收方式：中标人负责送货上门并安装、调试、试运行完成，自检合格后，出具验收结果报告移交采购人。</w:t>
            </w:r>
          </w:p>
        </w:tc>
      </w:tr>
      <w:tr w14:paraId="5D89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0841C46">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272E172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78792E1B">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lang w:eastAsia="zh-CN"/>
              </w:rPr>
              <w:t>履约验收程序：</w:t>
            </w:r>
            <w:r>
              <w:rPr>
                <w:rFonts w:hint="eastAsia" w:ascii="Calibri" w:hAnsi="Calibri" w:eastAsia="宋体" w:cs="宋体"/>
                <w:color w:val="auto"/>
                <w:sz w:val="24"/>
                <w:u w:val="none"/>
                <w:lang w:val="en-US" w:eastAsia="zh-CN"/>
              </w:rPr>
              <w:t>所有货物送达采购人指定地点后采购人按要求组织验收。</w:t>
            </w:r>
          </w:p>
        </w:tc>
      </w:tr>
      <w:tr w14:paraId="426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3BDD5E8D">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7020D8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200E1A2">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 xml:space="preserve">履约验收内容：采购项目全部货物如果发现产品调换、配置改变、技术资料不全，外观破损，变形缺件或已经使用过等质量问题，采购人拒绝验货，按中标人违约处理。 </w:t>
            </w:r>
          </w:p>
        </w:tc>
      </w:tr>
      <w:tr w14:paraId="50F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7F42063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7</w:t>
            </w:r>
          </w:p>
        </w:tc>
        <w:tc>
          <w:tcPr>
            <w:tcW w:w="1380" w:type="dxa"/>
            <w:vMerge w:val="restart"/>
            <w:tcBorders>
              <w:tl2br w:val="nil"/>
              <w:tr2bl w:val="nil"/>
            </w:tcBorders>
            <w:shd w:val="clear" w:color="auto" w:fill="auto"/>
            <w:vAlign w:val="center"/>
          </w:tcPr>
          <w:p w14:paraId="442C2F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质量要求</w:t>
            </w:r>
          </w:p>
        </w:tc>
        <w:tc>
          <w:tcPr>
            <w:tcW w:w="8210" w:type="dxa"/>
            <w:tcBorders>
              <w:tl2br w:val="nil"/>
              <w:tr2bl w:val="nil"/>
            </w:tcBorders>
            <w:shd w:val="clear" w:color="auto" w:fill="auto"/>
            <w:vAlign w:val="center"/>
          </w:tcPr>
          <w:p w14:paraId="0EDB370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本次</w:t>
            </w:r>
            <w:r>
              <w:rPr>
                <w:rFonts w:hint="eastAsia" w:ascii="Calibri" w:hAnsi="Calibri" w:eastAsia="宋体" w:cs="宋体"/>
                <w:color w:val="auto"/>
                <w:sz w:val="24"/>
                <w:u w:val="none"/>
                <w:lang w:eastAsia="zh-CN"/>
              </w:rPr>
              <w:t>投标</w:t>
            </w:r>
            <w:r>
              <w:rPr>
                <w:rFonts w:hint="eastAsia" w:ascii="Calibri" w:hAnsi="Calibri" w:eastAsia="宋体" w:cs="宋体"/>
                <w:color w:val="auto"/>
                <w:sz w:val="24"/>
                <w:u w:val="none"/>
              </w:rPr>
              <w:t>项目的产品和</w:t>
            </w:r>
            <w:r>
              <w:rPr>
                <w:rFonts w:hint="eastAsia" w:ascii="Calibri" w:hAnsi="Calibri" w:eastAsia="宋体" w:cs="宋体"/>
                <w:color w:val="auto"/>
                <w:sz w:val="24"/>
                <w:u w:val="none"/>
                <w:lang w:val="en-US" w:eastAsia="zh-CN"/>
              </w:rPr>
              <w:t>使用</w:t>
            </w:r>
            <w:r>
              <w:rPr>
                <w:rFonts w:hint="eastAsia" w:ascii="Calibri" w:hAnsi="Calibri" w:eastAsia="宋体" w:cs="宋体"/>
                <w:color w:val="auto"/>
                <w:sz w:val="24"/>
                <w:u w:val="none"/>
              </w:rPr>
              <w:t>必须完全满足中华人民共和国国家质量标准及现行规范要求。</w:t>
            </w:r>
          </w:p>
        </w:tc>
      </w:tr>
      <w:tr w14:paraId="2484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530" w:type="dxa"/>
            <w:vMerge w:val="continue"/>
            <w:tcBorders>
              <w:tl2br w:val="nil"/>
              <w:tr2bl w:val="nil"/>
            </w:tcBorders>
            <w:shd w:val="clear" w:color="auto" w:fill="auto"/>
            <w:vAlign w:val="center"/>
          </w:tcPr>
          <w:p w14:paraId="56086F5B">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34C3F76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661FECE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所有</w:t>
            </w:r>
            <w:r>
              <w:rPr>
                <w:rFonts w:hint="eastAsia" w:ascii="Calibri" w:hAnsi="Calibri" w:eastAsia="宋体" w:cs="宋体"/>
                <w:color w:val="auto"/>
                <w:sz w:val="24"/>
                <w:u w:val="none"/>
                <w:lang w:val="en-US" w:eastAsia="zh-CN"/>
              </w:rPr>
              <w:t>货物</w:t>
            </w:r>
            <w:r>
              <w:rPr>
                <w:rFonts w:hint="eastAsia" w:ascii="Calibri" w:hAnsi="Calibri" w:eastAsia="宋体" w:cs="宋体"/>
                <w:color w:val="auto"/>
                <w:sz w:val="24"/>
                <w:u w:val="none"/>
              </w:rPr>
              <w:t>均要求是经过实际运行验证、性能稳定的全新产品，且设备上具有原制造厂商的铭牌、标志。</w:t>
            </w:r>
          </w:p>
        </w:tc>
      </w:tr>
      <w:tr w14:paraId="3D6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033471F8">
            <w:pPr>
              <w:keepNext w:val="0"/>
              <w:keepLines w:val="0"/>
              <w:pageBreakBefore w:val="0"/>
              <w:numPr>
                <w:ilvl w:val="0"/>
                <w:numId w:val="5"/>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E13D267">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D78F11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eastAsia="zh-CN"/>
              </w:rPr>
              <w:t>供应商在投标及成交后，发生侵犯专利权的行为时，其侵权责任与委托人无关，应由供应商承担相应的责任，并不得影响委托人的利益。</w:t>
            </w:r>
          </w:p>
        </w:tc>
      </w:tr>
      <w:tr w14:paraId="1968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3CA51DF6">
            <w:pPr>
              <w:keepNext w:val="0"/>
              <w:keepLines w:val="0"/>
              <w:pageBreakBefore w:val="0"/>
              <w:numPr>
                <w:ilvl w:val="-1"/>
                <w:numId w:val="0"/>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default" w:ascii="等线" w:hAnsi="等线" w:eastAsia="等线" w:cs="等线"/>
                <w:b w:val="0"/>
                <w:bCs/>
                <w:color w:val="auto"/>
                <w:sz w:val="22"/>
                <w:szCs w:val="22"/>
                <w:lang w:val="en-US" w:eastAsia="zh-CN"/>
              </w:rPr>
            </w:pPr>
            <w:r>
              <w:rPr>
                <w:rFonts w:hint="eastAsia" w:ascii="Calibri" w:hAnsi="Calibri" w:eastAsia="宋体" w:cs="等线"/>
                <w:b w:val="0"/>
                <w:bCs/>
                <w:color w:val="auto"/>
                <w:sz w:val="22"/>
                <w:szCs w:val="22"/>
                <w:lang w:val="en-US" w:eastAsia="zh-CN"/>
              </w:rPr>
              <w:t>8</w:t>
            </w:r>
          </w:p>
        </w:tc>
        <w:tc>
          <w:tcPr>
            <w:tcW w:w="1380" w:type="dxa"/>
            <w:tcBorders>
              <w:tl2br w:val="nil"/>
              <w:tr2bl w:val="nil"/>
            </w:tcBorders>
            <w:shd w:val="clear" w:color="auto" w:fill="auto"/>
            <w:vAlign w:val="center"/>
          </w:tcPr>
          <w:p w14:paraId="189CC23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售后服务</w:t>
            </w:r>
          </w:p>
        </w:tc>
        <w:tc>
          <w:tcPr>
            <w:tcW w:w="8210" w:type="dxa"/>
            <w:tcBorders>
              <w:tl2br w:val="nil"/>
              <w:tr2bl w:val="nil"/>
            </w:tcBorders>
            <w:shd w:val="clear" w:color="auto" w:fill="auto"/>
            <w:vAlign w:val="center"/>
          </w:tcPr>
          <w:p w14:paraId="267EEA4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1.承诺在质保期内每年对设备定期巡检2次并出具纸质巡检报告</w:t>
            </w:r>
            <w:r>
              <w:rPr>
                <w:rFonts w:hint="eastAsia" w:ascii="Calibri" w:hAnsi="Calibri" w:eastAsia="宋体" w:cs="宋体"/>
                <w:b/>
                <w:bCs/>
                <w:color w:val="auto"/>
                <w:sz w:val="24"/>
                <w:u w:val="none"/>
                <w:lang w:val="en-US" w:eastAsia="zh-CN"/>
              </w:rPr>
              <w:t>（提供承诺函并加盖投标人公章，格式自拟）</w:t>
            </w:r>
            <w:r>
              <w:rPr>
                <w:rFonts w:hint="eastAsia" w:ascii="Calibri" w:hAnsi="Calibri" w:eastAsia="宋体" w:cs="宋体"/>
                <w:color w:val="auto"/>
                <w:sz w:val="24"/>
                <w:u w:val="none"/>
                <w:lang w:val="en-US" w:eastAsia="zh-CN"/>
              </w:rPr>
              <w:t>。</w:t>
            </w:r>
          </w:p>
          <w:p w14:paraId="3BADC3A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楷体_GB2312" w:hAnsi="Times New Roman" w:eastAsia="楷体_GB2312" w:cs="宋体"/>
                <w:color w:val="auto"/>
                <w:sz w:val="24"/>
                <w:szCs w:val="24"/>
                <w:u w:val="none"/>
                <w:lang w:val="en-US" w:eastAsia="zh-CN" w:bidi="ar-SA"/>
              </w:rPr>
            </w:pPr>
            <w:r>
              <w:rPr>
                <w:rFonts w:hint="eastAsia" w:ascii="Calibri" w:hAnsi="Calibri" w:eastAsia="宋体" w:cs="宋体"/>
                <w:color w:val="auto"/>
                <w:sz w:val="24"/>
                <w:u w:val="none"/>
                <w:lang w:val="en-US" w:eastAsia="zh-CN"/>
              </w:rPr>
              <w:t>2.设备安装、调试正常使用后，中标人负责对招标人组织的各操作人员进行培训。按照1台AED配备不少于10名工作人员的比例，由中标人统筹安排持有正规培训资质的授课师资，赴招标人指定场地开展自动体外除颤器（AED）实操技能培训。培训讲师及教材由中标人提供，费用包含在投标报价中（培训费用包含：师资授课、场地费等完成培训工作的所有费用均包含在投标报价中）。</w:t>
            </w:r>
          </w:p>
        </w:tc>
      </w:tr>
      <w:tr w14:paraId="37D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52DAA981">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9</w:t>
            </w:r>
          </w:p>
        </w:tc>
        <w:tc>
          <w:tcPr>
            <w:tcW w:w="1380" w:type="dxa"/>
            <w:tcBorders>
              <w:tl2br w:val="nil"/>
              <w:tr2bl w:val="nil"/>
            </w:tcBorders>
            <w:shd w:val="clear" w:color="auto" w:fill="auto"/>
            <w:vAlign w:val="center"/>
          </w:tcPr>
          <w:p w14:paraId="0C09FF2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保密</w:t>
            </w:r>
          </w:p>
        </w:tc>
        <w:tc>
          <w:tcPr>
            <w:tcW w:w="8210" w:type="dxa"/>
            <w:tcBorders>
              <w:tl2br w:val="nil"/>
              <w:tr2bl w:val="nil"/>
            </w:tcBorders>
            <w:shd w:val="clear" w:color="auto" w:fill="auto"/>
            <w:vAlign w:val="center"/>
          </w:tcPr>
          <w:p w14:paraId="351BAA0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乙方有权依据合同约定和项目需要，向甲方了解有关情况，调阅有关资料等，甲方应予积极配合。</w:t>
            </w:r>
          </w:p>
          <w:p w14:paraId="6EFB35C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乙方有义务妥善保管和保护由甲方提供的前款信息和资料等，未经甲方书面同意，乙方不得复制、记录或以其他方式泄露所了解的甲方的秘密。</w:t>
            </w:r>
          </w:p>
          <w:p w14:paraId="7526B0D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5C09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4</w:t>
            </w:r>
            <w:r>
              <w:rPr>
                <w:rFonts w:hint="eastAsia" w:ascii="Calibri" w:hAnsi="Calibri" w:eastAsia="宋体" w:cs="宋体"/>
                <w:color w:val="auto"/>
                <w:sz w:val="24"/>
                <w:u w:val="none"/>
              </w:rPr>
              <w:t>双方约定，</w:t>
            </w:r>
            <w:r>
              <w:rPr>
                <w:rFonts w:hint="eastAsia" w:ascii="Calibri" w:hAnsi="Calibri" w:eastAsia="宋体" w:cs="宋体"/>
                <w:color w:val="auto"/>
                <w:sz w:val="24"/>
                <w:u w:val="none"/>
                <w:lang w:eastAsia="zh-CN"/>
              </w:rPr>
              <w:t>根据国家保密相关法律签订保密协议</w:t>
            </w:r>
            <w:r>
              <w:rPr>
                <w:rFonts w:hint="eastAsia" w:ascii="Calibri" w:hAnsi="Calibri" w:eastAsia="宋体" w:cs="宋体"/>
                <w:color w:val="auto"/>
                <w:sz w:val="24"/>
                <w:u w:val="none"/>
              </w:rPr>
              <w:t>；如一方违反本条约定致使另一方遭受损失的，守约方有权要求违约方承担全部的损失。</w:t>
            </w:r>
          </w:p>
        </w:tc>
      </w:tr>
      <w:tr w14:paraId="49CB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1C8EEAD3">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val="en-US" w:eastAsia="zh-CN"/>
              </w:rPr>
            </w:pPr>
            <w:r>
              <w:rPr>
                <w:rFonts w:hint="eastAsia" w:ascii="等线" w:hAnsi="等线" w:eastAsia="等线" w:cs="等线"/>
                <w:b w:val="0"/>
                <w:bCs/>
                <w:color w:val="auto"/>
                <w:sz w:val="22"/>
                <w:szCs w:val="22"/>
              </w:rPr>
              <w:t>1</w:t>
            </w:r>
            <w:r>
              <w:rPr>
                <w:rFonts w:hint="eastAsia" w:ascii="Calibri" w:hAnsi="Calibri" w:eastAsia="宋体" w:cs="等线"/>
                <w:b w:val="0"/>
                <w:bCs/>
                <w:color w:val="auto"/>
                <w:sz w:val="22"/>
                <w:szCs w:val="22"/>
                <w:lang w:val="en-US" w:eastAsia="zh-CN"/>
              </w:rPr>
              <w:t>0</w:t>
            </w:r>
          </w:p>
        </w:tc>
        <w:tc>
          <w:tcPr>
            <w:tcW w:w="1380" w:type="dxa"/>
            <w:tcBorders>
              <w:tl2br w:val="nil"/>
              <w:tr2bl w:val="nil"/>
            </w:tcBorders>
            <w:shd w:val="clear" w:color="auto" w:fill="auto"/>
            <w:vAlign w:val="center"/>
          </w:tcPr>
          <w:p w14:paraId="66688CD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廉政要求</w:t>
            </w:r>
          </w:p>
        </w:tc>
        <w:tc>
          <w:tcPr>
            <w:tcW w:w="8210" w:type="dxa"/>
            <w:tcBorders>
              <w:tl2br w:val="nil"/>
              <w:tr2bl w:val="nil"/>
            </w:tcBorders>
            <w:shd w:val="clear" w:color="auto" w:fill="auto"/>
            <w:vAlign w:val="center"/>
          </w:tcPr>
          <w:p w14:paraId="01F2FD0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自觉遵守廉政要求，承诺在项目</w:t>
            </w:r>
            <w:r>
              <w:rPr>
                <w:rFonts w:hint="eastAsia" w:ascii="Calibri" w:hAnsi="Calibri" w:eastAsia="宋体" w:cs="宋体"/>
                <w:color w:val="auto"/>
                <w:sz w:val="24"/>
                <w:u w:val="none"/>
                <w:lang w:val="en-US" w:eastAsia="zh-CN"/>
              </w:rPr>
              <w:t>政府采购过程</w:t>
            </w:r>
            <w:r>
              <w:rPr>
                <w:rFonts w:hint="eastAsia" w:ascii="Calibri" w:hAnsi="Calibri" w:eastAsia="宋体" w:cs="宋体"/>
                <w:color w:val="auto"/>
                <w:sz w:val="24"/>
                <w:u w:val="none"/>
              </w:rPr>
              <w:t>及实施阶段，遵守法律、法规及</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相关规定，自觉接受监督。如有违法、违规行为，应承担相应的法律责任，</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有权不予签订合同或解除合同。</w:t>
            </w:r>
          </w:p>
        </w:tc>
      </w:tr>
    </w:tbl>
    <w:p w14:paraId="267F2A02">
      <w:pPr>
        <w:widowControl/>
        <w:numPr>
          <w:ilvl w:val="0"/>
          <w:numId w:val="0"/>
        </w:numPr>
        <w:bidi w:val="0"/>
        <w:spacing w:line="340" w:lineRule="exact"/>
        <w:ind w:firstLine="480" w:firstLineChars="200"/>
        <w:jc w:val="left"/>
        <w:rPr>
          <w:rFonts w:hint="eastAsia" w:ascii="Arial Narrow" w:hAnsi="Arial Narrow" w:eastAsia="宋体" w:cs="宋体"/>
          <w:color w:val="auto"/>
          <w:kern w:val="2"/>
          <w:sz w:val="24"/>
          <w:szCs w:val="22"/>
          <w:u w:val="single"/>
          <w:lang w:val="en-US" w:eastAsia="zh-CN" w:bidi="ar-SA"/>
        </w:rPr>
      </w:pPr>
    </w:p>
    <w:p w14:paraId="2659CD6D">
      <w:pPr>
        <w:widowControl/>
        <w:numPr>
          <w:ilvl w:val="0"/>
          <w:numId w:val="0"/>
        </w:numPr>
        <w:tabs>
          <w:tab w:val="left" w:pos="0"/>
        </w:tabs>
        <w:bidi w:val="0"/>
        <w:spacing w:line="440" w:lineRule="exact"/>
        <w:ind w:firstLine="480" w:firstLineChars="200"/>
        <w:jc w:val="left"/>
        <w:rPr>
          <w:rFonts w:hint="eastAsia" w:ascii="Arial Narrow" w:hAnsi="Arial Narrow" w:eastAsia="宋体" w:cs="宋体"/>
          <w:color w:val="auto"/>
          <w:kern w:val="2"/>
          <w:sz w:val="24"/>
          <w:szCs w:val="24"/>
          <w:u w:val="single"/>
          <w:lang w:val="en-US" w:eastAsia="zh-CN" w:bidi="ar-SA"/>
        </w:rPr>
      </w:pPr>
    </w:p>
    <w:p w14:paraId="40F5FB83">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KSOF3D47F291">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82AD"/>
    <w:multiLevelType w:val="singleLevel"/>
    <w:tmpl w:val="B3BF82AD"/>
    <w:lvl w:ilvl="0" w:tentative="0">
      <w:start w:val="1"/>
      <w:numFmt w:val="chineseCounting"/>
      <w:suff w:val="nothing"/>
      <w:lvlText w:val="%1、"/>
      <w:lvlJc w:val="left"/>
      <w:rPr>
        <w:rFonts w:hint="eastAsia"/>
      </w:rPr>
    </w:lvl>
  </w:abstractNum>
  <w:abstractNum w:abstractNumId="1">
    <w:nsid w:val="BAD07DA3"/>
    <w:multiLevelType w:val="singleLevel"/>
    <w:tmpl w:val="BAD07DA3"/>
    <w:lvl w:ilvl="0" w:tentative="0">
      <w:start w:val="1"/>
      <w:numFmt w:val="decimal"/>
      <w:suff w:val="nothing"/>
      <w:lvlText w:val="%1．"/>
      <w:lvlJc w:val="left"/>
      <w:pPr>
        <w:ind w:left="0" w:firstLine="400"/>
      </w:pPr>
      <w:rPr>
        <w:rFonts w:hint="default"/>
      </w:rPr>
    </w:lvl>
  </w:abstractNum>
  <w:abstractNum w:abstractNumId="2">
    <w:nsid w:val="00000009"/>
    <w:multiLevelType w:val="multilevel"/>
    <w:tmpl w:val="00000009"/>
    <w:lvl w:ilvl="0" w:tentative="0">
      <w:start w:val="1"/>
      <w:numFmt w:val="decimal"/>
      <w:suff w:val="nothing"/>
      <w:lvlText w:val="（%1）"/>
      <w:lvlJc w:val="left"/>
      <w:pPr>
        <w:ind w:left="0" w:firstLine="403"/>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D8AABEB"/>
    <w:multiLevelType w:val="singleLevel"/>
    <w:tmpl w:val="0D8AABEB"/>
    <w:lvl w:ilvl="0" w:tentative="0">
      <w:start w:val="1"/>
      <w:numFmt w:val="decimal"/>
      <w:suff w:val="nothing"/>
      <w:lvlText w:val="%1"/>
      <w:lvlJc w:val="center"/>
      <w:rPr>
        <w:rFonts w:hint="default"/>
      </w:rPr>
    </w:lvl>
  </w:abstractNum>
  <w:abstractNum w:abstractNumId="4">
    <w:nsid w:val="2618B967"/>
    <w:multiLevelType w:val="singleLevel"/>
    <w:tmpl w:val="2618B967"/>
    <w:lvl w:ilvl="0" w:tentative="0">
      <w:start w:val="1"/>
      <w:numFmt w:val="chineseCounting"/>
      <w:suff w:val="nothing"/>
      <w:lvlText w:val="（%1）"/>
      <w:lvlJc w:val="left"/>
      <w:pPr>
        <w:ind w:left="0" w:firstLine="420"/>
      </w:pPr>
      <w:rPr>
        <w:rFonts w:hint="eastAsia"/>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4388D"/>
    <w:rsid w:val="04F70123"/>
    <w:rsid w:val="167B6C54"/>
    <w:rsid w:val="1B4B17D0"/>
    <w:rsid w:val="1F6B4157"/>
    <w:rsid w:val="22655177"/>
    <w:rsid w:val="28F6108D"/>
    <w:rsid w:val="2B4E3E18"/>
    <w:rsid w:val="31EB11BF"/>
    <w:rsid w:val="365C4DE0"/>
    <w:rsid w:val="37677539"/>
    <w:rsid w:val="40E87051"/>
    <w:rsid w:val="40F7176E"/>
    <w:rsid w:val="41104C37"/>
    <w:rsid w:val="459C771C"/>
    <w:rsid w:val="4BA72100"/>
    <w:rsid w:val="4DDE15B7"/>
    <w:rsid w:val="538A58B6"/>
    <w:rsid w:val="5827444F"/>
    <w:rsid w:val="5CFB0203"/>
    <w:rsid w:val="61A370A3"/>
    <w:rsid w:val="67042263"/>
    <w:rsid w:val="6AF26B3F"/>
    <w:rsid w:val="773852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5">
    <w:name w:val="font101"/>
    <w:qFormat/>
    <w:uiPriority w:val="0"/>
    <w:rPr>
      <w:rFonts w:ascii="宋体" w:hAnsi="宋体" w:eastAsia="宋体" w:cs="宋体"/>
      <w:b/>
      <w:bCs/>
      <w:color w:val="205050"/>
      <w:sz w:val="14"/>
      <w:szCs w:val="14"/>
      <w:u w:val="none"/>
    </w:rPr>
  </w:style>
  <w:style w:type="character" w:customStyle="1" w:styleId="6">
    <w:name w:val="font112"/>
    <w:qFormat/>
    <w:uiPriority w:val="0"/>
    <w:rPr>
      <w:rFonts w:ascii="宋体" w:hAnsi="宋体" w:eastAsia="宋体" w:cs="宋体"/>
      <w:b/>
      <w:bCs/>
      <w:color w:val="104050"/>
      <w:sz w:val="14"/>
      <w:szCs w:val="14"/>
      <w:u w:val="none"/>
    </w:rPr>
  </w:style>
  <w:style w:type="character" w:customStyle="1" w:styleId="7">
    <w:name w:val="font81"/>
    <w:qFormat/>
    <w:uiPriority w:val="0"/>
    <w:rPr>
      <w:rFonts w:ascii="宋体" w:hAnsi="宋体" w:eastAsia="宋体" w:cs="宋体"/>
      <w:b/>
      <w:bCs/>
      <w:color w:val="000000"/>
      <w:sz w:val="14"/>
      <w:szCs w:val="1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3453</Words>
  <Characters>3719</Characters>
  <Lines>0</Lines>
  <Paragraphs>0</Paragraphs>
  <TotalTime>25</TotalTime>
  <ScaleCrop>false</ScaleCrop>
  <LinksUpToDate>false</LinksUpToDate>
  <CharactersWithSpaces>3743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2026-07-01T01:19:00Z</dcterms:created>
  <dc:creator>TPPCZJJ</dc:creator>
  <cp:lastModifiedBy>admin</cp:lastModifiedBy>
  <cp:lastPrinted>2026-07-06T07:25:00Z</cp:lastPrinted>
  <dcterms:modified xsi:type="dcterms:W3CDTF">2026-09-16T02:34:14Z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eyJoZGlkIjoiOTM5YTA3OTI5YWI0NDJlM2RjYTMyMTJkNTM5ZThjY2EiLCJ1c2VySWQiOiI0OTc2OTY1ODMifQ==</vt:lpwstr>
  </property>
  <property fmtid="{D5CDD505-2E9C-101B-9397-08002B2CF9AE}" pid="4" name="ICV">
    <vt:lpwstr>DEB99BE6A82148F19F6182CEE05B5A73_12</vt:lpwstr>
  </property>
</Properties>
</file>