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E4917">
      <w:pPr>
        <w:pStyle w:val="2"/>
        <w:spacing w:line="400" w:lineRule="exact"/>
        <w:jc w:val="center"/>
        <w:rPr>
          <w:rFonts w:hint="eastAsia" w:ascii="宋体" w:hAnsi="宋体" w:eastAsia="宋体" w:cs="宋体"/>
          <w:b/>
          <w:bCs/>
          <w:kern w:val="0"/>
          <w:sz w:val="21"/>
          <w:szCs w:val="21"/>
          <w:u w:val="none"/>
          <w:lang w:val="en-US" w:eastAsia="zh-CN"/>
        </w:rPr>
      </w:pPr>
      <w:r>
        <w:rPr>
          <w:rFonts w:hint="eastAsia" w:ascii="黑体" w:hAnsi="黑体" w:eastAsia="黑体" w:cs="黑体"/>
          <w:b/>
          <w:bCs/>
        </w:rPr>
        <w:t>采购需求</w:t>
      </w:r>
      <w:r>
        <w:rPr>
          <w:rFonts w:hint="eastAsia" w:ascii="黑体" w:hAnsi="黑体" w:eastAsia="黑体" w:cs="黑体"/>
          <w:b/>
          <w:bCs/>
          <w:lang w:val="en-US" w:eastAsia="zh-CN"/>
        </w:rPr>
        <w:t>明细</w:t>
      </w:r>
      <w:bookmarkStart w:id="4" w:name="_GoBack"/>
      <w:bookmarkEnd w:id="4"/>
    </w:p>
    <w:p w14:paraId="429491CD">
      <w:pPr>
        <w:keepNext/>
        <w:keepLines/>
        <w:widowControl w:val="0"/>
        <w:numPr>
          <w:ilvl w:val="0"/>
          <w:numId w:val="1"/>
        </w:numPr>
        <w:adjustRightInd w:val="0"/>
        <w:snapToGrid w:val="0"/>
        <w:spacing w:line="360" w:lineRule="auto"/>
        <w:jc w:val="center"/>
        <w:outlineLvl w:val="1"/>
        <w:rPr>
          <w:rFonts w:hint="eastAsia" w:ascii="黑体" w:hAnsi="黑体" w:eastAsia="黑体" w:cs="Times New Roman"/>
          <w:b/>
          <w:bCs/>
          <w:kern w:val="2"/>
          <w:sz w:val="28"/>
          <w:szCs w:val="28"/>
          <w:lang w:val="en-US" w:eastAsia="zh-CN" w:bidi="ar-SA"/>
        </w:rPr>
      </w:pPr>
      <w:bookmarkStart w:id="0" w:name="_Toc16015"/>
      <w:r>
        <w:rPr>
          <w:rFonts w:hint="eastAsia" w:ascii="黑体" w:hAnsi="黑体" w:eastAsia="黑体" w:cs="Times New Roman"/>
          <w:b/>
          <w:bCs/>
          <w:kern w:val="2"/>
          <w:sz w:val="28"/>
          <w:szCs w:val="28"/>
          <w:lang w:val="en-US" w:eastAsia="zh-CN" w:bidi="ar-SA"/>
        </w:rPr>
        <w:t>采购清单一览表</w:t>
      </w:r>
      <w:bookmarkEnd w:id="0"/>
    </w:p>
    <w:tbl>
      <w:tblPr>
        <w:tblStyle w:val="3"/>
        <w:tblW w:w="42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578"/>
        <w:gridCol w:w="1277"/>
        <w:gridCol w:w="1272"/>
        <w:gridCol w:w="1078"/>
        <w:gridCol w:w="1355"/>
      </w:tblGrid>
      <w:tr w14:paraId="4FE3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22" w:type="pct"/>
            <w:tcBorders>
              <w:tl2br w:val="nil"/>
              <w:tr2bl w:val="nil"/>
            </w:tcBorders>
            <w:noWrap w:val="0"/>
            <w:vAlign w:val="center"/>
          </w:tcPr>
          <w:p w14:paraId="13E882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序号</w:t>
            </w:r>
          </w:p>
        </w:tc>
        <w:tc>
          <w:tcPr>
            <w:tcW w:w="1101" w:type="pct"/>
            <w:tcBorders>
              <w:tl2br w:val="nil"/>
              <w:tr2bl w:val="nil"/>
            </w:tcBorders>
            <w:noWrap w:val="0"/>
            <w:vAlign w:val="center"/>
          </w:tcPr>
          <w:p w14:paraId="7C6BA7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服务名称</w:t>
            </w:r>
          </w:p>
        </w:tc>
        <w:tc>
          <w:tcPr>
            <w:tcW w:w="891" w:type="pct"/>
            <w:tcBorders>
              <w:tl2br w:val="nil"/>
              <w:tr2bl w:val="nil"/>
            </w:tcBorders>
            <w:noWrap w:val="0"/>
            <w:vAlign w:val="center"/>
          </w:tcPr>
          <w:p w14:paraId="41B288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服务内容</w:t>
            </w:r>
          </w:p>
        </w:tc>
        <w:tc>
          <w:tcPr>
            <w:tcW w:w="887" w:type="pct"/>
            <w:tcBorders>
              <w:tl2br w:val="nil"/>
              <w:tr2bl w:val="nil"/>
            </w:tcBorders>
            <w:noWrap w:val="0"/>
            <w:vAlign w:val="center"/>
          </w:tcPr>
          <w:p w14:paraId="4F27E7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服务范围</w:t>
            </w:r>
          </w:p>
        </w:tc>
        <w:tc>
          <w:tcPr>
            <w:tcW w:w="752" w:type="pct"/>
            <w:tcBorders>
              <w:tl2br w:val="nil"/>
              <w:tr2bl w:val="nil"/>
            </w:tcBorders>
            <w:noWrap w:val="0"/>
            <w:vAlign w:val="center"/>
          </w:tcPr>
          <w:p w14:paraId="691650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综合单价（元）</w:t>
            </w:r>
          </w:p>
        </w:tc>
        <w:tc>
          <w:tcPr>
            <w:tcW w:w="945" w:type="pct"/>
            <w:tcBorders>
              <w:tl2br w:val="nil"/>
              <w:tr2bl w:val="nil"/>
            </w:tcBorders>
            <w:noWrap w:val="0"/>
            <w:vAlign w:val="center"/>
          </w:tcPr>
          <w:p w14:paraId="35DB07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合价（元）</w:t>
            </w:r>
          </w:p>
        </w:tc>
      </w:tr>
      <w:tr w14:paraId="5C83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22" w:type="pct"/>
            <w:tcBorders>
              <w:tl2br w:val="nil"/>
              <w:tr2bl w:val="nil"/>
            </w:tcBorders>
            <w:noWrap w:val="0"/>
            <w:vAlign w:val="center"/>
          </w:tcPr>
          <w:p w14:paraId="6C93FD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w:t>
            </w:r>
          </w:p>
        </w:tc>
        <w:tc>
          <w:tcPr>
            <w:tcW w:w="1101" w:type="pct"/>
            <w:tcBorders>
              <w:tl2br w:val="nil"/>
              <w:tr2bl w:val="nil"/>
            </w:tcBorders>
            <w:noWrap w:val="0"/>
            <w:vAlign w:val="center"/>
          </w:tcPr>
          <w:p w14:paraId="3B55E5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工程监理服务</w:t>
            </w:r>
          </w:p>
        </w:tc>
        <w:tc>
          <w:tcPr>
            <w:tcW w:w="891" w:type="pct"/>
            <w:tcBorders>
              <w:tl2br w:val="nil"/>
              <w:tr2bl w:val="nil"/>
            </w:tcBorders>
            <w:noWrap w:val="0"/>
            <w:vAlign w:val="center"/>
          </w:tcPr>
          <w:p w14:paraId="0F1354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详见第二节</w:t>
            </w:r>
          </w:p>
        </w:tc>
        <w:tc>
          <w:tcPr>
            <w:tcW w:w="887" w:type="pct"/>
            <w:tcBorders>
              <w:tl2br w:val="nil"/>
              <w:tr2bl w:val="nil"/>
            </w:tcBorders>
            <w:noWrap w:val="0"/>
            <w:vAlign w:val="center"/>
          </w:tcPr>
          <w:p w14:paraId="21028C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详见第二节</w:t>
            </w:r>
          </w:p>
        </w:tc>
        <w:tc>
          <w:tcPr>
            <w:tcW w:w="752" w:type="pct"/>
            <w:tcBorders>
              <w:tl2br w:val="nil"/>
              <w:tr2bl w:val="nil"/>
            </w:tcBorders>
            <w:noWrap w:val="0"/>
            <w:vAlign w:val="center"/>
          </w:tcPr>
          <w:p w14:paraId="7E9656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p>
        </w:tc>
        <w:tc>
          <w:tcPr>
            <w:tcW w:w="945" w:type="pct"/>
            <w:tcBorders>
              <w:tl2br w:val="nil"/>
              <w:tr2bl w:val="nil"/>
            </w:tcBorders>
            <w:noWrap w:val="0"/>
            <w:vAlign w:val="center"/>
          </w:tcPr>
          <w:p w14:paraId="05EF81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p>
        </w:tc>
      </w:tr>
      <w:tr w14:paraId="28DD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22" w:type="pct"/>
            <w:tcBorders>
              <w:tl2br w:val="nil"/>
              <w:tr2bl w:val="nil"/>
            </w:tcBorders>
            <w:noWrap w:val="0"/>
            <w:vAlign w:val="center"/>
          </w:tcPr>
          <w:p w14:paraId="3D648E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w:t>
            </w:r>
          </w:p>
        </w:tc>
        <w:tc>
          <w:tcPr>
            <w:tcW w:w="1101" w:type="pct"/>
            <w:tcBorders>
              <w:tl2br w:val="nil"/>
              <w:tr2bl w:val="nil"/>
            </w:tcBorders>
            <w:noWrap w:val="0"/>
            <w:vAlign w:val="center"/>
          </w:tcPr>
          <w:p w14:paraId="7A76A2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工程平行检测</w:t>
            </w:r>
          </w:p>
        </w:tc>
        <w:tc>
          <w:tcPr>
            <w:tcW w:w="891" w:type="pct"/>
            <w:tcBorders>
              <w:tl2br w:val="nil"/>
              <w:tr2bl w:val="nil"/>
            </w:tcBorders>
            <w:noWrap w:val="0"/>
            <w:vAlign w:val="center"/>
          </w:tcPr>
          <w:p w14:paraId="4FA9AF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详见第二节</w:t>
            </w:r>
          </w:p>
        </w:tc>
        <w:tc>
          <w:tcPr>
            <w:tcW w:w="887" w:type="pct"/>
            <w:tcBorders>
              <w:tl2br w:val="nil"/>
              <w:tr2bl w:val="nil"/>
            </w:tcBorders>
            <w:noWrap w:val="0"/>
            <w:vAlign w:val="center"/>
          </w:tcPr>
          <w:p w14:paraId="146D5D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详见第二节</w:t>
            </w:r>
          </w:p>
        </w:tc>
        <w:tc>
          <w:tcPr>
            <w:tcW w:w="752" w:type="pct"/>
            <w:tcBorders>
              <w:tl2br w:val="nil"/>
              <w:tr2bl w:val="nil"/>
            </w:tcBorders>
            <w:noWrap w:val="0"/>
            <w:vAlign w:val="center"/>
          </w:tcPr>
          <w:p w14:paraId="3E9A81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p>
        </w:tc>
        <w:tc>
          <w:tcPr>
            <w:tcW w:w="945" w:type="pct"/>
            <w:tcBorders>
              <w:tl2br w:val="nil"/>
              <w:tr2bl w:val="nil"/>
            </w:tcBorders>
            <w:noWrap w:val="0"/>
            <w:vAlign w:val="center"/>
          </w:tcPr>
          <w:p w14:paraId="019F65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p>
        </w:tc>
      </w:tr>
      <w:tr w14:paraId="3159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054" w:type="pct"/>
            <w:gridSpan w:val="5"/>
            <w:tcBorders>
              <w:tl2br w:val="nil"/>
              <w:tr2bl w:val="nil"/>
            </w:tcBorders>
            <w:noWrap w:val="0"/>
            <w:vAlign w:val="center"/>
          </w:tcPr>
          <w:p w14:paraId="63A458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预算金额/最高限价（元）</w:t>
            </w:r>
          </w:p>
        </w:tc>
        <w:tc>
          <w:tcPr>
            <w:tcW w:w="945" w:type="pct"/>
            <w:tcBorders>
              <w:tl2br w:val="nil"/>
              <w:tr2bl w:val="nil"/>
            </w:tcBorders>
            <w:noWrap w:val="0"/>
            <w:vAlign w:val="center"/>
          </w:tcPr>
          <w:p w14:paraId="5BE634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921490.42</w:t>
            </w:r>
          </w:p>
        </w:tc>
      </w:tr>
    </w:tbl>
    <w:p w14:paraId="772F4F83">
      <w:pPr>
        <w:adjustRightInd w:val="0"/>
        <w:snapToGrid w:val="0"/>
        <w:spacing w:line="360" w:lineRule="auto"/>
        <w:rPr>
          <w:rFonts w:hint="eastAsia" w:ascii="宋体" w:hAnsi="宋体" w:eastAsia="宋体" w:cs="宋体"/>
          <w:b/>
          <w:bCs w:val="0"/>
          <w:kern w:val="0"/>
          <w:sz w:val="22"/>
          <w:szCs w:val="22"/>
          <w:lang w:val="en-US" w:eastAsia="zh-CN"/>
        </w:rPr>
      </w:pPr>
    </w:p>
    <w:p w14:paraId="20FBD553">
      <w:pPr>
        <w:adjustRightInd w:val="0"/>
        <w:snapToGrid w:val="0"/>
        <w:spacing w:line="360" w:lineRule="auto"/>
        <w:ind w:firstLine="442" w:firstLineChars="200"/>
        <w:rPr>
          <w:rFonts w:hint="eastAsia" w:ascii="宋体" w:hAnsi="宋体" w:eastAsia="宋体" w:cs="宋体"/>
          <w:kern w:val="0"/>
          <w:sz w:val="21"/>
          <w:szCs w:val="21"/>
          <w:u w:val="none"/>
          <w:lang w:val="en-US" w:eastAsia="zh-CN" w:bidi="ar-SA"/>
        </w:rPr>
      </w:pPr>
      <w:r>
        <w:rPr>
          <w:rFonts w:hint="eastAsia" w:ascii="宋体" w:hAnsi="宋体" w:eastAsia="宋体" w:cs="宋体"/>
          <w:b/>
          <w:bCs w:val="0"/>
          <w:kern w:val="0"/>
          <w:sz w:val="22"/>
          <w:szCs w:val="22"/>
          <w:lang w:val="en-US" w:eastAsia="zh-CN"/>
        </w:rPr>
        <w:t>备注：</w:t>
      </w:r>
      <w:r>
        <w:rPr>
          <w:rFonts w:hint="eastAsia" w:ascii="宋体" w:hAnsi="宋体" w:eastAsia="宋体" w:cs="宋体"/>
          <w:kern w:val="0"/>
          <w:sz w:val="20"/>
          <w:szCs w:val="20"/>
          <w:u w:val="none"/>
          <w:lang w:val="en-US" w:eastAsia="zh-CN" w:bidi="ar-SA"/>
        </w:rPr>
        <w:t>①</w:t>
      </w:r>
      <w:r>
        <w:rPr>
          <w:rFonts w:hint="eastAsia" w:ascii="宋体" w:hAnsi="宋体" w:eastAsia="宋体" w:cs="宋体"/>
          <w:kern w:val="0"/>
          <w:sz w:val="21"/>
          <w:szCs w:val="21"/>
          <w:u w:val="none"/>
          <w:lang w:val="en-US" w:eastAsia="zh-CN" w:bidi="ar-SA"/>
        </w:rPr>
        <w:t>供应商应在响应文件《分项报价明细表》中按“采购清单一览表”名称顺序逐项填写并进行报价，如有缺项、漏项，</w:t>
      </w:r>
      <w:r>
        <w:rPr>
          <w:rFonts w:hint="eastAsia" w:ascii="宋体" w:hAnsi="宋体" w:eastAsia="宋体" w:cs="宋体"/>
          <w:b/>
          <w:bCs/>
          <w:kern w:val="0"/>
          <w:sz w:val="21"/>
          <w:szCs w:val="21"/>
          <w:u w:val="none"/>
          <w:lang w:val="en-US" w:eastAsia="zh-CN" w:bidi="ar-SA"/>
        </w:rPr>
        <w:t>其投标无效</w:t>
      </w:r>
      <w:r>
        <w:rPr>
          <w:rFonts w:hint="eastAsia" w:ascii="宋体" w:hAnsi="宋体" w:eastAsia="宋体" w:cs="宋体"/>
          <w:kern w:val="0"/>
          <w:sz w:val="21"/>
          <w:szCs w:val="21"/>
          <w:u w:val="none"/>
          <w:lang w:val="en-US" w:eastAsia="zh-CN" w:bidi="ar-SA"/>
        </w:rPr>
        <w:t>。</w:t>
      </w:r>
    </w:p>
    <w:p w14:paraId="65CEB147">
      <w:pPr>
        <w:adjustRightInd w:val="0"/>
        <w:snapToGrid w:val="0"/>
        <w:spacing w:line="360" w:lineRule="auto"/>
        <w:ind w:firstLine="420" w:firstLineChars="200"/>
        <w:rPr>
          <w:rFonts w:hint="eastAsia" w:ascii="宋体" w:hAnsi="宋体" w:eastAsia="宋体" w:cs="宋体"/>
          <w:kern w:val="0"/>
          <w:sz w:val="21"/>
          <w:szCs w:val="21"/>
          <w:u w:val="none"/>
          <w:lang w:val="en-US" w:eastAsia="zh-CN" w:bidi="ar-SA"/>
        </w:rPr>
      </w:pPr>
      <w:r>
        <w:rPr>
          <w:rFonts w:hint="eastAsia" w:ascii="宋体" w:hAnsi="宋体" w:eastAsia="宋体" w:cs="宋体"/>
          <w:kern w:val="0"/>
          <w:sz w:val="21"/>
          <w:szCs w:val="21"/>
          <w:u w:val="none"/>
          <w:lang w:val="en-US" w:eastAsia="zh-CN" w:bidi="ar-SA"/>
        </w:rPr>
        <w:t>②本项目合同定价方式为：固定总价。供应商的投标报价中应包括为完成项目所要求的全部内容可能发生的费用（含：人工、材料、机械、管理费、利润、规费、税费、验收及售后服务等所有费用）。</w:t>
      </w:r>
    </w:p>
    <w:p w14:paraId="48FF74BE">
      <w:pPr>
        <w:keepNext/>
        <w:keepLines/>
        <w:widowControl w:val="0"/>
        <w:bidi w:val="0"/>
        <w:spacing w:line="360" w:lineRule="auto"/>
        <w:jc w:val="center"/>
        <w:outlineLvl w:val="1"/>
        <w:rPr>
          <w:rFonts w:hint="eastAsia" w:ascii="宋体" w:hAnsi="宋体" w:eastAsia="宋体" w:cs="宋体"/>
          <w:b/>
          <w:bCs/>
          <w:kern w:val="0"/>
          <w:sz w:val="21"/>
          <w:szCs w:val="21"/>
          <w:u w:val="none"/>
          <w:lang w:val="en-US" w:eastAsia="zh-CN" w:bidi="ar-SA"/>
        </w:rPr>
      </w:pPr>
      <w:bookmarkStart w:id="1" w:name="_Toc21841"/>
      <w:r>
        <w:rPr>
          <w:rFonts w:hint="eastAsia" w:ascii="黑体" w:hAnsi="黑体" w:eastAsia="黑体" w:cs="Times New Roman"/>
          <w:b/>
          <w:bCs/>
          <w:color w:val="auto"/>
          <w:kern w:val="2"/>
          <w:sz w:val="28"/>
          <w:szCs w:val="28"/>
          <w:lang w:val="en-US" w:eastAsia="zh-CN" w:bidi="ar-SA"/>
        </w:rPr>
        <w:t>第二节、技术、商务要求</w:t>
      </w:r>
      <w:bookmarkEnd w:id="1"/>
    </w:p>
    <w:p w14:paraId="425196D9">
      <w:pPr>
        <w:keepNext w:val="0"/>
        <w:keepLines w:val="0"/>
        <w:pageBreakBefore w:val="0"/>
        <w:widowControl/>
        <w:kinsoku/>
        <w:wordWrap/>
        <w:overflowPunct/>
        <w:topLinePunct w:val="0"/>
        <w:autoSpaceDN/>
        <w:bidi w:val="0"/>
        <w:spacing w:line="360" w:lineRule="auto"/>
        <w:ind w:left="0" w:leftChars="0" w:right="0" w:firstLine="422" w:firstLineChars="200"/>
        <w:textAlignment w:val="auto"/>
        <w:rPr>
          <w:rFonts w:hint="eastAsia" w:ascii="宋体" w:hAnsi="宋体" w:eastAsia="宋体" w:cs="宋体"/>
          <w:b/>
          <w:bCs/>
          <w:kern w:val="0"/>
          <w:sz w:val="21"/>
          <w:szCs w:val="21"/>
          <w:u w:val="none"/>
          <w:lang w:val="en-US" w:eastAsia="zh-CN"/>
        </w:rPr>
      </w:pPr>
      <w:r>
        <w:rPr>
          <w:rFonts w:hint="eastAsia" w:ascii="宋体" w:hAnsi="宋体" w:eastAsia="宋体" w:cs="宋体"/>
          <w:b/>
          <w:bCs/>
          <w:kern w:val="0"/>
          <w:sz w:val="21"/>
          <w:szCs w:val="21"/>
          <w:u w:val="none"/>
          <w:lang w:val="en-US" w:eastAsia="zh-CN"/>
        </w:rPr>
        <w:t>一、项目基本情况</w:t>
      </w:r>
    </w:p>
    <w:p w14:paraId="30FE2256">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u w:val="none"/>
          <w:lang w:val="en-US" w:eastAsia="zh-CN"/>
        </w:rPr>
        <w:t>1、项目名称：</w:t>
      </w:r>
      <w:r>
        <w:rPr>
          <w:rFonts w:hint="eastAsia" w:ascii="宋体" w:hAnsi="宋体" w:eastAsia="宋体" w:cs="宋体"/>
          <w:kern w:val="0"/>
          <w:sz w:val="21"/>
          <w:szCs w:val="21"/>
          <w:lang w:eastAsia="zh-CN"/>
        </w:rPr>
        <w:t>湘阴县南湖哑河治理工程监理服务及平行检测服务</w:t>
      </w:r>
    </w:p>
    <w:p w14:paraId="07577F09">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b/>
          <w:bCs/>
          <w:color w:val="auto"/>
          <w:kern w:val="0"/>
          <w:sz w:val="21"/>
          <w:szCs w:val="21"/>
          <w:u w:val="none"/>
          <w:lang w:val="en-US" w:eastAsia="zh-CN"/>
        </w:rPr>
      </w:pPr>
      <w:r>
        <w:rPr>
          <w:rFonts w:hint="eastAsia" w:ascii="宋体" w:hAnsi="宋体" w:eastAsia="宋体" w:cs="宋体"/>
          <w:kern w:val="0"/>
          <w:sz w:val="21"/>
          <w:szCs w:val="21"/>
          <w:lang w:val="en-US" w:eastAsia="zh-CN" w:bidi="ar-SA"/>
        </w:rPr>
        <w:t>2、项目预算金额：921490.42元</w:t>
      </w:r>
    </w:p>
    <w:p w14:paraId="2DB19B6B">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b/>
          <w:bCs/>
          <w:color w:val="auto"/>
          <w:kern w:val="0"/>
          <w:sz w:val="21"/>
          <w:szCs w:val="21"/>
          <w:u w:val="none"/>
          <w:lang w:val="en-US" w:eastAsia="zh-CN"/>
        </w:rPr>
      </w:pPr>
      <w:r>
        <w:rPr>
          <w:rFonts w:hint="eastAsia" w:ascii="宋体" w:hAnsi="宋体" w:eastAsia="宋体" w:cs="宋体"/>
          <w:kern w:val="0"/>
          <w:sz w:val="21"/>
          <w:szCs w:val="21"/>
          <w:lang w:val="en-US" w:eastAsia="zh-CN"/>
        </w:rPr>
        <w:t>3、项目概况：本项目为</w:t>
      </w:r>
      <w:r>
        <w:rPr>
          <w:rFonts w:hint="eastAsia" w:ascii="宋体" w:hAnsi="宋体" w:eastAsia="宋体" w:cs="宋体"/>
          <w:kern w:val="0"/>
          <w:sz w:val="21"/>
          <w:szCs w:val="21"/>
          <w:lang w:eastAsia="zh-CN"/>
        </w:rPr>
        <w:t>湘阴县南湖哑河治理工程，</w:t>
      </w:r>
      <w:r>
        <w:rPr>
          <w:rFonts w:hint="eastAsia" w:ascii="宋体" w:hAnsi="宋体" w:eastAsia="宋体" w:cs="宋体"/>
          <w:kern w:val="0"/>
          <w:sz w:val="21"/>
          <w:szCs w:val="21"/>
          <w:lang w:val="en-US" w:eastAsia="zh-CN"/>
        </w:rPr>
        <w:t>工程</w:t>
      </w:r>
      <w:r>
        <w:rPr>
          <w:rFonts w:hint="eastAsia" w:ascii="宋体" w:hAnsi="宋体" w:eastAsia="宋体" w:cs="宋体"/>
          <w:kern w:val="0"/>
          <w:sz w:val="21"/>
          <w:szCs w:val="21"/>
          <w:lang w:eastAsia="zh-CN"/>
        </w:rPr>
        <w:t>估算投资：8300 万元。</w:t>
      </w:r>
      <w:r>
        <w:rPr>
          <w:rFonts w:hint="eastAsia" w:ascii="宋体" w:hAnsi="宋体" w:eastAsia="宋体" w:cs="宋体"/>
          <w:kern w:val="0"/>
          <w:sz w:val="21"/>
          <w:szCs w:val="21"/>
          <w:lang w:val="en-US" w:eastAsia="zh-CN"/>
        </w:rPr>
        <w:t>工程</w:t>
      </w:r>
      <w:r>
        <w:rPr>
          <w:rFonts w:hint="eastAsia" w:ascii="宋体" w:hAnsi="宋体" w:eastAsia="宋体" w:cs="宋体"/>
          <w:kern w:val="0"/>
          <w:sz w:val="21"/>
          <w:szCs w:val="21"/>
          <w:lang w:eastAsia="zh-CN"/>
        </w:rPr>
        <w:t>主要建设内容为规模：清淤疏浚 12.04km，河道清障 1.03 万m³，堤防加固 924m，护岸护坡 22.137.km，穿堤建筑物改造 19 处。工程治理范围：哑河主干 15.44km，西支 8km，综合治理河长为 23.44km。</w:t>
      </w:r>
      <w:r>
        <w:rPr>
          <w:rFonts w:hint="eastAsia" w:ascii="宋体" w:hAnsi="宋体" w:eastAsia="宋体" w:cs="宋体"/>
          <w:sz w:val="21"/>
          <w:szCs w:val="21"/>
        </w:rPr>
        <w:t>本次采购范围为本项目全过程施工监理及平行检测服务。</w:t>
      </w:r>
    </w:p>
    <w:p w14:paraId="78841419">
      <w:pPr>
        <w:keepNext w:val="0"/>
        <w:keepLines w:val="0"/>
        <w:pageBreakBefore w:val="0"/>
        <w:widowControl/>
        <w:kinsoku/>
        <w:wordWrap/>
        <w:overflowPunct/>
        <w:topLinePunct w:val="0"/>
        <w:autoSpaceDN/>
        <w:bidi w:val="0"/>
        <w:spacing w:line="360" w:lineRule="auto"/>
        <w:ind w:left="0" w:leftChars="0" w:right="0" w:firstLine="422" w:firstLineChars="200"/>
        <w:textAlignment w:val="auto"/>
        <w:rPr>
          <w:rFonts w:hint="eastAsia" w:ascii="宋体" w:hAnsi="宋体" w:eastAsia="宋体" w:cs="宋体"/>
          <w:color w:val="auto"/>
          <w:kern w:val="0"/>
          <w:sz w:val="21"/>
          <w:szCs w:val="21"/>
          <w:lang w:val="en-US" w:eastAsia="zh-CN"/>
        </w:rPr>
      </w:pPr>
      <w:r>
        <w:rPr>
          <w:rFonts w:hint="eastAsia" w:ascii="宋体" w:hAnsi="宋体" w:eastAsia="宋体" w:cs="宋体"/>
          <w:b/>
          <w:bCs/>
          <w:color w:val="auto"/>
          <w:kern w:val="0"/>
          <w:sz w:val="21"/>
          <w:szCs w:val="21"/>
          <w:u w:val="none"/>
          <w:lang w:val="en-US" w:eastAsia="zh-CN"/>
        </w:rPr>
        <w:t xml:space="preserve">二、项目实施要求 </w:t>
      </w:r>
    </w:p>
    <w:p w14:paraId="69D7E6FE">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kern w:val="0"/>
          <w:sz w:val="21"/>
          <w:szCs w:val="21"/>
          <w:u w:val="none"/>
          <w:lang w:val="en-US" w:eastAsia="zh-CN" w:bidi="ar-SA"/>
        </w:rPr>
      </w:pPr>
      <w:r>
        <w:rPr>
          <w:rFonts w:hint="eastAsia" w:ascii="宋体" w:hAnsi="宋体" w:eastAsia="宋体" w:cs="宋体"/>
          <w:b w:val="0"/>
          <w:bCs/>
          <w:sz w:val="21"/>
          <w:szCs w:val="21"/>
          <w:lang w:val="en-US" w:eastAsia="zh-CN"/>
        </w:rPr>
        <w:t>1、</w:t>
      </w:r>
      <w:r>
        <w:rPr>
          <w:rFonts w:hint="eastAsia" w:ascii="宋体" w:hAnsi="宋体" w:eastAsia="宋体" w:cs="宋体"/>
          <w:b w:val="0"/>
          <w:bCs/>
          <w:sz w:val="21"/>
          <w:szCs w:val="21"/>
        </w:rPr>
        <w:t>服务周期</w:t>
      </w:r>
      <w:r>
        <w:rPr>
          <w:rFonts w:hint="eastAsia" w:ascii="宋体" w:hAnsi="宋体" w:eastAsia="宋体" w:cs="宋体"/>
          <w:b w:val="0"/>
          <w:bCs/>
          <w:sz w:val="21"/>
          <w:szCs w:val="21"/>
          <w:lang w:eastAsia="zh-CN"/>
        </w:rPr>
        <w:t>：</w:t>
      </w:r>
      <w:r>
        <w:rPr>
          <w:rFonts w:hint="eastAsia" w:ascii="宋体" w:hAnsi="宋体" w:eastAsia="宋体" w:cs="宋体"/>
          <w:b w:val="0"/>
          <w:bCs/>
          <w:color w:val="auto"/>
          <w:kern w:val="0"/>
          <w:sz w:val="21"/>
          <w:szCs w:val="21"/>
          <w:u w:val="none"/>
          <w:lang w:val="en-US" w:eastAsia="zh-CN" w:bidi="ar-SA"/>
        </w:rPr>
        <w:t>计</w:t>
      </w:r>
      <w:r>
        <w:rPr>
          <w:rFonts w:hint="eastAsia" w:ascii="宋体" w:hAnsi="宋体" w:eastAsia="宋体" w:cs="宋体"/>
          <w:color w:val="auto"/>
          <w:kern w:val="0"/>
          <w:sz w:val="21"/>
          <w:szCs w:val="21"/>
          <w:u w:val="none"/>
          <w:lang w:val="en-US" w:eastAsia="zh-CN" w:bidi="ar-SA"/>
        </w:rPr>
        <w:t>划服务周期6个月；</w:t>
      </w:r>
      <w:r>
        <w:rPr>
          <w:rFonts w:hint="eastAsia" w:ascii="宋体" w:hAnsi="宋体" w:eastAsia="宋体" w:cs="宋体"/>
          <w:color w:val="auto"/>
          <w:sz w:val="21"/>
          <w:szCs w:val="21"/>
        </w:rPr>
        <w:t>本项目监理及平行检测服务周期随本工程实际施工周期动态执行，自项目正式开工令载明的开工日期起，至本项目全部工程完工验收合格、资料全部移交、缺陷责任期届满、所有收尾工作全部完成为止。项目施工工期若发生顺</w:t>
      </w:r>
      <w:r>
        <w:rPr>
          <w:rFonts w:hint="eastAsia" w:ascii="宋体" w:hAnsi="宋体" w:eastAsia="宋体" w:cs="宋体"/>
          <w:sz w:val="21"/>
          <w:szCs w:val="21"/>
        </w:rPr>
        <w:t>延、停工、复工，本服务周期同步顺延。</w:t>
      </w:r>
    </w:p>
    <w:p w14:paraId="4FD234D4">
      <w:pPr>
        <w:keepNext w:val="0"/>
        <w:keepLines w:val="0"/>
        <w:pageBreakBefore w:val="0"/>
        <w:widowControl/>
        <w:kinsoku/>
        <w:wordWrap/>
        <w:overflowPunct/>
        <w:topLinePunct w:val="0"/>
        <w:autoSpaceDN/>
        <w:bidi w:val="0"/>
        <w:spacing w:line="360" w:lineRule="auto"/>
        <w:ind w:left="0" w:leftChars="0" w:right="0" w:firstLine="420" w:firstLineChars="200"/>
        <w:textAlignment w:val="auto"/>
        <w:rPr>
          <w:rFonts w:hint="eastAsia" w:ascii="宋体" w:hAnsi="宋体" w:eastAsia="宋体" w:cs="宋体"/>
          <w:color w:val="auto"/>
          <w:kern w:val="0"/>
          <w:sz w:val="21"/>
          <w:szCs w:val="21"/>
          <w:u w:val="none"/>
          <w:lang w:val="en-US" w:eastAsia="zh-CN"/>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服务</w:t>
      </w:r>
      <w:r>
        <w:rPr>
          <w:rFonts w:hint="eastAsia" w:ascii="宋体" w:hAnsi="宋体" w:eastAsia="宋体" w:cs="宋体"/>
          <w:color w:val="auto"/>
          <w:kern w:val="0"/>
          <w:sz w:val="21"/>
          <w:szCs w:val="21"/>
        </w:rPr>
        <w:t>地点：采购人指定地点。</w:t>
      </w:r>
    </w:p>
    <w:p w14:paraId="2D5D555D">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3、服务范围：</w:t>
      </w:r>
      <w:r>
        <w:rPr>
          <w:rFonts w:hint="eastAsia" w:ascii="宋体" w:hAnsi="宋体" w:eastAsia="宋体" w:cs="宋体"/>
          <w:sz w:val="21"/>
          <w:szCs w:val="21"/>
        </w:rPr>
        <w:t>服务范围为湘阴县南湖哑河治理工程全部施工内容，涵盖项目施工准备阶段、施工阶段、完工验收阶段、资料整编移交及缺陷责任期全过程监理服务与平行检测管理服务。包含但不限于：河道清淤疏浚、河道清障、堤防加固、护岸护坡、穿堤建筑物改造、配套附属工程等所有工程内容的质量、进度、投资、安全、文明施工、水土保持、环境保护监理及平行检测管控工作。</w:t>
      </w:r>
    </w:p>
    <w:p w14:paraId="2B23213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right="0" w:rightChars="0" w:firstLine="420" w:firstLineChars="200"/>
        <w:jc w:val="left"/>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4、项目服务内容：</w:t>
      </w:r>
    </w:p>
    <w:p w14:paraId="33F80055">
      <w:pPr>
        <w:keepNext w:val="0"/>
        <w:keepLines w:val="0"/>
        <w:pageBreakBefore w:val="0"/>
        <w:kinsoku/>
        <w:wordWrap/>
        <w:overflowPunct/>
        <w:topLinePunct w:val="0"/>
        <w:autoSpaceDN/>
        <w:bidi w:val="0"/>
        <w:spacing w:line="360" w:lineRule="auto"/>
        <w:ind w:left="0" w:leftChars="0" w:firstLine="420" w:firstLineChars="200"/>
        <w:jc w:val="left"/>
        <w:textAlignment w:val="auto"/>
        <w:outlineLvl w:val="2"/>
        <w:rPr>
          <w:rFonts w:hint="eastAsia" w:ascii="宋体" w:hAnsi="宋体" w:eastAsia="宋体" w:cs="宋体"/>
          <w:b w:val="0"/>
          <w:bCs w:val="0"/>
          <w:sz w:val="21"/>
          <w:szCs w:val="21"/>
        </w:rPr>
      </w:pPr>
      <w:bookmarkStart w:id="2" w:name="_Toc1452"/>
      <w:r>
        <w:rPr>
          <w:rFonts w:hint="eastAsia" w:ascii="宋体" w:hAnsi="宋体" w:eastAsia="宋体" w:cs="宋体"/>
          <w:b w:val="0"/>
          <w:bCs w:val="0"/>
          <w:sz w:val="21"/>
          <w:szCs w:val="21"/>
          <w:lang w:val="en-US" w:eastAsia="zh-CN"/>
        </w:rPr>
        <w:t>4.1</w:t>
      </w:r>
      <w:r>
        <w:rPr>
          <w:rFonts w:hint="eastAsia" w:ascii="宋体" w:hAnsi="宋体" w:eastAsia="宋体" w:cs="宋体"/>
          <w:b w:val="0"/>
          <w:bCs w:val="0"/>
          <w:sz w:val="21"/>
          <w:szCs w:val="21"/>
        </w:rPr>
        <w:t>工程监理服务内容</w:t>
      </w:r>
      <w:bookmarkEnd w:id="2"/>
    </w:p>
    <w:p w14:paraId="1F2B1A16">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按照国家、水利行业现行法律法规、规范标准及项目批复文件，开展全过程施工监理工作，主要包括：</w:t>
      </w:r>
    </w:p>
    <w:p w14:paraId="05D6F499">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①</w:t>
      </w:r>
      <w:r>
        <w:rPr>
          <w:rFonts w:hint="eastAsia" w:ascii="宋体" w:hAnsi="宋体" w:eastAsia="宋体" w:cs="宋体"/>
          <w:sz w:val="21"/>
          <w:szCs w:val="21"/>
        </w:rPr>
        <w:t>施工准备阶段监理：审查施工组织设计、专项施工方案、进度计划、质量安全保证体系、人员设备进场情况，核查开工条件，协助发包人开展开工准备工作</w:t>
      </w:r>
      <w:r>
        <w:rPr>
          <w:rFonts w:hint="eastAsia" w:ascii="宋体" w:hAnsi="宋体" w:eastAsia="宋体" w:cs="宋体"/>
          <w:sz w:val="21"/>
          <w:szCs w:val="21"/>
          <w:lang w:val="en-US" w:eastAsia="zh-CN"/>
        </w:rPr>
        <w:t>等</w:t>
      </w:r>
      <w:r>
        <w:rPr>
          <w:rFonts w:hint="eastAsia" w:ascii="宋体" w:hAnsi="宋体" w:eastAsia="宋体" w:cs="宋体"/>
          <w:sz w:val="21"/>
          <w:szCs w:val="21"/>
        </w:rPr>
        <w:t>。</w:t>
      </w:r>
    </w:p>
    <w:p w14:paraId="258E7185">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②</w:t>
      </w:r>
      <w:r>
        <w:rPr>
          <w:rFonts w:hint="eastAsia" w:ascii="宋体" w:hAnsi="宋体" w:eastAsia="宋体" w:cs="宋体"/>
          <w:sz w:val="21"/>
          <w:szCs w:val="21"/>
        </w:rPr>
        <w:t>施工过程监理：严格落实“四控、两管、一协调”，开展工序验收、隐蔽工程验收、旁站、巡视、平行检验；对工程质量、施工进度、工程投资、安全生产、文明施工、水土保持、环境保护进行全过程管控；及时处理施工过程技术、质量、进度、协调问题</w:t>
      </w:r>
      <w:r>
        <w:rPr>
          <w:rFonts w:hint="eastAsia" w:ascii="宋体" w:hAnsi="宋体" w:eastAsia="宋体" w:cs="宋体"/>
          <w:sz w:val="21"/>
          <w:szCs w:val="21"/>
          <w:lang w:val="en-US" w:eastAsia="zh-CN"/>
        </w:rPr>
        <w:t>等</w:t>
      </w:r>
      <w:r>
        <w:rPr>
          <w:rFonts w:hint="eastAsia" w:ascii="宋体" w:hAnsi="宋体" w:eastAsia="宋体" w:cs="宋体"/>
          <w:sz w:val="21"/>
          <w:szCs w:val="21"/>
        </w:rPr>
        <w:t>。</w:t>
      </w:r>
    </w:p>
    <w:p w14:paraId="3A8B077C">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③</w:t>
      </w:r>
      <w:r>
        <w:rPr>
          <w:rFonts w:hint="eastAsia" w:ascii="宋体" w:hAnsi="宋体" w:eastAsia="宋体" w:cs="宋体"/>
          <w:sz w:val="21"/>
          <w:szCs w:val="21"/>
        </w:rPr>
        <w:t>合同与信息管理：负责工程合同管理、资料管理、工程变更、签证审核、现场计量核实、进度款审核、工程隐患整改督办等工作</w:t>
      </w:r>
      <w:r>
        <w:rPr>
          <w:rFonts w:hint="eastAsia" w:ascii="宋体" w:hAnsi="宋体" w:eastAsia="宋体" w:cs="宋体"/>
          <w:sz w:val="21"/>
          <w:szCs w:val="21"/>
          <w:lang w:val="en-US" w:eastAsia="zh-CN"/>
        </w:rPr>
        <w:t>等</w:t>
      </w:r>
      <w:r>
        <w:rPr>
          <w:rFonts w:hint="eastAsia" w:ascii="宋体" w:hAnsi="宋体" w:eastAsia="宋体" w:cs="宋体"/>
          <w:sz w:val="21"/>
          <w:szCs w:val="21"/>
        </w:rPr>
        <w:t>。</w:t>
      </w:r>
    </w:p>
    <w:p w14:paraId="791363E2">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④</w:t>
      </w:r>
      <w:r>
        <w:rPr>
          <w:rFonts w:hint="eastAsia" w:ascii="宋体" w:hAnsi="宋体" w:eastAsia="宋体" w:cs="宋体"/>
          <w:sz w:val="21"/>
          <w:szCs w:val="21"/>
        </w:rPr>
        <w:t>验收及资料管理：参与分部、单元、完工验收，全过程指导施工单位资料整编，完成监理资料收集、整理、编制、归档、移交</w:t>
      </w:r>
      <w:r>
        <w:rPr>
          <w:rFonts w:hint="eastAsia" w:ascii="宋体" w:hAnsi="宋体" w:eastAsia="宋体" w:cs="宋体"/>
          <w:sz w:val="21"/>
          <w:szCs w:val="21"/>
          <w:lang w:val="en-US" w:eastAsia="zh-CN"/>
        </w:rPr>
        <w:t>等</w:t>
      </w:r>
      <w:r>
        <w:rPr>
          <w:rFonts w:hint="eastAsia" w:ascii="宋体" w:hAnsi="宋体" w:eastAsia="宋体" w:cs="宋体"/>
          <w:sz w:val="21"/>
          <w:szCs w:val="21"/>
        </w:rPr>
        <w:t>。</w:t>
      </w:r>
    </w:p>
    <w:p w14:paraId="2FC29770">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⑤</w:t>
      </w:r>
      <w:r>
        <w:rPr>
          <w:rFonts w:hint="eastAsia" w:ascii="宋体" w:hAnsi="宋体" w:eastAsia="宋体" w:cs="宋体"/>
          <w:sz w:val="21"/>
          <w:szCs w:val="21"/>
        </w:rPr>
        <w:t>缺陷责任期监理：对工程缺陷问题进行巡查、核查、督促整改，参与缺陷责任期验收，完成全部收尾监理工作</w:t>
      </w:r>
      <w:r>
        <w:rPr>
          <w:rFonts w:hint="eastAsia" w:ascii="宋体" w:hAnsi="宋体" w:eastAsia="宋体" w:cs="宋体"/>
          <w:sz w:val="21"/>
          <w:szCs w:val="21"/>
          <w:lang w:val="en-US" w:eastAsia="zh-CN"/>
        </w:rPr>
        <w:t>等</w:t>
      </w:r>
      <w:r>
        <w:rPr>
          <w:rFonts w:hint="eastAsia" w:ascii="宋体" w:hAnsi="宋体" w:eastAsia="宋体" w:cs="宋体"/>
          <w:sz w:val="21"/>
          <w:szCs w:val="21"/>
        </w:rPr>
        <w:t>。</w:t>
      </w:r>
    </w:p>
    <w:p w14:paraId="29DB3A56">
      <w:pPr>
        <w:keepNext w:val="0"/>
        <w:keepLines w:val="0"/>
        <w:pageBreakBefore w:val="0"/>
        <w:kinsoku/>
        <w:wordWrap/>
        <w:overflowPunct/>
        <w:topLinePunct w:val="0"/>
        <w:autoSpaceDN/>
        <w:bidi w:val="0"/>
        <w:spacing w:line="360" w:lineRule="auto"/>
        <w:ind w:left="0" w:leftChars="0" w:firstLine="420" w:firstLineChars="200"/>
        <w:jc w:val="left"/>
        <w:textAlignment w:val="auto"/>
        <w:outlineLvl w:val="2"/>
        <w:rPr>
          <w:rFonts w:hint="eastAsia" w:ascii="宋体" w:hAnsi="宋体" w:eastAsia="宋体" w:cs="宋体"/>
          <w:b w:val="0"/>
          <w:bCs/>
          <w:sz w:val="21"/>
          <w:szCs w:val="21"/>
        </w:rPr>
      </w:pPr>
      <w:bookmarkStart w:id="3" w:name="_Toc23211"/>
      <w:r>
        <w:rPr>
          <w:rFonts w:hint="eastAsia" w:ascii="宋体" w:hAnsi="宋体" w:eastAsia="宋体" w:cs="宋体"/>
          <w:b w:val="0"/>
          <w:bCs/>
          <w:sz w:val="21"/>
          <w:szCs w:val="21"/>
          <w:lang w:val="en-US" w:eastAsia="zh-CN"/>
        </w:rPr>
        <w:t>4.2</w:t>
      </w:r>
      <w:r>
        <w:rPr>
          <w:rFonts w:hint="eastAsia" w:ascii="宋体" w:hAnsi="宋体" w:eastAsia="宋体" w:cs="宋体"/>
          <w:b w:val="0"/>
          <w:bCs/>
          <w:sz w:val="21"/>
          <w:szCs w:val="21"/>
        </w:rPr>
        <w:t>平行检测管理服务内容</w:t>
      </w:r>
      <w:bookmarkEnd w:id="3"/>
    </w:p>
    <w:p w14:paraId="02FF4C38">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①</w:t>
      </w:r>
      <w:r>
        <w:rPr>
          <w:rFonts w:hint="eastAsia" w:ascii="宋体" w:hAnsi="宋体" w:eastAsia="宋体" w:cs="宋体"/>
          <w:sz w:val="21"/>
          <w:szCs w:val="21"/>
        </w:rPr>
        <w:t>负责本项目水利工程平行检测总体策划、检测方案编制、检测项目、检测频次、抽检点位</w:t>
      </w:r>
      <w:r>
        <w:rPr>
          <w:rFonts w:hint="eastAsia" w:ascii="宋体" w:hAnsi="宋体" w:eastAsia="宋体" w:cs="宋体"/>
          <w:sz w:val="21"/>
          <w:szCs w:val="21"/>
          <w:lang w:val="en-US" w:eastAsia="zh-CN"/>
        </w:rPr>
        <w:t>布置等</w:t>
      </w:r>
      <w:r>
        <w:rPr>
          <w:rFonts w:hint="eastAsia" w:ascii="宋体" w:hAnsi="宋体" w:eastAsia="宋体" w:cs="宋体"/>
          <w:sz w:val="21"/>
          <w:szCs w:val="21"/>
        </w:rPr>
        <w:t>工作，严格按照国家、水利行业现行法律法规、规范标准及项目批复文件开展平行检测管理。</w:t>
      </w:r>
    </w:p>
    <w:p w14:paraId="3D2BB688">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②</w:t>
      </w:r>
      <w:r>
        <w:rPr>
          <w:rFonts w:hint="eastAsia" w:ascii="宋体" w:hAnsi="宋体" w:eastAsia="宋体" w:cs="宋体"/>
          <w:sz w:val="21"/>
          <w:szCs w:val="21"/>
        </w:rPr>
        <w:t>对原材料、中间产品、土方填筑、混凝土、护坡工程、堤防工程、穿堤建筑物实体质量</w:t>
      </w:r>
      <w:r>
        <w:rPr>
          <w:rFonts w:hint="eastAsia" w:ascii="宋体" w:hAnsi="宋体" w:eastAsia="宋体" w:cs="宋体"/>
          <w:sz w:val="21"/>
          <w:szCs w:val="21"/>
          <w:lang w:val="en-US" w:eastAsia="zh-CN"/>
        </w:rPr>
        <w:t>等</w:t>
      </w:r>
      <w:r>
        <w:rPr>
          <w:rFonts w:hint="eastAsia" w:ascii="宋体" w:hAnsi="宋体" w:eastAsia="宋体" w:cs="宋体"/>
          <w:sz w:val="21"/>
          <w:szCs w:val="21"/>
        </w:rPr>
        <w:t>开展平行检测管控。</w:t>
      </w:r>
    </w:p>
    <w:p w14:paraId="3DB2A7BF">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③</w:t>
      </w:r>
      <w:r>
        <w:rPr>
          <w:rFonts w:hint="eastAsia" w:ascii="宋体" w:hAnsi="宋体" w:eastAsia="宋体" w:cs="宋体"/>
          <w:b w:val="0"/>
          <w:bCs w:val="0"/>
          <w:color w:val="auto"/>
          <w:sz w:val="21"/>
          <w:szCs w:val="21"/>
          <w:lang w:eastAsia="zh-CN"/>
        </w:rPr>
        <w:t>成交供应商</w:t>
      </w:r>
      <w:r>
        <w:rPr>
          <w:rFonts w:hint="eastAsia" w:ascii="宋体" w:hAnsi="宋体" w:eastAsia="宋体" w:cs="宋体"/>
          <w:b w:val="0"/>
          <w:bCs w:val="0"/>
          <w:color w:val="auto"/>
          <w:sz w:val="21"/>
          <w:szCs w:val="21"/>
          <w:lang w:val="en-US" w:eastAsia="zh-CN"/>
        </w:rPr>
        <w:t>应</w:t>
      </w:r>
      <w:r>
        <w:rPr>
          <w:rFonts w:hint="eastAsia" w:ascii="宋体" w:hAnsi="宋体" w:eastAsia="宋体" w:cs="宋体"/>
          <w:b w:val="0"/>
          <w:bCs w:val="0"/>
          <w:color w:val="auto"/>
          <w:sz w:val="21"/>
          <w:szCs w:val="21"/>
        </w:rPr>
        <w:t>委托具备水利工程质量检测乙级及以上资质+有效CMA资质认定的第三方检测机构实施试验室检测工作</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中标监理单位对平行检测全过程、检测成果真实性、有效性、合规性负总责。</w:t>
      </w:r>
    </w:p>
    <w:p w14:paraId="199103C3">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color w:val="auto"/>
          <w:sz w:val="21"/>
          <w:szCs w:val="21"/>
          <w:lang w:val="en-US" w:eastAsia="zh-CN"/>
        </w:rPr>
        <w:t>④</w:t>
      </w:r>
      <w:r>
        <w:rPr>
          <w:rFonts w:hint="eastAsia" w:ascii="宋体" w:hAnsi="宋体" w:eastAsia="宋体" w:cs="宋体"/>
          <w:color w:val="auto"/>
          <w:sz w:val="21"/>
          <w:szCs w:val="21"/>
        </w:rPr>
        <w:t>建立平行检测台账，对检测数据对比分析，对不合格项及时下达整改通知、闭环管理，按期提交平行检测成果报告、阶段性检测总结、</w:t>
      </w:r>
      <w:r>
        <w:rPr>
          <w:rFonts w:hint="eastAsia" w:ascii="宋体" w:hAnsi="宋体" w:eastAsia="宋体" w:cs="宋体"/>
          <w:sz w:val="21"/>
          <w:szCs w:val="21"/>
        </w:rPr>
        <w:t>完工检测总结</w:t>
      </w:r>
      <w:r>
        <w:rPr>
          <w:rFonts w:hint="eastAsia" w:ascii="宋体" w:hAnsi="宋体" w:eastAsia="宋体" w:cs="宋体"/>
          <w:sz w:val="21"/>
          <w:szCs w:val="21"/>
          <w:lang w:val="en-US" w:eastAsia="zh-CN"/>
        </w:rPr>
        <w:t>等</w:t>
      </w:r>
      <w:r>
        <w:rPr>
          <w:rFonts w:hint="eastAsia" w:ascii="宋体" w:hAnsi="宋体" w:eastAsia="宋体" w:cs="宋体"/>
          <w:sz w:val="21"/>
          <w:szCs w:val="21"/>
        </w:rPr>
        <w:t>。</w:t>
      </w:r>
    </w:p>
    <w:p w14:paraId="70AAF4F1">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sz w:val="21"/>
          <w:szCs w:val="21"/>
          <w:lang w:val="en-US" w:eastAsia="zh-CN"/>
        </w:rPr>
        <w:t>⑤</w:t>
      </w:r>
      <w:r>
        <w:rPr>
          <w:rFonts w:hint="eastAsia" w:ascii="宋体" w:hAnsi="宋体" w:eastAsia="宋体" w:cs="宋体"/>
          <w:sz w:val="21"/>
          <w:szCs w:val="21"/>
        </w:rPr>
        <w:t>负责第三方检测机构进场备案、过程管控、成果审核、资料归档移交等全部管理工作，严禁与施工自检单位存在利害关系。</w:t>
      </w:r>
    </w:p>
    <w:p w14:paraId="045E1510">
      <w:pPr>
        <w:keepNext w:val="0"/>
        <w:keepLines w:val="0"/>
        <w:pageBreakBefore w:val="0"/>
        <w:widowControl/>
        <w:kinsoku/>
        <w:wordWrap/>
        <w:overflowPunct/>
        <w:topLinePunct w:val="0"/>
        <w:autoSpaceDN/>
        <w:bidi w:val="0"/>
        <w:spacing w:line="360" w:lineRule="auto"/>
        <w:ind w:left="0" w:leftChars="0" w:right="0" w:firstLine="420" w:firstLineChars="200"/>
        <w:textAlignment w:val="auto"/>
        <w:rPr>
          <w:rFonts w:hint="eastAsia" w:ascii="宋体" w:hAnsi="宋体" w:eastAsia="宋体" w:cs="宋体"/>
          <w:b w:val="0"/>
          <w:bCs w:val="0"/>
          <w:kern w:val="0"/>
          <w:sz w:val="21"/>
          <w:szCs w:val="21"/>
          <w:u w:val="none"/>
          <w:lang w:val="en-US" w:eastAsia="zh-CN"/>
        </w:rPr>
      </w:pPr>
      <w:r>
        <w:rPr>
          <w:rFonts w:hint="eastAsia" w:ascii="宋体" w:hAnsi="宋体" w:eastAsia="宋体" w:cs="宋体"/>
          <w:b w:val="0"/>
          <w:bCs w:val="0"/>
          <w:kern w:val="0"/>
          <w:sz w:val="21"/>
          <w:szCs w:val="21"/>
          <w:u w:val="none"/>
          <w:lang w:val="en-US" w:eastAsia="zh-CN"/>
        </w:rPr>
        <w:t>5、人员配备要求：</w:t>
      </w:r>
    </w:p>
    <w:p w14:paraId="3A5EEC61">
      <w:pPr>
        <w:keepNext w:val="0"/>
        <w:keepLines w:val="0"/>
        <w:pageBreakBefore w:val="0"/>
        <w:kinsoku/>
        <w:wordWrap/>
        <w:overflowPunct/>
        <w:topLinePunct w:val="0"/>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sz w:val="21"/>
          <w:szCs w:val="21"/>
          <w:lang w:val="en-US" w:eastAsia="zh-CN"/>
        </w:rPr>
        <w:t>5.1</w:t>
      </w:r>
      <w:r>
        <w:rPr>
          <w:rFonts w:hint="eastAsia" w:ascii="宋体" w:hAnsi="宋体" w:eastAsia="宋体" w:cs="宋体"/>
          <w:color w:val="auto"/>
          <w:sz w:val="21"/>
          <w:szCs w:val="21"/>
        </w:rPr>
        <w:t>本项目施工期间，监理部现场驻场人员</w:t>
      </w:r>
      <w:r>
        <w:rPr>
          <w:rFonts w:hint="eastAsia" w:ascii="宋体" w:hAnsi="宋体" w:eastAsia="宋体" w:cs="宋体"/>
          <w:color w:val="auto"/>
          <w:sz w:val="21"/>
          <w:szCs w:val="21"/>
          <w:lang w:val="en-US" w:eastAsia="zh-CN"/>
        </w:rPr>
        <w:t>在满足</w:t>
      </w:r>
      <w:r>
        <w:rPr>
          <w:rFonts w:hint="eastAsia" w:ascii="宋体" w:hAnsi="宋体" w:eastAsia="宋体" w:cs="宋体"/>
          <w:color w:val="auto"/>
          <w:sz w:val="21"/>
          <w:szCs w:val="21"/>
        </w:rPr>
        <w:t>最低配置</w:t>
      </w:r>
      <w:r>
        <w:rPr>
          <w:rFonts w:hint="eastAsia" w:ascii="宋体" w:hAnsi="宋体" w:eastAsia="宋体" w:cs="宋体"/>
          <w:color w:val="auto"/>
          <w:sz w:val="21"/>
          <w:szCs w:val="21"/>
          <w:lang w:val="en-US" w:eastAsia="zh-CN"/>
        </w:rPr>
        <w:t>的基础上，并按照</w:t>
      </w:r>
      <w:r>
        <w:rPr>
          <w:rFonts w:hint="eastAsia" w:ascii="宋体" w:hAnsi="宋体" w:eastAsia="宋体" w:cs="宋体"/>
          <w:color w:val="auto"/>
          <w:sz w:val="21"/>
          <w:szCs w:val="21"/>
        </w:rPr>
        <w:t>建设单位根据现场施工</w:t>
      </w:r>
      <w:r>
        <w:rPr>
          <w:rFonts w:hint="eastAsia" w:ascii="宋体" w:hAnsi="宋体" w:eastAsia="宋体" w:cs="宋体"/>
          <w:color w:val="auto"/>
          <w:sz w:val="21"/>
          <w:szCs w:val="21"/>
          <w:lang w:val="en-US" w:eastAsia="zh-CN"/>
        </w:rPr>
        <w:t>实际要求</w:t>
      </w:r>
      <w:r>
        <w:rPr>
          <w:rFonts w:hint="eastAsia" w:ascii="宋体" w:hAnsi="宋体" w:eastAsia="宋体" w:cs="宋体"/>
          <w:color w:val="auto"/>
          <w:sz w:val="21"/>
          <w:szCs w:val="21"/>
        </w:rPr>
        <w:t>增配专业</w:t>
      </w:r>
      <w:r>
        <w:rPr>
          <w:rFonts w:hint="eastAsia" w:ascii="宋体" w:hAnsi="宋体" w:eastAsia="宋体" w:cs="宋体"/>
          <w:color w:val="auto"/>
          <w:sz w:val="21"/>
          <w:szCs w:val="21"/>
          <w:lang w:val="en-US" w:eastAsia="zh-CN"/>
        </w:rPr>
        <w:t>监理</w:t>
      </w:r>
      <w:r>
        <w:rPr>
          <w:rFonts w:hint="eastAsia" w:ascii="宋体" w:hAnsi="宋体" w:eastAsia="宋体" w:cs="宋体"/>
          <w:color w:val="auto"/>
          <w:sz w:val="21"/>
          <w:szCs w:val="21"/>
        </w:rPr>
        <w:t>人员，满足多点分散施工管控需求。所有人员须为</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在职人员、持证上岗、无在建违规记录，全程接受建设单位及水利质量监督部门考勤管理。</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备注：</w:t>
      </w:r>
      <w:r>
        <w:rPr>
          <w:rFonts w:hint="eastAsia" w:ascii="宋体" w:hAnsi="宋体" w:eastAsia="宋体" w:cs="宋体"/>
          <w:color w:val="auto"/>
          <w:sz w:val="21"/>
          <w:szCs w:val="21"/>
        </w:rPr>
        <w:t>建设单位根据现场施工</w:t>
      </w:r>
      <w:r>
        <w:rPr>
          <w:rFonts w:hint="eastAsia" w:ascii="宋体" w:hAnsi="宋体" w:eastAsia="宋体" w:cs="宋体"/>
          <w:color w:val="auto"/>
          <w:sz w:val="21"/>
          <w:szCs w:val="21"/>
          <w:lang w:val="en-US" w:eastAsia="zh-CN"/>
        </w:rPr>
        <w:t>实际要求成交供应商</w:t>
      </w:r>
      <w:r>
        <w:rPr>
          <w:rFonts w:hint="eastAsia" w:ascii="宋体" w:hAnsi="宋体" w:eastAsia="宋体" w:cs="宋体"/>
          <w:color w:val="auto"/>
          <w:sz w:val="21"/>
          <w:szCs w:val="21"/>
        </w:rPr>
        <w:t>增配专业</w:t>
      </w:r>
      <w:r>
        <w:rPr>
          <w:rFonts w:hint="eastAsia" w:ascii="宋体" w:hAnsi="宋体" w:eastAsia="宋体" w:cs="宋体"/>
          <w:color w:val="auto"/>
          <w:sz w:val="21"/>
          <w:szCs w:val="21"/>
          <w:lang w:val="en-US" w:eastAsia="zh-CN"/>
        </w:rPr>
        <w:t>监理</w:t>
      </w:r>
      <w:r>
        <w:rPr>
          <w:rFonts w:hint="eastAsia" w:ascii="宋体" w:hAnsi="宋体" w:eastAsia="宋体" w:cs="宋体"/>
          <w:color w:val="auto"/>
          <w:sz w:val="21"/>
          <w:szCs w:val="21"/>
        </w:rPr>
        <w:t>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增加人员所有费用均包含在投标报价之内，采购人不再另行支付任何费用</w:t>
      </w:r>
      <w:r>
        <w:rPr>
          <w:rFonts w:hint="eastAsia" w:ascii="宋体" w:hAnsi="宋体" w:eastAsia="宋体" w:cs="宋体"/>
          <w:color w:val="auto"/>
          <w:sz w:val="21"/>
          <w:szCs w:val="21"/>
          <w:lang w:eastAsia="zh-CN"/>
        </w:rPr>
        <w:t>）。</w:t>
      </w:r>
    </w:p>
    <w:p w14:paraId="21A8AE03">
      <w:pPr>
        <w:keepNext w:val="0"/>
        <w:keepLines w:val="0"/>
        <w:pageBreakBefore w:val="0"/>
        <w:widowControl/>
        <w:kinsoku/>
        <w:wordWrap/>
        <w:overflowPunct/>
        <w:topLinePunct w:val="0"/>
        <w:autoSpaceDN/>
        <w:bidi w:val="0"/>
        <w:spacing w:line="360" w:lineRule="auto"/>
        <w:ind w:left="0" w:leftChars="0" w:right="0"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5.2成交供应商拟派的所有技术人员不得随意更换，确需更换的，应当经采购人书面同意。</w:t>
      </w:r>
    </w:p>
    <w:p w14:paraId="2FCC4C26">
      <w:pPr>
        <w:keepNext w:val="0"/>
        <w:keepLines w:val="0"/>
        <w:pageBreakBefore w:val="0"/>
        <w:widowControl/>
        <w:kinsoku/>
        <w:wordWrap/>
        <w:overflowPunct/>
        <w:topLinePunct w:val="0"/>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5.3成交供应商应严格执行各项安全生产责任制度，加强项目实施的组织管理，防范安全生产事故发生，确保无安全事故发生。在项目实施过程中，因服务单位安全管理措施不到位或技术操作不当而产生的任何人身、财物损失与安全事故，损失由服务单位承担一切责任和后果。</w:t>
      </w:r>
    </w:p>
    <w:p w14:paraId="07423354">
      <w:pPr>
        <w:keepNext w:val="0"/>
        <w:keepLines w:val="0"/>
        <w:pageBreakBefore w:val="0"/>
        <w:widowControl/>
        <w:kinsoku/>
        <w:wordWrap/>
        <w:overflowPunct/>
        <w:topLinePunct w:val="0"/>
        <w:autoSpaceDN/>
        <w:bidi w:val="0"/>
        <w:spacing w:line="360" w:lineRule="auto"/>
        <w:ind w:left="0" w:leftChars="0" w:right="0" w:firstLine="420" w:firstLineChars="200"/>
        <w:textAlignment w:val="auto"/>
        <w:rPr>
          <w:rFonts w:hint="eastAsia" w:ascii="宋体" w:hAnsi="宋体" w:eastAsia="宋体" w:cs="宋体"/>
          <w:b w:val="0"/>
          <w:bCs w:val="0"/>
          <w:color w:val="auto"/>
          <w:kern w:val="0"/>
          <w:sz w:val="21"/>
          <w:szCs w:val="21"/>
          <w:highlight w:val="none"/>
          <w:u w:val="none"/>
          <w:lang w:val="en-US" w:eastAsia="zh-CN"/>
        </w:rPr>
      </w:pPr>
      <w:r>
        <w:rPr>
          <w:rFonts w:hint="eastAsia" w:ascii="宋体" w:hAnsi="宋体" w:eastAsia="宋体" w:cs="宋体"/>
          <w:b w:val="0"/>
          <w:bCs w:val="0"/>
          <w:color w:val="auto"/>
          <w:kern w:val="0"/>
          <w:sz w:val="21"/>
          <w:szCs w:val="21"/>
          <w:highlight w:val="none"/>
          <w:u w:val="none"/>
          <w:lang w:val="en-US" w:eastAsia="zh-CN"/>
        </w:rPr>
        <w:t>6、项目实施其他要求</w:t>
      </w:r>
    </w:p>
    <w:p w14:paraId="67C2333C">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6.1</w:t>
      </w:r>
      <w:r>
        <w:rPr>
          <w:rFonts w:hint="eastAsia" w:ascii="宋体" w:hAnsi="宋体" w:eastAsia="宋体" w:cs="宋体"/>
          <w:sz w:val="21"/>
          <w:szCs w:val="21"/>
          <w:lang w:eastAsia="zh-CN"/>
        </w:rPr>
        <w:t>成交供应商</w:t>
      </w:r>
      <w:r>
        <w:rPr>
          <w:rFonts w:hint="eastAsia" w:ascii="宋体" w:hAnsi="宋体" w:eastAsia="宋体" w:cs="宋体"/>
          <w:sz w:val="21"/>
          <w:szCs w:val="21"/>
        </w:rPr>
        <w:t>须在合同签订后7日内完成监理项目部组建、人员进场、办公设施布设、管理制度建立、第三方检测机构备案等全部前期工作。</w:t>
      </w:r>
    </w:p>
    <w:p w14:paraId="51129A94">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6.2</w:t>
      </w:r>
      <w:r>
        <w:rPr>
          <w:rFonts w:hint="eastAsia" w:ascii="宋体" w:hAnsi="宋体" w:eastAsia="宋体" w:cs="宋体"/>
          <w:sz w:val="21"/>
          <w:szCs w:val="21"/>
        </w:rPr>
        <w:t>严格按照监理规范、设计图纸、批复文件、施工方案开展全过程监理及平行检测工作，严格把控工程质量、安全、进度、投资，杜绝质量安全隐患。</w:t>
      </w:r>
    </w:p>
    <w:p w14:paraId="0B2D725B">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6.3</w:t>
      </w:r>
      <w:r>
        <w:rPr>
          <w:rFonts w:hint="eastAsia" w:ascii="宋体" w:hAnsi="宋体" w:eastAsia="宋体" w:cs="宋体"/>
          <w:sz w:val="21"/>
          <w:szCs w:val="21"/>
        </w:rPr>
        <w:t>严格落实临水作业、河道清淤、堤防施工、建筑物改造安全管控，落实防汛度汛、环保施工、水土保持管控措施。</w:t>
      </w:r>
    </w:p>
    <w:p w14:paraId="4BC906F5">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6.4</w:t>
      </w:r>
      <w:r>
        <w:rPr>
          <w:rFonts w:hint="eastAsia" w:ascii="宋体" w:hAnsi="宋体" w:eastAsia="宋体" w:cs="宋体"/>
          <w:sz w:val="21"/>
          <w:szCs w:val="21"/>
        </w:rPr>
        <w:t>及时报送监理日志、月报、旁站记录、检测台账、整改台账、工作总结等全过程资料，资料真实、同步、完整。</w:t>
      </w:r>
    </w:p>
    <w:p w14:paraId="3486180C">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6.5</w:t>
      </w:r>
      <w:r>
        <w:rPr>
          <w:rFonts w:hint="eastAsia" w:ascii="宋体" w:hAnsi="宋体" w:eastAsia="宋体" w:cs="宋体"/>
          <w:sz w:val="21"/>
          <w:szCs w:val="21"/>
        </w:rPr>
        <w:t>积极配合发包人、水利质量监督、稽察、审计、验收等各级检查工作，及时整改问题。</w:t>
      </w:r>
    </w:p>
    <w:p w14:paraId="17DF57FE">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sz w:val="21"/>
          <w:szCs w:val="21"/>
          <w:lang w:val="en-US" w:eastAsia="zh-CN"/>
        </w:rPr>
        <w:t>6.6</w:t>
      </w:r>
      <w:r>
        <w:rPr>
          <w:rFonts w:hint="eastAsia" w:ascii="宋体" w:hAnsi="宋体" w:eastAsia="宋体" w:cs="宋体"/>
          <w:sz w:val="21"/>
          <w:szCs w:val="21"/>
        </w:rPr>
        <w:t>严格执行湖南省水利建设市场信用管理相关规定，规范执业行为，杜绝失信行为。</w:t>
      </w:r>
    </w:p>
    <w:p w14:paraId="2DD168AD">
      <w:pPr>
        <w:keepNext w:val="0"/>
        <w:keepLines w:val="0"/>
        <w:pageBreakBefore w:val="0"/>
        <w:widowControl/>
        <w:shd w:val="clear" w:color="auto" w:fill="auto"/>
        <w:kinsoku/>
        <w:wordWrap/>
        <w:overflowPunct/>
        <w:topLinePunct w:val="0"/>
        <w:autoSpaceDE w:val="0"/>
        <w:autoSpaceDN/>
        <w:bidi w:val="0"/>
        <w:adjustRightInd/>
        <w:snapToGrid/>
        <w:spacing w:line="360" w:lineRule="auto"/>
        <w:ind w:left="0" w:leftChars="0" w:right="0" w:firstLine="422" w:firstLineChars="200"/>
        <w:jc w:val="left"/>
        <w:textAlignment w:val="auto"/>
        <w:rPr>
          <w:rFonts w:hint="eastAsia" w:ascii="宋体" w:hAnsi="宋体" w:eastAsia="宋体" w:cs="宋体"/>
          <w:b/>
          <w:bCs/>
          <w:color w:val="auto"/>
          <w:kern w:val="0"/>
          <w:sz w:val="21"/>
          <w:szCs w:val="21"/>
          <w:u w:val="none"/>
          <w:lang w:val="en-US" w:eastAsia="zh-CN" w:bidi="ar-SA"/>
        </w:rPr>
      </w:pPr>
      <w:r>
        <w:rPr>
          <w:rFonts w:hint="eastAsia" w:ascii="宋体" w:hAnsi="宋体" w:eastAsia="宋体" w:cs="宋体"/>
          <w:b/>
          <w:bCs/>
          <w:color w:val="auto"/>
          <w:kern w:val="0"/>
          <w:sz w:val="21"/>
          <w:szCs w:val="21"/>
          <w:u w:val="none"/>
          <w:lang w:val="en-US" w:eastAsia="zh-CN" w:bidi="ar-SA"/>
        </w:rPr>
        <w:t>7、质量、验收及成果要求：</w:t>
      </w:r>
    </w:p>
    <w:p w14:paraId="3672A15C">
      <w:pPr>
        <w:keepNext w:val="0"/>
        <w:keepLines w:val="0"/>
        <w:pageBreakBefore w:val="0"/>
        <w:widowControl/>
        <w:shd w:val="clear" w:color="auto" w:fill="auto"/>
        <w:kinsoku/>
        <w:wordWrap/>
        <w:overflowPunct/>
        <w:topLinePunct w:val="0"/>
        <w:autoSpaceDE w:val="0"/>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kern w:val="0"/>
          <w:sz w:val="21"/>
          <w:szCs w:val="21"/>
          <w:u w:val="none"/>
          <w:lang w:val="en-US" w:eastAsia="zh-CN" w:bidi="ar-SA"/>
        </w:rPr>
      </w:pPr>
      <w:r>
        <w:rPr>
          <w:rFonts w:hint="eastAsia" w:ascii="宋体" w:hAnsi="宋体" w:eastAsia="宋体" w:cs="宋体"/>
          <w:color w:val="auto"/>
          <w:kern w:val="0"/>
          <w:sz w:val="21"/>
          <w:szCs w:val="21"/>
          <w:u w:val="none"/>
          <w:lang w:val="en-US" w:eastAsia="zh-CN" w:bidi="ar-SA"/>
        </w:rPr>
        <w:t>7.1质量标准：</w:t>
      </w:r>
    </w:p>
    <w:p w14:paraId="525508B2">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7.1.1</w:t>
      </w:r>
      <w:r>
        <w:rPr>
          <w:rFonts w:hint="eastAsia" w:ascii="宋体" w:hAnsi="宋体" w:eastAsia="宋体" w:cs="宋体"/>
          <w:sz w:val="21"/>
          <w:szCs w:val="21"/>
        </w:rPr>
        <w:t>本项目监理服务、平行检测服务必须严格遵循国家、省、市现行水利工程建设</w:t>
      </w:r>
      <w:r>
        <w:rPr>
          <w:rFonts w:hint="eastAsia" w:ascii="宋体" w:hAnsi="宋体" w:eastAsia="宋体" w:cs="宋体"/>
          <w:sz w:val="21"/>
          <w:szCs w:val="21"/>
          <w:lang w:val="en-US" w:eastAsia="zh-CN"/>
        </w:rPr>
        <w:t>监理规定、</w:t>
      </w:r>
      <w:r>
        <w:rPr>
          <w:rFonts w:hint="eastAsia" w:ascii="宋体" w:hAnsi="宋体" w:eastAsia="宋体" w:cs="宋体"/>
          <w:sz w:val="21"/>
          <w:szCs w:val="21"/>
        </w:rPr>
        <w:t>水利工程质量检测管理规</w:t>
      </w:r>
      <w:r>
        <w:rPr>
          <w:rFonts w:hint="eastAsia" w:ascii="宋体" w:hAnsi="宋体" w:eastAsia="宋体" w:cs="宋体"/>
          <w:sz w:val="21"/>
          <w:szCs w:val="21"/>
          <w:lang w:val="en-US" w:eastAsia="zh-CN"/>
        </w:rPr>
        <w:t>定和</w:t>
      </w:r>
      <w:r>
        <w:rPr>
          <w:rFonts w:hint="eastAsia" w:ascii="宋体" w:hAnsi="宋体" w:eastAsia="宋体" w:cs="宋体"/>
          <w:sz w:val="21"/>
          <w:szCs w:val="21"/>
        </w:rPr>
        <w:t>相关法律法规、技术标准、规程规范</w:t>
      </w:r>
      <w:r>
        <w:rPr>
          <w:rFonts w:hint="eastAsia" w:ascii="宋体" w:hAnsi="宋体" w:eastAsia="宋体" w:cs="宋体"/>
          <w:sz w:val="21"/>
          <w:szCs w:val="21"/>
          <w:lang w:eastAsia="zh-CN"/>
        </w:rPr>
        <w:t>。</w:t>
      </w:r>
    </w:p>
    <w:p w14:paraId="017245B7">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7.1.2</w:t>
      </w:r>
      <w:r>
        <w:rPr>
          <w:rFonts w:hint="eastAsia" w:ascii="宋体" w:hAnsi="宋体" w:eastAsia="宋体" w:cs="宋体"/>
          <w:sz w:val="21"/>
          <w:szCs w:val="21"/>
        </w:rPr>
        <w:t>监理服务质量满足工程建设质量监督、竣工验收、项目稽察、审计检查要求，确保本项目工程质量合格，满足设计及规范要求。</w:t>
      </w:r>
    </w:p>
    <w:p w14:paraId="3EEDFA85">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7.1.</w:t>
      </w:r>
      <w:r>
        <w:rPr>
          <w:rFonts w:hint="eastAsia" w:ascii="宋体" w:hAnsi="宋体" w:eastAsia="宋体" w:cs="宋体"/>
          <w:sz w:val="21"/>
          <w:szCs w:val="21"/>
        </w:rPr>
        <w:t>3.平行检测数据真实、准确、完整，检测报告规范有效，可作为工程质量评定、验收依据。</w:t>
      </w:r>
    </w:p>
    <w:p w14:paraId="7E7A8C11">
      <w:pPr>
        <w:keepNext w:val="0"/>
        <w:keepLines w:val="0"/>
        <w:pageBreakBefore w:val="0"/>
        <w:kinsoku/>
        <w:wordWrap/>
        <w:overflowPunct/>
        <w:topLinePunct w:val="0"/>
        <w:autoSpaceDN/>
        <w:bidi w:val="0"/>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7.1.</w:t>
      </w:r>
      <w:r>
        <w:rPr>
          <w:rFonts w:hint="eastAsia" w:ascii="宋体" w:hAnsi="宋体" w:eastAsia="宋体" w:cs="宋体"/>
          <w:sz w:val="21"/>
          <w:szCs w:val="21"/>
        </w:rPr>
        <w:t>4.所有服务成果、资料、报告必须符合水利工程资料整编、归档、验收及移交标准。</w:t>
      </w:r>
    </w:p>
    <w:p w14:paraId="7FD75E6A">
      <w:pPr>
        <w:keepNext w:val="0"/>
        <w:keepLines w:val="0"/>
        <w:pageBreakBefore w:val="0"/>
        <w:widowControl/>
        <w:kinsoku/>
        <w:wordWrap/>
        <w:overflowPunct/>
        <w:topLinePunct w:val="0"/>
        <w:autoSpaceDN/>
        <w:bidi w:val="0"/>
        <w:spacing w:line="360" w:lineRule="auto"/>
        <w:ind w:left="0" w:leftChars="0" w:right="0" w:firstLine="420" w:firstLineChars="200"/>
        <w:textAlignment w:val="auto"/>
        <w:rPr>
          <w:rFonts w:hint="eastAsia" w:ascii="宋体" w:hAnsi="宋体" w:eastAsia="宋体" w:cs="宋体"/>
          <w:color w:val="auto"/>
          <w:kern w:val="0"/>
          <w:sz w:val="21"/>
          <w:szCs w:val="21"/>
          <w:u w:val="none"/>
          <w:lang w:val="en-US" w:eastAsia="zh-CN"/>
        </w:rPr>
      </w:pPr>
      <w:r>
        <w:rPr>
          <w:rFonts w:hint="eastAsia" w:ascii="宋体" w:hAnsi="宋体" w:eastAsia="宋体" w:cs="宋体"/>
          <w:color w:val="auto"/>
          <w:kern w:val="0"/>
          <w:sz w:val="21"/>
          <w:szCs w:val="21"/>
          <w:u w:val="none"/>
          <w:lang w:val="en-US" w:eastAsia="zh-CN"/>
        </w:rPr>
        <w:t>7.2验收要求：</w:t>
      </w:r>
    </w:p>
    <w:p w14:paraId="2BDA3CDA">
      <w:pPr>
        <w:keepNext w:val="0"/>
        <w:keepLines w:val="0"/>
        <w:pageBreakBefore w:val="0"/>
        <w:widowControl/>
        <w:kinsoku/>
        <w:wordWrap/>
        <w:overflowPunct/>
        <w:topLinePunct w:val="0"/>
        <w:autoSpaceDN/>
        <w:bidi w:val="0"/>
        <w:spacing w:line="360" w:lineRule="auto"/>
        <w:ind w:left="0" w:leftChars="0" w:right="0"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u w:val="none"/>
          <w:lang w:val="en-US" w:eastAsia="zh-CN"/>
        </w:rPr>
        <w:t>7.2.</w:t>
      </w:r>
      <w:r>
        <w:rPr>
          <w:rFonts w:hint="eastAsia" w:ascii="宋体" w:hAnsi="宋体" w:eastAsia="宋体" w:cs="宋体"/>
          <w:color w:val="auto"/>
          <w:kern w:val="0"/>
          <w:sz w:val="21"/>
          <w:szCs w:val="21"/>
          <w:highlight w:val="none"/>
          <w:u w:val="none"/>
          <w:lang w:val="en-US" w:eastAsia="zh-CN"/>
        </w:rPr>
        <w:t>1项目验收国家有强制性规定的，按国家规定执行，验收费用由成交人承担。无强制性规定的由采购人组织验收活动，验收报告作为申请付款的凭证之一。</w:t>
      </w:r>
    </w:p>
    <w:p w14:paraId="7E32285C">
      <w:pPr>
        <w:keepNext w:val="0"/>
        <w:keepLines w:val="0"/>
        <w:pageBreakBefore w:val="0"/>
        <w:widowControl/>
        <w:kinsoku/>
        <w:wordWrap/>
        <w:overflowPunct/>
        <w:topLinePunct w:val="0"/>
        <w:autoSpaceDN/>
        <w:bidi w:val="0"/>
        <w:spacing w:line="360" w:lineRule="auto"/>
        <w:ind w:left="0" w:leftChars="0" w:right="0"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7.2.2验收的标准和依据包括本采购项目的竞争性磋商文件、成交人的响应文件、政府采购合同、预算评审书、国家标准及行业要求等。 </w:t>
      </w:r>
    </w:p>
    <w:p w14:paraId="32EB1726">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7.2.3验收过程中对产品质量存在争议，由双方共同委托具备CMA 资质的第三方检验检测机构开展检测鉴定；若协商不成，则由采购人直接委托具备CMA 资质的第三方检验检测机构开展检测鉴定。检测结果作为判定依据。若检测不合格，检测费、样品损耗、拆装运输全部由供应商承担；检测合格，检测费用由采购人承担。</w:t>
      </w:r>
    </w:p>
    <w:p w14:paraId="5F82AEA2">
      <w:pPr>
        <w:keepNext w:val="0"/>
        <w:keepLines w:val="0"/>
        <w:pageBreakBefore w:val="0"/>
        <w:widowControl/>
        <w:kinsoku/>
        <w:wordWrap/>
        <w:overflowPunct/>
        <w:topLinePunct w:val="0"/>
        <w:autoSpaceDN/>
        <w:bidi w:val="0"/>
        <w:spacing w:line="360" w:lineRule="auto"/>
        <w:ind w:left="0" w:leftChars="0" w:right="0" w:firstLine="420" w:firstLineChars="200"/>
        <w:textAlignment w:val="auto"/>
        <w:rPr>
          <w:rFonts w:hint="eastAsia" w:ascii="宋体" w:hAnsi="宋体" w:eastAsia="宋体" w:cs="宋体"/>
          <w:color w:val="auto"/>
          <w:kern w:val="0"/>
          <w:sz w:val="21"/>
          <w:szCs w:val="21"/>
          <w:u w:val="none"/>
          <w:lang w:val="en-US" w:eastAsia="zh-CN"/>
        </w:rPr>
      </w:pPr>
      <w:r>
        <w:rPr>
          <w:rFonts w:hint="eastAsia" w:ascii="宋体" w:hAnsi="宋体" w:eastAsia="宋体" w:cs="宋体"/>
          <w:color w:val="auto"/>
          <w:kern w:val="0"/>
          <w:sz w:val="21"/>
          <w:szCs w:val="21"/>
          <w:highlight w:val="none"/>
          <w:u w:val="none"/>
          <w:lang w:val="en-US" w:eastAsia="zh-CN"/>
        </w:rPr>
        <w:t>7.2.4项目验收不合格，由成交人返工直至合格，有关返工、再行验收，以及给采购人造成的损失等费用由成交人承担。</w:t>
      </w:r>
    </w:p>
    <w:p w14:paraId="496CA77C">
      <w:pPr>
        <w:keepNext w:val="0"/>
        <w:keepLines w:val="0"/>
        <w:pageBreakBefore w:val="0"/>
        <w:widowControl/>
        <w:kinsoku/>
        <w:wordWrap/>
        <w:overflowPunct/>
        <w:topLinePunct w:val="0"/>
        <w:autoSpaceDN/>
        <w:bidi w:val="0"/>
        <w:spacing w:line="360" w:lineRule="auto"/>
        <w:ind w:left="0" w:leftChars="0" w:right="0" w:firstLine="422" w:firstLineChars="200"/>
        <w:textAlignment w:val="auto"/>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三、结算付款方式及条件：</w:t>
      </w:r>
    </w:p>
    <w:p w14:paraId="54AF2A73">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kern w:val="0"/>
          <w:sz w:val="21"/>
          <w:szCs w:val="21"/>
          <w:u w:val="none"/>
          <w:lang w:val="en-US" w:eastAsia="zh-CN" w:bidi="ar-SA"/>
        </w:rPr>
      </w:pPr>
      <w:r>
        <w:rPr>
          <w:rFonts w:hint="eastAsia" w:ascii="宋体" w:hAnsi="宋体" w:eastAsia="宋体" w:cs="宋体"/>
          <w:kern w:val="0"/>
          <w:sz w:val="21"/>
          <w:szCs w:val="21"/>
          <w:u w:val="none"/>
          <w:lang w:val="en-US" w:eastAsia="zh-CN" w:bidi="ar-SA"/>
        </w:rPr>
        <w:t>1、采购人：湘阴县水利局</w:t>
      </w:r>
    </w:p>
    <w:p w14:paraId="47939052">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color w:val="auto"/>
          <w:kern w:val="0"/>
          <w:sz w:val="21"/>
          <w:szCs w:val="21"/>
          <w:u w:val="none"/>
          <w:lang w:val="en-US" w:eastAsia="zh-CN" w:bidi="ar-SA"/>
        </w:rPr>
      </w:pPr>
      <w:r>
        <w:rPr>
          <w:rFonts w:hint="eastAsia" w:ascii="宋体" w:hAnsi="宋体" w:eastAsia="宋体" w:cs="宋体"/>
          <w:color w:val="auto"/>
          <w:kern w:val="0"/>
          <w:sz w:val="21"/>
          <w:szCs w:val="21"/>
          <w:u w:val="none"/>
          <w:lang w:val="en-US" w:eastAsia="zh-CN" w:bidi="ar-SA"/>
        </w:rPr>
        <w:t>2、付款方式及条件：支持不低于10%的预付款比例，具体方式由成交供应商与采购人在合同中自行约定。</w:t>
      </w:r>
    </w:p>
    <w:p w14:paraId="1B7C57B6">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kern w:val="0"/>
          <w:sz w:val="21"/>
          <w:szCs w:val="21"/>
          <w:u w:val="none"/>
          <w:lang w:val="en-US" w:eastAsia="zh-CN" w:bidi="ar-SA"/>
        </w:rPr>
      </w:pPr>
      <w:r>
        <w:rPr>
          <w:rFonts w:hint="eastAsia" w:ascii="宋体" w:hAnsi="宋体" w:eastAsia="宋体" w:cs="宋体"/>
          <w:color w:val="auto"/>
          <w:kern w:val="0"/>
          <w:sz w:val="21"/>
          <w:szCs w:val="21"/>
          <w:u w:val="none"/>
          <w:lang w:val="en-US" w:eastAsia="zh-CN" w:bidi="ar-SA"/>
        </w:rPr>
        <w:t>3、本项目合同定价方式为：固定总价。供应商的投标报价应包括为完成本</w:t>
      </w:r>
      <w:r>
        <w:rPr>
          <w:rFonts w:hint="eastAsia" w:ascii="宋体" w:hAnsi="宋体" w:eastAsia="宋体" w:cs="宋体"/>
          <w:kern w:val="0"/>
          <w:sz w:val="21"/>
          <w:szCs w:val="21"/>
          <w:u w:val="none"/>
          <w:lang w:val="en-US" w:eastAsia="zh-CN" w:bidi="ar-SA"/>
        </w:rPr>
        <w:t>项目所要求的全部内容可能发生的费用（含：人工、材料、机械、管理费、利润、规费、税费、验收及售后服务等所有费用。如一旦成交，在项目实施中出现任何遗漏，均由投标人免费提供，采购人不再支付任何费用。</w:t>
      </w:r>
    </w:p>
    <w:p w14:paraId="38AACE22">
      <w:pPr>
        <w:keepNext w:val="0"/>
        <w:keepLines w:val="0"/>
        <w:pageBreakBefore w:val="0"/>
        <w:widowControl w:val="0"/>
        <w:kinsoku/>
        <w:wordWrap/>
        <w:overflowPunct/>
        <w:topLinePunct w:val="0"/>
        <w:autoSpaceDE/>
        <w:autoSpaceDN/>
        <w:bidi w:val="0"/>
        <w:adjustRightInd/>
        <w:snapToGrid/>
        <w:spacing w:line="360" w:lineRule="auto"/>
        <w:ind w:left="0" w:leftChars="0" w:right="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四、其他说明</w:t>
      </w:r>
    </w:p>
    <w:p w14:paraId="7B2112FE">
      <w:pPr>
        <w:keepNext w:val="0"/>
        <w:keepLines w:val="0"/>
        <w:pageBreakBefore w:val="0"/>
        <w:widowControl/>
        <w:kinsoku/>
        <w:wordWrap/>
        <w:overflowPunct/>
        <w:topLinePunct w:val="0"/>
        <w:autoSpaceDE/>
        <w:autoSpaceDN/>
        <w:bidi w:val="0"/>
        <w:adjustRightInd/>
        <w:snapToGrid/>
        <w:spacing w:line="360" w:lineRule="auto"/>
        <w:ind w:left="0" w:leftChars="0" w:right="0" w:firstLine="420" w:firstLineChars="200"/>
        <w:jc w:val="left"/>
        <w:textAlignment w:val="auto"/>
        <w:rPr>
          <w:rFonts w:hint="eastAsia" w:ascii="宋体" w:hAnsi="宋体" w:eastAsia="宋体" w:cs="宋体"/>
          <w:kern w:val="0"/>
          <w:sz w:val="21"/>
          <w:szCs w:val="21"/>
          <w:u w:val="none"/>
          <w:lang w:val="en-US" w:eastAsia="zh-CN" w:bidi="ar-SA"/>
        </w:rPr>
      </w:pPr>
      <w:r>
        <w:rPr>
          <w:rFonts w:hint="eastAsia" w:ascii="宋体" w:hAnsi="宋体" w:eastAsia="宋体" w:cs="宋体"/>
          <w:kern w:val="0"/>
          <w:sz w:val="21"/>
          <w:szCs w:val="21"/>
          <w:u w:val="none"/>
          <w:lang w:val="en-US" w:eastAsia="zh-CN" w:bidi="ar-SA"/>
        </w:rPr>
        <w:t>1、本项目不组织踏勘现场，供应商在磋商前，如需踏勘现场，有关费用自理，踏勘期间发生的意外自负。</w:t>
      </w:r>
    </w:p>
    <w:p w14:paraId="64806FDA">
      <w:pPr>
        <w:keepNext w:val="0"/>
        <w:keepLines w:val="0"/>
        <w:pageBreakBefore w:val="0"/>
        <w:widowControl/>
        <w:kinsoku/>
        <w:wordWrap/>
        <w:overflowPunct/>
        <w:topLinePunct w:val="0"/>
        <w:autoSpaceDE/>
        <w:autoSpaceDN/>
        <w:bidi w:val="0"/>
        <w:adjustRightInd/>
        <w:snapToGrid/>
        <w:spacing w:line="360" w:lineRule="auto"/>
        <w:ind w:leftChars="0" w:right="0" w:firstLine="420" w:firstLineChars="200"/>
        <w:jc w:val="left"/>
        <w:textAlignment w:val="auto"/>
        <w:rPr>
          <w:rFonts w:hint="eastAsia" w:ascii="宋体" w:hAnsi="宋体" w:eastAsia="宋体" w:cs="宋体"/>
          <w:kern w:val="0"/>
          <w:sz w:val="21"/>
          <w:szCs w:val="21"/>
          <w:u w:val="none"/>
          <w:lang w:val="en-US" w:eastAsia="zh-CN" w:bidi="ar-SA"/>
        </w:rPr>
      </w:pPr>
      <w:r>
        <w:rPr>
          <w:rFonts w:hint="eastAsia" w:ascii="宋体" w:hAnsi="宋体" w:eastAsia="宋体" w:cs="宋体"/>
          <w:kern w:val="0"/>
          <w:sz w:val="21"/>
          <w:szCs w:val="21"/>
          <w:u w:val="none"/>
          <w:lang w:val="en-US" w:eastAsia="zh-CN" w:bidi="ar-SA"/>
        </w:rPr>
        <w:t>★2、对于项目上述要求的所有条款均为实质性要求。供应商应在响应文件中进行回应，作出承诺及说明。</w:t>
      </w:r>
    </w:p>
    <w:p w14:paraId="65E63269">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right="0" w:rightChars="0" w:firstLine="420" w:firstLineChars="200"/>
        <w:jc w:val="left"/>
        <w:textAlignment w:val="auto"/>
        <w:rPr>
          <w:rFonts w:hint="eastAsia" w:ascii="宋体" w:hAnsi="宋体" w:eastAsia="宋体" w:cs="宋体"/>
          <w:kern w:val="0"/>
          <w:sz w:val="21"/>
          <w:szCs w:val="21"/>
          <w:u w:val="none"/>
          <w:lang w:val="en-US" w:eastAsia="zh-CN" w:bidi="ar-SA"/>
        </w:rPr>
      </w:pPr>
      <w:r>
        <w:rPr>
          <w:rFonts w:hint="eastAsia" w:ascii="宋体" w:hAnsi="宋体" w:eastAsia="宋体" w:cs="宋体"/>
          <w:kern w:val="0"/>
          <w:sz w:val="21"/>
          <w:szCs w:val="21"/>
          <w:u w:val="none"/>
          <w:lang w:val="en-US" w:eastAsia="zh-CN" w:bidi="ar-SA"/>
        </w:rPr>
        <w:t>3、其他未尽事宜，由采购人与供应商双方协商在合同中约定。</w:t>
      </w:r>
    </w:p>
    <w:p w14:paraId="54C975AF">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right="0" w:rightChars="0"/>
        <w:jc w:val="left"/>
        <w:textAlignment w:val="auto"/>
        <w:rPr>
          <w:rFonts w:hint="eastAsia" w:ascii="宋体" w:hAnsi="宋体" w:eastAsia="宋体" w:cs="宋体"/>
          <w:kern w:val="0"/>
          <w:sz w:val="21"/>
          <w:szCs w:val="21"/>
          <w:u w:val="none"/>
          <w:lang w:val="en-US" w:eastAsia="zh-CN" w:bidi="ar-SA"/>
        </w:rPr>
      </w:pPr>
    </w:p>
    <w:p w14:paraId="70A866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23AF8D"/>
    <w:multiLevelType w:val="singleLevel"/>
    <w:tmpl w:val="2E23AF8D"/>
    <w:lvl w:ilvl="0" w:tentative="0">
      <w:start w:val="1"/>
      <w:numFmt w:val="chineseCounting"/>
      <w:suff w:val="nothing"/>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413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widowControl w:val="0"/>
      <w:jc w:val="center"/>
      <w:outlineLvl w:val="0"/>
    </w:pPr>
    <w:rPr>
      <w:rFonts w:ascii="Cambria" w:hAnsi="Cambria" w:eastAsia="宋体" w:cs="Times New Roman"/>
      <w:b/>
      <w:bCs/>
      <w:kern w:val="32"/>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正文_19"/>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2026-09-09T06:46:26Z</dcterms:created>
  <dc:creator>Lenovo</dc:creator>
  <cp:lastModifiedBy>Lenovo</cp:lastModifiedBy>
  <dcterms:modified xsi:type="dcterms:W3CDTF">2026-09-09T06:47:06Z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eyJoZGlkIjoiYjJjNDQ4NjhjNmQ3ZDc3YjVhNzEzNmJhNWNhYjQyZWQiLCJ1c2VySWQiOiI1NjQ0NjU0OTAifQ==</vt:lpwstr>
  </property>
  <property fmtid="{D5CDD505-2E9C-101B-9397-08002B2CF9AE}" pid="4" name="ICV">
    <vt:lpwstr>552751607ECB442DBF71AA50EE7E7EDF_12</vt:lpwstr>
  </property>
</Properties>
</file>