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A222B">
      <w:pPr>
        <w:pStyle w:val="22"/>
        <w:adjustRightInd w:val="0"/>
        <w:snapToGrid w:val="0"/>
        <w:spacing w:line="240" w:lineRule="atLeast"/>
        <w:jc w:val="center"/>
        <w:rPr>
          <w:rFonts w:hAnsi="宋体" w:cs="宋体"/>
        </w:rPr>
      </w:pPr>
      <w:r>
        <w:rPr>
          <w:rFonts w:hint="eastAsia" w:ascii="Times New Roman" w:hAnsi="宋体" w:cs="宋体"/>
          <w:b/>
          <w:bCs/>
          <w:sz w:val="84"/>
          <w:szCs w:val="84"/>
        </w:rPr>
        <mc:AlternateContent>
          <mc:Choice Requires="wpg">
            <w:drawing>
              <wp:anchor distT="0" distB="0" distL="114300" distR="114300" simplePos="0" relativeHeight="251662336" behindDoc="0" locked="0" layoutInCell="1" allowOverlap="1">
                <wp:simplePos x="0" y="0"/>
                <wp:positionH relativeFrom="column">
                  <wp:posOffset>-259080</wp:posOffset>
                </wp:positionH>
                <wp:positionV relativeFrom="paragraph">
                  <wp:posOffset>-158750</wp:posOffset>
                </wp:positionV>
                <wp:extent cx="2190750" cy="1163320"/>
                <wp:effectExtent l="0" t="0" r="0" b="17780"/>
                <wp:wrapNone/>
                <wp:docPr id="12" name="组合 12"/>
                <wp:cNvGraphicFramePr/>
                <a:graphic xmlns:a="http://schemas.openxmlformats.org/drawingml/2006/main">
                  <a:graphicData uri="http://schemas.microsoft.com/office/word/2010/wordprocessingGroup">
                    <wpg:wgp>
                      <wpg:cNvGrpSpPr/>
                      <wpg:grpSpPr>
                        <a:xfrm>
                          <a:off x="0" y="0"/>
                          <a:ext cx="2190750" cy="1163320"/>
                          <a:chOff x="0" y="0"/>
                          <a:chExt cx="3420" cy="1872"/>
                        </a:xfrm>
                      </wpg:grpSpPr>
                      <pic:pic xmlns:pic="http://schemas.openxmlformats.org/drawingml/2006/picture">
                        <pic:nvPicPr>
                          <pic:cNvPr id="9" name="图片 3" descr="1792896701451266796312"/>
                          <pic:cNvPicPr>
                            <a:picLocks noChangeAspect="1"/>
                          </pic:cNvPicPr>
                        </pic:nvPicPr>
                        <pic:blipFill>
                          <a:blip r:embed="rId15"/>
                          <a:stretch>
                            <a:fillRect/>
                          </a:stretch>
                        </pic:blipFill>
                        <pic:spPr>
                          <a:xfrm>
                            <a:off x="0" y="0"/>
                            <a:ext cx="1980" cy="1476"/>
                          </a:xfrm>
                          <a:prstGeom prst="rect">
                            <a:avLst/>
                          </a:prstGeom>
                          <a:noFill/>
                          <a:ln>
                            <a:noFill/>
                          </a:ln>
                        </pic:spPr>
                      </pic:pic>
                      <wps:wsp>
                        <wps:cNvPr id="11" name="矩形 11"/>
                        <wps:cNvSpPr/>
                        <wps:spPr>
                          <a:xfrm>
                            <a:off x="180" y="1248"/>
                            <a:ext cx="3240" cy="624"/>
                          </a:xfrm>
                          <a:prstGeom prst="rect">
                            <a:avLst/>
                          </a:prstGeom>
                          <a:solidFill>
                            <a:srgbClr val="FFFFFF"/>
                          </a:solidFill>
                          <a:ln>
                            <a:noFill/>
                          </a:ln>
                        </wps:spPr>
                        <wps:txbx>
                          <w:txbxContent>
                            <w:p w14:paraId="01228DB9">
                              <w:pPr>
                                <w:spacing w:line="320" w:lineRule="exact"/>
                                <w:rPr>
                                  <w:rFonts w:ascii="黑体" w:eastAsia="黑体"/>
                                  <w:b/>
                                  <w:spacing w:val="40"/>
                                  <w:sz w:val="24"/>
                                </w:rPr>
                              </w:pPr>
                              <w:r>
                                <w:rPr>
                                  <w:rFonts w:hint="eastAsia" w:ascii="黑体" w:eastAsia="黑体"/>
                                  <w:b/>
                                  <w:spacing w:val="40"/>
                                  <w:sz w:val="24"/>
                                </w:rPr>
                                <w:t>湖南浦建招标有限公司</w:t>
                              </w:r>
                            </w:p>
                            <w:p w14:paraId="7568E15F">
                              <w:pPr>
                                <w:spacing w:line="320" w:lineRule="exact"/>
                                <w:rPr>
                                  <w:rFonts w:ascii="黑体" w:eastAsia="黑体"/>
                                  <w:b/>
                                  <w:sz w:val="24"/>
                                </w:rPr>
                              </w:pPr>
                              <w:r>
                                <w:rPr>
                                  <w:rFonts w:hint="eastAsia" w:ascii="黑体" w:eastAsia="黑体"/>
                                  <w:b/>
                                  <w:sz w:val="24"/>
                                </w:rPr>
                                <w:t>HuNanPuJianTenderCo.,Ltd</w:t>
                              </w:r>
                            </w:p>
                          </w:txbxContent>
                        </wps:txbx>
                        <wps:bodyPr lIns="0" tIns="0" rIns="0" bIns="0" upright="1"/>
                      </wps:wsp>
                    </wpg:wgp>
                  </a:graphicData>
                </a:graphic>
              </wp:anchor>
            </w:drawing>
          </mc:Choice>
          <mc:Fallback>
            <w:pict>
              <v:group id="_x0000_s1026" o:spid="_x0000_s1026" o:spt="203" style="position:absolute;left:0pt;margin-left:-20.4pt;margin-top:-12.5pt;height:91.6pt;width:172.5pt;z-index:251662336;mso-width-relative:page;mso-height-relative:page;" coordsize="3420,1872" o:gfxdata="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">
                <o:lock v:ext="edit" aspectratio="f"/>
                <v:shape id="图片 3" o:spid="_x0000_s1026" o:spt="75" alt="1792896701451266796312" type="#_x0000_t75" style="position:absolute;left:0;top:0;height:1476;width:1980;" filled="f" o:preferrelative="t" stroked="f" coordsize="21600,21600" o:gfxdata="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zjevAtwAAANoAAAAP&#10;AAAAAAAAAAEAIAAAACIAAABkcnMvZG93bnJldi54bWxQSwECFAAUAAAACACHTuJAMy8FnjsAAAA5&#10;AAAAEAAAAAAAAAABACAAAAAGAQAAZHJzL3NoYXBleG1sLnhtbFBLBQYAAAAABgAGAFsBAACwAwAA&#10;AAA=&#10;">
                  <v:fill on="f" focussize="0,0"/>
                  <v:stroke on="f"/>
                  <v:imagedata r:id="rId15" o:title=""/>
                  <o:lock v:ext="edit" aspectratio="t"/>
                </v:shape>
                <v:rect id="_x0000_s1026" o:spid="_x0000_s1026" o:spt="1" style="position:absolute;left:180;top:1248;height:624;width:3240;" fillcolor="#FFFFFF" filled="t" stroked="f" coordsize="21600,21600" o:gfxdata="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ZIIOO5AAAA2wAA&#10;AA8AAAAAAAAAAQAgAAAAIgAAAGRycy9kb3ducmV2LnhtbFBLAQIUABQAAAAIAIdO4kAzLwWeOwAA&#10;ADkAAAAQAAAAAAAAAAEAIAAAAAgBAABkcnMvc2hhcGV4bWwueG1sUEsFBgAAAAAGAAYAWwEAALID&#10;AAAAAA==&#10;">
                  <v:fill on="t" focussize="0,0"/>
                  <v:stroke on="f"/>
                  <v:imagedata o:title=""/>
                  <o:lock v:ext="edit" aspectratio="f"/>
                  <v:textbox inset="0mm,0mm,0mm,0mm">
                    <w:txbxContent>
                      <w:p w14:paraId="01228DB9">
                        <w:pPr>
                          <w:spacing w:line="320" w:lineRule="exact"/>
                          <w:rPr>
                            <w:rFonts w:ascii="黑体" w:eastAsia="黑体"/>
                            <w:b/>
                            <w:spacing w:val="40"/>
                            <w:sz w:val="24"/>
                          </w:rPr>
                        </w:pPr>
                        <w:r>
                          <w:rPr>
                            <w:rFonts w:hint="eastAsia" w:ascii="黑体" w:eastAsia="黑体"/>
                            <w:b/>
                            <w:spacing w:val="40"/>
                            <w:sz w:val="24"/>
                          </w:rPr>
                          <w:t>湖南浦建招标有限公司</w:t>
                        </w:r>
                      </w:p>
                      <w:p w14:paraId="7568E15F">
                        <w:pPr>
                          <w:spacing w:line="320" w:lineRule="exact"/>
                          <w:rPr>
                            <w:rFonts w:ascii="黑体" w:eastAsia="黑体"/>
                            <w:b/>
                            <w:sz w:val="24"/>
                          </w:rPr>
                        </w:pPr>
                        <w:r>
                          <w:rPr>
                            <w:rFonts w:hint="eastAsia" w:ascii="黑体" w:eastAsia="黑体"/>
                            <w:b/>
                            <w:sz w:val="24"/>
                          </w:rPr>
                          <w:t>HuNanPuJianTenderCo.,Ltd</w:t>
                        </w:r>
                      </w:p>
                    </w:txbxContent>
                  </v:textbox>
                </v:rect>
              </v:group>
            </w:pict>
          </mc:Fallback>
        </mc:AlternateContent>
      </w:r>
    </w:p>
    <w:p w14:paraId="070A0295">
      <w:pPr>
        <w:pStyle w:val="22"/>
        <w:adjustRightInd w:val="0"/>
        <w:snapToGrid w:val="0"/>
        <w:spacing w:line="240" w:lineRule="atLeast"/>
        <w:jc w:val="center"/>
        <w:rPr>
          <w:rFonts w:hAnsi="宋体" w:cs="宋体"/>
        </w:rPr>
      </w:pPr>
    </w:p>
    <w:p w14:paraId="6D06DC87">
      <w:pPr>
        <w:pStyle w:val="22"/>
        <w:adjustRightInd w:val="0"/>
        <w:snapToGrid w:val="0"/>
        <w:spacing w:line="240" w:lineRule="atLeast"/>
        <w:jc w:val="center"/>
        <w:rPr>
          <w:rFonts w:hAnsi="宋体" w:cs="宋体"/>
        </w:rPr>
      </w:pPr>
    </w:p>
    <w:p w14:paraId="0D058E37">
      <w:pPr>
        <w:pStyle w:val="22"/>
        <w:adjustRightInd w:val="0"/>
        <w:snapToGrid w:val="0"/>
        <w:spacing w:line="240" w:lineRule="atLeast"/>
        <w:jc w:val="center"/>
        <w:rPr>
          <w:rFonts w:hAnsi="宋体" w:cs="宋体"/>
          <w:b/>
          <w:bCs/>
          <w:sz w:val="84"/>
          <w:szCs w:val="84"/>
        </w:rPr>
      </w:pPr>
    </w:p>
    <w:p w14:paraId="188FDD8A">
      <w:pPr>
        <w:pStyle w:val="22"/>
        <w:adjustRightInd w:val="0"/>
        <w:snapToGrid w:val="0"/>
        <w:spacing w:line="240" w:lineRule="atLeast"/>
        <w:jc w:val="center"/>
        <w:rPr>
          <w:rFonts w:hAnsi="宋体" w:cs="宋体"/>
          <w:b/>
          <w:bCs/>
          <w:sz w:val="96"/>
          <w:szCs w:val="96"/>
        </w:rPr>
      </w:pPr>
    </w:p>
    <w:p w14:paraId="215ABB9A">
      <w:pPr>
        <w:pStyle w:val="22"/>
        <w:adjustRightInd w:val="0"/>
        <w:snapToGrid w:val="0"/>
        <w:spacing w:line="240" w:lineRule="atLeast"/>
        <w:jc w:val="center"/>
        <w:rPr>
          <w:rFonts w:hAnsi="宋体" w:cs="宋体"/>
          <w:b/>
          <w:bCs/>
          <w:sz w:val="96"/>
          <w:szCs w:val="96"/>
        </w:rPr>
      </w:pPr>
      <w:r>
        <w:rPr>
          <w:rFonts w:hint="eastAsia" w:hAnsi="宋体" w:cs="宋体"/>
          <w:b/>
          <w:bCs/>
          <w:sz w:val="96"/>
          <w:szCs w:val="96"/>
        </w:rPr>
        <w:t>政府采购</w:t>
      </w:r>
    </w:p>
    <w:p w14:paraId="6AC158FE">
      <w:pPr>
        <w:pStyle w:val="22"/>
        <w:adjustRightInd w:val="0"/>
        <w:snapToGrid w:val="0"/>
        <w:spacing w:line="240" w:lineRule="atLeast"/>
        <w:jc w:val="center"/>
        <w:rPr>
          <w:rFonts w:hAnsi="宋体" w:cs="宋体"/>
          <w:b/>
          <w:bCs/>
          <w:sz w:val="96"/>
          <w:szCs w:val="96"/>
        </w:rPr>
      </w:pPr>
      <w:r>
        <w:rPr>
          <w:rFonts w:hint="eastAsia" w:hAnsi="宋体" w:cs="宋体"/>
          <w:b/>
          <w:bCs/>
          <w:sz w:val="96"/>
          <w:szCs w:val="96"/>
        </w:rPr>
        <w:t>公开招标文件</w:t>
      </w:r>
    </w:p>
    <w:p w14:paraId="19385296">
      <w:pPr>
        <w:pStyle w:val="22"/>
        <w:adjustRightInd w:val="0"/>
        <w:snapToGrid w:val="0"/>
        <w:spacing w:line="240" w:lineRule="atLeast"/>
        <w:jc w:val="center"/>
        <w:rPr>
          <w:rFonts w:hAnsi="宋体" w:cs="宋体"/>
          <w:b/>
          <w:bCs/>
          <w:sz w:val="44"/>
          <w:szCs w:val="44"/>
        </w:rPr>
      </w:pPr>
    </w:p>
    <w:p w14:paraId="258AF8BB">
      <w:pPr>
        <w:pStyle w:val="22"/>
        <w:adjustRightInd w:val="0"/>
        <w:snapToGrid w:val="0"/>
        <w:spacing w:line="240" w:lineRule="atLeast"/>
        <w:jc w:val="center"/>
        <w:rPr>
          <w:rFonts w:hAnsi="宋体" w:cs="宋体"/>
          <w:b/>
          <w:bCs/>
          <w:sz w:val="32"/>
          <w:szCs w:val="32"/>
        </w:rPr>
      </w:pPr>
    </w:p>
    <w:p w14:paraId="215EE4AF">
      <w:pPr>
        <w:pStyle w:val="22"/>
        <w:adjustRightInd w:val="0"/>
        <w:snapToGrid w:val="0"/>
        <w:spacing w:line="240" w:lineRule="atLeast"/>
        <w:jc w:val="center"/>
        <w:rPr>
          <w:rFonts w:hAnsi="宋体" w:cs="宋体"/>
          <w:bCs/>
        </w:rPr>
      </w:pPr>
    </w:p>
    <w:p w14:paraId="60E55B64">
      <w:pPr>
        <w:adjustRightInd w:val="0"/>
        <w:snapToGrid w:val="0"/>
        <w:spacing w:line="360" w:lineRule="auto"/>
        <w:ind w:firstLine="1124" w:firstLineChars="350"/>
        <w:rPr>
          <w:rFonts w:ascii="宋体" w:hAnsi="宋体" w:cs="宋体"/>
          <w:b/>
          <w:sz w:val="32"/>
          <w:szCs w:val="32"/>
        </w:rPr>
      </w:pPr>
    </w:p>
    <w:p w14:paraId="683B54AA">
      <w:pPr>
        <w:adjustRightInd w:val="0"/>
        <w:snapToGrid w:val="0"/>
        <w:spacing w:line="700" w:lineRule="exact"/>
        <w:ind w:firstLine="1285" w:firstLineChars="400"/>
        <w:rPr>
          <w:rFonts w:hint="eastAsia" w:ascii="宋体" w:hAnsi="宋体" w:eastAsia="宋体" w:cs="宋体"/>
          <w:bCs/>
          <w:sz w:val="32"/>
          <w:szCs w:val="32"/>
          <w:highlight w:val="yellow"/>
          <w:lang w:eastAsia="zh-CN"/>
        </w:rPr>
      </w:pPr>
      <w:r>
        <w:rPr>
          <w:rFonts w:hint="eastAsia" w:ascii="宋体" w:hAnsi="宋体" w:cs="宋体"/>
          <w:b/>
          <w:sz w:val="32"/>
          <w:szCs w:val="32"/>
        </w:rPr>
        <w:t>采购项目名称：</w:t>
      </w:r>
      <w:r>
        <w:rPr>
          <w:rFonts w:hint="eastAsia" w:ascii="宋体" w:hAnsi="宋体" w:cs="宋体"/>
          <w:bCs/>
          <w:sz w:val="32"/>
          <w:szCs w:val="32"/>
          <w:lang w:eastAsia="zh-CN"/>
        </w:rPr>
        <w:t>株洲市第八中学科创楼报告厅设备采购项目</w:t>
      </w:r>
    </w:p>
    <w:p w14:paraId="6DB86ABC">
      <w:pPr>
        <w:adjustRightInd w:val="0"/>
        <w:snapToGrid w:val="0"/>
        <w:spacing w:line="700" w:lineRule="exact"/>
        <w:ind w:firstLine="1285" w:firstLineChars="400"/>
        <w:rPr>
          <w:rFonts w:hint="eastAsia" w:ascii="宋体" w:hAnsi="宋体" w:eastAsia="宋体" w:cs="宋体"/>
          <w:bCs/>
          <w:color w:val="auto"/>
          <w:sz w:val="32"/>
          <w:szCs w:val="32"/>
          <w:lang w:eastAsia="zh-CN"/>
        </w:rPr>
      </w:pPr>
      <w:r>
        <w:rPr>
          <w:rFonts w:hint="eastAsia" w:ascii="宋体" w:hAnsi="宋体" w:cs="宋体"/>
          <w:b/>
          <w:color w:val="auto"/>
          <w:sz w:val="32"/>
          <w:szCs w:val="32"/>
        </w:rPr>
        <w:t>政府采购编号：</w:t>
      </w:r>
      <w:r>
        <w:rPr>
          <w:rFonts w:hint="eastAsia" w:ascii="宋体" w:hAnsi="宋体" w:cs="宋体"/>
          <w:bCs/>
          <w:color w:val="auto"/>
          <w:sz w:val="32"/>
          <w:szCs w:val="32"/>
          <w:lang w:eastAsia="zh-CN"/>
        </w:rPr>
        <w:t>(2026)430200000020-1</w:t>
      </w:r>
    </w:p>
    <w:p w14:paraId="58C149A5">
      <w:pPr>
        <w:adjustRightInd w:val="0"/>
        <w:snapToGrid w:val="0"/>
        <w:spacing w:line="700" w:lineRule="exact"/>
        <w:ind w:firstLine="1285" w:firstLineChars="400"/>
        <w:rPr>
          <w:rFonts w:hint="eastAsia" w:ascii="宋体" w:hAnsi="宋体" w:eastAsia="宋体" w:cs="宋体"/>
          <w:b/>
          <w:sz w:val="32"/>
          <w:szCs w:val="32"/>
          <w:lang w:eastAsia="zh-CN"/>
        </w:rPr>
      </w:pPr>
      <w:r>
        <w:rPr>
          <w:rFonts w:hint="eastAsia" w:ascii="宋体" w:hAnsi="宋体" w:cs="宋体"/>
          <w:b/>
          <w:sz w:val="32"/>
          <w:szCs w:val="32"/>
        </w:rPr>
        <w:t>委托代理编号：</w:t>
      </w:r>
      <w:r>
        <w:rPr>
          <w:rFonts w:hint="eastAsia" w:ascii="宋体" w:hAnsi="宋体" w:cs="宋体"/>
          <w:bCs/>
          <w:sz w:val="32"/>
          <w:szCs w:val="32"/>
          <w:lang w:eastAsia="zh-CN"/>
        </w:rPr>
        <w:t>HNPJ-ZZ-4183</w:t>
      </w:r>
    </w:p>
    <w:p w14:paraId="073BBBFF">
      <w:pPr>
        <w:adjustRightInd w:val="0"/>
        <w:snapToGrid w:val="0"/>
        <w:spacing w:line="700" w:lineRule="exact"/>
        <w:ind w:firstLine="1285" w:firstLineChars="400"/>
        <w:rPr>
          <w:rFonts w:ascii="宋体" w:hAnsi="宋体" w:cs="宋体"/>
          <w:b/>
          <w:sz w:val="32"/>
          <w:szCs w:val="32"/>
        </w:rPr>
      </w:pPr>
      <w:r>
        <w:rPr>
          <w:rFonts w:hint="eastAsia" w:ascii="宋体" w:hAnsi="宋体" w:cs="宋体"/>
          <w:b/>
          <w:sz w:val="32"/>
          <w:szCs w:val="32"/>
        </w:rPr>
        <w:t>采   购   人：</w:t>
      </w:r>
      <w:r>
        <w:rPr>
          <w:rFonts w:hint="eastAsia" w:ascii="宋体" w:hAnsi="宋体" w:cs="宋体"/>
          <w:bCs/>
          <w:sz w:val="32"/>
          <w:szCs w:val="32"/>
        </w:rPr>
        <w:t>株洲市第八中学</w:t>
      </w:r>
    </w:p>
    <w:p w14:paraId="5D017CCB">
      <w:pPr>
        <w:adjustRightInd w:val="0"/>
        <w:snapToGrid w:val="0"/>
        <w:spacing w:line="700" w:lineRule="exact"/>
        <w:ind w:firstLine="1285" w:firstLineChars="400"/>
        <w:rPr>
          <w:rFonts w:ascii="宋体" w:hAnsi="宋体" w:cs="宋体"/>
          <w:b/>
          <w:sz w:val="32"/>
          <w:szCs w:val="32"/>
        </w:rPr>
      </w:pPr>
      <w:r>
        <w:rPr>
          <w:rFonts w:hint="eastAsia" w:ascii="宋体" w:hAnsi="宋体" w:cs="宋体"/>
          <w:b/>
          <w:sz w:val="32"/>
          <w:szCs w:val="32"/>
        </w:rPr>
        <w:t>采购代理机构：</w:t>
      </w:r>
      <w:r>
        <w:rPr>
          <w:rFonts w:hint="eastAsia" w:ascii="宋体" w:hAnsi="宋体" w:cs="宋体"/>
          <w:bCs/>
          <w:sz w:val="32"/>
          <w:szCs w:val="32"/>
        </w:rPr>
        <w:t>湖南浦建招标有限公司</w:t>
      </w:r>
    </w:p>
    <w:p w14:paraId="27CEE39C">
      <w:pPr>
        <w:adjustRightInd w:val="0"/>
        <w:snapToGrid w:val="0"/>
        <w:spacing w:line="700" w:lineRule="exact"/>
        <w:ind w:firstLine="1285" w:firstLineChars="400"/>
        <w:rPr>
          <w:rFonts w:ascii="宋体" w:hAnsi="宋体" w:cs="宋体"/>
          <w:bCs/>
          <w:sz w:val="32"/>
          <w:szCs w:val="32"/>
        </w:rPr>
      </w:pPr>
      <w:r>
        <w:rPr>
          <w:rFonts w:hint="eastAsia" w:ascii="宋体" w:hAnsi="宋体" w:cs="宋体"/>
          <w:b/>
          <w:sz w:val="32"/>
          <w:szCs w:val="32"/>
        </w:rPr>
        <w:t>日        期：</w:t>
      </w:r>
      <w:r>
        <w:rPr>
          <w:rFonts w:hint="eastAsia" w:ascii="宋体" w:hAnsi="宋体" w:cs="宋体"/>
          <w:bCs/>
          <w:sz w:val="32"/>
          <w:szCs w:val="32"/>
        </w:rPr>
        <w:t>二〇二六年</w:t>
      </w:r>
      <w:r>
        <w:rPr>
          <w:rFonts w:hint="eastAsia" w:ascii="宋体" w:hAnsi="宋体" w:cs="宋体"/>
          <w:bCs/>
          <w:sz w:val="32"/>
          <w:szCs w:val="32"/>
          <w:lang w:eastAsia="zh-CN"/>
        </w:rPr>
        <w:t>八</w:t>
      </w:r>
      <w:r>
        <w:rPr>
          <w:rFonts w:hint="eastAsia" w:ascii="宋体" w:hAnsi="宋体" w:cs="宋体"/>
          <w:bCs/>
          <w:sz w:val="32"/>
          <w:szCs w:val="32"/>
        </w:rPr>
        <w:t>月</w:t>
      </w:r>
    </w:p>
    <w:p w14:paraId="1A6B14B1">
      <w:pPr>
        <w:pStyle w:val="22"/>
        <w:adjustRightInd w:val="0"/>
        <w:snapToGrid w:val="0"/>
        <w:spacing w:line="240" w:lineRule="atLeast"/>
        <w:rPr>
          <w:rFonts w:hAnsi="宋体" w:cs="宋体"/>
          <w:bCs/>
          <w:sz w:val="32"/>
          <w:szCs w:val="32"/>
        </w:rPr>
      </w:pPr>
    </w:p>
    <w:p w14:paraId="2359D394">
      <w:pPr>
        <w:pStyle w:val="22"/>
        <w:adjustRightInd w:val="0"/>
        <w:snapToGrid w:val="0"/>
        <w:spacing w:line="240" w:lineRule="atLeast"/>
        <w:jc w:val="center"/>
        <w:rPr>
          <w:rFonts w:hAnsi="宋体" w:cs="宋体"/>
          <w:b/>
          <w:sz w:val="32"/>
        </w:rPr>
        <w:sectPr>
          <w:headerReference r:id="rId3" w:type="default"/>
          <w:footerReference r:id="rId4" w:type="default"/>
          <w:pgSz w:w="11905" w:h="16838"/>
          <w:pgMar w:top="1440" w:right="1417" w:bottom="1440" w:left="1417" w:header="1020" w:footer="567" w:gutter="0"/>
          <w:cols w:space="0" w:num="1"/>
          <w:docGrid w:type="lines" w:linePitch="317" w:charSpace="0"/>
        </w:sectPr>
      </w:pPr>
    </w:p>
    <w:p w14:paraId="593A2955">
      <w:pPr>
        <w:pStyle w:val="22"/>
        <w:adjustRightInd w:val="0"/>
        <w:snapToGrid w:val="0"/>
        <w:spacing w:line="360" w:lineRule="auto"/>
        <w:jc w:val="center"/>
        <w:rPr>
          <w:rFonts w:hAnsi="宋体" w:cs="宋体"/>
          <w:b/>
          <w:spacing w:val="160"/>
          <w:sz w:val="36"/>
          <w:szCs w:val="36"/>
        </w:rPr>
        <w:sectPr>
          <w:headerReference r:id="rId7" w:type="first"/>
          <w:headerReference r:id="rId5" w:type="default"/>
          <w:footerReference r:id="rId8" w:type="default"/>
          <w:headerReference r:id="rId6" w:type="even"/>
          <w:pgSz w:w="11905" w:h="16838"/>
          <w:pgMar w:top="1440" w:right="1587" w:bottom="1440" w:left="1587" w:header="1020" w:footer="567" w:gutter="0"/>
          <w:pgNumType w:fmt="upperRoman" w:start="1"/>
          <w:cols w:space="0" w:num="1"/>
          <w:docGrid w:type="lines" w:linePitch="317" w:charSpace="0"/>
        </w:sectPr>
      </w:pPr>
    </w:p>
    <w:p w14:paraId="660D9797">
      <w:pPr>
        <w:pStyle w:val="22"/>
        <w:adjustRightInd w:val="0"/>
        <w:snapToGrid w:val="0"/>
        <w:spacing w:line="360" w:lineRule="auto"/>
        <w:jc w:val="center"/>
        <w:rPr>
          <w:rFonts w:hAnsi="宋体" w:cs="宋体"/>
          <w:b/>
          <w:spacing w:val="160"/>
          <w:sz w:val="36"/>
          <w:szCs w:val="36"/>
        </w:rPr>
      </w:pPr>
      <w:r>
        <w:rPr>
          <w:rFonts w:hint="eastAsia" w:hAnsi="宋体" w:cs="宋体"/>
          <w:b/>
          <w:spacing w:val="160"/>
          <w:sz w:val="36"/>
          <w:szCs w:val="36"/>
        </w:rPr>
        <w:t>目录</w:t>
      </w:r>
    </w:p>
    <w:p w14:paraId="2324A1AE">
      <w:pPr>
        <w:pStyle w:val="29"/>
        <w:tabs>
          <w:tab w:val="right" w:leader="dot" w:pos="8731"/>
        </w:tabs>
      </w:pPr>
      <w:r>
        <w:rPr>
          <w:rStyle w:val="46"/>
          <w:rFonts w:hint="eastAsia"/>
          <w:b w:val="0"/>
        </w:rPr>
        <w:fldChar w:fldCharType="begin"/>
      </w:r>
      <w:r>
        <w:rPr>
          <w:rStyle w:val="46"/>
          <w:rFonts w:hint="eastAsia" w:ascii="宋体" w:hAnsi="宋体" w:eastAsia="宋体" w:cs="宋体"/>
          <w:b w:val="0"/>
        </w:rPr>
        <w:instrText xml:space="preserve"> TOC \o "1-4" \h \z \u </w:instrText>
      </w:r>
      <w:r>
        <w:rPr>
          <w:rStyle w:val="46"/>
          <w:rFonts w:hint="eastAsia"/>
          <w:b w:val="0"/>
        </w:rPr>
        <w:fldChar w:fldCharType="separate"/>
      </w:r>
      <w:r>
        <w:fldChar w:fldCharType="begin"/>
      </w:r>
      <w:r>
        <w:instrText xml:space="preserve"> HYPERLINK \l "_Toc6599" </w:instrText>
      </w:r>
      <w:r>
        <w:fldChar w:fldCharType="separate"/>
      </w:r>
      <w:r>
        <w:rPr>
          <w:rFonts w:hint="eastAsia" w:ascii="宋体" w:hAnsi="宋体" w:eastAsia="宋体" w:cs="宋体"/>
          <w:szCs w:val="32"/>
        </w:rPr>
        <w:t>第一章 投标邀请</w:t>
      </w:r>
      <w:r>
        <w:tab/>
      </w:r>
      <w:r>
        <w:fldChar w:fldCharType="begin"/>
      </w:r>
      <w:r>
        <w:instrText xml:space="preserve"> PAGEREF _Toc6599 \h </w:instrText>
      </w:r>
      <w:r>
        <w:fldChar w:fldCharType="separate"/>
      </w:r>
      <w:r>
        <w:t>2</w:t>
      </w:r>
      <w:r>
        <w:fldChar w:fldCharType="end"/>
      </w:r>
      <w:r>
        <w:fldChar w:fldCharType="end"/>
      </w:r>
    </w:p>
    <w:p w14:paraId="018B1951">
      <w:pPr>
        <w:pStyle w:val="29"/>
        <w:tabs>
          <w:tab w:val="right" w:leader="dot" w:pos="8731"/>
        </w:tabs>
      </w:pPr>
      <w:r>
        <w:fldChar w:fldCharType="begin"/>
      </w:r>
      <w:r>
        <w:instrText xml:space="preserve"> HYPERLINK \l "_Toc14812" </w:instrText>
      </w:r>
      <w:r>
        <w:fldChar w:fldCharType="separate"/>
      </w:r>
      <w:r>
        <w:rPr>
          <w:rFonts w:hint="eastAsia" w:ascii="宋体" w:hAnsi="宋体" w:eastAsia="宋体" w:cs="宋体"/>
          <w:szCs w:val="32"/>
        </w:rPr>
        <w:t>第二章 投标须知</w:t>
      </w:r>
      <w:r>
        <w:tab/>
      </w:r>
      <w:r>
        <w:fldChar w:fldCharType="begin"/>
      </w:r>
      <w:r>
        <w:instrText xml:space="preserve"> PAGEREF _Toc14812 \h </w:instrText>
      </w:r>
      <w:r>
        <w:fldChar w:fldCharType="separate"/>
      </w:r>
      <w:r>
        <w:t>4</w:t>
      </w:r>
      <w:r>
        <w:fldChar w:fldCharType="end"/>
      </w:r>
      <w:r>
        <w:fldChar w:fldCharType="end"/>
      </w:r>
    </w:p>
    <w:p w14:paraId="0F4DF25E">
      <w:pPr>
        <w:pStyle w:val="33"/>
        <w:tabs>
          <w:tab w:val="right" w:leader="dot" w:pos="8731"/>
        </w:tabs>
        <w:ind w:left="420"/>
      </w:pPr>
      <w:r>
        <w:fldChar w:fldCharType="begin"/>
      </w:r>
      <w:r>
        <w:instrText xml:space="preserve"> HYPERLINK \l "_Toc13073" </w:instrText>
      </w:r>
      <w:r>
        <w:fldChar w:fldCharType="separate"/>
      </w:r>
      <w:r>
        <w:rPr>
          <w:rFonts w:hint="eastAsia" w:ascii="宋体" w:hAnsi="宋体" w:eastAsia="宋体" w:cs="宋体"/>
          <w:szCs w:val="28"/>
        </w:rPr>
        <w:t>第一节 投标须知前附表</w:t>
      </w:r>
      <w:r>
        <w:tab/>
      </w:r>
      <w:r>
        <w:fldChar w:fldCharType="begin"/>
      </w:r>
      <w:r>
        <w:instrText xml:space="preserve"> PAGEREF _Toc13073 \h </w:instrText>
      </w:r>
      <w:r>
        <w:fldChar w:fldCharType="separate"/>
      </w:r>
      <w:r>
        <w:t>5</w:t>
      </w:r>
      <w:r>
        <w:fldChar w:fldCharType="end"/>
      </w:r>
      <w:r>
        <w:fldChar w:fldCharType="end"/>
      </w:r>
    </w:p>
    <w:p w14:paraId="7EF4D280">
      <w:pPr>
        <w:pStyle w:val="33"/>
        <w:tabs>
          <w:tab w:val="right" w:leader="dot" w:pos="8731"/>
        </w:tabs>
        <w:ind w:left="420"/>
      </w:pPr>
      <w:r>
        <w:fldChar w:fldCharType="begin"/>
      </w:r>
      <w:r>
        <w:instrText xml:space="preserve"> HYPERLINK \l "_Toc2180" </w:instrText>
      </w:r>
      <w:r>
        <w:fldChar w:fldCharType="separate"/>
      </w:r>
      <w:r>
        <w:rPr>
          <w:rFonts w:hint="eastAsia" w:ascii="宋体" w:hAnsi="宋体" w:eastAsia="宋体" w:cs="宋体"/>
          <w:szCs w:val="28"/>
        </w:rPr>
        <w:t>第二节 投标须知</w:t>
      </w:r>
      <w:r>
        <w:tab/>
      </w:r>
      <w:r>
        <w:fldChar w:fldCharType="begin"/>
      </w:r>
      <w:r>
        <w:instrText xml:space="preserve"> PAGEREF _Toc2180 \h </w:instrText>
      </w:r>
      <w:r>
        <w:fldChar w:fldCharType="separate"/>
      </w:r>
      <w:r>
        <w:t>10</w:t>
      </w:r>
      <w:r>
        <w:fldChar w:fldCharType="end"/>
      </w:r>
      <w:r>
        <w:fldChar w:fldCharType="end"/>
      </w:r>
    </w:p>
    <w:p w14:paraId="2C03CFE6">
      <w:pPr>
        <w:pStyle w:val="21"/>
        <w:tabs>
          <w:tab w:val="right" w:leader="dot" w:pos="8731"/>
        </w:tabs>
        <w:ind w:left="840"/>
      </w:pPr>
      <w:r>
        <w:fldChar w:fldCharType="begin"/>
      </w:r>
      <w:r>
        <w:instrText xml:space="preserve"> HYPERLINK \l "_Toc7332" </w:instrText>
      </w:r>
      <w:r>
        <w:fldChar w:fldCharType="separate"/>
      </w:r>
      <w:r>
        <w:rPr>
          <w:rFonts w:hint="eastAsia" w:ascii="宋体" w:hAnsi="宋体" w:eastAsia="宋体" w:cs="宋体"/>
          <w:szCs w:val="28"/>
        </w:rPr>
        <w:t>一、总则</w:t>
      </w:r>
      <w:r>
        <w:tab/>
      </w:r>
      <w:r>
        <w:fldChar w:fldCharType="begin"/>
      </w:r>
      <w:r>
        <w:instrText xml:space="preserve"> PAGEREF _Toc7332 \h </w:instrText>
      </w:r>
      <w:r>
        <w:fldChar w:fldCharType="separate"/>
      </w:r>
      <w:r>
        <w:t>10</w:t>
      </w:r>
      <w:r>
        <w:fldChar w:fldCharType="end"/>
      </w:r>
      <w:r>
        <w:fldChar w:fldCharType="end"/>
      </w:r>
    </w:p>
    <w:p w14:paraId="141E572A">
      <w:pPr>
        <w:pStyle w:val="21"/>
        <w:tabs>
          <w:tab w:val="right" w:leader="dot" w:pos="8731"/>
        </w:tabs>
        <w:ind w:left="840"/>
      </w:pPr>
      <w:r>
        <w:fldChar w:fldCharType="begin"/>
      </w:r>
      <w:r>
        <w:instrText xml:space="preserve"> HYPERLINK \l "_Toc23498" </w:instrText>
      </w:r>
      <w:r>
        <w:fldChar w:fldCharType="separate"/>
      </w:r>
      <w:r>
        <w:rPr>
          <w:rFonts w:hint="eastAsia" w:ascii="宋体" w:hAnsi="宋体" w:eastAsia="宋体" w:cs="宋体"/>
          <w:szCs w:val="28"/>
        </w:rPr>
        <w:t>二、招标文件</w:t>
      </w:r>
      <w:r>
        <w:tab/>
      </w:r>
      <w:r>
        <w:fldChar w:fldCharType="begin"/>
      </w:r>
      <w:r>
        <w:instrText xml:space="preserve"> PAGEREF _Toc23498 \h </w:instrText>
      </w:r>
      <w:r>
        <w:fldChar w:fldCharType="separate"/>
      </w:r>
      <w:r>
        <w:t>11</w:t>
      </w:r>
      <w:r>
        <w:fldChar w:fldCharType="end"/>
      </w:r>
      <w:r>
        <w:fldChar w:fldCharType="end"/>
      </w:r>
    </w:p>
    <w:p w14:paraId="6574A20A">
      <w:pPr>
        <w:pStyle w:val="21"/>
        <w:tabs>
          <w:tab w:val="right" w:leader="dot" w:pos="8731"/>
        </w:tabs>
        <w:ind w:left="840"/>
      </w:pPr>
      <w:r>
        <w:fldChar w:fldCharType="begin"/>
      </w:r>
      <w:r>
        <w:instrText xml:space="preserve"> HYPERLINK \l "_Toc16636" </w:instrText>
      </w:r>
      <w:r>
        <w:fldChar w:fldCharType="separate"/>
      </w:r>
      <w:r>
        <w:rPr>
          <w:rFonts w:hint="eastAsia" w:ascii="宋体" w:hAnsi="宋体" w:eastAsia="宋体" w:cs="宋体"/>
          <w:szCs w:val="28"/>
        </w:rPr>
        <w:t>三、投标文件</w:t>
      </w:r>
      <w:r>
        <w:tab/>
      </w:r>
      <w:r>
        <w:fldChar w:fldCharType="begin"/>
      </w:r>
      <w:r>
        <w:instrText xml:space="preserve"> PAGEREF _Toc16636 \h </w:instrText>
      </w:r>
      <w:r>
        <w:fldChar w:fldCharType="separate"/>
      </w:r>
      <w:r>
        <w:t>12</w:t>
      </w:r>
      <w:r>
        <w:fldChar w:fldCharType="end"/>
      </w:r>
      <w:r>
        <w:fldChar w:fldCharType="end"/>
      </w:r>
    </w:p>
    <w:p w14:paraId="47DD9E35">
      <w:pPr>
        <w:pStyle w:val="21"/>
        <w:tabs>
          <w:tab w:val="right" w:leader="dot" w:pos="8731"/>
        </w:tabs>
        <w:ind w:left="840"/>
      </w:pPr>
      <w:r>
        <w:fldChar w:fldCharType="begin"/>
      </w:r>
      <w:r>
        <w:instrText xml:space="preserve"> HYPERLINK \l "_Toc10725" </w:instrText>
      </w:r>
      <w:r>
        <w:fldChar w:fldCharType="separate"/>
      </w:r>
      <w:r>
        <w:rPr>
          <w:rFonts w:hint="eastAsia" w:ascii="宋体" w:hAnsi="宋体" w:eastAsia="宋体" w:cs="宋体"/>
          <w:szCs w:val="28"/>
        </w:rPr>
        <w:t>四、投标</w:t>
      </w:r>
      <w:r>
        <w:tab/>
      </w:r>
      <w:r>
        <w:fldChar w:fldCharType="begin"/>
      </w:r>
      <w:r>
        <w:instrText xml:space="preserve"> PAGEREF _Toc10725 \h </w:instrText>
      </w:r>
      <w:r>
        <w:fldChar w:fldCharType="separate"/>
      </w:r>
      <w:r>
        <w:t>17</w:t>
      </w:r>
      <w:r>
        <w:fldChar w:fldCharType="end"/>
      </w:r>
      <w:r>
        <w:fldChar w:fldCharType="end"/>
      </w:r>
    </w:p>
    <w:p w14:paraId="20F8061C">
      <w:pPr>
        <w:pStyle w:val="21"/>
        <w:tabs>
          <w:tab w:val="right" w:leader="dot" w:pos="8731"/>
        </w:tabs>
        <w:ind w:left="840"/>
      </w:pPr>
      <w:r>
        <w:fldChar w:fldCharType="begin"/>
      </w:r>
      <w:r>
        <w:instrText xml:space="preserve"> HYPERLINK \l "_Toc25691" </w:instrText>
      </w:r>
      <w:r>
        <w:fldChar w:fldCharType="separate"/>
      </w:r>
      <w:r>
        <w:rPr>
          <w:rFonts w:hint="eastAsia" w:ascii="宋体" w:hAnsi="宋体" w:eastAsia="宋体" w:cs="宋体"/>
          <w:szCs w:val="28"/>
        </w:rPr>
        <w:t>五、开标，资格审查和评标</w:t>
      </w:r>
      <w:r>
        <w:tab/>
      </w:r>
      <w:r>
        <w:fldChar w:fldCharType="begin"/>
      </w:r>
      <w:r>
        <w:instrText xml:space="preserve"> PAGEREF _Toc25691 \h </w:instrText>
      </w:r>
      <w:r>
        <w:fldChar w:fldCharType="separate"/>
      </w:r>
      <w:r>
        <w:t>18</w:t>
      </w:r>
      <w:r>
        <w:fldChar w:fldCharType="end"/>
      </w:r>
      <w:r>
        <w:fldChar w:fldCharType="end"/>
      </w:r>
    </w:p>
    <w:p w14:paraId="7F964E75">
      <w:pPr>
        <w:pStyle w:val="21"/>
        <w:tabs>
          <w:tab w:val="right" w:leader="dot" w:pos="8731"/>
        </w:tabs>
        <w:ind w:left="840"/>
      </w:pPr>
      <w:r>
        <w:fldChar w:fldCharType="begin"/>
      </w:r>
      <w:r>
        <w:instrText xml:space="preserve"> HYPERLINK \l "_Toc22872" </w:instrText>
      </w:r>
      <w:r>
        <w:fldChar w:fldCharType="separate"/>
      </w:r>
      <w:r>
        <w:rPr>
          <w:rFonts w:hint="eastAsia" w:ascii="宋体" w:hAnsi="宋体" w:eastAsia="宋体" w:cs="宋体"/>
          <w:szCs w:val="28"/>
        </w:rPr>
        <w:t>六、中标信息公布</w:t>
      </w:r>
      <w:r>
        <w:tab/>
      </w:r>
      <w:r>
        <w:fldChar w:fldCharType="begin"/>
      </w:r>
      <w:r>
        <w:instrText xml:space="preserve"> PAGEREF _Toc22872 \h </w:instrText>
      </w:r>
      <w:r>
        <w:fldChar w:fldCharType="separate"/>
      </w:r>
      <w:r>
        <w:t>21</w:t>
      </w:r>
      <w:r>
        <w:fldChar w:fldCharType="end"/>
      </w:r>
      <w:r>
        <w:fldChar w:fldCharType="end"/>
      </w:r>
    </w:p>
    <w:p w14:paraId="2C2D75E8">
      <w:pPr>
        <w:pStyle w:val="21"/>
        <w:tabs>
          <w:tab w:val="right" w:leader="dot" w:pos="8731"/>
        </w:tabs>
        <w:ind w:left="840"/>
      </w:pPr>
      <w:r>
        <w:fldChar w:fldCharType="begin"/>
      </w:r>
      <w:r>
        <w:instrText xml:space="preserve"> HYPERLINK \l "_Toc16755" </w:instrText>
      </w:r>
      <w:r>
        <w:fldChar w:fldCharType="separate"/>
      </w:r>
      <w:r>
        <w:rPr>
          <w:rFonts w:hint="eastAsia" w:ascii="宋体" w:hAnsi="宋体" w:eastAsia="宋体" w:cs="宋体"/>
          <w:szCs w:val="28"/>
        </w:rPr>
        <w:t>七、合同签订</w:t>
      </w:r>
      <w:r>
        <w:tab/>
      </w:r>
      <w:r>
        <w:fldChar w:fldCharType="begin"/>
      </w:r>
      <w:r>
        <w:instrText xml:space="preserve"> PAGEREF _Toc16755 \h </w:instrText>
      </w:r>
      <w:r>
        <w:fldChar w:fldCharType="separate"/>
      </w:r>
      <w:r>
        <w:t>22</w:t>
      </w:r>
      <w:r>
        <w:fldChar w:fldCharType="end"/>
      </w:r>
      <w:r>
        <w:fldChar w:fldCharType="end"/>
      </w:r>
    </w:p>
    <w:p w14:paraId="68E49EC9">
      <w:pPr>
        <w:pStyle w:val="21"/>
        <w:tabs>
          <w:tab w:val="right" w:leader="dot" w:pos="8731"/>
        </w:tabs>
        <w:ind w:left="840"/>
      </w:pPr>
      <w:r>
        <w:fldChar w:fldCharType="begin"/>
      </w:r>
      <w:r>
        <w:instrText xml:space="preserve"> HYPERLINK \l "_Toc22364" </w:instrText>
      </w:r>
      <w:r>
        <w:fldChar w:fldCharType="separate"/>
      </w:r>
      <w:r>
        <w:rPr>
          <w:rFonts w:hint="eastAsia" w:ascii="宋体" w:hAnsi="宋体" w:eastAsia="宋体" w:cs="宋体"/>
          <w:szCs w:val="28"/>
        </w:rPr>
        <w:t>八、政府采购政策</w:t>
      </w:r>
      <w:r>
        <w:tab/>
      </w:r>
      <w:r>
        <w:fldChar w:fldCharType="begin"/>
      </w:r>
      <w:r>
        <w:instrText xml:space="preserve"> PAGEREF _Toc22364 \h </w:instrText>
      </w:r>
      <w:r>
        <w:fldChar w:fldCharType="separate"/>
      </w:r>
      <w:r>
        <w:t>23</w:t>
      </w:r>
      <w:r>
        <w:fldChar w:fldCharType="end"/>
      </w:r>
      <w:r>
        <w:fldChar w:fldCharType="end"/>
      </w:r>
    </w:p>
    <w:p w14:paraId="5E7A7622">
      <w:pPr>
        <w:pStyle w:val="21"/>
        <w:tabs>
          <w:tab w:val="right" w:leader="dot" w:pos="8731"/>
        </w:tabs>
        <w:ind w:left="840"/>
      </w:pPr>
      <w:r>
        <w:fldChar w:fldCharType="begin"/>
      </w:r>
      <w:r>
        <w:instrText xml:space="preserve"> HYPERLINK \l "_Toc165" </w:instrText>
      </w:r>
      <w:r>
        <w:fldChar w:fldCharType="separate"/>
      </w:r>
      <w:r>
        <w:rPr>
          <w:rFonts w:hint="eastAsia" w:ascii="宋体" w:hAnsi="宋体" w:eastAsia="宋体" w:cs="宋体"/>
          <w:szCs w:val="28"/>
        </w:rPr>
        <w:t>九、其他规定</w:t>
      </w:r>
      <w:r>
        <w:tab/>
      </w:r>
      <w:r>
        <w:fldChar w:fldCharType="begin"/>
      </w:r>
      <w:r>
        <w:instrText xml:space="preserve"> PAGEREF _Toc165 \h </w:instrText>
      </w:r>
      <w:r>
        <w:fldChar w:fldCharType="separate"/>
      </w:r>
      <w:r>
        <w:t>25</w:t>
      </w:r>
      <w:r>
        <w:fldChar w:fldCharType="end"/>
      </w:r>
      <w:r>
        <w:fldChar w:fldCharType="end"/>
      </w:r>
    </w:p>
    <w:p w14:paraId="36661C98">
      <w:pPr>
        <w:pStyle w:val="29"/>
        <w:tabs>
          <w:tab w:val="right" w:leader="dot" w:pos="8731"/>
        </w:tabs>
      </w:pPr>
      <w:r>
        <w:fldChar w:fldCharType="begin"/>
      </w:r>
      <w:r>
        <w:instrText xml:space="preserve"> HYPERLINK \l "_Toc688" </w:instrText>
      </w:r>
      <w:r>
        <w:fldChar w:fldCharType="separate"/>
      </w:r>
      <w:r>
        <w:rPr>
          <w:rFonts w:hint="eastAsia" w:ascii="宋体" w:hAnsi="宋体" w:eastAsia="宋体" w:cs="宋体"/>
          <w:szCs w:val="32"/>
        </w:rPr>
        <w:t>第三章 资格审查</w:t>
      </w:r>
      <w:r>
        <w:tab/>
      </w:r>
      <w:r>
        <w:fldChar w:fldCharType="begin"/>
      </w:r>
      <w:r>
        <w:instrText xml:space="preserve"> PAGEREF _Toc688 \h </w:instrText>
      </w:r>
      <w:r>
        <w:fldChar w:fldCharType="separate"/>
      </w:r>
      <w:r>
        <w:t>26</w:t>
      </w:r>
      <w:r>
        <w:fldChar w:fldCharType="end"/>
      </w:r>
      <w:r>
        <w:fldChar w:fldCharType="end"/>
      </w:r>
    </w:p>
    <w:p w14:paraId="62795C32">
      <w:pPr>
        <w:pStyle w:val="21"/>
        <w:tabs>
          <w:tab w:val="right" w:leader="dot" w:pos="8731"/>
        </w:tabs>
        <w:ind w:left="840"/>
      </w:pPr>
      <w:r>
        <w:fldChar w:fldCharType="begin"/>
      </w:r>
      <w:r>
        <w:instrText xml:space="preserve"> HYPERLINK \l "_Toc1546" </w:instrText>
      </w:r>
      <w:r>
        <w:fldChar w:fldCharType="separate"/>
      </w:r>
      <w:r>
        <w:rPr>
          <w:rFonts w:hint="eastAsia" w:ascii="宋体" w:hAnsi="宋体" w:eastAsia="宋体" w:cs="宋体"/>
        </w:rPr>
        <w:t>1．资格审查主体</w:t>
      </w:r>
      <w:r>
        <w:tab/>
      </w:r>
      <w:r>
        <w:fldChar w:fldCharType="begin"/>
      </w:r>
      <w:r>
        <w:instrText xml:space="preserve"> PAGEREF _Toc1546 \h </w:instrText>
      </w:r>
      <w:r>
        <w:fldChar w:fldCharType="separate"/>
      </w:r>
      <w:r>
        <w:t>26</w:t>
      </w:r>
      <w:r>
        <w:fldChar w:fldCharType="end"/>
      </w:r>
      <w:r>
        <w:fldChar w:fldCharType="end"/>
      </w:r>
    </w:p>
    <w:p w14:paraId="1F3DCA30">
      <w:pPr>
        <w:pStyle w:val="21"/>
        <w:tabs>
          <w:tab w:val="right" w:leader="dot" w:pos="8731"/>
        </w:tabs>
        <w:ind w:left="840"/>
      </w:pPr>
      <w:r>
        <w:fldChar w:fldCharType="begin"/>
      </w:r>
      <w:r>
        <w:instrText xml:space="preserve"> HYPERLINK \l "_Toc5628" </w:instrText>
      </w:r>
      <w:r>
        <w:fldChar w:fldCharType="separate"/>
      </w:r>
      <w:r>
        <w:rPr>
          <w:rFonts w:hint="eastAsia" w:ascii="宋体" w:hAnsi="宋体" w:eastAsia="宋体" w:cs="宋体"/>
        </w:rPr>
        <w:t>2．资格审查</w:t>
      </w:r>
      <w:r>
        <w:tab/>
      </w:r>
      <w:r>
        <w:fldChar w:fldCharType="begin"/>
      </w:r>
      <w:r>
        <w:instrText xml:space="preserve"> PAGEREF _Toc5628 \h </w:instrText>
      </w:r>
      <w:r>
        <w:fldChar w:fldCharType="separate"/>
      </w:r>
      <w:r>
        <w:t>26</w:t>
      </w:r>
      <w:r>
        <w:fldChar w:fldCharType="end"/>
      </w:r>
      <w:r>
        <w:fldChar w:fldCharType="end"/>
      </w:r>
    </w:p>
    <w:p w14:paraId="537E3820">
      <w:pPr>
        <w:pStyle w:val="21"/>
        <w:tabs>
          <w:tab w:val="right" w:leader="dot" w:pos="8731"/>
        </w:tabs>
        <w:ind w:left="840"/>
      </w:pPr>
      <w:r>
        <w:fldChar w:fldCharType="begin"/>
      </w:r>
      <w:r>
        <w:instrText xml:space="preserve"> HYPERLINK \l "_Toc13527" </w:instrText>
      </w:r>
      <w:r>
        <w:fldChar w:fldCharType="separate"/>
      </w:r>
      <w:r>
        <w:rPr>
          <w:rFonts w:hint="eastAsia" w:ascii="宋体" w:hAnsi="宋体" w:eastAsia="宋体" w:cs="宋体"/>
        </w:rPr>
        <w:t>3．资格审查结果</w:t>
      </w:r>
      <w:r>
        <w:tab/>
      </w:r>
      <w:r>
        <w:fldChar w:fldCharType="begin"/>
      </w:r>
      <w:r>
        <w:instrText xml:space="preserve"> PAGEREF _Toc13527 \h </w:instrText>
      </w:r>
      <w:r>
        <w:fldChar w:fldCharType="separate"/>
      </w:r>
      <w:r>
        <w:t>27</w:t>
      </w:r>
      <w:r>
        <w:fldChar w:fldCharType="end"/>
      </w:r>
      <w:r>
        <w:fldChar w:fldCharType="end"/>
      </w:r>
    </w:p>
    <w:p w14:paraId="57F2EBE3">
      <w:pPr>
        <w:pStyle w:val="21"/>
        <w:tabs>
          <w:tab w:val="right" w:leader="dot" w:pos="8731"/>
        </w:tabs>
        <w:ind w:left="840"/>
      </w:pPr>
      <w:r>
        <w:fldChar w:fldCharType="begin"/>
      </w:r>
      <w:r>
        <w:instrText xml:space="preserve"> HYPERLINK \l "_Toc22048" </w:instrText>
      </w:r>
      <w:r>
        <w:fldChar w:fldCharType="separate"/>
      </w:r>
      <w:r>
        <w:rPr>
          <w:rFonts w:hint="eastAsia" w:ascii="宋体" w:hAnsi="宋体" w:eastAsia="宋体" w:cs="宋体"/>
        </w:rPr>
        <w:t>4．其他</w:t>
      </w:r>
      <w:r>
        <w:tab/>
      </w:r>
      <w:r>
        <w:fldChar w:fldCharType="begin"/>
      </w:r>
      <w:r>
        <w:instrText xml:space="preserve"> PAGEREF _Toc22048 \h </w:instrText>
      </w:r>
      <w:r>
        <w:fldChar w:fldCharType="separate"/>
      </w:r>
      <w:r>
        <w:t>27</w:t>
      </w:r>
      <w:r>
        <w:fldChar w:fldCharType="end"/>
      </w:r>
      <w:r>
        <w:fldChar w:fldCharType="end"/>
      </w:r>
    </w:p>
    <w:p w14:paraId="00D3FA68">
      <w:pPr>
        <w:pStyle w:val="29"/>
        <w:tabs>
          <w:tab w:val="right" w:leader="dot" w:pos="8731"/>
        </w:tabs>
      </w:pPr>
      <w:r>
        <w:fldChar w:fldCharType="begin"/>
      </w:r>
      <w:r>
        <w:instrText xml:space="preserve"> HYPERLINK \l "_Toc20416" </w:instrText>
      </w:r>
      <w:r>
        <w:fldChar w:fldCharType="separate"/>
      </w:r>
      <w:r>
        <w:rPr>
          <w:rFonts w:hint="eastAsia" w:ascii="宋体" w:hAnsi="宋体" w:eastAsia="宋体" w:cs="宋体"/>
          <w:szCs w:val="32"/>
        </w:rPr>
        <w:t>第四章 评标方法及标准</w:t>
      </w:r>
      <w:r>
        <w:tab/>
      </w:r>
      <w:r>
        <w:fldChar w:fldCharType="begin"/>
      </w:r>
      <w:r>
        <w:instrText xml:space="preserve"> PAGEREF _Toc20416 \h </w:instrText>
      </w:r>
      <w:r>
        <w:fldChar w:fldCharType="separate"/>
      </w:r>
      <w:r>
        <w:t>29</w:t>
      </w:r>
      <w:r>
        <w:fldChar w:fldCharType="end"/>
      </w:r>
      <w:r>
        <w:fldChar w:fldCharType="end"/>
      </w:r>
    </w:p>
    <w:p w14:paraId="5FC3DA00">
      <w:pPr>
        <w:pStyle w:val="33"/>
        <w:tabs>
          <w:tab w:val="right" w:leader="dot" w:pos="8731"/>
        </w:tabs>
        <w:ind w:left="420"/>
      </w:pPr>
      <w:r>
        <w:fldChar w:fldCharType="begin"/>
      </w:r>
      <w:r>
        <w:instrText xml:space="preserve"> HYPERLINK \l "_Toc18381" </w:instrText>
      </w:r>
      <w:r>
        <w:fldChar w:fldCharType="separate"/>
      </w:r>
      <w:r>
        <w:rPr>
          <w:rFonts w:hint="eastAsia" w:ascii="宋体" w:hAnsi="宋体" w:eastAsia="宋体" w:cs="宋体"/>
          <w:szCs w:val="28"/>
        </w:rPr>
        <w:t>第一节 评标方法及标准前附表</w:t>
      </w:r>
      <w:r>
        <w:tab/>
      </w:r>
      <w:r>
        <w:fldChar w:fldCharType="begin"/>
      </w:r>
      <w:r>
        <w:instrText xml:space="preserve"> PAGEREF _Toc18381 \h </w:instrText>
      </w:r>
      <w:r>
        <w:fldChar w:fldCharType="separate"/>
      </w:r>
      <w:r>
        <w:t>29</w:t>
      </w:r>
      <w:r>
        <w:fldChar w:fldCharType="end"/>
      </w:r>
      <w:r>
        <w:fldChar w:fldCharType="end"/>
      </w:r>
    </w:p>
    <w:p w14:paraId="2DB7AEFB">
      <w:pPr>
        <w:pStyle w:val="33"/>
        <w:tabs>
          <w:tab w:val="right" w:leader="dot" w:pos="8731"/>
        </w:tabs>
        <w:ind w:left="420"/>
      </w:pPr>
      <w:r>
        <w:fldChar w:fldCharType="begin"/>
      </w:r>
      <w:r>
        <w:instrText xml:space="preserve"> HYPERLINK \l "_Toc3671" </w:instrText>
      </w:r>
      <w:r>
        <w:fldChar w:fldCharType="separate"/>
      </w:r>
      <w:r>
        <w:rPr>
          <w:rFonts w:hint="eastAsia" w:ascii="宋体" w:hAnsi="宋体" w:eastAsia="宋体" w:cs="宋体"/>
          <w:szCs w:val="28"/>
        </w:rPr>
        <w:t>第二节 评标方法及标准</w:t>
      </w:r>
      <w:r>
        <w:tab/>
      </w:r>
      <w:r>
        <w:fldChar w:fldCharType="begin"/>
      </w:r>
      <w:r>
        <w:instrText xml:space="preserve"> PAGEREF _Toc3671 \h </w:instrText>
      </w:r>
      <w:r>
        <w:fldChar w:fldCharType="separate"/>
      </w:r>
      <w:r>
        <w:t>31</w:t>
      </w:r>
      <w:r>
        <w:fldChar w:fldCharType="end"/>
      </w:r>
      <w:r>
        <w:fldChar w:fldCharType="end"/>
      </w:r>
    </w:p>
    <w:p w14:paraId="3039D89E">
      <w:pPr>
        <w:pStyle w:val="21"/>
        <w:tabs>
          <w:tab w:val="right" w:leader="dot" w:pos="8731"/>
        </w:tabs>
        <w:ind w:left="840"/>
      </w:pPr>
      <w:r>
        <w:fldChar w:fldCharType="begin"/>
      </w:r>
      <w:r>
        <w:instrText xml:space="preserve"> HYPERLINK \l "_Toc26971" </w:instrText>
      </w:r>
      <w:r>
        <w:fldChar w:fldCharType="separate"/>
      </w:r>
      <w:r>
        <w:rPr>
          <w:rFonts w:hint="eastAsia" w:ascii="宋体" w:hAnsi="宋体" w:eastAsia="宋体" w:cs="宋体"/>
        </w:rPr>
        <w:t>1．评标方法</w:t>
      </w:r>
      <w:r>
        <w:tab/>
      </w:r>
      <w:r>
        <w:fldChar w:fldCharType="begin"/>
      </w:r>
      <w:r>
        <w:instrText xml:space="preserve"> PAGEREF _Toc26971 \h </w:instrText>
      </w:r>
      <w:r>
        <w:fldChar w:fldCharType="separate"/>
      </w:r>
      <w:r>
        <w:t>31</w:t>
      </w:r>
      <w:r>
        <w:fldChar w:fldCharType="end"/>
      </w:r>
      <w:r>
        <w:fldChar w:fldCharType="end"/>
      </w:r>
    </w:p>
    <w:p w14:paraId="0980FCEA">
      <w:pPr>
        <w:pStyle w:val="21"/>
        <w:tabs>
          <w:tab w:val="right" w:leader="dot" w:pos="8731"/>
        </w:tabs>
        <w:ind w:left="840"/>
      </w:pPr>
      <w:r>
        <w:fldChar w:fldCharType="begin"/>
      </w:r>
      <w:r>
        <w:instrText xml:space="preserve"> HYPERLINK \l "_Toc23638" </w:instrText>
      </w:r>
      <w:r>
        <w:fldChar w:fldCharType="separate"/>
      </w:r>
      <w:r>
        <w:rPr>
          <w:rFonts w:hint="eastAsia" w:ascii="宋体" w:hAnsi="宋体" w:eastAsia="宋体" w:cs="宋体"/>
        </w:rPr>
        <w:t>2．评标程序</w:t>
      </w:r>
      <w:r>
        <w:tab/>
      </w:r>
      <w:r>
        <w:fldChar w:fldCharType="begin"/>
      </w:r>
      <w:r>
        <w:instrText xml:space="preserve"> PAGEREF _Toc23638 \h </w:instrText>
      </w:r>
      <w:r>
        <w:fldChar w:fldCharType="separate"/>
      </w:r>
      <w:r>
        <w:t>31</w:t>
      </w:r>
      <w:r>
        <w:fldChar w:fldCharType="end"/>
      </w:r>
      <w:r>
        <w:fldChar w:fldCharType="end"/>
      </w:r>
    </w:p>
    <w:p w14:paraId="1BF5CE93">
      <w:pPr>
        <w:pStyle w:val="21"/>
        <w:tabs>
          <w:tab w:val="right" w:leader="dot" w:pos="8731"/>
        </w:tabs>
        <w:ind w:left="840"/>
      </w:pPr>
      <w:r>
        <w:fldChar w:fldCharType="begin"/>
      </w:r>
      <w:r>
        <w:instrText xml:space="preserve"> HYPERLINK \l "_Toc1922" </w:instrText>
      </w:r>
      <w:r>
        <w:fldChar w:fldCharType="separate"/>
      </w:r>
      <w:r>
        <w:rPr>
          <w:rFonts w:hint="eastAsia" w:ascii="宋体" w:hAnsi="宋体" w:eastAsia="宋体" w:cs="宋体"/>
        </w:rPr>
        <w:t>3．投标文件的符合性审查</w:t>
      </w:r>
      <w:r>
        <w:tab/>
      </w:r>
      <w:r>
        <w:fldChar w:fldCharType="begin"/>
      </w:r>
      <w:r>
        <w:instrText xml:space="preserve"> PAGEREF _Toc1922 \h </w:instrText>
      </w:r>
      <w:r>
        <w:fldChar w:fldCharType="separate"/>
      </w:r>
      <w:r>
        <w:t>31</w:t>
      </w:r>
      <w:r>
        <w:fldChar w:fldCharType="end"/>
      </w:r>
      <w:r>
        <w:fldChar w:fldCharType="end"/>
      </w:r>
    </w:p>
    <w:p w14:paraId="24A1437A">
      <w:pPr>
        <w:pStyle w:val="21"/>
        <w:tabs>
          <w:tab w:val="right" w:leader="dot" w:pos="8731"/>
        </w:tabs>
        <w:ind w:left="840"/>
      </w:pPr>
      <w:r>
        <w:fldChar w:fldCharType="begin"/>
      </w:r>
      <w:r>
        <w:instrText xml:space="preserve"> HYPERLINK \l "_Toc2325" </w:instrText>
      </w:r>
      <w:r>
        <w:fldChar w:fldCharType="separate"/>
      </w:r>
      <w:r>
        <w:rPr>
          <w:rFonts w:hint="eastAsia" w:ascii="宋体" w:hAnsi="宋体" w:eastAsia="宋体" w:cs="宋体"/>
        </w:rPr>
        <w:t>4．投标文件的澄清</w:t>
      </w:r>
      <w:r>
        <w:tab/>
      </w:r>
      <w:r>
        <w:fldChar w:fldCharType="begin"/>
      </w:r>
      <w:r>
        <w:instrText xml:space="preserve"> PAGEREF _Toc2325 \h </w:instrText>
      </w:r>
      <w:r>
        <w:fldChar w:fldCharType="separate"/>
      </w:r>
      <w:r>
        <w:t>31</w:t>
      </w:r>
      <w:r>
        <w:fldChar w:fldCharType="end"/>
      </w:r>
      <w:r>
        <w:fldChar w:fldCharType="end"/>
      </w:r>
    </w:p>
    <w:p w14:paraId="2BE8B90D">
      <w:pPr>
        <w:pStyle w:val="21"/>
        <w:tabs>
          <w:tab w:val="right" w:leader="dot" w:pos="8731"/>
        </w:tabs>
        <w:ind w:left="840"/>
      </w:pPr>
      <w:r>
        <w:fldChar w:fldCharType="begin"/>
      </w:r>
      <w:r>
        <w:instrText xml:space="preserve"> HYPERLINK \l "_Toc3267" </w:instrText>
      </w:r>
      <w:r>
        <w:fldChar w:fldCharType="separate"/>
      </w:r>
      <w:r>
        <w:rPr>
          <w:rFonts w:hint="eastAsia" w:ascii="宋体" w:hAnsi="宋体" w:eastAsia="宋体" w:cs="宋体"/>
        </w:rPr>
        <w:t>5．投标文件的比较与评价</w:t>
      </w:r>
      <w:r>
        <w:tab/>
      </w:r>
      <w:r>
        <w:fldChar w:fldCharType="begin"/>
      </w:r>
      <w:r>
        <w:instrText xml:space="preserve"> PAGEREF _Toc3267 \h </w:instrText>
      </w:r>
      <w:r>
        <w:fldChar w:fldCharType="separate"/>
      </w:r>
      <w:r>
        <w:t>32</w:t>
      </w:r>
      <w:r>
        <w:fldChar w:fldCharType="end"/>
      </w:r>
      <w:r>
        <w:fldChar w:fldCharType="end"/>
      </w:r>
    </w:p>
    <w:p w14:paraId="4F297C14">
      <w:pPr>
        <w:pStyle w:val="21"/>
        <w:tabs>
          <w:tab w:val="right" w:leader="dot" w:pos="8731"/>
        </w:tabs>
        <w:ind w:left="840"/>
      </w:pPr>
      <w:r>
        <w:fldChar w:fldCharType="begin"/>
      </w:r>
      <w:r>
        <w:instrText xml:space="preserve"> HYPERLINK \l "_Toc29558" </w:instrText>
      </w:r>
      <w:r>
        <w:fldChar w:fldCharType="separate"/>
      </w:r>
      <w:r>
        <w:rPr>
          <w:rFonts w:hint="eastAsia" w:ascii="宋体" w:hAnsi="宋体" w:eastAsia="宋体" w:cs="宋体"/>
        </w:rPr>
        <w:t>6．推荐中标候选人</w:t>
      </w:r>
      <w:r>
        <w:tab/>
      </w:r>
      <w:r>
        <w:fldChar w:fldCharType="begin"/>
      </w:r>
      <w:r>
        <w:instrText xml:space="preserve"> PAGEREF _Toc29558 \h </w:instrText>
      </w:r>
      <w:r>
        <w:fldChar w:fldCharType="separate"/>
      </w:r>
      <w:r>
        <w:t>33</w:t>
      </w:r>
      <w:r>
        <w:fldChar w:fldCharType="end"/>
      </w:r>
      <w:r>
        <w:fldChar w:fldCharType="end"/>
      </w:r>
    </w:p>
    <w:p w14:paraId="4196C491">
      <w:pPr>
        <w:pStyle w:val="21"/>
        <w:tabs>
          <w:tab w:val="right" w:leader="dot" w:pos="8731"/>
        </w:tabs>
        <w:ind w:left="840"/>
      </w:pPr>
      <w:r>
        <w:fldChar w:fldCharType="begin"/>
      </w:r>
      <w:r>
        <w:instrText xml:space="preserve"> HYPERLINK \l "_Toc2387" </w:instrText>
      </w:r>
      <w:r>
        <w:fldChar w:fldCharType="separate"/>
      </w:r>
      <w:r>
        <w:rPr>
          <w:rFonts w:hint="eastAsia" w:ascii="宋体" w:hAnsi="宋体" w:eastAsia="宋体" w:cs="宋体"/>
        </w:rPr>
        <w:t>7．编写评标报告</w:t>
      </w:r>
      <w:r>
        <w:tab/>
      </w:r>
      <w:r>
        <w:fldChar w:fldCharType="begin"/>
      </w:r>
      <w:r>
        <w:instrText xml:space="preserve"> PAGEREF _Toc2387 \h </w:instrText>
      </w:r>
      <w:r>
        <w:fldChar w:fldCharType="separate"/>
      </w:r>
      <w:r>
        <w:t>33</w:t>
      </w:r>
      <w:r>
        <w:fldChar w:fldCharType="end"/>
      </w:r>
      <w:r>
        <w:fldChar w:fldCharType="end"/>
      </w:r>
    </w:p>
    <w:p w14:paraId="53B44746">
      <w:pPr>
        <w:pStyle w:val="21"/>
        <w:tabs>
          <w:tab w:val="right" w:leader="dot" w:pos="8731"/>
        </w:tabs>
        <w:ind w:left="840"/>
      </w:pPr>
      <w:r>
        <w:fldChar w:fldCharType="begin"/>
      </w:r>
      <w:r>
        <w:instrText xml:space="preserve"> HYPERLINK \l "_Toc19531" </w:instrText>
      </w:r>
      <w:r>
        <w:fldChar w:fldCharType="separate"/>
      </w:r>
      <w:r>
        <w:rPr>
          <w:rFonts w:hint="eastAsia" w:ascii="宋体" w:hAnsi="宋体" w:eastAsia="宋体" w:cs="宋体"/>
        </w:rPr>
        <w:t>8．评标报告复核</w:t>
      </w:r>
      <w:r>
        <w:tab/>
      </w:r>
      <w:r>
        <w:fldChar w:fldCharType="begin"/>
      </w:r>
      <w:r>
        <w:instrText xml:space="preserve"> PAGEREF _Toc19531 \h </w:instrText>
      </w:r>
      <w:r>
        <w:fldChar w:fldCharType="separate"/>
      </w:r>
      <w:r>
        <w:t>34</w:t>
      </w:r>
      <w:r>
        <w:fldChar w:fldCharType="end"/>
      </w:r>
      <w:r>
        <w:fldChar w:fldCharType="end"/>
      </w:r>
    </w:p>
    <w:p w14:paraId="4E2F6916">
      <w:pPr>
        <w:pStyle w:val="21"/>
        <w:tabs>
          <w:tab w:val="right" w:leader="dot" w:pos="8731"/>
        </w:tabs>
        <w:ind w:left="840"/>
      </w:pPr>
      <w:r>
        <w:fldChar w:fldCharType="begin"/>
      </w:r>
      <w:r>
        <w:instrText xml:space="preserve"> HYPERLINK \l "_Toc3690" </w:instrText>
      </w:r>
      <w:r>
        <w:fldChar w:fldCharType="separate"/>
      </w:r>
      <w:r>
        <w:rPr>
          <w:rFonts w:hint="eastAsia" w:ascii="宋体" w:hAnsi="宋体" w:eastAsia="宋体" w:cs="宋体"/>
        </w:rPr>
        <w:t>9．停止评标</w:t>
      </w:r>
      <w:r>
        <w:tab/>
      </w:r>
      <w:r>
        <w:fldChar w:fldCharType="begin"/>
      </w:r>
      <w:r>
        <w:instrText xml:space="preserve"> PAGEREF _Toc3690 \h </w:instrText>
      </w:r>
      <w:r>
        <w:fldChar w:fldCharType="separate"/>
      </w:r>
      <w:r>
        <w:t>34</w:t>
      </w:r>
      <w:r>
        <w:fldChar w:fldCharType="end"/>
      </w:r>
      <w:r>
        <w:fldChar w:fldCharType="end"/>
      </w:r>
    </w:p>
    <w:p w14:paraId="61B0CB5F">
      <w:pPr>
        <w:pStyle w:val="21"/>
        <w:tabs>
          <w:tab w:val="right" w:leader="dot" w:pos="8731"/>
        </w:tabs>
        <w:ind w:left="840"/>
      </w:pPr>
      <w:r>
        <w:fldChar w:fldCharType="begin"/>
      </w:r>
      <w:r>
        <w:instrText xml:space="preserve"> HYPERLINK \l "_Toc7406" </w:instrText>
      </w:r>
      <w:r>
        <w:fldChar w:fldCharType="separate"/>
      </w:r>
      <w:r>
        <w:rPr>
          <w:rFonts w:hint="eastAsia" w:ascii="宋体" w:hAnsi="宋体" w:eastAsia="宋体" w:cs="宋体"/>
          <w:kern w:val="0"/>
        </w:rPr>
        <w:t>11．重新组建评标委员会进行评标</w:t>
      </w:r>
      <w:r>
        <w:tab/>
      </w:r>
      <w:r>
        <w:fldChar w:fldCharType="begin"/>
      </w:r>
      <w:r>
        <w:instrText xml:space="preserve"> PAGEREF _Toc7406 \h </w:instrText>
      </w:r>
      <w:r>
        <w:fldChar w:fldCharType="separate"/>
      </w:r>
      <w:r>
        <w:t>34</w:t>
      </w:r>
      <w:r>
        <w:fldChar w:fldCharType="end"/>
      </w:r>
      <w:r>
        <w:fldChar w:fldCharType="end"/>
      </w:r>
    </w:p>
    <w:p w14:paraId="7636860F">
      <w:pPr>
        <w:pStyle w:val="33"/>
        <w:tabs>
          <w:tab w:val="right" w:leader="dot" w:pos="8731"/>
        </w:tabs>
        <w:ind w:left="420"/>
        <w:sectPr>
          <w:footerReference r:id="rId9" w:type="default"/>
          <w:pgSz w:w="11905" w:h="16838"/>
          <w:pgMar w:top="1440" w:right="1587" w:bottom="1440" w:left="1587" w:header="1020" w:footer="567" w:gutter="0"/>
          <w:pgNumType w:fmt="upperRoman" w:start="1"/>
          <w:cols w:space="0" w:num="1"/>
          <w:docGrid w:type="lines" w:linePitch="317" w:charSpace="0"/>
        </w:sectPr>
      </w:pPr>
    </w:p>
    <w:p w14:paraId="3FDF3E25">
      <w:pPr>
        <w:pStyle w:val="33"/>
        <w:tabs>
          <w:tab w:val="right" w:leader="dot" w:pos="8731"/>
        </w:tabs>
        <w:ind w:left="420"/>
      </w:pPr>
      <w:r>
        <w:fldChar w:fldCharType="begin"/>
      </w:r>
      <w:r>
        <w:instrText xml:space="preserve"> HYPERLINK \l "_Toc20717" </w:instrText>
      </w:r>
      <w:r>
        <w:fldChar w:fldCharType="separate"/>
      </w:r>
      <w:r>
        <w:rPr>
          <w:rFonts w:hint="eastAsia" w:ascii="宋体" w:hAnsi="宋体" w:eastAsia="宋体" w:cs="宋体"/>
          <w:szCs w:val="28"/>
        </w:rPr>
        <w:t>第三节 投标文件的符合性审查</w:t>
      </w:r>
      <w:r>
        <w:tab/>
      </w:r>
      <w:r>
        <w:fldChar w:fldCharType="begin"/>
      </w:r>
      <w:r>
        <w:instrText xml:space="preserve"> PAGEREF _Toc20717 \h </w:instrText>
      </w:r>
      <w:r>
        <w:fldChar w:fldCharType="separate"/>
      </w:r>
      <w:r>
        <w:t>36</w:t>
      </w:r>
      <w:r>
        <w:fldChar w:fldCharType="end"/>
      </w:r>
      <w:r>
        <w:fldChar w:fldCharType="end"/>
      </w:r>
    </w:p>
    <w:p w14:paraId="31784CC7">
      <w:pPr>
        <w:pStyle w:val="33"/>
        <w:tabs>
          <w:tab w:val="right" w:leader="dot" w:pos="8731"/>
        </w:tabs>
        <w:ind w:left="420"/>
      </w:pPr>
      <w:r>
        <w:fldChar w:fldCharType="begin"/>
      </w:r>
      <w:r>
        <w:instrText xml:space="preserve"> HYPERLINK \l "_Toc18545" </w:instrText>
      </w:r>
      <w:r>
        <w:fldChar w:fldCharType="separate"/>
      </w:r>
      <w:r>
        <w:rPr>
          <w:rFonts w:hint="eastAsia" w:ascii="宋体" w:hAnsi="宋体" w:eastAsia="宋体" w:cs="宋体"/>
          <w:szCs w:val="28"/>
        </w:rPr>
        <w:t>第四节 投标文件的比较与评价（综合评分法）</w:t>
      </w:r>
      <w:r>
        <w:tab/>
      </w:r>
      <w:r>
        <w:fldChar w:fldCharType="begin"/>
      </w:r>
      <w:r>
        <w:instrText xml:space="preserve"> PAGEREF _Toc18545 \h </w:instrText>
      </w:r>
      <w:r>
        <w:fldChar w:fldCharType="separate"/>
      </w:r>
      <w:r>
        <w:t>38</w:t>
      </w:r>
      <w:r>
        <w:fldChar w:fldCharType="end"/>
      </w:r>
      <w:r>
        <w:fldChar w:fldCharType="end"/>
      </w:r>
    </w:p>
    <w:p w14:paraId="73D4C091">
      <w:pPr>
        <w:pStyle w:val="29"/>
        <w:tabs>
          <w:tab w:val="right" w:leader="dot" w:pos="8731"/>
        </w:tabs>
      </w:pPr>
      <w:r>
        <w:fldChar w:fldCharType="begin"/>
      </w:r>
      <w:r>
        <w:instrText xml:space="preserve"> HYPERLINK \l "_Toc8556" </w:instrText>
      </w:r>
      <w:r>
        <w:fldChar w:fldCharType="separate"/>
      </w:r>
      <w:r>
        <w:rPr>
          <w:rFonts w:hint="eastAsia" w:ascii="宋体" w:hAnsi="宋体" w:eastAsia="宋体" w:cs="宋体"/>
          <w:szCs w:val="32"/>
        </w:rPr>
        <w:t>第五章 采购需求</w:t>
      </w:r>
      <w:r>
        <w:tab/>
      </w:r>
      <w:r>
        <w:fldChar w:fldCharType="begin"/>
      </w:r>
      <w:r>
        <w:instrText xml:space="preserve"> PAGEREF _Toc8556 \h </w:instrText>
      </w:r>
      <w:r>
        <w:fldChar w:fldCharType="separate"/>
      </w:r>
      <w:r>
        <w:t>40</w:t>
      </w:r>
      <w:r>
        <w:fldChar w:fldCharType="end"/>
      </w:r>
      <w:r>
        <w:fldChar w:fldCharType="end"/>
      </w:r>
    </w:p>
    <w:p w14:paraId="054F9727">
      <w:pPr>
        <w:pStyle w:val="29"/>
        <w:tabs>
          <w:tab w:val="right" w:leader="dot" w:pos="8731"/>
        </w:tabs>
      </w:pPr>
      <w:r>
        <w:fldChar w:fldCharType="begin"/>
      </w:r>
      <w:r>
        <w:instrText xml:space="preserve"> HYPERLINK \l "_Toc1585" </w:instrText>
      </w:r>
      <w:r>
        <w:fldChar w:fldCharType="separate"/>
      </w:r>
      <w:r>
        <w:rPr>
          <w:rFonts w:hint="eastAsia" w:ascii="宋体" w:hAnsi="宋体" w:eastAsia="宋体" w:cs="宋体"/>
          <w:szCs w:val="32"/>
        </w:rPr>
        <w:t>第六章 政府采购合同</w:t>
      </w:r>
      <w:r>
        <w:tab/>
      </w:r>
      <w:r>
        <w:fldChar w:fldCharType="begin"/>
      </w:r>
      <w:r>
        <w:instrText xml:space="preserve"> PAGEREF _Toc1585 \h </w:instrText>
      </w:r>
      <w:r>
        <w:fldChar w:fldCharType="separate"/>
      </w:r>
      <w:r>
        <w:t>40</w:t>
      </w:r>
      <w:r>
        <w:fldChar w:fldCharType="end"/>
      </w:r>
      <w:r>
        <w:fldChar w:fldCharType="end"/>
      </w:r>
    </w:p>
    <w:p w14:paraId="376136B2">
      <w:pPr>
        <w:pStyle w:val="29"/>
        <w:tabs>
          <w:tab w:val="right" w:leader="dot" w:pos="8731"/>
        </w:tabs>
      </w:pPr>
      <w:r>
        <w:fldChar w:fldCharType="begin"/>
      </w:r>
      <w:r>
        <w:instrText xml:space="preserve"> HYPERLINK \l "_Toc17570" </w:instrText>
      </w:r>
      <w:r>
        <w:fldChar w:fldCharType="separate"/>
      </w:r>
      <w:r>
        <w:rPr>
          <w:rFonts w:hint="eastAsia" w:ascii="宋体" w:hAnsi="宋体" w:eastAsia="宋体" w:cs="宋体"/>
          <w:bCs/>
          <w:szCs w:val="32"/>
        </w:rPr>
        <w:t>第七章 投标文件的组成</w:t>
      </w:r>
      <w:r>
        <w:tab/>
      </w:r>
      <w:r>
        <w:fldChar w:fldCharType="begin"/>
      </w:r>
      <w:r>
        <w:instrText xml:space="preserve"> PAGEREF _Toc17570 \h </w:instrText>
      </w:r>
      <w:r>
        <w:fldChar w:fldCharType="separate"/>
      </w:r>
      <w:r>
        <w:t>180</w:t>
      </w:r>
      <w:r>
        <w:fldChar w:fldCharType="end"/>
      </w:r>
      <w:r>
        <w:fldChar w:fldCharType="end"/>
      </w:r>
    </w:p>
    <w:p w14:paraId="7BAF8A46">
      <w:pPr>
        <w:pStyle w:val="33"/>
        <w:tabs>
          <w:tab w:val="right" w:leader="dot" w:pos="8731"/>
        </w:tabs>
        <w:ind w:left="420"/>
      </w:pPr>
      <w:r>
        <w:fldChar w:fldCharType="begin"/>
      </w:r>
      <w:r>
        <w:instrText xml:space="preserve"> HYPERLINK \l "_Toc23611" </w:instrText>
      </w:r>
      <w:r>
        <w:fldChar w:fldCharType="separate"/>
      </w:r>
      <w:r>
        <w:rPr>
          <w:rFonts w:hint="eastAsia" w:ascii="宋体" w:hAnsi="宋体" w:eastAsia="宋体" w:cs="宋体"/>
          <w:szCs w:val="44"/>
        </w:rPr>
        <w:t>第一部分 资格证明文件</w:t>
      </w:r>
      <w:r>
        <w:tab/>
      </w:r>
      <w:r>
        <w:fldChar w:fldCharType="begin"/>
      </w:r>
      <w:r>
        <w:instrText xml:space="preserve"> PAGEREF _Toc23611 \h </w:instrText>
      </w:r>
      <w:r>
        <w:fldChar w:fldCharType="separate"/>
      </w:r>
      <w:r>
        <w:t>181</w:t>
      </w:r>
      <w:r>
        <w:fldChar w:fldCharType="end"/>
      </w:r>
      <w:r>
        <w:fldChar w:fldCharType="end"/>
      </w:r>
    </w:p>
    <w:p w14:paraId="2973F065">
      <w:pPr>
        <w:pStyle w:val="33"/>
        <w:tabs>
          <w:tab w:val="right" w:leader="dot" w:pos="8731"/>
        </w:tabs>
        <w:ind w:left="420"/>
      </w:pPr>
      <w:r>
        <w:fldChar w:fldCharType="begin"/>
      </w:r>
      <w:r>
        <w:instrText xml:space="preserve"> HYPERLINK \l "_Toc6890" </w:instrText>
      </w:r>
      <w:r>
        <w:fldChar w:fldCharType="separate"/>
      </w:r>
      <w:r>
        <w:rPr>
          <w:rFonts w:hint="eastAsia" w:ascii="宋体" w:hAnsi="宋体" w:eastAsia="宋体" w:cs="宋体"/>
          <w:szCs w:val="44"/>
        </w:rPr>
        <w:t>第二部分 商务文件</w:t>
      </w:r>
      <w:r>
        <w:tab/>
      </w:r>
      <w:r>
        <w:fldChar w:fldCharType="begin"/>
      </w:r>
      <w:r>
        <w:instrText xml:space="preserve"> PAGEREF _Toc6890 \h </w:instrText>
      </w:r>
      <w:r>
        <w:fldChar w:fldCharType="separate"/>
      </w:r>
      <w:r>
        <w:t>190</w:t>
      </w:r>
      <w:r>
        <w:fldChar w:fldCharType="end"/>
      </w:r>
      <w:r>
        <w:fldChar w:fldCharType="end"/>
      </w:r>
    </w:p>
    <w:p w14:paraId="3EF5FCBD">
      <w:pPr>
        <w:pStyle w:val="33"/>
        <w:tabs>
          <w:tab w:val="right" w:leader="dot" w:pos="8731"/>
        </w:tabs>
        <w:ind w:left="420"/>
      </w:pPr>
      <w:r>
        <w:fldChar w:fldCharType="begin"/>
      </w:r>
      <w:r>
        <w:instrText xml:space="preserve"> HYPERLINK \l "_Toc15033" </w:instrText>
      </w:r>
      <w:r>
        <w:fldChar w:fldCharType="separate"/>
      </w:r>
      <w:r>
        <w:rPr>
          <w:rFonts w:hint="eastAsia" w:ascii="宋体" w:hAnsi="宋体" w:eastAsia="宋体" w:cs="宋体"/>
          <w:szCs w:val="44"/>
        </w:rPr>
        <w:t>第</w:t>
      </w:r>
      <w:r>
        <w:rPr>
          <w:rFonts w:hint="eastAsia" w:ascii="宋体" w:hAnsi="宋体" w:cs="宋体"/>
          <w:szCs w:val="44"/>
        </w:rPr>
        <w:t>三</w:t>
      </w:r>
      <w:r>
        <w:rPr>
          <w:rFonts w:hint="eastAsia" w:ascii="宋体" w:hAnsi="宋体" w:eastAsia="宋体" w:cs="宋体"/>
          <w:szCs w:val="44"/>
        </w:rPr>
        <w:t xml:space="preserve">部分 </w:t>
      </w:r>
      <w:r>
        <w:rPr>
          <w:rFonts w:hint="eastAsia" w:ascii="宋体" w:hAnsi="宋体" w:cs="宋体"/>
          <w:szCs w:val="44"/>
        </w:rPr>
        <w:t>技术</w:t>
      </w:r>
      <w:r>
        <w:rPr>
          <w:rFonts w:hint="eastAsia" w:ascii="宋体" w:hAnsi="宋体" w:eastAsia="宋体" w:cs="宋体"/>
          <w:szCs w:val="44"/>
        </w:rPr>
        <w:t>文件</w:t>
      </w:r>
      <w:r>
        <w:tab/>
      </w:r>
      <w:r>
        <w:fldChar w:fldCharType="begin"/>
      </w:r>
      <w:r>
        <w:instrText xml:space="preserve"> PAGEREF _Toc15033 \h </w:instrText>
      </w:r>
      <w:r>
        <w:fldChar w:fldCharType="separate"/>
      </w:r>
      <w:r>
        <w:t>199</w:t>
      </w:r>
      <w:r>
        <w:fldChar w:fldCharType="end"/>
      </w:r>
      <w:r>
        <w:fldChar w:fldCharType="end"/>
      </w:r>
    </w:p>
    <w:p w14:paraId="736C8554">
      <w:pPr>
        <w:pStyle w:val="21"/>
        <w:tabs>
          <w:tab w:val="right" w:leader="dot" w:pos="8731"/>
        </w:tabs>
        <w:ind w:left="840"/>
      </w:pPr>
    </w:p>
    <w:p w14:paraId="2962E8DF">
      <w:pPr>
        <w:pStyle w:val="22"/>
        <w:adjustRightInd w:val="0"/>
        <w:snapToGrid w:val="0"/>
        <w:spacing w:line="360" w:lineRule="auto"/>
        <w:outlineLvl w:val="0"/>
        <w:rPr>
          <w:rFonts w:hAnsi="宋体" w:cs="宋体"/>
        </w:rPr>
      </w:pPr>
      <w:r>
        <w:rPr>
          <w:rFonts w:hint="eastAsia" w:hAnsi="宋体" w:cs="宋体"/>
        </w:rPr>
        <w:fldChar w:fldCharType="end"/>
      </w:r>
      <w:r>
        <w:rPr>
          <w:rFonts w:hint="eastAsia" w:hAnsi="宋体" w:cs="宋体"/>
        </w:rPr>
        <w:t xml:space="preserve"> </w:t>
      </w:r>
    </w:p>
    <w:p w14:paraId="02495D99">
      <w:pPr>
        <w:pStyle w:val="2"/>
        <w:rPr>
          <w:rFonts w:ascii="宋体" w:hAnsi="宋体" w:cs="宋体"/>
        </w:rPr>
        <w:sectPr>
          <w:footerReference r:id="rId10" w:type="default"/>
          <w:pgSz w:w="11905" w:h="16838"/>
          <w:pgMar w:top="1440" w:right="1587" w:bottom="1440" w:left="1587" w:header="1020" w:footer="567" w:gutter="0"/>
          <w:pgNumType w:fmt="upperRoman" w:start="1"/>
          <w:cols w:space="0" w:num="1"/>
          <w:docGrid w:type="lines" w:linePitch="317" w:charSpace="0"/>
        </w:sectPr>
      </w:pPr>
      <w:bookmarkStart w:id="0" w:name="_Toc20642243"/>
      <w:bookmarkStart w:id="1" w:name="_Toc20816073"/>
      <w:bookmarkStart w:id="2" w:name="_Toc21000471"/>
      <w:bookmarkStart w:id="3" w:name="_Toc53472201"/>
      <w:bookmarkStart w:id="4" w:name="_Toc21001314"/>
      <w:bookmarkStart w:id="5" w:name="_Toc35421027"/>
      <w:bookmarkStart w:id="6" w:name="_Toc20988241"/>
      <w:bookmarkStart w:id="7" w:name="_Toc34720698"/>
    </w:p>
    <w:p w14:paraId="005C549B">
      <w:pPr>
        <w:pStyle w:val="2"/>
        <w:rPr>
          <w:rFonts w:ascii="宋体" w:hAnsi="宋体" w:cs="宋体"/>
          <w:sz w:val="32"/>
          <w:szCs w:val="32"/>
        </w:rPr>
      </w:pPr>
      <w:bookmarkStart w:id="8" w:name="_Toc6599"/>
      <w:r>
        <w:rPr>
          <w:rFonts w:hint="eastAsia" w:ascii="宋体" w:hAnsi="宋体" w:cs="宋体"/>
          <w:sz w:val="32"/>
          <w:szCs w:val="32"/>
        </w:rPr>
        <w:t>第一章 投标邀请</w:t>
      </w:r>
      <w:bookmarkEnd w:id="8"/>
    </w:p>
    <w:p w14:paraId="5B7A7975">
      <w:pPr>
        <w:pStyle w:val="22"/>
        <w:adjustRightInd w:val="0"/>
        <w:snapToGrid w:val="0"/>
        <w:spacing w:line="360" w:lineRule="auto"/>
        <w:jc w:val="center"/>
        <w:rPr>
          <w:rFonts w:hAnsi="宋体" w:cs="宋体"/>
          <w:iCs/>
        </w:rPr>
      </w:pPr>
    </w:p>
    <w:p w14:paraId="342D4B47">
      <w:pPr>
        <w:adjustRightInd w:val="0"/>
        <w:snapToGrid w:val="0"/>
        <w:spacing w:line="360" w:lineRule="auto"/>
        <w:ind w:firstLine="420" w:firstLineChars="200"/>
        <w:rPr>
          <w:rFonts w:ascii="宋体" w:hAnsi="宋体"/>
          <w:szCs w:val="21"/>
        </w:rPr>
      </w:pPr>
      <w:bookmarkStart w:id="9" w:name="OLE_LINK1"/>
      <w:r>
        <w:rPr>
          <w:rFonts w:hint="eastAsia" w:ascii="宋体" w:hAnsi="宋体"/>
          <w:szCs w:val="21"/>
          <w:u w:val="single"/>
        </w:rPr>
        <w:t>株洲市第八中学</w:t>
      </w:r>
      <w:r>
        <w:rPr>
          <w:rFonts w:hint="eastAsia" w:ascii="宋体" w:hAnsi="宋体"/>
          <w:szCs w:val="21"/>
        </w:rPr>
        <w:t>的</w:t>
      </w:r>
      <w:r>
        <w:rPr>
          <w:rFonts w:hint="eastAsia" w:ascii="宋体" w:hAnsi="宋体"/>
          <w:szCs w:val="21"/>
          <w:u w:val="single"/>
          <w:lang w:eastAsia="zh-CN"/>
        </w:rPr>
        <w:t>科创楼报告厅设备采购项目</w:t>
      </w:r>
      <w:r>
        <w:rPr>
          <w:rFonts w:hint="eastAsia" w:ascii="宋体" w:hAnsi="宋体"/>
          <w:szCs w:val="21"/>
        </w:rPr>
        <w:t>进行公开招标采购，现邀请合格投标人参加投标。</w:t>
      </w:r>
    </w:p>
    <w:p w14:paraId="59E05C20">
      <w:pPr>
        <w:adjustRightInd w:val="0"/>
        <w:snapToGrid w:val="0"/>
        <w:spacing w:line="360" w:lineRule="auto"/>
        <w:ind w:firstLine="422" w:firstLineChars="200"/>
        <w:outlineLvl w:val="1"/>
        <w:rPr>
          <w:rFonts w:ascii="宋体" w:hAnsi="宋体"/>
          <w:b/>
          <w:szCs w:val="21"/>
        </w:rPr>
      </w:pPr>
      <w:bookmarkStart w:id="10" w:name="_Toc20446"/>
      <w:bookmarkStart w:id="11" w:name="_Toc18507"/>
      <w:r>
        <w:rPr>
          <w:rFonts w:hint="eastAsia" w:ascii="宋体" w:hAnsi="宋体"/>
          <w:b/>
          <w:szCs w:val="21"/>
        </w:rPr>
        <w:t>一、采购项目基本信息</w:t>
      </w:r>
      <w:bookmarkEnd w:id="10"/>
      <w:bookmarkEnd w:id="11"/>
    </w:p>
    <w:p w14:paraId="157FC8BC">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1、采购项目名称：</w:t>
      </w:r>
      <w:r>
        <w:rPr>
          <w:rFonts w:hint="eastAsia" w:ascii="宋体" w:hAnsi="宋体"/>
          <w:szCs w:val="21"/>
          <w:u w:val="single"/>
          <w:lang w:eastAsia="zh-CN"/>
        </w:rPr>
        <w:t>株洲市第八中学科创楼报告厅设备采购项目</w:t>
      </w:r>
    </w:p>
    <w:p w14:paraId="7FE7249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2、政府采购计划编号：</w:t>
      </w:r>
      <w:r>
        <w:rPr>
          <w:rFonts w:hint="eastAsia" w:ascii="宋体" w:hAnsi="宋体"/>
          <w:color w:val="auto"/>
          <w:szCs w:val="21"/>
          <w:u w:val="single"/>
          <w:lang w:eastAsia="zh-CN"/>
        </w:rPr>
        <w:t>(2026)430200000020-1</w:t>
      </w:r>
      <w:r>
        <w:rPr>
          <w:rFonts w:hint="eastAsia" w:ascii="宋体" w:hAnsi="宋体"/>
          <w:color w:val="auto"/>
          <w:szCs w:val="21"/>
        </w:rPr>
        <w:t xml:space="preserve">  </w:t>
      </w:r>
    </w:p>
    <w:p w14:paraId="2C81FD64">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3、委托代理编号：</w:t>
      </w:r>
      <w:r>
        <w:rPr>
          <w:rFonts w:hint="eastAsia" w:ascii="宋体" w:hAnsi="宋体"/>
          <w:szCs w:val="21"/>
          <w:u w:val="single"/>
          <w:lang w:eastAsia="zh-CN"/>
        </w:rPr>
        <w:t>HNPJ-ZZ-4183</w:t>
      </w:r>
    </w:p>
    <w:p w14:paraId="75614BC1">
      <w:pPr>
        <w:adjustRightInd w:val="0"/>
        <w:snapToGrid w:val="0"/>
        <w:spacing w:line="360" w:lineRule="auto"/>
        <w:ind w:firstLine="420" w:firstLineChars="200"/>
        <w:rPr>
          <w:rFonts w:ascii="宋体" w:hAnsi="宋体"/>
          <w:szCs w:val="21"/>
          <w:u w:val="single"/>
        </w:rPr>
      </w:pPr>
      <w:r>
        <w:rPr>
          <w:rFonts w:hint="eastAsia" w:ascii="宋体" w:hAnsi="宋体"/>
          <w:bCs/>
          <w:szCs w:val="21"/>
        </w:rPr>
        <w:t>4、采购项目预算：</w:t>
      </w:r>
      <w:r>
        <w:rPr>
          <w:rFonts w:hint="eastAsia" w:ascii="宋体" w:hAnsi="宋体"/>
          <w:szCs w:val="21"/>
          <w:u w:val="single"/>
          <w:lang w:eastAsia="zh-CN"/>
        </w:rPr>
        <w:t>2737794</w:t>
      </w:r>
      <w:r>
        <w:rPr>
          <w:rFonts w:hint="eastAsia" w:ascii="宋体" w:hAnsi="宋体"/>
          <w:szCs w:val="21"/>
          <w:u w:val="single"/>
        </w:rPr>
        <w:t>元</w:t>
      </w:r>
    </w:p>
    <w:p w14:paraId="25003F39">
      <w:pPr>
        <w:adjustRightInd w:val="0"/>
        <w:snapToGrid w:val="0"/>
        <w:spacing w:line="360" w:lineRule="auto"/>
        <w:ind w:firstLine="630" w:firstLineChars="300"/>
        <w:rPr>
          <w:rFonts w:ascii="宋体" w:hAnsi="宋体"/>
          <w:bCs/>
          <w:szCs w:val="21"/>
        </w:rPr>
      </w:pPr>
      <w:r>
        <w:rPr>
          <w:rFonts w:hint="eastAsia" w:ascii="宋体" w:hAnsi="宋体"/>
          <w:iCs/>
          <w:szCs w:val="21"/>
        </w:rPr>
        <w:sym w:font="Wingdings" w:char="00FE"/>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w:t>
      </w:r>
      <w:r>
        <w:rPr>
          <w:rFonts w:hint="eastAsia" w:ascii="宋体" w:hAnsi="宋体" w:cs="宋体"/>
          <w:bCs/>
          <w:szCs w:val="21"/>
          <w:u w:val="single"/>
        </w:rPr>
        <w:t>非中小企业为30%,中小企业为50%</w:t>
      </w:r>
      <w:r>
        <w:rPr>
          <w:rFonts w:hint="eastAsia" w:ascii="宋体" w:hAnsi="宋体"/>
          <w:bCs/>
          <w:szCs w:val="21"/>
          <w:u w:val="single"/>
        </w:rPr>
        <w:t xml:space="preserve"> </w:t>
      </w:r>
    </w:p>
    <w:p w14:paraId="2686679D">
      <w:pPr>
        <w:adjustRightInd w:val="0"/>
        <w:snapToGrid w:val="0"/>
        <w:spacing w:line="360" w:lineRule="auto"/>
        <w:ind w:firstLine="420" w:firstLineChars="200"/>
        <w:rPr>
          <w:rFonts w:ascii="宋体" w:hAnsi="宋体"/>
          <w:szCs w:val="21"/>
          <w:u w:val="single"/>
        </w:rPr>
      </w:pPr>
      <w:r>
        <w:rPr>
          <w:rFonts w:hint="eastAsia" w:ascii="宋体" w:hAnsi="宋体"/>
          <w:szCs w:val="21"/>
        </w:rPr>
        <w:t>5、</w:t>
      </w:r>
      <w:r>
        <w:rPr>
          <w:rFonts w:hint="eastAsia" w:ascii="宋体" w:hAnsi="宋体"/>
          <w:bCs/>
          <w:szCs w:val="21"/>
        </w:rPr>
        <w:t>本项目</w:t>
      </w:r>
      <w:r>
        <w:rPr>
          <w:rFonts w:hint="eastAsia" w:ascii="宋体" w:hAnsi="宋体"/>
          <w:szCs w:val="21"/>
        </w:rPr>
        <w:t>对应的中小企业划分标准所属行业：</w:t>
      </w:r>
      <w:r>
        <w:rPr>
          <w:rFonts w:hint="eastAsia" w:ascii="宋体" w:hAnsi="宋体"/>
          <w:szCs w:val="21"/>
          <w:u w:val="single"/>
        </w:rPr>
        <w:t xml:space="preserve"> 工业 </w:t>
      </w:r>
    </w:p>
    <w:p w14:paraId="29FF8775">
      <w:pPr>
        <w:adjustRightInd w:val="0"/>
        <w:snapToGrid w:val="0"/>
        <w:spacing w:line="360" w:lineRule="auto"/>
        <w:ind w:firstLine="420" w:firstLineChars="200"/>
        <w:rPr>
          <w:rFonts w:ascii="宋体" w:hAnsi="宋体"/>
          <w:bCs/>
          <w:szCs w:val="21"/>
        </w:rPr>
      </w:pPr>
      <w:r>
        <w:rPr>
          <w:rFonts w:hint="eastAsia" w:ascii="宋体" w:hAnsi="宋体"/>
          <w:bCs/>
          <w:szCs w:val="21"/>
        </w:rPr>
        <w:t>6、评标方法：</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最低评标价法 </w:t>
      </w:r>
      <w:r>
        <w:rPr>
          <w:rFonts w:hint="eastAsia" w:ascii="宋体" w:hAnsi="宋体"/>
          <w:iCs/>
          <w:szCs w:val="21"/>
        </w:rPr>
        <w:sym w:font="Wingdings" w:char="00FE"/>
      </w:r>
      <w:r>
        <w:rPr>
          <w:rFonts w:hint="eastAsia" w:ascii="宋体" w:hAnsi="宋体"/>
          <w:iCs/>
          <w:szCs w:val="21"/>
        </w:rPr>
        <w:t>综合评分法</w:t>
      </w:r>
    </w:p>
    <w:p w14:paraId="179306E6">
      <w:pPr>
        <w:adjustRightInd w:val="0"/>
        <w:snapToGrid w:val="0"/>
        <w:spacing w:line="360" w:lineRule="auto"/>
        <w:ind w:firstLine="420" w:firstLineChars="200"/>
        <w:rPr>
          <w:rFonts w:ascii="宋体" w:hAnsi="宋体"/>
          <w:bCs/>
          <w:szCs w:val="21"/>
        </w:rPr>
      </w:pPr>
      <w:r>
        <w:rPr>
          <w:rFonts w:hint="eastAsia" w:ascii="宋体" w:hAnsi="宋体"/>
          <w:bCs/>
          <w:szCs w:val="21"/>
        </w:rPr>
        <w:t>7、合同定价方式：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66F4C63B">
      <w:pPr>
        <w:adjustRightInd w:val="0"/>
        <w:snapToGrid w:val="0"/>
        <w:spacing w:line="360" w:lineRule="auto"/>
        <w:ind w:firstLine="420" w:firstLineChars="200"/>
        <w:rPr>
          <w:rFonts w:ascii="宋体" w:hAnsi="宋体"/>
          <w:szCs w:val="21"/>
        </w:rPr>
      </w:pPr>
      <w:r>
        <w:rPr>
          <w:rFonts w:hint="eastAsia" w:ascii="宋体" w:hAnsi="宋体"/>
          <w:bCs/>
          <w:szCs w:val="21"/>
        </w:rPr>
        <w:t>8、合同履行期限：</w:t>
      </w:r>
      <w:r>
        <w:rPr>
          <w:rFonts w:hint="eastAsia" w:ascii="宋体" w:hAnsi="宋体"/>
          <w:szCs w:val="21"/>
        </w:rPr>
        <w:t>60日历天内完成交付。</w:t>
      </w:r>
    </w:p>
    <w:p w14:paraId="6A8C9933">
      <w:pPr>
        <w:pStyle w:val="153"/>
        <w:rPr>
          <w:b w:val="0"/>
        </w:rPr>
      </w:pPr>
      <w:r>
        <w:rPr>
          <w:rFonts w:hint="eastAsia" w:ascii="宋体" w:hAnsi="宋体"/>
          <w:b w:val="0"/>
          <w:szCs w:val="21"/>
        </w:rPr>
        <w:t>9、</w:t>
      </w:r>
      <w:r>
        <w:rPr>
          <w:rFonts w:hint="eastAsia"/>
          <w:b w:val="0"/>
        </w:rPr>
        <w:t>本项目分阶段要求投标人提供以下保证：</w:t>
      </w:r>
    </w:p>
    <w:p w14:paraId="05A7DAC0">
      <w:pPr>
        <w:pStyle w:val="153"/>
        <w:spacing w:line="360" w:lineRule="auto"/>
        <w:ind w:firstLine="840" w:firstLineChars="400"/>
        <w:rPr>
          <w:rFonts w:ascii="宋体" w:hAnsi="宋体"/>
          <w:b w:val="0"/>
          <w:iCs/>
        </w:rPr>
      </w:pPr>
      <w:r>
        <w:rPr>
          <w:rFonts w:hint="eastAsia" w:ascii="宋体" w:hAnsi="宋体"/>
          <w:b w:val="0"/>
          <w:iCs/>
        </w:rPr>
        <w:sym w:font="Wingdings" w:char="00A8"/>
      </w:r>
      <w:r>
        <w:rPr>
          <w:rFonts w:hint="eastAsia" w:ascii="宋体" w:hAnsi="宋体"/>
          <w:b w:val="0"/>
        </w:rPr>
        <w:t>投标保证金：</w:t>
      </w:r>
      <w:r>
        <w:rPr>
          <w:rFonts w:hint="eastAsia" w:ascii="宋体" w:hAnsi="宋体"/>
          <w:b w:val="0"/>
          <w:iCs/>
        </w:rPr>
        <w:t>采购项目预算的</w:t>
      </w:r>
      <w:r>
        <w:rPr>
          <w:rFonts w:hint="eastAsia" w:ascii="宋体" w:hAnsi="宋体"/>
          <w:b w:val="0"/>
          <w:iCs/>
          <w:u w:val="single"/>
        </w:rPr>
        <w:t xml:space="preserve">   </w:t>
      </w:r>
      <w:r>
        <w:rPr>
          <w:rFonts w:hint="eastAsia" w:ascii="宋体" w:hAnsi="宋体"/>
          <w:b w:val="0"/>
          <w:iCs/>
        </w:rPr>
        <w:t>%</w:t>
      </w:r>
      <w:r>
        <w:rPr>
          <w:rFonts w:hint="eastAsia" w:ascii="宋体" w:hAnsi="宋体"/>
          <w:b w:val="0"/>
        </w:rPr>
        <w:t>；</w:t>
      </w:r>
    </w:p>
    <w:p w14:paraId="0716469F">
      <w:pPr>
        <w:pStyle w:val="153"/>
        <w:spacing w:line="360" w:lineRule="auto"/>
        <w:ind w:firstLine="840" w:firstLineChars="400"/>
        <w:rPr>
          <w:rFonts w:ascii="宋体" w:hAnsi="宋体"/>
          <w:b w:val="0"/>
          <w:iCs/>
        </w:rPr>
      </w:pPr>
      <w:r>
        <w:rPr>
          <w:rFonts w:hint="eastAsia" w:ascii="宋体" w:hAnsi="宋体"/>
          <w:b w:val="0"/>
          <w:iCs/>
        </w:rPr>
        <w:sym w:font="Wingdings" w:char="00FE"/>
      </w:r>
      <w:r>
        <w:rPr>
          <w:rFonts w:hint="eastAsia" w:ascii="宋体" w:hAnsi="宋体"/>
          <w:b w:val="0"/>
        </w:rPr>
        <w:t>履约保证金：</w:t>
      </w:r>
      <w:r>
        <w:rPr>
          <w:rFonts w:hint="eastAsia" w:ascii="宋体" w:hAnsi="宋体"/>
          <w:b w:val="0"/>
          <w:iCs/>
        </w:rPr>
        <w:t>中标金额的</w:t>
      </w:r>
      <w:r>
        <w:rPr>
          <w:rFonts w:hint="eastAsia" w:ascii="宋体" w:hAnsi="宋体"/>
          <w:b w:val="0"/>
          <w:iCs/>
          <w:u w:val="single"/>
        </w:rPr>
        <w:t xml:space="preserve"> 10 </w:t>
      </w:r>
      <w:r>
        <w:rPr>
          <w:rFonts w:hint="eastAsia" w:ascii="宋体" w:hAnsi="宋体"/>
          <w:b w:val="0"/>
          <w:iCs/>
        </w:rPr>
        <w:t>%</w:t>
      </w:r>
      <w:r>
        <w:rPr>
          <w:rFonts w:hint="eastAsia" w:ascii="宋体" w:hAnsi="宋体"/>
          <w:b w:val="0"/>
        </w:rPr>
        <w:t>；</w:t>
      </w:r>
    </w:p>
    <w:p w14:paraId="5B6D72E5">
      <w:pPr>
        <w:pStyle w:val="153"/>
        <w:spacing w:line="360" w:lineRule="auto"/>
        <w:ind w:firstLine="840" w:firstLineChars="400"/>
        <w:rPr>
          <w:rFonts w:ascii="宋体" w:hAnsi="宋体"/>
          <w:b w:val="0"/>
          <w:iCs/>
        </w:rPr>
      </w:pPr>
      <w:r>
        <w:rPr>
          <w:rFonts w:hint="eastAsia" w:ascii="宋体" w:hAnsi="宋体"/>
          <w:b w:val="0"/>
          <w:iCs/>
        </w:rPr>
        <w:sym w:font="Wingdings" w:char="00FE"/>
      </w:r>
      <w:r>
        <w:rPr>
          <w:rFonts w:hint="eastAsia" w:ascii="宋体" w:hAnsi="宋体"/>
          <w:b w:val="0"/>
          <w:iCs/>
        </w:rPr>
        <w:t>质量保证金：合同金额的</w:t>
      </w:r>
      <w:r>
        <w:rPr>
          <w:rFonts w:hint="eastAsia" w:ascii="宋体" w:hAnsi="宋体"/>
          <w:b w:val="0"/>
          <w:iCs/>
          <w:u w:val="single"/>
        </w:rPr>
        <w:t xml:space="preserve"> 3 </w:t>
      </w:r>
      <w:r>
        <w:rPr>
          <w:rFonts w:hint="eastAsia" w:ascii="宋体" w:hAnsi="宋体"/>
          <w:b w:val="0"/>
          <w:iCs/>
        </w:rPr>
        <w:t>%。</w:t>
      </w:r>
    </w:p>
    <w:p w14:paraId="29A2E27F">
      <w:pPr>
        <w:adjustRightInd w:val="0"/>
        <w:snapToGrid w:val="0"/>
        <w:spacing w:line="360" w:lineRule="auto"/>
        <w:ind w:firstLine="422" w:firstLineChars="200"/>
        <w:outlineLvl w:val="1"/>
        <w:rPr>
          <w:rFonts w:ascii="宋体" w:hAnsi="宋体"/>
          <w:b/>
          <w:szCs w:val="21"/>
        </w:rPr>
      </w:pPr>
      <w:bookmarkStart w:id="12" w:name="_Toc25737"/>
      <w:bookmarkStart w:id="13" w:name="_Toc21394"/>
      <w:r>
        <w:rPr>
          <w:rFonts w:hint="eastAsia" w:ascii="宋体" w:hAnsi="宋体"/>
          <w:b/>
          <w:szCs w:val="21"/>
        </w:rPr>
        <w:t>二、采购人的采购需求</w:t>
      </w:r>
      <w:bookmarkEnd w:id="12"/>
      <w:bookmarkEnd w:id="13"/>
    </w:p>
    <w:tbl>
      <w:tblPr>
        <w:tblStyle w:val="43"/>
        <w:tblW w:w="10113" w:type="dxa"/>
        <w:tblInd w:w="-39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500"/>
        <w:gridCol w:w="1500"/>
        <w:gridCol w:w="1548"/>
        <w:gridCol w:w="614"/>
        <w:gridCol w:w="1548"/>
        <w:gridCol w:w="1500"/>
        <w:gridCol w:w="660"/>
        <w:gridCol w:w="690"/>
      </w:tblGrid>
      <w:tr w14:paraId="472B9A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9" w:hRule="atLeast"/>
        </w:trPr>
        <w:tc>
          <w:tcPr>
            <w:tcW w:w="553" w:type="dxa"/>
            <w:vAlign w:val="center"/>
          </w:tcPr>
          <w:p w14:paraId="45B58BF9">
            <w:pPr>
              <w:adjustRightInd w:val="0"/>
              <w:snapToGrid w:val="0"/>
              <w:jc w:val="center"/>
              <w:rPr>
                <w:szCs w:val="21"/>
              </w:rPr>
            </w:pPr>
            <w:r>
              <w:rPr>
                <w:rFonts w:hint="eastAsia"/>
                <w:szCs w:val="21"/>
              </w:rPr>
              <w:t xml:space="preserve">包号 </w:t>
            </w:r>
          </w:p>
        </w:tc>
        <w:tc>
          <w:tcPr>
            <w:tcW w:w="1500" w:type="dxa"/>
            <w:vAlign w:val="center"/>
          </w:tcPr>
          <w:p w14:paraId="39355878">
            <w:pPr>
              <w:adjustRightInd w:val="0"/>
              <w:snapToGrid w:val="0"/>
              <w:jc w:val="center"/>
              <w:rPr>
                <w:szCs w:val="21"/>
              </w:rPr>
            </w:pPr>
            <w:r>
              <w:rPr>
                <w:rFonts w:hint="eastAsia"/>
                <w:szCs w:val="21"/>
              </w:rPr>
              <w:t>包名称</w:t>
            </w:r>
          </w:p>
        </w:tc>
        <w:tc>
          <w:tcPr>
            <w:tcW w:w="1500" w:type="dxa"/>
            <w:vAlign w:val="center"/>
          </w:tcPr>
          <w:p w14:paraId="0FBE9BBE">
            <w:pPr>
              <w:adjustRightInd w:val="0"/>
              <w:snapToGrid w:val="0"/>
              <w:jc w:val="center"/>
              <w:rPr>
                <w:szCs w:val="21"/>
              </w:rPr>
            </w:pPr>
            <w:r>
              <w:rPr>
                <w:rFonts w:hint="eastAsia"/>
                <w:szCs w:val="21"/>
              </w:rPr>
              <w:t>标的名称</w:t>
            </w:r>
          </w:p>
        </w:tc>
        <w:tc>
          <w:tcPr>
            <w:tcW w:w="1548" w:type="dxa"/>
            <w:tcBorders>
              <w:left w:val="single" w:color="auto" w:sz="4" w:space="0"/>
            </w:tcBorders>
            <w:vAlign w:val="center"/>
          </w:tcPr>
          <w:p w14:paraId="679E2836">
            <w:pPr>
              <w:adjustRightInd w:val="0"/>
              <w:snapToGrid w:val="0"/>
              <w:jc w:val="center"/>
              <w:rPr>
                <w:szCs w:val="21"/>
              </w:rPr>
            </w:pPr>
            <w:r>
              <w:rPr>
                <w:rFonts w:hint="eastAsia"/>
                <w:szCs w:val="21"/>
              </w:rPr>
              <w:t>简要技术要求</w:t>
            </w:r>
          </w:p>
        </w:tc>
        <w:tc>
          <w:tcPr>
            <w:tcW w:w="614" w:type="dxa"/>
            <w:tcBorders>
              <w:left w:val="single" w:color="auto" w:sz="4" w:space="0"/>
            </w:tcBorders>
            <w:vAlign w:val="center"/>
          </w:tcPr>
          <w:p w14:paraId="024944A8">
            <w:pPr>
              <w:adjustRightInd w:val="0"/>
              <w:snapToGrid w:val="0"/>
              <w:jc w:val="center"/>
              <w:rPr>
                <w:rFonts w:ascii="宋体" w:hAnsi="宋体" w:cs="宋体"/>
                <w:kern w:val="0"/>
                <w:szCs w:val="21"/>
              </w:rPr>
            </w:pPr>
            <w:r>
              <w:rPr>
                <w:rFonts w:hint="eastAsia"/>
                <w:szCs w:val="21"/>
              </w:rPr>
              <w:t>数量</w:t>
            </w:r>
          </w:p>
        </w:tc>
        <w:tc>
          <w:tcPr>
            <w:tcW w:w="1548" w:type="dxa"/>
            <w:vAlign w:val="center"/>
          </w:tcPr>
          <w:p w14:paraId="1DE374FA">
            <w:pPr>
              <w:adjustRightInd w:val="0"/>
              <w:snapToGrid w:val="0"/>
              <w:jc w:val="center"/>
              <w:rPr>
                <w:szCs w:val="21"/>
              </w:rPr>
            </w:pPr>
            <w:r>
              <w:rPr>
                <w:rFonts w:hint="eastAsia"/>
                <w:szCs w:val="21"/>
              </w:rPr>
              <w:t>标的预算(元)</w:t>
            </w:r>
          </w:p>
        </w:tc>
        <w:tc>
          <w:tcPr>
            <w:tcW w:w="1500" w:type="dxa"/>
            <w:vAlign w:val="center"/>
          </w:tcPr>
          <w:p w14:paraId="255215A0">
            <w:pPr>
              <w:adjustRightInd w:val="0"/>
              <w:snapToGrid w:val="0"/>
              <w:jc w:val="center"/>
              <w:rPr>
                <w:szCs w:val="21"/>
              </w:rPr>
            </w:pPr>
            <w:r>
              <w:rPr>
                <w:rFonts w:hint="eastAsia"/>
                <w:szCs w:val="21"/>
              </w:rPr>
              <w:t>最高限价（元）</w:t>
            </w:r>
          </w:p>
        </w:tc>
        <w:tc>
          <w:tcPr>
            <w:tcW w:w="660" w:type="dxa"/>
            <w:vAlign w:val="center"/>
          </w:tcPr>
          <w:p w14:paraId="683C7CAC">
            <w:pPr>
              <w:adjustRightInd w:val="0"/>
              <w:snapToGrid w:val="0"/>
              <w:jc w:val="center"/>
              <w:rPr>
                <w:szCs w:val="21"/>
              </w:rPr>
            </w:pPr>
            <w:r>
              <w:rPr>
                <w:rFonts w:hint="eastAsia"/>
                <w:szCs w:val="21"/>
              </w:rPr>
              <w:t>节能产品</w:t>
            </w:r>
          </w:p>
        </w:tc>
        <w:tc>
          <w:tcPr>
            <w:tcW w:w="690" w:type="dxa"/>
            <w:vAlign w:val="center"/>
          </w:tcPr>
          <w:p w14:paraId="052AE6C6">
            <w:pPr>
              <w:adjustRightInd w:val="0"/>
              <w:snapToGrid w:val="0"/>
              <w:jc w:val="center"/>
              <w:rPr>
                <w:szCs w:val="21"/>
              </w:rPr>
            </w:pPr>
            <w:r>
              <w:rPr>
                <w:rFonts w:hint="eastAsia"/>
                <w:szCs w:val="21"/>
              </w:rPr>
              <w:t>进口产品</w:t>
            </w:r>
          </w:p>
        </w:tc>
      </w:tr>
      <w:tr w14:paraId="2A82CD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553" w:type="dxa"/>
            <w:vAlign w:val="center"/>
          </w:tcPr>
          <w:p w14:paraId="272AE11D">
            <w:pPr>
              <w:adjustRightInd w:val="0"/>
              <w:snapToGrid w:val="0"/>
              <w:spacing w:before="161" w:beforeLines="50"/>
              <w:jc w:val="center"/>
              <w:rPr>
                <w:szCs w:val="21"/>
              </w:rPr>
            </w:pPr>
            <w:r>
              <w:rPr>
                <w:rFonts w:hint="eastAsia"/>
                <w:szCs w:val="21"/>
              </w:rPr>
              <w:t>1</w:t>
            </w:r>
          </w:p>
        </w:tc>
        <w:tc>
          <w:tcPr>
            <w:tcW w:w="1500" w:type="dxa"/>
            <w:vAlign w:val="center"/>
          </w:tcPr>
          <w:p w14:paraId="5DA8501B">
            <w:pPr>
              <w:adjustRightInd w:val="0"/>
              <w:snapToGrid w:val="0"/>
              <w:jc w:val="center"/>
              <w:rPr>
                <w:rFonts w:hint="eastAsia" w:hAnsi="宋体" w:eastAsia="宋体"/>
                <w:kern w:val="0"/>
                <w:lang w:eastAsia="zh-CN"/>
              </w:rPr>
            </w:pPr>
            <w:r>
              <w:rPr>
                <w:rFonts w:hint="eastAsia" w:ascii="宋体" w:hAnsi="宋体"/>
                <w:szCs w:val="21"/>
                <w:lang w:eastAsia="zh-CN"/>
              </w:rPr>
              <w:t>株洲市第八中学科创楼报告厅设备采购项目</w:t>
            </w:r>
          </w:p>
        </w:tc>
        <w:tc>
          <w:tcPr>
            <w:tcW w:w="1500" w:type="dxa"/>
            <w:vAlign w:val="center"/>
          </w:tcPr>
          <w:p w14:paraId="77847DD2">
            <w:pPr>
              <w:adjustRightInd w:val="0"/>
              <w:snapToGrid w:val="0"/>
              <w:jc w:val="center"/>
              <w:rPr>
                <w:rFonts w:hint="eastAsia" w:hAnsi="宋体" w:eastAsia="宋体"/>
                <w:kern w:val="0"/>
                <w:lang w:eastAsia="zh-CN"/>
              </w:rPr>
            </w:pPr>
            <w:r>
              <w:rPr>
                <w:rFonts w:hint="eastAsia" w:ascii="宋体" w:hAnsi="宋体"/>
                <w:szCs w:val="21"/>
                <w:lang w:eastAsia="zh-CN"/>
              </w:rPr>
              <w:t>株洲市第八中学科创楼报告厅设备采购项目</w:t>
            </w:r>
          </w:p>
        </w:tc>
        <w:tc>
          <w:tcPr>
            <w:tcW w:w="1548" w:type="dxa"/>
            <w:tcBorders>
              <w:left w:val="single" w:color="auto" w:sz="4" w:space="0"/>
            </w:tcBorders>
            <w:vAlign w:val="center"/>
          </w:tcPr>
          <w:p w14:paraId="52B6B42F">
            <w:pPr>
              <w:adjustRightInd w:val="0"/>
              <w:snapToGrid w:val="0"/>
              <w:jc w:val="center"/>
              <w:rPr>
                <w:rFonts w:hAnsi="宋体"/>
                <w:kern w:val="0"/>
              </w:rPr>
            </w:pPr>
            <w:r>
              <w:rPr>
                <w:rFonts w:hint="eastAsia" w:hAnsi="宋体"/>
                <w:kern w:val="0"/>
              </w:rPr>
              <w:t>详见第五章采购需求</w:t>
            </w:r>
          </w:p>
        </w:tc>
        <w:tc>
          <w:tcPr>
            <w:tcW w:w="614" w:type="dxa"/>
            <w:tcBorders>
              <w:left w:val="single" w:color="auto" w:sz="4" w:space="0"/>
            </w:tcBorders>
            <w:vAlign w:val="center"/>
          </w:tcPr>
          <w:p w14:paraId="59200FA7">
            <w:pPr>
              <w:pStyle w:val="22"/>
              <w:adjustRightInd w:val="0"/>
              <w:snapToGrid w:val="0"/>
              <w:jc w:val="center"/>
            </w:pPr>
            <w:r>
              <w:rPr>
                <w:rFonts w:hint="eastAsia" w:hAnsi="宋体"/>
                <w:kern w:val="0"/>
              </w:rPr>
              <w:t>1批</w:t>
            </w:r>
          </w:p>
        </w:tc>
        <w:tc>
          <w:tcPr>
            <w:tcW w:w="1548" w:type="dxa"/>
            <w:vAlign w:val="center"/>
          </w:tcPr>
          <w:p w14:paraId="1F442377">
            <w:pPr>
              <w:pStyle w:val="22"/>
              <w:adjustRightInd w:val="0"/>
              <w:snapToGrid w:val="0"/>
              <w:jc w:val="center"/>
              <w:rPr>
                <w:rFonts w:hint="eastAsia" w:hAnsi="宋体" w:eastAsia="宋体"/>
                <w:kern w:val="0"/>
                <w:lang w:eastAsia="zh-CN"/>
              </w:rPr>
            </w:pPr>
            <w:r>
              <w:rPr>
                <w:rFonts w:hint="eastAsia" w:hAnsi="宋体" w:cs="Times New Roman"/>
                <w:lang w:eastAsia="zh-CN"/>
              </w:rPr>
              <w:t>2737794</w:t>
            </w:r>
          </w:p>
        </w:tc>
        <w:tc>
          <w:tcPr>
            <w:tcW w:w="1500" w:type="dxa"/>
            <w:vAlign w:val="center"/>
          </w:tcPr>
          <w:p w14:paraId="3A76AAE0">
            <w:pPr>
              <w:pStyle w:val="22"/>
              <w:adjustRightInd w:val="0"/>
              <w:snapToGrid w:val="0"/>
              <w:jc w:val="center"/>
              <w:rPr>
                <w:rFonts w:hint="eastAsia" w:eastAsia="宋体"/>
                <w:lang w:eastAsia="zh-CN"/>
              </w:rPr>
            </w:pPr>
            <w:r>
              <w:rPr>
                <w:rFonts w:hint="eastAsia" w:hAnsi="宋体" w:cs="Times New Roman"/>
                <w:lang w:eastAsia="zh-CN"/>
              </w:rPr>
              <w:t>2715736</w:t>
            </w:r>
          </w:p>
        </w:tc>
        <w:tc>
          <w:tcPr>
            <w:tcW w:w="660" w:type="dxa"/>
            <w:vAlign w:val="center"/>
          </w:tcPr>
          <w:p w14:paraId="22B76C74">
            <w:pPr>
              <w:adjustRightInd w:val="0"/>
              <w:snapToGrid w:val="0"/>
              <w:spacing w:before="161" w:beforeLines="50"/>
              <w:jc w:val="center"/>
              <w:rPr>
                <w:szCs w:val="21"/>
              </w:rPr>
            </w:pPr>
            <w:r>
              <w:rPr>
                <w:rFonts w:hint="eastAsia" w:ascii="宋体" w:hAnsi="宋体"/>
                <w:iCs/>
                <w:szCs w:val="21"/>
              </w:rPr>
              <w:sym w:font="Wingdings" w:char="00A8"/>
            </w:r>
          </w:p>
        </w:tc>
        <w:tc>
          <w:tcPr>
            <w:tcW w:w="690" w:type="dxa"/>
            <w:vAlign w:val="center"/>
          </w:tcPr>
          <w:p w14:paraId="4932BE8B">
            <w:pPr>
              <w:adjustRightInd w:val="0"/>
              <w:snapToGrid w:val="0"/>
              <w:spacing w:before="161" w:beforeLines="50"/>
              <w:jc w:val="center"/>
              <w:rPr>
                <w:szCs w:val="21"/>
              </w:rPr>
            </w:pPr>
            <w:r>
              <w:rPr>
                <w:rFonts w:hint="eastAsia" w:ascii="宋体" w:hAnsi="宋体"/>
                <w:iCs/>
                <w:szCs w:val="21"/>
              </w:rPr>
              <w:sym w:font="Wingdings" w:char="00A8"/>
            </w:r>
          </w:p>
        </w:tc>
      </w:tr>
    </w:tbl>
    <w:p w14:paraId="01FB785E">
      <w:pPr>
        <w:adjustRightInd w:val="0"/>
        <w:snapToGrid w:val="0"/>
        <w:spacing w:line="360" w:lineRule="auto"/>
        <w:ind w:firstLine="420" w:firstLineChars="200"/>
        <w:rPr>
          <w:rFonts w:ascii="宋体" w:hAnsi="宋体"/>
          <w:szCs w:val="21"/>
        </w:rPr>
      </w:pPr>
      <w:r>
        <w:rPr>
          <w:rFonts w:hint="eastAsia" w:ascii="宋体" w:hAnsi="宋体"/>
          <w:szCs w:val="21"/>
        </w:rPr>
        <w:t>说明：</w:t>
      </w:r>
    </w:p>
    <w:p w14:paraId="5E8CF2E5">
      <w:pPr>
        <w:adjustRightInd w:val="0"/>
        <w:snapToGrid w:val="0"/>
        <w:spacing w:line="360" w:lineRule="auto"/>
        <w:ind w:firstLine="420" w:firstLineChars="200"/>
        <w:rPr>
          <w:rFonts w:ascii="宋体" w:hAnsi="宋体"/>
          <w:szCs w:val="21"/>
        </w:rPr>
      </w:pPr>
      <w:r>
        <w:rPr>
          <w:rFonts w:hint="eastAsia" w:ascii="宋体" w:hAnsi="宋体"/>
          <w:szCs w:val="21"/>
        </w:rPr>
        <w:t>1.节能产品实行</w:t>
      </w:r>
      <w:r>
        <w:rPr>
          <w:rFonts w:hint="eastAsia" w:ascii="宋体" w:hAnsi="宋体"/>
          <w:iCs/>
          <w:szCs w:val="21"/>
        </w:rPr>
        <w:t>强制采购的</w:t>
      </w:r>
      <w:r>
        <w:rPr>
          <w:rFonts w:hint="eastAsia" w:ascii="宋体" w:hAnsi="宋体"/>
          <w:szCs w:val="21"/>
        </w:rPr>
        <w:t>，需提供国家认证机构出具的、处于有效期内的节能产品证书。</w:t>
      </w:r>
    </w:p>
    <w:p w14:paraId="3D83DDA1">
      <w:pPr>
        <w:adjustRightInd w:val="0"/>
        <w:snapToGrid w:val="0"/>
        <w:spacing w:line="360" w:lineRule="auto"/>
        <w:ind w:firstLine="420" w:firstLineChars="200"/>
        <w:rPr>
          <w:rFonts w:ascii="宋体" w:hAnsi="宋体"/>
          <w:szCs w:val="21"/>
        </w:rPr>
      </w:pPr>
      <w:r>
        <w:rPr>
          <w:rFonts w:hint="eastAsia" w:ascii="宋体" w:hAnsi="宋体"/>
          <w:szCs w:val="21"/>
        </w:rPr>
        <w:t>2.同意购买进口产品的，不限制满足采购需求的国内产品参与投标。</w:t>
      </w:r>
    </w:p>
    <w:p w14:paraId="59AD24C7">
      <w:pPr>
        <w:adjustRightInd w:val="0"/>
        <w:snapToGrid w:val="0"/>
        <w:spacing w:line="360" w:lineRule="auto"/>
        <w:ind w:firstLine="422" w:firstLineChars="200"/>
        <w:outlineLvl w:val="1"/>
        <w:rPr>
          <w:rFonts w:ascii="宋体" w:hAnsi="宋体"/>
          <w:b/>
          <w:szCs w:val="21"/>
        </w:rPr>
      </w:pPr>
      <w:bookmarkStart w:id="14" w:name="_Toc19438"/>
      <w:bookmarkStart w:id="15" w:name="_Toc15388"/>
      <w:r>
        <w:rPr>
          <w:rFonts w:hint="eastAsia" w:ascii="宋体" w:hAnsi="宋体"/>
          <w:b/>
          <w:szCs w:val="21"/>
        </w:rPr>
        <w:t>三、采购项目需落实的政府采购政策</w:t>
      </w:r>
      <w:r>
        <w:rPr>
          <w:rFonts w:hint="eastAsia" w:ascii="宋体" w:hAnsi="宋体"/>
          <w:szCs w:val="21"/>
        </w:rPr>
        <w:t>：</w:t>
      </w:r>
      <w:bookmarkEnd w:id="14"/>
      <w:bookmarkEnd w:id="15"/>
    </w:p>
    <w:p w14:paraId="07A3DB8D">
      <w:pPr>
        <w:adjustRightInd w:val="0"/>
        <w:snapToGrid w:val="0"/>
        <w:spacing w:line="360" w:lineRule="auto"/>
        <w:ind w:firstLine="420" w:firstLineChars="200"/>
        <w:rPr>
          <w:rFonts w:ascii="宋体" w:hAnsi="宋体"/>
          <w:szCs w:val="21"/>
        </w:rPr>
      </w:pPr>
      <w:r>
        <w:rPr>
          <w:rFonts w:hint="eastAsia" w:ascii="宋体" w:hAnsi="宋体"/>
          <w:szCs w:val="21"/>
        </w:rPr>
        <w:t>1、优先采购：节能产品、环境标志产品享受加分或价格折扣。</w:t>
      </w:r>
    </w:p>
    <w:p w14:paraId="5D927DC7">
      <w:pPr>
        <w:adjustRightInd w:val="0"/>
        <w:snapToGrid w:val="0"/>
        <w:spacing w:line="360" w:lineRule="auto"/>
        <w:ind w:firstLine="420" w:firstLineChars="200"/>
        <w:rPr>
          <w:rFonts w:ascii="宋体" w:hAnsi="宋体"/>
          <w:b/>
          <w:bCs/>
          <w:szCs w:val="21"/>
        </w:rPr>
      </w:pPr>
      <w:r>
        <w:rPr>
          <w:rFonts w:hint="eastAsia" w:ascii="宋体" w:hAnsi="宋体"/>
          <w:szCs w:val="21"/>
        </w:rPr>
        <w:t>2、支持中小企业：中小企业享受预留采购份额或价格折扣。</w:t>
      </w:r>
    </w:p>
    <w:p w14:paraId="0BA744AC">
      <w:pPr>
        <w:adjustRightInd w:val="0"/>
        <w:snapToGrid w:val="0"/>
        <w:spacing w:line="360" w:lineRule="auto"/>
        <w:ind w:firstLine="422" w:firstLineChars="200"/>
        <w:outlineLvl w:val="1"/>
        <w:rPr>
          <w:rFonts w:ascii="宋体" w:hAnsi="宋体"/>
          <w:szCs w:val="21"/>
        </w:rPr>
      </w:pPr>
      <w:bookmarkStart w:id="16" w:name="_Toc19583"/>
      <w:bookmarkStart w:id="17" w:name="_Toc147"/>
      <w:r>
        <w:rPr>
          <w:rFonts w:hint="eastAsia" w:ascii="宋体" w:hAnsi="宋体"/>
          <w:b/>
          <w:szCs w:val="21"/>
        </w:rPr>
        <w:t>四、投标人的资格要求</w:t>
      </w:r>
      <w:r>
        <w:rPr>
          <w:rFonts w:hint="eastAsia" w:ascii="宋体" w:hAnsi="宋体"/>
          <w:szCs w:val="21"/>
        </w:rPr>
        <w:t>：</w:t>
      </w:r>
      <w:bookmarkEnd w:id="16"/>
      <w:bookmarkEnd w:id="17"/>
    </w:p>
    <w:p w14:paraId="10CCF7B0">
      <w:pPr>
        <w:adjustRightInd w:val="0"/>
        <w:snapToGrid w:val="0"/>
        <w:spacing w:line="360" w:lineRule="auto"/>
        <w:ind w:firstLine="420" w:firstLineChars="200"/>
        <w:rPr>
          <w:rFonts w:ascii="宋体" w:hAnsi="宋体"/>
          <w:szCs w:val="21"/>
        </w:rPr>
      </w:pPr>
      <w:r>
        <w:rPr>
          <w:rFonts w:hint="eastAsia" w:ascii="宋体" w:hAnsi="宋体"/>
          <w:szCs w:val="21"/>
        </w:rPr>
        <w:t>1、投标人的基本资格条件：投标人必须是在中华人民共和国境内注册登记的法人、其他组织或者自然人，且应当符合《政府采购法》第二十二条第一款的规定。</w:t>
      </w:r>
    </w:p>
    <w:p w14:paraId="3B7C0287">
      <w:pPr>
        <w:adjustRightInd w:val="0"/>
        <w:snapToGrid w:val="0"/>
        <w:spacing w:line="360" w:lineRule="auto"/>
        <w:ind w:firstLine="420" w:firstLineChars="200"/>
        <w:rPr>
          <w:rFonts w:ascii="宋体" w:hAnsi="宋体"/>
          <w:szCs w:val="21"/>
        </w:rPr>
      </w:pPr>
      <w:r>
        <w:rPr>
          <w:rFonts w:hint="eastAsia" w:ascii="宋体" w:hAnsi="宋体"/>
          <w:szCs w:val="21"/>
        </w:rPr>
        <w:t>2、落实政府采购政策需满足的资格要求：</w:t>
      </w:r>
    </w:p>
    <w:p w14:paraId="2A46E5B7">
      <w:pPr>
        <w:adjustRightInd w:val="0"/>
        <w:snapToGrid w:val="0"/>
        <w:spacing w:line="360" w:lineRule="auto"/>
        <w:ind w:firstLine="630" w:firstLineChars="300"/>
        <w:rPr>
          <w:rFonts w:ascii="宋体" w:hAnsi="宋体"/>
          <w:szCs w:val="21"/>
        </w:rPr>
      </w:pPr>
      <w:r>
        <w:rPr>
          <w:rFonts w:hint="eastAsia" w:ascii="宋体" w:hAnsi="宋体"/>
          <w:iCs/>
          <w:szCs w:val="21"/>
        </w:rPr>
        <w:sym w:font="Wingdings" w:char="00A8"/>
      </w:r>
      <w:r>
        <w:rPr>
          <w:rFonts w:hint="eastAsia" w:ascii="宋体" w:hAnsi="宋体"/>
          <w:iCs/>
          <w:szCs w:val="21"/>
        </w:rPr>
        <w:t>专门面向</w:t>
      </w:r>
      <w:r>
        <w:rPr>
          <w:rFonts w:hint="eastAsia" w:ascii="宋体" w:hAnsi="宋体"/>
          <w:bCs/>
          <w:szCs w:val="21"/>
        </w:rPr>
        <w:t>：</w:t>
      </w:r>
      <w:r>
        <w:rPr>
          <w:rFonts w:hint="eastAsia" w:ascii="宋体" w:hAnsi="宋体"/>
          <w:iCs/>
          <w:szCs w:val="21"/>
        </w:rPr>
        <w:sym w:font="Wingdings" w:char="00A8"/>
      </w:r>
      <w:r>
        <w:rPr>
          <w:rFonts w:hint="eastAsia" w:ascii="宋体" w:hAnsi="宋体"/>
          <w:iCs/>
          <w:szCs w:val="21"/>
        </w:rPr>
        <w:t>中小企业</w:t>
      </w:r>
      <w:r>
        <w:rPr>
          <w:rFonts w:hint="eastAsia" w:ascii="宋体" w:hAnsi="宋体"/>
          <w:b/>
          <w:bCs/>
          <w:iCs/>
          <w:szCs w:val="21"/>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20A65D35">
      <w:pPr>
        <w:adjustRightInd w:val="0"/>
        <w:snapToGrid w:val="0"/>
        <w:spacing w:line="360" w:lineRule="auto"/>
        <w:ind w:firstLine="630" w:firstLineChars="300"/>
        <w:rPr>
          <w:rFonts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404DBB87">
      <w:pPr>
        <w:adjustRightInd w:val="0"/>
        <w:snapToGrid w:val="0"/>
        <w:spacing w:line="360" w:lineRule="auto"/>
        <w:ind w:left="422"/>
        <w:rPr>
          <w:rFonts w:ascii="宋体" w:hAnsi="宋体"/>
          <w:szCs w:val="21"/>
        </w:rPr>
      </w:pPr>
      <w:r>
        <w:rPr>
          <w:rFonts w:hint="eastAsia" w:ascii="宋体" w:hAnsi="宋体"/>
          <w:b/>
          <w:bCs/>
          <w:szCs w:val="21"/>
        </w:rPr>
        <w:t>3、采购项目的特定资格条件：无</w:t>
      </w:r>
    </w:p>
    <w:p w14:paraId="417BB92C">
      <w:pPr>
        <w:adjustRightInd w:val="0"/>
        <w:snapToGrid w:val="0"/>
        <w:spacing w:line="360" w:lineRule="auto"/>
        <w:ind w:firstLine="420" w:firstLineChars="200"/>
        <w:rPr>
          <w:rFonts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1DD2E747">
      <w:pPr>
        <w:adjustRightInd w:val="0"/>
        <w:snapToGrid w:val="0"/>
        <w:spacing w:line="360" w:lineRule="auto"/>
        <w:ind w:firstLine="420" w:firstLineChars="200"/>
        <w:rPr>
          <w:rFonts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401FC675">
      <w:pPr>
        <w:adjustRightInd w:val="0"/>
        <w:snapToGrid w:val="0"/>
        <w:spacing w:line="360" w:lineRule="auto"/>
        <w:ind w:firstLine="420" w:firstLineChars="200"/>
        <w:rPr>
          <w:rFonts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23F2EDF1">
      <w:pPr>
        <w:adjustRightInd w:val="0"/>
        <w:snapToGrid w:val="0"/>
        <w:spacing w:line="360" w:lineRule="auto"/>
        <w:ind w:firstLine="420" w:firstLineChars="200"/>
        <w:rPr>
          <w:rFonts w:ascii="宋体" w:hAnsi="宋体"/>
          <w:szCs w:val="21"/>
        </w:rPr>
      </w:pPr>
      <w:r>
        <w:rPr>
          <w:rFonts w:hint="eastAsia" w:ascii="宋体" w:hAnsi="宋体"/>
          <w:szCs w:val="21"/>
        </w:rPr>
        <w:t>7、联合体投标：本次招标</w:t>
      </w:r>
      <w:r>
        <w:rPr>
          <w:rFonts w:hint="eastAsia" w:ascii="宋体" w:hAnsi="宋体"/>
          <w:szCs w:val="21"/>
          <w:u w:val="single"/>
        </w:rPr>
        <w:t>不接受</w:t>
      </w:r>
      <w:r>
        <w:rPr>
          <w:rFonts w:hint="eastAsia" w:ascii="宋体" w:hAnsi="宋体"/>
          <w:szCs w:val="21"/>
        </w:rPr>
        <w:t>联合体投标。</w:t>
      </w:r>
    </w:p>
    <w:p w14:paraId="53FA2B6C">
      <w:pPr>
        <w:adjustRightInd w:val="0"/>
        <w:snapToGrid w:val="0"/>
        <w:spacing w:line="360" w:lineRule="auto"/>
        <w:ind w:firstLine="422" w:firstLineChars="200"/>
        <w:rPr>
          <w:rFonts w:ascii="宋体" w:hAnsi="宋体"/>
          <w:b/>
          <w:szCs w:val="21"/>
        </w:rPr>
      </w:pPr>
      <w:bookmarkStart w:id="18" w:name="_Toc5129"/>
      <w:bookmarkStart w:id="19" w:name="_Toc13920"/>
      <w:r>
        <w:rPr>
          <w:rFonts w:hint="eastAsia" w:ascii="宋体" w:hAnsi="宋体"/>
          <w:b/>
          <w:szCs w:val="21"/>
        </w:rPr>
        <w:t>五、获取招标文件的时间、期限、地点及方式</w:t>
      </w:r>
    </w:p>
    <w:p w14:paraId="585F1507">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jc w:val="left"/>
        <w:rPr>
          <w:rFonts w:ascii="宋体" w:hAnsi="宋体" w:cs="微软雅黑"/>
          <w:spacing w:val="-2"/>
          <w:kern w:val="0"/>
          <w:szCs w:val="21"/>
        </w:rPr>
      </w:pPr>
      <w:r>
        <w:rPr>
          <w:rFonts w:hint="eastAsia" w:ascii="宋体" w:hAnsi="宋体" w:cs="微软雅黑"/>
          <w:spacing w:val="-2"/>
          <w:kern w:val="0"/>
          <w:szCs w:val="21"/>
        </w:rPr>
        <w:t>有意参加投标者，于2026年</w:t>
      </w:r>
      <w:r>
        <w:rPr>
          <w:rFonts w:hint="eastAsia" w:ascii="宋体" w:hAnsi="宋体" w:cs="微软雅黑"/>
          <w:spacing w:val="-2"/>
          <w:kern w:val="0"/>
          <w:szCs w:val="21"/>
          <w:lang w:val="en-US" w:eastAsia="zh-CN"/>
        </w:rPr>
        <w:t>8</w:t>
      </w:r>
      <w:r>
        <w:rPr>
          <w:rFonts w:hint="eastAsia" w:ascii="宋体" w:hAnsi="宋体" w:cs="微软雅黑"/>
          <w:spacing w:val="-2"/>
          <w:kern w:val="0"/>
          <w:szCs w:val="21"/>
        </w:rPr>
        <w:t>月</w:t>
      </w:r>
      <w:r>
        <w:rPr>
          <w:rFonts w:hint="eastAsia" w:ascii="宋体" w:hAnsi="宋体" w:cs="微软雅黑"/>
          <w:spacing w:val="-2"/>
          <w:kern w:val="0"/>
          <w:szCs w:val="21"/>
          <w:lang w:val="en-US" w:eastAsia="zh-CN"/>
        </w:rPr>
        <w:t>19</w:t>
      </w:r>
      <w:r>
        <w:rPr>
          <w:rFonts w:hint="eastAsia" w:ascii="宋体" w:hAnsi="宋体" w:cs="微软雅黑"/>
          <w:spacing w:val="-2"/>
          <w:kern w:val="0"/>
          <w:szCs w:val="21"/>
        </w:rPr>
        <w:t>日至2026年</w:t>
      </w:r>
      <w:r>
        <w:rPr>
          <w:rFonts w:hint="eastAsia" w:ascii="宋体" w:hAnsi="宋体" w:cs="微软雅黑"/>
          <w:spacing w:val="-2"/>
          <w:kern w:val="0"/>
          <w:szCs w:val="21"/>
          <w:lang w:val="en-US" w:eastAsia="zh-CN"/>
        </w:rPr>
        <w:t>8</w:t>
      </w:r>
      <w:r>
        <w:rPr>
          <w:rFonts w:hint="eastAsia" w:ascii="宋体" w:hAnsi="宋体" w:cs="微软雅黑"/>
          <w:spacing w:val="-2"/>
          <w:kern w:val="0"/>
          <w:szCs w:val="21"/>
        </w:rPr>
        <w:t>月</w:t>
      </w:r>
      <w:r>
        <w:rPr>
          <w:rFonts w:hint="eastAsia" w:ascii="宋体" w:hAnsi="宋体" w:cs="微软雅黑"/>
          <w:spacing w:val="-2"/>
          <w:kern w:val="0"/>
          <w:szCs w:val="21"/>
          <w:lang w:val="en-US" w:eastAsia="zh-CN"/>
        </w:rPr>
        <w:t>25</w:t>
      </w:r>
      <w:r>
        <w:rPr>
          <w:rFonts w:hint="eastAsia" w:ascii="宋体" w:hAnsi="宋体" w:cs="微软雅黑"/>
          <w:spacing w:val="-2"/>
          <w:kern w:val="0"/>
          <w:szCs w:val="21"/>
        </w:rPr>
        <w:t>日，全天（北京时间），在</w:t>
      </w:r>
      <w:r>
        <w:rPr>
          <w:rFonts w:hint="eastAsia" w:ascii="宋体" w:hAnsi="宋体" w:cs="微软雅黑"/>
          <w:kern w:val="0"/>
          <w:szCs w:val="21"/>
          <w:u w:val="single"/>
        </w:rPr>
        <w:t xml:space="preserve">湖南省公共资源交易服务平台株洲分平台——交易快速通道——政府采购——株洲市公共资源交易中心电子交易平台——填写投标信息——选择对应项目报名。也可直接登陆株洲市公共资源交易中心电子交易平台 </w:t>
      </w:r>
      <w:r>
        <w:rPr>
          <w:rFonts w:hint="eastAsia" w:ascii="宋体" w:hAnsi="宋体" w:cs="微软雅黑"/>
          <w:spacing w:val="-14"/>
          <w:kern w:val="0"/>
          <w:szCs w:val="21"/>
        </w:rPr>
        <w:t>。</w:t>
      </w:r>
    </w:p>
    <w:p w14:paraId="29C6BE9E">
      <w:pPr>
        <w:tabs>
          <w:tab w:val="left" w:pos="4700"/>
          <w:tab w:val="left" w:pos="6000"/>
          <w:tab w:val="left" w:pos="7160"/>
          <w:tab w:val="left" w:pos="8520"/>
        </w:tabs>
        <w:wordWrap w:val="0"/>
        <w:autoSpaceDE w:val="0"/>
        <w:autoSpaceDN w:val="0"/>
        <w:adjustRightInd w:val="0"/>
        <w:snapToGrid w:val="0"/>
        <w:spacing w:line="360" w:lineRule="auto"/>
        <w:ind w:right="-23" w:firstLine="420" w:firstLineChars="200"/>
        <w:jc w:val="left"/>
        <w:rPr>
          <w:rFonts w:ascii="宋体" w:hAnsi="宋体" w:cs="微软雅黑"/>
          <w:spacing w:val="-14"/>
          <w:kern w:val="0"/>
          <w:szCs w:val="21"/>
        </w:rPr>
      </w:pPr>
      <w:r>
        <w:rPr>
          <w:rFonts w:hint="eastAsia" w:ascii="宋体" w:hAnsi="宋体"/>
          <w:iCs/>
          <w:szCs w:val="21"/>
        </w:rPr>
        <w:sym w:font="Wingdings" w:char="00FE"/>
      </w:r>
      <w:r>
        <w:rPr>
          <w:rFonts w:hint="eastAsia" w:ascii="宋体" w:hAnsi="宋体"/>
          <w:iCs/>
          <w:szCs w:val="21"/>
        </w:rPr>
        <w:t>本项目</w:t>
      </w:r>
      <w:r>
        <w:rPr>
          <w:rFonts w:hint="eastAsia" w:ascii="宋体" w:hAnsi="宋体" w:cs="微软雅黑"/>
          <w:spacing w:val="-14"/>
          <w:kern w:val="0"/>
          <w:szCs w:val="21"/>
        </w:rPr>
        <w:t>实行电子交易，</w:t>
      </w:r>
      <w:r>
        <w:rPr>
          <w:rFonts w:hint="eastAsia" w:ascii="宋体" w:hAnsi="宋体" w:cs="微软雅黑"/>
          <w:kern w:val="0"/>
          <w:szCs w:val="21"/>
        </w:rPr>
        <w:t>有</w:t>
      </w:r>
      <w:r>
        <w:rPr>
          <w:rFonts w:hint="eastAsia" w:ascii="宋体" w:hAnsi="宋体" w:cs="微软雅黑"/>
          <w:spacing w:val="-2"/>
          <w:kern w:val="0"/>
          <w:szCs w:val="21"/>
        </w:rPr>
        <w:t>意</w:t>
      </w:r>
      <w:r>
        <w:rPr>
          <w:rFonts w:hint="eastAsia" w:ascii="宋体" w:hAnsi="宋体" w:cs="微软雅黑"/>
          <w:kern w:val="0"/>
          <w:szCs w:val="21"/>
        </w:rPr>
        <w:t>参</w:t>
      </w:r>
      <w:r>
        <w:rPr>
          <w:rFonts w:hint="eastAsia" w:ascii="宋体" w:hAnsi="宋体" w:cs="微软雅黑"/>
          <w:spacing w:val="-2"/>
          <w:kern w:val="0"/>
          <w:szCs w:val="21"/>
        </w:rPr>
        <w:t>加</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者，在</w:t>
      </w:r>
      <w:r>
        <w:rPr>
          <w:rFonts w:hint="eastAsia" w:ascii="宋体" w:hAnsi="宋体" w:cs="微软雅黑"/>
          <w:kern w:val="0"/>
          <w:szCs w:val="21"/>
          <w:u w:val="single"/>
        </w:rPr>
        <w:t>“湖南省公共资源交易服务平台株洲分平台（https://zhuzhou.hnsggzy.com）”及政府采购网</w:t>
      </w:r>
      <w:r>
        <w:rPr>
          <w:rFonts w:hint="eastAsia" w:ascii="宋体" w:hAnsi="宋体" w:cs="微软雅黑"/>
          <w:spacing w:val="-2"/>
          <w:kern w:val="0"/>
          <w:szCs w:val="21"/>
        </w:rPr>
        <w:t>获取电子版</w:t>
      </w:r>
      <w:r>
        <w:rPr>
          <w:rFonts w:hint="eastAsia" w:ascii="宋体" w:hAnsi="宋体" w:cs="微软雅黑"/>
          <w:kern w:val="0"/>
          <w:szCs w:val="21"/>
        </w:rPr>
        <w:t>招标</w:t>
      </w:r>
      <w:r>
        <w:rPr>
          <w:rFonts w:hint="eastAsia" w:ascii="宋体" w:hAnsi="宋体" w:cs="微软雅黑"/>
          <w:spacing w:val="-2"/>
          <w:kern w:val="0"/>
          <w:szCs w:val="21"/>
        </w:rPr>
        <w:t>文件</w:t>
      </w:r>
      <w:r>
        <w:rPr>
          <w:rFonts w:hint="eastAsia" w:ascii="宋体" w:hAnsi="宋体" w:cs="微软雅黑"/>
          <w:spacing w:val="-14"/>
          <w:kern w:val="0"/>
          <w:szCs w:val="21"/>
        </w:rPr>
        <w:t>。</w:t>
      </w:r>
    </w:p>
    <w:p w14:paraId="68134661">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pPr>
      <w:r>
        <w:rPr>
          <w:rFonts w:hint="eastAsia" w:ascii="宋体" w:hAnsi="宋体"/>
          <w:iCs/>
          <w:szCs w:val="21"/>
        </w:rPr>
        <w:sym w:font="Wingdings" w:char="00A8"/>
      </w:r>
      <w:r>
        <w:rPr>
          <w:rFonts w:hint="eastAsia" w:ascii="宋体" w:hAnsi="宋体"/>
          <w:iCs/>
          <w:szCs w:val="21"/>
        </w:rPr>
        <w:t>本项目进行资格预审，招标文件将向所有通过资格预审的供应商提供。</w:t>
      </w:r>
    </w:p>
    <w:p w14:paraId="1100BE69">
      <w:pPr>
        <w:adjustRightInd w:val="0"/>
        <w:snapToGrid w:val="0"/>
        <w:spacing w:line="360" w:lineRule="auto"/>
        <w:ind w:firstLine="422" w:firstLineChars="200"/>
        <w:rPr>
          <w:rFonts w:ascii="宋体" w:hAnsi="宋体"/>
          <w:b/>
          <w:szCs w:val="21"/>
        </w:rPr>
      </w:pPr>
      <w:r>
        <w:rPr>
          <w:rFonts w:hint="eastAsia" w:ascii="宋体" w:hAnsi="宋体"/>
          <w:b/>
          <w:szCs w:val="21"/>
        </w:rPr>
        <w:t>六、投标截止时间、开标时间及地点</w:t>
      </w:r>
    </w:p>
    <w:p w14:paraId="72701FDC">
      <w:pPr>
        <w:adjustRightInd w:val="0"/>
        <w:snapToGrid w:val="0"/>
        <w:spacing w:line="360" w:lineRule="auto"/>
        <w:ind w:firstLine="420" w:firstLineChars="200"/>
        <w:rPr>
          <w:rFonts w:ascii="宋体" w:hAnsi="宋体"/>
          <w:szCs w:val="21"/>
        </w:rPr>
      </w:pPr>
      <w:r>
        <w:rPr>
          <w:rFonts w:hint="eastAsia" w:ascii="宋体" w:hAnsi="宋体"/>
          <w:szCs w:val="21"/>
        </w:rPr>
        <w:t>1、提交投标文件的截止时间：</w:t>
      </w:r>
      <w:r>
        <w:rPr>
          <w:rFonts w:hint="eastAsia" w:ascii="宋体" w:hAnsi="宋体"/>
          <w:szCs w:val="21"/>
          <w:u w:val="single"/>
        </w:rPr>
        <w:t>2026</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9</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8</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09</w:t>
      </w:r>
      <w:r>
        <w:rPr>
          <w:rFonts w:hint="eastAsia" w:ascii="宋体" w:hAnsi="宋体"/>
          <w:szCs w:val="21"/>
        </w:rPr>
        <w:t>时</w:t>
      </w:r>
      <w:r>
        <w:rPr>
          <w:rFonts w:hint="eastAsia" w:ascii="宋体" w:hAnsi="宋体"/>
          <w:szCs w:val="21"/>
          <w:u w:val="single"/>
        </w:rPr>
        <w:t>00</w:t>
      </w:r>
      <w:r>
        <w:rPr>
          <w:rFonts w:hint="eastAsia" w:ascii="宋体" w:hAnsi="宋体"/>
          <w:szCs w:val="21"/>
        </w:rPr>
        <w:t>分（北京时间）；</w:t>
      </w:r>
    </w:p>
    <w:p w14:paraId="310875C0">
      <w:pPr>
        <w:snapToGrid w:val="0"/>
        <w:spacing w:line="360" w:lineRule="auto"/>
        <w:ind w:firstLine="420" w:firstLineChars="200"/>
        <w:textAlignment w:val="baseline"/>
        <w:rPr>
          <w:rStyle w:val="154"/>
          <w:rFonts w:ascii="宋体" w:hAnsi="宋体"/>
          <w:szCs w:val="21"/>
        </w:rPr>
      </w:pPr>
      <w:r>
        <w:rPr>
          <w:rFonts w:hint="eastAsia" w:ascii="宋体" w:hAnsi="宋体"/>
          <w:szCs w:val="21"/>
        </w:rPr>
        <w:t>2、投标地点：</w:t>
      </w:r>
      <w:r>
        <w:rPr>
          <w:rStyle w:val="154"/>
          <w:rFonts w:ascii="宋体" w:hAnsi="宋体"/>
          <w:szCs w:val="21"/>
          <w:u w:val="single"/>
        </w:rPr>
        <w:t>请投标人在“</w:t>
      </w:r>
      <w:r>
        <w:rPr>
          <w:rFonts w:hint="eastAsia" w:ascii="宋体" w:hAnsi="宋体" w:cs="微软雅黑"/>
          <w:kern w:val="0"/>
          <w:szCs w:val="21"/>
          <w:u w:val="single"/>
        </w:rPr>
        <w:t>湖南省公共资源交易服务平台株洲分平台</w:t>
      </w:r>
      <w:r>
        <w:rPr>
          <w:rStyle w:val="154"/>
          <w:rFonts w:ascii="宋体" w:hAnsi="宋体"/>
          <w:szCs w:val="21"/>
          <w:u w:val="single"/>
        </w:rPr>
        <w:t>-下载中心</w:t>
      </w:r>
      <w:r>
        <w:rPr>
          <w:rStyle w:val="154"/>
          <w:rFonts w:hint="eastAsia" w:ascii="宋体" w:hAnsi="宋体"/>
          <w:szCs w:val="21"/>
          <w:u w:val="single"/>
        </w:rPr>
        <w:t>-政府采购</w:t>
      </w:r>
      <w:r>
        <w:rPr>
          <w:rStyle w:val="154"/>
          <w:rFonts w:ascii="宋体" w:hAnsi="宋体"/>
          <w:szCs w:val="21"/>
          <w:u w:val="single"/>
        </w:rPr>
        <w:t>”下载“</w:t>
      </w:r>
      <w:r>
        <w:rPr>
          <w:rStyle w:val="154"/>
          <w:rFonts w:hint="eastAsia" w:ascii="宋体" w:hAnsi="宋体"/>
          <w:szCs w:val="21"/>
          <w:u w:val="single"/>
        </w:rPr>
        <w:t>新点投标文件制作软件（湖南公共资源版）</w:t>
      </w:r>
      <w:r>
        <w:rPr>
          <w:rStyle w:val="154"/>
          <w:rFonts w:ascii="宋体" w:hAnsi="宋体"/>
          <w:szCs w:val="21"/>
          <w:u w:val="single"/>
        </w:rPr>
        <w:t>”编制投标文件，投标人应在投标截止时间前通过电子交易系统递交数据电文形式的投标文件。逾期送达的投标文件，电子交易系统予以拒收。</w:t>
      </w:r>
      <w:r>
        <w:rPr>
          <w:rStyle w:val="154"/>
          <w:rFonts w:ascii="宋体" w:hAnsi="宋体"/>
          <w:szCs w:val="21"/>
        </w:rPr>
        <w:t xml:space="preserve"> </w:t>
      </w:r>
    </w:p>
    <w:p w14:paraId="63591A74">
      <w:pPr>
        <w:adjustRightInd w:val="0"/>
        <w:snapToGrid w:val="0"/>
        <w:spacing w:line="360" w:lineRule="auto"/>
        <w:ind w:firstLine="420" w:firstLineChars="200"/>
        <w:rPr>
          <w:rFonts w:ascii="宋体" w:hAnsi="宋体"/>
          <w:szCs w:val="21"/>
        </w:rPr>
      </w:pPr>
      <w:r>
        <w:rPr>
          <w:rFonts w:hint="eastAsia" w:ascii="宋体" w:hAnsi="宋体"/>
          <w:szCs w:val="21"/>
        </w:rPr>
        <w:t>3、开标时间：</w:t>
      </w:r>
      <w:r>
        <w:rPr>
          <w:rFonts w:hint="eastAsia" w:ascii="宋体" w:hAnsi="宋体"/>
          <w:szCs w:val="21"/>
          <w:u w:val="single"/>
        </w:rPr>
        <w:t>2026</w:t>
      </w:r>
      <w:r>
        <w:rPr>
          <w:rFonts w:hint="eastAsia" w:ascii="宋体" w:hAnsi="宋体"/>
          <w:szCs w:val="21"/>
        </w:rPr>
        <w:t>年</w:t>
      </w:r>
      <w:r>
        <w:rPr>
          <w:rFonts w:hint="eastAsia" w:ascii="宋体" w:hAnsi="宋体"/>
          <w:szCs w:val="21"/>
          <w:u w:val="single"/>
          <w:lang w:val="en-US" w:eastAsia="zh-CN"/>
        </w:rPr>
        <w:t xml:space="preserve"> 9</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8</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09</w:t>
      </w:r>
      <w:r>
        <w:rPr>
          <w:rFonts w:hint="eastAsia" w:ascii="宋体" w:hAnsi="宋体"/>
          <w:szCs w:val="21"/>
        </w:rPr>
        <w:t>时</w:t>
      </w:r>
      <w:r>
        <w:rPr>
          <w:rFonts w:hint="eastAsia" w:ascii="宋体" w:hAnsi="宋体"/>
          <w:szCs w:val="21"/>
          <w:u w:val="single"/>
        </w:rPr>
        <w:t>00</w:t>
      </w:r>
      <w:r>
        <w:rPr>
          <w:rFonts w:hint="eastAsia" w:ascii="宋体" w:hAnsi="宋体"/>
          <w:szCs w:val="21"/>
        </w:rPr>
        <w:t xml:space="preserve">分。 </w:t>
      </w:r>
    </w:p>
    <w:p w14:paraId="207D68C9">
      <w:pPr>
        <w:adjustRightInd w:val="0"/>
        <w:snapToGrid w:val="0"/>
        <w:spacing w:line="360" w:lineRule="auto"/>
        <w:ind w:firstLine="420" w:firstLineChars="200"/>
        <w:outlineLvl w:val="1"/>
        <w:rPr>
          <w:rStyle w:val="154"/>
          <w:rFonts w:ascii="宋体" w:hAnsi="宋体"/>
          <w:szCs w:val="21"/>
          <w:u w:val="single"/>
        </w:rPr>
      </w:pPr>
      <w:r>
        <w:rPr>
          <w:rFonts w:hint="eastAsia" w:ascii="宋体" w:hAnsi="宋体"/>
          <w:szCs w:val="21"/>
        </w:rPr>
        <w:t>4、开标地点：</w:t>
      </w:r>
      <w:r>
        <w:rPr>
          <w:rFonts w:hint="eastAsia" w:ascii="宋体" w:hAnsi="宋体"/>
          <w:szCs w:val="21"/>
          <w:u w:val="single"/>
        </w:rPr>
        <w:t xml:space="preserve"> </w:t>
      </w:r>
      <w:r>
        <w:rPr>
          <w:rStyle w:val="154"/>
          <w:rFonts w:hint="eastAsia" w:ascii="宋体" w:hAnsi="宋体"/>
          <w:szCs w:val="21"/>
          <w:u w:val="single"/>
        </w:rPr>
        <w:t>湖南省公共资源交易服务平台株洲分平台（https：//zhuzhou.hnsggzy.com）——智慧服务大厅——开标与电子竞价直播，所有投标人应准时在线参加开标</w:t>
      </w:r>
      <w:r>
        <w:rPr>
          <w:rStyle w:val="154"/>
          <w:rFonts w:ascii="宋体" w:hAnsi="宋体"/>
          <w:szCs w:val="21"/>
          <w:u w:val="single"/>
        </w:rPr>
        <w:t>。</w:t>
      </w:r>
    </w:p>
    <w:p w14:paraId="455ABB0C">
      <w:pPr>
        <w:adjustRightInd w:val="0"/>
        <w:snapToGrid w:val="0"/>
        <w:spacing w:line="360" w:lineRule="auto"/>
        <w:ind w:firstLine="422" w:firstLineChars="200"/>
        <w:outlineLvl w:val="1"/>
        <w:rPr>
          <w:rFonts w:ascii="宋体" w:hAnsi="宋体"/>
          <w:szCs w:val="21"/>
        </w:rPr>
      </w:pPr>
      <w:r>
        <w:rPr>
          <w:rFonts w:hint="eastAsia" w:ascii="宋体" w:hAnsi="宋体"/>
          <w:b/>
          <w:szCs w:val="21"/>
        </w:rPr>
        <w:t>七、公告期限</w:t>
      </w:r>
      <w:r>
        <w:rPr>
          <w:rFonts w:hint="eastAsia" w:ascii="宋体" w:hAnsi="宋体"/>
          <w:szCs w:val="21"/>
        </w:rPr>
        <w:t>：</w:t>
      </w:r>
      <w:bookmarkEnd w:id="18"/>
      <w:bookmarkEnd w:id="19"/>
    </w:p>
    <w:p w14:paraId="4A8884C6">
      <w:pPr>
        <w:adjustRightInd w:val="0"/>
        <w:snapToGrid w:val="0"/>
        <w:spacing w:line="360" w:lineRule="auto"/>
        <w:ind w:firstLine="420" w:firstLineChars="200"/>
        <w:rPr>
          <w:rFonts w:ascii="宋体" w:hAnsi="宋体"/>
          <w:szCs w:val="21"/>
        </w:rPr>
      </w:pPr>
      <w:r>
        <w:rPr>
          <w:rFonts w:hint="eastAsia" w:ascii="宋体" w:hAnsi="宋体" w:eastAsia="宋体" w:cs="Times New Roman"/>
          <w:szCs w:val="21"/>
        </w:rPr>
        <w:t>1、本招标公告在中国</w:t>
      </w:r>
      <w:r>
        <w:rPr>
          <w:rFonts w:hint="eastAsia" w:ascii="宋体" w:hAnsi="宋体"/>
          <w:szCs w:val="21"/>
        </w:rPr>
        <w:t>湖南政府采购网（www.ccgp-hunan.gov.cn）发布。公告期限从本招标公告发布之日起5个工作日。</w:t>
      </w:r>
    </w:p>
    <w:p w14:paraId="5C74EAB7">
      <w:pPr>
        <w:adjustRightInd w:val="0"/>
        <w:snapToGrid w:val="0"/>
        <w:spacing w:line="360" w:lineRule="auto"/>
        <w:ind w:firstLine="420" w:firstLineChars="200"/>
        <w:rPr>
          <w:rFonts w:ascii="宋体" w:hAnsi="宋体"/>
          <w:szCs w:val="21"/>
        </w:rPr>
      </w:pPr>
      <w:r>
        <w:rPr>
          <w:rFonts w:hint="eastAsia" w:ascii="宋体" w:hAnsi="宋体"/>
          <w:szCs w:val="21"/>
        </w:rPr>
        <w:t>2、在其他媒体发布的招标公告，公告内容以本招标公告指定媒体发布的公告为准；公告期限自本招标公告指定媒体最先发布公告之日起算。</w:t>
      </w:r>
    </w:p>
    <w:p w14:paraId="4D59AE86">
      <w:pPr>
        <w:adjustRightInd w:val="0"/>
        <w:snapToGrid w:val="0"/>
        <w:spacing w:line="360" w:lineRule="auto"/>
        <w:ind w:firstLine="422" w:firstLineChars="200"/>
        <w:outlineLvl w:val="1"/>
        <w:rPr>
          <w:rFonts w:ascii="宋体" w:hAnsi="宋体"/>
          <w:szCs w:val="21"/>
        </w:rPr>
      </w:pPr>
      <w:bookmarkStart w:id="20" w:name="_Toc8387"/>
      <w:bookmarkStart w:id="21" w:name="_Toc28715"/>
      <w:r>
        <w:rPr>
          <w:rFonts w:hint="eastAsia" w:ascii="宋体" w:hAnsi="宋体"/>
          <w:b/>
          <w:szCs w:val="21"/>
        </w:rPr>
        <w:t>八、询问及质疑</w:t>
      </w:r>
      <w:r>
        <w:rPr>
          <w:rFonts w:hint="eastAsia" w:ascii="宋体" w:hAnsi="宋体"/>
          <w:szCs w:val="21"/>
        </w:rPr>
        <w:t>：</w:t>
      </w:r>
      <w:bookmarkEnd w:id="20"/>
      <w:bookmarkEnd w:id="21"/>
    </w:p>
    <w:p w14:paraId="41B7360A">
      <w:pPr>
        <w:adjustRightInd w:val="0"/>
        <w:snapToGrid w:val="0"/>
        <w:spacing w:line="360" w:lineRule="auto"/>
        <w:ind w:firstLine="420" w:firstLineChars="200"/>
        <w:rPr>
          <w:rFonts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58418C0A">
      <w:pPr>
        <w:adjustRightInd w:val="0"/>
        <w:snapToGrid w:val="0"/>
        <w:spacing w:line="360" w:lineRule="auto"/>
        <w:ind w:firstLine="420" w:firstLineChars="200"/>
        <w:rPr>
          <w:rFonts w:ascii="宋体" w:hAnsi="宋体"/>
          <w:szCs w:val="21"/>
        </w:rPr>
      </w:pPr>
      <w:r>
        <w:rPr>
          <w:rFonts w:hint="eastAsia" w:ascii="宋体" w:hAnsi="宋体"/>
          <w:szCs w:val="21"/>
        </w:rPr>
        <w:t>2、投标人对电子交易平台办理CA证书、操作等如有疑问，请咨询电子交易平台服务机构。</w:t>
      </w:r>
    </w:p>
    <w:p w14:paraId="2E10B9F2">
      <w:pPr>
        <w:adjustRightInd w:val="0"/>
        <w:snapToGrid w:val="0"/>
        <w:spacing w:line="360" w:lineRule="auto"/>
        <w:ind w:firstLine="420" w:firstLineChars="200"/>
        <w:rPr>
          <w:rFonts w:ascii="宋体" w:hAnsi="宋体"/>
          <w:szCs w:val="21"/>
        </w:rPr>
      </w:pPr>
      <w:r>
        <w:rPr>
          <w:rFonts w:hint="eastAsia" w:ascii="宋体" w:hAnsi="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5B0C1299">
      <w:pPr>
        <w:adjustRightInd w:val="0"/>
        <w:snapToGrid w:val="0"/>
        <w:spacing w:line="360" w:lineRule="auto"/>
        <w:ind w:firstLine="422" w:firstLineChars="200"/>
        <w:outlineLvl w:val="1"/>
        <w:rPr>
          <w:rFonts w:ascii="宋体" w:hAnsi="宋体"/>
          <w:b/>
          <w:szCs w:val="21"/>
        </w:rPr>
      </w:pPr>
      <w:bookmarkStart w:id="22" w:name="_Toc29520"/>
      <w:bookmarkStart w:id="23" w:name="_Toc19652"/>
      <w:r>
        <w:rPr>
          <w:rFonts w:hint="eastAsia" w:ascii="宋体" w:hAnsi="宋体"/>
          <w:b/>
          <w:szCs w:val="21"/>
        </w:rPr>
        <w:t>九、投标说明</w:t>
      </w:r>
      <w:bookmarkEnd w:id="22"/>
      <w:bookmarkEnd w:id="23"/>
    </w:p>
    <w:p w14:paraId="0F772191">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szCs w:val="21"/>
        </w:rPr>
      </w:pPr>
      <w:r>
        <w:rPr>
          <w:rFonts w:hint="eastAsia" w:ascii="宋体" w:hAnsi="宋体"/>
          <w:szCs w:val="21"/>
        </w:rPr>
        <w:t>1、本公告选项：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418B5FDE">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pPr>
      <w:r>
        <w:rPr>
          <w:rFonts w:hint="eastAsia" w:ascii="宋体" w:hAnsi="宋体"/>
          <w:szCs w:val="21"/>
        </w:rPr>
        <w:t>2、投标人参与政府采购活动，无需向采购人、代理机构、交易平台缴纳任何费用。</w:t>
      </w:r>
    </w:p>
    <w:p w14:paraId="5CFDE099">
      <w:pPr>
        <w:adjustRightInd w:val="0"/>
        <w:snapToGrid w:val="0"/>
        <w:spacing w:line="360" w:lineRule="auto"/>
        <w:ind w:firstLine="422" w:firstLineChars="200"/>
        <w:outlineLvl w:val="1"/>
        <w:rPr>
          <w:rFonts w:ascii="宋体" w:hAnsi="宋体"/>
          <w:b/>
          <w:szCs w:val="21"/>
        </w:rPr>
      </w:pPr>
      <w:bookmarkStart w:id="24" w:name="_Toc1986"/>
      <w:bookmarkStart w:id="25" w:name="_Toc8674"/>
      <w:r>
        <w:rPr>
          <w:rFonts w:hint="eastAsia" w:ascii="宋体" w:hAnsi="宋体"/>
          <w:b/>
          <w:szCs w:val="21"/>
        </w:rPr>
        <w:t>十、采购项目联系人姓名和电话</w:t>
      </w:r>
      <w:bookmarkEnd w:id="24"/>
      <w:bookmarkEnd w:id="25"/>
    </w:p>
    <w:p w14:paraId="38079D82">
      <w:pPr>
        <w:adjustRightInd w:val="0"/>
        <w:snapToGrid w:val="0"/>
        <w:spacing w:line="360" w:lineRule="auto"/>
        <w:ind w:firstLine="411" w:firstLineChars="196"/>
        <w:rPr>
          <w:rFonts w:ascii="宋体" w:hAnsi="宋体"/>
          <w:szCs w:val="21"/>
        </w:rPr>
      </w:pPr>
      <w:r>
        <w:rPr>
          <w:rFonts w:hint="eastAsia" w:ascii="宋体" w:hAnsi="宋体"/>
          <w:szCs w:val="21"/>
        </w:rPr>
        <w:t>1、联系人姓名：肖佳璐</w:t>
      </w:r>
    </w:p>
    <w:p w14:paraId="38309FF0">
      <w:pPr>
        <w:adjustRightInd w:val="0"/>
        <w:snapToGrid w:val="0"/>
        <w:spacing w:line="360" w:lineRule="auto"/>
        <w:ind w:firstLine="411" w:firstLineChars="196"/>
        <w:rPr>
          <w:rFonts w:ascii="宋体" w:hAnsi="宋体"/>
          <w:szCs w:val="21"/>
        </w:rPr>
      </w:pPr>
      <w:r>
        <w:rPr>
          <w:rFonts w:hint="eastAsia" w:ascii="宋体" w:hAnsi="宋体"/>
          <w:szCs w:val="21"/>
        </w:rPr>
        <w:t xml:space="preserve">2、电话：13307413030 </w:t>
      </w:r>
    </w:p>
    <w:p w14:paraId="252AAA6B">
      <w:pPr>
        <w:adjustRightInd w:val="0"/>
        <w:snapToGrid w:val="0"/>
        <w:spacing w:line="360" w:lineRule="auto"/>
        <w:ind w:firstLine="413" w:firstLineChars="196"/>
        <w:outlineLvl w:val="1"/>
        <w:rPr>
          <w:rFonts w:ascii="宋体" w:hAnsi="宋体"/>
          <w:b/>
          <w:bCs/>
          <w:szCs w:val="21"/>
        </w:rPr>
      </w:pPr>
      <w:bookmarkStart w:id="26" w:name="_Toc8825"/>
      <w:bookmarkStart w:id="27" w:name="_Toc26649"/>
      <w:r>
        <w:rPr>
          <w:rFonts w:hint="eastAsia" w:ascii="宋体" w:hAnsi="宋体"/>
          <w:b/>
          <w:bCs/>
          <w:szCs w:val="21"/>
        </w:rPr>
        <w:t>十一、采购人、采购代理机构的名称、地址和联系方法</w:t>
      </w:r>
      <w:bookmarkEnd w:id="26"/>
      <w:bookmarkEnd w:id="27"/>
    </w:p>
    <w:p w14:paraId="4B561ED3">
      <w:pPr>
        <w:adjustRightInd w:val="0"/>
        <w:snapToGrid w:val="0"/>
        <w:spacing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5CC19370">
      <w:pPr>
        <w:adjustRightInd w:val="0"/>
        <w:snapToGrid w:val="0"/>
        <w:spacing w:line="360" w:lineRule="auto"/>
        <w:ind w:firstLine="411" w:firstLineChars="196"/>
        <w:rPr>
          <w:rStyle w:val="154"/>
          <w:rFonts w:ascii="宋体" w:hAnsi="宋体"/>
          <w:szCs w:val="21"/>
        </w:rPr>
      </w:pPr>
      <w:r>
        <w:rPr>
          <w:rStyle w:val="154"/>
          <w:rFonts w:hint="eastAsia" w:ascii="宋体" w:hAnsi="宋体"/>
          <w:szCs w:val="21"/>
        </w:rPr>
        <w:t xml:space="preserve">（1）名  称：株洲市第八中学 </w:t>
      </w:r>
    </w:p>
    <w:p w14:paraId="3FAEC636">
      <w:pPr>
        <w:adjustRightInd w:val="0"/>
        <w:snapToGrid w:val="0"/>
        <w:spacing w:line="360" w:lineRule="auto"/>
        <w:ind w:firstLine="411" w:firstLineChars="196"/>
        <w:rPr>
          <w:rStyle w:val="154"/>
          <w:rFonts w:ascii="宋体" w:hAnsi="宋体"/>
          <w:szCs w:val="21"/>
        </w:rPr>
      </w:pPr>
      <w:r>
        <w:rPr>
          <w:rStyle w:val="154"/>
          <w:rFonts w:hint="eastAsia" w:ascii="宋体" w:hAnsi="宋体"/>
          <w:szCs w:val="21"/>
        </w:rPr>
        <w:t xml:space="preserve">（2）地  址：株洲市芦淞区贺嘉路258号 </w:t>
      </w:r>
    </w:p>
    <w:p w14:paraId="1B06971A">
      <w:pPr>
        <w:adjustRightInd w:val="0"/>
        <w:snapToGrid w:val="0"/>
        <w:spacing w:line="360" w:lineRule="auto"/>
        <w:ind w:firstLine="411" w:firstLineChars="196"/>
        <w:rPr>
          <w:rStyle w:val="154"/>
          <w:rFonts w:ascii="宋体" w:hAnsi="宋体"/>
          <w:szCs w:val="21"/>
        </w:rPr>
      </w:pPr>
      <w:r>
        <w:rPr>
          <w:rStyle w:val="154"/>
          <w:rFonts w:hint="eastAsia" w:ascii="宋体" w:hAnsi="宋体"/>
          <w:szCs w:val="21"/>
        </w:rPr>
        <w:t>（3）联系人：汤峰</w:t>
      </w:r>
    </w:p>
    <w:p w14:paraId="616D028F">
      <w:pPr>
        <w:adjustRightInd w:val="0"/>
        <w:snapToGrid w:val="0"/>
        <w:spacing w:line="360" w:lineRule="auto"/>
        <w:ind w:firstLine="411" w:firstLineChars="196"/>
        <w:rPr>
          <w:rStyle w:val="154"/>
          <w:rFonts w:ascii="宋体" w:hAnsi="宋体"/>
          <w:color w:val="000000" w:themeColor="text1"/>
          <w:szCs w:val="21"/>
          <w14:textFill>
            <w14:solidFill>
              <w14:schemeClr w14:val="tx1"/>
            </w14:solidFill>
          </w14:textFill>
        </w:rPr>
      </w:pPr>
      <w:r>
        <w:rPr>
          <w:rStyle w:val="154"/>
          <w:rFonts w:hint="eastAsia" w:ascii="宋体" w:hAnsi="宋体"/>
          <w:szCs w:val="21"/>
        </w:rPr>
        <w:t>（4）电  话：</w:t>
      </w:r>
      <w:r>
        <w:rPr>
          <w:rStyle w:val="154"/>
          <w:rFonts w:hint="eastAsia" w:ascii="宋体" w:hAnsi="宋体"/>
          <w:color w:val="000000" w:themeColor="text1"/>
          <w:szCs w:val="21"/>
          <w14:textFill>
            <w14:solidFill>
              <w14:schemeClr w14:val="tx1"/>
            </w14:solidFill>
          </w14:textFill>
        </w:rPr>
        <w:t>13873374554</w:t>
      </w:r>
    </w:p>
    <w:p w14:paraId="31949F68">
      <w:pPr>
        <w:adjustRightInd w:val="0"/>
        <w:snapToGrid w:val="0"/>
        <w:spacing w:line="360" w:lineRule="auto"/>
        <w:ind w:firstLine="411" w:firstLineChars="196"/>
        <w:rPr>
          <w:rStyle w:val="154"/>
          <w:rFonts w:ascii="宋体" w:hAnsi="宋体"/>
          <w:szCs w:val="21"/>
        </w:rPr>
      </w:pPr>
      <w:r>
        <w:rPr>
          <w:rStyle w:val="154"/>
          <w:rFonts w:hint="eastAsia" w:ascii="宋体" w:hAnsi="宋体"/>
          <w:szCs w:val="21"/>
        </w:rPr>
        <w:t xml:space="preserve">（5）邮  编：412000 </w:t>
      </w:r>
    </w:p>
    <w:p w14:paraId="06C0B05A">
      <w:pPr>
        <w:adjustRightInd w:val="0"/>
        <w:snapToGrid w:val="0"/>
        <w:spacing w:line="360" w:lineRule="auto"/>
        <w:ind w:firstLine="411" w:firstLineChars="196"/>
        <w:rPr>
          <w:rFonts w:ascii="宋体" w:hAnsi="宋体"/>
          <w:szCs w:val="21"/>
        </w:rPr>
      </w:pPr>
      <w:r>
        <w:rPr>
          <w:rStyle w:val="154"/>
          <w:rFonts w:hint="eastAsia" w:ascii="宋体" w:hAnsi="宋体"/>
          <w:szCs w:val="21"/>
        </w:rPr>
        <w:t>（6）电子邮箱：/</w:t>
      </w:r>
      <w:r>
        <w:rPr>
          <w:rFonts w:hint="eastAsia" w:ascii="宋体" w:hAnsi="宋体"/>
          <w:szCs w:val="21"/>
        </w:rPr>
        <w:t xml:space="preserve">   </w:t>
      </w:r>
    </w:p>
    <w:p w14:paraId="32D76C1E">
      <w:pPr>
        <w:adjustRightInd w:val="0"/>
        <w:snapToGrid w:val="0"/>
        <w:spacing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4979FB2A">
      <w:pPr>
        <w:adjustRightInd w:val="0"/>
        <w:snapToGrid w:val="0"/>
        <w:spacing w:line="360" w:lineRule="auto"/>
        <w:ind w:firstLine="420" w:firstLineChars="200"/>
        <w:jc w:val="left"/>
        <w:rPr>
          <w:rFonts w:ascii="宋体" w:hAnsi="宋体" w:cs="宋体"/>
        </w:rPr>
      </w:pPr>
      <w:r>
        <w:rPr>
          <w:rFonts w:hint="eastAsia" w:ascii="宋体" w:hAnsi="宋体" w:cs="宋体"/>
        </w:rPr>
        <w:t>（1）名 称：湖南浦建招标有限公司</w:t>
      </w:r>
    </w:p>
    <w:p w14:paraId="429CBD1D">
      <w:pPr>
        <w:adjustRightInd w:val="0"/>
        <w:snapToGrid w:val="0"/>
        <w:spacing w:line="360" w:lineRule="auto"/>
        <w:ind w:firstLine="420" w:firstLineChars="200"/>
        <w:jc w:val="left"/>
        <w:rPr>
          <w:rFonts w:ascii="宋体" w:hAnsi="宋体" w:cs="宋体"/>
        </w:rPr>
      </w:pPr>
      <w:r>
        <w:rPr>
          <w:rFonts w:hint="eastAsia" w:ascii="宋体" w:hAnsi="宋体" w:cs="宋体"/>
        </w:rPr>
        <w:t>（2）地 址：株洲市天元区庐山路明峰银座17楼</w:t>
      </w:r>
    </w:p>
    <w:p w14:paraId="2DEE903C">
      <w:pPr>
        <w:adjustRightInd w:val="0"/>
        <w:snapToGrid w:val="0"/>
        <w:spacing w:line="360" w:lineRule="auto"/>
        <w:ind w:firstLine="420" w:firstLineChars="200"/>
        <w:jc w:val="left"/>
        <w:rPr>
          <w:rFonts w:ascii="宋体" w:hAnsi="宋体" w:cs="宋体"/>
        </w:rPr>
      </w:pPr>
      <w:r>
        <w:rPr>
          <w:rFonts w:hint="eastAsia" w:ascii="宋体" w:hAnsi="宋体" w:cs="宋体"/>
        </w:rPr>
        <w:t>（3）联系人：肖佳璐、刘瑞、欧阳永胜</w:t>
      </w:r>
    </w:p>
    <w:p w14:paraId="6B0DC94C">
      <w:pPr>
        <w:adjustRightInd w:val="0"/>
        <w:snapToGrid w:val="0"/>
        <w:spacing w:line="360" w:lineRule="auto"/>
        <w:ind w:firstLine="420" w:firstLineChars="200"/>
        <w:jc w:val="left"/>
        <w:rPr>
          <w:rFonts w:ascii="宋体" w:hAnsi="宋体" w:cs="宋体"/>
        </w:rPr>
      </w:pPr>
      <w:r>
        <w:rPr>
          <w:rFonts w:hint="eastAsia" w:ascii="宋体" w:hAnsi="宋体" w:cs="宋体"/>
        </w:rPr>
        <w:t xml:space="preserve">（4）邮 编：412000 </w:t>
      </w:r>
    </w:p>
    <w:p w14:paraId="0541DD24">
      <w:pPr>
        <w:adjustRightInd w:val="0"/>
        <w:snapToGrid w:val="0"/>
        <w:spacing w:line="360" w:lineRule="auto"/>
        <w:ind w:firstLine="420" w:firstLineChars="200"/>
        <w:jc w:val="left"/>
        <w:rPr>
          <w:rFonts w:ascii="宋体" w:hAnsi="宋体" w:cs="宋体"/>
        </w:rPr>
      </w:pPr>
      <w:r>
        <w:rPr>
          <w:rFonts w:hint="eastAsia" w:ascii="宋体" w:hAnsi="宋体" w:cs="宋体"/>
        </w:rPr>
        <w:t>（5）电 话：0731-28522277</w:t>
      </w:r>
    </w:p>
    <w:p w14:paraId="55B4ABDB">
      <w:pPr>
        <w:snapToGrid w:val="0"/>
        <w:spacing w:line="360" w:lineRule="auto"/>
        <w:ind w:firstLine="420" w:firstLineChars="200"/>
        <w:textAlignment w:val="baseline"/>
        <w:rPr>
          <w:rFonts w:ascii="宋体" w:hAnsi="宋体" w:cs="宋体"/>
        </w:rPr>
      </w:pPr>
      <w:r>
        <w:rPr>
          <w:rFonts w:hint="eastAsia" w:ascii="宋体" w:hAnsi="宋体" w:cs="宋体"/>
        </w:rPr>
        <w:t>（6）电子邮箱：</w:t>
      </w:r>
      <w:r>
        <w:fldChar w:fldCharType="begin"/>
      </w:r>
      <w:r>
        <w:instrText xml:space="preserve"> HYPERLINK "mailto:3562613576@qq.com" </w:instrText>
      </w:r>
      <w:r>
        <w:fldChar w:fldCharType="separate"/>
      </w:r>
      <w:r>
        <w:rPr>
          <w:rFonts w:hint="eastAsia" w:ascii="宋体" w:hAnsi="宋体" w:cs="宋体"/>
        </w:rPr>
        <w:t>16458598@qq.com</w:t>
      </w:r>
      <w:r>
        <w:rPr>
          <w:rFonts w:hint="eastAsia" w:ascii="宋体" w:hAnsi="宋体" w:cs="宋体"/>
        </w:rPr>
        <w:fldChar w:fldCharType="end"/>
      </w:r>
    </w:p>
    <w:p w14:paraId="0AB39829">
      <w:pPr>
        <w:adjustRightInd w:val="0"/>
        <w:snapToGrid w:val="0"/>
        <w:spacing w:line="360" w:lineRule="auto"/>
        <w:ind w:firstLine="422" w:firstLineChars="200"/>
        <w:jc w:val="left"/>
        <w:rPr>
          <w:rFonts w:ascii="宋体" w:hAnsi="宋体" w:cs="微软雅黑"/>
          <w:b/>
          <w:bCs/>
          <w:kern w:val="0"/>
          <w:position w:val="-1"/>
        </w:rPr>
      </w:pPr>
      <w:r>
        <w:rPr>
          <w:rFonts w:hint="eastAsia" w:ascii="宋体" w:hAnsi="宋体" w:cs="宋体"/>
          <w:b/>
          <w:bCs/>
        </w:rPr>
        <w:t xml:space="preserve"> </w:t>
      </w:r>
      <w:r>
        <w:rPr>
          <w:rFonts w:hint="eastAsia" w:ascii="宋体" w:hAnsi="宋体" w:cs="微软雅黑"/>
          <w:b/>
          <w:bCs/>
          <w:kern w:val="0"/>
          <w:position w:val="-1"/>
        </w:rPr>
        <w:t>3、电子交易平台服务机构信息</w:t>
      </w:r>
    </w:p>
    <w:p w14:paraId="282C56FF">
      <w:pPr>
        <w:adjustRightInd w:val="0"/>
        <w:snapToGrid w:val="0"/>
        <w:spacing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rPr>
        <w:t>株洲市公共资源交易网</w:t>
      </w:r>
    </w:p>
    <w:p w14:paraId="25B84764">
      <w:pPr>
        <w:adjustRightInd w:val="0"/>
        <w:snapToGrid w:val="0"/>
        <w:spacing w:line="360" w:lineRule="auto"/>
        <w:ind w:firstLine="420" w:firstLineChars="200"/>
        <w:rPr>
          <w:rFonts w:ascii="宋体" w:hAnsi="宋体"/>
          <w:szCs w:val="21"/>
        </w:rPr>
      </w:pPr>
      <w:r>
        <w:rPr>
          <w:rFonts w:hint="eastAsia" w:ascii="宋体" w:hAnsi="宋体"/>
          <w:szCs w:val="21"/>
        </w:rPr>
        <w:t xml:space="preserve">（2）联系人：技术支持 </w:t>
      </w:r>
    </w:p>
    <w:p w14:paraId="39D262E2">
      <w:pPr>
        <w:adjustRightInd w:val="0"/>
        <w:snapToGrid w:val="0"/>
        <w:spacing w:line="360" w:lineRule="auto"/>
        <w:ind w:firstLine="420" w:firstLineChars="200"/>
        <w:rPr>
          <w:rFonts w:ascii="宋体" w:hAnsi="宋体"/>
          <w:szCs w:val="21"/>
        </w:rPr>
      </w:pPr>
      <w:r>
        <w:rPr>
          <w:rFonts w:hint="eastAsia" w:ascii="宋体" w:hAnsi="宋体"/>
          <w:szCs w:val="21"/>
        </w:rPr>
        <w:t xml:space="preserve">（3）电  话：0731-28101310 </w:t>
      </w:r>
    </w:p>
    <w:p w14:paraId="40FC14A2">
      <w:pPr>
        <w:adjustRightInd w:val="0"/>
        <w:snapToGrid w:val="0"/>
        <w:spacing w:line="360" w:lineRule="auto"/>
        <w:ind w:firstLine="420" w:firstLineChars="200"/>
        <w:rPr>
          <w:rFonts w:ascii="宋体" w:hAnsi="宋体"/>
          <w:szCs w:val="21"/>
        </w:rPr>
      </w:pPr>
      <w:r>
        <w:rPr>
          <w:rFonts w:hint="eastAsia" w:ascii="宋体" w:hAnsi="宋体"/>
          <w:szCs w:val="21"/>
        </w:rPr>
        <w:t>（4）电子邮箱：</w:t>
      </w:r>
      <w:r>
        <w:fldChar w:fldCharType="begin"/>
      </w:r>
      <w:r>
        <w:instrText xml:space="preserve"> HYPERLINK "mailto:3562613576@qq.com" </w:instrText>
      </w:r>
      <w:r>
        <w:fldChar w:fldCharType="separate"/>
      </w:r>
      <w:r>
        <w:rPr>
          <w:rFonts w:hint="eastAsia" w:ascii="宋体" w:hAnsi="宋体"/>
          <w:szCs w:val="21"/>
        </w:rPr>
        <w:t>3562613576@qq.com</w:t>
      </w:r>
      <w:bookmarkStart w:id="28" w:name="_Toc14812"/>
      <w:r>
        <w:rPr>
          <w:rFonts w:hint="eastAsia" w:ascii="宋体" w:hAnsi="宋体"/>
          <w:szCs w:val="21"/>
        </w:rPr>
        <w:fldChar w:fldCharType="end"/>
      </w:r>
      <w:bookmarkEnd w:id="9"/>
    </w:p>
    <w:p w14:paraId="049DC5A3">
      <w:pPr>
        <w:rPr>
          <w:rFonts w:hAnsi="宋体" w:cs="宋体"/>
          <w:b/>
          <w:sz w:val="32"/>
          <w:szCs w:val="32"/>
        </w:rPr>
      </w:pPr>
      <w:r>
        <w:rPr>
          <w:rFonts w:hint="eastAsia" w:hAnsi="宋体" w:cs="宋体"/>
          <w:b/>
          <w:sz w:val="32"/>
          <w:szCs w:val="32"/>
        </w:rPr>
        <w:br w:type="page"/>
      </w:r>
    </w:p>
    <w:p w14:paraId="3779F03F">
      <w:pPr>
        <w:adjustRightInd w:val="0"/>
        <w:snapToGrid w:val="0"/>
        <w:spacing w:line="360" w:lineRule="auto"/>
        <w:ind w:firstLine="643" w:firstLineChars="200"/>
        <w:jc w:val="center"/>
        <w:rPr>
          <w:rFonts w:hAnsi="宋体" w:cs="宋体"/>
          <w:b/>
          <w:spacing w:val="100"/>
          <w:sz w:val="32"/>
          <w:szCs w:val="32"/>
        </w:rPr>
      </w:pPr>
      <w:r>
        <w:rPr>
          <w:rFonts w:hint="eastAsia" w:hAnsi="宋体" w:cs="宋体"/>
          <w:b/>
          <w:sz w:val="32"/>
          <w:szCs w:val="32"/>
        </w:rPr>
        <w:t>第二章 投标须知</w:t>
      </w:r>
      <w:bookmarkEnd w:id="0"/>
      <w:bookmarkEnd w:id="1"/>
      <w:bookmarkEnd w:id="2"/>
      <w:bookmarkEnd w:id="3"/>
      <w:bookmarkEnd w:id="4"/>
      <w:bookmarkEnd w:id="5"/>
      <w:bookmarkEnd w:id="6"/>
      <w:bookmarkEnd w:id="7"/>
      <w:bookmarkEnd w:id="28"/>
    </w:p>
    <w:p w14:paraId="195FB74A">
      <w:pPr>
        <w:pStyle w:val="3"/>
        <w:adjustRightInd w:val="0"/>
        <w:snapToGrid w:val="0"/>
        <w:jc w:val="center"/>
        <w:rPr>
          <w:rFonts w:ascii="宋体" w:hAnsi="宋体" w:cs="宋体"/>
          <w:spacing w:val="100"/>
          <w:sz w:val="28"/>
          <w:szCs w:val="28"/>
        </w:rPr>
      </w:pPr>
      <w:bookmarkStart w:id="29" w:name="_Toc13073"/>
      <w:r>
        <w:rPr>
          <w:rFonts w:hint="eastAsia" w:ascii="宋体" w:hAnsi="宋体" w:cs="宋体"/>
          <w:sz w:val="28"/>
          <w:szCs w:val="28"/>
        </w:rPr>
        <w:t>第一节 投标须知前附表</w:t>
      </w:r>
      <w:bookmarkEnd w:id="29"/>
    </w:p>
    <w:p w14:paraId="3C86D471">
      <w:pPr>
        <w:adjustRightInd w:val="0"/>
        <w:snapToGrid w:val="0"/>
        <w:spacing w:line="360" w:lineRule="auto"/>
        <w:ind w:right="31" w:rightChars="15" w:firstLine="420" w:firstLineChars="200"/>
        <w:rPr>
          <w:rFonts w:ascii="宋体" w:hAnsi="宋体" w:cs="宋体"/>
          <w:iCs/>
          <w:szCs w:val="21"/>
        </w:rPr>
      </w:pPr>
      <w:r>
        <w:rPr>
          <w:rFonts w:hint="eastAsia" w:ascii="宋体" w:hAnsi="宋体" w:cs="宋体"/>
          <w:iCs/>
          <w:szCs w:val="21"/>
        </w:rPr>
        <w:t>注：本项目启用的条款在“编列内容规定”栏内以“■”标注。</w:t>
      </w:r>
    </w:p>
    <w:tbl>
      <w:tblPr>
        <w:tblStyle w:val="43"/>
        <w:tblW w:w="96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25"/>
        <w:gridCol w:w="5740"/>
      </w:tblGrid>
      <w:tr w14:paraId="2800A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560" w:type="dxa"/>
            <w:tcBorders>
              <w:tl2br w:val="nil"/>
              <w:tr2bl w:val="nil"/>
            </w:tcBorders>
            <w:vAlign w:val="center"/>
          </w:tcPr>
          <w:p w14:paraId="15604257">
            <w:pPr>
              <w:jc w:val="center"/>
              <w:rPr>
                <w:rFonts w:ascii="宋体" w:hAnsi="宋体" w:cs="宋体"/>
                <w:b/>
                <w:bCs/>
                <w:szCs w:val="21"/>
              </w:rPr>
            </w:pPr>
            <w:r>
              <w:rPr>
                <w:rFonts w:hint="eastAsia" w:ascii="宋体" w:hAnsi="宋体" w:cs="宋体"/>
                <w:b/>
                <w:bCs/>
                <w:szCs w:val="21"/>
              </w:rPr>
              <w:t>条款号</w:t>
            </w:r>
          </w:p>
        </w:tc>
        <w:tc>
          <w:tcPr>
            <w:tcW w:w="2325" w:type="dxa"/>
            <w:tcBorders>
              <w:tl2br w:val="nil"/>
              <w:tr2bl w:val="nil"/>
            </w:tcBorders>
            <w:vAlign w:val="center"/>
          </w:tcPr>
          <w:p w14:paraId="1966A370">
            <w:pPr>
              <w:jc w:val="center"/>
              <w:rPr>
                <w:rFonts w:ascii="宋体" w:hAnsi="宋体" w:cs="宋体"/>
                <w:b/>
                <w:bCs/>
                <w:szCs w:val="21"/>
              </w:rPr>
            </w:pPr>
            <w:r>
              <w:rPr>
                <w:rFonts w:hint="eastAsia" w:ascii="宋体" w:hAnsi="宋体" w:cs="宋体"/>
                <w:b/>
                <w:bCs/>
                <w:szCs w:val="21"/>
              </w:rPr>
              <w:t>条款名称</w:t>
            </w:r>
          </w:p>
        </w:tc>
        <w:tc>
          <w:tcPr>
            <w:tcW w:w="5740" w:type="dxa"/>
            <w:tcBorders>
              <w:tl2br w:val="nil"/>
              <w:tr2bl w:val="nil"/>
            </w:tcBorders>
            <w:vAlign w:val="center"/>
          </w:tcPr>
          <w:p w14:paraId="304A3F7B">
            <w:pPr>
              <w:jc w:val="center"/>
              <w:rPr>
                <w:rFonts w:ascii="宋体" w:hAnsi="宋体" w:cs="宋体"/>
                <w:b/>
                <w:bCs/>
                <w:szCs w:val="21"/>
              </w:rPr>
            </w:pPr>
            <w:r>
              <w:rPr>
                <w:rFonts w:hint="eastAsia" w:ascii="宋体" w:hAnsi="宋体" w:cs="宋体"/>
                <w:b/>
                <w:bCs/>
                <w:szCs w:val="21"/>
              </w:rPr>
              <w:t>编列内容规定</w:t>
            </w:r>
          </w:p>
        </w:tc>
      </w:tr>
      <w:tr w14:paraId="36A0C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1C558165">
            <w:pPr>
              <w:rPr>
                <w:rFonts w:ascii="宋体" w:hAnsi="宋体" w:cs="宋体"/>
                <w:szCs w:val="21"/>
              </w:rPr>
            </w:pPr>
            <w:r>
              <w:rPr>
                <w:rFonts w:hint="eastAsia" w:ascii="宋体" w:hAnsi="宋体" w:cs="宋体"/>
                <w:b/>
                <w:bCs/>
                <w:szCs w:val="21"/>
              </w:rPr>
              <w:t>一、说明</w:t>
            </w:r>
          </w:p>
        </w:tc>
      </w:tr>
      <w:tr w14:paraId="6ABF0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5B39AD4">
            <w:pPr>
              <w:jc w:val="center"/>
              <w:rPr>
                <w:rFonts w:ascii="宋体" w:hAnsi="宋体" w:cs="宋体"/>
                <w:szCs w:val="21"/>
              </w:rPr>
            </w:pPr>
            <w:r>
              <w:rPr>
                <w:rFonts w:hint="eastAsia" w:ascii="宋体" w:hAnsi="宋体" w:cs="宋体"/>
                <w:szCs w:val="21"/>
              </w:rPr>
              <w:t>第1.1款</w:t>
            </w:r>
          </w:p>
        </w:tc>
        <w:tc>
          <w:tcPr>
            <w:tcW w:w="2325" w:type="dxa"/>
            <w:tcBorders>
              <w:tl2br w:val="nil"/>
              <w:tr2bl w:val="nil"/>
            </w:tcBorders>
            <w:vAlign w:val="center"/>
          </w:tcPr>
          <w:p w14:paraId="5ECEC118">
            <w:pPr>
              <w:jc w:val="left"/>
              <w:rPr>
                <w:rFonts w:ascii="宋体" w:hAnsi="宋体" w:cs="宋体"/>
                <w:szCs w:val="21"/>
              </w:rPr>
            </w:pPr>
            <w:r>
              <w:rPr>
                <w:rFonts w:hint="eastAsia" w:ascii="宋体" w:hAnsi="宋体" w:cs="宋体"/>
                <w:szCs w:val="21"/>
              </w:rPr>
              <w:t>采购项目</w:t>
            </w:r>
          </w:p>
        </w:tc>
        <w:tc>
          <w:tcPr>
            <w:tcW w:w="5740" w:type="dxa"/>
            <w:tcBorders>
              <w:tl2br w:val="nil"/>
              <w:tr2bl w:val="nil"/>
            </w:tcBorders>
            <w:vAlign w:val="center"/>
          </w:tcPr>
          <w:p w14:paraId="0EC29FE7">
            <w:pPr>
              <w:spacing w:line="360" w:lineRule="auto"/>
              <w:rPr>
                <w:rFonts w:ascii="宋体" w:hAnsi="宋体" w:cs="宋体"/>
                <w:szCs w:val="21"/>
              </w:rPr>
            </w:pPr>
            <w:r>
              <w:rPr>
                <w:rFonts w:hint="eastAsia" w:ascii="宋体" w:hAnsi="宋体" w:cs="宋体"/>
                <w:szCs w:val="21"/>
                <w:lang w:eastAsia="zh-CN"/>
              </w:rPr>
              <w:t>株洲市第八中学科创楼报告厅设备采购项目</w:t>
            </w:r>
            <w:r>
              <w:rPr>
                <w:rFonts w:hint="eastAsia" w:ascii="宋体" w:hAnsi="宋体" w:cs="宋体"/>
                <w:szCs w:val="21"/>
              </w:rPr>
              <w:t xml:space="preserve"> </w:t>
            </w:r>
          </w:p>
        </w:tc>
      </w:tr>
      <w:tr w14:paraId="7C2EB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60A6881">
            <w:pPr>
              <w:adjustRightInd w:val="0"/>
              <w:snapToGrid w:val="0"/>
              <w:spacing w:line="380" w:lineRule="exact"/>
              <w:jc w:val="center"/>
              <w:rPr>
                <w:rFonts w:ascii="宋体" w:hAnsi="宋体" w:cs="宋体"/>
                <w:szCs w:val="21"/>
              </w:rPr>
            </w:pPr>
            <w:r>
              <w:rPr>
                <w:rFonts w:hint="eastAsia" w:ascii="宋体" w:hAnsi="宋体"/>
                <w:szCs w:val="21"/>
              </w:rPr>
              <w:t>第1.2款</w:t>
            </w:r>
          </w:p>
        </w:tc>
        <w:tc>
          <w:tcPr>
            <w:tcW w:w="2325" w:type="dxa"/>
            <w:tcBorders>
              <w:tl2br w:val="nil"/>
              <w:tr2bl w:val="nil"/>
            </w:tcBorders>
            <w:vAlign w:val="center"/>
          </w:tcPr>
          <w:p w14:paraId="71CF1BF8">
            <w:pPr>
              <w:adjustRightInd w:val="0"/>
              <w:snapToGrid w:val="0"/>
              <w:spacing w:line="380" w:lineRule="exact"/>
              <w:rPr>
                <w:rFonts w:ascii="宋体" w:hAnsi="宋体" w:cs="宋体"/>
                <w:szCs w:val="21"/>
              </w:rPr>
            </w:pPr>
            <w:r>
              <w:rPr>
                <w:rFonts w:hint="eastAsia" w:ascii="宋体" w:hAnsi="宋体"/>
                <w:szCs w:val="21"/>
              </w:rPr>
              <w:t>是否预留采购份额</w:t>
            </w:r>
          </w:p>
        </w:tc>
        <w:tc>
          <w:tcPr>
            <w:tcW w:w="5740" w:type="dxa"/>
            <w:tcBorders>
              <w:tl2br w:val="nil"/>
              <w:tr2bl w:val="nil"/>
            </w:tcBorders>
            <w:vAlign w:val="center"/>
          </w:tcPr>
          <w:p w14:paraId="60925545">
            <w:pPr>
              <w:adjustRightInd w:val="0"/>
              <w:snapToGrid w:val="0"/>
              <w:spacing w:line="380" w:lineRule="exact"/>
              <w:rPr>
                <w:u w:val="single"/>
              </w:rPr>
            </w:pPr>
            <w:r>
              <w:rPr>
                <w:rFonts w:hint="eastAsia"/>
              </w:rPr>
              <w:sym w:font="Wingdings" w:char="00A8"/>
            </w:r>
            <w:r>
              <w:rPr>
                <w:rFonts w:hint="eastAsia"/>
              </w:rPr>
              <w:t xml:space="preserve"> 是，预留方式：</w:t>
            </w:r>
            <w:r>
              <w:rPr>
                <w:rFonts w:hint="eastAsia"/>
                <w:u w:val="single"/>
              </w:rPr>
              <w:t>（整体项目专门面向中小/小微企业采购或强制分包采购）。</w:t>
            </w:r>
          </w:p>
          <w:p w14:paraId="67192710">
            <w:pPr>
              <w:pStyle w:val="174"/>
              <w:spacing w:line="380" w:lineRule="exact"/>
              <w:ind w:firstLine="0" w:firstLineChars="0"/>
            </w:pPr>
            <w:r>
              <w:rPr>
                <w:rFonts w:hint="eastAsia" w:ascii="宋体" w:hAnsi="宋体" w:cs="宋体"/>
              </w:rPr>
              <w:t>■</w:t>
            </w:r>
            <w:r>
              <w:rPr>
                <w:rFonts w:hint="eastAsia" w:ascii="宋体" w:hAnsi="宋体"/>
                <w:iCs/>
              </w:rPr>
              <w:t xml:space="preserve"> 否。</w:t>
            </w:r>
          </w:p>
        </w:tc>
      </w:tr>
      <w:tr w14:paraId="47A7D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0" w:type="dxa"/>
            <w:tcBorders>
              <w:tl2br w:val="nil"/>
              <w:tr2bl w:val="nil"/>
            </w:tcBorders>
            <w:vAlign w:val="center"/>
          </w:tcPr>
          <w:p w14:paraId="0FF2373D">
            <w:pPr>
              <w:jc w:val="center"/>
              <w:rPr>
                <w:rFonts w:ascii="宋体" w:hAnsi="宋体" w:cs="宋体"/>
                <w:szCs w:val="21"/>
              </w:rPr>
            </w:pPr>
            <w:r>
              <w:rPr>
                <w:rFonts w:hint="eastAsia" w:ascii="宋体" w:hAnsi="宋体" w:cs="宋体"/>
                <w:szCs w:val="21"/>
              </w:rPr>
              <w:t>第2.1</w:t>
            </w:r>
            <w:r>
              <w:rPr>
                <w:rFonts w:hint="eastAsia" w:ascii="宋体" w:hAnsi="宋体" w:cs="宋体"/>
                <w:szCs w:val="21"/>
                <w:lang w:val="zh-CN"/>
              </w:rPr>
              <w:t>款</w:t>
            </w:r>
          </w:p>
        </w:tc>
        <w:tc>
          <w:tcPr>
            <w:tcW w:w="2325" w:type="dxa"/>
            <w:tcBorders>
              <w:tl2br w:val="nil"/>
              <w:tr2bl w:val="nil"/>
            </w:tcBorders>
            <w:vAlign w:val="center"/>
          </w:tcPr>
          <w:p w14:paraId="38A7B010">
            <w:pPr>
              <w:rPr>
                <w:rFonts w:ascii="宋体" w:hAnsi="宋体" w:cs="宋体"/>
                <w:b/>
                <w:bCs/>
                <w:szCs w:val="21"/>
              </w:rPr>
            </w:pPr>
            <w:r>
              <w:rPr>
                <w:rFonts w:hint="eastAsia" w:ascii="宋体" w:hAnsi="宋体" w:cs="宋体"/>
                <w:szCs w:val="21"/>
              </w:rPr>
              <w:t>采购项目联系人姓名和电话</w:t>
            </w:r>
          </w:p>
        </w:tc>
        <w:tc>
          <w:tcPr>
            <w:tcW w:w="5740" w:type="dxa"/>
            <w:tcBorders>
              <w:tl2br w:val="nil"/>
              <w:tr2bl w:val="nil"/>
            </w:tcBorders>
            <w:vAlign w:val="center"/>
          </w:tcPr>
          <w:p w14:paraId="49D855B4">
            <w:pPr>
              <w:spacing w:line="360" w:lineRule="auto"/>
              <w:rPr>
                <w:rFonts w:ascii="宋体" w:hAnsi="宋体" w:cs="宋体"/>
                <w:szCs w:val="21"/>
              </w:rPr>
            </w:pPr>
            <w:r>
              <w:rPr>
                <w:rFonts w:hint="eastAsia" w:ascii="宋体" w:hAnsi="宋体" w:cs="宋体"/>
                <w:szCs w:val="21"/>
              </w:rPr>
              <w:t>采购项目联系人姓名：肖佳璐</w:t>
            </w:r>
          </w:p>
          <w:p w14:paraId="351C1BE7">
            <w:pPr>
              <w:spacing w:line="360" w:lineRule="auto"/>
              <w:rPr>
                <w:rFonts w:ascii="宋体" w:hAnsi="宋体" w:cs="宋体"/>
                <w:b/>
                <w:bCs/>
                <w:szCs w:val="21"/>
              </w:rPr>
            </w:pPr>
            <w:r>
              <w:rPr>
                <w:rFonts w:hint="eastAsia" w:ascii="宋体" w:hAnsi="宋体" w:cs="宋体"/>
                <w:szCs w:val="21"/>
              </w:rPr>
              <w:t>采购项目联系人电话：13307413030</w:t>
            </w:r>
          </w:p>
        </w:tc>
      </w:tr>
      <w:tr w14:paraId="656C8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F56B46A">
            <w:pPr>
              <w:jc w:val="center"/>
              <w:rPr>
                <w:rFonts w:ascii="宋体" w:hAnsi="宋体" w:cs="宋体"/>
                <w:szCs w:val="21"/>
              </w:rPr>
            </w:pPr>
            <w:r>
              <w:rPr>
                <w:rFonts w:hint="eastAsia" w:ascii="宋体" w:hAnsi="宋体" w:cs="宋体"/>
                <w:szCs w:val="21"/>
              </w:rPr>
              <w:t>第2.2</w:t>
            </w:r>
            <w:r>
              <w:rPr>
                <w:rFonts w:hint="eastAsia" w:ascii="宋体" w:hAnsi="宋体" w:cs="宋体"/>
                <w:szCs w:val="21"/>
                <w:lang w:val="zh-CN"/>
              </w:rPr>
              <w:t>款</w:t>
            </w:r>
          </w:p>
        </w:tc>
        <w:tc>
          <w:tcPr>
            <w:tcW w:w="2325" w:type="dxa"/>
            <w:tcBorders>
              <w:tl2br w:val="nil"/>
              <w:tr2bl w:val="nil"/>
            </w:tcBorders>
            <w:vAlign w:val="center"/>
          </w:tcPr>
          <w:p w14:paraId="599CC411">
            <w:pPr>
              <w:jc w:val="left"/>
              <w:rPr>
                <w:rFonts w:ascii="宋体" w:hAnsi="宋体" w:cs="宋体"/>
                <w:szCs w:val="21"/>
              </w:rPr>
            </w:pPr>
            <w:r>
              <w:rPr>
                <w:rFonts w:hint="eastAsia" w:ascii="宋体" w:hAnsi="宋体" w:cs="宋体"/>
                <w:szCs w:val="21"/>
              </w:rPr>
              <w:t>采购人名称、地址、电话、联系人</w:t>
            </w:r>
          </w:p>
        </w:tc>
        <w:tc>
          <w:tcPr>
            <w:tcW w:w="5740" w:type="dxa"/>
            <w:tcBorders>
              <w:tl2br w:val="nil"/>
              <w:tr2bl w:val="nil"/>
            </w:tcBorders>
            <w:vAlign w:val="center"/>
          </w:tcPr>
          <w:p w14:paraId="56C8F6D1">
            <w:pPr>
              <w:snapToGrid w:val="0"/>
              <w:spacing w:line="380" w:lineRule="exact"/>
              <w:textAlignment w:val="baseline"/>
              <w:rPr>
                <w:rStyle w:val="154"/>
                <w:rFonts w:ascii="宋体" w:hAnsi="宋体"/>
                <w:szCs w:val="21"/>
              </w:rPr>
            </w:pPr>
            <w:r>
              <w:rPr>
                <w:rStyle w:val="154"/>
                <w:rFonts w:hint="eastAsia" w:ascii="宋体" w:hAnsi="宋体"/>
                <w:szCs w:val="21"/>
              </w:rPr>
              <w:t xml:space="preserve">名 称：株洲市第八中学                             </w:t>
            </w:r>
          </w:p>
          <w:p w14:paraId="51C8FCEA">
            <w:pPr>
              <w:snapToGrid w:val="0"/>
              <w:spacing w:line="380" w:lineRule="exact"/>
              <w:textAlignment w:val="baseline"/>
              <w:rPr>
                <w:rStyle w:val="154"/>
                <w:rFonts w:ascii="宋体" w:hAnsi="宋体"/>
                <w:szCs w:val="21"/>
              </w:rPr>
            </w:pPr>
            <w:r>
              <w:rPr>
                <w:rStyle w:val="154"/>
                <w:rFonts w:hint="eastAsia" w:ascii="宋体" w:hAnsi="宋体"/>
                <w:szCs w:val="21"/>
              </w:rPr>
              <w:t>地  址：株洲市芦淞区贺嘉路258号</w:t>
            </w:r>
          </w:p>
          <w:p w14:paraId="6FC1DF7F">
            <w:pPr>
              <w:snapToGrid w:val="0"/>
              <w:spacing w:line="380" w:lineRule="exact"/>
              <w:textAlignment w:val="baseline"/>
              <w:rPr>
                <w:rStyle w:val="154"/>
                <w:rFonts w:ascii="宋体" w:hAnsi="宋体"/>
                <w:szCs w:val="21"/>
              </w:rPr>
            </w:pPr>
            <w:r>
              <w:rPr>
                <w:rStyle w:val="154"/>
                <w:rFonts w:hint="eastAsia" w:ascii="宋体" w:hAnsi="宋体"/>
                <w:szCs w:val="21"/>
              </w:rPr>
              <w:t>联系人：汤峰</w:t>
            </w:r>
          </w:p>
          <w:p w14:paraId="43502873">
            <w:pPr>
              <w:spacing w:line="360" w:lineRule="auto"/>
              <w:rPr>
                <w:rFonts w:ascii="宋体" w:hAnsi="宋体" w:cs="宋体"/>
                <w:szCs w:val="21"/>
              </w:rPr>
            </w:pPr>
            <w:r>
              <w:rPr>
                <w:rStyle w:val="154"/>
                <w:rFonts w:hint="eastAsia" w:ascii="宋体" w:hAnsi="宋体"/>
                <w:szCs w:val="21"/>
              </w:rPr>
              <w:t>电  话：13873374554</w:t>
            </w:r>
          </w:p>
        </w:tc>
      </w:tr>
      <w:tr w14:paraId="75C24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025746A">
            <w:pPr>
              <w:jc w:val="center"/>
              <w:rPr>
                <w:rFonts w:ascii="宋体" w:hAnsi="宋体" w:cs="宋体"/>
                <w:szCs w:val="21"/>
              </w:rPr>
            </w:pPr>
            <w:r>
              <w:rPr>
                <w:rFonts w:hint="eastAsia" w:ascii="宋体" w:hAnsi="宋体" w:cs="宋体"/>
                <w:szCs w:val="21"/>
              </w:rPr>
              <w:t>第2.3</w:t>
            </w:r>
            <w:r>
              <w:rPr>
                <w:rFonts w:hint="eastAsia" w:ascii="宋体" w:hAnsi="宋体" w:cs="宋体"/>
                <w:szCs w:val="21"/>
                <w:lang w:val="zh-CN"/>
              </w:rPr>
              <w:t>款</w:t>
            </w:r>
          </w:p>
        </w:tc>
        <w:tc>
          <w:tcPr>
            <w:tcW w:w="2325" w:type="dxa"/>
            <w:tcBorders>
              <w:tl2br w:val="nil"/>
              <w:tr2bl w:val="nil"/>
            </w:tcBorders>
            <w:vAlign w:val="center"/>
          </w:tcPr>
          <w:p w14:paraId="34CD9599">
            <w:pPr>
              <w:jc w:val="left"/>
              <w:rPr>
                <w:rFonts w:ascii="宋体" w:hAnsi="宋体" w:cs="宋体"/>
                <w:szCs w:val="21"/>
              </w:rPr>
            </w:pPr>
            <w:r>
              <w:rPr>
                <w:rFonts w:hint="eastAsia" w:ascii="宋体" w:hAnsi="宋体" w:cs="宋体"/>
                <w:szCs w:val="21"/>
              </w:rPr>
              <w:t>采购代理机构名称、地址、电话、联系人</w:t>
            </w:r>
          </w:p>
        </w:tc>
        <w:tc>
          <w:tcPr>
            <w:tcW w:w="5740" w:type="dxa"/>
            <w:tcBorders>
              <w:tl2br w:val="nil"/>
              <w:tr2bl w:val="nil"/>
            </w:tcBorders>
            <w:vAlign w:val="center"/>
          </w:tcPr>
          <w:p w14:paraId="30D39E81">
            <w:pPr>
              <w:spacing w:line="360" w:lineRule="auto"/>
              <w:rPr>
                <w:rFonts w:ascii="宋体" w:hAnsi="宋体" w:cs="宋体"/>
                <w:szCs w:val="21"/>
              </w:rPr>
            </w:pPr>
            <w:r>
              <w:rPr>
                <w:rFonts w:hint="eastAsia" w:ascii="宋体" w:hAnsi="宋体" w:cs="宋体"/>
                <w:szCs w:val="21"/>
              </w:rPr>
              <w:t xml:space="preserve">采购代理机构名称：湖南浦建招标有限公司 </w:t>
            </w:r>
          </w:p>
          <w:p w14:paraId="3A240326">
            <w:pPr>
              <w:spacing w:line="360" w:lineRule="auto"/>
              <w:rPr>
                <w:rFonts w:ascii="宋体" w:hAnsi="宋体" w:cs="宋体"/>
                <w:szCs w:val="21"/>
              </w:rPr>
            </w:pPr>
            <w:r>
              <w:rPr>
                <w:rFonts w:hint="eastAsia" w:ascii="宋体" w:hAnsi="宋体" w:cs="宋体"/>
                <w:szCs w:val="21"/>
              </w:rPr>
              <w:t>地址：</w:t>
            </w:r>
            <w:r>
              <w:rPr>
                <w:rFonts w:hint="eastAsia" w:ascii="宋体" w:hAnsi="宋体" w:cs="宋体"/>
              </w:rPr>
              <w:t>株洲市天元区庐山路明峰银座17楼</w:t>
            </w:r>
          </w:p>
          <w:p w14:paraId="1265DCFE">
            <w:pPr>
              <w:spacing w:line="360" w:lineRule="auto"/>
              <w:rPr>
                <w:rFonts w:ascii="宋体" w:hAnsi="宋体" w:cs="宋体"/>
                <w:szCs w:val="21"/>
              </w:rPr>
            </w:pPr>
            <w:r>
              <w:rPr>
                <w:rFonts w:hint="eastAsia" w:ascii="宋体" w:hAnsi="宋体" w:cs="宋体"/>
                <w:szCs w:val="21"/>
              </w:rPr>
              <w:t>联系人：</w:t>
            </w:r>
            <w:r>
              <w:rPr>
                <w:rFonts w:hint="eastAsia" w:ascii="宋体" w:hAnsi="宋体" w:cs="宋体"/>
              </w:rPr>
              <w:t>肖佳璐、刘瑞、欧阳永胜</w:t>
            </w:r>
          </w:p>
          <w:p w14:paraId="11AD55E3">
            <w:pPr>
              <w:spacing w:line="360" w:lineRule="auto"/>
              <w:rPr>
                <w:rFonts w:ascii="宋体" w:hAnsi="宋体" w:cs="宋体"/>
                <w:szCs w:val="21"/>
              </w:rPr>
            </w:pPr>
            <w:r>
              <w:rPr>
                <w:rFonts w:hint="eastAsia" w:ascii="宋体" w:hAnsi="宋体" w:cs="宋体"/>
                <w:szCs w:val="21"/>
              </w:rPr>
              <w:t>电话：0731-28522277</w:t>
            </w:r>
          </w:p>
        </w:tc>
      </w:tr>
      <w:tr w14:paraId="0FDFA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E048E6B">
            <w:pPr>
              <w:jc w:val="center"/>
              <w:rPr>
                <w:rFonts w:ascii="宋体" w:hAnsi="宋体" w:cs="宋体"/>
                <w:szCs w:val="21"/>
              </w:rPr>
            </w:pPr>
            <w:r>
              <w:rPr>
                <w:rFonts w:hint="eastAsia" w:ascii="宋体" w:hAnsi="宋体" w:cs="宋体"/>
                <w:szCs w:val="21"/>
              </w:rPr>
              <w:t>第2.5</w:t>
            </w:r>
            <w:r>
              <w:rPr>
                <w:rFonts w:hint="eastAsia" w:ascii="宋体" w:hAnsi="宋体" w:cs="宋体"/>
                <w:szCs w:val="21"/>
                <w:lang w:val="zh-CN"/>
              </w:rPr>
              <w:t>款</w:t>
            </w:r>
          </w:p>
        </w:tc>
        <w:tc>
          <w:tcPr>
            <w:tcW w:w="2325" w:type="dxa"/>
            <w:tcBorders>
              <w:tl2br w:val="nil"/>
              <w:tr2bl w:val="nil"/>
            </w:tcBorders>
            <w:vAlign w:val="center"/>
          </w:tcPr>
          <w:p w14:paraId="46D5676E">
            <w:pPr>
              <w:jc w:val="left"/>
              <w:rPr>
                <w:rFonts w:ascii="宋体" w:hAnsi="宋体" w:cs="宋体"/>
                <w:szCs w:val="21"/>
              </w:rPr>
            </w:pPr>
            <w:r>
              <w:rPr>
                <w:rFonts w:hint="eastAsia" w:ascii="宋体" w:hAnsi="宋体" w:cs="宋体"/>
                <w:szCs w:val="21"/>
              </w:rPr>
              <w:t>采购进口产品</w:t>
            </w:r>
          </w:p>
        </w:tc>
        <w:tc>
          <w:tcPr>
            <w:tcW w:w="5740" w:type="dxa"/>
            <w:tcBorders>
              <w:tl2br w:val="nil"/>
              <w:tr2bl w:val="nil"/>
            </w:tcBorders>
            <w:vAlign w:val="center"/>
          </w:tcPr>
          <w:p w14:paraId="15364E15">
            <w:pPr>
              <w:spacing w:line="360" w:lineRule="auto"/>
              <w:rPr>
                <w:rFonts w:ascii="宋体" w:hAnsi="宋体" w:cs="宋体"/>
                <w:szCs w:val="21"/>
              </w:rPr>
            </w:pPr>
            <w:r>
              <w:rPr>
                <w:rFonts w:hint="eastAsia" w:ascii="宋体" w:hAnsi="宋体" w:cs="宋体"/>
                <w:szCs w:val="21"/>
              </w:rPr>
              <w:t>■ 本采购项目拒绝进口产品参加投标</w:t>
            </w:r>
          </w:p>
          <w:p w14:paraId="58152537">
            <w:pPr>
              <w:spacing w:line="360" w:lineRule="auto"/>
              <w:rPr>
                <w:rFonts w:ascii="宋体" w:hAnsi="宋体" w:cs="宋体"/>
                <w:szCs w:val="21"/>
              </w:rPr>
            </w:pPr>
            <w:r>
              <w:rPr>
                <w:rFonts w:hint="eastAsia" w:ascii="宋体" w:hAnsi="宋体" w:cs="宋体"/>
                <w:szCs w:val="21"/>
              </w:rPr>
              <w:t>□ 本采购项目已经财政部门审核同意购买进口产品</w:t>
            </w:r>
          </w:p>
        </w:tc>
      </w:tr>
      <w:tr w14:paraId="1F1CE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560" w:type="dxa"/>
            <w:tcBorders>
              <w:tl2br w:val="nil"/>
              <w:tr2bl w:val="nil"/>
            </w:tcBorders>
            <w:vAlign w:val="center"/>
          </w:tcPr>
          <w:p w14:paraId="19446895">
            <w:pPr>
              <w:jc w:val="center"/>
              <w:rPr>
                <w:rFonts w:ascii="宋体" w:hAnsi="宋体" w:cs="宋体"/>
                <w:szCs w:val="21"/>
              </w:rPr>
            </w:pPr>
            <w:r>
              <w:rPr>
                <w:rFonts w:hint="eastAsia" w:ascii="宋体" w:hAnsi="宋体" w:cs="宋体"/>
                <w:szCs w:val="21"/>
              </w:rPr>
              <w:t>第3.1</w:t>
            </w:r>
            <w:r>
              <w:rPr>
                <w:rFonts w:hint="eastAsia" w:ascii="宋体" w:hAnsi="宋体" w:cs="宋体"/>
                <w:szCs w:val="21"/>
                <w:lang w:val="zh-CN"/>
              </w:rPr>
              <w:t>款</w:t>
            </w:r>
          </w:p>
        </w:tc>
        <w:tc>
          <w:tcPr>
            <w:tcW w:w="2325" w:type="dxa"/>
            <w:tcBorders>
              <w:tl2br w:val="nil"/>
              <w:tr2bl w:val="nil"/>
            </w:tcBorders>
            <w:vAlign w:val="center"/>
          </w:tcPr>
          <w:p w14:paraId="5A4A0B84">
            <w:pPr>
              <w:jc w:val="left"/>
              <w:rPr>
                <w:rFonts w:ascii="宋体" w:hAnsi="宋体" w:cs="宋体"/>
                <w:szCs w:val="21"/>
              </w:rPr>
            </w:pPr>
            <w:r>
              <w:rPr>
                <w:rFonts w:hint="eastAsia" w:ascii="宋体" w:hAnsi="宋体" w:cs="宋体"/>
                <w:szCs w:val="21"/>
              </w:rPr>
              <w:t>投标人资格条件</w:t>
            </w:r>
          </w:p>
        </w:tc>
        <w:tc>
          <w:tcPr>
            <w:tcW w:w="5740" w:type="dxa"/>
            <w:tcBorders>
              <w:tl2br w:val="nil"/>
              <w:tr2bl w:val="nil"/>
            </w:tcBorders>
            <w:vAlign w:val="center"/>
          </w:tcPr>
          <w:p w14:paraId="05526DD2">
            <w:pPr>
              <w:jc w:val="left"/>
              <w:rPr>
                <w:rFonts w:ascii="宋体" w:hAnsi="宋体" w:cs="宋体"/>
                <w:szCs w:val="21"/>
              </w:rPr>
            </w:pPr>
            <w:r>
              <w:rPr>
                <w:rFonts w:hint="eastAsia" w:ascii="宋体" w:hAnsi="宋体" w:cs="宋体"/>
                <w:szCs w:val="21"/>
              </w:rPr>
              <w:t>详见招标文件“第一章 投标邀请”相关规定。</w:t>
            </w:r>
          </w:p>
        </w:tc>
      </w:tr>
      <w:tr w14:paraId="11883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33B7C38">
            <w:pPr>
              <w:jc w:val="center"/>
              <w:rPr>
                <w:rFonts w:ascii="宋体" w:hAnsi="宋体" w:cs="宋体"/>
                <w:szCs w:val="21"/>
              </w:rPr>
            </w:pPr>
            <w:r>
              <w:rPr>
                <w:rFonts w:hint="eastAsia" w:ascii="宋体" w:hAnsi="宋体" w:cs="宋体"/>
                <w:szCs w:val="21"/>
              </w:rPr>
              <w:t>第3.2</w:t>
            </w:r>
            <w:r>
              <w:rPr>
                <w:rFonts w:hint="eastAsia" w:ascii="宋体" w:hAnsi="宋体" w:cs="宋体"/>
                <w:szCs w:val="21"/>
                <w:lang w:val="zh-CN"/>
              </w:rPr>
              <w:t>款</w:t>
            </w:r>
          </w:p>
        </w:tc>
        <w:tc>
          <w:tcPr>
            <w:tcW w:w="2325" w:type="dxa"/>
            <w:tcBorders>
              <w:tl2br w:val="nil"/>
              <w:tr2bl w:val="nil"/>
            </w:tcBorders>
            <w:vAlign w:val="center"/>
          </w:tcPr>
          <w:p w14:paraId="1F039A3A">
            <w:pPr>
              <w:jc w:val="left"/>
              <w:rPr>
                <w:rFonts w:ascii="宋体" w:hAnsi="宋体" w:cs="宋体"/>
                <w:szCs w:val="21"/>
              </w:rPr>
            </w:pPr>
            <w:r>
              <w:rPr>
                <w:rFonts w:hint="eastAsia" w:ascii="宋体" w:hAnsi="宋体" w:cs="宋体"/>
                <w:szCs w:val="21"/>
              </w:rPr>
              <w:t>接受联合体形式投标</w:t>
            </w:r>
          </w:p>
        </w:tc>
        <w:tc>
          <w:tcPr>
            <w:tcW w:w="5740" w:type="dxa"/>
            <w:tcBorders>
              <w:tl2br w:val="nil"/>
              <w:tr2bl w:val="nil"/>
            </w:tcBorders>
            <w:vAlign w:val="center"/>
          </w:tcPr>
          <w:p w14:paraId="30BBDFA4">
            <w:pPr>
              <w:spacing w:line="360" w:lineRule="auto"/>
              <w:rPr>
                <w:rFonts w:ascii="宋体" w:hAnsi="宋体" w:cs="宋体"/>
                <w:szCs w:val="21"/>
              </w:rPr>
            </w:pPr>
            <w:r>
              <w:rPr>
                <w:rFonts w:hint="eastAsia" w:ascii="宋体" w:hAnsi="宋体" w:cs="宋体"/>
                <w:szCs w:val="21"/>
              </w:rPr>
              <w:t>□ 接受</w:t>
            </w:r>
          </w:p>
          <w:p w14:paraId="14EFB0DA">
            <w:pPr>
              <w:spacing w:line="360" w:lineRule="auto"/>
              <w:rPr>
                <w:rFonts w:ascii="宋体" w:hAnsi="宋体" w:cs="宋体"/>
                <w:szCs w:val="21"/>
              </w:rPr>
            </w:pPr>
            <w:r>
              <w:rPr>
                <w:rFonts w:hint="eastAsia" w:ascii="宋体" w:hAnsi="宋体" w:cs="宋体"/>
                <w:szCs w:val="21"/>
              </w:rPr>
              <w:t>■ 不接受</w:t>
            </w:r>
          </w:p>
        </w:tc>
      </w:tr>
      <w:tr w14:paraId="612983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F355381">
            <w:pPr>
              <w:jc w:val="center"/>
              <w:rPr>
                <w:rFonts w:ascii="宋体" w:hAnsi="宋体" w:cs="宋体"/>
                <w:szCs w:val="21"/>
              </w:rPr>
            </w:pPr>
            <w:r>
              <w:rPr>
                <w:rFonts w:hint="eastAsia" w:ascii="宋体" w:hAnsi="宋体" w:cs="宋体"/>
                <w:szCs w:val="21"/>
              </w:rPr>
              <w:t>第5.1</w:t>
            </w:r>
            <w:r>
              <w:rPr>
                <w:rFonts w:hint="eastAsia" w:ascii="宋体" w:hAnsi="宋体" w:cs="宋体"/>
                <w:szCs w:val="21"/>
                <w:lang w:val="zh-CN"/>
              </w:rPr>
              <w:t>款</w:t>
            </w:r>
          </w:p>
        </w:tc>
        <w:tc>
          <w:tcPr>
            <w:tcW w:w="2325" w:type="dxa"/>
            <w:tcBorders>
              <w:tl2br w:val="nil"/>
              <w:tr2bl w:val="nil"/>
            </w:tcBorders>
            <w:vAlign w:val="center"/>
          </w:tcPr>
          <w:p w14:paraId="3EF129F7">
            <w:pPr>
              <w:jc w:val="left"/>
              <w:rPr>
                <w:rFonts w:ascii="宋体" w:hAnsi="宋体" w:cs="宋体"/>
                <w:szCs w:val="21"/>
              </w:rPr>
            </w:pPr>
            <w:r>
              <w:rPr>
                <w:rFonts w:hint="eastAsia" w:ascii="宋体" w:hAnsi="宋体" w:cs="宋体"/>
                <w:szCs w:val="21"/>
              </w:rPr>
              <w:t>招标文件提供期限</w:t>
            </w:r>
          </w:p>
        </w:tc>
        <w:tc>
          <w:tcPr>
            <w:tcW w:w="5740" w:type="dxa"/>
            <w:tcBorders>
              <w:tl2br w:val="nil"/>
              <w:tr2bl w:val="nil"/>
            </w:tcBorders>
            <w:vAlign w:val="center"/>
          </w:tcPr>
          <w:p w14:paraId="5410E6A4">
            <w:pPr>
              <w:spacing w:line="360" w:lineRule="auto"/>
              <w:rPr>
                <w:rFonts w:ascii="宋体" w:hAnsi="宋体" w:cs="宋体"/>
                <w:szCs w:val="21"/>
              </w:rPr>
            </w:pP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8</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lang w:val="en-US" w:eastAsia="zh-CN"/>
              </w:rPr>
              <w:t xml:space="preserve"> 19</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2026</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8</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lang w:val="en-US" w:eastAsia="zh-CN"/>
              </w:rPr>
              <w:t>25</w:t>
            </w:r>
            <w:r>
              <w:rPr>
                <w:rFonts w:hint="eastAsia" w:ascii="宋体" w:hAnsi="宋体" w:cs="宋体"/>
                <w:szCs w:val="21"/>
                <w:u w:val="single"/>
              </w:rPr>
              <w:t xml:space="preserve"> </w:t>
            </w:r>
            <w:r>
              <w:rPr>
                <w:rFonts w:hint="eastAsia" w:ascii="宋体" w:hAnsi="宋体" w:cs="宋体"/>
                <w:szCs w:val="21"/>
              </w:rPr>
              <w:t>日</w:t>
            </w:r>
          </w:p>
        </w:tc>
      </w:tr>
      <w:tr w14:paraId="39D3B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822EAC0">
            <w:pPr>
              <w:jc w:val="center"/>
              <w:rPr>
                <w:rFonts w:ascii="宋体" w:hAnsi="宋体" w:cs="宋体"/>
                <w:szCs w:val="21"/>
              </w:rPr>
            </w:pPr>
            <w:r>
              <w:rPr>
                <w:rFonts w:hint="eastAsia" w:ascii="宋体" w:hAnsi="宋体" w:cs="宋体"/>
                <w:szCs w:val="21"/>
              </w:rPr>
              <w:t>第5.2</w:t>
            </w:r>
            <w:r>
              <w:rPr>
                <w:rFonts w:hint="eastAsia" w:ascii="宋体" w:hAnsi="宋体" w:cs="宋体"/>
                <w:szCs w:val="21"/>
                <w:lang w:val="zh-CN"/>
              </w:rPr>
              <w:t>款</w:t>
            </w:r>
          </w:p>
        </w:tc>
        <w:tc>
          <w:tcPr>
            <w:tcW w:w="2325" w:type="dxa"/>
            <w:tcBorders>
              <w:tl2br w:val="nil"/>
              <w:tr2bl w:val="nil"/>
            </w:tcBorders>
            <w:vAlign w:val="center"/>
          </w:tcPr>
          <w:p w14:paraId="72D2A1FB">
            <w:pPr>
              <w:jc w:val="left"/>
              <w:rPr>
                <w:rFonts w:ascii="宋体" w:hAnsi="宋体" w:cs="宋体"/>
                <w:szCs w:val="21"/>
              </w:rPr>
            </w:pPr>
            <w:r>
              <w:rPr>
                <w:rFonts w:hint="eastAsia" w:ascii="宋体" w:hAnsi="宋体" w:cs="宋体"/>
                <w:szCs w:val="21"/>
              </w:rPr>
              <w:t>组织现场考察或者召开答疑会</w:t>
            </w:r>
          </w:p>
        </w:tc>
        <w:tc>
          <w:tcPr>
            <w:tcW w:w="5740" w:type="dxa"/>
            <w:tcBorders>
              <w:tl2br w:val="nil"/>
              <w:tr2bl w:val="nil"/>
            </w:tcBorders>
            <w:vAlign w:val="center"/>
          </w:tcPr>
          <w:p w14:paraId="590863AF">
            <w:pPr>
              <w:spacing w:line="360" w:lineRule="auto"/>
              <w:rPr>
                <w:rFonts w:ascii="宋体" w:hAnsi="宋体" w:cs="宋体"/>
                <w:szCs w:val="21"/>
              </w:rPr>
            </w:pPr>
            <w:r>
              <w:rPr>
                <w:rFonts w:hint="eastAsia" w:ascii="宋体" w:hAnsi="宋体" w:cs="宋体"/>
                <w:szCs w:val="21"/>
              </w:rPr>
              <w:t>□ 不组织</w:t>
            </w:r>
          </w:p>
          <w:p w14:paraId="394D69E7">
            <w:pPr>
              <w:spacing w:line="360" w:lineRule="auto"/>
              <w:rPr>
                <w:rFonts w:ascii="宋体" w:hAnsi="宋体" w:cs="宋体"/>
                <w:szCs w:val="21"/>
              </w:rPr>
            </w:pPr>
            <w:r>
              <w:rPr>
                <w:rFonts w:hint="eastAsia" w:ascii="宋体" w:hAnsi="宋体" w:cs="宋体"/>
                <w:szCs w:val="21"/>
              </w:rPr>
              <w:t>■ 组织。</w:t>
            </w:r>
          </w:p>
          <w:p w14:paraId="1D0E357D">
            <w:pPr>
              <w:spacing w:line="360" w:lineRule="auto"/>
              <w:rPr>
                <w:rFonts w:ascii="宋体" w:hAnsi="宋体" w:cs="宋体"/>
                <w:szCs w:val="21"/>
              </w:rPr>
            </w:pPr>
            <w:r>
              <w:rPr>
                <w:rFonts w:hint="eastAsia" w:ascii="宋体" w:hAnsi="宋体" w:cs="宋体"/>
                <w:szCs w:val="21"/>
              </w:rPr>
              <w:t>1、现场考察或者召开答疑会时间：报名截止后2026年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w:t>
            </w:r>
            <w:r>
              <w:rPr>
                <w:rFonts w:hint="eastAsia" w:ascii="宋体" w:hAnsi="宋体" w:cs="宋体"/>
                <w:color w:val="auto"/>
                <w:szCs w:val="21"/>
              </w:rPr>
              <w:t>星期</w:t>
            </w:r>
            <w:r>
              <w:rPr>
                <w:rFonts w:hint="eastAsia" w:ascii="宋体" w:hAnsi="宋体" w:cs="宋体"/>
                <w:color w:val="auto"/>
                <w:szCs w:val="21"/>
                <w:lang w:val="en-US" w:eastAsia="zh-CN"/>
              </w:rPr>
              <w:t>三</w:t>
            </w:r>
            <w:r>
              <w:rPr>
                <w:rFonts w:hint="eastAsia" w:ascii="宋体" w:hAnsi="宋体" w:cs="宋体"/>
                <w:szCs w:val="21"/>
              </w:rPr>
              <w:t>，上午9:00-1</w:t>
            </w:r>
            <w:bookmarkStart w:id="142" w:name="_GoBack"/>
            <w:bookmarkEnd w:id="142"/>
            <w:r>
              <w:rPr>
                <w:rFonts w:hint="eastAsia" w:ascii="宋体" w:hAnsi="宋体" w:cs="宋体"/>
                <w:szCs w:val="21"/>
              </w:rPr>
              <w:t>2:00；下午2:30-5:30；投标人自愿参加现场考察，参加现场考察的单位请携带授权委托书及身份证原件，营业执照副本复印件（加盖公章），到采购人指定地点进行现场勘察（</w:t>
            </w:r>
            <w:r>
              <w:rPr>
                <w:rFonts w:hint="eastAsia" w:ascii="宋体" w:hAnsi="宋体" w:cs="宋体"/>
                <w:szCs w:val="21"/>
                <w:highlight w:val="none"/>
                <w:lang w:val="en-US" w:eastAsia="zh-CN"/>
              </w:rPr>
              <w:t>本次项目涉及新报告厅方案设计与老设备更新等情况，现场勘察是为方便供应商了解项目需求与实际情况，不作为评审因素与资格条件，供应商自愿选择是否现勘</w:t>
            </w:r>
            <w:r>
              <w:rPr>
                <w:rFonts w:hint="eastAsia" w:ascii="宋体" w:hAnsi="宋体" w:cs="宋体"/>
                <w:szCs w:val="21"/>
                <w:highlight w:val="none"/>
                <w:lang w:eastAsia="zh-CN"/>
              </w:rPr>
              <w:t>）</w:t>
            </w:r>
            <w:r>
              <w:rPr>
                <w:rFonts w:hint="eastAsia" w:ascii="宋体" w:hAnsi="宋体" w:cs="宋体"/>
                <w:szCs w:val="21"/>
              </w:rPr>
              <w:t>。</w:t>
            </w:r>
          </w:p>
          <w:p w14:paraId="22224E01">
            <w:pPr>
              <w:spacing w:line="360" w:lineRule="auto"/>
              <w:rPr>
                <w:rFonts w:ascii="宋体" w:hAnsi="宋体" w:cs="宋体"/>
                <w:szCs w:val="21"/>
              </w:rPr>
            </w:pPr>
            <w:r>
              <w:rPr>
                <w:rFonts w:hint="eastAsia" w:ascii="宋体" w:hAnsi="宋体" w:cs="宋体"/>
                <w:szCs w:val="21"/>
              </w:rPr>
              <w:t>2、地点：株洲市芦淞区贺嘉路258号株洲市第八中学校内；联系人：汤峰；联系电话：13873374554</w:t>
            </w:r>
          </w:p>
          <w:p w14:paraId="75DD2651">
            <w:pPr>
              <w:spacing w:line="360" w:lineRule="auto"/>
              <w:rPr>
                <w:rFonts w:ascii="宋体" w:hAnsi="宋体" w:cs="宋体"/>
                <w:szCs w:val="21"/>
              </w:rPr>
            </w:pPr>
            <w:r>
              <w:rPr>
                <w:rFonts w:hint="eastAsia" w:ascii="宋体" w:hAnsi="宋体" w:cs="宋体"/>
                <w:szCs w:val="21"/>
              </w:rPr>
              <w:t>3、供应商未进行现场勘查的不得以不完全了解现场情况为由，提出任何形式索赔要求。</w:t>
            </w:r>
          </w:p>
          <w:p w14:paraId="6835EF91">
            <w:pPr>
              <w:spacing w:line="360" w:lineRule="auto"/>
              <w:rPr>
                <w:rFonts w:ascii="宋体" w:hAnsi="宋体" w:cs="宋体"/>
                <w:szCs w:val="21"/>
              </w:rPr>
            </w:pPr>
            <w:r>
              <w:rPr>
                <w:rFonts w:hint="eastAsia" w:ascii="宋体" w:hAnsi="宋体" w:cs="宋体"/>
                <w:szCs w:val="21"/>
              </w:rPr>
              <w:t>4、供应商踏勘现场所发生的一切费用和责任概由供应商自负。</w:t>
            </w:r>
          </w:p>
        </w:tc>
      </w:tr>
      <w:tr w14:paraId="08ED2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320BE3F6">
            <w:pPr>
              <w:rPr>
                <w:rFonts w:ascii="宋体" w:hAnsi="宋体" w:cs="宋体"/>
                <w:szCs w:val="21"/>
              </w:rPr>
            </w:pPr>
            <w:r>
              <w:rPr>
                <w:rFonts w:hint="eastAsia" w:ascii="宋体" w:hAnsi="宋体" w:cs="宋体"/>
                <w:b/>
                <w:bCs/>
                <w:szCs w:val="21"/>
              </w:rPr>
              <w:t>二、招标文件</w:t>
            </w:r>
          </w:p>
        </w:tc>
      </w:tr>
      <w:tr w14:paraId="611EDC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099A2235">
            <w:pPr>
              <w:jc w:val="center"/>
              <w:rPr>
                <w:rFonts w:ascii="宋体" w:hAnsi="宋体" w:cs="宋体"/>
                <w:szCs w:val="21"/>
              </w:rPr>
            </w:pPr>
            <w:r>
              <w:rPr>
                <w:rFonts w:hint="eastAsia" w:ascii="宋体" w:hAnsi="宋体" w:cs="宋体"/>
                <w:szCs w:val="21"/>
              </w:rPr>
              <w:t>第7.4</w:t>
            </w:r>
            <w:r>
              <w:rPr>
                <w:rFonts w:hint="eastAsia" w:ascii="宋体" w:hAnsi="宋体" w:cs="宋体"/>
                <w:szCs w:val="21"/>
                <w:lang w:val="zh-CN"/>
              </w:rPr>
              <w:t>款</w:t>
            </w:r>
          </w:p>
        </w:tc>
        <w:tc>
          <w:tcPr>
            <w:tcW w:w="2325" w:type="dxa"/>
            <w:tcBorders>
              <w:tl2br w:val="nil"/>
              <w:tr2bl w:val="nil"/>
            </w:tcBorders>
            <w:vAlign w:val="center"/>
          </w:tcPr>
          <w:p w14:paraId="06AB9174">
            <w:pPr>
              <w:jc w:val="left"/>
              <w:rPr>
                <w:rFonts w:ascii="宋体" w:hAnsi="宋体" w:cs="宋体"/>
                <w:szCs w:val="21"/>
              </w:rPr>
            </w:pPr>
            <w:r>
              <w:rPr>
                <w:rFonts w:hint="eastAsia" w:ascii="宋体" w:hAnsi="宋体" w:cs="宋体"/>
                <w:szCs w:val="21"/>
              </w:rPr>
              <w:t>非实质性偏离的范围和幅度</w:t>
            </w:r>
          </w:p>
        </w:tc>
        <w:tc>
          <w:tcPr>
            <w:tcW w:w="5740" w:type="dxa"/>
            <w:tcBorders>
              <w:tl2br w:val="nil"/>
              <w:tr2bl w:val="nil"/>
            </w:tcBorders>
            <w:vAlign w:val="center"/>
          </w:tcPr>
          <w:p w14:paraId="4FEC015B">
            <w:pPr>
              <w:spacing w:line="360" w:lineRule="auto"/>
              <w:rPr>
                <w:rFonts w:ascii="宋体" w:hAnsi="宋体" w:cs="宋体"/>
                <w:szCs w:val="21"/>
              </w:rPr>
            </w:pPr>
            <w:r>
              <w:rPr>
                <w:rFonts w:hint="eastAsia" w:ascii="宋体" w:hAnsi="宋体" w:cs="宋体"/>
                <w:szCs w:val="21"/>
              </w:rPr>
              <w:t>一般商务和技术条款负偏离项数之和</w:t>
            </w:r>
            <w:r>
              <w:rPr>
                <w:rFonts w:hint="default" w:ascii="Arial" w:hAnsi="Arial" w:cs="Arial"/>
                <w:szCs w:val="21"/>
                <w:highlight w:val="none"/>
                <w:lang w:eastAsia="zh-CN"/>
              </w:rPr>
              <w:t>≥</w:t>
            </w:r>
            <w:r>
              <w:rPr>
                <w:rFonts w:hint="eastAsia" w:ascii="宋体" w:hAnsi="宋体" w:cs="宋体"/>
                <w:szCs w:val="21"/>
                <w:u w:val="single"/>
              </w:rPr>
              <w:t>10</w:t>
            </w:r>
            <w:r>
              <w:rPr>
                <w:rFonts w:hint="eastAsia" w:ascii="宋体" w:hAnsi="宋体" w:cs="宋体"/>
                <w:szCs w:val="21"/>
              </w:rPr>
              <w:t>项，其投标无效。</w:t>
            </w:r>
          </w:p>
        </w:tc>
      </w:tr>
      <w:tr w14:paraId="66BBA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B1EDA6C">
            <w:pPr>
              <w:jc w:val="center"/>
              <w:rPr>
                <w:rFonts w:ascii="宋体" w:hAnsi="宋体" w:cs="宋体"/>
                <w:szCs w:val="21"/>
              </w:rPr>
            </w:pPr>
            <w:r>
              <w:rPr>
                <w:rFonts w:hint="eastAsia" w:ascii="宋体" w:hAnsi="宋体" w:cs="宋体"/>
                <w:szCs w:val="21"/>
              </w:rPr>
              <w:t>第9.1</w:t>
            </w:r>
            <w:r>
              <w:rPr>
                <w:rFonts w:hint="eastAsia" w:ascii="宋体" w:hAnsi="宋体" w:cs="宋体"/>
                <w:szCs w:val="21"/>
                <w:lang w:val="zh-CN"/>
              </w:rPr>
              <w:t>款</w:t>
            </w:r>
          </w:p>
        </w:tc>
        <w:tc>
          <w:tcPr>
            <w:tcW w:w="2325" w:type="dxa"/>
            <w:tcBorders>
              <w:tl2br w:val="nil"/>
              <w:tr2bl w:val="nil"/>
            </w:tcBorders>
            <w:vAlign w:val="center"/>
          </w:tcPr>
          <w:p w14:paraId="5CF67FE3">
            <w:pPr>
              <w:jc w:val="left"/>
              <w:rPr>
                <w:rFonts w:ascii="宋体" w:hAnsi="宋体" w:cs="宋体"/>
                <w:szCs w:val="21"/>
              </w:rPr>
            </w:pPr>
            <w:r>
              <w:rPr>
                <w:rFonts w:hint="eastAsia" w:ascii="宋体" w:hAnsi="宋体" w:cs="宋体"/>
                <w:szCs w:val="21"/>
              </w:rPr>
              <w:t>招标公告指定媒体</w:t>
            </w:r>
          </w:p>
        </w:tc>
        <w:tc>
          <w:tcPr>
            <w:tcW w:w="5740" w:type="dxa"/>
            <w:tcBorders>
              <w:tl2br w:val="nil"/>
              <w:tr2bl w:val="nil"/>
            </w:tcBorders>
            <w:vAlign w:val="center"/>
          </w:tcPr>
          <w:p w14:paraId="5866F43D">
            <w:pPr>
              <w:spacing w:line="360" w:lineRule="auto"/>
              <w:rPr>
                <w:rFonts w:ascii="宋体" w:hAnsi="宋体" w:cs="宋体"/>
                <w:szCs w:val="21"/>
              </w:rPr>
            </w:pPr>
            <w:r>
              <w:rPr>
                <w:rFonts w:hint="eastAsia" w:ascii="宋体" w:hAnsi="宋体" w:cs="宋体"/>
                <w:kern w:val="0"/>
                <w:szCs w:val="21"/>
              </w:rPr>
              <w:t>财政部门指定的媒体：中国湖南政府采购网（网址：http://www.ccgp-hunan.gov.cn/）；另外，本招标项目公告在“湖南省公共资源交易服务平台株洲分平台（https://zhuzhou.hnsggzy.com）”发布</w:t>
            </w:r>
          </w:p>
        </w:tc>
      </w:tr>
      <w:tr w14:paraId="241ED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3A3472C5">
            <w:pPr>
              <w:rPr>
                <w:rFonts w:ascii="宋体" w:hAnsi="宋体" w:cs="宋体"/>
                <w:szCs w:val="21"/>
              </w:rPr>
            </w:pPr>
            <w:r>
              <w:rPr>
                <w:rFonts w:hint="eastAsia" w:ascii="宋体" w:hAnsi="宋体" w:cs="宋体"/>
                <w:b/>
                <w:bCs/>
                <w:szCs w:val="21"/>
              </w:rPr>
              <w:t>三、投标文件</w:t>
            </w:r>
          </w:p>
        </w:tc>
      </w:tr>
      <w:tr w14:paraId="0C360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4E82CF5">
            <w:pPr>
              <w:jc w:val="center"/>
              <w:rPr>
                <w:rFonts w:ascii="宋体" w:hAnsi="宋体" w:cs="宋体"/>
                <w:szCs w:val="21"/>
              </w:rPr>
            </w:pPr>
            <w:r>
              <w:rPr>
                <w:rFonts w:hint="eastAsia" w:ascii="宋体" w:hAnsi="宋体" w:cs="宋体"/>
                <w:szCs w:val="21"/>
              </w:rPr>
              <w:t>第13.2</w:t>
            </w:r>
            <w:r>
              <w:rPr>
                <w:rFonts w:hint="eastAsia" w:ascii="宋体" w:hAnsi="宋体" w:cs="宋体"/>
                <w:szCs w:val="21"/>
                <w:lang w:val="zh-CN"/>
              </w:rPr>
              <w:t>款</w:t>
            </w:r>
          </w:p>
        </w:tc>
        <w:tc>
          <w:tcPr>
            <w:tcW w:w="2325" w:type="dxa"/>
            <w:tcBorders>
              <w:tl2br w:val="nil"/>
              <w:tr2bl w:val="nil"/>
            </w:tcBorders>
            <w:vAlign w:val="center"/>
          </w:tcPr>
          <w:p w14:paraId="7E13D084">
            <w:pPr>
              <w:jc w:val="left"/>
              <w:rPr>
                <w:rFonts w:ascii="宋体" w:hAnsi="宋体" w:cs="宋体"/>
                <w:szCs w:val="21"/>
              </w:rPr>
            </w:pPr>
            <w:r>
              <w:rPr>
                <w:rFonts w:hint="eastAsia" w:ascii="宋体" w:hAnsi="宋体" w:cs="宋体"/>
                <w:szCs w:val="21"/>
              </w:rPr>
              <w:t>采购预算、最高限价</w:t>
            </w:r>
          </w:p>
        </w:tc>
        <w:tc>
          <w:tcPr>
            <w:tcW w:w="5740" w:type="dxa"/>
            <w:tcBorders>
              <w:tl2br w:val="nil"/>
              <w:tr2bl w:val="nil"/>
            </w:tcBorders>
            <w:vAlign w:val="center"/>
          </w:tcPr>
          <w:p w14:paraId="2D4B89CE">
            <w:pPr>
              <w:spacing w:line="360" w:lineRule="auto"/>
              <w:rPr>
                <w:rFonts w:ascii="宋体" w:hAnsi="宋体" w:cs="宋体"/>
                <w:bCs/>
                <w:szCs w:val="21"/>
              </w:rPr>
            </w:pPr>
            <w:r>
              <w:rPr>
                <w:rFonts w:hint="eastAsia" w:ascii="宋体" w:hAnsi="宋体" w:cs="宋体"/>
                <w:szCs w:val="21"/>
              </w:rPr>
              <w:t>采购预算：</w:t>
            </w:r>
            <w:r>
              <w:rPr>
                <w:rFonts w:hint="eastAsia" w:ascii="宋体" w:hAnsi="宋体" w:cs="宋体"/>
                <w:bCs/>
                <w:szCs w:val="21"/>
                <w:lang w:eastAsia="zh-CN"/>
              </w:rPr>
              <w:t>2737794</w:t>
            </w:r>
            <w:r>
              <w:rPr>
                <w:rFonts w:hint="eastAsia" w:ascii="宋体" w:hAnsi="宋体" w:cs="宋体"/>
                <w:bCs/>
                <w:szCs w:val="21"/>
              </w:rPr>
              <w:t>元；</w:t>
            </w:r>
          </w:p>
          <w:p w14:paraId="59A4AC0A">
            <w:pPr>
              <w:spacing w:line="360" w:lineRule="auto"/>
              <w:rPr>
                <w:rFonts w:ascii="宋体" w:hAnsi="宋体" w:cs="宋体"/>
                <w:szCs w:val="21"/>
              </w:rPr>
            </w:pPr>
            <w:r>
              <w:rPr>
                <w:rFonts w:hint="eastAsia" w:ascii="宋体" w:hAnsi="宋体" w:cs="宋体"/>
                <w:bCs/>
                <w:szCs w:val="21"/>
              </w:rPr>
              <w:t>最高限价：</w:t>
            </w:r>
            <w:r>
              <w:rPr>
                <w:rFonts w:hint="eastAsia" w:ascii="宋体" w:hAnsi="宋体" w:cs="宋体"/>
                <w:bCs/>
                <w:szCs w:val="21"/>
                <w:lang w:eastAsia="zh-CN"/>
              </w:rPr>
              <w:t>2715736</w:t>
            </w:r>
            <w:r>
              <w:rPr>
                <w:rFonts w:hint="eastAsia" w:ascii="宋体" w:hAnsi="宋体" w:cs="宋体"/>
                <w:bCs/>
                <w:szCs w:val="21"/>
              </w:rPr>
              <w:t>元。</w:t>
            </w:r>
          </w:p>
        </w:tc>
      </w:tr>
      <w:tr w14:paraId="6E282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97B1194">
            <w:pPr>
              <w:jc w:val="center"/>
              <w:rPr>
                <w:rFonts w:ascii="宋体" w:hAnsi="宋体" w:cs="宋体"/>
                <w:szCs w:val="21"/>
              </w:rPr>
            </w:pPr>
            <w:r>
              <w:rPr>
                <w:rFonts w:hint="eastAsia" w:ascii="宋体" w:hAnsi="宋体" w:cs="宋体"/>
                <w:szCs w:val="21"/>
              </w:rPr>
              <w:t>第13.8款</w:t>
            </w:r>
          </w:p>
        </w:tc>
        <w:tc>
          <w:tcPr>
            <w:tcW w:w="2325" w:type="dxa"/>
            <w:tcBorders>
              <w:tl2br w:val="nil"/>
              <w:tr2bl w:val="nil"/>
            </w:tcBorders>
            <w:vAlign w:val="center"/>
          </w:tcPr>
          <w:p w14:paraId="047437D6">
            <w:pPr>
              <w:jc w:val="left"/>
              <w:rPr>
                <w:rFonts w:ascii="宋体" w:hAnsi="宋体" w:cs="宋体"/>
                <w:szCs w:val="21"/>
              </w:rPr>
            </w:pPr>
            <w:r>
              <w:rPr>
                <w:rFonts w:hint="eastAsia" w:ascii="宋体" w:hAnsi="宋体" w:cs="宋体"/>
                <w:szCs w:val="21"/>
              </w:rPr>
              <w:t>异常低价投标（响应）审查程序</w:t>
            </w:r>
          </w:p>
        </w:tc>
        <w:tc>
          <w:tcPr>
            <w:tcW w:w="5740" w:type="dxa"/>
            <w:tcBorders>
              <w:tl2br w:val="nil"/>
              <w:tr2bl w:val="nil"/>
            </w:tcBorders>
            <w:vAlign w:val="center"/>
          </w:tcPr>
          <w:p w14:paraId="503D8EB4">
            <w:pPr>
              <w:spacing w:line="360" w:lineRule="auto"/>
              <w:rPr>
                <w:rFonts w:ascii="宋体" w:hAnsi="宋体" w:cs="宋体"/>
                <w:szCs w:val="21"/>
              </w:rPr>
            </w:pPr>
            <w:r>
              <w:rPr>
                <w:rFonts w:hint="eastAsia" w:ascii="宋体" w:hAnsi="宋体" w:cs="宋体"/>
                <w:szCs w:val="21"/>
              </w:rPr>
              <w:t>供应商投标报价出现第二章正文第13.8款第（一）项情形的，评审委员会将启动异常低价投标（响应）审查程序评，供应商须</w:t>
            </w:r>
            <w:r>
              <w:rPr>
                <w:rFonts w:ascii="宋体" w:hAnsi="宋体" w:cs="宋体"/>
                <w:szCs w:val="21"/>
              </w:rPr>
              <w:t>在评标现场</w:t>
            </w:r>
            <w:r>
              <w:rPr>
                <w:rFonts w:hint="eastAsia" w:ascii="宋体" w:hAnsi="宋体" w:cs="宋体"/>
                <w:szCs w:val="21"/>
              </w:rPr>
              <w:t>规定</w:t>
            </w:r>
            <w:r>
              <w:rPr>
                <w:rFonts w:ascii="宋体" w:hAnsi="宋体" w:cs="宋体"/>
                <w:szCs w:val="21"/>
              </w:rPr>
              <w:t>的时间内</w:t>
            </w:r>
            <w:r>
              <w:rPr>
                <w:rFonts w:hint="eastAsia" w:ascii="宋体" w:hAnsi="宋体" w:cs="宋体"/>
                <w:szCs w:val="21"/>
              </w:rPr>
              <w:t>提供项目具体成本测算等与报价合理性相关的书面说明及必要的证明材料;投标（响应）供应商不能提供书面说明、证明材料，或者提供的书面说明、证明材料不能证明其报价合理性的，评审委员会应当将其作为无效投标（响应）处理。</w:t>
            </w:r>
          </w:p>
        </w:tc>
      </w:tr>
      <w:tr w14:paraId="598370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04210B8">
            <w:pPr>
              <w:jc w:val="center"/>
              <w:rPr>
                <w:rFonts w:ascii="宋体" w:hAnsi="宋体" w:cs="宋体"/>
                <w:szCs w:val="21"/>
              </w:rPr>
            </w:pPr>
            <w:r>
              <w:rPr>
                <w:rFonts w:hint="eastAsia" w:ascii="宋体" w:hAnsi="宋体" w:cs="宋体"/>
                <w:szCs w:val="21"/>
              </w:rPr>
              <w:t>第14.1款</w:t>
            </w:r>
          </w:p>
        </w:tc>
        <w:tc>
          <w:tcPr>
            <w:tcW w:w="2325" w:type="dxa"/>
            <w:tcBorders>
              <w:tl2br w:val="nil"/>
              <w:tr2bl w:val="nil"/>
            </w:tcBorders>
            <w:vAlign w:val="center"/>
          </w:tcPr>
          <w:p w14:paraId="3D7971E6">
            <w:pPr>
              <w:jc w:val="left"/>
              <w:rPr>
                <w:rFonts w:ascii="宋体" w:hAnsi="宋体" w:cs="宋体"/>
                <w:szCs w:val="21"/>
              </w:rPr>
            </w:pPr>
            <w:r>
              <w:rPr>
                <w:rFonts w:hint="eastAsia" w:ascii="宋体" w:hAnsi="宋体" w:cs="宋体"/>
                <w:szCs w:val="21"/>
              </w:rPr>
              <w:t>投标人应提供资格审查资料</w:t>
            </w:r>
          </w:p>
        </w:tc>
        <w:tc>
          <w:tcPr>
            <w:tcW w:w="5740" w:type="dxa"/>
            <w:tcBorders>
              <w:tl2br w:val="nil"/>
              <w:tr2bl w:val="nil"/>
            </w:tcBorders>
            <w:vAlign w:val="center"/>
          </w:tcPr>
          <w:p w14:paraId="25EA2FCE">
            <w:pPr>
              <w:adjustRightInd w:val="0"/>
              <w:snapToGrid w:val="0"/>
              <w:spacing w:line="380" w:lineRule="exact"/>
              <w:rPr>
                <w:rFonts w:ascii="宋体" w:hAnsi="宋体"/>
                <w:szCs w:val="21"/>
              </w:rPr>
            </w:pPr>
            <w:r>
              <w:rPr>
                <w:rFonts w:hint="eastAsia" w:ascii="宋体" w:hAnsi="宋体"/>
                <w:szCs w:val="21"/>
              </w:rPr>
              <w:t>1.开标一览表。</w:t>
            </w:r>
          </w:p>
          <w:p w14:paraId="7440EAE5">
            <w:pPr>
              <w:adjustRightInd w:val="0"/>
              <w:snapToGrid w:val="0"/>
              <w:spacing w:line="380" w:lineRule="exact"/>
              <w:rPr>
                <w:rFonts w:ascii="宋体" w:hAnsi="宋体"/>
                <w:szCs w:val="21"/>
              </w:rPr>
            </w:pPr>
            <w:r>
              <w:rPr>
                <w:rFonts w:hint="eastAsia" w:ascii="宋体" w:hAnsi="宋体"/>
                <w:szCs w:val="21"/>
              </w:rPr>
              <w:t>2.法定代表人（或单位负责人）身份证明或授权委托书（非法定代表人（或单位负责人）投标须提供）。</w:t>
            </w:r>
          </w:p>
          <w:p w14:paraId="7D633935">
            <w:pPr>
              <w:adjustRightInd w:val="0"/>
              <w:snapToGrid w:val="0"/>
              <w:spacing w:line="380" w:lineRule="exact"/>
              <w:rPr>
                <w:rFonts w:ascii="宋体" w:hAnsi="宋体"/>
                <w:szCs w:val="21"/>
              </w:rPr>
            </w:pPr>
            <w:r>
              <w:rPr>
                <w:rFonts w:hint="eastAsia" w:ascii="宋体" w:hAnsi="宋体"/>
                <w:szCs w:val="21"/>
              </w:rPr>
              <w:t>3.法人或者其他组织的营业执照等主体资格证明文件，自然人的身份证明。</w:t>
            </w:r>
          </w:p>
          <w:p w14:paraId="4A4753AC">
            <w:pPr>
              <w:adjustRightInd w:val="0"/>
              <w:snapToGrid w:val="0"/>
              <w:spacing w:line="380" w:lineRule="exact"/>
              <w:rPr>
                <w:rFonts w:ascii="宋体" w:hAnsi="宋体"/>
                <w:szCs w:val="21"/>
              </w:rPr>
            </w:pPr>
            <w:r>
              <w:rPr>
                <w:rFonts w:hint="eastAsia" w:ascii="宋体" w:hAnsi="宋体"/>
                <w:szCs w:val="21"/>
              </w:rPr>
              <w:t>4.湖南省政府采购供应商资格承诺函。</w:t>
            </w:r>
          </w:p>
          <w:p w14:paraId="1F4EB0BB">
            <w:pPr>
              <w:spacing w:line="360" w:lineRule="auto"/>
              <w:rPr>
                <w:rFonts w:ascii="宋体" w:hAnsi="宋体" w:cs="宋体"/>
              </w:rPr>
            </w:pPr>
            <w:r>
              <w:rPr>
                <w:rFonts w:hint="eastAsia" w:ascii="宋体" w:hAnsi="宋体"/>
                <w:szCs w:val="21"/>
              </w:rPr>
              <w:t>5.符合采购项目的特定资格条件的证明材料。</w:t>
            </w:r>
          </w:p>
        </w:tc>
      </w:tr>
      <w:tr w14:paraId="1585A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0" w:type="dxa"/>
            <w:tcBorders>
              <w:tl2br w:val="nil"/>
              <w:tr2bl w:val="nil"/>
            </w:tcBorders>
            <w:vAlign w:val="center"/>
          </w:tcPr>
          <w:p w14:paraId="0406CE9D">
            <w:pPr>
              <w:jc w:val="center"/>
              <w:rPr>
                <w:rFonts w:ascii="宋体" w:hAnsi="宋体" w:cs="宋体"/>
                <w:szCs w:val="21"/>
              </w:rPr>
            </w:pPr>
            <w:r>
              <w:rPr>
                <w:rFonts w:hint="eastAsia" w:ascii="宋体" w:hAnsi="宋体" w:cs="宋体"/>
                <w:szCs w:val="21"/>
              </w:rPr>
              <w:t>第16.1</w:t>
            </w:r>
            <w:r>
              <w:rPr>
                <w:rFonts w:hint="eastAsia" w:ascii="宋体" w:hAnsi="宋体" w:cs="宋体"/>
                <w:szCs w:val="21"/>
                <w:lang w:val="zh-CN"/>
              </w:rPr>
              <w:t>款</w:t>
            </w:r>
          </w:p>
        </w:tc>
        <w:tc>
          <w:tcPr>
            <w:tcW w:w="2325" w:type="dxa"/>
            <w:tcBorders>
              <w:tl2br w:val="nil"/>
              <w:tr2bl w:val="nil"/>
            </w:tcBorders>
            <w:vAlign w:val="center"/>
          </w:tcPr>
          <w:p w14:paraId="7501250E">
            <w:pPr>
              <w:jc w:val="left"/>
              <w:rPr>
                <w:rFonts w:ascii="宋体" w:hAnsi="宋体" w:cs="宋体"/>
                <w:szCs w:val="21"/>
              </w:rPr>
            </w:pPr>
            <w:r>
              <w:rPr>
                <w:rFonts w:hint="eastAsia" w:ascii="宋体" w:hAnsi="宋体" w:cs="宋体"/>
                <w:szCs w:val="21"/>
              </w:rPr>
              <w:t>投标有效期</w:t>
            </w:r>
          </w:p>
        </w:tc>
        <w:tc>
          <w:tcPr>
            <w:tcW w:w="5740" w:type="dxa"/>
            <w:tcBorders>
              <w:tl2br w:val="nil"/>
              <w:tr2bl w:val="nil"/>
            </w:tcBorders>
            <w:vAlign w:val="center"/>
          </w:tcPr>
          <w:p w14:paraId="7369A406">
            <w:pPr>
              <w:spacing w:line="360" w:lineRule="auto"/>
              <w:rPr>
                <w:rFonts w:ascii="宋体" w:hAnsi="宋体" w:cs="宋体"/>
                <w:szCs w:val="21"/>
              </w:rPr>
            </w:pPr>
            <w:r>
              <w:rPr>
                <w:rFonts w:hint="eastAsia" w:ascii="宋体" w:hAnsi="宋体" w:cs="宋体"/>
                <w:szCs w:val="21"/>
              </w:rPr>
              <w:t>90日历天</w:t>
            </w:r>
          </w:p>
        </w:tc>
      </w:tr>
      <w:tr w14:paraId="38850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27BDB4C">
            <w:pPr>
              <w:jc w:val="center"/>
              <w:rPr>
                <w:rFonts w:ascii="宋体" w:hAnsi="宋体" w:cs="宋体"/>
                <w:szCs w:val="21"/>
              </w:rPr>
            </w:pPr>
            <w:r>
              <w:rPr>
                <w:rFonts w:hint="eastAsia" w:ascii="宋体" w:hAnsi="宋体" w:cs="宋体"/>
                <w:szCs w:val="21"/>
              </w:rPr>
              <w:t>第17.1</w:t>
            </w:r>
            <w:r>
              <w:rPr>
                <w:rFonts w:hint="eastAsia" w:ascii="宋体" w:hAnsi="宋体" w:cs="宋体"/>
                <w:szCs w:val="21"/>
                <w:lang w:val="zh-CN"/>
              </w:rPr>
              <w:t>款</w:t>
            </w:r>
          </w:p>
        </w:tc>
        <w:tc>
          <w:tcPr>
            <w:tcW w:w="2325" w:type="dxa"/>
            <w:tcBorders>
              <w:tl2br w:val="nil"/>
              <w:tr2bl w:val="nil"/>
            </w:tcBorders>
            <w:vAlign w:val="center"/>
          </w:tcPr>
          <w:p w14:paraId="699BDEA4">
            <w:pPr>
              <w:jc w:val="left"/>
              <w:rPr>
                <w:rFonts w:ascii="宋体" w:hAnsi="宋体" w:cs="宋体"/>
                <w:szCs w:val="21"/>
              </w:rPr>
            </w:pPr>
            <w:r>
              <w:rPr>
                <w:rFonts w:hint="eastAsia" w:ascii="宋体" w:hAnsi="宋体" w:cs="宋体"/>
                <w:szCs w:val="21"/>
              </w:rPr>
              <w:t>投标保证金</w:t>
            </w:r>
          </w:p>
        </w:tc>
        <w:tc>
          <w:tcPr>
            <w:tcW w:w="5740" w:type="dxa"/>
            <w:tcBorders>
              <w:tl2br w:val="nil"/>
              <w:tr2bl w:val="nil"/>
            </w:tcBorders>
            <w:vAlign w:val="center"/>
          </w:tcPr>
          <w:p w14:paraId="2426EDD4">
            <w:pPr>
              <w:spacing w:line="360" w:lineRule="auto"/>
            </w:pPr>
            <w:r>
              <w:rPr>
                <w:rFonts w:hint="eastAsia" w:ascii="宋体" w:hAnsi="宋体" w:cs="宋体"/>
                <w:szCs w:val="21"/>
              </w:rPr>
              <w:t>■不要求提供</w:t>
            </w:r>
          </w:p>
        </w:tc>
      </w:tr>
      <w:tr w14:paraId="61158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001FBDE9">
            <w:pPr>
              <w:jc w:val="center"/>
              <w:rPr>
                <w:rFonts w:ascii="宋体" w:hAnsi="宋体" w:cs="宋体"/>
                <w:szCs w:val="21"/>
              </w:rPr>
            </w:pPr>
            <w:r>
              <w:rPr>
                <w:rFonts w:hint="eastAsia" w:ascii="宋体" w:hAnsi="宋体" w:cs="宋体"/>
                <w:szCs w:val="21"/>
              </w:rPr>
              <w:t>第18.1</w:t>
            </w:r>
            <w:r>
              <w:rPr>
                <w:rFonts w:hint="eastAsia" w:ascii="宋体" w:hAnsi="宋体" w:cs="宋体"/>
                <w:szCs w:val="21"/>
                <w:lang w:val="zh-CN"/>
              </w:rPr>
              <w:t>款</w:t>
            </w:r>
          </w:p>
        </w:tc>
        <w:tc>
          <w:tcPr>
            <w:tcW w:w="2325" w:type="dxa"/>
            <w:tcBorders>
              <w:tl2br w:val="nil"/>
              <w:tr2bl w:val="nil"/>
            </w:tcBorders>
            <w:vAlign w:val="center"/>
          </w:tcPr>
          <w:p w14:paraId="5779182F">
            <w:pPr>
              <w:jc w:val="left"/>
              <w:rPr>
                <w:rFonts w:ascii="宋体" w:hAnsi="宋体" w:cs="宋体"/>
                <w:szCs w:val="21"/>
              </w:rPr>
            </w:pPr>
            <w:r>
              <w:rPr>
                <w:rFonts w:hint="eastAsia" w:ascii="宋体" w:hAnsi="宋体" w:cs="宋体"/>
                <w:szCs w:val="21"/>
              </w:rPr>
              <w:t>分包</w:t>
            </w:r>
          </w:p>
        </w:tc>
        <w:tc>
          <w:tcPr>
            <w:tcW w:w="5740" w:type="dxa"/>
            <w:tcBorders>
              <w:tl2br w:val="nil"/>
              <w:tr2bl w:val="nil"/>
            </w:tcBorders>
            <w:vAlign w:val="center"/>
          </w:tcPr>
          <w:p w14:paraId="3630D5C9">
            <w:pPr>
              <w:spacing w:line="360" w:lineRule="auto"/>
              <w:rPr>
                <w:rFonts w:ascii="宋体" w:hAnsi="宋体" w:cs="宋体"/>
                <w:szCs w:val="21"/>
              </w:rPr>
            </w:pPr>
            <w:r>
              <w:rPr>
                <w:rFonts w:hint="eastAsia" w:ascii="宋体" w:hAnsi="宋体" w:cs="宋体"/>
                <w:szCs w:val="21"/>
              </w:rPr>
              <w:t>■ 不允许</w:t>
            </w:r>
          </w:p>
          <w:p w14:paraId="6FBCFC2A">
            <w:pPr>
              <w:spacing w:line="360" w:lineRule="auto"/>
              <w:rPr>
                <w:rFonts w:ascii="宋体" w:hAnsi="宋体" w:cs="宋体"/>
                <w:szCs w:val="21"/>
              </w:rPr>
            </w:pPr>
            <w:r>
              <w:rPr>
                <w:rFonts w:hint="eastAsia" w:ascii="宋体" w:hAnsi="宋体" w:cs="宋体"/>
                <w:szCs w:val="21"/>
              </w:rPr>
              <w:t>□ 允许在中标后将中标项目的非主体、非关键性工作进行分包，但须满足下列条件：</w:t>
            </w:r>
          </w:p>
          <w:p w14:paraId="03B6F133">
            <w:pPr>
              <w:spacing w:line="360" w:lineRule="auto"/>
              <w:rPr>
                <w:rFonts w:ascii="宋体" w:hAnsi="宋体" w:cs="宋体"/>
                <w:szCs w:val="21"/>
              </w:rPr>
            </w:pPr>
            <w:r>
              <w:rPr>
                <w:rFonts w:hint="eastAsia" w:ascii="宋体" w:hAnsi="宋体" w:cs="宋体"/>
                <w:szCs w:val="21"/>
              </w:rPr>
              <w:t>1、分包内容：</w:t>
            </w:r>
            <w:r>
              <w:rPr>
                <w:rFonts w:hint="eastAsia" w:ascii="宋体" w:hAnsi="宋体" w:cs="宋体"/>
                <w:szCs w:val="21"/>
                <w:u w:val="single"/>
              </w:rPr>
              <w:t xml:space="preserve">         ；</w:t>
            </w:r>
          </w:p>
          <w:p w14:paraId="036C0E24">
            <w:pPr>
              <w:spacing w:line="360" w:lineRule="auto"/>
              <w:rPr>
                <w:rFonts w:ascii="宋体" w:hAnsi="宋体" w:cs="宋体"/>
                <w:szCs w:val="21"/>
              </w:rPr>
            </w:pPr>
            <w:r>
              <w:rPr>
                <w:rFonts w:hint="eastAsia" w:ascii="宋体" w:hAnsi="宋体" w:cs="宋体"/>
                <w:szCs w:val="21"/>
              </w:rPr>
              <w:t>2、分包金额：</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u w:val="single"/>
              </w:rPr>
              <w:t xml:space="preserve">      ；</w:t>
            </w:r>
          </w:p>
          <w:p w14:paraId="6A21C718">
            <w:pPr>
              <w:spacing w:line="360" w:lineRule="auto"/>
              <w:rPr>
                <w:rFonts w:ascii="宋体" w:hAnsi="宋体" w:cs="宋体"/>
                <w:szCs w:val="21"/>
              </w:rPr>
            </w:pPr>
            <w:r>
              <w:rPr>
                <w:rFonts w:hint="eastAsia" w:ascii="宋体" w:hAnsi="宋体" w:cs="宋体"/>
                <w:szCs w:val="21"/>
              </w:rPr>
              <w:t>3、分包单位资质要求：</w:t>
            </w:r>
            <w:r>
              <w:rPr>
                <w:rFonts w:hint="eastAsia" w:ascii="宋体" w:hAnsi="宋体" w:cs="宋体"/>
                <w:szCs w:val="21"/>
                <w:u w:val="single"/>
              </w:rPr>
              <w:t xml:space="preserve">               。</w:t>
            </w:r>
          </w:p>
        </w:tc>
      </w:tr>
      <w:tr w14:paraId="5F40A2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86AC059">
            <w:pPr>
              <w:jc w:val="center"/>
              <w:rPr>
                <w:rFonts w:ascii="宋体" w:hAnsi="宋体" w:cs="宋体"/>
                <w:szCs w:val="21"/>
              </w:rPr>
            </w:pPr>
            <w:r>
              <w:rPr>
                <w:rFonts w:hint="eastAsia" w:ascii="宋体" w:hAnsi="宋体" w:cs="宋体"/>
                <w:szCs w:val="21"/>
              </w:rPr>
              <w:t>第19.1款</w:t>
            </w:r>
          </w:p>
        </w:tc>
        <w:tc>
          <w:tcPr>
            <w:tcW w:w="2325" w:type="dxa"/>
            <w:tcBorders>
              <w:tl2br w:val="nil"/>
              <w:tr2bl w:val="nil"/>
            </w:tcBorders>
            <w:vAlign w:val="center"/>
          </w:tcPr>
          <w:p w14:paraId="749A3666">
            <w:pPr>
              <w:jc w:val="left"/>
              <w:rPr>
                <w:rFonts w:ascii="宋体" w:hAnsi="宋体" w:cs="宋体"/>
                <w:szCs w:val="21"/>
              </w:rPr>
            </w:pPr>
            <w:r>
              <w:rPr>
                <w:rFonts w:hint="eastAsia" w:ascii="宋体" w:hAnsi="宋体" w:cs="宋体"/>
                <w:szCs w:val="21"/>
              </w:rPr>
              <w:t>投标文件份数</w:t>
            </w:r>
          </w:p>
        </w:tc>
        <w:tc>
          <w:tcPr>
            <w:tcW w:w="5740" w:type="dxa"/>
            <w:tcBorders>
              <w:tl2br w:val="nil"/>
              <w:tr2bl w:val="nil"/>
            </w:tcBorders>
            <w:vAlign w:val="center"/>
          </w:tcPr>
          <w:p w14:paraId="5745848C">
            <w:pPr>
              <w:rPr>
                <w:rFonts w:ascii="宋体" w:hAnsi="宋体" w:cs="宋体"/>
                <w:szCs w:val="21"/>
              </w:rPr>
            </w:pPr>
            <w:r>
              <w:rPr>
                <w:rFonts w:hint="eastAsia" w:ascii="宋体" w:hAnsi="宋体" w:cs="宋体"/>
                <w:b/>
                <w:bCs/>
                <w:szCs w:val="21"/>
              </w:rPr>
              <w:t>电子版投标文件 1 份（系统上传），中标单位在中标通知书发出之日起五个工作日内提供投标文件纸质版一份交由采购人处保存，纸质文件需与电子版文件一致。</w:t>
            </w:r>
          </w:p>
        </w:tc>
      </w:tr>
      <w:tr w14:paraId="1DAE6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7E4AC524">
            <w:pPr>
              <w:rPr>
                <w:rFonts w:ascii="宋体" w:hAnsi="宋体" w:cs="宋体"/>
                <w:szCs w:val="21"/>
              </w:rPr>
            </w:pPr>
            <w:r>
              <w:rPr>
                <w:rFonts w:hint="eastAsia" w:ascii="宋体" w:hAnsi="宋体" w:cs="宋体"/>
                <w:b/>
                <w:bCs/>
                <w:szCs w:val="21"/>
              </w:rPr>
              <w:t>四、投标</w:t>
            </w:r>
          </w:p>
        </w:tc>
      </w:tr>
      <w:tr w14:paraId="0B4A9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F355CFE">
            <w:pPr>
              <w:jc w:val="center"/>
              <w:rPr>
                <w:rFonts w:ascii="宋体" w:hAnsi="宋体" w:cs="宋体"/>
                <w:szCs w:val="21"/>
              </w:rPr>
            </w:pPr>
            <w:r>
              <w:rPr>
                <w:rFonts w:hint="eastAsia" w:ascii="宋体" w:hAnsi="宋体" w:cs="宋体"/>
                <w:szCs w:val="21"/>
              </w:rPr>
              <w:t>第21.1</w:t>
            </w:r>
            <w:r>
              <w:rPr>
                <w:rFonts w:hint="eastAsia" w:ascii="宋体" w:hAnsi="宋体" w:cs="宋体"/>
                <w:szCs w:val="21"/>
                <w:lang w:val="zh-CN"/>
              </w:rPr>
              <w:t>款</w:t>
            </w:r>
          </w:p>
        </w:tc>
        <w:tc>
          <w:tcPr>
            <w:tcW w:w="2325" w:type="dxa"/>
            <w:tcBorders>
              <w:tl2br w:val="nil"/>
              <w:tr2bl w:val="nil"/>
            </w:tcBorders>
            <w:vAlign w:val="center"/>
          </w:tcPr>
          <w:p w14:paraId="04EDDC91">
            <w:pPr>
              <w:jc w:val="left"/>
              <w:rPr>
                <w:rFonts w:ascii="宋体" w:hAnsi="宋体" w:cs="宋体"/>
                <w:szCs w:val="21"/>
              </w:rPr>
            </w:pPr>
            <w:r>
              <w:rPr>
                <w:rFonts w:hint="eastAsia" w:ascii="宋体" w:hAnsi="宋体" w:cs="宋体"/>
                <w:szCs w:val="21"/>
              </w:rPr>
              <w:t>投标截止时间及投标地点</w:t>
            </w:r>
          </w:p>
        </w:tc>
        <w:tc>
          <w:tcPr>
            <w:tcW w:w="5740" w:type="dxa"/>
            <w:tcBorders>
              <w:tl2br w:val="nil"/>
              <w:tr2bl w:val="nil"/>
            </w:tcBorders>
            <w:vAlign w:val="center"/>
          </w:tcPr>
          <w:p w14:paraId="0FAD3D96">
            <w:pPr>
              <w:spacing w:line="360" w:lineRule="auto"/>
              <w:rPr>
                <w:rFonts w:ascii="宋体" w:hAnsi="宋体" w:cs="宋体"/>
                <w:szCs w:val="21"/>
              </w:rPr>
            </w:pPr>
            <w:r>
              <w:rPr>
                <w:rFonts w:hint="eastAsia"/>
              </w:rPr>
              <w:t>详见招标文件“第一章 投标邀请”相关规定。</w:t>
            </w:r>
          </w:p>
        </w:tc>
      </w:tr>
      <w:tr w14:paraId="5B5A8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7666109A">
            <w:pPr>
              <w:rPr>
                <w:rFonts w:ascii="宋体" w:hAnsi="宋体" w:cs="宋体"/>
                <w:szCs w:val="21"/>
              </w:rPr>
            </w:pPr>
            <w:r>
              <w:rPr>
                <w:rFonts w:hint="eastAsia" w:ascii="宋体" w:hAnsi="宋体" w:cs="宋体"/>
                <w:b/>
                <w:bCs/>
                <w:szCs w:val="21"/>
              </w:rPr>
              <w:t>五、开标、资格审查和评标</w:t>
            </w:r>
          </w:p>
        </w:tc>
      </w:tr>
      <w:tr w14:paraId="61AC8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76F0CD1A">
            <w:pPr>
              <w:jc w:val="center"/>
              <w:rPr>
                <w:rFonts w:ascii="宋体" w:hAnsi="宋体" w:cs="宋体"/>
                <w:szCs w:val="21"/>
              </w:rPr>
            </w:pPr>
            <w:r>
              <w:rPr>
                <w:rFonts w:hint="eastAsia" w:ascii="宋体" w:hAnsi="宋体" w:cs="宋体"/>
                <w:szCs w:val="21"/>
              </w:rPr>
              <w:t>第24.1</w:t>
            </w:r>
            <w:r>
              <w:rPr>
                <w:rFonts w:hint="eastAsia" w:ascii="宋体" w:hAnsi="宋体" w:cs="宋体"/>
                <w:szCs w:val="21"/>
                <w:lang w:val="zh-CN"/>
              </w:rPr>
              <w:t>款</w:t>
            </w:r>
          </w:p>
        </w:tc>
        <w:tc>
          <w:tcPr>
            <w:tcW w:w="2325" w:type="dxa"/>
            <w:tcBorders>
              <w:tl2br w:val="nil"/>
              <w:tr2bl w:val="nil"/>
            </w:tcBorders>
            <w:vAlign w:val="center"/>
          </w:tcPr>
          <w:p w14:paraId="4744D191">
            <w:pPr>
              <w:jc w:val="left"/>
              <w:rPr>
                <w:rFonts w:ascii="宋体" w:hAnsi="宋体" w:cs="宋体"/>
                <w:szCs w:val="21"/>
              </w:rPr>
            </w:pPr>
            <w:r>
              <w:rPr>
                <w:rFonts w:hint="eastAsia" w:ascii="宋体" w:hAnsi="宋体" w:cs="宋体"/>
                <w:szCs w:val="21"/>
              </w:rPr>
              <w:t xml:space="preserve">开标地点 </w:t>
            </w:r>
          </w:p>
        </w:tc>
        <w:tc>
          <w:tcPr>
            <w:tcW w:w="5740" w:type="dxa"/>
            <w:tcBorders>
              <w:tl2br w:val="nil"/>
              <w:tr2bl w:val="nil"/>
            </w:tcBorders>
            <w:vAlign w:val="center"/>
          </w:tcPr>
          <w:p w14:paraId="2B8BF225">
            <w:pPr>
              <w:spacing w:line="360" w:lineRule="auto"/>
              <w:rPr>
                <w:rFonts w:ascii="宋体" w:hAnsi="宋体" w:cs="宋体"/>
                <w:szCs w:val="21"/>
              </w:rPr>
            </w:pPr>
            <w:r>
              <w:rPr>
                <w:rFonts w:hint="eastAsia"/>
              </w:rPr>
              <w:t>详见招标文件“第一章 投标邀请”相关规定。</w:t>
            </w:r>
          </w:p>
        </w:tc>
      </w:tr>
      <w:tr w14:paraId="2EDCC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51CAAD2">
            <w:pPr>
              <w:jc w:val="center"/>
              <w:rPr>
                <w:rFonts w:ascii="宋体" w:hAnsi="宋体" w:cs="宋体"/>
                <w:szCs w:val="21"/>
              </w:rPr>
            </w:pPr>
            <w:r>
              <w:rPr>
                <w:rFonts w:hint="eastAsia" w:ascii="宋体" w:hAnsi="宋体" w:cs="宋体"/>
                <w:szCs w:val="21"/>
              </w:rPr>
              <w:t>第24.2</w:t>
            </w:r>
            <w:r>
              <w:rPr>
                <w:rFonts w:hint="eastAsia" w:ascii="宋体" w:hAnsi="宋体" w:cs="宋体"/>
                <w:szCs w:val="21"/>
                <w:lang w:val="zh-CN"/>
              </w:rPr>
              <w:t>款</w:t>
            </w:r>
          </w:p>
        </w:tc>
        <w:tc>
          <w:tcPr>
            <w:tcW w:w="2325" w:type="dxa"/>
            <w:tcBorders>
              <w:tl2br w:val="nil"/>
              <w:tr2bl w:val="nil"/>
            </w:tcBorders>
            <w:vAlign w:val="center"/>
          </w:tcPr>
          <w:p w14:paraId="70D53F7B">
            <w:pPr>
              <w:jc w:val="left"/>
              <w:rPr>
                <w:rFonts w:ascii="宋体" w:hAnsi="宋体" w:cs="宋体"/>
                <w:szCs w:val="21"/>
              </w:rPr>
            </w:pPr>
            <w:r>
              <w:rPr>
                <w:rFonts w:hint="eastAsia" w:ascii="宋体" w:hAnsi="宋体" w:cs="宋体"/>
                <w:szCs w:val="21"/>
              </w:rPr>
              <w:t>需要宣布的其他内容</w:t>
            </w:r>
          </w:p>
        </w:tc>
        <w:tc>
          <w:tcPr>
            <w:tcW w:w="5740" w:type="dxa"/>
            <w:tcBorders>
              <w:tl2br w:val="nil"/>
              <w:tr2bl w:val="nil"/>
            </w:tcBorders>
            <w:vAlign w:val="center"/>
          </w:tcPr>
          <w:p w14:paraId="5E63C4B1">
            <w:pPr>
              <w:spacing w:line="360" w:lineRule="auto"/>
              <w:rPr>
                <w:rFonts w:ascii="宋体" w:hAnsi="宋体" w:cs="宋体"/>
                <w:szCs w:val="21"/>
              </w:rPr>
            </w:pPr>
            <w:r>
              <w:rPr>
                <w:rFonts w:hint="eastAsia" w:ascii="宋体" w:hAnsi="宋体" w:cs="宋体"/>
                <w:szCs w:val="21"/>
              </w:rPr>
              <w:t>无</w:t>
            </w:r>
          </w:p>
        </w:tc>
      </w:tr>
      <w:tr w14:paraId="306FC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4DA950A0">
            <w:pPr>
              <w:rPr>
                <w:rFonts w:ascii="宋体" w:hAnsi="宋体" w:cs="宋体"/>
                <w:szCs w:val="21"/>
              </w:rPr>
            </w:pPr>
            <w:r>
              <w:rPr>
                <w:rFonts w:hint="eastAsia" w:ascii="宋体" w:hAnsi="宋体" w:cs="宋体"/>
                <w:b/>
                <w:bCs/>
                <w:szCs w:val="21"/>
              </w:rPr>
              <w:t>六、中标信息公布</w:t>
            </w:r>
          </w:p>
        </w:tc>
      </w:tr>
      <w:tr w14:paraId="59F72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5C5E9F02">
            <w:pPr>
              <w:jc w:val="center"/>
              <w:rPr>
                <w:rFonts w:ascii="宋体" w:hAnsi="宋体" w:cs="宋体"/>
                <w:szCs w:val="21"/>
              </w:rPr>
            </w:pPr>
            <w:r>
              <w:rPr>
                <w:rFonts w:hint="eastAsia" w:ascii="宋体" w:hAnsi="宋体" w:cs="宋体"/>
                <w:szCs w:val="21"/>
              </w:rPr>
              <w:t>第28.2</w:t>
            </w:r>
            <w:r>
              <w:rPr>
                <w:rFonts w:hint="eastAsia" w:ascii="宋体" w:hAnsi="宋体" w:cs="宋体"/>
                <w:szCs w:val="21"/>
                <w:lang w:val="zh-CN"/>
              </w:rPr>
              <w:t>款</w:t>
            </w:r>
          </w:p>
        </w:tc>
        <w:tc>
          <w:tcPr>
            <w:tcW w:w="2325" w:type="dxa"/>
            <w:tcBorders>
              <w:tl2br w:val="nil"/>
              <w:tr2bl w:val="nil"/>
            </w:tcBorders>
            <w:vAlign w:val="center"/>
          </w:tcPr>
          <w:p w14:paraId="2D5D8624">
            <w:pPr>
              <w:jc w:val="left"/>
              <w:rPr>
                <w:rFonts w:ascii="宋体" w:hAnsi="宋体" w:cs="宋体"/>
                <w:szCs w:val="21"/>
              </w:rPr>
            </w:pPr>
            <w:r>
              <w:rPr>
                <w:rFonts w:hint="eastAsia" w:ascii="宋体" w:hAnsi="宋体" w:cs="宋体"/>
                <w:szCs w:val="21"/>
              </w:rPr>
              <w:t>中标候选人并列的确定中标单位的方式</w:t>
            </w:r>
          </w:p>
        </w:tc>
        <w:tc>
          <w:tcPr>
            <w:tcW w:w="5740" w:type="dxa"/>
            <w:tcBorders>
              <w:tl2br w:val="nil"/>
              <w:tr2bl w:val="nil"/>
            </w:tcBorders>
            <w:vAlign w:val="center"/>
          </w:tcPr>
          <w:p w14:paraId="3A39B144">
            <w:pPr>
              <w:spacing w:line="360" w:lineRule="auto"/>
              <w:rPr>
                <w:rFonts w:ascii="宋体" w:hAnsi="宋体" w:cs="宋体"/>
                <w:szCs w:val="21"/>
              </w:rPr>
            </w:pPr>
            <w:r>
              <w:rPr>
                <w:rFonts w:hint="eastAsia" w:ascii="宋体" w:hAnsi="宋体" w:cs="宋体"/>
                <w:szCs w:val="21"/>
              </w:rPr>
              <w:t>按投标报价从低到高确定排序，投标报价相同的按技术总分从高至低确定排序，技术总分相同的由评标组长在评审现场随机抽签确定排序。</w:t>
            </w:r>
          </w:p>
        </w:tc>
      </w:tr>
      <w:tr w14:paraId="7223B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F9B55AF">
            <w:pPr>
              <w:jc w:val="center"/>
              <w:rPr>
                <w:rFonts w:ascii="宋体" w:hAnsi="宋体" w:cs="宋体"/>
                <w:szCs w:val="21"/>
              </w:rPr>
            </w:pPr>
            <w:r>
              <w:rPr>
                <w:rFonts w:hint="eastAsia" w:ascii="宋体" w:hAnsi="宋体" w:cs="宋体"/>
                <w:szCs w:val="21"/>
              </w:rPr>
              <w:t>第29.3</w:t>
            </w:r>
            <w:r>
              <w:rPr>
                <w:rFonts w:hint="eastAsia" w:ascii="宋体" w:hAnsi="宋体" w:cs="宋体"/>
                <w:szCs w:val="21"/>
                <w:lang w:val="zh-CN"/>
              </w:rPr>
              <w:t>款</w:t>
            </w:r>
          </w:p>
        </w:tc>
        <w:tc>
          <w:tcPr>
            <w:tcW w:w="2325" w:type="dxa"/>
            <w:tcBorders>
              <w:tl2br w:val="nil"/>
              <w:tr2bl w:val="nil"/>
            </w:tcBorders>
            <w:vAlign w:val="center"/>
          </w:tcPr>
          <w:p w14:paraId="56FA812B">
            <w:pPr>
              <w:jc w:val="left"/>
              <w:rPr>
                <w:rFonts w:ascii="宋体" w:hAnsi="宋体" w:cs="宋体"/>
                <w:szCs w:val="21"/>
              </w:rPr>
            </w:pPr>
            <w:r>
              <w:rPr>
                <w:rFonts w:hint="eastAsia" w:ascii="宋体" w:hAnsi="宋体" w:cs="宋体"/>
                <w:szCs w:val="21"/>
              </w:rPr>
              <w:t>接收质疑函的联系部门、联系电话和通讯地址</w:t>
            </w:r>
          </w:p>
        </w:tc>
        <w:tc>
          <w:tcPr>
            <w:tcW w:w="5740" w:type="dxa"/>
            <w:tcBorders>
              <w:tl2br w:val="nil"/>
              <w:tr2bl w:val="nil"/>
            </w:tcBorders>
            <w:vAlign w:val="center"/>
          </w:tcPr>
          <w:p w14:paraId="6BDD90DC">
            <w:pPr>
              <w:spacing w:line="380" w:lineRule="exact"/>
              <w:textAlignment w:val="baseline"/>
              <w:rPr>
                <w:rStyle w:val="154"/>
              </w:rPr>
            </w:pPr>
            <w:r>
              <w:rPr>
                <w:rStyle w:val="154"/>
              </w:rPr>
              <w:t>1、采购人：</w:t>
            </w:r>
            <w:r>
              <w:rPr>
                <w:rStyle w:val="154"/>
                <w:rFonts w:hint="eastAsia"/>
              </w:rPr>
              <w:t>株洲市第八中学</w:t>
            </w:r>
          </w:p>
          <w:p w14:paraId="24B01778">
            <w:pPr>
              <w:spacing w:line="380" w:lineRule="exact"/>
              <w:textAlignment w:val="baseline"/>
              <w:rPr>
                <w:rStyle w:val="154"/>
              </w:rPr>
            </w:pPr>
            <w:r>
              <w:rPr>
                <w:rStyle w:val="154"/>
              </w:rPr>
              <w:t>地址：</w:t>
            </w:r>
            <w:r>
              <w:rPr>
                <w:rStyle w:val="154"/>
                <w:rFonts w:hint="eastAsia"/>
              </w:rPr>
              <w:t>株洲市芦淞区贺嘉路258号</w:t>
            </w:r>
          </w:p>
          <w:p w14:paraId="0B595036">
            <w:pPr>
              <w:spacing w:line="380" w:lineRule="exact"/>
              <w:textAlignment w:val="baseline"/>
              <w:rPr>
                <w:rStyle w:val="154"/>
                <w:rFonts w:ascii="宋体" w:hAnsi="宋体"/>
                <w:szCs w:val="21"/>
              </w:rPr>
            </w:pPr>
            <w:r>
              <w:rPr>
                <w:rStyle w:val="154"/>
                <w:rFonts w:hint="eastAsia" w:ascii="宋体" w:hAnsi="宋体"/>
                <w:szCs w:val="21"/>
              </w:rPr>
              <w:t>联系人：汤峰</w:t>
            </w:r>
          </w:p>
          <w:p w14:paraId="6AC81250">
            <w:pPr>
              <w:spacing w:line="380" w:lineRule="exact"/>
              <w:textAlignment w:val="baseline"/>
              <w:rPr>
                <w:rStyle w:val="154"/>
                <w:rFonts w:ascii="宋体" w:hAnsi="宋体"/>
                <w:szCs w:val="21"/>
              </w:rPr>
            </w:pPr>
            <w:r>
              <w:rPr>
                <w:rStyle w:val="154"/>
                <w:rFonts w:hint="eastAsia" w:ascii="宋体" w:hAnsi="宋体"/>
                <w:szCs w:val="21"/>
              </w:rPr>
              <w:t>电  话：13873374554</w:t>
            </w:r>
          </w:p>
          <w:p w14:paraId="49C3F8A4">
            <w:pPr>
              <w:spacing w:line="360" w:lineRule="auto"/>
              <w:rPr>
                <w:rFonts w:ascii="宋体" w:hAnsi="宋体" w:cs="宋体"/>
                <w:szCs w:val="21"/>
              </w:rPr>
            </w:pPr>
            <w:r>
              <w:rPr>
                <w:rFonts w:hint="eastAsia" w:ascii="宋体" w:hAnsi="宋体" w:cs="宋体"/>
                <w:szCs w:val="21"/>
              </w:rPr>
              <w:t>2、采购代理机构：湖南浦建招标有限公司</w:t>
            </w:r>
          </w:p>
          <w:p w14:paraId="0A4E108B">
            <w:pPr>
              <w:spacing w:line="360" w:lineRule="auto"/>
              <w:rPr>
                <w:rFonts w:ascii="宋体" w:hAnsi="宋体" w:cs="宋体"/>
                <w:szCs w:val="21"/>
              </w:rPr>
            </w:pPr>
            <w:r>
              <w:rPr>
                <w:rFonts w:hint="eastAsia" w:ascii="宋体" w:hAnsi="宋体" w:cs="宋体"/>
                <w:szCs w:val="21"/>
              </w:rPr>
              <w:t>地址：</w:t>
            </w:r>
            <w:r>
              <w:rPr>
                <w:rFonts w:hint="eastAsia" w:ascii="宋体" w:hAnsi="宋体" w:cs="宋体"/>
              </w:rPr>
              <w:t>株洲市天元区庐山路明峰银座17楼</w:t>
            </w:r>
          </w:p>
          <w:p w14:paraId="5EA5395C">
            <w:pPr>
              <w:spacing w:line="360" w:lineRule="auto"/>
              <w:rPr>
                <w:rFonts w:ascii="宋体" w:hAnsi="宋体" w:cs="宋体"/>
                <w:szCs w:val="21"/>
              </w:rPr>
            </w:pPr>
            <w:r>
              <w:rPr>
                <w:rFonts w:hint="eastAsia" w:ascii="宋体" w:hAnsi="宋体" w:cs="宋体"/>
                <w:szCs w:val="21"/>
              </w:rPr>
              <w:t>联系人：肖佳璐、刘瑞、欧阳永胜</w:t>
            </w:r>
          </w:p>
          <w:p w14:paraId="1105A805">
            <w:pPr>
              <w:spacing w:line="360" w:lineRule="auto"/>
              <w:rPr>
                <w:rFonts w:ascii="宋体" w:hAnsi="宋体" w:cs="宋体"/>
                <w:szCs w:val="21"/>
              </w:rPr>
            </w:pPr>
            <w:r>
              <w:rPr>
                <w:rFonts w:hint="eastAsia" w:ascii="宋体" w:hAnsi="宋体" w:cs="宋体"/>
                <w:szCs w:val="21"/>
              </w:rPr>
              <w:t>联系电话：0731-28522277</w:t>
            </w:r>
          </w:p>
        </w:tc>
      </w:tr>
      <w:tr w14:paraId="07B73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490D89EC">
            <w:r>
              <w:rPr>
                <w:rFonts w:hint="eastAsia" w:ascii="宋体" w:hAnsi="宋体" w:cs="宋体"/>
                <w:b/>
                <w:bCs/>
                <w:szCs w:val="21"/>
              </w:rPr>
              <w:t>七、合同签订</w:t>
            </w:r>
          </w:p>
        </w:tc>
      </w:tr>
      <w:tr w14:paraId="1D8A8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0E8003F">
            <w:pPr>
              <w:jc w:val="center"/>
              <w:rPr>
                <w:rFonts w:ascii="宋体" w:hAnsi="宋体" w:cs="宋体"/>
                <w:szCs w:val="21"/>
              </w:rPr>
            </w:pPr>
            <w:r>
              <w:rPr>
                <w:rFonts w:hint="eastAsia" w:ascii="宋体" w:hAnsi="宋体" w:cs="宋体"/>
                <w:szCs w:val="21"/>
              </w:rPr>
              <w:t>第31.1</w:t>
            </w:r>
            <w:r>
              <w:rPr>
                <w:rFonts w:hint="eastAsia" w:ascii="宋体" w:hAnsi="宋体" w:cs="宋体"/>
                <w:szCs w:val="21"/>
                <w:lang w:val="zh-CN"/>
              </w:rPr>
              <w:t>款</w:t>
            </w:r>
          </w:p>
        </w:tc>
        <w:tc>
          <w:tcPr>
            <w:tcW w:w="2325" w:type="dxa"/>
            <w:tcBorders>
              <w:tl2br w:val="nil"/>
              <w:tr2bl w:val="nil"/>
            </w:tcBorders>
            <w:vAlign w:val="center"/>
          </w:tcPr>
          <w:p w14:paraId="474AF89A">
            <w:pPr>
              <w:jc w:val="left"/>
              <w:rPr>
                <w:rFonts w:ascii="宋体" w:hAnsi="宋体" w:cs="宋体"/>
                <w:szCs w:val="21"/>
              </w:rPr>
            </w:pPr>
            <w:r>
              <w:rPr>
                <w:rFonts w:hint="eastAsia" w:ascii="宋体" w:hAnsi="宋体" w:cs="宋体"/>
                <w:szCs w:val="21"/>
              </w:rPr>
              <w:t>履约担保</w:t>
            </w:r>
          </w:p>
        </w:tc>
        <w:tc>
          <w:tcPr>
            <w:tcW w:w="5740" w:type="dxa"/>
            <w:tcBorders>
              <w:tl2br w:val="nil"/>
              <w:tr2bl w:val="nil"/>
            </w:tcBorders>
            <w:vAlign w:val="center"/>
          </w:tcPr>
          <w:p w14:paraId="4F2DC3E4">
            <w:pPr>
              <w:spacing w:line="360" w:lineRule="auto"/>
              <w:rPr>
                <w:rFonts w:ascii="宋体" w:hAnsi="宋体" w:cs="宋体"/>
                <w:szCs w:val="21"/>
              </w:rPr>
            </w:pPr>
            <w:r>
              <w:rPr>
                <w:rFonts w:hint="eastAsia" w:ascii="宋体" w:hAnsi="宋体" w:cs="宋体"/>
                <w:szCs w:val="21"/>
              </w:rPr>
              <w:t>□不要求提供</w:t>
            </w:r>
          </w:p>
          <w:p w14:paraId="72C6020E">
            <w:pPr>
              <w:spacing w:line="360" w:lineRule="auto"/>
              <w:rPr>
                <w:rFonts w:ascii="宋体" w:hAnsi="宋体" w:cs="宋体"/>
                <w:szCs w:val="21"/>
              </w:rPr>
            </w:pPr>
            <w:r>
              <w:rPr>
                <w:rFonts w:hint="eastAsia" w:ascii="宋体" w:hAnsi="宋体" w:cs="宋体"/>
                <w:szCs w:val="21"/>
              </w:rPr>
              <w:t>■要求提供：</w:t>
            </w:r>
          </w:p>
          <w:p w14:paraId="2D76998E">
            <w:pPr>
              <w:spacing w:line="360" w:lineRule="auto"/>
              <w:rPr>
                <w:rFonts w:ascii="宋体" w:hAnsi="宋体" w:cs="宋体"/>
                <w:szCs w:val="21"/>
              </w:rPr>
            </w:pPr>
            <w:r>
              <w:rPr>
                <w:rFonts w:hint="eastAsia" w:ascii="宋体" w:hAnsi="宋体" w:cs="宋体"/>
                <w:szCs w:val="21"/>
              </w:rPr>
              <w:t xml:space="preserve">履约担保的金额：中标金额的10%  </w:t>
            </w:r>
          </w:p>
          <w:p w14:paraId="3D769D35">
            <w:pPr>
              <w:spacing w:line="360" w:lineRule="auto"/>
              <w:rPr>
                <w:rFonts w:ascii="宋体" w:hAnsi="宋体" w:cs="宋体"/>
                <w:szCs w:val="21"/>
              </w:rPr>
            </w:pPr>
            <w:r>
              <w:rPr>
                <w:rFonts w:hint="eastAsia" w:ascii="宋体" w:hAnsi="宋体" w:cs="宋体"/>
                <w:szCs w:val="21"/>
              </w:rPr>
              <w:t>履约担保的形式：现金转账或电汇或银行汇票或银行保函，其他方式不予受理。</w:t>
            </w:r>
          </w:p>
          <w:p w14:paraId="25EE7798">
            <w:pPr>
              <w:spacing w:line="360" w:lineRule="auto"/>
              <w:rPr>
                <w:rFonts w:ascii="宋体" w:hAnsi="宋体" w:cs="宋体"/>
                <w:szCs w:val="21"/>
              </w:rPr>
            </w:pPr>
            <w:r>
              <w:rPr>
                <w:rFonts w:hint="eastAsia" w:ascii="宋体" w:hAnsi="宋体" w:cs="宋体"/>
                <w:szCs w:val="21"/>
              </w:rPr>
              <w:t>履约保证金的退还（或解除担保，下同）：全部供货验收合格后，乙方以书面形式向甲方申请验收，甲方应在收到乙方书面通知后5个工作日内组织验收，经甲方及相关部门验收合格无异议后，由甲方在30个工作日内退还履约保证金。上述申请手续乙方需按甲方的要求向甲方提供完备的相关资料，如申请资料不及时向甲方提供或资料不完备，甲方有权暂停退还履约保证金的工作。上述期间，履约保证金不计息。</w:t>
            </w:r>
          </w:p>
          <w:p w14:paraId="6653F4A3">
            <w:pPr>
              <w:spacing w:line="360" w:lineRule="auto"/>
              <w:rPr>
                <w:rFonts w:ascii="宋体" w:hAnsi="宋体" w:cs="宋体"/>
                <w:szCs w:val="21"/>
              </w:rPr>
            </w:pPr>
            <w:r>
              <w:rPr>
                <w:rFonts w:hint="eastAsia" w:ascii="宋体" w:hAnsi="宋体" w:cs="宋体"/>
                <w:szCs w:val="21"/>
              </w:rPr>
              <w:t>收取履约担保账号</w:t>
            </w:r>
          </w:p>
          <w:p w14:paraId="53F279DC">
            <w:pPr>
              <w:spacing w:line="360" w:lineRule="auto"/>
              <w:rPr>
                <w:rFonts w:ascii="宋体" w:hAnsi="宋体" w:cs="宋体"/>
                <w:szCs w:val="21"/>
              </w:rPr>
            </w:pPr>
            <w:r>
              <w:rPr>
                <w:rFonts w:hint="eastAsia" w:ascii="宋体" w:hAnsi="宋体" w:cs="宋体"/>
                <w:szCs w:val="21"/>
              </w:rPr>
              <w:t>开户银行： 中国建设银行股份有限公司株洲城南支行</w:t>
            </w:r>
          </w:p>
          <w:p w14:paraId="3B3D1A46">
            <w:pPr>
              <w:spacing w:line="360" w:lineRule="auto"/>
              <w:rPr>
                <w:rFonts w:ascii="宋体" w:hAnsi="宋体" w:cs="宋体"/>
                <w:szCs w:val="21"/>
              </w:rPr>
            </w:pPr>
            <w:r>
              <w:rPr>
                <w:rFonts w:hint="eastAsia" w:ascii="宋体" w:hAnsi="宋体" w:cs="宋体"/>
                <w:szCs w:val="21"/>
              </w:rPr>
              <w:t>账户名称： 株洲市财政局</w:t>
            </w:r>
          </w:p>
          <w:p w14:paraId="0E317732">
            <w:pPr>
              <w:spacing w:line="360" w:lineRule="auto"/>
              <w:rPr>
                <w:rFonts w:ascii="宋体" w:hAnsi="宋体" w:cs="宋体"/>
                <w:szCs w:val="21"/>
              </w:rPr>
            </w:pPr>
            <w:r>
              <w:rPr>
                <w:rFonts w:hint="eastAsia" w:ascii="宋体" w:hAnsi="宋体" w:cs="宋体"/>
                <w:szCs w:val="21"/>
              </w:rPr>
              <w:t>账    号： 43050162623600001083-0146</w:t>
            </w:r>
          </w:p>
          <w:p w14:paraId="60A404C9">
            <w:pPr>
              <w:spacing w:line="360" w:lineRule="auto"/>
              <w:rPr>
                <w:rFonts w:ascii="宋体" w:hAnsi="宋体" w:cs="宋体"/>
                <w:szCs w:val="21"/>
              </w:rPr>
            </w:pPr>
            <w:r>
              <w:rPr>
                <w:rFonts w:hint="eastAsia" w:ascii="宋体" w:hAnsi="宋体" w:cs="宋体"/>
                <w:szCs w:val="21"/>
              </w:rPr>
              <w:t>附言示例：市八中XX项目质保金</w:t>
            </w:r>
          </w:p>
        </w:tc>
      </w:tr>
      <w:tr w14:paraId="18AFA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25" w:type="dxa"/>
            <w:gridSpan w:val="3"/>
            <w:tcBorders>
              <w:tl2br w:val="nil"/>
              <w:tr2bl w:val="nil"/>
            </w:tcBorders>
            <w:vAlign w:val="center"/>
          </w:tcPr>
          <w:p w14:paraId="3935FD06">
            <w:r>
              <w:rPr>
                <w:rFonts w:hint="eastAsia" w:ascii="宋体" w:hAnsi="宋体" w:cs="宋体"/>
                <w:b/>
                <w:bCs/>
                <w:szCs w:val="21"/>
              </w:rPr>
              <w:t>八、其他规定</w:t>
            </w:r>
          </w:p>
        </w:tc>
      </w:tr>
      <w:tr w14:paraId="40151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04065752">
            <w:pPr>
              <w:adjustRightInd w:val="0"/>
              <w:snapToGrid w:val="0"/>
              <w:spacing w:line="380" w:lineRule="exact"/>
              <w:jc w:val="center"/>
              <w:rPr>
                <w:rFonts w:ascii="宋体" w:hAnsi="宋体" w:cs="宋体"/>
                <w:szCs w:val="21"/>
              </w:rPr>
            </w:pPr>
            <w:r>
              <w:rPr>
                <w:rFonts w:hint="eastAsia" w:ascii="宋体" w:hAnsi="宋体"/>
                <w:szCs w:val="21"/>
              </w:rPr>
              <w:t>第35.1</w:t>
            </w:r>
            <w:r>
              <w:rPr>
                <w:rFonts w:hint="eastAsia" w:ascii="宋体" w:hAnsi="宋体" w:cs="宋体"/>
                <w:kern w:val="0"/>
                <w:szCs w:val="21"/>
                <w:lang w:val="zh-CN"/>
              </w:rPr>
              <w:t>（</w:t>
            </w:r>
            <w:r>
              <w:rPr>
                <w:rFonts w:hint="eastAsia" w:ascii="宋体" w:hAnsi="宋体" w:cs="宋体"/>
                <w:kern w:val="0"/>
                <w:szCs w:val="21"/>
              </w:rPr>
              <w:t>1</w:t>
            </w:r>
            <w:r>
              <w:rPr>
                <w:rFonts w:hint="eastAsia" w:ascii="宋体" w:hAnsi="宋体" w:cs="宋体"/>
                <w:kern w:val="0"/>
                <w:szCs w:val="21"/>
                <w:lang w:val="zh-CN"/>
              </w:rPr>
              <w:t>）</w:t>
            </w:r>
            <w:r>
              <w:rPr>
                <w:rFonts w:hint="eastAsia" w:ascii="宋体" w:hAnsi="宋体" w:cs="宋体"/>
                <w:kern w:val="0"/>
                <w:szCs w:val="21"/>
              </w:rPr>
              <w:t>项</w:t>
            </w:r>
          </w:p>
        </w:tc>
        <w:tc>
          <w:tcPr>
            <w:tcW w:w="2325" w:type="dxa"/>
            <w:tcBorders>
              <w:tl2br w:val="nil"/>
              <w:tr2bl w:val="nil"/>
            </w:tcBorders>
            <w:vAlign w:val="center"/>
          </w:tcPr>
          <w:p w14:paraId="1E379597">
            <w:pPr>
              <w:adjustRightInd w:val="0"/>
              <w:snapToGrid w:val="0"/>
              <w:spacing w:line="380" w:lineRule="exact"/>
              <w:jc w:val="left"/>
              <w:rPr>
                <w:rFonts w:ascii="宋体" w:hAnsi="宋体" w:cs="宋体"/>
                <w:szCs w:val="21"/>
              </w:rPr>
            </w:pPr>
            <w:r>
              <w:rPr>
                <w:rFonts w:hint="eastAsia" w:ascii="宋体" w:hAnsi="宋体"/>
                <w:szCs w:val="21"/>
              </w:rPr>
              <w:t>合同预付款的支付比例和支付条件</w:t>
            </w:r>
          </w:p>
        </w:tc>
        <w:tc>
          <w:tcPr>
            <w:tcW w:w="5740" w:type="dxa"/>
            <w:tcBorders>
              <w:tl2br w:val="nil"/>
              <w:tr2bl w:val="nil"/>
            </w:tcBorders>
            <w:vAlign w:val="center"/>
          </w:tcPr>
          <w:p w14:paraId="00FC1F97">
            <w:pPr>
              <w:adjustRightInd w:val="0"/>
              <w:snapToGrid w:val="0"/>
              <w:spacing w:line="380" w:lineRule="exact"/>
              <w:rPr>
                <w:rFonts w:ascii="宋体" w:hAnsi="宋体" w:cs="宋体"/>
                <w:szCs w:val="21"/>
              </w:rPr>
            </w:pPr>
            <w:r>
              <w:rPr>
                <w:rFonts w:hint="eastAsia" w:ascii="宋体" w:hAnsi="宋体" w:cs="宋体"/>
                <w:szCs w:val="21"/>
              </w:rPr>
              <w:t>详见“第五章 采购需求 第三节”相关规定。</w:t>
            </w:r>
          </w:p>
        </w:tc>
      </w:tr>
      <w:tr w14:paraId="2ECA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60" w:type="dxa"/>
            <w:tcBorders>
              <w:tl2br w:val="nil"/>
              <w:tr2bl w:val="nil"/>
            </w:tcBorders>
            <w:vAlign w:val="center"/>
          </w:tcPr>
          <w:p w14:paraId="69E04D9D">
            <w:pPr>
              <w:adjustRightInd w:val="0"/>
              <w:snapToGrid w:val="0"/>
              <w:spacing w:line="380" w:lineRule="exact"/>
              <w:jc w:val="center"/>
              <w:rPr>
                <w:rFonts w:ascii="宋体" w:hAnsi="宋体" w:cs="宋体"/>
                <w:szCs w:val="21"/>
              </w:rPr>
            </w:pPr>
            <w:r>
              <w:rPr>
                <w:rFonts w:hint="eastAsia" w:ascii="宋体" w:hAnsi="宋体"/>
                <w:szCs w:val="21"/>
              </w:rPr>
              <w:t>第35.1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kern w:val="0"/>
                <w:szCs w:val="21"/>
              </w:rPr>
              <w:t>项</w:t>
            </w:r>
          </w:p>
        </w:tc>
        <w:tc>
          <w:tcPr>
            <w:tcW w:w="2325" w:type="dxa"/>
            <w:tcBorders>
              <w:tl2br w:val="nil"/>
              <w:tr2bl w:val="nil"/>
            </w:tcBorders>
            <w:vAlign w:val="center"/>
          </w:tcPr>
          <w:p w14:paraId="5AAA819F">
            <w:pPr>
              <w:adjustRightInd w:val="0"/>
              <w:snapToGrid w:val="0"/>
              <w:spacing w:line="380" w:lineRule="exact"/>
              <w:jc w:val="left"/>
              <w:rPr>
                <w:rFonts w:ascii="宋体" w:hAnsi="宋体" w:cs="宋体"/>
                <w:szCs w:val="21"/>
              </w:rPr>
            </w:pPr>
            <w:r>
              <w:rPr>
                <w:rFonts w:hint="eastAsia" w:ascii="宋体" w:hAnsi="宋体"/>
                <w:szCs w:val="21"/>
              </w:rPr>
              <w:t>质量保证金</w:t>
            </w:r>
          </w:p>
        </w:tc>
        <w:tc>
          <w:tcPr>
            <w:tcW w:w="5740" w:type="dxa"/>
            <w:tcBorders>
              <w:tl2br w:val="nil"/>
              <w:tr2bl w:val="nil"/>
            </w:tcBorders>
            <w:vAlign w:val="center"/>
          </w:tcPr>
          <w:p w14:paraId="3A20D027">
            <w:pPr>
              <w:adjustRightInd w:val="0"/>
              <w:snapToGrid w:val="0"/>
              <w:spacing w:line="380" w:lineRule="exact"/>
              <w:rPr>
                <w:rFonts w:ascii="宋体" w:hAnsi="宋体" w:cs="宋体"/>
                <w:szCs w:val="21"/>
              </w:rPr>
            </w:pPr>
            <w:r>
              <w:rPr>
                <w:rFonts w:hint="eastAsia" w:ascii="宋体" w:hAnsi="宋体"/>
                <w:szCs w:val="21"/>
              </w:rPr>
              <w:t>合同金额的</w:t>
            </w:r>
            <w:r>
              <w:rPr>
                <w:rFonts w:hint="eastAsia" w:ascii="宋体" w:hAnsi="宋体"/>
                <w:szCs w:val="21"/>
                <w:u w:val="single"/>
              </w:rPr>
              <w:t xml:space="preserve"> 3 %</w:t>
            </w:r>
            <w:r>
              <w:rPr>
                <w:rFonts w:hint="eastAsia" w:ascii="宋体" w:hAnsi="宋体"/>
                <w:szCs w:val="21"/>
              </w:rPr>
              <w:t>，验收合格一年后退还。</w:t>
            </w:r>
          </w:p>
        </w:tc>
      </w:tr>
      <w:tr w14:paraId="687E9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53790401">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第35.2</w:t>
            </w:r>
            <w:r>
              <w:rPr>
                <w:rFonts w:hint="eastAsia" w:ascii="宋体" w:hAnsi="宋体" w:cs="宋体"/>
                <w:szCs w:val="21"/>
                <w:lang w:val="zh-CN"/>
              </w:rPr>
              <w:t>款</w:t>
            </w:r>
          </w:p>
        </w:tc>
        <w:tc>
          <w:tcPr>
            <w:tcW w:w="2325" w:type="dxa"/>
            <w:tcBorders>
              <w:tl2br w:val="nil"/>
              <w:tr2bl w:val="nil"/>
            </w:tcBorders>
            <w:vAlign w:val="center"/>
          </w:tcPr>
          <w:p w14:paraId="449277FA">
            <w:pPr>
              <w:jc w:val="left"/>
              <w:rPr>
                <w:rFonts w:ascii="宋体" w:hAnsi="宋体" w:cs="宋体"/>
                <w:szCs w:val="21"/>
              </w:rPr>
            </w:pPr>
            <w:r>
              <w:rPr>
                <w:rFonts w:hint="eastAsia" w:ascii="宋体" w:hAnsi="宋体" w:cs="宋体"/>
                <w:szCs w:val="21"/>
              </w:rPr>
              <w:t>招标代理服务费</w:t>
            </w:r>
          </w:p>
        </w:tc>
        <w:tc>
          <w:tcPr>
            <w:tcW w:w="5740" w:type="dxa"/>
            <w:tcBorders>
              <w:tl2br w:val="nil"/>
              <w:tr2bl w:val="nil"/>
            </w:tcBorders>
            <w:vAlign w:val="center"/>
          </w:tcPr>
          <w:p w14:paraId="6F91F123">
            <w:pPr>
              <w:spacing w:line="360" w:lineRule="auto"/>
              <w:rPr>
                <w:rFonts w:ascii="宋体" w:hAnsi="宋体" w:cs="宋体"/>
                <w:szCs w:val="21"/>
              </w:rPr>
            </w:pPr>
            <w:r>
              <w:rPr>
                <w:rFonts w:hint="eastAsia" w:ascii="宋体" w:hAnsi="宋体" w:cs="宋体"/>
                <w:szCs w:val="21"/>
              </w:rPr>
              <w:t>采购代理服务费由采购人支付给代理机构，具体金额按双方签订的协议执行。</w:t>
            </w:r>
          </w:p>
        </w:tc>
      </w:tr>
      <w:tr w14:paraId="51E55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0" w:type="dxa"/>
            <w:tcBorders>
              <w:tl2br w:val="nil"/>
              <w:tr2bl w:val="nil"/>
            </w:tcBorders>
            <w:vAlign w:val="center"/>
          </w:tcPr>
          <w:p w14:paraId="7F6A445F">
            <w:pPr>
              <w:jc w:val="center"/>
              <w:rPr>
                <w:rFonts w:ascii="宋体" w:hAnsi="宋体" w:cs="宋体"/>
                <w:szCs w:val="21"/>
              </w:rPr>
            </w:pPr>
            <w:r>
              <w:rPr>
                <w:rFonts w:hint="eastAsia" w:ascii="宋体" w:hAnsi="宋体" w:cs="宋体"/>
                <w:szCs w:val="21"/>
              </w:rPr>
              <w:t>第35.3</w:t>
            </w:r>
            <w:r>
              <w:rPr>
                <w:rFonts w:hint="eastAsia" w:ascii="宋体" w:hAnsi="宋体" w:cs="宋体"/>
                <w:szCs w:val="21"/>
                <w:lang w:val="zh-CN"/>
              </w:rPr>
              <w:t>款</w:t>
            </w:r>
          </w:p>
        </w:tc>
        <w:tc>
          <w:tcPr>
            <w:tcW w:w="2325" w:type="dxa"/>
            <w:tcBorders>
              <w:tl2br w:val="nil"/>
              <w:tr2bl w:val="nil"/>
            </w:tcBorders>
            <w:vAlign w:val="center"/>
          </w:tcPr>
          <w:p w14:paraId="70A37297">
            <w:pPr>
              <w:jc w:val="left"/>
              <w:rPr>
                <w:rFonts w:ascii="宋体" w:hAnsi="宋体" w:cs="宋体"/>
                <w:szCs w:val="21"/>
              </w:rPr>
            </w:pPr>
            <w:r>
              <w:rPr>
                <w:rFonts w:hint="eastAsia" w:ascii="宋体" w:hAnsi="宋体" w:cs="宋体"/>
                <w:szCs w:val="21"/>
              </w:rPr>
              <w:t>其他规定</w:t>
            </w:r>
          </w:p>
        </w:tc>
        <w:tc>
          <w:tcPr>
            <w:tcW w:w="5740" w:type="dxa"/>
            <w:tcBorders>
              <w:tl2br w:val="nil"/>
              <w:tr2bl w:val="nil"/>
            </w:tcBorders>
            <w:vAlign w:val="center"/>
          </w:tcPr>
          <w:p w14:paraId="51206F41">
            <w:pPr>
              <w:spacing w:line="360" w:lineRule="auto"/>
              <w:rPr>
                <w:rFonts w:ascii="宋体" w:hAnsi="宋体" w:cs="宋体"/>
                <w:szCs w:val="21"/>
              </w:rPr>
            </w:pPr>
            <w:r>
              <w:rPr>
                <w:rFonts w:hint="eastAsia" w:ascii="宋体" w:hAnsi="宋体" w:cs="宋体"/>
                <w:szCs w:val="21"/>
              </w:rPr>
              <w:t>1、对列入失信被执行人、重大税收违法案件当事人名单、政府采购严重违法失信行为记录名单的投标人，应当拒绝其参与政府采购活动。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21EE1389">
            <w:pPr>
              <w:spacing w:line="360" w:lineRule="auto"/>
              <w:rPr>
                <w:rFonts w:ascii="宋体" w:hAnsi="宋体" w:cs="宋体"/>
                <w:szCs w:val="21"/>
              </w:rPr>
            </w:pPr>
            <w:r>
              <w:rPr>
                <w:rFonts w:hint="eastAsia" w:ascii="宋体" w:hAnsi="宋体" w:cs="宋体"/>
                <w:szCs w:val="21"/>
              </w:rPr>
              <w:t>2、信用信息查询的查询渠道：“信用中国”网站（www.creditchina.gov.cn）、中国政府采购网（www.ccgp.gov.cn）。</w:t>
            </w:r>
          </w:p>
          <w:p w14:paraId="2A4E1C92">
            <w:pPr>
              <w:spacing w:line="360" w:lineRule="auto"/>
              <w:rPr>
                <w:rFonts w:ascii="宋体" w:hAnsi="宋体" w:cs="宋体"/>
                <w:szCs w:val="21"/>
              </w:rPr>
            </w:pPr>
            <w:r>
              <w:rPr>
                <w:rFonts w:hint="eastAsia" w:ascii="宋体" w:hAnsi="宋体" w:cs="宋体"/>
                <w:szCs w:val="21"/>
              </w:rPr>
              <w:t>3、信用信息查询的截止时点：至本项目投标截止时间止。</w:t>
            </w:r>
          </w:p>
          <w:p w14:paraId="1183B258">
            <w:pPr>
              <w:spacing w:line="360" w:lineRule="auto"/>
              <w:rPr>
                <w:rFonts w:ascii="宋体" w:hAnsi="宋体" w:cs="宋体"/>
                <w:szCs w:val="21"/>
              </w:rPr>
            </w:pPr>
            <w:r>
              <w:rPr>
                <w:rFonts w:hint="eastAsia" w:ascii="宋体" w:hAnsi="宋体" w:cs="宋体"/>
                <w:szCs w:val="21"/>
              </w:rPr>
              <w:t>4、信用信息查询记录的具体方式：采购人或采购代理机构在开标后在规定的查询渠道进行查询。</w:t>
            </w:r>
          </w:p>
          <w:p w14:paraId="42D02E57">
            <w:pPr>
              <w:spacing w:line="360" w:lineRule="auto"/>
              <w:rPr>
                <w:rFonts w:ascii="宋体" w:hAnsi="宋体" w:cs="宋体"/>
                <w:szCs w:val="21"/>
              </w:rPr>
            </w:pPr>
            <w:r>
              <w:rPr>
                <w:rFonts w:hint="eastAsia" w:ascii="宋体" w:hAnsi="宋体" w:cs="宋体"/>
                <w:szCs w:val="21"/>
              </w:rPr>
              <w:t>5、信用信息查询记录证据留存的具体方式：查询记录的网上打印件。</w:t>
            </w:r>
          </w:p>
        </w:tc>
      </w:tr>
    </w:tbl>
    <w:p w14:paraId="4DA6390A">
      <w:pPr>
        <w:adjustRightInd w:val="0"/>
        <w:snapToGrid w:val="0"/>
        <w:spacing w:line="360" w:lineRule="auto"/>
        <w:rPr>
          <w:rFonts w:ascii="宋体" w:hAnsi="宋体" w:cs="宋体"/>
          <w:b/>
          <w:szCs w:val="21"/>
        </w:rPr>
      </w:pPr>
      <w:r>
        <w:rPr>
          <w:rFonts w:hint="eastAsia" w:ascii="宋体" w:hAnsi="宋体" w:cs="宋体"/>
          <w:b/>
          <w:szCs w:val="21"/>
        </w:rPr>
        <w:br w:type="page"/>
      </w:r>
    </w:p>
    <w:p w14:paraId="494A068F">
      <w:pPr>
        <w:pStyle w:val="3"/>
        <w:adjustRightInd w:val="0"/>
        <w:snapToGrid w:val="0"/>
        <w:spacing w:before="161" w:beforeLines="50"/>
        <w:jc w:val="center"/>
        <w:rPr>
          <w:rFonts w:ascii="宋体" w:hAnsi="宋体" w:cs="宋体"/>
          <w:sz w:val="28"/>
          <w:szCs w:val="28"/>
        </w:rPr>
      </w:pPr>
      <w:bookmarkStart w:id="30" w:name="_Toc2180"/>
      <w:r>
        <w:rPr>
          <w:rFonts w:hint="eastAsia" w:ascii="宋体" w:hAnsi="宋体" w:cs="宋体"/>
          <w:sz w:val="28"/>
          <w:szCs w:val="28"/>
        </w:rPr>
        <w:t>第二节 投标须知</w:t>
      </w:r>
      <w:bookmarkEnd w:id="30"/>
    </w:p>
    <w:p w14:paraId="4B406798">
      <w:pPr>
        <w:pStyle w:val="4"/>
        <w:adjustRightInd w:val="0"/>
        <w:snapToGrid w:val="0"/>
        <w:spacing w:before="161" w:beforeLines="50" w:after="0" w:line="360" w:lineRule="auto"/>
        <w:jc w:val="center"/>
        <w:rPr>
          <w:rFonts w:ascii="宋体" w:hAnsi="宋体" w:cs="宋体"/>
          <w:b w:val="0"/>
          <w:sz w:val="28"/>
          <w:szCs w:val="28"/>
        </w:rPr>
      </w:pPr>
      <w:bookmarkStart w:id="31" w:name="_Toc7332"/>
      <w:r>
        <w:rPr>
          <w:rFonts w:hint="eastAsia" w:ascii="宋体" w:hAnsi="宋体" w:cs="宋体"/>
          <w:sz w:val="28"/>
          <w:szCs w:val="28"/>
        </w:rPr>
        <w:t>一、总则</w:t>
      </w:r>
      <w:bookmarkEnd w:id="31"/>
    </w:p>
    <w:p w14:paraId="39D8E0C0">
      <w:pPr>
        <w:adjustRightInd w:val="0"/>
        <w:snapToGrid w:val="0"/>
        <w:spacing w:before="161" w:beforeLines="50" w:line="360" w:lineRule="auto"/>
        <w:jc w:val="left"/>
        <w:rPr>
          <w:rFonts w:ascii="宋体" w:hAnsi="宋体" w:cs="宋体"/>
        </w:rPr>
      </w:pPr>
      <w:r>
        <w:rPr>
          <w:rFonts w:hint="eastAsia" w:ascii="宋体" w:hAnsi="宋体" w:cs="宋体"/>
          <w:b/>
          <w:bCs/>
        </w:rPr>
        <w:t>1、适用范围</w:t>
      </w:r>
    </w:p>
    <w:p w14:paraId="3775EF7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1.1本招标文件仅适用于本章第一节“投标须知前附表”（以下简称</w:t>
      </w:r>
      <w:r>
        <w:rPr>
          <w:rFonts w:hint="eastAsia" w:ascii="宋体" w:hAnsi="宋体" w:cs="宋体"/>
          <w:b/>
          <w:bCs/>
        </w:rPr>
        <w:t>【投标须知前附表】</w:t>
      </w:r>
      <w:r>
        <w:rPr>
          <w:rFonts w:hint="eastAsia" w:ascii="宋体" w:hAnsi="宋体" w:cs="宋体"/>
        </w:rPr>
        <w:t>）中所叙述的采购项目。</w:t>
      </w:r>
    </w:p>
    <w:p w14:paraId="017D96CE">
      <w:pPr>
        <w:adjustRightInd w:val="0"/>
        <w:snapToGrid w:val="0"/>
        <w:spacing w:before="161" w:beforeLines="50" w:line="360" w:lineRule="auto"/>
        <w:ind w:firstLine="420" w:firstLineChars="200"/>
        <w:jc w:val="left"/>
        <w:rPr>
          <w:rFonts w:ascii="宋体" w:hAnsi="宋体" w:cs="宋体"/>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规定采购项目或者采购包属于“预留采购份额”的，投标人应当符合本章第33.7款规定，否则，其</w:t>
      </w:r>
      <w:r>
        <w:rPr>
          <w:rFonts w:hint="eastAsia" w:ascii="宋体" w:hAnsi="宋体"/>
          <w:b/>
          <w:szCs w:val="21"/>
        </w:rPr>
        <w:t>投标无效</w:t>
      </w:r>
      <w:r>
        <w:rPr>
          <w:rFonts w:hint="eastAsia" w:ascii="宋体" w:hAnsi="宋体"/>
          <w:szCs w:val="21"/>
        </w:rPr>
        <w:t>。</w:t>
      </w:r>
    </w:p>
    <w:p w14:paraId="5BFDB9C1">
      <w:pPr>
        <w:adjustRightInd w:val="0"/>
        <w:snapToGrid w:val="0"/>
        <w:spacing w:before="161" w:beforeLines="50" w:line="360" w:lineRule="auto"/>
        <w:jc w:val="left"/>
        <w:rPr>
          <w:rFonts w:ascii="宋体" w:hAnsi="宋体" w:cs="宋体"/>
        </w:rPr>
      </w:pPr>
      <w:r>
        <w:rPr>
          <w:rFonts w:hint="eastAsia" w:ascii="宋体" w:hAnsi="宋体" w:cs="宋体"/>
          <w:b/>
          <w:bCs/>
        </w:rPr>
        <w:t>2、定义</w:t>
      </w:r>
    </w:p>
    <w:p w14:paraId="023D989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2.1采购项目联系人姓名和电话见</w:t>
      </w:r>
      <w:r>
        <w:rPr>
          <w:rFonts w:hint="eastAsia" w:ascii="宋体" w:hAnsi="宋体" w:cs="宋体"/>
          <w:b/>
          <w:bCs/>
        </w:rPr>
        <w:t>【投标须知前附表】</w:t>
      </w:r>
      <w:r>
        <w:rPr>
          <w:rFonts w:hint="eastAsia" w:ascii="宋体" w:hAnsi="宋体" w:cs="宋体"/>
        </w:rPr>
        <w:t>。</w:t>
      </w:r>
    </w:p>
    <w:p w14:paraId="5CA857C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2.2采购人名称、地址、电话、联系人见</w:t>
      </w:r>
      <w:r>
        <w:rPr>
          <w:rFonts w:hint="eastAsia" w:ascii="宋体" w:hAnsi="宋体" w:cs="宋体"/>
          <w:b/>
          <w:bCs/>
        </w:rPr>
        <w:t>【投标须知前附表】</w:t>
      </w:r>
      <w:r>
        <w:rPr>
          <w:rFonts w:hint="eastAsia" w:ascii="宋体" w:hAnsi="宋体" w:cs="宋体"/>
        </w:rPr>
        <w:t>。</w:t>
      </w:r>
    </w:p>
    <w:p w14:paraId="62E45F2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2.3采购代理机构名称、地址、电话、联系人见</w:t>
      </w:r>
      <w:r>
        <w:rPr>
          <w:rFonts w:hint="eastAsia" w:ascii="宋体" w:hAnsi="宋体" w:cs="宋体"/>
          <w:b/>
          <w:bCs/>
        </w:rPr>
        <w:t>【投标须知前附表】</w:t>
      </w:r>
      <w:r>
        <w:rPr>
          <w:rFonts w:hint="eastAsia" w:ascii="宋体" w:hAnsi="宋体" w:cs="宋体"/>
        </w:rPr>
        <w:t>。</w:t>
      </w:r>
    </w:p>
    <w:p w14:paraId="0A58615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2.4投标人系指响应招标、参加投标竞争的法人、其他组织或自然人。</w:t>
      </w:r>
    </w:p>
    <w:p w14:paraId="0EB467F3">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2.5进口产品是指符合《政府采购进口产品管理办法》（财库〔2007〕119 号）和《关于政府采购进口产品管理有关问题的通知》（财办库〔2008〕248 号）文件规定的产品。除</w:t>
      </w:r>
      <w:r>
        <w:rPr>
          <w:rFonts w:hint="eastAsia" w:ascii="宋体" w:hAnsi="宋体" w:cs="宋体"/>
          <w:b/>
          <w:bCs/>
        </w:rPr>
        <w:t>【投标须知前附表】</w:t>
      </w:r>
      <w:r>
        <w:rPr>
          <w:rFonts w:hint="eastAsia" w:ascii="宋体" w:hAnsi="宋体" w:cs="宋体"/>
        </w:rPr>
        <w:t>另有规定外，采购项目</w:t>
      </w:r>
      <w:r>
        <w:rPr>
          <w:rFonts w:hint="eastAsia" w:ascii="宋体" w:hAnsi="宋体" w:cs="宋体"/>
          <w:b/>
          <w:bCs/>
        </w:rPr>
        <w:t>拒绝进口产品参加投标</w:t>
      </w:r>
      <w:r>
        <w:rPr>
          <w:rFonts w:hint="eastAsia" w:ascii="宋体" w:hAnsi="宋体" w:cs="宋体"/>
        </w:rPr>
        <w:t>。本款规定同意购买进口产品的，不限制满足招标文件要求的国内产品参与投标竞争。</w:t>
      </w:r>
    </w:p>
    <w:p w14:paraId="447707B3">
      <w:pPr>
        <w:adjustRightInd w:val="0"/>
        <w:snapToGrid w:val="0"/>
        <w:spacing w:before="161" w:beforeLines="50" w:line="360" w:lineRule="auto"/>
        <w:jc w:val="left"/>
        <w:rPr>
          <w:rFonts w:ascii="宋体" w:hAnsi="宋体" w:cs="宋体"/>
        </w:rPr>
      </w:pPr>
      <w:r>
        <w:rPr>
          <w:rFonts w:hint="eastAsia" w:ascii="宋体" w:hAnsi="宋体" w:cs="宋体"/>
          <w:b/>
          <w:bCs/>
        </w:rPr>
        <w:t>3、投标人的资格要求</w:t>
      </w:r>
    </w:p>
    <w:p w14:paraId="6241655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3.1投标人应当符合</w:t>
      </w:r>
      <w:r>
        <w:rPr>
          <w:rFonts w:hint="eastAsia" w:ascii="宋体" w:hAnsi="宋体" w:cs="宋体"/>
          <w:b/>
          <w:bCs/>
        </w:rPr>
        <w:t>【投标须知前附表】</w:t>
      </w:r>
      <w:r>
        <w:rPr>
          <w:rFonts w:hint="eastAsia" w:ascii="宋体" w:hAnsi="宋体" w:cs="宋体"/>
        </w:rPr>
        <w:t>规定的投标人资格条件。</w:t>
      </w:r>
    </w:p>
    <w:p w14:paraId="3B06271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3.2</w:t>
      </w:r>
      <w:r>
        <w:rPr>
          <w:rFonts w:hint="eastAsia" w:ascii="宋体" w:hAnsi="宋体" w:cs="宋体"/>
          <w:b/>
          <w:bCs/>
        </w:rPr>
        <w:t>【投标须知前附表】</w:t>
      </w:r>
      <w:r>
        <w:rPr>
          <w:rFonts w:hint="eastAsia" w:ascii="宋体" w:hAnsi="宋体" w:cs="宋体"/>
        </w:rPr>
        <w:t>规定接受联合体形式投标的，投标人除应符合本章第 3.1 款规定外，还应遵守以下规定：</w:t>
      </w:r>
    </w:p>
    <w:p w14:paraId="2DB688EC">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（1）联合体中有同类资质的投标人按照联合体分工承担相同工作的，应当按照资质等级较低的投标人确定资质等级。</w:t>
      </w:r>
    </w:p>
    <w:p w14:paraId="69172911">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（2）联合体各方应按招标文件提供的格式签订联合体协议书，明确联合体牵头人和各方的权利义务、合同工作量比例。</w:t>
      </w:r>
    </w:p>
    <w:p w14:paraId="0508548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（3）联合体各方签订联合体协议书后，不得再单独参加或者与其他投标人组成新的联合体参加同一合同项下的采购活动。</w:t>
      </w:r>
    </w:p>
    <w:p w14:paraId="752DA770">
      <w:pPr>
        <w:adjustRightInd w:val="0"/>
        <w:snapToGrid w:val="0"/>
        <w:spacing w:before="161" w:beforeLines="50" w:line="360" w:lineRule="auto"/>
        <w:jc w:val="left"/>
        <w:rPr>
          <w:rFonts w:ascii="宋体" w:hAnsi="宋体" w:cs="宋体"/>
          <w:b/>
          <w:bCs/>
        </w:rPr>
      </w:pPr>
      <w:r>
        <w:rPr>
          <w:rFonts w:hint="eastAsia" w:ascii="宋体" w:hAnsi="宋体" w:cs="宋体"/>
          <w:b/>
          <w:bCs/>
        </w:rPr>
        <w:t>4、投标费用</w:t>
      </w:r>
    </w:p>
    <w:p w14:paraId="58F2917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4.1投标人应自行承担所有参与投标的相关费用，不论投标的结果如何，采购人、采购代理机构均无义务和责任承担这些费用。</w:t>
      </w:r>
    </w:p>
    <w:p w14:paraId="72469D31">
      <w:pPr>
        <w:adjustRightInd w:val="0"/>
        <w:snapToGrid w:val="0"/>
        <w:spacing w:before="161" w:beforeLines="50" w:line="360" w:lineRule="auto"/>
        <w:jc w:val="left"/>
        <w:rPr>
          <w:rFonts w:ascii="宋体" w:hAnsi="宋体" w:cs="宋体"/>
          <w:b/>
          <w:bCs/>
        </w:rPr>
      </w:pPr>
      <w:r>
        <w:rPr>
          <w:rFonts w:hint="eastAsia" w:ascii="宋体" w:hAnsi="宋体" w:cs="宋体"/>
          <w:b/>
          <w:bCs/>
        </w:rPr>
        <w:t>5、组织现场考察或者召开答疑会</w:t>
      </w:r>
    </w:p>
    <w:p w14:paraId="163BE7DB">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5.1采购人、采购代理机构可以在</w:t>
      </w:r>
      <w:r>
        <w:rPr>
          <w:rFonts w:hint="eastAsia" w:ascii="宋体" w:hAnsi="宋体" w:cs="宋体"/>
          <w:b/>
          <w:bCs/>
        </w:rPr>
        <w:t>【投标须知前附表】</w:t>
      </w:r>
      <w:r>
        <w:rPr>
          <w:rFonts w:hint="eastAsia" w:ascii="宋体" w:hAnsi="宋体" w:cs="宋体"/>
        </w:rPr>
        <w:t>规定的招标文件提供期限截止后，组织已获取招标文件的潜在投标人现场考察或者召开开标前答疑会。</w:t>
      </w:r>
    </w:p>
    <w:p w14:paraId="70F39AF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5.2获取招标文件的潜在投标人应按</w:t>
      </w:r>
      <w:r>
        <w:rPr>
          <w:rFonts w:hint="eastAsia" w:ascii="宋体" w:hAnsi="宋体" w:cs="宋体"/>
          <w:b/>
          <w:bCs/>
        </w:rPr>
        <w:t>【投标须知前附表】</w:t>
      </w:r>
      <w:r>
        <w:rPr>
          <w:rFonts w:hint="eastAsia" w:ascii="宋体" w:hAnsi="宋体" w:cs="宋体"/>
        </w:rPr>
        <w:t>规定参加现场考察或者答疑会；如不参加，其风险由其自行承担。</w:t>
      </w:r>
    </w:p>
    <w:p w14:paraId="63CD804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5.3潜在投标人现场考察或者参加答疑会的费用由自己承担，现场考察期间所发生的人身伤害及财产损失由自己负责。</w:t>
      </w:r>
    </w:p>
    <w:p w14:paraId="1E238CA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5.4采购人、采购代理机构不对投标人据此而做出的推论、理解和结论负责。投标人一旦中标，不得以任何借口，提出额外补偿，或延长合同期限的要求。</w:t>
      </w:r>
    </w:p>
    <w:p w14:paraId="4DF690C1">
      <w:pPr>
        <w:pStyle w:val="4"/>
        <w:adjustRightInd w:val="0"/>
        <w:snapToGrid w:val="0"/>
        <w:spacing w:before="161" w:beforeLines="50" w:after="0" w:line="360" w:lineRule="auto"/>
        <w:jc w:val="center"/>
        <w:rPr>
          <w:rFonts w:ascii="宋体" w:hAnsi="宋体" w:cs="宋体"/>
          <w:sz w:val="28"/>
          <w:szCs w:val="28"/>
        </w:rPr>
      </w:pPr>
      <w:bookmarkStart w:id="32" w:name="_Toc23498"/>
      <w:r>
        <w:rPr>
          <w:rFonts w:hint="eastAsia" w:ascii="宋体" w:hAnsi="宋体" w:cs="宋体"/>
          <w:sz w:val="28"/>
          <w:szCs w:val="28"/>
        </w:rPr>
        <w:t>二、招标文件</w:t>
      </w:r>
      <w:bookmarkEnd w:id="32"/>
    </w:p>
    <w:p w14:paraId="733A68C4">
      <w:pPr>
        <w:adjustRightInd w:val="0"/>
        <w:snapToGrid w:val="0"/>
        <w:spacing w:before="161" w:beforeLines="50" w:line="360" w:lineRule="auto"/>
        <w:jc w:val="left"/>
        <w:rPr>
          <w:rFonts w:ascii="宋体" w:hAnsi="宋体" w:cs="宋体"/>
        </w:rPr>
      </w:pPr>
      <w:r>
        <w:rPr>
          <w:rFonts w:hint="eastAsia" w:ascii="宋体" w:hAnsi="宋体" w:cs="宋体"/>
          <w:b/>
          <w:bCs/>
        </w:rPr>
        <w:t>6、招标文件的构成</w:t>
      </w:r>
    </w:p>
    <w:p w14:paraId="45386E40">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6.1招标文件共七章，各章内容如下：</w:t>
      </w:r>
    </w:p>
    <w:p w14:paraId="7B1E6D1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第一章 投标邀请</w:t>
      </w:r>
    </w:p>
    <w:p w14:paraId="413975F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第二章 投标须知</w:t>
      </w:r>
    </w:p>
    <w:p w14:paraId="55E9DC4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第三章 资格审查</w:t>
      </w:r>
    </w:p>
    <w:p w14:paraId="0652DEF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第四章 评标方法及标准</w:t>
      </w:r>
    </w:p>
    <w:p w14:paraId="4AE266E0">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第五章 采购需求</w:t>
      </w:r>
    </w:p>
    <w:p w14:paraId="1E6BBCC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第六章 政府采购合同</w:t>
      </w:r>
    </w:p>
    <w:p w14:paraId="434AD86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第七章 投标文件的组成</w:t>
      </w:r>
    </w:p>
    <w:p w14:paraId="4D921E2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6.2采购人、采购代理机构在提交投标文件截止时间前对招标文件所作的澄清或者修改，构成招标文件的组成部分。</w:t>
      </w:r>
    </w:p>
    <w:p w14:paraId="2D06C792">
      <w:pPr>
        <w:adjustRightInd w:val="0"/>
        <w:snapToGrid w:val="0"/>
        <w:spacing w:before="161" w:beforeLines="50" w:line="360" w:lineRule="auto"/>
        <w:jc w:val="left"/>
        <w:rPr>
          <w:rFonts w:ascii="宋体" w:hAnsi="宋体" w:cs="宋体"/>
        </w:rPr>
      </w:pPr>
      <w:r>
        <w:rPr>
          <w:rFonts w:hint="eastAsia" w:ascii="宋体" w:hAnsi="宋体" w:cs="宋体"/>
          <w:b/>
          <w:bCs/>
        </w:rPr>
        <w:t>7、偏离与实质性响应</w:t>
      </w:r>
    </w:p>
    <w:p w14:paraId="7788CA5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7.1投标人应当按照招标文件的要求编制投标文件。投标文件应当对招标文件提出的要求和条件作出明确响应。</w:t>
      </w:r>
    </w:p>
    <w:p w14:paraId="6BB64F9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7.2偏离是指投标文件不响应或者不满足招标文件提出的要求和条件，分为实质性偏离和非实质性偏离。</w:t>
      </w:r>
    </w:p>
    <w:p w14:paraId="724B732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7.3除法律、法规和招标文件规定的其他投标无效情形外，招标文件中用“★”符号标明的条款为实质性要求和条件，对其中任何一条的偏离，为实质性偏离，其投标无效。</w:t>
      </w:r>
    </w:p>
    <w:p w14:paraId="270E5501">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7.4投标文件偏离招标文件的非实质性要求和条件，为非实质性偏离。非实质性偏离的范围和幅度应当符合</w:t>
      </w:r>
      <w:r>
        <w:rPr>
          <w:rFonts w:hint="eastAsia" w:ascii="宋体" w:hAnsi="宋体" w:cs="宋体"/>
          <w:b/>
          <w:bCs/>
        </w:rPr>
        <w:t>【投标须知前附表】</w:t>
      </w:r>
      <w:r>
        <w:rPr>
          <w:rFonts w:hint="eastAsia" w:ascii="宋体" w:hAnsi="宋体" w:cs="宋体"/>
        </w:rPr>
        <w:t>的规定，否则投标无效。</w:t>
      </w:r>
    </w:p>
    <w:p w14:paraId="2A42C341">
      <w:pPr>
        <w:adjustRightInd w:val="0"/>
        <w:snapToGrid w:val="0"/>
        <w:spacing w:before="161" w:beforeLines="50" w:line="360" w:lineRule="auto"/>
        <w:jc w:val="left"/>
        <w:rPr>
          <w:rFonts w:ascii="宋体" w:hAnsi="宋体" w:cs="宋体"/>
        </w:rPr>
      </w:pPr>
      <w:r>
        <w:rPr>
          <w:rFonts w:hint="eastAsia" w:ascii="宋体" w:hAnsi="宋体" w:cs="宋体"/>
          <w:b/>
          <w:bCs/>
        </w:rPr>
        <w:t>8、询问</w:t>
      </w:r>
    </w:p>
    <w:p w14:paraId="6F3FADF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8.1潜在投标人应仔细阅读和检查招标文件的全部内容。如有疑问，可以向采购人或者采购代理机构提出询问。</w:t>
      </w:r>
    </w:p>
    <w:p w14:paraId="24292285">
      <w:pPr>
        <w:adjustRightInd w:val="0"/>
        <w:snapToGrid w:val="0"/>
        <w:spacing w:before="161" w:beforeLines="50" w:line="360" w:lineRule="auto"/>
        <w:jc w:val="left"/>
        <w:rPr>
          <w:rFonts w:ascii="宋体" w:hAnsi="宋体" w:cs="宋体"/>
        </w:rPr>
      </w:pPr>
      <w:r>
        <w:rPr>
          <w:rFonts w:hint="eastAsia" w:ascii="宋体" w:hAnsi="宋体" w:cs="宋体"/>
          <w:b/>
          <w:bCs/>
        </w:rPr>
        <w:t>9、招标文件的澄清或者修改</w:t>
      </w:r>
    </w:p>
    <w:p w14:paraId="06E1D58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9.1采购人、采购代理机构对已发出的招标文件进行必要澄清或者修改的，将在</w:t>
      </w:r>
      <w:r>
        <w:rPr>
          <w:rFonts w:hint="eastAsia" w:ascii="宋体" w:hAnsi="宋体" w:cs="宋体"/>
          <w:b/>
          <w:bCs/>
        </w:rPr>
        <w:t>【投标须知前附表】</w:t>
      </w:r>
      <w:r>
        <w:rPr>
          <w:rFonts w:hint="eastAsia" w:ascii="宋体" w:hAnsi="宋体" w:cs="宋体"/>
        </w:rPr>
        <w:t>规定的招标公告指定媒体上发布澄清或者修改公告。</w:t>
      </w:r>
    </w:p>
    <w:p w14:paraId="004A21F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9.2澄清或者修改的内容可能影响投标文件编制的，采购人、采购代理机构将在提交投标文件截止时间 15 日前，以书面形式通知所有获取招标文件的潜在投标人；不足15日的，将相应延长提交投标文件的截止时间。</w:t>
      </w:r>
    </w:p>
    <w:p w14:paraId="7A54788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9.3招标文件的提供期限届满后，获取招标文件的潜在投标人不足3家的，可以顺延提供期限，并在指定媒体上发布修改公告。</w:t>
      </w:r>
    </w:p>
    <w:p w14:paraId="3725C0F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9.4通过电子招标投标交易平台下载招标文件的，请获取招标文件的潜在投标人及时关注招标公告指定媒体发布的澄清或者修改公告，采购人、采购代理机构不再书面通知。</w:t>
      </w:r>
    </w:p>
    <w:p w14:paraId="070B14D4">
      <w:pPr>
        <w:pStyle w:val="4"/>
        <w:adjustRightInd w:val="0"/>
        <w:snapToGrid w:val="0"/>
        <w:spacing w:before="161" w:beforeLines="50" w:after="0" w:line="360" w:lineRule="auto"/>
        <w:jc w:val="center"/>
        <w:rPr>
          <w:rFonts w:ascii="宋体" w:hAnsi="宋体" w:cs="宋体"/>
          <w:sz w:val="28"/>
          <w:szCs w:val="28"/>
        </w:rPr>
      </w:pPr>
      <w:bookmarkStart w:id="33" w:name="_Toc16636"/>
      <w:r>
        <w:rPr>
          <w:rFonts w:hint="eastAsia" w:ascii="宋体" w:hAnsi="宋体" w:cs="宋体"/>
          <w:sz w:val="28"/>
          <w:szCs w:val="28"/>
        </w:rPr>
        <w:t>三、投标文件</w:t>
      </w:r>
      <w:bookmarkEnd w:id="33"/>
    </w:p>
    <w:p w14:paraId="7FA30808">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10、投标语言</w:t>
      </w:r>
    </w:p>
    <w:p w14:paraId="1680D74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10.1除专用术语外，投标人提交的投标文件及投标人与采购人、采购代理机构就有关投标的所有来往函电均使用中文。投标人可以提交其它语言的资料，但应附有中文注释，有差异时以中文为准。</w:t>
      </w:r>
    </w:p>
    <w:p w14:paraId="2F277CA1">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11、计量单位</w:t>
      </w:r>
    </w:p>
    <w:p w14:paraId="7451708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11.1所有计量均采用中华人民共和国法定计量单位。</w:t>
      </w:r>
    </w:p>
    <w:p w14:paraId="04455B49">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12、投标文件的组成</w:t>
      </w:r>
    </w:p>
    <w:p w14:paraId="022B664C">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 xml:space="preserve">12.1投标文件由如下内容组成： </w:t>
      </w:r>
    </w:p>
    <w:p w14:paraId="5118BF84">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第一部分 资格证明文件</w:t>
      </w:r>
    </w:p>
    <w:p w14:paraId="7D85B1D4">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资格证明文件封面</w:t>
      </w:r>
    </w:p>
    <w:p w14:paraId="70E6837C">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一、资格证明材料</w:t>
      </w:r>
    </w:p>
    <w:p w14:paraId="39A34597">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（一）开标一览表</w:t>
      </w:r>
    </w:p>
    <w:p w14:paraId="73187A51">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（二）投标保证金</w:t>
      </w:r>
    </w:p>
    <w:p w14:paraId="7B560E24">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（三）法定代表人（单位负责人）身份证明或授权委托书</w:t>
      </w:r>
    </w:p>
    <w:p w14:paraId="5A8A8022">
      <w:pPr>
        <w:adjustRightInd w:val="0"/>
        <w:snapToGrid w:val="0"/>
        <w:spacing w:before="161" w:beforeLines="50"/>
        <w:ind w:firstLine="630" w:firstLineChars="300"/>
        <w:rPr>
          <w:rFonts w:hint="eastAsia" w:ascii="宋体" w:hAnsi="宋体" w:cs="宋体"/>
          <w:szCs w:val="21"/>
        </w:rPr>
      </w:pPr>
      <w:r>
        <w:rPr>
          <w:rFonts w:hint="eastAsia" w:ascii="宋体" w:hAnsi="宋体" w:cs="宋体"/>
          <w:szCs w:val="21"/>
        </w:rPr>
        <w:t>（四）投标人具备投标资格的证明文件</w:t>
      </w:r>
    </w:p>
    <w:p w14:paraId="7AA4BAD0">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第二部分 商务文件</w:t>
      </w:r>
    </w:p>
    <w:p w14:paraId="502C1D54">
      <w:pPr>
        <w:adjustRightInd w:val="0"/>
        <w:snapToGrid w:val="0"/>
        <w:spacing w:before="161" w:beforeLines="50"/>
        <w:ind w:firstLine="630" w:firstLineChars="300"/>
        <w:rPr>
          <w:rFonts w:ascii="宋体" w:hAnsi="宋体" w:cs="宋体"/>
          <w:szCs w:val="21"/>
        </w:rPr>
      </w:pPr>
      <w:r>
        <w:rPr>
          <w:rFonts w:hint="eastAsia" w:ascii="宋体" w:hAnsi="宋体" w:cs="宋体"/>
          <w:szCs w:val="21"/>
        </w:rPr>
        <w:t>商务文件封面</w:t>
      </w:r>
    </w:p>
    <w:p w14:paraId="07400468">
      <w:pPr>
        <w:adjustRightInd w:val="0"/>
        <w:snapToGrid w:val="0"/>
        <w:spacing w:before="161" w:beforeLines="50"/>
        <w:ind w:firstLine="630" w:firstLineChars="300"/>
        <w:rPr>
          <w:rFonts w:ascii="宋体" w:hAnsi="宋体" w:cs="宋体"/>
          <w:szCs w:val="21"/>
        </w:rPr>
      </w:pPr>
      <w:r>
        <w:rPr>
          <w:rFonts w:hint="eastAsia" w:ascii="宋体" w:hAnsi="宋体" w:cs="宋体"/>
          <w:szCs w:val="21"/>
        </w:rPr>
        <w:t>二、投标函</w:t>
      </w:r>
    </w:p>
    <w:p w14:paraId="3CFD95D5">
      <w:pPr>
        <w:adjustRightInd w:val="0"/>
        <w:snapToGrid w:val="0"/>
        <w:spacing w:before="161" w:beforeLines="50"/>
        <w:ind w:firstLine="630" w:firstLineChars="300"/>
        <w:rPr>
          <w:rFonts w:ascii="宋体" w:hAnsi="宋体" w:cs="宋体"/>
          <w:szCs w:val="21"/>
        </w:rPr>
      </w:pPr>
      <w:r>
        <w:rPr>
          <w:rFonts w:hint="eastAsia" w:ascii="宋体" w:hAnsi="宋体" w:cs="宋体"/>
          <w:szCs w:val="21"/>
        </w:rPr>
        <w:t>三、分项价格表</w:t>
      </w:r>
    </w:p>
    <w:p w14:paraId="3433C8D9">
      <w:pPr>
        <w:adjustRightInd w:val="0"/>
        <w:snapToGrid w:val="0"/>
        <w:spacing w:before="161" w:beforeLines="50"/>
        <w:ind w:firstLine="630" w:firstLineChars="300"/>
        <w:rPr>
          <w:rFonts w:ascii="宋体" w:hAnsi="宋体" w:cs="宋体"/>
          <w:szCs w:val="21"/>
        </w:rPr>
      </w:pPr>
      <w:r>
        <w:rPr>
          <w:rFonts w:hint="eastAsia" w:ascii="宋体" w:hAnsi="宋体" w:cs="宋体"/>
          <w:szCs w:val="21"/>
        </w:rPr>
        <w:t>四、提供政府采购政策产品等证明材料</w:t>
      </w:r>
    </w:p>
    <w:p w14:paraId="6CA182FD">
      <w:pPr>
        <w:adjustRightInd w:val="0"/>
        <w:snapToGrid w:val="0"/>
        <w:spacing w:before="161" w:beforeLines="50"/>
        <w:ind w:firstLine="630" w:firstLineChars="300"/>
        <w:rPr>
          <w:rFonts w:ascii="宋体" w:hAnsi="宋体" w:cs="宋体"/>
          <w:szCs w:val="21"/>
        </w:rPr>
      </w:pPr>
      <w:r>
        <w:rPr>
          <w:rFonts w:hint="eastAsia" w:ascii="宋体" w:hAnsi="宋体" w:cs="宋体"/>
          <w:szCs w:val="21"/>
        </w:rPr>
        <w:t>五、类似业绩</w:t>
      </w:r>
    </w:p>
    <w:p w14:paraId="2B05E077">
      <w:pPr>
        <w:adjustRightInd w:val="0"/>
        <w:snapToGrid w:val="0"/>
        <w:spacing w:before="161" w:beforeLines="50"/>
        <w:ind w:firstLine="630" w:firstLineChars="300"/>
        <w:rPr>
          <w:rFonts w:hint="eastAsia" w:ascii="宋体" w:hAnsi="宋体" w:cs="宋体"/>
          <w:szCs w:val="21"/>
          <w:lang w:eastAsia="zh-CN"/>
        </w:rPr>
      </w:pPr>
      <w:r>
        <w:rPr>
          <w:rFonts w:hint="eastAsia" w:ascii="宋体" w:hAnsi="宋体" w:cs="宋体"/>
          <w:szCs w:val="21"/>
          <w:lang w:eastAsia="zh-CN"/>
        </w:rPr>
        <w:t>六、技术服务能力</w:t>
      </w:r>
    </w:p>
    <w:p w14:paraId="7AE42D07">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七</w:t>
      </w:r>
      <w:r>
        <w:rPr>
          <w:rFonts w:hint="eastAsia" w:ascii="宋体" w:hAnsi="宋体" w:cs="宋体"/>
          <w:szCs w:val="21"/>
        </w:rPr>
        <w:t>、培训方案</w:t>
      </w:r>
    </w:p>
    <w:p w14:paraId="499FB8DE">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八</w:t>
      </w:r>
      <w:r>
        <w:rPr>
          <w:rFonts w:hint="eastAsia" w:ascii="宋体" w:hAnsi="宋体" w:cs="宋体"/>
          <w:szCs w:val="21"/>
        </w:rPr>
        <w:t>、售后服务</w:t>
      </w:r>
    </w:p>
    <w:p w14:paraId="3CD0311B">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九</w:t>
      </w:r>
      <w:r>
        <w:rPr>
          <w:rFonts w:hint="eastAsia" w:ascii="宋体" w:hAnsi="宋体" w:cs="宋体"/>
          <w:szCs w:val="21"/>
        </w:rPr>
        <w:t>、投标人认为需要提供的其他资料</w:t>
      </w:r>
    </w:p>
    <w:p w14:paraId="3FEDF00C">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第三部分 技术文件</w:t>
      </w:r>
    </w:p>
    <w:p w14:paraId="37817BFA">
      <w:pPr>
        <w:adjustRightInd w:val="0"/>
        <w:snapToGrid w:val="0"/>
        <w:spacing w:before="161" w:beforeLines="50"/>
        <w:ind w:firstLine="630" w:firstLineChars="300"/>
        <w:rPr>
          <w:rFonts w:ascii="宋体" w:hAnsi="宋体" w:cs="宋体"/>
          <w:szCs w:val="21"/>
        </w:rPr>
      </w:pPr>
      <w:r>
        <w:rPr>
          <w:rFonts w:hint="eastAsia" w:ascii="宋体" w:hAnsi="宋体" w:cs="宋体"/>
          <w:szCs w:val="21"/>
        </w:rPr>
        <w:t>技术文件封面</w:t>
      </w:r>
    </w:p>
    <w:p w14:paraId="5DBE0804">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十</w:t>
      </w:r>
      <w:r>
        <w:rPr>
          <w:rFonts w:hint="eastAsia" w:ascii="宋体" w:hAnsi="宋体" w:cs="宋体"/>
          <w:szCs w:val="21"/>
        </w:rPr>
        <w:t>、采购需求响应</w:t>
      </w:r>
    </w:p>
    <w:p w14:paraId="2001C1B7">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w:t>
      </w:r>
      <w:r>
        <w:rPr>
          <w:rFonts w:hint="eastAsia" w:ascii="宋体" w:hAnsi="宋体" w:cs="宋体"/>
          <w:szCs w:val="21"/>
          <w:lang w:eastAsia="zh-CN"/>
        </w:rPr>
        <w:t>一</w:t>
      </w:r>
      <w:r>
        <w:rPr>
          <w:rFonts w:hint="eastAsia" w:ascii="宋体" w:hAnsi="宋体" w:cs="宋体"/>
          <w:szCs w:val="21"/>
        </w:rPr>
        <w:t>、响应偏离表</w:t>
      </w:r>
    </w:p>
    <w:p w14:paraId="02D3F77A">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w:t>
      </w:r>
      <w:r>
        <w:rPr>
          <w:rFonts w:hint="eastAsia" w:ascii="宋体" w:hAnsi="宋体" w:cs="宋体"/>
          <w:szCs w:val="21"/>
          <w:lang w:eastAsia="zh-CN"/>
        </w:rPr>
        <w:t>二</w:t>
      </w:r>
      <w:r>
        <w:rPr>
          <w:rFonts w:hint="eastAsia" w:ascii="宋体" w:hAnsi="宋体" w:cs="宋体"/>
          <w:szCs w:val="21"/>
        </w:rPr>
        <w:t>、投标货物符合招标文件规定的证明文件</w:t>
      </w:r>
    </w:p>
    <w:p w14:paraId="4642F570">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w:t>
      </w:r>
      <w:r>
        <w:rPr>
          <w:rFonts w:hint="eastAsia" w:ascii="宋体" w:hAnsi="宋体" w:cs="宋体"/>
          <w:szCs w:val="21"/>
          <w:lang w:eastAsia="zh-CN"/>
        </w:rPr>
        <w:t>三</w:t>
      </w:r>
      <w:r>
        <w:rPr>
          <w:rFonts w:hint="eastAsia" w:ascii="宋体" w:hAnsi="宋体" w:cs="宋体"/>
          <w:szCs w:val="21"/>
        </w:rPr>
        <w:t>、</w:t>
      </w:r>
      <w:r>
        <w:rPr>
          <w:rFonts w:hint="eastAsia" w:ascii="宋体" w:hAnsi="宋体" w:cs="宋体"/>
          <w:szCs w:val="21"/>
          <w:lang w:eastAsia="zh-CN"/>
        </w:rPr>
        <w:t>设计</w:t>
      </w:r>
      <w:r>
        <w:rPr>
          <w:rFonts w:hint="eastAsia" w:ascii="宋体" w:hAnsi="宋体" w:cs="宋体"/>
          <w:szCs w:val="21"/>
        </w:rPr>
        <w:t>方案</w:t>
      </w:r>
    </w:p>
    <w:p w14:paraId="634FF46E">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w:t>
      </w:r>
      <w:r>
        <w:rPr>
          <w:rFonts w:hint="eastAsia" w:ascii="宋体" w:hAnsi="宋体" w:cs="宋体"/>
          <w:szCs w:val="21"/>
          <w:lang w:eastAsia="zh-CN"/>
        </w:rPr>
        <w:t>四</w:t>
      </w:r>
      <w:r>
        <w:rPr>
          <w:rFonts w:hint="eastAsia" w:ascii="宋体" w:hAnsi="宋体" w:cs="宋体"/>
          <w:szCs w:val="21"/>
        </w:rPr>
        <w:t>、</w:t>
      </w:r>
      <w:r>
        <w:rPr>
          <w:rFonts w:hint="eastAsia" w:ascii="宋体" w:hAnsi="宋体" w:cs="宋体"/>
          <w:szCs w:val="21"/>
          <w:lang w:eastAsia="zh-CN"/>
        </w:rPr>
        <w:t>实施</w:t>
      </w:r>
      <w:r>
        <w:rPr>
          <w:rFonts w:hint="eastAsia" w:ascii="宋体" w:hAnsi="宋体" w:cs="宋体"/>
          <w:szCs w:val="21"/>
        </w:rPr>
        <w:t>方案</w:t>
      </w:r>
    </w:p>
    <w:p w14:paraId="7B6FB5B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12.2投标人可以编制资格审查索引表、符合性审查索引表、评审索引表，以方便采购人、采购代理机构、评标委员会在资格审查及评审时查阅。</w:t>
      </w:r>
    </w:p>
    <w:p w14:paraId="2C29C3F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12.3根据《政府采购法》第四十二条的规定，投标人无论中标与否，其投标文件不予退还。</w:t>
      </w:r>
    </w:p>
    <w:p w14:paraId="56EDD2A2">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13、投标报价</w:t>
      </w:r>
    </w:p>
    <w:p w14:paraId="4A49712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1736DEB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13.2投标人的投标报价不得超过采购预算，也不得超过最高限价(如果设定)，否则其投标无效。采购项目预算、最高限价见</w:t>
      </w:r>
      <w:r>
        <w:rPr>
          <w:rFonts w:hint="eastAsia" w:ascii="宋体" w:hAnsi="宋体" w:cs="宋体"/>
          <w:b/>
          <w:bCs/>
          <w:szCs w:val="21"/>
        </w:rPr>
        <w:t>【投标须知前附表】</w:t>
      </w:r>
      <w:r>
        <w:rPr>
          <w:rFonts w:hint="eastAsia" w:ascii="宋体" w:hAnsi="宋体" w:cs="宋体"/>
          <w:szCs w:val="21"/>
        </w:rPr>
        <w:t>。</w:t>
      </w:r>
    </w:p>
    <w:p w14:paraId="79A3283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13.3投标人应在分项报价明细表中对每项内容给予详细分项报价。</w:t>
      </w:r>
    </w:p>
    <w:p w14:paraId="37497E9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13.4投标人对采购项目内容只允许有一个投标报价，否则其投标无效。</w:t>
      </w:r>
    </w:p>
    <w:p w14:paraId="1939D6C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13.5采购人不接受投标人给予的赠品、回扣或者与采购无关的其他商品、服务。如有赠与行为，其投标无效。</w:t>
      </w:r>
    </w:p>
    <w:p w14:paraId="403BAEE3">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13.6投标文件中标明的价格在合同执行过程中是固定不变的，不得以任何理由予以变更。任何包含价格调整要求和条件的投标，其投标无效。</w:t>
      </w:r>
    </w:p>
    <w:p w14:paraId="2CA545C3">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13.7投标人在投标截止时间前修改“开标一览表”中的投标报价的，应同时修改投标文件“分项报价明细表”“享受政府采购政策优惠的证明资料”以及“联合体协议书”（如果影响）等相关内容。此修改须符合本章第 22.1 款的有关要求。</w:t>
      </w:r>
    </w:p>
    <w:p w14:paraId="1C09E9F3">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13.8异常低价投标（响应）审查程序</w:t>
      </w:r>
    </w:p>
    <w:p w14:paraId="32482158">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（一）政府采购评审中出现下列情形之一的，评审委员会应当启动异常低价投标（响应）审查程序：</w:t>
      </w:r>
    </w:p>
    <w:p w14:paraId="3D6152D4">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（1）投标（响应）报价低于全部通过符合性审查供应商投标（响应）报价平均值50%的，即投标（响应）报价&lt;全部通过符合性审查供应商投标（响应）报价平均值×50%；</w:t>
      </w:r>
    </w:p>
    <w:p w14:paraId="3FEA26AA">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（2）投标（响应）报价低于通过符合性审查的次低报价供应商投标（响应）报价50%的，即投标（响应）报价&lt;通过符合性审查的次低报价供应商投标（响应）报价×50%；</w:t>
      </w:r>
    </w:p>
    <w:p w14:paraId="42D2EC6A">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（3）投标（响应）报价低于采购项目最高限价45%的，即投标（响应）报价&lt;采购项目最高限价×45%；</w:t>
      </w:r>
    </w:p>
    <w:p w14:paraId="0B6F3410">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（4）评审委员会基于专业判断，认为供应商报价过低，有可能影响产品质量或者不能诚信履约的其他情形。</w:t>
      </w:r>
    </w:p>
    <w:p w14:paraId="309DD3DB">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二）评审委员会启动异常低价投标（响应）审查后，属于前述第1项至第4项情形的，供应商须在评审现场对投标（响应）价格作出解释，提供项目具体成本测算等与报价合理性相关的书面说明及必要的证明材料，包括但不限于原材料成本、人工成本、制造费用等，供应商提交证明材料的时间不得超过60分钟。其中，属于第3项情形，供应商已随投标（响应）文件一并提交相关书面说明及必要的证明材料的，在评审现场可不再重复提交。</w:t>
      </w:r>
    </w:p>
    <w:p w14:paraId="14C69BAB">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24A57D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13.9投标报价的其他要求见</w:t>
      </w:r>
      <w:r>
        <w:rPr>
          <w:rFonts w:hint="eastAsia" w:ascii="宋体" w:hAnsi="宋体" w:cs="宋体"/>
          <w:b/>
          <w:bCs/>
          <w:szCs w:val="21"/>
        </w:rPr>
        <w:t>【投标须知前附表】</w:t>
      </w:r>
      <w:r>
        <w:rPr>
          <w:rFonts w:hint="eastAsia" w:ascii="宋体" w:hAnsi="宋体" w:cs="宋体"/>
          <w:szCs w:val="21"/>
        </w:rPr>
        <w:t>。</w:t>
      </w:r>
    </w:p>
    <w:p w14:paraId="72599E56">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14、投标人的资格证明文件</w:t>
      </w:r>
    </w:p>
    <w:p w14:paraId="3DE6C02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14.1除</w:t>
      </w:r>
      <w:r>
        <w:rPr>
          <w:rFonts w:hint="eastAsia" w:ascii="宋体" w:hAnsi="宋体" w:cs="宋体"/>
          <w:b/>
          <w:bCs/>
          <w:szCs w:val="21"/>
        </w:rPr>
        <w:t>【投标须知前附表】</w:t>
      </w:r>
      <w:r>
        <w:rPr>
          <w:rFonts w:hint="eastAsia" w:ascii="宋体" w:hAnsi="宋体" w:cs="宋体"/>
          <w:szCs w:val="21"/>
        </w:rPr>
        <w:t>另有规定外，投标人应按下列规定提供资格证明文件。</w:t>
      </w:r>
    </w:p>
    <w:p w14:paraId="53927640">
      <w:pPr>
        <w:adjustRightInd w:val="0"/>
        <w:snapToGrid w:val="0"/>
        <w:spacing w:before="161" w:beforeLines="50" w:line="360" w:lineRule="auto"/>
        <w:ind w:firstLine="422" w:firstLineChars="200"/>
        <w:jc w:val="left"/>
        <w:rPr>
          <w:rFonts w:ascii="宋体" w:hAnsi="宋体" w:cs="宋体"/>
          <w:szCs w:val="21"/>
        </w:rPr>
      </w:pPr>
      <w:r>
        <w:rPr>
          <w:rFonts w:hint="eastAsia" w:ascii="宋体" w:hAnsi="宋体" w:cs="宋体"/>
          <w:b/>
          <w:bCs/>
          <w:szCs w:val="21"/>
        </w:rPr>
        <w:t>（1）法人或者其他组织的营业执照等主体资格证明文件，自然人的身份证明</w:t>
      </w:r>
      <w:r>
        <w:rPr>
          <w:rFonts w:hint="eastAsia" w:ascii="宋体" w:hAnsi="宋体" w:cs="宋体"/>
          <w:szCs w:val="21"/>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05EC8100">
      <w:pPr>
        <w:adjustRightInd w:val="0"/>
        <w:snapToGrid w:val="0"/>
        <w:spacing w:before="161" w:beforeLines="50" w:line="360" w:lineRule="auto"/>
        <w:ind w:firstLine="422" w:firstLineChars="200"/>
        <w:jc w:val="left"/>
        <w:rPr>
          <w:rFonts w:ascii="宋体" w:hAnsi="宋体" w:cs="宋体"/>
          <w:b/>
          <w:bCs/>
          <w:szCs w:val="21"/>
        </w:rPr>
      </w:pPr>
      <w:r>
        <w:rPr>
          <w:rFonts w:hint="eastAsia" w:ascii="宋体" w:hAnsi="宋体" w:cs="宋体"/>
          <w:b/>
          <w:bCs/>
          <w:szCs w:val="21"/>
        </w:rPr>
        <w:t>（2）湖南省政府采购供应商资格承诺函(格式)</w:t>
      </w:r>
    </w:p>
    <w:p w14:paraId="3B846DCE">
      <w:pPr>
        <w:adjustRightInd w:val="0"/>
        <w:snapToGrid w:val="0"/>
        <w:spacing w:before="161" w:beforeLines="50" w:line="360" w:lineRule="auto"/>
        <w:ind w:firstLine="422" w:firstLineChars="200"/>
        <w:jc w:val="left"/>
        <w:rPr>
          <w:rFonts w:ascii="宋体" w:hAnsi="宋体" w:cs="宋体"/>
          <w:szCs w:val="21"/>
        </w:rPr>
      </w:pPr>
      <w:r>
        <w:rPr>
          <w:rFonts w:hint="eastAsia" w:ascii="宋体" w:hAnsi="宋体" w:cs="宋体"/>
          <w:b/>
          <w:bCs/>
          <w:szCs w:val="21"/>
        </w:rPr>
        <w:t>（3）符合特定资格条件证明材料复印件或者情况说明原件</w:t>
      </w:r>
      <w:r>
        <w:rPr>
          <w:rFonts w:hint="eastAsia" w:ascii="宋体" w:hAnsi="宋体" w:cs="宋体"/>
          <w:szCs w:val="21"/>
        </w:rPr>
        <w:t>。具体要求见</w:t>
      </w:r>
      <w:r>
        <w:rPr>
          <w:rFonts w:hint="eastAsia" w:ascii="宋体" w:hAnsi="宋体" w:cs="宋体"/>
          <w:b/>
          <w:bCs/>
          <w:szCs w:val="21"/>
        </w:rPr>
        <w:t>【投标须知前附表】</w:t>
      </w:r>
      <w:r>
        <w:rPr>
          <w:rFonts w:hint="eastAsia" w:ascii="宋体" w:hAnsi="宋体" w:cs="宋体"/>
          <w:szCs w:val="21"/>
        </w:rPr>
        <w:t>。</w:t>
      </w:r>
    </w:p>
    <w:p w14:paraId="0A99869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14.2投标人以联合体形式投标的，除应提交联合协议(格式)外，参加联合体的各方均应提交上款资格证明材料。</w:t>
      </w:r>
    </w:p>
    <w:p w14:paraId="5077FC9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14.3投标人的资格证明文件均应为有效文件并加盖投标人单位章，并按招标文件规定签署。</w:t>
      </w:r>
    </w:p>
    <w:p w14:paraId="1F557F4E">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15、投标货物及服务符合招标文件规定的证明文件</w:t>
      </w:r>
    </w:p>
    <w:p w14:paraId="421019E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15.1投标人应当提交其拟供的合同项下货物及其服务符合招标文件规定的证明文件，该证明文件作为投标文件的一部分。</w:t>
      </w:r>
    </w:p>
    <w:p w14:paraId="5CF2830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15.2上述证明文件可以是文字资料、图表、数据、证书等资料，包括但不限于：</w:t>
      </w:r>
    </w:p>
    <w:p w14:paraId="18A125F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（1）货物主要技术指标和性能的详细说明。对有具体参数要求的指标，投标人应提供具体参数值；</w:t>
      </w:r>
    </w:p>
    <w:p w14:paraId="2E74ECC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（2）货物的品牌型号、制造商及原产地等说明；</w:t>
      </w:r>
    </w:p>
    <w:p w14:paraId="58394AF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（3）招标文件第五章“采购需求”要求的其它文件。</w:t>
      </w:r>
    </w:p>
    <w:p w14:paraId="2269111F">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16、投标有效期</w:t>
      </w:r>
    </w:p>
    <w:p w14:paraId="0ED2AB5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16.1投标有效期从提交投标文件的截止之日起算。投标文件中承诺的投标有效期应当不少于</w:t>
      </w:r>
      <w:r>
        <w:rPr>
          <w:rFonts w:hint="eastAsia" w:ascii="宋体" w:hAnsi="宋体" w:cs="宋体"/>
          <w:b/>
          <w:bCs/>
          <w:szCs w:val="21"/>
        </w:rPr>
        <w:t>【投标须知前附表】</w:t>
      </w:r>
      <w:r>
        <w:rPr>
          <w:rFonts w:hint="eastAsia" w:ascii="宋体" w:hAnsi="宋体" w:cs="宋体"/>
          <w:szCs w:val="21"/>
        </w:rPr>
        <w:t>中载明的投标有效期。投标有效期不满足要求的，其</w:t>
      </w:r>
      <w:r>
        <w:rPr>
          <w:rFonts w:hint="eastAsia" w:ascii="宋体" w:hAnsi="宋体" w:cs="宋体"/>
          <w:b/>
          <w:bCs/>
          <w:szCs w:val="21"/>
        </w:rPr>
        <w:t>投标无效</w:t>
      </w:r>
      <w:r>
        <w:rPr>
          <w:rFonts w:hint="eastAsia" w:ascii="宋体" w:hAnsi="宋体" w:cs="宋体"/>
          <w:szCs w:val="21"/>
        </w:rPr>
        <w:t>。</w:t>
      </w:r>
    </w:p>
    <w:p w14:paraId="41230AE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16.2投标有效期内投标人撤销投标文件的，投标人应承担招标文件和法律规定的责任。</w:t>
      </w:r>
    </w:p>
    <w:p w14:paraId="4448386A">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17、投标保证金（本项目不要求提供）</w:t>
      </w:r>
    </w:p>
    <w:p w14:paraId="0EFBB739">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17.1招标文件要求投标人提交投标保证金的，投标人应按</w:t>
      </w:r>
      <w:r>
        <w:rPr>
          <w:rFonts w:hint="eastAsia" w:ascii="宋体" w:hAnsi="宋体" w:cs="宋体"/>
          <w:b/>
          <w:bCs/>
          <w:szCs w:val="21"/>
        </w:rPr>
        <w:t>【投标须知前附表】</w:t>
      </w:r>
      <w:r>
        <w:rPr>
          <w:rFonts w:hint="eastAsia" w:ascii="宋体" w:hAnsi="宋体" w:cs="宋体"/>
          <w:szCs w:val="21"/>
        </w:rPr>
        <w:t>规定，在提交投标文件的截止时间前提交投标保证金。</w:t>
      </w:r>
    </w:p>
    <w:p w14:paraId="73AEA75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17.2联合体投标的，可以由联合体中的一方或者共同提交投标保证金。以一方名义提交投标保证金的，对联合体各方均具有约束力。</w:t>
      </w:r>
    </w:p>
    <w:p w14:paraId="68E65A5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17.3投标保证金的退还按以下规定办理：</w:t>
      </w:r>
    </w:p>
    <w:p w14:paraId="0E1BC60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（1）中标投标人的投标保证金，将在政府采购合同签订后 5 个工作日内退还。</w:t>
      </w:r>
    </w:p>
    <w:p w14:paraId="4663FE9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（2）未中标的投标人的投标保证金，将在中标通知书发出后 5 个工作日内退还。</w:t>
      </w:r>
    </w:p>
    <w:p w14:paraId="629F69E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（3）终止招标的。对于已递交投标保证金的，采购人、采购代理机构在终止招标公告发布后 5 个工作日内退还。</w:t>
      </w:r>
    </w:p>
    <w:p w14:paraId="55CB740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（4）在投标截止日前撤回投标的，对于已递交投标保证金的，采购人、采购代理机构在收到投标人书面撤回投标通知之日起 5 个工作日内退还。</w:t>
      </w:r>
    </w:p>
    <w:p w14:paraId="4034C4D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17.4有以下情形之一的，投标保证金将不予退还，上交国库：</w:t>
      </w:r>
    </w:p>
    <w:p w14:paraId="60F689B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（1）投标人在招标文件中规定的投标有效期内撤销其投标；</w:t>
      </w:r>
    </w:p>
    <w:p w14:paraId="23501CE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（2）中标单位无正当理由不与采购人订立合同，在签订合同时向采购人提出附加条件，或者不按照招标文件要求提交履约保证金。</w:t>
      </w:r>
    </w:p>
    <w:p w14:paraId="05AE6BA1">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18、分包</w:t>
      </w:r>
    </w:p>
    <w:p w14:paraId="498F4B6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18.1投标人拟在中标后将中标项目的非主体、非关键性工作进行分包的，应符合</w:t>
      </w:r>
      <w:r>
        <w:rPr>
          <w:rFonts w:hint="eastAsia" w:ascii="宋体" w:hAnsi="宋体" w:cs="宋体"/>
          <w:b/>
          <w:bCs/>
          <w:szCs w:val="21"/>
        </w:rPr>
        <w:t>【投标须知前附表】</w:t>
      </w:r>
      <w:r>
        <w:rPr>
          <w:rFonts w:hint="eastAsia" w:ascii="宋体" w:hAnsi="宋体" w:cs="宋体"/>
          <w:szCs w:val="21"/>
        </w:rPr>
        <w:t>规定的分包内容、分包金额和资质要求等限制性条件，并在投标文件中载明分包承担主体，且分包承担主体不得再次分包。</w:t>
      </w:r>
    </w:p>
    <w:p w14:paraId="1A60B26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18.2中标单位应当就分包项目向采购人负责，分包承担主体就分包项目承担连带责任。</w:t>
      </w:r>
    </w:p>
    <w:p w14:paraId="7C0E7B2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18.3不符合招标文件中有关分包规定的，其</w:t>
      </w:r>
      <w:r>
        <w:rPr>
          <w:rFonts w:hint="eastAsia" w:ascii="宋体" w:hAnsi="宋体" w:cs="宋体"/>
          <w:b/>
          <w:bCs/>
          <w:szCs w:val="21"/>
        </w:rPr>
        <w:t>投标无效</w:t>
      </w:r>
      <w:r>
        <w:rPr>
          <w:rFonts w:hint="eastAsia" w:ascii="宋体" w:hAnsi="宋体" w:cs="宋体"/>
          <w:szCs w:val="21"/>
        </w:rPr>
        <w:t>。</w:t>
      </w:r>
    </w:p>
    <w:p w14:paraId="6F1049AF">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19、投标文件的制作和签署</w:t>
      </w:r>
    </w:p>
    <w:p w14:paraId="4BFA1122">
      <w:pPr>
        <w:adjustRightInd w:val="0"/>
        <w:snapToGrid w:val="0"/>
        <w:spacing w:before="161" w:beforeLines="50" w:line="360" w:lineRule="auto"/>
        <w:ind w:firstLine="420" w:firstLineChars="200"/>
        <w:jc w:val="left"/>
        <w:rPr>
          <w:rFonts w:ascii="宋体" w:hAnsi="宋体" w:cs="宋体"/>
          <w:szCs w:val="21"/>
        </w:rPr>
      </w:pPr>
      <w:bookmarkStart w:id="34" w:name="_bookmark7"/>
      <w:bookmarkEnd w:id="34"/>
      <w:r>
        <w:rPr>
          <w:rFonts w:hint="eastAsia" w:ascii="宋体" w:hAnsi="宋体" w:cs="宋体"/>
          <w:szCs w:val="21"/>
        </w:rPr>
        <w:t>19.1投标文件份数见</w:t>
      </w:r>
      <w:r>
        <w:rPr>
          <w:rFonts w:hint="eastAsia" w:ascii="宋体" w:hAnsi="宋体" w:cs="宋体"/>
          <w:b/>
          <w:bCs/>
          <w:szCs w:val="21"/>
        </w:rPr>
        <w:t>【投标须知前附表】</w:t>
      </w:r>
      <w:r>
        <w:rPr>
          <w:rFonts w:hint="eastAsia" w:ascii="宋体" w:hAnsi="宋体" w:cs="宋体"/>
          <w:szCs w:val="21"/>
        </w:rPr>
        <w:t>。</w:t>
      </w:r>
    </w:p>
    <w:p w14:paraId="43C43C8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19.2投标文件的签署要求：</w:t>
      </w:r>
    </w:p>
    <w:p w14:paraId="0F11E84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（1）投标人确认投标后，应从株洲市公共资源交易系统上下载“电子投标文件制作工具”，并使用此工具编制电子投标文件，否则将影响电子投标文件的上传而导致投标无效。</w:t>
      </w:r>
    </w:p>
    <w:p w14:paraId="4013C27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（2）投标人应按照电子招标文件要求制作投标文件，并进行电子签章。</w:t>
      </w:r>
    </w:p>
    <w:p w14:paraId="7F359EB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（3）投标人因自身原因导致电子投标文件无法导入电子评标系统的，该投标文件视为无效投标文件。</w:t>
      </w:r>
    </w:p>
    <w:p w14:paraId="6ADA2B73">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（4）电子招投标文件具有法律效力，若投标文件与招标文件要求不一致，其内容影响中标结果时，责任由投标人自行承担。</w:t>
      </w:r>
    </w:p>
    <w:p w14:paraId="00132DB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（5）电子投标项目的投标文件均以上传至交易系统的电子投标文件为准。</w:t>
      </w:r>
    </w:p>
    <w:p w14:paraId="01EC0551">
      <w:pPr>
        <w:pStyle w:val="4"/>
        <w:keepNext w:val="0"/>
        <w:keepLines w:val="0"/>
        <w:adjustRightInd w:val="0"/>
        <w:snapToGrid w:val="0"/>
        <w:spacing w:before="161" w:beforeLines="50" w:after="0" w:line="360" w:lineRule="auto"/>
        <w:jc w:val="center"/>
        <w:rPr>
          <w:rFonts w:ascii="宋体" w:hAnsi="宋体" w:cs="宋体"/>
          <w:sz w:val="28"/>
          <w:szCs w:val="28"/>
        </w:rPr>
      </w:pPr>
      <w:bookmarkStart w:id="35" w:name="_Toc10725"/>
      <w:r>
        <w:rPr>
          <w:rFonts w:hint="eastAsia" w:ascii="宋体" w:hAnsi="宋体" w:cs="宋体"/>
          <w:sz w:val="28"/>
          <w:szCs w:val="28"/>
        </w:rPr>
        <w:t>四、投标</w:t>
      </w:r>
      <w:bookmarkEnd w:id="35"/>
    </w:p>
    <w:p w14:paraId="2CD35EC0">
      <w:pPr>
        <w:adjustRightInd w:val="0"/>
        <w:snapToGrid w:val="0"/>
        <w:spacing w:before="161" w:beforeLines="50" w:line="360" w:lineRule="auto"/>
        <w:jc w:val="left"/>
        <w:rPr>
          <w:rFonts w:ascii="宋体" w:hAnsi="宋体" w:cs="宋体"/>
          <w:szCs w:val="21"/>
        </w:rPr>
      </w:pPr>
      <w:r>
        <w:rPr>
          <w:rFonts w:hint="eastAsia" w:ascii="宋体" w:hAnsi="宋体" w:cs="宋体"/>
          <w:b/>
          <w:bCs/>
          <w:szCs w:val="21"/>
        </w:rPr>
        <w:t>20、投标文件的密封和标记</w:t>
      </w:r>
    </w:p>
    <w:p w14:paraId="744E048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20.1电子版投标文件的密封和标记要求：通过数字证书进行签章、加密。未按要求签章、加密的投标文件，系统将无法接收, 采购代理机构不予受理。</w:t>
      </w:r>
    </w:p>
    <w:p w14:paraId="2AF81661">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21、投标截止期</w:t>
      </w:r>
    </w:p>
    <w:p w14:paraId="56B1A94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21.1投标人应在</w:t>
      </w:r>
      <w:r>
        <w:rPr>
          <w:rFonts w:hint="eastAsia" w:ascii="宋体" w:hAnsi="宋体" w:cs="宋体"/>
          <w:b/>
          <w:bCs/>
          <w:szCs w:val="21"/>
        </w:rPr>
        <w:t>【投标须知前附表】</w:t>
      </w:r>
      <w:r>
        <w:rPr>
          <w:rFonts w:hint="eastAsia" w:ascii="宋体" w:hAnsi="宋体" w:cs="宋体"/>
          <w:szCs w:val="21"/>
        </w:rPr>
        <w:t>规定的投标截止时间前将电子版投标文件加密上传。</w:t>
      </w:r>
    </w:p>
    <w:p w14:paraId="0B43A31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21.2逾期上传的投标文件，以及未通过资格预审的申请人提交的投标文件（实行资格预审的），采购人、采购代理机构</w:t>
      </w:r>
      <w:r>
        <w:rPr>
          <w:rFonts w:hint="eastAsia" w:ascii="宋体" w:hAnsi="宋体" w:cs="宋体"/>
          <w:b/>
          <w:bCs/>
          <w:szCs w:val="21"/>
        </w:rPr>
        <w:t>应当拒收</w:t>
      </w:r>
      <w:r>
        <w:rPr>
          <w:rFonts w:hint="eastAsia" w:ascii="宋体" w:hAnsi="宋体" w:cs="宋体"/>
          <w:szCs w:val="21"/>
        </w:rPr>
        <w:t>。</w:t>
      </w:r>
    </w:p>
    <w:p w14:paraId="4026ED0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21.3投标文件的递交</w:t>
      </w:r>
    </w:p>
    <w:p w14:paraId="116D393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（1）投标人应在招标文件规定的投标截止时间前将电子投标文件上传到交易系统的指定栏目。逾期不予受理。</w:t>
      </w:r>
    </w:p>
    <w:p w14:paraId="1FE01E9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（2）如遇系统提示“上传未成功”，投标人应及时重新修改文件或与系统运维机构联系，查明原因，确保上传无误，因自身原因导致不能上传的，由投标人自行承担责任。</w:t>
      </w:r>
    </w:p>
    <w:p w14:paraId="6CA6BD8F">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22、投标文件的修改和撤回</w:t>
      </w:r>
    </w:p>
    <w:p w14:paraId="0443323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22.1投标人在招标文件规定的投标截止时间前，可以撤回已上传的投标文件，也可以撤回并修改后再重新上传。</w:t>
      </w:r>
    </w:p>
    <w:p w14:paraId="17E3E1C0">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22.2投标人在提交投标文件的截止时间前撤回已提交的投标文件的，采购人、采购代理机构应当自收到投标人书面撤回通知之日起 5 个工作日内，退还已收取的投标保证金，但因投标人自身原因导致无法及时退还的除外。</w:t>
      </w:r>
    </w:p>
    <w:p w14:paraId="3221BC08">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23、串通投标行为</w:t>
      </w:r>
    </w:p>
    <w:p w14:paraId="1E80A45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23.1有下列情形之一的，属于恶意串通，对投标人依照政府采购法第七十七条第一款的规定追究法律责任：</w:t>
      </w:r>
    </w:p>
    <w:p w14:paraId="205AF6F0">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（1）投标人直接或者间接从采购人或者采购代理机构处获得其他投标人的相关情况并修改其投标文件；</w:t>
      </w:r>
    </w:p>
    <w:p w14:paraId="77A6D2D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（2）投标人按照采购人或者采购代理机构的授意撤换、修改投标文件；</w:t>
      </w:r>
    </w:p>
    <w:p w14:paraId="0CF26470">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（3）投标人之间协商报价、技术方案等投标文件的实质性内容；</w:t>
      </w:r>
    </w:p>
    <w:p w14:paraId="3A4F43D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（4）属于同一集团、协会、商会等组织成员的投标人按照该组织要求协同参加政府采购活动；</w:t>
      </w:r>
    </w:p>
    <w:p w14:paraId="4399FD1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（5）投标人之间事先约定由某一特定投标人中标；</w:t>
      </w:r>
    </w:p>
    <w:p w14:paraId="357C978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（6）投标人之间商定部分投标人放弃参加政府采购活动或者放弃中标；</w:t>
      </w:r>
    </w:p>
    <w:p w14:paraId="716BA43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（7）投标人与采购人或者采购代理机构之间、投标人相互之间，为谋求特定投标人中标或者排斥其他投标人的其他串通行为。</w:t>
      </w:r>
    </w:p>
    <w:p w14:paraId="5C1685F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23.2有下列情形之一的，视为投标人串通投标，其</w:t>
      </w:r>
      <w:r>
        <w:rPr>
          <w:rFonts w:hint="eastAsia" w:ascii="宋体" w:hAnsi="宋体" w:cs="宋体"/>
          <w:b/>
          <w:bCs/>
          <w:szCs w:val="21"/>
        </w:rPr>
        <w:t>投标无效</w:t>
      </w:r>
      <w:r>
        <w:rPr>
          <w:rFonts w:hint="eastAsia" w:ascii="宋体" w:hAnsi="宋体" w:cs="宋体"/>
          <w:szCs w:val="21"/>
        </w:rPr>
        <w:t>：</w:t>
      </w:r>
    </w:p>
    <w:p w14:paraId="1539F8F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（1）不同投标人的投标文件由同一单位或者个人编制；</w:t>
      </w:r>
    </w:p>
    <w:p w14:paraId="55F6BEC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（2）不同投标人委托同一单位或者个人办理投标事宜；</w:t>
      </w:r>
    </w:p>
    <w:p w14:paraId="25FD34F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（3）不同投标人的投标文件载明的项目管理成员或者联系人员为同一人；</w:t>
      </w:r>
    </w:p>
    <w:p w14:paraId="71A5643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（4）不同投标人的投标文件异常一致或者投标报价呈规律性差异；</w:t>
      </w:r>
    </w:p>
    <w:p w14:paraId="67A1A450">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（5）不同投标人的投标文件相互混装；</w:t>
      </w:r>
    </w:p>
    <w:p w14:paraId="398D58D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（6）不同投标人的投标保证金从同一单位或者个人的账户转出。</w:t>
      </w:r>
    </w:p>
    <w:p w14:paraId="4B10CF8E">
      <w:pPr>
        <w:pStyle w:val="4"/>
        <w:adjustRightInd w:val="0"/>
        <w:snapToGrid w:val="0"/>
        <w:spacing w:before="161" w:beforeLines="50" w:after="0" w:line="360" w:lineRule="auto"/>
        <w:jc w:val="center"/>
        <w:rPr>
          <w:rFonts w:ascii="宋体" w:hAnsi="宋体" w:cs="宋体"/>
          <w:sz w:val="28"/>
          <w:szCs w:val="28"/>
        </w:rPr>
      </w:pPr>
      <w:bookmarkStart w:id="36" w:name="_Toc25691"/>
      <w:r>
        <w:rPr>
          <w:rFonts w:hint="eastAsia" w:ascii="宋体" w:hAnsi="宋体" w:cs="宋体"/>
          <w:sz w:val="28"/>
          <w:szCs w:val="28"/>
        </w:rPr>
        <w:t>五、开标，资格审查和评标</w:t>
      </w:r>
      <w:bookmarkEnd w:id="36"/>
    </w:p>
    <w:p w14:paraId="0D90D387">
      <w:pPr>
        <w:adjustRightInd w:val="0"/>
        <w:snapToGrid w:val="0"/>
        <w:spacing w:before="161" w:beforeLines="50" w:line="460" w:lineRule="exact"/>
        <w:jc w:val="left"/>
        <w:rPr>
          <w:rFonts w:ascii="宋体" w:hAnsi="宋体"/>
          <w:b/>
          <w:bCs/>
          <w:sz w:val="24"/>
        </w:rPr>
      </w:pPr>
      <w:r>
        <w:rPr>
          <w:rFonts w:hint="eastAsia" w:ascii="宋体" w:hAnsi="宋体"/>
          <w:b/>
          <w:bCs/>
          <w:sz w:val="24"/>
        </w:rPr>
        <w:t>24. 开标</w:t>
      </w:r>
    </w:p>
    <w:p w14:paraId="07779618">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24.1采购人、采购代理机构在【投标须知前附表】规定的开标地点组织开标，投标人通过网上开标系统参加开标会，投标人无需到开标现场，请投标人提前配置好解密电脑和软件环境，在规定时间内使用制作投标文件时的 CA 锁登录“网上开标系统”解密投标文件（请仔细阅读株洲市公共资源交易平台发布的《投标人不见面开标操作手册》） 。</w:t>
      </w:r>
    </w:p>
    <w:p w14:paraId="0F943907">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24.2开标时，出现下列情形之一的，采购代理机构不予受理，不得进入评标：</w:t>
      </w:r>
    </w:p>
    <w:p w14:paraId="6F23D154">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（1）经检查数字证书无效的电子投标文件；</w:t>
      </w:r>
    </w:p>
    <w:p w14:paraId="507A9058">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（2）电子投标文件未按要求上传至交易平台的；</w:t>
      </w:r>
    </w:p>
    <w:p w14:paraId="2B15532A">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（3）投标人未按照规定的时间解密电子投标文件的；</w:t>
      </w:r>
    </w:p>
    <w:p w14:paraId="48110D24">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（4）其它违反法律、法规的情形。</w:t>
      </w:r>
    </w:p>
    <w:p w14:paraId="4167498E">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24.3开标程序。采购代理机构在规定的时间内，按下列程序进行开标：</w:t>
      </w:r>
    </w:p>
    <w:p w14:paraId="5A28C1DC">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（1）公布投标人名称；</w:t>
      </w:r>
    </w:p>
    <w:p w14:paraId="03EFDA6E">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（2）查验投标保证金缴纳情况；</w:t>
      </w:r>
    </w:p>
    <w:p w14:paraId="5C2B0DF1">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（3）解密投标文件：从投标截止时间起60分钟内完成。由于投标人自身原因导致投标文件在解密时限内未解密或解密失败的，视为撤销其投标文件，开标继续进行。投标人不足3家的，不得开标。</w:t>
      </w:r>
    </w:p>
    <w:p w14:paraId="724CB4D0">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（4）唱标：以《开标一览表》为准，未提供的按无效投标处理。在线生成的《开标记录表》所有有效投标人可以在线即时查看、下载。</w:t>
      </w:r>
    </w:p>
    <w:p w14:paraId="5F10F577">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（5）投标人法人或授权代表应在系统规定的时间内在开标记录上进行确认，否则视同认可开标结果。</w:t>
      </w:r>
    </w:p>
    <w:p w14:paraId="52693E85">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24.4开标时，由采购人、采购代理机构当众在线展示递交电子投标文件单位，核对投标人名称、投标价格和 【投标须知前附表】规定需要宣布的其他内容。投标人不足 3 家的，不得开标。</w:t>
      </w:r>
    </w:p>
    <w:p w14:paraId="2EE6DF10">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24.5开标过程应当由采购人、采购代理机构负责记录，由参加开标的各投标人代表和相关工作人员签字确认后随采购文件一并存档。</w:t>
      </w:r>
    </w:p>
    <w:p w14:paraId="76259CAC">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24.6开标结果系统自动默认，投标人代表对开标过程和开标记录有疑义，以及认为采购人或者采购代理机构相关工作人员有《政府采购法实施条例》第九条第一款需要回避的情形的，应在线提出询问或者回避申请。</w:t>
      </w:r>
    </w:p>
    <w:p w14:paraId="7CAE394B">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24.7采购人、采购代理机构对投标人代表当场提出的询问或者回避申请，按《政府采购法实施条例》有关规定及时处理。</w:t>
      </w:r>
    </w:p>
    <w:p w14:paraId="2CE83C3A">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24.8开标时，出现下列情形之一的，视为投标人撤销其投标：</w:t>
      </w:r>
    </w:p>
    <w:p w14:paraId="7EE4DE8D">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（1）投标人未按要求配置开标所需的软硬件设备，导致解密失败的；</w:t>
      </w:r>
    </w:p>
    <w:p w14:paraId="012A0F70">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（2）投标人电脑故障或无法上网，导致解密失败的；</w:t>
      </w:r>
    </w:p>
    <w:p w14:paraId="7895068C">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（3）解密锁发生故障、失效、错误等，导致解密失败的；</w:t>
      </w:r>
    </w:p>
    <w:p w14:paraId="5F0E98F4">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（4）解密时间超过规定时限的；</w:t>
      </w:r>
    </w:p>
    <w:p w14:paraId="0D3E3133">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（5）其他由于投标人自身原因导致解密失效的情形。</w:t>
      </w:r>
    </w:p>
    <w:p w14:paraId="224042AE">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24.9电子招投标的应急措施</w:t>
      </w:r>
    </w:p>
    <w:p w14:paraId="30A65443">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电子开标、评标如出现下列情形，导致系统无法正常运行时，按交易中心应急预案措施执行：</w:t>
      </w:r>
    </w:p>
    <w:p w14:paraId="29D47E22">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（1）系统服务器发生故障，无法访问或无法使用系统；</w:t>
      </w:r>
    </w:p>
    <w:p w14:paraId="00D5DB5F">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（2）系统的软件或数据库出现错误，不能进行正常操作；</w:t>
      </w:r>
    </w:p>
    <w:p w14:paraId="11812B7B">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（3）系统发现有安全漏洞，有潜在的泄密危险；</w:t>
      </w:r>
    </w:p>
    <w:p w14:paraId="6BB1A9B7">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（4）病毒发作或受到外来病毒的攻击；</w:t>
      </w:r>
    </w:p>
    <w:p w14:paraId="61989D1E">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（5）其他特殊情况。</w:t>
      </w:r>
    </w:p>
    <w:p w14:paraId="2DEC0560">
      <w:pPr>
        <w:adjustRightInd w:val="0"/>
        <w:snapToGrid w:val="0"/>
        <w:spacing w:before="161" w:beforeLines="50" w:line="460" w:lineRule="exact"/>
        <w:ind w:firstLine="420" w:firstLineChars="200"/>
        <w:jc w:val="left"/>
        <w:rPr>
          <w:rFonts w:ascii="宋体" w:hAnsi="宋体"/>
          <w:szCs w:val="21"/>
        </w:rPr>
      </w:pPr>
      <w:r>
        <w:rPr>
          <w:rFonts w:hint="eastAsia" w:ascii="宋体" w:hAnsi="宋体"/>
          <w:szCs w:val="21"/>
        </w:rPr>
        <w:t>出现上述情况之一时，经交易中心相关部门确认：对未开标的暂停开标或作延期开标处理，待系统恢复后再进行开标活动；已在系统内评标的，评标委员会酌情延期进行评审，待系统恢复后再进行评审工作。</w:t>
      </w:r>
    </w:p>
    <w:p w14:paraId="25605A34">
      <w:pPr>
        <w:adjustRightInd w:val="0"/>
        <w:snapToGrid w:val="0"/>
        <w:spacing w:before="161" w:beforeLines="50" w:line="360" w:lineRule="auto"/>
        <w:jc w:val="left"/>
        <w:rPr>
          <w:rFonts w:ascii="宋体" w:hAnsi="宋体" w:cs="宋体"/>
        </w:rPr>
      </w:pPr>
      <w:r>
        <w:rPr>
          <w:rFonts w:hint="eastAsia" w:ascii="宋体" w:hAnsi="宋体" w:cs="宋体"/>
          <w:b/>
          <w:bCs/>
        </w:rPr>
        <w:t>25、资格审查</w:t>
      </w:r>
    </w:p>
    <w:p w14:paraId="0FCDCACF">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25.1开标结束后，采购人、采购代理机构依法按照第三章“资格审查”规定组织资格审查。</w:t>
      </w:r>
    </w:p>
    <w:p w14:paraId="72FB3D6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25.2资格审查结束后，采购人、采购代理机构应将资格审查结果告知评标委员会。资格审查不合格投标人不进入评标；资格审查合格投标人少于 3 家的，不得评标。</w:t>
      </w:r>
    </w:p>
    <w:p w14:paraId="656BC9FE">
      <w:pPr>
        <w:adjustRightInd w:val="0"/>
        <w:snapToGrid w:val="0"/>
        <w:spacing w:before="161" w:beforeLines="50" w:line="360" w:lineRule="auto"/>
        <w:jc w:val="left"/>
        <w:rPr>
          <w:rFonts w:ascii="宋体" w:hAnsi="宋体" w:cs="宋体"/>
          <w:b/>
          <w:bCs/>
        </w:rPr>
      </w:pPr>
      <w:r>
        <w:rPr>
          <w:rFonts w:hint="eastAsia" w:ascii="宋体" w:hAnsi="宋体" w:cs="宋体"/>
          <w:b/>
          <w:bCs/>
        </w:rPr>
        <w:t>26、评标委员会</w:t>
      </w:r>
    </w:p>
    <w:p w14:paraId="3D904BDB">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26.1评标由依法组建的评标委员会负责，评标委员会由采购人代表和评审专家组成。</w:t>
      </w:r>
    </w:p>
    <w:p w14:paraId="4332D1B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26.2评标委员会成员有下列情形之一的，应当回避：</w:t>
      </w:r>
    </w:p>
    <w:p w14:paraId="59032FAB">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（1）参加采购活动前三年内,与投标人存在劳动关系,或者担任过投标人的董事、监事,或者是投标人的控股股东或实际控制人；</w:t>
      </w:r>
    </w:p>
    <w:p w14:paraId="6F6B3C19">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（2）与投标人的法定代表人或者负责人有夫妻、直系血亲、三代以内旁系血亲或者近姻亲系；</w:t>
      </w:r>
    </w:p>
    <w:p w14:paraId="505E6BFD">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（3）与投标人有其他可能影响政府采购活动公平、公正进行的关系。</w:t>
      </w:r>
    </w:p>
    <w:p w14:paraId="0250A0C7">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26.3评标委员会负责具体评标事务，并独立履行下列职责：</w:t>
      </w:r>
    </w:p>
    <w:p w14:paraId="3F02CDA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（1）审查、评价投标文件是否符合招标文件的商务、技术等实质性要求；</w:t>
      </w:r>
    </w:p>
    <w:p w14:paraId="6EDA9A9D">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（2）要求投标人对投标文件有关事项作出澄清或者说明；</w:t>
      </w:r>
    </w:p>
    <w:p w14:paraId="6E3931B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（3）对投标文件进行比较和评价；</w:t>
      </w:r>
    </w:p>
    <w:p w14:paraId="7A42E389">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（4）确定中标候选人名单，以及根据采购人委托直接确定中标单位。</w:t>
      </w:r>
    </w:p>
    <w:p w14:paraId="03BACAD9">
      <w:pPr>
        <w:adjustRightInd w:val="0"/>
        <w:snapToGrid w:val="0"/>
        <w:spacing w:before="161" w:beforeLines="50" w:line="360" w:lineRule="auto"/>
        <w:jc w:val="left"/>
        <w:rPr>
          <w:rFonts w:ascii="宋体" w:hAnsi="宋体" w:cs="宋体"/>
        </w:rPr>
      </w:pPr>
      <w:r>
        <w:rPr>
          <w:rFonts w:hint="eastAsia" w:ascii="宋体" w:hAnsi="宋体" w:cs="宋体"/>
          <w:b/>
          <w:bCs/>
        </w:rPr>
        <w:t>27、评标</w:t>
      </w:r>
    </w:p>
    <w:p w14:paraId="5A43B419">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27.1评标委员会按照第四章“评标方法及标准”规定的评标方法、评审因素、标准和程序以  及有关法律、法规及规章对投标文件进行评审。</w:t>
      </w:r>
    </w:p>
    <w:p w14:paraId="0B1809DD">
      <w:pPr>
        <w:pStyle w:val="4"/>
        <w:adjustRightInd w:val="0"/>
        <w:snapToGrid w:val="0"/>
        <w:spacing w:before="161" w:beforeLines="50" w:after="0" w:line="360" w:lineRule="auto"/>
        <w:jc w:val="center"/>
        <w:rPr>
          <w:rFonts w:ascii="宋体" w:hAnsi="宋体" w:cs="宋体"/>
          <w:sz w:val="28"/>
          <w:szCs w:val="28"/>
        </w:rPr>
      </w:pPr>
      <w:bookmarkStart w:id="37" w:name="_Toc22872"/>
      <w:r>
        <w:rPr>
          <w:rFonts w:hint="eastAsia" w:ascii="宋体" w:hAnsi="宋体" w:cs="宋体"/>
          <w:sz w:val="28"/>
          <w:szCs w:val="28"/>
        </w:rPr>
        <w:t>六、中标信息公布</w:t>
      </w:r>
      <w:bookmarkEnd w:id="37"/>
    </w:p>
    <w:p w14:paraId="13EB01CF">
      <w:pPr>
        <w:adjustRightInd w:val="0"/>
        <w:snapToGrid w:val="0"/>
        <w:spacing w:before="161" w:beforeLines="50" w:line="360" w:lineRule="auto"/>
        <w:jc w:val="left"/>
        <w:rPr>
          <w:rFonts w:ascii="宋体" w:hAnsi="宋体" w:cs="宋体"/>
        </w:rPr>
      </w:pPr>
      <w:r>
        <w:rPr>
          <w:rFonts w:hint="eastAsia" w:ascii="宋体" w:hAnsi="宋体" w:cs="宋体"/>
          <w:b/>
          <w:bCs/>
        </w:rPr>
        <w:t>28、中标通知书与中标信息公布</w:t>
      </w:r>
    </w:p>
    <w:p w14:paraId="4EF4B61F">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28.1采购代理机构应当在评标结束后 2 个工作日内将评标报告送采购人。</w:t>
      </w:r>
    </w:p>
    <w:p w14:paraId="22D4805D">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28.2采购人应当自收到评标报告之日起 5 个工作日内，在评标报告确定的中标候选人名单中按顺序确定中标单位。中标候选人并列的，按照</w:t>
      </w:r>
      <w:r>
        <w:rPr>
          <w:rFonts w:hint="eastAsia" w:ascii="宋体" w:hAnsi="宋体" w:cs="宋体"/>
          <w:b/>
          <w:bCs/>
        </w:rPr>
        <w:t>【投标须知前附表】</w:t>
      </w:r>
      <w:r>
        <w:rPr>
          <w:rFonts w:hint="eastAsia" w:ascii="宋体" w:hAnsi="宋体" w:cs="宋体"/>
        </w:rPr>
        <w:t>规定的方式确定中标单位；招标文件未规定的，采取随机抽取的方式确定。</w:t>
      </w:r>
    </w:p>
    <w:p w14:paraId="6C873D7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28.3采购人、采购代理机构应当自采购人确定中标投标人之日起2个工作日内，发出中标通知书，并在招标公告指定媒体上公告中标结果，招标文件随中标结果同时公告，中标结果公告期限为1个工作日。</w:t>
      </w:r>
    </w:p>
    <w:p w14:paraId="7E4F1397">
      <w:pPr>
        <w:adjustRightInd w:val="0"/>
        <w:snapToGrid w:val="0"/>
        <w:spacing w:before="161" w:beforeLines="50" w:line="360" w:lineRule="auto"/>
        <w:jc w:val="left"/>
        <w:rPr>
          <w:rFonts w:ascii="宋体" w:hAnsi="宋体" w:cs="宋体"/>
          <w:b/>
          <w:bCs/>
        </w:rPr>
      </w:pPr>
      <w:r>
        <w:rPr>
          <w:rFonts w:hint="eastAsia" w:ascii="宋体" w:hAnsi="宋体" w:cs="宋体"/>
          <w:b/>
          <w:bCs/>
        </w:rPr>
        <w:t>29、投标人询问及质疑</w:t>
      </w:r>
    </w:p>
    <w:p w14:paraId="4A5D53FC">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29.1投标人对政府采购活动事项有疑问的，可以向采购人、采购代理机构提出询问。采购人  或采购代理机构将在 3 个工作日内作出答复。</w:t>
      </w:r>
    </w:p>
    <w:p w14:paraId="7ACACA8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29.2投标人认为招标文件、采购过程和中标结果使自己的权益受到损害的，可以在知道或者  应知其权益受到损害之日起 7 个工作日内，按照《湖南省财政厅关于印发＜政府采购质疑答复和投诉处理操作规程＞的通知》(湘财购〔2019〕20 号)规定，以纸质书面形式向采购人、采购代理机构提出质疑。投标人须在法定质疑期内一次性提出针对同一采购程序环节的质疑。</w:t>
      </w:r>
    </w:p>
    <w:p w14:paraId="017D53C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29.3投标人提出质疑的，应按照《湖南省财政厅关于印发＜政府采购质疑答复和投诉处理操  作规程＞的通知》规定制作、签署、送达。采购人、采购代理机构接收质疑函的联系部门、联系电话和通讯地址见</w:t>
      </w:r>
      <w:r>
        <w:rPr>
          <w:rFonts w:hint="eastAsia" w:ascii="宋体" w:hAnsi="宋体" w:cs="宋体"/>
          <w:b/>
          <w:bCs/>
        </w:rPr>
        <w:t>【投标须知前附表】</w:t>
      </w:r>
      <w:r>
        <w:rPr>
          <w:rFonts w:hint="eastAsia" w:ascii="宋体" w:hAnsi="宋体" w:cs="宋体"/>
        </w:rPr>
        <w:t>。</w:t>
      </w:r>
    </w:p>
    <w:p w14:paraId="633077C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29.4采购人、采购代理机构按照《湖南省财政厅关于印发＜政府采购质疑答复和投诉处理操  作规程＞的通知》规定进行质疑答复。</w:t>
      </w:r>
    </w:p>
    <w:p w14:paraId="09A27B10">
      <w:pPr>
        <w:adjustRightInd w:val="0"/>
        <w:snapToGrid w:val="0"/>
        <w:spacing w:before="161" w:beforeLines="50" w:line="360" w:lineRule="auto"/>
        <w:ind w:firstLine="420" w:firstLineChars="200"/>
        <w:jc w:val="left"/>
        <w:rPr>
          <w:rFonts w:ascii="宋体" w:hAnsi="宋体" w:cs="宋体"/>
          <w:b/>
          <w:bCs/>
        </w:rPr>
      </w:pPr>
      <w:r>
        <w:rPr>
          <w:rFonts w:hint="eastAsia" w:ascii="宋体" w:hAnsi="宋体" w:cs="宋体"/>
        </w:rPr>
        <w:t>29.5投标人对采购人、采购代理机构的答复不满意，或采购人或采购代理机构未在规定的期  限作出答复的，可在答复期满后 15 个工作日内，按照《湖南省财政厅关于印发＜政府采购质疑答复和投诉处理操作规程＞的通知》规定向采购人同级财政部门提出投诉。</w:t>
      </w:r>
    </w:p>
    <w:p w14:paraId="7324FA54">
      <w:pPr>
        <w:pStyle w:val="4"/>
        <w:adjustRightInd w:val="0"/>
        <w:snapToGrid w:val="0"/>
        <w:spacing w:before="161" w:beforeLines="50" w:after="0" w:line="360" w:lineRule="auto"/>
        <w:jc w:val="center"/>
        <w:rPr>
          <w:rFonts w:ascii="宋体" w:hAnsi="宋体" w:cs="宋体"/>
          <w:sz w:val="28"/>
          <w:szCs w:val="28"/>
        </w:rPr>
      </w:pPr>
      <w:bookmarkStart w:id="38" w:name="_Toc16755"/>
      <w:r>
        <w:rPr>
          <w:rFonts w:hint="eastAsia" w:ascii="宋体" w:hAnsi="宋体" w:cs="宋体"/>
          <w:sz w:val="28"/>
          <w:szCs w:val="28"/>
        </w:rPr>
        <w:t>七、合同签订</w:t>
      </w:r>
      <w:bookmarkEnd w:id="38"/>
    </w:p>
    <w:p w14:paraId="1D7F66F8">
      <w:pPr>
        <w:adjustRightInd w:val="0"/>
        <w:snapToGrid w:val="0"/>
        <w:spacing w:before="161" w:beforeLines="50" w:line="360" w:lineRule="auto"/>
        <w:jc w:val="left"/>
        <w:rPr>
          <w:rFonts w:ascii="宋体" w:hAnsi="宋体" w:cs="宋体"/>
          <w:b/>
          <w:bCs/>
        </w:rPr>
      </w:pPr>
      <w:r>
        <w:rPr>
          <w:rFonts w:hint="eastAsia" w:ascii="宋体" w:hAnsi="宋体" w:cs="宋体"/>
          <w:b/>
          <w:bCs/>
        </w:rPr>
        <w:t>30、签订合同</w:t>
      </w:r>
    </w:p>
    <w:p w14:paraId="552FA2C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30.1采购人应自中标通知书发出之日起 30 日内，按中标通知书指定的时间、地点与中标单位签订政府采购合同。所签订的合同不得对招标文件确定的事项和中标单位投标文件作实质性修改。</w:t>
      </w:r>
    </w:p>
    <w:p w14:paraId="792C2E9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30.2招标文件、中标单位的投标文件均为签订合同的依据。</w:t>
      </w:r>
    </w:p>
    <w:p w14:paraId="07BACE9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30.3联合体中标的，联合体各方应当共同与采购人签订合同，就中标项目向采购人承担连带  责任。</w:t>
      </w:r>
    </w:p>
    <w:p w14:paraId="5D2E555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30.4中标合同将在招标公告指定媒体上公告，但合同中涉及国家秘密、商业秘密的内容除外。</w:t>
      </w:r>
    </w:p>
    <w:p w14:paraId="6C0E8C7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30.5中标单位应当按照合同约定依法履行合同义务。政府采购合同的履行、违约责任和解决争议的方法等适用《中华人民共和国民法典》。</w:t>
      </w:r>
    </w:p>
    <w:p w14:paraId="40097E6C">
      <w:pPr>
        <w:adjustRightInd w:val="0"/>
        <w:snapToGrid w:val="0"/>
        <w:spacing w:before="161" w:beforeLines="50" w:line="360" w:lineRule="auto"/>
        <w:jc w:val="left"/>
        <w:rPr>
          <w:rFonts w:ascii="宋体" w:hAnsi="宋体" w:cs="宋体"/>
          <w:b/>
          <w:bCs/>
        </w:rPr>
      </w:pPr>
      <w:r>
        <w:rPr>
          <w:rFonts w:hint="eastAsia" w:ascii="宋体" w:hAnsi="宋体" w:cs="宋体"/>
          <w:b/>
          <w:bCs/>
        </w:rPr>
        <w:t>31、履约担保</w:t>
      </w:r>
    </w:p>
    <w:p w14:paraId="7AA55144">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31.1招标文件要求中标单位向采购人提交履约担保的，中标单位应按照</w:t>
      </w:r>
      <w:r>
        <w:rPr>
          <w:rFonts w:hint="eastAsia" w:ascii="宋体" w:hAnsi="宋体" w:cs="宋体"/>
          <w:b/>
          <w:bCs/>
        </w:rPr>
        <w:t>【投标须知前附表】</w:t>
      </w:r>
      <w:r>
        <w:rPr>
          <w:rFonts w:hint="eastAsia" w:ascii="宋体" w:hAnsi="宋体" w:cs="宋体"/>
        </w:rPr>
        <w:t>的规定提交。联合体中标的，履约担保由联合体各方或联合体中牵头人的名义提交。</w:t>
      </w:r>
    </w:p>
    <w:p w14:paraId="03159ECA">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31.2中标单位没有按照本章第 31.1 款规定提交履约担保的，视为</w:t>
      </w:r>
      <w:r>
        <w:rPr>
          <w:rFonts w:hint="eastAsia" w:ascii="宋体" w:hAnsi="宋体" w:cs="宋体"/>
          <w:b/>
          <w:bCs/>
        </w:rPr>
        <w:t>放弃中标</w:t>
      </w:r>
      <w:r>
        <w:rPr>
          <w:rFonts w:hint="eastAsia" w:ascii="宋体" w:hAnsi="宋体" w:cs="宋体"/>
        </w:rPr>
        <w:t>，其投标保证金不予退还。</w:t>
      </w:r>
    </w:p>
    <w:p w14:paraId="7346C80A">
      <w:pPr>
        <w:adjustRightInd w:val="0"/>
        <w:snapToGrid w:val="0"/>
        <w:spacing w:before="161" w:beforeLines="50" w:line="360" w:lineRule="auto"/>
        <w:jc w:val="left"/>
        <w:rPr>
          <w:rFonts w:ascii="宋体" w:hAnsi="宋体" w:cs="宋体"/>
          <w:b/>
          <w:bCs/>
        </w:rPr>
      </w:pPr>
      <w:r>
        <w:rPr>
          <w:rFonts w:hint="eastAsia" w:ascii="宋体" w:hAnsi="宋体" w:cs="宋体"/>
          <w:b/>
          <w:bCs/>
        </w:rPr>
        <w:t>32、政府采购合同履行中数量的变更</w:t>
      </w:r>
    </w:p>
    <w:p w14:paraId="6083A377">
      <w:pPr>
        <w:adjustRightInd w:val="0"/>
        <w:snapToGrid w:val="0"/>
        <w:spacing w:before="161" w:beforeLines="50" w:line="360" w:lineRule="auto"/>
        <w:ind w:firstLine="420" w:firstLineChars="200"/>
        <w:jc w:val="left"/>
        <w:rPr>
          <w:rFonts w:ascii="宋体" w:hAnsi="宋体" w:cs="宋体"/>
          <w:sz w:val="28"/>
          <w:szCs w:val="28"/>
        </w:rPr>
      </w:pPr>
      <w:r>
        <w:rPr>
          <w:rFonts w:hint="eastAsia" w:ascii="宋体" w:hAnsi="宋体" w:cs="宋体"/>
        </w:rPr>
        <w:t>32.1政府采购合同履行中，采购人需追加与合同标的相同的服务的，在不改变合同其他条款的前提下，可以与中标单位协商签订补充合同，但所有补充合同的采购金额不得超过原合同采购金额的百分之十。</w:t>
      </w:r>
    </w:p>
    <w:p w14:paraId="7467F8FF">
      <w:pPr>
        <w:pStyle w:val="4"/>
        <w:adjustRightInd w:val="0"/>
        <w:snapToGrid w:val="0"/>
        <w:spacing w:before="161" w:beforeLines="50" w:after="0" w:line="360" w:lineRule="auto"/>
        <w:jc w:val="center"/>
        <w:rPr>
          <w:rFonts w:ascii="宋体" w:hAnsi="宋体" w:cs="宋体"/>
          <w:sz w:val="28"/>
          <w:szCs w:val="28"/>
        </w:rPr>
      </w:pPr>
      <w:bookmarkStart w:id="39" w:name="_Toc22364"/>
      <w:r>
        <w:rPr>
          <w:rFonts w:hint="eastAsia" w:ascii="宋体" w:hAnsi="宋体" w:cs="宋体"/>
          <w:sz w:val="28"/>
          <w:szCs w:val="28"/>
        </w:rPr>
        <w:t>八、政府采购政策</w:t>
      </w:r>
      <w:bookmarkEnd w:id="39"/>
    </w:p>
    <w:p w14:paraId="52E1F57D">
      <w:pPr>
        <w:adjustRightInd w:val="0"/>
        <w:snapToGrid w:val="0"/>
        <w:spacing w:before="161" w:beforeLines="50" w:line="360" w:lineRule="auto"/>
        <w:jc w:val="left"/>
        <w:rPr>
          <w:rFonts w:ascii="宋体" w:hAnsi="宋体" w:cs="宋体"/>
        </w:rPr>
      </w:pPr>
      <w:r>
        <w:rPr>
          <w:rFonts w:hint="eastAsia" w:ascii="宋体" w:hAnsi="宋体" w:cs="宋体"/>
          <w:b/>
          <w:bCs/>
        </w:rPr>
        <w:t>33、政府采购政策</w:t>
      </w:r>
    </w:p>
    <w:p w14:paraId="27EFFFCF">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33.1优先采购：</w:t>
      </w:r>
    </w:p>
    <w:p w14:paraId="4893BABD">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（1）纳入财政部会同国务院有关部门发布的节能产品、环境标志产品政府采购品目清单，实施政府优先采购的，评审时按招标文件第四章第一节有关规定给予一定比例的价格折扣或者加分；</w:t>
      </w:r>
    </w:p>
    <w:p w14:paraId="00D2168F">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33.2强制采购：</w:t>
      </w:r>
    </w:p>
    <w:p w14:paraId="1143FD6B">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ascii="宋体" w:hAnsi="宋体" w:cs="宋体"/>
          <w:b/>
          <w:bCs/>
        </w:rPr>
        <w:t>投标无效</w:t>
      </w:r>
      <w:r>
        <w:rPr>
          <w:rFonts w:hint="eastAsia" w:ascii="宋体" w:hAnsi="宋体" w:cs="宋体"/>
        </w:rPr>
        <w:t>。</w:t>
      </w:r>
    </w:p>
    <w:p w14:paraId="6B4CECDF">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33.3价格评审优惠：</w:t>
      </w:r>
    </w:p>
    <w:p w14:paraId="4C2833E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（1）在政府采购活动中，投标人提供的货物、工程或者服务符合下列情形的，享受中小企业扶持政策，价格按招标文件第四章第一节有关规定给予价格折扣，用扣除后的价格参与评审：</w:t>
      </w:r>
    </w:p>
    <w:p w14:paraId="4671C63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 xml:space="preserve">1）在货物采购项目中，货物由中小企业制造，即货物由中小企业生产且使用该中小企业商号或者注册商标； </w:t>
      </w:r>
    </w:p>
    <w:p w14:paraId="19E02F26">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 xml:space="preserve">2）在工程采购项目中，工程由中小企业承建，即工程施工单位为中小企业； </w:t>
      </w:r>
    </w:p>
    <w:p w14:paraId="4713EC93">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 xml:space="preserve">3）在服务采购项目中，服务由中小企业承接，即提供服务的人员为中小企业依照《中华人民共和国劳动合同法》 订立劳动合同的从业人员。 </w:t>
      </w:r>
    </w:p>
    <w:p w14:paraId="7E48FB21">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在货物采购项目中，投标人提供的货物既有中小企业制造货物，也有大型企业制造货物的，不享受中小企业扶持政策。</w:t>
      </w:r>
    </w:p>
    <w:p w14:paraId="3DF33ACB">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根据财政部发布的《政府采购促进中小企业发展政策问答》(http://gks.mof.gov.cn/guizhangzhidu/202102/t20210220_3659586.htm):在货物采购项目中，供应商提供的货物既有中型企业制造，也有小微企业制造的，不享受办法规定的小微企业扶持政策。</w:t>
      </w:r>
    </w:p>
    <w:p w14:paraId="39D9E33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 xml:space="preserve">（2）小型、微型企业参加联合体并在联合体协议中明确其在合同金额占联合体合同总金额 30%以上的，该联合体价格按招标文件第四章第一节有关规定给予价格折扣，用扣除后的价格参与评审。联合体各方均为小型、微型企业的，联合体视同为小型、微型企业； </w:t>
      </w:r>
    </w:p>
    <w:p w14:paraId="66BC204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（3）监狱企业、残疾人福利性单位视同小型、微型企业，享受评审中价格扣除等促进中小企业发展的政府采购政策。</w:t>
      </w:r>
    </w:p>
    <w:p w14:paraId="303CD4D8">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33.4政府采购政策交叉与叠加</w:t>
      </w:r>
    </w:p>
    <w:p w14:paraId="3778C593">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（1）投标产品取得两个及以上优先采购产品认证的，评审时只有其中一项产品能享受优先采购优惠（投标人自行选择，并在投标文件中并填报相关信息及数据）</w:t>
      </w:r>
    </w:p>
    <w:p w14:paraId="26518D41">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（2）投标人同时符合小型、微型企业及监狱企业、残疾人福利性单位要求的，评审时只有一种类型享受价格评审优惠政策；</w:t>
      </w:r>
    </w:p>
    <w:p w14:paraId="7C8EF68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（3）小型和微型企业的价格评审优惠可以与同时属于“节能产品”、“环境标志产品”中的一项优先采购优惠累加计算。</w:t>
      </w:r>
    </w:p>
    <w:p w14:paraId="472DC313">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33.5投标人符合本章第 33.1 款、第 33.2 款、第 33.3 款规定的，应提供相关证明资料。</w:t>
      </w:r>
    </w:p>
    <w:p w14:paraId="00B44CEC">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（1）节能产品、环境标志产品：提供国家确定的认证机构出具的、处于有效期之内的节能产品、环境标志产品认证证书（复印件）。</w:t>
      </w:r>
    </w:p>
    <w:p w14:paraId="3C43DEB5">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（2）中小企业：按《政府采购促进中小企业发展办法》(财库[2020]46 号)规定，投标人提供《中小企业声明函》（格式）。</w:t>
      </w:r>
    </w:p>
    <w:p w14:paraId="5615D822">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（3）监狱企业：按《关于政府采购支持监狱企业发展有关问题的通知》(财库〔2014〕68 号)文件规定提供证明文件（复印件）。</w:t>
      </w:r>
    </w:p>
    <w:p w14:paraId="228CA89E">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（4）残疾人福利性单位：按《关于促进残疾人就业政府采购政策的通知》(财库〔2017〕141  号)文件规定提供《残疾人福利性单位声明函》（格式）。</w:t>
      </w:r>
    </w:p>
    <w:p w14:paraId="2F5034BC">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rPr>
        <w:t>33.6投标人有融资、担保需求的，可登陆中国湖南政府采购网查询相关银行、担保机构业务。</w:t>
      </w:r>
    </w:p>
    <w:p w14:paraId="04FC0B71">
      <w:pPr>
        <w:pStyle w:val="4"/>
        <w:adjustRightInd w:val="0"/>
        <w:snapToGrid w:val="0"/>
        <w:spacing w:before="161" w:beforeLines="50" w:after="0" w:line="360" w:lineRule="auto"/>
        <w:jc w:val="center"/>
        <w:rPr>
          <w:rFonts w:ascii="宋体" w:hAnsi="宋体" w:cs="宋体"/>
          <w:sz w:val="28"/>
          <w:szCs w:val="28"/>
        </w:rPr>
      </w:pPr>
      <w:bookmarkStart w:id="40" w:name="_Toc165"/>
      <w:r>
        <w:rPr>
          <w:rFonts w:hint="eastAsia" w:ascii="宋体" w:hAnsi="宋体" w:cs="宋体"/>
          <w:sz w:val="28"/>
          <w:szCs w:val="28"/>
        </w:rPr>
        <w:t>九、其他规定</w:t>
      </w:r>
      <w:bookmarkEnd w:id="40"/>
    </w:p>
    <w:p w14:paraId="3476385E">
      <w:pPr>
        <w:adjustRightInd w:val="0"/>
        <w:snapToGrid w:val="0"/>
        <w:spacing w:before="161" w:beforeLines="50" w:line="360" w:lineRule="auto"/>
        <w:jc w:val="left"/>
        <w:rPr>
          <w:rFonts w:ascii="宋体" w:hAnsi="宋体" w:cs="宋体"/>
          <w:szCs w:val="21"/>
        </w:rPr>
      </w:pPr>
      <w:r>
        <w:rPr>
          <w:rFonts w:hint="eastAsia" w:ascii="宋体" w:hAnsi="宋体" w:cs="宋体"/>
          <w:b/>
          <w:bCs/>
          <w:szCs w:val="21"/>
        </w:rPr>
        <w:t>34、招标不足三家处理</w:t>
      </w:r>
    </w:p>
    <w:p w14:paraId="72C3FC3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34.1公开招标数额标准以上的采购项目，投标截止后投标人不足 3 家或者通过资格审查或符合性审查的投标人不足 3 家的，除采购任务取消情形外，按照以下方式处理：</w:t>
      </w:r>
    </w:p>
    <w:p w14:paraId="06A01390">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（1）招标文件存在不合理条款或者招标程序不符合规定的，采购人、采购代理机构改正后依法重新招标；</w:t>
      </w:r>
    </w:p>
    <w:p w14:paraId="09F9ABB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（2）招标文件没有不合理条款、招标程序符合规定，需要采用其他采购方式采购的，采购人  应当依法报财政部门批准。</w:t>
      </w:r>
    </w:p>
    <w:p w14:paraId="374690C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34.2属上款第（2）项情形的，评标委员会应出具的招标文件没有不合理条款的论证意见。</w:t>
      </w:r>
    </w:p>
    <w:p w14:paraId="29CB15FE">
      <w:pPr>
        <w:adjustRightInd w:val="0"/>
        <w:snapToGrid w:val="0"/>
        <w:spacing w:before="161" w:beforeLines="50" w:line="360" w:lineRule="auto"/>
        <w:jc w:val="left"/>
        <w:rPr>
          <w:rFonts w:ascii="宋体" w:hAnsi="宋体" w:cs="宋体"/>
          <w:b/>
          <w:bCs/>
          <w:szCs w:val="21"/>
        </w:rPr>
      </w:pPr>
      <w:r>
        <w:rPr>
          <w:rFonts w:hint="eastAsia" w:ascii="宋体" w:hAnsi="宋体" w:cs="宋体"/>
          <w:b/>
          <w:bCs/>
          <w:szCs w:val="21"/>
        </w:rPr>
        <w:t>35. 需要补充的其他内容</w:t>
      </w:r>
    </w:p>
    <w:p w14:paraId="4AF81421">
      <w:pPr>
        <w:adjustRightInd w:val="0"/>
        <w:snapToGrid w:val="0"/>
        <w:spacing w:line="360" w:lineRule="auto"/>
        <w:ind w:firstLine="630" w:firstLineChars="300"/>
        <w:jc w:val="left"/>
        <w:rPr>
          <w:rFonts w:ascii="宋体" w:hAnsi="宋体" w:cs="宋体"/>
          <w:szCs w:val="21"/>
        </w:rPr>
      </w:pPr>
      <w:r>
        <w:rPr>
          <w:rFonts w:hint="eastAsia" w:ascii="宋体" w:hAnsi="宋体" w:cs="宋体"/>
          <w:szCs w:val="21"/>
        </w:rPr>
        <w:t>35.1合同价款支付</w:t>
      </w:r>
    </w:p>
    <w:p w14:paraId="12480AA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（1）除预付款外，验收合格后，乙方出具正规发票给甲方，凭相关验收凭证办理对应合同价</w:t>
      </w:r>
      <w:r>
        <w:rPr>
          <w:rFonts w:hint="eastAsia" w:ascii="宋体" w:hAnsi="宋体"/>
          <w:bCs/>
          <w:szCs w:val="21"/>
        </w:rPr>
        <w:t>款</w:t>
      </w:r>
      <w:r>
        <w:rPr>
          <w:rFonts w:hint="eastAsia" w:ascii="宋体" w:hAnsi="宋体"/>
          <w:szCs w:val="21"/>
        </w:rPr>
        <w:t>结算手续。</w:t>
      </w:r>
    </w:p>
    <w:p w14:paraId="2CE863B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（2）合同价款构成中应当由财政支付的部分，甲方应当在货物验收合格并收到乙方开具的等额增值税发票后向国库管理部门申请支付，经国库管理部门审核后支付给乙方。</w:t>
      </w:r>
    </w:p>
    <w:p w14:paraId="15D3F4D1">
      <w:pPr>
        <w:adjustRightInd w:val="0"/>
        <w:snapToGrid w:val="0"/>
        <w:spacing w:before="50" w:line="360" w:lineRule="auto"/>
        <w:ind w:firstLine="420" w:firstLineChars="200"/>
        <w:jc w:val="left"/>
        <w:rPr>
          <w:rFonts w:ascii="宋体" w:hAnsi="宋体"/>
          <w:szCs w:val="21"/>
        </w:rPr>
      </w:pPr>
      <w:r>
        <w:rPr>
          <w:rFonts w:hint="eastAsia" w:ascii="宋体" w:hAnsi="宋体"/>
          <w:szCs w:val="21"/>
        </w:rPr>
        <w:t>（3）合同价款构成中应当由甲方自行支付的部分，甲方应当在货物验收合格并收到乙方开具的等额增值税发票后支付。</w:t>
      </w:r>
    </w:p>
    <w:p w14:paraId="715F42D9">
      <w:pPr>
        <w:adjustRightInd w:val="0"/>
        <w:snapToGrid w:val="0"/>
        <w:spacing w:before="50" w:line="360" w:lineRule="auto"/>
        <w:ind w:firstLine="420" w:firstLineChars="200"/>
        <w:jc w:val="left"/>
        <w:rPr>
          <w:rFonts w:ascii="宋体" w:hAnsi="宋体"/>
          <w:szCs w:val="21"/>
        </w:rPr>
      </w:pPr>
      <w:r>
        <w:rPr>
          <w:rFonts w:hint="eastAsia" w:ascii="宋体" w:hAnsi="宋体"/>
          <w:szCs w:val="21"/>
        </w:rPr>
        <w:t>（4）支付合同价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2D2E9B1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（5）合同价款支付方式</w:t>
      </w:r>
      <w:r>
        <w:rPr>
          <w:rFonts w:hint="eastAsia" w:ascii="宋体" w:hAnsi="宋体"/>
          <w:bCs/>
          <w:szCs w:val="21"/>
        </w:rPr>
        <w:t>和条件在</w:t>
      </w:r>
      <w:r>
        <w:rPr>
          <w:rFonts w:hint="eastAsia" w:ascii="宋体" w:hAnsi="宋体"/>
          <w:b/>
          <w:szCs w:val="21"/>
        </w:rPr>
        <w:t>【投标须知前附表】</w:t>
      </w:r>
      <w:r>
        <w:rPr>
          <w:rFonts w:hint="eastAsia" w:ascii="宋体" w:hAnsi="宋体"/>
          <w:szCs w:val="21"/>
        </w:rPr>
        <w:t>中另有规定。</w:t>
      </w:r>
    </w:p>
    <w:p w14:paraId="57CD93AF">
      <w:pPr>
        <w:adjustRightInd w:val="0"/>
        <w:snapToGrid w:val="0"/>
        <w:spacing w:line="360" w:lineRule="auto"/>
        <w:ind w:firstLine="630" w:firstLineChars="300"/>
        <w:jc w:val="left"/>
        <w:rPr>
          <w:rFonts w:ascii="宋体" w:hAnsi="宋体"/>
        </w:rPr>
      </w:pPr>
      <w:r>
        <w:rPr>
          <w:rFonts w:hint="eastAsia" w:ascii="宋体" w:hAnsi="宋体"/>
        </w:rPr>
        <w:t>35.2代理服务费的支付按</w:t>
      </w:r>
      <w:r>
        <w:rPr>
          <w:rFonts w:hint="eastAsia" w:ascii="宋体" w:hAnsi="宋体"/>
          <w:b/>
          <w:szCs w:val="21"/>
        </w:rPr>
        <w:t>【投标须知前附表】</w:t>
      </w:r>
      <w:r>
        <w:rPr>
          <w:rFonts w:hint="eastAsia" w:ascii="宋体" w:hAnsi="宋体"/>
          <w:bCs/>
          <w:szCs w:val="21"/>
        </w:rPr>
        <w:t>规定支付。</w:t>
      </w:r>
    </w:p>
    <w:p w14:paraId="1F7F0391">
      <w:pPr>
        <w:adjustRightInd w:val="0"/>
        <w:snapToGrid w:val="0"/>
        <w:spacing w:line="360" w:lineRule="auto"/>
        <w:ind w:firstLine="630" w:firstLineChars="300"/>
        <w:jc w:val="left"/>
        <w:rPr>
          <w:rFonts w:ascii="宋体" w:hAnsi="宋体"/>
          <w:szCs w:val="21"/>
        </w:rPr>
      </w:pPr>
      <w:r>
        <w:rPr>
          <w:rFonts w:hint="eastAsia" w:ascii="宋体" w:hAnsi="宋体"/>
        </w:rPr>
        <w:t>35.3招标文件需要补充的其</w:t>
      </w:r>
      <w:r>
        <w:rPr>
          <w:rFonts w:hint="eastAsia" w:ascii="宋体" w:hAnsi="宋体"/>
          <w:szCs w:val="21"/>
        </w:rPr>
        <w:t>他内容见</w:t>
      </w:r>
      <w:r>
        <w:rPr>
          <w:rFonts w:hint="eastAsia" w:ascii="宋体" w:hAnsi="宋体"/>
          <w:b/>
          <w:szCs w:val="21"/>
        </w:rPr>
        <w:t>【投标须知前附表】</w:t>
      </w:r>
      <w:r>
        <w:rPr>
          <w:rFonts w:hint="eastAsia" w:ascii="宋体" w:hAnsi="宋体"/>
          <w:szCs w:val="21"/>
        </w:rPr>
        <w:t>。</w:t>
      </w:r>
    </w:p>
    <w:p w14:paraId="219F026A">
      <w:pPr>
        <w:adjustRightInd w:val="0"/>
        <w:snapToGrid w:val="0"/>
        <w:spacing w:line="360" w:lineRule="auto"/>
        <w:ind w:firstLine="630" w:firstLineChars="300"/>
        <w:jc w:val="left"/>
        <w:rPr>
          <w:rFonts w:ascii="宋体" w:hAnsi="宋体"/>
          <w:szCs w:val="21"/>
        </w:rPr>
      </w:pPr>
    </w:p>
    <w:p w14:paraId="5A55F38D">
      <w:pPr>
        <w:pStyle w:val="22"/>
        <w:adjustRightInd w:val="0"/>
        <w:snapToGrid w:val="0"/>
        <w:spacing w:line="360" w:lineRule="auto"/>
        <w:jc w:val="center"/>
        <w:outlineLvl w:val="0"/>
        <w:rPr>
          <w:rFonts w:hAnsi="宋体" w:cs="宋体"/>
          <w:bCs/>
          <w:w w:val="90"/>
          <w:sz w:val="32"/>
          <w:szCs w:val="32"/>
        </w:rPr>
      </w:pPr>
      <w:r>
        <w:rPr>
          <w:rFonts w:hint="eastAsia" w:hAnsi="宋体" w:cs="宋体"/>
        </w:rPr>
        <w:br w:type="page"/>
      </w:r>
    </w:p>
    <w:p w14:paraId="3CE5222E">
      <w:pPr>
        <w:pStyle w:val="2"/>
        <w:rPr>
          <w:rFonts w:ascii="宋体" w:hAnsi="宋体" w:cs="宋体"/>
          <w:sz w:val="32"/>
          <w:szCs w:val="32"/>
        </w:rPr>
      </w:pPr>
      <w:bookmarkStart w:id="41" w:name="_Toc688"/>
      <w:r>
        <w:rPr>
          <w:rFonts w:hint="eastAsia" w:ascii="宋体" w:hAnsi="宋体" w:cs="宋体"/>
          <w:sz w:val="32"/>
          <w:szCs w:val="32"/>
        </w:rPr>
        <w:t>第三章 资格审查</w:t>
      </w:r>
      <w:bookmarkEnd w:id="41"/>
    </w:p>
    <w:p w14:paraId="48D2891E">
      <w:pPr>
        <w:pStyle w:val="4"/>
        <w:adjustRightInd w:val="0"/>
        <w:snapToGrid w:val="0"/>
        <w:spacing w:before="161" w:beforeLines="50" w:after="0" w:line="360" w:lineRule="auto"/>
        <w:rPr>
          <w:rFonts w:ascii="宋体" w:hAnsi="宋体" w:cs="宋体"/>
          <w:sz w:val="24"/>
          <w:szCs w:val="24"/>
        </w:rPr>
      </w:pPr>
      <w:bookmarkStart w:id="42" w:name="_Toc1546"/>
      <w:r>
        <w:rPr>
          <w:rFonts w:hint="eastAsia" w:ascii="宋体" w:hAnsi="宋体" w:cs="宋体"/>
          <w:sz w:val="24"/>
          <w:szCs w:val="24"/>
        </w:rPr>
        <w:t>1．资格审查主体</w:t>
      </w:r>
      <w:bookmarkEnd w:id="42"/>
    </w:p>
    <w:p w14:paraId="7A3445DA">
      <w:pPr>
        <w:adjustRightInd w:val="0"/>
        <w:snapToGrid w:val="0"/>
        <w:spacing w:before="161" w:beforeLines="50" w:line="360" w:lineRule="auto"/>
        <w:ind w:firstLine="417" w:firstLineChars="199"/>
        <w:jc w:val="left"/>
        <w:rPr>
          <w:rFonts w:ascii="宋体" w:hAnsi="宋体" w:cs="宋体"/>
          <w:szCs w:val="21"/>
        </w:rPr>
      </w:pPr>
      <w:r>
        <w:rPr>
          <w:rFonts w:hint="eastAsia" w:ascii="宋体" w:hAnsi="宋体" w:cs="宋体"/>
          <w:szCs w:val="21"/>
        </w:rPr>
        <w:t>1.1资格审查主体：采购人、采购代理机构负责资格审查。</w:t>
      </w:r>
    </w:p>
    <w:p w14:paraId="08213BEF">
      <w:pPr>
        <w:pStyle w:val="4"/>
        <w:adjustRightInd w:val="0"/>
        <w:snapToGrid w:val="0"/>
        <w:spacing w:before="161" w:beforeLines="50" w:after="0" w:line="360" w:lineRule="auto"/>
        <w:rPr>
          <w:rFonts w:ascii="宋体" w:hAnsi="宋体" w:cs="宋体"/>
          <w:sz w:val="24"/>
          <w:szCs w:val="24"/>
        </w:rPr>
      </w:pPr>
      <w:bookmarkStart w:id="43" w:name="_Toc5628"/>
      <w:r>
        <w:rPr>
          <w:rFonts w:hint="eastAsia" w:ascii="宋体" w:hAnsi="宋体" w:cs="宋体"/>
          <w:sz w:val="24"/>
          <w:szCs w:val="24"/>
        </w:rPr>
        <w:t>2．资格审查</w:t>
      </w:r>
      <w:bookmarkEnd w:id="43"/>
    </w:p>
    <w:p w14:paraId="33B565A5">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2.1资格审查依据法律法规和招标文件的规定，对投标文件中的资格证明文件、投标保证金、投标报价等进行审查，以确定投标投标人是否具备投标资格。</w:t>
      </w:r>
    </w:p>
    <w:p w14:paraId="06004A4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2.2采购人、采购代理机构按本章附表1“资格审查表”所列审查项目及审查标准，对投标人资格进行审查。</w:t>
      </w:r>
    </w:p>
    <w:p w14:paraId="373CEA4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2.3在资格审查时，投标人存在下列情况之一的，资格审查不合格，其投标无效：</w:t>
      </w:r>
    </w:p>
    <w:p w14:paraId="5EF7948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（1）不具备招标文件中规定的资格要求的，或提交的资格证明文件不符合招标文件要求的；</w:t>
      </w:r>
    </w:p>
    <w:p w14:paraId="43E5A033">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（2）联合体投标未提交联合体协议书，或未提交联合体各方资格证明文件的；</w:t>
      </w:r>
    </w:p>
    <w:p w14:paraId="45725AF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（3）投标文件的资格证明文件未按照招标文件要求签署、盖章的；</w:t>
      </w:r>
    </w:p>
    <w:p w14:paraId="3CF39DF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（4）未按照招标文件的规定提交投标保证金的。</w:t>
      </w:r>
    </w:p>
    <w:p w14:paraId="36169E5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（5）投标报价超过招标文件中规定的预算金额或者最高限价的；</w:t>
      </w:r>
    </w:p>
    <w:p w14:paraId="70FE586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（6）法律、法规和招标文件规定的其他投标无效情形的。</w:t>
      </w:r>
    </w:p>
    <w:p w14:paraId="22AEAA5B">
      <w:pPr>
        <w:adjustRightInd w:val="0"/>
        <w:snapToGrid w:val="0"/>
        <w:spacing w:before="161" w:beforeLines="50" w:line="360" w:lineRule="auto"/>
        <w:ind w:firstLine="420" w:firstLineChars="200"/>
        <w:jc w:val="left"/>
        <w:rPr>
          <w:rFonts w:ascii="宋体" w:hAnsi="宋体" w:cs="宋体"/>
          <w:b/>
          <w:sz w:val="32"/>
          <w:szCs w:val="32"/>
        </w:rPr>
      </w:pPr>
      <w:r>
        <w:rPr>
          <w:rFonts w:hint="eastAsia" w:ascii="宋体" w:hAnsi="宋体" w:cs="宋体"/>
        </w:rPr>
        <w:t>2.4信用记录。开标结束后</w:t>
      </w:r>
      <w:r>
        <w:rPr>
          <w:rFonts w:hint="eastAsia" w:ascii="宋体" w:hAnsi="宋体" w:cs="宋体"/>
          <w:szCs w:val="21"/>
        </w:rPr>
        <w:t>资格审查时，采购人、采购代理机构将对投标人信用记录进行甄别。</w:t>
      </w:r>
    </w:p>
    <w:p w14:paraId="1D89B65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（1）信用信息查询的查询渠道：信用中国网（www.creditchina.gov.cn）、中国政府采购网（www.ccgp.gov.cn）；</w:t>
      </w:r>
    </w:p>
    <w:p w14:paraId="2DB56CD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7A2FAB69">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（3）联合体形式投标的，联合体成员存在不良信用记录的，视同联合体存在不良信用记录。</w:t>
      </w:r>
    </w:p>
    <w:p w14:paraId="00906F1D">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信用信息查询记录和证据留存具体方式：采购人、采购代理机构经办人将查询网页截图、打印、签字，作为查询记录和证据，与其他采购文件一并保存。投标人不良信用记录以采购人、采购代理机构查询结果为准。</w:t>
      </w:r>
    </w:p>
    <w:p w14:paraId="44409FC0">
      <w:pPr>
        <w:pStyle w:val="4"/>
        <w:adjustRightInd w:val="0"/>
        <w:snapToGrid w:val="0"/>
        <w:spacing w:before="161" w:beforeLines="50" w:after="0" w:line="360" w:lineRule="auto"/>
        <w:rPr>
          <w:rFonts w:ascii="宋体" w:hAnsi="宋体" w:cs="宋体"/>
          <w:sz w:val="24"/>
          <w:szCs w:val="24"/>
        </w:rPr>
      </w:pPr>
      <w:bookmarkStart w:id="44" w:name="_Toc13527"/>
      <w:r>
        <w:rPr>
          <w:rFonts w:hint="eastAsia" w:ascii="宋体" w:hAnsi="宋体" w:cs="宋体"/>
          <w:sz w:val="24"/>
          <w:szCs w:val="24"/>
        </w:rPr>
        <w:t>3．资格审查结果</w:t>
      </w:r>
      <w:bookmarkEnd w:id="44"/>
    </w:p>
    <w:p w14:paraId="440C565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3.1未通过资格审查的投标人，采购人、采购代理机构应当告知其未通过的原因。</w:t>
      </w:r>
    </w:p>
    <w:p w14:paraId="27E93BC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3.2资格审查结束后，采购人、采购代理机构应将资格审查结果告知评标委员会。</w:t>
      </w:r>
    </w:p>
    <w:p w14:paraId="658A32A8">
      <w:pPr>
        <w:pStyle w:val="4"/>
        <w:adjustRightInd w:val="0"/>
        <w:snapToGrid w:val="0"/>
        <w:spacing w:before="50" w:after="0" w:line="360" w:lineRule="auto"/>
        <w:rPr>
          <w:rFonts w:ascii="宋体" w:hAnsi="宋体" w:cs="宋体"/>
          <w:sz w:val="24"/>
          <w:szCs w:val="24"/>
        </w:rPr>
      </w:pPr>
      <w:bookmarkStart w:id="45" w:name="_Toc22048"/>
      <w:r>
        <w:rPr>
          <w:rFonts w:hint="eastAsia" w:ascii="宋体" w:hAnsi="宋体" w:cs="宋体"/>
          <w:sz w:val="24"/>
          <w:szCs w:val="24"/>
        </w:rPr>
        <w:t>4．其他</w:t>
      </w:r>
      <w:bookmarkEnd w:id="45"/>
    </w:p>
    <w:p w14:paraId="3C77BA35">
      <w:pPr>
        <w:adjustRightInd w:val="0"/>
        <w:snapToGrid w:val="0"/>
        <w:spacing w:before="161" w:beforeLines="50" w:line="360" w:lineRule="auto"/>
        <w:ind w:firstLine="420" w:firstLineChars="200"/>
        <w:jc w:val="left"/>
        <w:rPr>
          <w:rFonts w:ascii="宋体" w:hAnsi="宋体" w:cs="宋体"/>
          <w:b/>
          <w:bCs/>
          <w:sz w:val="32"/>
        </w:rPr>
      </w:pPr>
      <w:r>
        <w:rPr>
          <w:rFonts w:hint="eastAsia" w:ascii="宋体" w:hAnsi="宋体" w:cs="宋体"/>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宋体" w:hAnsi="宋体" w:cs="宋体"/>
        </w:rPr>
        <w:br w:type="page"/>
      </w:r>
    </w:p>
    <w:p w14:paraId="6C0A54A2">
      <w:pPr>
        <w:pStyle w:val="5"/>
        <w:adjustRightInd w:val="0"/>
        <w:snapToGrid w:val="0"/>
        <w:spacing w:before="0" w:after="0" w:line="360" w:lineRule="auto"/>
        <w:rPr>
          <w:rFonts w:ascii="宋体" w:hAnsi="宋体" w:eastAsia="宋体" w:cs="宋体"/>
          <w:sz w:val="21"/>
          <w:szCs w:val="21"/>
        </w:rPr>
      </w:pPr>
      <w:bookmarkStart w:id="46" w:name="_Toc31461"/>
      <w:r>
        <w:rPr>
          <w:rFonts w:hint="eastAsia" w:ascii="宋体" w:hAnsi="宋体" w:eastAsia="宋体" w:cs="宋体"/>
          <w:sz w:val="21"/>
          <w:szCs w:val="21"/>
        </w:rPr>
        <w:t>附表1资格审查表</w:t>
      </w:r>
      <w:bookmarkEnd w:id="46"/>
    </w:p>
    <w:p w14:paraId="315BB107">
      <w:pPr>
        <w:adjustRightInd w:val="0"/>
        <w:snapToGrid w:val="0"/>
        <w:spacing w:line="360" w:lineRule="auto"/>
        <w:jc w:val="center"/>
        <w:rPr>
          <w:rFonts w:ascii="宋体" w:hAnsi="宋体" w:cs="宋体"/>
          <w:b/>
          <w:sz w:val="28"/>
          <w:szCs w:val="28"/>
        </w:rPr>
      </w:pPr>
      <w:r>
        <w:rPr>
          <w:rFonts w:hint="eastAsia" w:ascii="宋体" w:hAnsi="宋体" w:cs="宋体"/>
          <w:b/>
          <w:sz w:val="28"/>
          <w:szCs w:val="28"/>
        </w:rPr>
        <w:t>资格审查表</w:t>
      </w:r>
    </w:p>
    <w:p w14:paraId="1205965A">
      <w:pPr>
        <w:adjustRightInd w:val="0"/>
        <w:snapToGrid w:val="0"/>
        <w:spacing w:line="360" w:lineRule="auto"/>
        <w:rPr>
          <w:rFonts w:ascii="宋体" w:hAnsi="宋体" w:cs="宋体"/>
          <w:sz w:val="28"/>
          <w:szCs w:val="28"/>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rPr>
        <w:t xml:space="preserve">                                          委托代理编号：</w:t>
      </w:r>
      <w:r>
        <w:rPr>
          <w:rFonts w:hint="eastAsia" w:ascii="宋体" w:hAnsi="宋体" w:cs="宋体"/>
          <w:szCs w:val="21"/>
          <w:u w:val="single"/>
        </w:rPr>
        <w:t xml:space="preserve">       </w:t>
      </w:r>
    </w:p>
    <w:tbl>
      <w:tblPr>
        <w:tblStyle w:val="44"/>
        <w:tblW w:w="94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937"/>
        <w:gridCol w:w="5570"/>
      </w:tblGrid>
      <w:tr w14:paraId="06760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46" w:type="dxa"/>
            <w:tcBorders>
              <w:tl2br w:val="nil"/>
              <w:tr2bl w:val="nil"/>
            </w:tcBorders>
            <w:vAlign w:val="center"/>
          </w:tcPr>
          <w:p w14:paraId="32F7814F">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序号</w:t>
            </w:r>
          </w:p>
        </w:tc>
        <w:tc>
          <w:tcPr>
            <w:tcW w:w="2937" w:type="dxa"/>
            <w:tcBorders>
              <w:tl2br w:val="nil"/>
              <w:tr2bl w:val="nil"/>
            </w:tcBorders>
            <w:vAlign w:val="center"/>
          </w:tcPr>
          <w:p w14:paraId="53B0736B">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570" w:type="dxa"/>
            <w:tcBorders>
              <w:tl2br w:val="nil"/>
              <w:tr2bl w:val="nil"/>
            </w:tcBorders>
            <w:vAlign w:val="center"/>
          </w:tcPr>
          <w:p w14:paraId="77CC45AB">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155F2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110D5175">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1</w:t>
            </w:r>
          </w:p>
        </w:tc>
        <w:tc>
          <w:tcPr>
            <w:tcW w:w="2937" w:type="dxa"/>
            <w:tcBorders>
              <w:tl2br w:val="nil"/>
              <w:tr2bl w:val="nil"/>
            </w:tcBorders>
            <w:vAlign w:val="center"/>
          </w:tcPr>
          <w:p w14:paraId="6D4AD511">
            <w:pPr>
              <w:spacing w:line="360" w:lineRule="auto"/>
              <w:rPr>
                <w:rFonts w:ascii="宋体" w:hAnsi="宋体" w:cs="宋体"/>
                <w:szCs w:val="21"/>
              </w:rPr>
            </w:pPr>
            <w:r>
              <w:rPr>
                <w:rFonts w:hint="eastAsia" w:ascii="宋体" w:hAnsi="宋体" w:cs="宋体"/>
                <w:szCs w:val="21"/>
              </w:rPr>
              <w:t>资格证明文件的签署、盖章</w:t>
            </w:r>
          </w:p>
        </w:tc>
        <w:tc>
          <w:tcPr>
            <w:tcW w:w="5570" w:type="dxa"/>
            <w:tcBorders>
              <w:tl2br w:val="nil"/>
              <w:tr2bl w:val="nil"/>
            </w:tcBorders>
            <w:vAlign w:val="center"/>
          </w:tcPr>
          <w:p w14:paraId="15015CC5">
            <w:pPr>
              <w:spacing w:line="360" w:lineRule="auto"/>
              <w:rPr>
                <w:rFonts w:ascii="宋体" w:hAnsi="宋体" w:cs="宋体"/>
                <w:szCs w:val="21"/>
              </w:rPr>
            </w:pPr>
            <w:r>
              <w:rPr>
                <w:rFonts w:hint="eastAsia" w:ascii="宋体" w:hAnsi="宋体" w:cs="宋体"/>
                <w:szCs w:val="21"/>
              </w:rPr>
              <w:t>未按招标文件格式及要求签署或盖章的，审查结果为不合格。</w:t>
            </w:r>
          </w:p>
        </w:tc>
      </w:tr>
      <w:tr w14:paraId="3C152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6" w:type="dxa"/>
            <w:tcBorders>
              <w:tl2br w:val="nil"/>
              <w:tr2bl w:val="nil"/>
            </w:tcBorders>
            <w:vAlign w:val="center"/>
          </w:tcPr>
          <w:p w14:paraId="656FAA46">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2</w:t>
            </w:r>
          </w:p>
        </w:tc>
        <w:tc>
          <w:tcPr>
            <w:tcW w:w="2937" w:type="dxa"/>
            <w:tcBorders>
              <w:tl2br w:val="nil"/>
              <w:tr2bl w:val="nil"/>
            </w:tcBorders>
            <w:vAlign w:val="center"/>
          </w:tcPr>
          <w:p w14:paraId="41EDAC1C">
            <w:pPr>
              <w:spacing w:line="360" w:lineRule="auto"/>
              <w:rPr>
                <w:rFonts w:ascii="宋体" w:hAnsi="宋体" w:cs="宋体"/>
                <w:szCs w:val="21"/>
              </w:rPr>
            </w:pPr>
            <w:r>
              <w:rPr>
                <w:rFonts w:hint="eastAsia" w:ascii="宋体" w:hAnsi="宋体" w:cs="宋体"/>
                <w:szCs w:val="21"/>
              </w:rPr>
              <w:t>投标报价</w:t>
            </w:r>
          </w:p>
        </w:tc>
        <w:tc>
          <w:tcPr>
            <w:tcW w:w="5570" w:type="dxa"/>
            <w:tcBorders>
              <w:tl2br w:val="nil"/>
              <w:tr2bl w:val="nil"/>
            </w:tcBorders>
            <w:vAlign w:val="center"/>
          </w:tcPr>
          <w:p w14:paraId="761987B5">
            <w:pPr>
              <w:spacing w:line="360" w:lineRule="auto"/>
              <w:rPr>
                <w:rFonts w:ascii="宋体" w:hAnsi="宋体" w:cs="宋体"/>
                <w:szCs w:val="21"/>
              </w:rPr>
            </w:pPr>
            <w:r>
              <w:rPr>
                <w:rFonts w:hint="eastAsia" w:ascii="宋体" w:hAnsi="宋体" w:cs="宋体"/>
                <w:szCs w:val="21"/>
              </w:rPr>
              <w:t>投标人投标报价超过采购预算或最高限价的（如果设定了最高限价），审查结果为不合格。</w:t>
            </w:r>
          </w:p>
        </w:tc>
      </w:tr>
      <w:tr w14:paraId="64FD2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568B2348">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3</w:t>
            </w:r>
          </w:p>
        </w:tc>
        <w:tc>
          <w:tcPr>
            <w:tcW w:w="2937" w:type="dxa"/>
            <w:tcBorders>
              <w:tl2br w:val="nil"/>
              <w:tr2bl w:val="nil"/>
            </w:tcBorders>
            <w:vAlign w:val="center"/>
          </w:tcPr>
          <w:p w14:paraId="6251CFE7">
            <w:pPr>
              <w:spacing w:line="360" w:lineRule="auto"/>
              <w:rPr>
                <w:rFonts w:ascii="宋体" w:hAnsi="宋体" w:cs="宋体"/>
                <w:szCs w:val="21"/>
              </w:rPr>
            </w:pPr>
            <w:r>
              <w:rPr>
                <w:rFonts w:hint="eastAsia" w:ascii="宋体" w:hAnsi="宋体" w:cs="宋体"/>
                <w:szCs w:val="21"/>
              </w:rPr>
              <w:t>投标代表参与投标的授权书或身份证明</w:t>
            </w:r>
          </w:p>
        </w:tc>
        <w:tc>
          <w:tcPr>
            <w:tcW w:w="5570" w:type="dxa"/>
            <w:tcBorders>
              <w:tl2br w:val="nil"/>
              <w:tr2bl w:val="nil"/>
            </w:tcBorders>
            <w:vAlign w:val="center"/>
          </w:tcPr>
          <w:p w14:paraId="6847C75C">
            <w:pPr>
              <w:spacing w:line="360" w:lineRule="auto"/>
              <w:rPr>
                <w:rFonts w:ascii="宋体" w:hAnsi="宋体" w:cs="宋体"/>
                <w:szCs w:val="21"/>
              </w:rPr>
            </w:pPr>
            <w:r>
              <w:rPr>
                <w:rFonts w:hint="eastAsia" w:ascii="宋体" w:hAnsi="宋体" w:cs="宋体"/>
                <w:szCs w:val="21"/>
              </w:rPr>
              <w:t>法定代表人（单位负责人）身份证明（代理人投标须提供授权委托书并附法定代表人（单位负责人）身份证明），未按要求提供的，审查结果为不合格。</w:t>
            </w:r>
          </w:p>
        </w:tc>
      </w:tr>
      <w:tr w14:paraId="143BA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6A8EE529">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4</w:t>
            </w:r>
          </w:p>
        </w:tc>
        <w:tc>
          <w:tcPr>
            <w:tcW w:w="2937" w:type="dxa"/>
            <w:tcBorders>
              <w:tl2br w:val="nil"/>
              <w:tr2bl w:val="nil"/>
            </w:tcBorders>
            <w:vAlign w:val="center"/>
          </w:tcPr>
          <w:p w14:paraId="35A52341">
            <w:pPr>
              <w:spacing w:line="360" w:lineRule="auto"/>
              <w:rPr>
                <w:rFonts w:ascii="宋体" w:hAnsi="宋体" w:cs="宋体"/>
                <w:szCs w:val="21"/>
              </w:rPr>
            </w:pPr>
            <w:r>
              <w:rPr>
                <w:rFonts w:hint="eastAsia" w:ascii="宋体" w:hAnsi="宋体" w:cs="宋体"/>
                <w:szCs w:val="21"/>
              </w:rPr>
              <w:t>法人或者其他组织的营业执照等主体资格证明文件，自然人的身份证明</w:t>
            </w:r>
          </w:p>
        </w:tc>
        <w:tc>
          <w:tcPr>
            <w:tcW w:w="5570" w:type="dxa"/>
            <w:tcBorders>
              <w:tl2br w:val="nil"/>
              <w:tr2bl w:val="nil"/>
            </w:tcBorders>
            <w:vAlign w:val="center"/>
          </w:tcPr>
          <w:p w14:paraId="70532985">
            <w:pPr>
              <w:spacing w:line="360" w:lineRule="auto"/>
              <w:rPr>
                <w:rFonts w:ascii="宋体" w:hAnsi="宋体" w:cs="宋体"/>
                <w:szCs w:val="21"/>
              </w:rPr>
            </w:pPr>
            <w:r>
              <w:rPr>
                <w:rFonts w:hint="eastAsia" w:ascii="宋体" w:hAnsi="宋体" w:cs="宋体"/>
                <w:szCs w:val="21"/>
              </w:rPr>
              <w:t>法人或者其他组织提供加盖单位公章的营业执照等主体资格证明文件复印件，自然人提供本人身份证，否则，审查结果为不合格。</w:t>
            </w:r>
          </w:p>
        </w:tc>
      </w:tr>
      <w:tr w14:paraId="4334B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412EC4AB">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5</w:t>
            </w:r>
          </w:p>
        </w:tc>
        <w:tc>
          <w:tcPr>
            <w:tcW w:w="2937" w:type="dxa"/>
            <w:tcBorders>
              <w:tl2br w:val="nil"/>
              <w:tr2bl w:val="nil"/>
            </w:tcBorders>
            <w:vAlign w:val="center"/>
          </w:tcPr>
          <w:p w14:paraId="2A5DC49B">
            <w:pPr>
              <w:spacing w:line="360" w:lineRule="auto"/>
              <w:rPr>
                <w:rFonts w:ascii="宋体" w:hAnsi="宋体" w:cs="宋体"/>
                <w:szCs w:val="21"/>
              </w:rPr>
            </w:pPr>
            <w:r>
              <w:rPr>
                <w:rFonts w:hint="eastAsia" w:ascii="宋体" w:hAnsi="宋体" w:cs="宋体"/>
                <w:kern w:val="0"/>
                <w:szCs w:val="21"/>
              </w:rPr>
              <w:t>湖南省政府采购供应商资格承诺函</w:t>
            </w:r>
          </w:p>
        </w:tc>
        <w:tc>
          <w:tcPr>
            <w:tcW w:w="5570" w:type="dxa"/>
            <w:tcBorders>
              <w:tl2br w:val="nil"/>
              <w:tr2bl w:val="nil"/>
            </w:tcBorders>
            <w:vAlign w:val="center"/>
          </w:tcPr>
          <w:p w14:paraId="131110FF">
            <w:pPr>
              <w:spacing w:line="360" w:lineRule="auto"/>
              <w:rPr>
                <w:rFonts w:ascii="宋体" w:hAnsi="宋体" w:cs="宋体"/>
                <w:szCs w:val="21"/>
              </w:rPr>
            </w:pPr>
            <w:r>
              <w:rPr>
                <w:rFonts w:hint="eastAsia" w:ascii="宋体" w:hAnsi="宋体" w:cs="宋体"/>
                <w:kern w:val="0"/>
                <w:szCs w:val="21"/>
              </w:rPr>
              <w:t>未按招标文件要求及格式提供湖南省政府采购供应商资格承诺函的，审查结果为不合格。</w:t>
            </w:r>
          </w:p>
        </w:tc>
      </w:tr>
      <w:tr w14:paraId="749C93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0B42E6D5">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6</w:t>
            </w:r>
          </w:p>
        </w:tc>
        <w:tc>
          <w:tcPr>
            <w:tcW w:w="2937" w:type="dxa"/>
            <w:tcBorders>
              <w:tl2br w:val="nil"/>
              <w:tr2bl w:val="nil"/>
            </w:tcBorders>
            <w:vAlign w:val="center"/>
          </w:tcPr>
          <w:p w14:paraId="121B2A32">
            <w:pPr>
              <w:spacing w:line="360" w:lineRule="auto"/>
              <w:rPr>
                <w:rFonts w:ascii="宋体" w:hAnsi="宋体" w:cs="宋体"/>
                <w:kern w:val="0"/>
                <w:szCs w:val="21"/>
              </w:rPr>
            </w:pPr>
            <w:r>
              <w:rPr>
                <w:rFonts w:hint="eastAsia" w:ascii="宋体" w:hAnsi="宋体" w:cs="宋体"/>
                <w:kern w:val="0"/>
                <w:szCs w:val="21"/>
              </w:rPr>
              <w:t>投标人特定资格证明材料（如有设定特定资格条件）</w:t>
            </w:r>
          </w:p>
        </w:tc>
        <w:tc>
          <w:tcPr>
            <w:tcW w:w="5570" w:type="dxa"/>
            <w:tcBorders>
              <w:tl2br w:val="nil"/>
              <w:tr2bl w:val="nil"/>
            </w:tcBorders>
            <w:vAlign w:val="center"/>
          </w:tcPr>
          <w:p w14:paraId="425CF2F3">
            <w:pPr>
              <w:spacing w:line="360" w:lineRule="auto"/>
              <w:rPr>
                <w:rFonts w:ascii="宋体" w:hAnsi="宋体" w:cs="宋体"/>
                <w:kern w:val="0"/>
                <w:szCs w:val="21"/>
              </w:rPr>
            </w:pPr>
            <w:r>
              <w:rPr>
                <w:rFonts w:hint="eastAsia" w:ascii="宋体" w:hAnsi="宋体" w:cs="宋体"/>
                <w:kern w:val="0"/>
                <w:szCs w:val="21"/>
              </w:rPr>
              <w:t>未按招标文件要求提供投标人特定资格证明材料或不具备要求的特定资格条件的，审查结果为不合格。</w:t>
            </w:r>
          </w:p>
        </w:tc>
      </w:tr>
      <w:tr w14:paraId="3D2C6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946" w:type="dxa"/>
            <w:tcBorders>
              <w:tl2br w:val="nil"/>
              <w:tr2bl w:val="nil"/>
            </w:tcBorders>
            <w:vAlign w:val="center"/>
          </w:tcPr>
          <w:p w14:paraId="6BB383E8">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7</w:t>
            </w:r>
          </w:p>
        </w:tc>
        <w:tc>
          <w:tcPr>
            <w:tcW w:w="2937" w:type="dxa"/>
            <w:tcBorders>
              <w:tl2br w:val="nil"/>
              <w:tr2bl w:val="nil"/>
            </w:tcBorders>
            <w:vAlign w:val="center"/>
          </w:tcPr>
          <w:p w14:paraId="253A68F9">
            <w:pPr>
              <w:spacing w:line="360" w:lineRule="auto"/>
              <w:rPr>
                <w:rFonts w:ascii="宋体" w:hAnsi="宋体" w:cs="宋体"/>
                <w:kern w:val="0"/>
                <w:szCs w:val="21"/>
              </w:rPr>
            </w:pPr>
            <w:r>
              <w:rPr>
                <w:rFonts w:hint="eastAsia" w:ascii="宋体" w:hAnsi="宋体" w:cs="宋体"/>
                <w:szCs w:val="21"/>
              </w:rPr>
              <w:t>投标人信用查询记录</w:t>
            </w:r>
          </w:p>
        </w:tc>
        <w:tc>
          <w:tcPr>
            <w:tcW w:w="5570" w:type="dxa"/>
            <w:tcBorders>
              <w:tl2br w:val="nil"/>
              <w:tr2bl w:val="nil"/>
            </w:tcBorders>
            <w:vAlign w:val="center"/>
          </w:tcPr>
          <w:p w14:paraId="43F7242A">
            <w:pPr>
              <w:spacing w:line="360" w:lineRule="auto"/>
              <w:rPr>
                <w:rFonts w:ascii="宋体" w:hAnsi="宋体" w:cs="宋体"/>
                <w:kern w:val="0"/>
                <w:szCs w:val="21"/>
              </w:rPr>
            </w:pPr>
            <w:r>
              <w:rPr>
                <w:rFonts w:hint="eastAsia" w:ascii="宋体" w:hAnsi="宋体" w:cs="宋体"/>
                <w:szCs w:val="21"/>
              </w:rPr>
              <w:t>投标人在“信用中国”网站被列入失信被执行人和重大税收违法案件当事人名单，或在“中国政府采购网”网站被列入政府采购严重违法失信行为记录名单的，审查结果为不合格。</w:t>
            </w:r>
          </w:p>
        </w:tc>
      </w:tr>
      <w:tr w14:paraId="4AE5E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Borders>
              <w:tl2br w:val="nil"/>
              <w:tr2bl w:val="nil"/>
            </w:tcBorders>
            <w:vAlign w:val="center"/>
          </w:tcPr>
          <w:p w14:paraId="41EEB302">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8</w:t>
            </w:r>
          </w:p>
        </w:tc>
        <w:tc>
          <w:tcPr>
            <w:tcW w:w="2937" w:type="dxa"/>
            <w:tcBorders>
              <w:tl2br w:val="nil"/>
              <w:tr2bl w:val="nil"/>
            </w:tcBorders>
            <w:vAlign w:val="center"/>
          </w:tcPr>
          <w:p w14:paraId="1D1C12BC">
            <w:pPr>
              <w:spacing w:line="360" w:lineRule="auto"/>
              <w:rPr>
                <w:rFonts w:ascii="宋体" w:hAnsi="宋体" w:cs="宋体"/>
                <w:szCs w:val="21"/>
              </w:rPr>
            </w:pPr>
            <w:r>
              <w:rPr>
                <w:rFonts w:hint="eastAsia" w:ascii="宋体" w:hAnsi="宋体" w:cs="宋体"/>
                <w:szCs w:val="21"/>
              </w:rPr>
              <w:t>其他</w:t>
            </w:r>
          </w:p>
        </w:tc>
        <w:tc>
          <w:tcPr>
            <w:tcW w:w="5570" w:type="dxa"/>
            <w:tcBorders>
              <w:tl2br w:val="nil"/>
              <w:tr2bl w:val="nil"/>
            </w:tcBorders>
            <w:vAlign w:val="center"/>
          </w:tcPr>
          <w:p w14:paraId="4FE7D8D3">
            <w:pPr>
              <w:spacing w:line="360" w:lineRule="auto"/>
              <w:rPr>
                <w:rFonts w:ascii="宋体" w:hAnsi="宋体" w:cs="宋体"/>
                <w:szCs w:val="21"/>
              </w:rPr>
            </w:pPr>
            <w:r>
              <w:rPr>
                <w:rFonts w:hint="eastAsia" w:ascii="宋体" w:hAnsi="宋体" w:cs="宋体"/>
                <w:szCs w:val="21"/>
              </w:rPr>
              <w:t>存在法律、法规和招标文件规定的其他无效情形的，审查结果为不合格了。</w:t>
            </w:r>
          </w:p>
        </w:tc>
      </w:tr>
      <w:tr w14:paraId="3AEE5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946" w:type="dxa"/>
            <w:tcBorders>
              <w:tl2br w:val="nil"/>
              <w:tr2bl w:val="nil"/>
            </w:tcBorders>
            <w:vAlign w:val="center"/>
          </w:tcPr>
          <w:p w14:paraId="0ED17438">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结论</w:t>
            </w:r>
          </w:p>
        </w:tc>
        <w:tc>
          <w:tcPr>
            <w:tcW w:w="8507" w:type="dxa"/>
            <w:gridSpan w:val="2"/>
            <w:tcBorders>
              <w:tl2br w:val="nil"/>
              <w:tr2bl w:val="nil"/>
            </w:tcBorders>
            <w:vAlign w:val="center"/>
          </w:tcPr>
          <w:p w14:paraId="579D44E6">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合格/不合格</w:t>
            </w:r>
          </w:p>
        </w:tc>
      </w:tr>
    </w:tbl>
    <w:p w14:paraId="3EA13B4C">
      <w:pPr>
        <w:rPr>
          <w:rFonts w:ascii="宋体" w:hAnsi="宋体" w:cs="宋体"/>
        </w:rPr>
      </w:pPr>
    </w:p>
    <w:p w14:paraId="15D1B513">
      <w:pPr>
        <w:widowControl/>
        <w:jc w:val="left"/>
        <w:rPr>
          <w:rFonts w:ascii="宋体" w:hAnsi="宋体" w:cs="宋体"/>
          <w:bCs/>
          <w:szCs w:val="21"/>
        </w:rPr>
      </w:pPr>
      <w:r>
        <w:rPr>
          <w:rFonts w:hint="eastAsia" w:ascii="宋体" w:hAnsi="宋体" w:cs="宋体"/>
          <w:b/>
          <w:szCs w:val="21"/>
        </w:rPr>
        <w:br w:type="page"/>
      </w:r>
    </w:p>
    <w:p w14:paraId="6D84B4DE">
      <w:pPr>
        <w:pStyle w:val="22"/>
        <w:adjustRightInd w:val="0"/>
        <w:snapToGrid w:val="0"/>
        <w:spacing w:line="360" w:lineRule="auto"/>
        <w:jc w:val="center"/>
        <w:outlineLvl w:val="0"/>
        <w:rPr>
          <w:rFonts w:hAnsi="宋体" w:cs="宋体"/>
          <w:b/>
          <w:sz w:val="28"/>
          <w:szCs w:val="28"/>
        </w:rPr>
      </w:pPr>
      <w:bookmarkStart w:id="47" w:name="_Toc20416"/>
      <w:r>
        <w:rPr>
          <w:rFonts w:hint="eastAsia" w:hAnsi="宋体" w:cs="宋体"/>
          <w:b/>
          <w:sz w:val="32"/>
          <w:szCs w:val="32"/>
        </w:rPr>
        <w:t>第四章 评标方法及标准</w:t>
      </w:r>
      <w:bookmarkEnd w:id="47"/>
    </w:p>
    <w:p w14:paraId="6F6CBD6C">
      <w:pPr>
        <w:pStyle w:val="3"/>
        <w:adjustRightInd w:val="0"/>
        <w:snapToGrid w:val="0"/>
        <w:jc w:val="center"/>
        <w:rPr>
          <w:rFonts w:ascii="宋体" w:hAnsi="宋体" w:cs="宋体"/>
          <w:sz w:val="28"/>
          <w:szCs w:val="28"/>
        </w:rPr>
      </w:pPr>
      <w:bookmarkStart w:id="48" w:name="_Toc18381"/>
      <w:r>
        <w:rPr>
          <w:rFonts w:hint="eastAsia" w:ascii="宋体" w:hAnsi="宋体" w:cs="宋体"/>
          <w:sz w:val="28"/>
          <w:szCs w:val="28"/>
        </w:rPr>
        <w:t>第一节 评标方法及标准前附表</w:t>
      </w:r>
      <w:bookmarkEnd w:id="48"/>
    </w:p>
    <w:p w14:paraId="10578A06">
      <w:pPr>
        <w:adjustRightInd w:val="0"/>
        <w:snapToGrid w:val="0"/>
        <w:spacing w:line="360" w:lineRule="auto"/>
        <w:ind w:right="31" w:rightChars="15" w:firstLine="420" w:firstLineChars="200"/>
        <w:rPr>
          <w:rFonts w:ascii="宋体" w:hAnsi="宋体" w:cs="宋体"/>
          <w:iCs/>
          <w:szCs w:val="21"/>
        </w:rPr>
      </w:pPr>
      <w:r>
        <w:rPr>
          <w:rFonts w:hint="eastAsia" w:ascii="宋体" w:hAnsi="宋体" w:cs="宋体"/>
          <w:iCs/>
          <w:szCs w:val="21"/>
        </w:rPr>
        <w:t>本项目启用的条款在“编列内容规定”栏内以“■”标注。</w:t>
      </w:r>
    </w:p>
    <w:tbl>
      <w:tblPr>
        <w:tblStyle w:val="43"/>
        <w:tblpPr w:leftFromText="180" w:rightFromText="180" w:vertAnchor="text" w:horzAnchor="page" w:tblpX="1560" w:tblpY="407"/>
        <w:tblOverlap w:val="never"/>
        <w:tblW w:w="89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68"/>
        <w:gridCol w:w="5007"/>
      </w:tblGrid>
      <w:tr w14:paraId="7E41A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tcPr>
          <w:p w14:paraId="3BF6B97E">
            <w:pPr>
              <w:adjustRightInd w:val="0"/>
              <w:snapToGrid w:val="0"/>
              <w:spacing w:before="161" w:beforeLines="50" w:line="360" w:lineRule="auto"/>
              <w:jc w:val="center"/>
              <w:rPr>
                <w:rFonts w:ascii="宋体" w:hAnsi="宋体" w:cs="宋体"/>
                <w:b/>
              </w:rPr>
            </w:pPr>
            <w:r>
              <w:rPr>
                <w:rFonts w:hint="eastAsia" w:ascii="宋体" w:hAnsi="宋体" w:cs="宋体"/>
                <w:b/>
              </w:rPr>
              <w:t>条款号</w:t>
            </w:r>
          </w:p>
        </w:tc>
        <w:tc>
          <w:tcPr>
            <w:tcW w:w="2268" w:type="dxa"/>
            <w:tcBorders>
              <w:tl2br w:val="nil"/>
              <w:tr2bl w:val="nil"/>
            </w:tcBorders>
          </w:tcPr>
          <w:p w14:paraId="78DA5F0C">
            <w:pPr>
              <w:adjustRightInd w:val="0"/>
              <w:snapToGrid w:val="0"/>
              <w:spacing w:before="161" w:beforeLines="50" w:line="360" w:lineRule="auto"/>
              <w:jc w:val="center"/>
              <w:rPr>
                <w:rFonts w:ascii="宋体" w:hAnsi="宋体" w:cs="宋体"/>
                <w:b/>
              </w:rPr>
            </w:pPr>
            <w:r>
              <w:rPr>
                <w:rFonts w:hint="eastAsia" w:ascii="宋体" w:hAnsi="宋体" w:cs="宋体"/>
                <w:b/>
              </w:rPr>
              <w:t>条款名称</w:t>
            </w:r>
          </w:p>
        </w:tc>
        <w:tc>
          <w:tcPr>
            <w:tcW w:w="5007" w:type="dxa"/>
            <w:tcBorders>
              <w:tl2br w:val="nil"/>
              <w:tr2bl w:val="nil"/>
            </w:tcBorders>
          </w:tcPr>
          <w:p w14:paraId="7065F107">
            <w:pPr>
              <w:adjustRightInd w:val="0"/>
              <w:snapToGrid w:val="0"/>
              <w:spacing w:before="161" w:beforeLines="50" w:line="360" w:lineRule="auto"/>
              <w:jc w:val="center"/>
              <w:rPr>
                <w:rFonts w:ascii="宋体" w:hAnsi="宋体" w:cs="宋体"/>
                <w:b/>
              </w:rPr>
            </w:pPr>
            <w:r>
              <w:rPr>
                <w:rFonts w:hint="eastAsia" w:ascii="宋体" w:hAnsi="宋体" w:cs="宋体"/>
                <w:b/>
              </w:rPr>
              <w:t>编列内容规定</w:t>
            </w:r>
          </w:p>
        </w:tc>
      </w:tr>
      <w:tr w14:paraId="44F8F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2FB1DCCF">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第1.3</w:t>
            </w:r>
            <w:r>
              <w:rPr>
                <w:rFonts w:hint="eastAsia" w:ascii="宋体" w:hAnsi="宋体" w:cs="宋体"/>
                <w:kern w:val="0"/>
                <w:szCs w:val="21"/>
                <w:lang w:val="zh-CN"/>
              </w:rPr>
              <w:t>款</w:t>
            </w:r>
          </w:p>
        </w:tc>
        <w:tc>
          <w:tcPr>
            <w:tcW w:w="2268" w:type="dxa"/>
            <w:tcBorders>
              <w:tl2br w:val="nil"/>
              <w:tr2bl w:val="nil"/>
            </w:tcBorders>
            <w:vAlign w:val="center"/>
          </w:tcPr>
          <w:p w14:paraId="72F69430">
            <w:pPr>
              <w:adjustRightInd w:val="0"/>
              <w:snapToGrid w:val="0"/>
              <w:spacing w:before="161" w:beforeLines="50" w:line="360" w:lineRule="auto"/>
              <w:jc w:val="center"/>
              <w:rPr>
                <w:rFonts w:ascii="宋体" w:hAnsi="宋体" w:cs="宋体"/>
                <w:szCs w:val="21"/>
              </w:rPr>
            </w:pPr>
            <w:r>
              <w:rPr>
                <w:rFonts w:hint="eastAsia" w:ascii="宋体" w:hAnsi="宋体" w:cs="宋体"/>
                <w:szCs w:val="21"/>
              </w:rPr>
              <w:t>评标方法</w:t>
            </w:r>
          </w:p>
        </w:tc>
        <w:tc>
          <w:tcPr>
            <w:tcW w:w="5007" w:type="dxa"/>
            <w:tcBorders>
              <w:tl2br w:val="nil"/>
              <w:tr2bl w:val="nil"/>
            </w:tcBorders>
            <w:vAlign w:val="center"/>
          </w:tcPr>
          <w:p w14:paraId="00694005">
            <w:pPr>
              <w:adjustRightInd w:val="0"/>
              <w:snapToGrid w:val="0"/>
              <w:spacing w:before="161" w:beforeLines="50" w:line="360" w:lineRule="auto"/>
              <w:jc w:val="center"/>
              <w:rPr>
                <w:rFonts w:ascii="宋体" w:hAnsi="宋体" w:cs="宋体"/>
                <w:szCs w:val="21"/>
              </w:rPr>
            </w:pPr>
            <w:r>
              <w:rPr>
                <w:rFonts w:hint="eastAsia" w:ascii="宋体" w:hAnsi="宋体" w:cs="宋体"/>
                <w:szCs w:val="21"/>
              </w:rPr>
              <w:t>综合评分法</w:t>
            </w:r>
          </w:p>
        </w:tc>
      </w:tr>
      <w:tr w14:paraId="37C3C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3EC336D8">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第3.4</w:t>
            </w:r>
            <w:r>
              <w:rPr>
                <w:rFonts w:hint="eastAsia" w:ascii="宋体" w:hAnsi="宋体" w:cs="宋体"/>
                <w:kern w:val="0"/>
                <w:szCs w:val="21"/>
                <w:lang w:val="zh-CN"/>
              </w:rPr>
              <w:t>款</w:t>
            </w:r>
          </w:p>
        </w:tc>
        <w:tc>
          <w:tcPr>
            <w:tcW w:w="2268" w:type="dxa"/>
            <w:tcBorders>
              <w:tl2br w:val="nil"/>
              <w:tr2bl w:val="nil"/>
            </w:tcBorders>
            <w:vAlign w:val="center"/>
          </w:tcPr>
          <w:p w14:paraId="2A915FA9">
            <w:pPr>
              <w:adjustRightInd w:val="0"/>
              <w:snapToGrid w:val="0"/>
              <w:spacing w:before="161" w:beforeLines="50" w:line="360" w:lineRule="auto"/>
              <w:jc w:val="center"/>
              <w:rPr>
                <w:rFonts w:ascii="宋体" w:hAnsi="宋体" w:cs="宋体"/>
                <w:bCs/>
                <w:szCs w:val="21"/>
              </w:rPr>
            </w:pPr>
            <w:r>
              <w:rPr>
                <w:rFonts w:hint="eastAsia" w:ascii="宋体" w:hAnsi="宋体" w:cs="宋体"/>
                <w:bCs/>
                <w:szCs w:val="21"/>
              </w:rPr>
              <w:t>非单一产品采购项目的核心产品</w:t>
            </w:r>
          </w:p>
        </w:tc>
        <w:tc>
          <w:tcPr>
            <w:tcW w:w="5007" w:type="dxa"/>
            <w:tcBorders>
              <w:tl2br w:val="nil"/>
              <w:tr2bl w:val="nil"/>
            </w:tcBorders>
            <w:vAlign w:val="center"/>
          </w:tcPr>
          <w:p w14:paraId="25546729">
            <w:pPr>
              <w:adjustRightInd w:val="0"/>
              <w:snapToGrid w:val="0"/>
              <w:spacing w:before="161" w:beforeLines="50" w:line="360" w:lineRule="auto"/>
              <w:rPr>
                <w:rFonts w:ascii="宋体" w:hAnsi="宋体" w:cs="宋体"/>
                <w:szCs w:val="21"/>
              </w:rPr>
            </w:pPr>
            <w:r>
              <w:rPr>
                <w:rFonts w:hint="eastAsia" w:ascii="宋体" w:hAnsi="宋体" w:cs="宋体"/>
                <w:b/>
                <w:szCs w:val="21"/>
              </w:rPr>
              <w:t>本项目确定的核心产品为：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户内全彩LED屏</w:t>
            </w:r>
            <w:r>
              <w:rPr>
                <w:rFonts w:hint="eastAsia" w:ascii="宋体" w:hAnsi="宋体" w:eastAsia="宋体" w:cs="宋体"/>
                <w:szCs w:val="21"/>
                <w:u w:val="single"/>
              </w:rPr>
              <w:t>、</w:t>
            </w:r>
            <w:r>
              <w:rPr>
                <w:rFonts w:hint="eastAsia" w:ascii="宋体" w:hAnsi="宋体" w:eastAsia="宋体" w:cs="宋体"/>
                <w:szCs w:val="21"/>
                <w:u w:val="single"/>
                <w:lang w:val="en-US" w:eastAsia="zh-CN"/>
              </w:rPr>
              <w:t>声光影主机</w:t>
            </w:r>
            <w:r>
              <w:rPr>
                <w:rFonts w:hint="eastAsia" w:ascii="宋体" w:hAnsi="宋体" w:eastAsia="宋体" w:cs="宋体"/>
                <w:szCs w:val="21"/>
                <w:u w:val="single"/>
              </w:rPr>
              <w:t>、</w:t>
            </w:r>
            <w:r>
              <w:rPr>
                <w:rFonts w:hint="eastAsia" w:ascii="宋体" w:hAnsi="宋体" w:eastAsia="宋体" w:cs="宋体"/>
                <w:szCs w:val="21"/>
                <w:u w:val="single"/>
                <w:lang w:val="en-US" w:eastAsia="zh-CN"/>
              </w:rPr>
              <w:t>全数字会议系统主机</w:t>
            </w:r>
            <w:r>
              <w:rPr>
                <w:rFonts w:hint="eastAsia" w:ascii="宋体" w:hAnsi="宋体" w:eastAsia="宋体" w:cs="宋体"/>
                <w:szCs w:val="21"/>
                <w:u w:val="single"/>
              </w:rPr>
              <w:t>、</w:t>
            </w:r>
            <w:r>
              <w:rPr>
                <w:rFonts w:hint="eastAsia" w:ascii="宋体" w:hAnsi="宋体" w:eastAsia="宋体" w:cs="宋体"/>
                <w:szCs w:val="21"/>
                <w:u w:val="single"/>
                <w:lang w:val="en-US" w:eastAsia="zh-CN"/>
              </w:rPr>
              <w:t>全数字会议系统综合控制软件</w:t>
            </w:r>
            <w:r>
              <w:rPr>
                <w:rFonts w:hint="eastAsia" w:ascii="宋体" w:hAnsi="宋体" w:eastAsia="宋体" w:cs="宋体"/>
                <w:szCs w:val="21"/>
                <w:u w:val="single"/>
              </w:rPr>
              <w:t xml:space="preserve">    </w:t>
            </w:r>
          </w:p>
        </w:tc>
      </w:tr>
      <w:tr w14:paraId="2B348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18BD9BE5">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第4.2</w:t>
            </w:r>
            <w:r>
              <w:rPr>
                <w:rFonts w:hint="eastAsia" w:ascii="宋体" w:hAnsi="宋体" w:cs="宋体"/>
                <w:kern w:val="0"/>
                <w:szCs w:val="21"/>
                <w:lang w:val="zh-CN"/>
              </w:rPr>
              <w:t>款</w:t>
            </w:r>
          </w:p>
        </w:tc>
        <w:tc>
          <w:tcPr>
            <w:tcW w:w="2268" w:type="dxa"/>
            <w:tcBorders>
              <w:tl2br w:val="nil"/>
              <w:tr2bl w:val="nil"/>
            </w:tcBorders>
            <w:vAlign w:val="center"/>
          </w:tcPr>
          <w:p w14:paraId="4DA8610B">
            <w:pPr>
              <w:adjustRightInd w:val="0"/>
              <w:snapToGrid w:val="0"/>
              <w:spacing w:before="161" w:beforeLines="50" w:line="360" w:lineRule="auto"/>
              <w:jc w:val="center"/>
              <w:rPr>
                <w:rFonts w:ascii="宋体" w:hAnsi="宋体" w:cs="宋体"/>
                <w:szCs w:val="21"/>
              </w:rPr>
            </w:pPr>
            <w:r>
              <w:rPr>
                <w:rFonts w:hint="eastAsia" w:ascii="宋体" w:hAnsi="宋体" w:cs="宋体"/>
                <w:szCs w:val="21"/>
              </w:rPr>
              <w:t>投标文件报价出现前后不一致的修正</w:t>
            </w:r>
          </w:p>
        </w:tc>
        <w:tc>
          <w:tcPr>
            <w:tcW w:w="5007" w:type="dxa"/>
            <w:tcBorders>
              <w:tl2br w:val="nil"/>
              <w:tr2bl w:val="nil"/>
            </w:tcBorders>
            <w:vAlign w:val="center"/>
          </w:tcPr>
          <w:p w14:paraId="214EA367">
            <w:pPr>
              <w:adjustRightInd w:val="0"/>
              <w:snapToGrid w:val="0"/>
              <w:spacing w:line="360" w:lineRule="auto"/>
              <w:rPr>
                <w:rFonts w:ascii="宋体" w:hAnsi="宋体" w:cs="宋体"/>
                <w:szCs w:val="21"/>
              </w:rPr>
            </w:pPr>
            <w:r>
              <w:rPr>
                <w:rStyle w:val="154"/>
                <w:szCs w:val="21"/>
              </w:rPr>
              <w:t>按本章第二节第4.2款规定修正。</w:t>
            </w:r>
          </w:p>
        </w:tc>
      </w:tr>
      <w:tr w14:paraId="7FD6F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23A9650A">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第5.2（2）</w:t>
            </w:r>
            <w:r>
              <w:rPr>
                <w:rFonts w:hint="eastAsia" w:ascii="宋体" w:hAnsi="宋体" w:cs="宋体"/>
                <w:kern w:val="0"/>
                <w:szCs w:val="21"/>
                <w:lang w:val="zh-CN"/>
              </w:rPr>
              <w:t>项</w:t>
            </w:r>
          </w:p>
        </w:tc>
        <w:tc>
          <w:tcPr>
            <w:tcW w:w="2268" w:type="dxa"/>
            <w:tcBorders>
              <w:tl2br w:val="nil"/>
              <w:tr2bl w:val="nil"/>
            </w:tcBorders>
            <w:vAlign w:val="center"/>
          </w:tcPr>
          <w:p w14:paraId="51DF1B16">
            <w:pPr>
              <w:adjustRightInd w:val="0"/>
              <w:snapToGrid w:val="0"/>
              <w:spacing w:before="161" w:beforeLines="50" w:line="360" w:lineRule="auto"/>
              <w:jc w:val="center"/>
              <w:rPr>
                <w:rFonts w:ascii="宋体" w:hAnsi="宋体" w:cs="宋体"/>
                <w:bCs/>
                <w:szCs w:val="21"/>
              </w:rPr>
            </w:pPr>
            <w:r>
              <w:rPr>
                <w:rFonts w:hint="eastAsia" w:ascii="宋体" w:hAnsi="宋体" w:cs="宋体"/>
                <w:bCs/>
                <w:szCs w:val="21"/>
              </w:rPr>
              <w:t>相同品牌产品评审得分相同的规定</w:t>
            </w:r>
          </w:p>
        </w:tc>
        <w:tc>
          <w:tcPr>
            <w:tcW w:w="5007" w:type="dxa"/>
            <w:tcBorders>
              <w:tl2br w:val="nil"/>
              <w:tr2bl w:val="nil"/>
            </w:tcBorders>
            <w:vAlign w:val="center"/>
          </w:tcPr>
          <w:p w14:paraId="16CD7BD2">
            <w:pPr>
              <w:pStyle w:val="126"/>
              <w:spacing w:before="78" w:line="360" w:lineRule="auto"/>
              <w:ind w:right="87"/>
              <w:rPr>
                <w:szCs w:val="21"/>
              </w:rPr>
            </w:pPr>
            <w:r>
              <w:rPr>
                <w:rFonts w:hint="eastAsia"/>
                <w:szCs w:val="21"/>
              </w:rPr>
              <w:t>评审得分相同的，以同品牌得分最高且报价最低的获得中标单位推荐资格，招标文件未规定的情况的采取由</w:t>
            </w:r>
            <w:r>
              <w:rPr>
                <w:rStyle w:val="154"/>
                <w:szCs w:val="21"/>
              </w:rPr>
              <w:t>评</w:t>
            </w:r>
            <w:r>
              <w:rPr>
                <w:rStyle w:val="154"/>
                <w:rFonts w:hint="eastAsia"/>
                <w:szCs w:val="21"/>
              </w:rPr>
              <w:t>审小组</w:t>
            </w:r>
            <w:r>
              <w:rPr>
                <w:rStyle w:val="154"/>
                <w:szCs w:val="21"/>
              </w:rPr>
              <w:t>组长</w:t>
            </w:r>
            <w:r>
              <w:rPr>
                <w:rStyle w:val="154"/>
                <w:rFonts w:hint="eastAsia"/>
                <w:szCs w:val="21"/>
              </w:rPr>
              <w:t>在评审</w:t>
            </w:r>
            <w:r>
              <w:rPr>
                <w:rStyle w:val="154"/>
                <w:szCs w:val="21"/>
              </w:rPr>
              <w:t>现场</w:t>
            </w:r>
            <w:r>
              <w:rPr>
                <w:rFonts w:hint="eastAsia"/>
                <w:szCs w:val="21"/>
              </w:rPr>
              <w:t>随机抽取方式确定</w:t>
            </w:r>
            <w:r>
              <w:rPr>
                <w:rFonts w:hint="eastAsia"/>
                <w:bCs/>
                <w:szCs w:val="21"/>
              </w:rPr>
              <w:t>。</w:t>
            </w:r>
          </w:p>
        </w:tc>
      </w:tr>
      <w:tr w14:paraId="34E38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51E9D483">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第5.4（1）</w:t>
            </w:r>
            <w:r>
              <w:rPr>
                <w:rFonts w:hint="eastAsia" w:ascii="宋体" w:hAnsi="宋体" w:cs="宋体"/>
                <w:kern w:val="0"/>
                <w:szCs w:val="21"/>
                <w:lang w:val="zh-CN"/>
              </w:rPr>
              <w:t>项</w:t>
            </w:r>
          </w:p>
        </w:tc>
        <w:tc>
          <w:tcPr>
            <w:tcW w:w="2268" w:type="dxa"/>
            <w:tcBorders>
              <w:tl2br w:val="nil"/>
              <w:tr2bl w:val="nil"/>
            </w:tcBorders>
            <w:vAlign w:val="center"/>
          </w:tcPr>
          <w:p w14:paraId="429FDFC4">
            <w:pPr>
              <w:adjustRightInd w:val="0"/>
              <w:snapToGrid w:val="0"/>
              <w:spacing w:before="161" w:beforeLines="50" w:line="360" w:lineRule="auto"/>
              <w:jc w:val="center"/>
              <w:rPr>
                <w:rFonts w:ascii="宋体" w:hAnsi="宋体" w:cs="宋体"/>
                <w:bCs/>
                <w:szCs w:val="21"/>
              </w:rPr>
            </w:pPr>
            <w:r>
              <w:rPr>
                <w:rFonts w:hint="eastAsia" w:ascii="宋体" w:hAnsi="宋体"/>
                <w:szCs w:val="21"/>
              </w:rPr>
              <w:t>价格评审优惠</w:t>
            </w:r>
          </w:p>
        </w:tc>
        <w:tc>
          <w:tcPr>
            <w:tcW w:w="5007" w:type="dxa"/>
            <w:tcBorders>
              <w:tl2br w:val="nil"/>
              <w:tr2bl w:val="nil"/>
            </w:tcBorders>
            <w:vAlign w:val="center"/>
          </w:tcPr>
          <w:p w14:paraId="02BDB5FE">
            <w:pPr>
              <w:snapToGrid w:val="0"/>
              <w:spacing w:line="360" w:lineRule="auto"/>
              <w:textAlignment w:val="baseline"/>
              <w:rPr>
                <w:rStyle w:val="154"/>
                <w:szCs w:val="21"/>
              </w:rPr>
            </w:pPr>
            <w:r>
              <w:rPr>
                <w:rFonts w:hint="eastAsia" w:ascii="宋体" w:hAnsi="宋体"/>
                <w:iCs/>
                <w:szCs w:val="21"/>
              </w:rPr>
              <w:sym w:font="Wingdings" w:char="00A8"/>
            </w:r>
            <w:r>
              <w:rPr>
                <w:rFonts w:hint="eastAsia" w:ascii="宋体" w:hAnsi="宋体"/>
                <w:iCs/>
                <w:szCs w:val="21"/>
              </w:rPr>
              <w:t>专门面向中小企业采购</w:t>
            </w:r>
          </w:p>
          <w:p w14:paraId="701B7B38">
            <w:pPr>
              <w:snapToGrid w:val="0"/>
              <w:spacing w:line="360" w:lineRule="auto"/>
              <w:textAlignment w:val="baseline"/>
              <w:rPr>
                <w:rStyle w:val="154"/>
                <w:szCs w:val="21"/>
              </w:rPr>
            </w:pPr>
            <w:r>
              <w:rPr>
                <w:rFonts w:hint="eastAsia" w:ascii="宋体" w:hAnsi="宋体" w:cs="宋体"/>
                <w:szCs w:val="21"/>
              </w:rPr>
              <w:t>■</w:t>
            </w:r>
            <w:r>
              <w:rPr>
                <w:rFonts w:hint="eastAsia" w:ascii="宋体" w:hAnsi="宋体"/>
                <w:iCs/>
                <w:szCs w:val="21"/>
              </w:rPr>
              <w:t>非专门面向中小企业采购项目，对于</w:t>
            </w:r>
            <w:r>
              <w:rPr>
                <w:rStyle w:val="154"/>
                <w:szCs w:val="21"/>
              </w:rPr>
              <w:t>符合中小企业优惠政策的：</w:t>
            </w:r>
          </w:p>
          <w:p w14:paraId="3D001DE9">
            <w:pPr>
              <w:snapToGrid w:val="0"/>
              <w:spacing w:line="360" w:lineRule="auto"/>
              <w:textAlignment w:val="baseline"/>
              <w:rPr>
                <w:rStyle w:val="154"/>
                <w:szCs w:val="21"/>
              </w:rPr>
            </w:pPr>
            <w:r>
              <w:rPr>
                <w:rStyle w:val="154"/>
                <w:szCs w:val="21"/>
              </w:rPr>
              <w:t>1、给予小型和微型企业产品的价格10%-20%的扣除，用扣除后的价格参与评审，本项目具体扣除比例为</w:t>
            </w:r>
            <w:r>
              <w:rPr>
                <w:rStyle w:val="154"/>
                <w:szCs w:val="21"/>
                <w:u w:val="single" w:color="000000"/>
              </w:rPr>
              <w:t xml:space="preserve"> </w:t>
            </w:r>
            <w:r>
              <w:rPr>
                <w:rStyle w:val="154"/>
                <w:rFonts w:hint="eastAsia"/>
                <w:szCs w:val="21"/>
                <w:u w:val="single" w:color="000000"/>
              </w:rPr>
              <w:t>10</w:t>
            </w:r>
            <w:r>
              <w:rPr>
                <w:rStyle w:val="154"/>
                <w:szCs w:val="21"/>
                <w:u w:val="single" w:color="000000"/>
              </w:rPr>
              <w:t xml:space="preserve"> </w:t>
            </w:r>
            <w:r>
              <w:rPr>
                <w:rStyle w:val="154"/>
                <w:szCs w:val="21"/>
              </w:rPr>
              <w:t xml:space="preserve"> ％；</w:t>
            </w:r>
          </w:p>
          <w:p w14:paraId="1AC3AD16">
            <w:pPr>
              <w:snapToGrid w:val="0"/>
              <w:spacing w:line="360" w:lineRule="auto"/>
              <w:textAlignment w:val="baseline"/>
              <w:rPr>
                <w:rStyle w:val="154"/>
                <w:szCs w:val="21"/>
              </w:rPr>
            </w:pPr>
            <w:r>
              <w:rPr>
                <w:rStyle w:val="154"/>
                <w:szCs w:val="21"/>
              </w:rPr>
              <w:t>2、给予联合体2%-3%的价格扣除。本项目具体扣除比例为</w:t>
            </w:r>
            <w:r>
              <w:rPr>
                <w:rStyle w:val="154"/>
                <w:szCs w:val="21"/>
                <w:u w:val="single" w:color="000000"/>
              </w:rPr>
              <w:t xml:space="preserve"> / </w:t>
            </w:r>
            <w:r>
              <w:rPr>
                <w:rStyle w:val="154"/>
                <w:szCs w:val="21"/>
              </w:rPr>
              <w:t>％。</w:t>
            </w:r>
          </w:p>
          <w:p w14:paraId="2C24303F">
            <w:pPr>
              <w:snapToGrid w:val="0"/>
              <w:spacing w:line="360" w:lineRule="auto"/>
              <w:textAlignment w:val="baseline"/>
              <w:rPr>
                <w:rFonts w:ascii="宋体" w:hAnsi="宋体" w:cs="宋体"/>
                <w:szCs w:val="21"/>
              </w:rPr>
            </w:pPr>
            <w:r>
              <w:rPr>
                <w:rStyle w:val="154"/>
                <w:b/>
                <w:bCs/>
                <w:szCs w:val="21"/>
              </w:rPr>
              <w:t>3、本项目对应中小企业划分行业类别：</w:t>
            </w:r>
            <w:r>
              <w:rPr>
                <w:rStyle w:val="154"/>
                <w:b/>
                <w:bCs/>
                <w:szCs w:val="21"/>
                <w:u w:val="single" w:color="000000"/>
              </w:rPr>
              <w:t>工业</w:t>
            </w:r>
            <w:r>
              <w:rPr>
                <w:rStyle w:val="154"/>
                <w:b/>
                <w:bCs/>
                <w:szCs w:val="21"/>
              </w:rPr>
              <w:t>。</w:t>
            </w:r>
          </w:p>
        </w:tc>
      </w:tr>
      <w:tr w14:paraId="63E99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701" w:type="dxa"/>
            <w:tcBorders>
              <w:tl2br w:val="nil"/>
              <w:tr2bl w:val="nil"/>
            </w:tcBorders>
            <w:vAlign w:val="center"/>
          </w:tcPr>
          <w:p w14:paraId="64F9083B">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第5.4（2）</w:t>
            </w:r>
            <w:r>
              <w:rPr>
                <w:rFonts w:hint="eastAsia" w:ascii="宋体" w:hAnsi="宋体" w:cs="宋体"/>
                <w:kern w:val="0"/>
                <w:szCs w:val="21"/>
                <w:lang w:val="zh-CN"/>
              </w:rPr>
              <w:t>项</w:t>
            </w:r>
          </w:p>
        </w:tc>
        <w:tc>
          <w:tcPr>
            <w:tcW w:w="2268" w:type="dxa"/>
            <w:vMerge w:val="restart"/>
            <w:tcBorders>
              <w:tl2br w:val="nil"/>
              <w:tr2bl w:val="nil"/>
            </w:tcBorders>
            <w:vAlign w:val="center"/>
          </w:tcPr>
          <w:p w14:paraId="268D5608">
            <w:pPr>
              <w:adjustRightInd w:val="0"/>
              <w:snapToGrid w:val="0"/>
              <w:spacing w:before="161" w:beforeLines="50" w:line="360" w:lineRule="auto"/>
              <w:jc w:val="center"/>
              <w:rPr>
                <w:rFonts w:ascii="宋体" w:hAnsi="宋体" w:cs="宋体"/>
                <w:szCs w:val="21"/>
              </w:rPr>
            </w:pPr>
            <w:r>
              <w:rPr>
                <w:rFonts w:hint="eastAsia" w:ascii="宋体" w:hAnsi="宋体" w:cs="宋体"/>
                <w:szCs w:val="21"/>
              </w:rPr>
              <w:t>优先采购</w:t>
            </w:r>
          </w:p>
        </w:tc>
        <w:tc>
          <w:tcPr>
            <w:tcW w:w="5007" w:type="dxa"/>
            <w:tcBorders>
              <w:tl2br w:val="nil"/>
              <w:tr2bl w:val="nil"/>
            </w:tcBorders>
          </w:tcPr>
          <w:p w14:paraId="2DBEF761">
            <w:pPr>
              <w:spacing w:line="360" w:lineRule="auto"/>
              <w:rPr>
                <w:rFonts w:ascii="宋体" w:hAnsi="宋体" w:cs="宋体"/>
              </w:rPr>
            </w:pPr>
            <w:r>
              <w:rPr>
                <w:rFonts w:hint="eastAsia" w:ascii="宋体" w:hAnsi="宋体" w:cs="宋体"/>
              </w:rPr>
              <w:t>投标产品为《节能产品政府采购品目清单》非“</w:t>
            </w:r>
            <w:r>
              <w:rPr>
                <w:rFonts w:hint="eastAsia" w:ascii="仿宋" w:hAnsi="仿宋" w:eastAsia="仿宋" w:cs="仿宋"/>
                <w:szCs w:val="21"/>
              </w:rPr>
              <w:sym w:font="Wingdings" w:char="00AB"/>
            </w:r>
            <w:r>
              <w:rPr>
                <w:rFonts w:hint="eastAsia" w:ascii="宋体" w:hAnsi="宋体" w:cs="宋体"/>
              </w:rPr>
              <w:t>”产品、《环境标志产品政府采购品目清单》产品的，对于价格和技术分，应分别给予总分值4%-8%的加分。投标人必需提供有效的节能或环境标志产品认证证书复印件，未按以上要求提供认证证书复印件或不是有效清单内的产品，评审时不予优先采购。</w:t>
            </w:r>
          </w:p>
          <w:p w14:paraId="3CEC50BF">
            <w:pPr>
              <w:spacing w:line="360" w:lineRule="auto"/>
              <w:rPr>
                <w:rFonts w:ascii="宋体" w:hAnsi="宋体" w:cs="宋体"/>
                <w:szCs w:val="21"/>
              </w:rPr>
            </w:pPr>
            <w:r>
              <w:rPr>
                <w:rFonts w:hint="eastAsia" w:ascii="宋体" w:hAnsi="宋体" w:cs="宋体"/>
              </w:rPr>
              <w:t>本项目具体加分比例分别为：价格总分值</w:t>
            </w:r>
            <w:r>
              <w:rPr>
                <w:rFonts w:hint="eastAsia" w:ascii="宋体" w:hAnsi="宋体" w:cs="宋体"/>
                <w:b/>
                <w:bCs/>
                <w:u w:val="single"/>
              </w:rPr>
              <w:t xml:space="preserve"> 4 </w:t>
            </w:r>
            <w:r>
              <w:rPr>
                <w:rFonts w:hint="eastAsia" w:ascii="宋体" w:hAnsi="宋体" w:cs="宋体"/>
              </w:rPr>
              <w:t>%的加分、技术总分值</w:t>
            </w:r>
            <w:r>
              <w:rPr>
                <w:rFonts w:hint="eastAsia" w:ascii="宋体" w:hAnsi="宋体" w:cs="宋体"/>
                <w:b/>
                <w:bCs/>
                <w:u w:val="single"/>
              </w:rPr>
              <w:t xml:space="preserve"> 4 </w:t>
            </w:r>
            <w:r>
              <w:rPr>
                <w:rFonts w:hint="eastAsia" w:ascii="宋体" w:hAnsi="宋体" w:cs="宋体"/>
              </w:rPr>
              <w:t>%的加分。</w:t>
            </w:r>
          </w:p>
        </w:tc>
      </w:tr>
      <w:tr w14:paraId="57616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340AFAD0">
            <w:pPr>
              <w:adjustRightInd w:val="0"/>
              <w:snapToGrid w:val="0"/>
              <w:spacing w:before="161" w:beforeLines="50" w:line="360" w:lineRule="auto"/>
              <w:jc w:val="center"/>
              <w:rPr>
                <w:rFonts w:ascii="宋体" w:hAnsi="宋体" w:cs="宋体"/>
                <w:szCs w:val="21"/>
              </w:rPr>
            </w:pPr>
          </w:p>
        </w:tc>
        <w:tc>
          <w:tcPr>
            <w:tcW w:w="2268" w:type="dxa"/>
            <w:vMerge w:val="continue"/>
            <w:tcBorders>
              <w:tl2br w:val="nil"/>
              <w:tr2bl w:val="nil"/>
            </w:tcBorders>
            <w:vAlign w:val="center"/>
          </w:tcPr>
          <w:p w14:paraId="5FBFABB0">
            <w:pPr>
              <w:adjustRightInd w:val="0"/>
              <w:snapToGrid w:val="0"/>
              <w:spacing w:before="161" w:beforeLines="50" w:line="360" w:lineRule="auto"/>
              <w:jc w:val="center"/>
              <w:rPr>
                <w:rFonts w:ascii="宋体" w:hAnsi="宋体" w:cs="宋体"/>
                <w:szCs w:val="21"/>
              </w:rPr>
            </w:pPr>
          </w:p>
        </w:tc>
        <w:tc>
          <w:tcPr>
            <w:tcW w:w="5007" w:type="dxa"/>
            <w:tcBorders>
              <w:tl2br w:val="nil"/>
              <w:tr2bl w:val="nil"/>
            </w:tcBorders>
          </w:tcPr>
          <w:p w14:paraId="73D039A5">
            <w:pPr>
              <w:spacing w:line="360" w:lineRule="auto"/>
              <w:rPr>
                <w:rFonts w:ascii="宋体" w:hAnsi="宋体" w:cs="宋体"/>
              </w:rPr>
            </w:pPr>
            <w:r>
              <w:rPr>
                <w:rFonts w:hint="eastAsia" w:ascii="宋体" w:hAnsi="宋体" w:cs="宋体"/>
              </w:rPr>
              <w:t>备注：</w:t>
            </w:r>
          </w:p>
          <w:p w14:paraId="4F845D0C">
            <w:pPr>
              <w:spacing w:line="360" w:lineRule="auto"/>
              <w:rPr>
                <w:rFonts w:ascii="宋体" w:hAnsi="宋体" w:cs="宋体"/>
              </w:rPr>
            </w:pPr>
            <w:r>
              <w:rPr>
                <w:rFonts w:hint="eastAsia" w:ascii="宋体" w:hAnsi="宋体" w:cs="宋体"/>
              </w:rPr>
              <w:t>（1）优先采购同时属于“节能产品”、“环境标志产品”的，评审时只有其中一项产品能享受优先采购优惠（投标人自行选择，并在投标文件中填报相关信息及数据）。</w:t>
            </w:r>
          </w:p>
          <w:p w14:paraId="2B9B6D38">
            <w:pPr>
              <w:spacing w:line="360" w:lineRule="auto"/>
              <w:rPr>
                <w:rFonts w:ascii="宋体" w:hAnsi="宋体" w:cs="宋体"/>
              </w:rPr>
            </w:pPr>
            <w:r>
              <w:rPr>
                <w:rFonts w:hint="eastAsia" w:ascii="宋体" w:hAnsi="宋体" w:cs="宋体"/>
              </w:rPr>
              <w:t>（2）小型和微型企业的价格评审优惠可以与同时属于“节能产品”、“环境标志产品”中的一项优先采购优惠累加计算。</w:t>
            </w:r>
          </w:p>
          <w:p w14:paraId="467EF7EB">
            <w:pPr>
              <w:spacing w:line="360" w:lineRule="auto"/>
              <w:rPr>
                <w:rFonts w:ascii="宋体" w:hAnsi="宋体" w:cs="宋体"/>
              </w:rPr>
            </w:pPr>
            <w:r>
              <w:rPr>
                <w:rFonts w:hint="eastAsia" w:ascii="宋体" w:hAnsi="宋体" w:cs="宋体"/>
              </w:rPr>
              <w:t>（3）投标人符合第二章第33.1款、第33.2款、第33.3款规定的，应按第二章第33.6款规定提供相关证明资料。</w:t>
            </w:r>
          </w:p>
        </w:tc>
      </w:tr>
      <w:tr w14:paraId="0CDE7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594D6556">
            <w:pPr>
              <w:adjustRightInd w:val="0"/>
              <w:snapToGrid w:val="0"/>
              <w:spacing w:before="161" w:beforeLines="50" w:line="360" w:lineRule="auto"/>
              <w:jc w:val="center"/>
              <w:rPr>
                <w:rFonts w:ascii="宋体" w:hAnsi="宋体" w:cs="宋体"/>
                <w:szCs w:val="21"/>
              </w:rPr>
            </w:pPr>
            <w:r>
              <w:rPr>
                <w:rFonts w:hint="eastAsia" w:ascii="宋体" w:hAnsi="宋体" w:cs="宋体"/>
                <w:szCs w:val="21"/>
              </w:rPr>
              <w:t>第6.2</w:t>
            </w:r>
            <w:r>
              <w:rPr>
                <w:rFonts w:hint="eastAsia" w:ascii="宋体" w:hAnsi="宋体" w:cs="宋体"/>
                <w:kern w:val="0"/>
                <w:szCs w:val="21"/>
                <w:lang w:val="zh-CN"/>
              </w:rPr>
              <w:t>款</w:t>
            </w:r>
          </w:p>
        </w:tc>
        <w:tc>
          <w:tcPr>
            <w:tcW w:w="2268" w:type="dxa"/>
            <w:tcBorders>
              <w:tl2br w:val="nil"/>
              <w:tr2bl w:val="nil"/>
            </w:tcBorders>
            <w:vAlign w:val="center"/>
          </w:tcPr>
          <w:p w14:paraId="1B8174ED">
            <w:pPr>
              <w:adjustRightInd w:val="0"/>
              <w:snapToGrid w:val="0"/>
              <w:spacing w:before="161" w:beforeLines="50" w:line="360" w:lineRule="auto"/>
              <w:jc w:val="center"/>
              <w:rPr>
                <w:rFonts w:ascii="宋体" w:hAnsi="宋体" w:cs="宋体"/>
                <w:szCs w:val="21"/>
              </w:rPr>
            </w:pPr>
            <w:r>
              <w:rPr>
                <w:rFonts w:hint="eastAsia" w:ascii="宋体" w:hAnsi="宋体" w:cs="宋体"/>
                <w:szCs w:val="21"/>
              </w:rPr>
              <w:t>中标候选人并列的确定中标单位的方式</w:t>
            </w:r>
          </w:p>
        </w:tc>
        <w:tc>
          <w:tcPr>
            <w:tcW w:w="5007" w:type="dxa"/>
            <w:tcBorders>
              <w:tl2br w:val="nil"/>
              <w:tr2bl w:val="nil"/>
            </w:tcBorders>
            <w:vAlign w:val="center"/>
          </w:tcPr>
          <w:p w14:paraId="5E2BFF9A">
            <w:pPr>
              <w:pStyle w:val="126"/>
              <w:spacing w:before="78" w:line="360" w:lineRule="auto"/>
              <w:ind w:right="87"/>
              <w:rPr>
                <w:szCs w:val="21"/>
              </w:rPr>
            </w:pPr>
            <w:r>
              <w:rPr>
                <w:rFonts w:hint="eastAsia"/>
                <w:szCs w:val="21"/>
              </w:rPr>
              <w:t>按投标报价从低到高确定排序，投标报价相同的按技术总分从高至低确定排序，技术总分相同的由评审小组组长在评审现场随机抽签确定排序。</w:t>
            </w:r>
          </w:p>
        </w:tc>
      </w:tr>
    </w:tbl>
    <w:p w14:paraId="290C84D3">
      <w:pPr>
        <w:adjustRightInd w:val="0"/>
        <w:snapToGrid w:val="0"/>
        <w:spacing w:before="161" w:beforeLines="50" w:line="360" w:lineRule="auto"/>
        <w:ind w:firstLine="420" w:firstLineChars="200"/>
        <w:jc w:val="left"/>
        <w:rPr>
          <w:rFonts w:ascii="宋体" w:hAnsi="宋体" w:cs="宋体"/>
          <w:b/>
          <w:sz w:val="28"/>
          <w:szCs w:val="28"/>
        </w:rPr>
      </w:pPr>
      <w:r>
        <w:rPr>
          <w:rFonts w:hint="eastAsia" w:ascii="宋体" w:hAnsi="宋体" w:cs="宋体"/>
        </w:rPr>
        <w:br w:type="page"/>
      </w:r>
    </w:p>
    <w:p w14:paraId="361D2196">
      <w:pPr>
        <w:pStyle w:val="3"/>
        <w:keepNext w:val="0"/>
        <w:keepLines w:val="0"/>
        <w:adjustRightInd w:val="0"/>
        <w:snapToGrid w:val="0"/>
        <w:spacing w:before="161" w:beforeLines="50"/>
        <w:jc w:val="center"/>
        <w:rPr>
          <w:rFonts w:ascii="宋体" w:hAnsi="宋体" w:cs="宋体"/>
          <w:sz w:val="28"/>
          <w:szCs w:val="28"/>
        </w:rPr>
      </w:pPr>
      <w:bookmarkStart w:id="49" w:name="_Toc3671"/>
      <w:r>
        <w:rPr>
          <w:rFonts w:hint="eastAsia" w:ascii="宋体" w:hAnsi="宋体" w:cs="宋体"/>
          <w:sz w:val="28"/>
          <w:szCs w:val="28"/>
        </w:rPr>
        <w:t>第二节 评标方法及标准</w:t>
      </w:r>
      <w:bookmarkEnd w:id="49"/>
    </w:p>
    <w:p w14:paraId="2E98A38A">
      <w:pPr>
        <w:pStyle w:val="4"/>
        <w:keepNext w:val="0"/>
        <w:keepLines w:val="0"/>
        <w:adjustRightInd w:val="0"/>
        <w:snapToGrid w:val="0"/>
        <w:spacing w:before="161" w:beforeLines="50" w:after="0" w:line="360" w:lineRule="auto"/>
        <w:rPr>
          <w:rFonts w:ascii="宋体" w:hAnsi="宋体" w:cs="宋体"/>
          <w:sz w:val="24"/>
          <w:szCs w:val="24"/>
        </w:rPr>
      </w:pPr>
      <w:bookmarkStart w:id="50" w:name="_Toc26971"/>
      <w:r>
        <w:rPr>
          <w:rFonts w:hint="eastAsia" w:ascii="宋体" w:hAnsi="宋体" w:cs="宋体"/>
          <w:sz w:val="24"/>
          <w:szCs w:val="24"/>
        </w:rPr>
        <w:t>1．评标方法</w:t>
      </w:r>
      <w:bookmarkEnd w:id="50"/>
    </w:p>
    <w:p w14:paraId="3435BEF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1.1综合评分法，指投标文件满足招标文件全部实质性要求，且按照评审因素的量化指标评审得分最高的投标人为中标候选人的评标方法。</w:t>
      </w:r>
    </w:p>
    <w:p w14:paraId="6305A1B3">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1.2最低评标价，是指投标文件满足招标文件全部实质性要求，且投标报价最低的投标人为中标候选人的评标方法。</w:t>
      </w:r>
    </w:p>
    <w:p w14:paraId="17AEFDA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1.3本采购项目评标方法见本章第一节“评标方法及标准前附表”（以下简称</w:t>
      </w:r>
      <w:r>
        <w:rPr>
          <w:rFonts w:hint="eastAsia" w:ascii="宋体" w:hAnsi="宋体" w:cs="宋体"/>
          <w:b/>
          <w:szCs w:val="21"/>
        </w:rPr>
        <w:t>【评标方法及标准前附表】）</w:t>
      </w:r>
      <w:r>
        <w:rPr>
          <w:rFonts w:hint="eastAsia" w:ascii="宋体" w:hAnsi="宋体" w:cs="宋体"/>
          <w:szCs w:val="21"/>
        </w:rPr>
        <w:t>。</w:t>
      </w:r>
    </w:p>
    <w:p w14:paraId="6C967F88">
      <w:pPr>
        <w:pStyle w:val="4"/>
        <w:keepNext w:val="0"/>
        <w:keepLines w:val="0"/>
        <w:adjustRightInd w:val="0"/>
        <w:snapToGrid w:val="0"/>
        <w:spacing w:before="161" w:beforeLines="50" w:after="0" w:line="360" w:lineRule="auto"/>
        <w:rPr>
          <w:rFonts w:ascii="宋体" w:hAnsi="宋体" w:cs="宋体"/>
          <w:bCs w:val="0"/>
          <w:sz w:val="24"/>
          <w:szCs w:val="24"/>
        </w:rPr>
      </w:pPr>
      <w:bookmarkStart w:id="51" w:name="_Toc23638"/>
      <w:r>
        <w:rPr>
          <w:rFonts w:hint="eastAsia" w:ascii="宋体" w:hAnsi="宋体" w:cs="宋体"/>
          <w:bCs w:val="0"/>
          <w:sz w:val="24"/>
          <w:szCs w:val="24"/>
        </w:rPr>
        <w:t>2．评标程序</w:t>
      </w:r>
      <w:bookmarkEnd w:id="51"/>
    </w:p>
    <w:p w14:paraId="55B6F6D6">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2.1评标程序分为投标文件符合性审查、澄清有关问题、比较和评价、推荐中标候选人。</w:t>
      </w:r>
    </w:p>
    <w:p w14:paraId="18E4CE66">
      <w:pPr>
        <w:pStyle w:val="4"/>
        <w:keepNext w:val="0"/>
        <w:keepLines w:val="0"/>
        <w:adjustRightInd w:val="0"/>
        <w:snapToGrid w:val="0"/>
        <w:spacing w:before="161" w:beforeLines="50" w:after="0" w:line="360" w:lineRule="auto"/>
        <w:rPr>
          <w:rFonts w:ascii="宋体" w:hAnsi="宋体" w:cs="宋体"/>
          <w:bCs w:val="0"/>
          <w:sz w:val="24"/>
          <w:szCs w:val="24"/>
        </w:rPr>
      </w:pPr>
      <w:bookmarkStart w:id="52" w:name="_Toc1922"/>
      <w:r>
        <w:rPr>
          <w:rFonts w:hint="eastAsia" w:ascii="宋体" w:hAnsi="宋体" w:cs="宋体"/>
          <w:bCs w:val="0"/>
          <w:sz w:val="24"/>
          <w:szCs w:val="24"/>
        </w:rPr>
        <w:t>3．投标文件的符合性审查</w:t>
      </w:r>
      <w:bookmarkEnd w:id="52"/>
    </w:p>
    <w:p w14:paraId="3525447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3.1资格审查结束后，评标委员会依法按照本章第三节“投标文件的符合性审查”规定进行投标文件符合性。</w:t>
      </w:r>
    </w:p>
    <w:p w14:paraId="39D92C15">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3.2符合性审查合格投标人少于3家的，应予废标。</w:t>
      </w:r>
    </w:p>
    <w:p w14:paraId="7A33083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3.3单一产品采购项目：提供相同品牌产品的不同投标人参加同一合同项下投标的，按一家投标人计算。提供不同品牌产品的投标人不足三家的，应予废标。</w:t>
      </w:r>
    </w:p>
    <w:p w14:paraId="07AC82F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3.4非单一产品采购项目：采购人或者采购代理机构将在</w:t>
      </w:r>
      <w:r>
        <w:rPr>
          <w:rFonts w:hint="eastAsia" w:ascii="宋体" w:hAnsi="宋体" w:cs="宋体"/>
          <w:b/>
          <w:szCs w:val="21"/>
        </w:rPr>
        <w:t>【评标方法及标准前附表】</w:t>
      </w:r>
      <w:r>
        <w:rPr>
          <w:rFonts w:hint="eastAsia" w:ascii="宋体" w:hAnsi="宋体" w:cs="宋体"/>
          <w:szCs w:val="21"/>
        </w:rPr>
        <w:t>中载明核心产品。多家投标人提供的核心产品品牌相同的，视为相同品牌，按本章本节第3.3款规定处理。</w:t>
      </w:r>
    </w:p>
    <w:p w14:paraId="0A2BCD4B">
      <w:pPr>
        <w:pStyle w:val="4"/>
        <w:keepNext w:val="0"/>
        <w:keepLines w:val="0"/>
        <w:adjustRightInd w:val="0"/>
        <w:snapToGrid w:val="0"/>
        <w:spacing w:before="161" w:beforeLines="50" w:after="0" w:line="360" w:lineRule="auto"/>
        <w:rPr>
          <w:rFonts w:ascii="宋体" w:hAnsi="宋体" w:cs="宋体"/>
          <w:bCs w:val="0"/>
          <w:sz w:val="24"/>
          <w:szCs w:val="24"/>
        </w:rPr>
      </w:pPr>
      <w:bookmarkStart w:id="53" w:name="_Toc2325"/>
      <w:r>
        <w:rPr>
          <w:rFonts w:hint="eastAsia" w:ascii="宋体" w:hAnsi="宋体" w:cs="宋体"/>
          <w:bCs w:val="0"/>
          <w:sz w:val="24"/>
          <w:szCs w:val="24"/>
        </w:rPr>
        <w:t>4．投标文件的澄清</w:t>
      </w:r>
      <w:bookmarkEnd w:id="53"/>
    </w:p>
    <w:p w14:paraId="475804D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4.1对于投标文件中含义不明确、同类问题表述不一致或者有明显文字和计算错误的内容，评标委员会应当以书面形式要求投标人作出必要的澄清、说明或者补正。</w:t>
      </w:r>
    </w:p>
    <w:p w14:paraId="571FE3C3">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4.2投标文件的投标报价出现前后不一致的，除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545B9A6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（1）投标文件中开标一览表内容与投标文件中相应内容不一致的，以开标一览表为准；</w:t>
      </w:r>
    </w:p>
    <w:p w14:paraId="0051A18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（2）大写金额和小写金额不一致的，以大写金额为准；</w:t>
      </w:r>
    </w:p>
    <w:p w14:paraId="5400713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（3）单价金额小数点或者百分比有明显错位的，以开标一览表的总价为准，并修改单价；</w:t>
      </w:r>
    </w:p>
    <w:p w14:paraId="1DA5792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（4）总价金额与按单价汇总金额不一致的，以单价金额计算结果为准。</w:t>
      </w:r>
    </w:p>
    <w:p w14:paraId="115295A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147C4FC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5A0EFD72">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4.5有效的书面澄清材料，是投标文件的补充材料，成为投标文件的组成部分。</w:t>
      </w:r>
    </w:p>
    <w:p w14:paraId="67F0486C">
      <w:pPr>
        <w:adjustRightInd w:val="0"/>
        <w:snapToGrid w:val="0"/>
        <w:spacing w:before="161" w:beforeLines="50" w:line="360" w:lineRule="auto"/>
        <w:ind w:firstLine="420" w:firstLineChars="200"/>
        <w:jc w:val="left"/>
        <w:rPr>
          <w:rFonts w:hint="eastAsia" w:ascii="宋体" w:hAnsi="宋体" w:eastAsia="宋体" w:cs="宋体"/>
          <w:szCs w:val="21"/>
        </w:rPr>
      </w:pPr>
      <w:bookmarkStart w:id="54" w:name="_Toc3267"/>
      <w:r>
        <w:rPr>
          <w:rFonts w:hint="eastAsia" w:ascii="宋体" w:hAnsi="宋体" w:eastAsia="宋体" w:cs="宋体"/>
          <w:szCs w:val="21"/>
        </w:rPr>
        <w:t>4.6投标人的报价符合下列情形之一的，评标委员会应当启动异常低价投标审查程序：</w:t>
      </w:r>
    </w:p>
    <w:p w14:paraId="7987A56F">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（1）算术平均值比较：投标报价低于全部通过符合性审查供应商投标报价算术平均值50%的（即：投标报价&lt;全部有效报价算术平均值×50%）；</w:t>
      </w:r>
    </w:p>
    <w:p w14:paraId="6A2887FA">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（2）次低报价比较：投标报价低于通过符合性审查的次低报价50%的（即：投标报价 &lt;评标委员会次低报价评标委员会×评标委员会50%）；</w:t>
      </w:r>
    </w:p>
    <w:p w14:paraId="2BF10EBF">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（3）最高限价比较：投标报价低于采购项目最高限价45%的（即：投标报价评标委员会&lt;评标委员会最高限价评标委员会×评标委员会45%）；</w:t>
      </w:r>
    </w:p>
    <w:p w14:paraId="48B587C4">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（4）专业判断：评标委员会基于专业经验判断，认为供应商报价明显低于市场合理价格，有可能影响产品质量或者不能诚信履约的其他情形。</w:t>
      </w:r>
    </w:p>
    <w:p w14:paraId="1E6D61F7">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评标委员会启动异常低价投标审查后，属于前述第（1）项至第（4）项情形的，应当要求相关投标人在合理的时间内对投标价格作出解释，提供项目具体成本测算等与报价合理性相关的书面说明及必要的证明材料，包括但不限于原材料成本、人工成本、制造费用等，供应商提交证明材料的时间不得超过60分钟。其中，属于第（3）项情形，投标人已随投标文件一并提交相关书面说明及必要的证明材料的，可不再重复提交。 </w:t>
      </w:r>
    </w:p>
    <w:p w14:paraId="73435797">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6B906CA2">
      <w:pPr>
        <w:adjustRightInd w:val="0"/>
        <w:snapToGrid w:val="0"/>
        <w:spacing w:before="161"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14:paraId="44E6667C">
      <w:pPr>
        <w:pStyle w:val="4"/>
        <w:keepNext w:val="0"/>
        <w:keepLines w:val="0"/>
        <w:adjustRightInd w:val="0"/>
        <w:snapToGrid w:val="0"/>
        <w:spacing w:before="161" w:beforeLines="50" w:after="0" w:line="360" w:lineRule="auto"/>
        <w:rPr>
          <w:rFonts w:ascii="宋体" w:hAnsi="宋体" w:cs="宋体"/>
          <w:bCs w:val="0"/>
          <w:sz w:val="24"/>
          <w:szCs w:val="24"/>
        </w:rPr>
      </w:pPr>
      <w:r>
        <w:rPr>
          <w:rFonts w:hint="eastAsia" w:ascii="宋体" w:hAnsi="宋体" w:cs="宋体"/>
          <w:bCs w:val="0"/>
          <w:sz w:val="24"/>
          <w:szCs w:val="24"/>
        </w:rPr>
        <w:t>5．投标文件的比较与评价</w:t>
      </w:r>
      <w:bookmarkEnd w:id="54"/>
    </w:p>
    <w:p w14:paraId="6E604D88">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5.1评标委员会依法按照本章第三节“投标文件的比较与评价”规定，对资格性检查和符合性检查合格的投标文件进行比较和评价。</w:t>
      </w:r>
    </w:p>
    <w:p w14:paraId="3B222F87">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5.2单一产品采购项目：</w:t>
      </w:r>
    </w:p>
    <w:p w14:paraId="24E2146C">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szCs w:val="21"/>
        </w:rPr>
        <w:t>（1）最低评标价法：</w:t>
      </w:r>
      <w:r>
        <w:rPr>
          <w:rFonts w:hint="eastAsia" w:ascii="宋体" w:hAnsi="宋体" w:cs="宋体"/>
          <w:bCs/>
          <w:szCs w:val="21"/>
        </w:rPr>
        <w:t>提供相同品牌产品的不同投标人参加同一合同项下投标的，以其中通过资格审查、符合性审查且报价最低的参加评标，其他投标无效；报价相同的，按照</w:t>
      </w:r>
      <w:r>
        <w:rPr>
          <w:rFonts w:hint="eastAsia" w:ascii="宋体" w:hAnsi="宋体" w:cs="宋体"/>
          <w:b/>
          <w:bCs/>
          <w:szCs w:val="21"/>
        </w:rPr>
        <w:t>【评标方法及标准前附表】</w:t>
      </w:r>
      <w:r>
        <w:rPr>
          <w:rFonts w:hint="eastAsia" w:ascii="宋体" w:hAnsi="宋体" w:cs="宋体"/>
          <w:bCs/>
          <w:szCs w:val="21"/>
        </w:rPr>
        <w:t>规定的方式确定一个参加评标的投标人，招标文件未规定的采取随机抽取方式确定，其他</w:t>
      </w:r>
      <w:r>
        <w:rPr>
          <w:rFonts w:hint="eastAsia" w:ascii="宋体" w:hAnsi="宋体" w:cs="宋体"/>
          <w:b/>
          <w:bCs/>
          <w:szCs w:val="21"/>
        </w:rPr>
        <w:t>投标无效</w:t>
      </w:r>
      <w:r>
        <w:rPr>
          <w:rFonts w:hint="eastAsia" w:ascii="宋体" w:hAnsi="宋体" w:cs="宋体"/>
          <w:bCs/>
          <w:szCs w:val="21"/>
        </w:rPr>
        <w:t>。</w:t>
      </w:r>
    </w:p>
    <w:p w14:paraId="4D07648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（2）综合评分法：提供相同品牌产品且通过资格审查、符合性审查的不同投标人参加同一合同项下投标的，评审后得分最高的同品牌投标人获得中标单位推荐资格；评审得分相同的，按照</w:t>
      </w:r>
      <w:r>
        <w:rPr>
          <w:rFonts w:hint="eastAsia" w:ascii="宋体" w:hAnsi="宋体" w:cs="宋体"/>
          <w:b/>
          <w:szCs w:val="21"/>
        </w:rPr>
        <w:t>【评标方法及标准前附表】</w:t>
      </w:r>
      <w:r>
        <w:rPr>
          <w:rFonts w:hint="eastAsia" w:ascii="宋体" w:hAnsi="宋体" w:cs="宋体"/>
          <w:szCs w:val="21"/>
        </w:rPr>
        <w:t>规定的方式确定一个投标人获得中标单位推荐资格，招标文件未规定的采取随机抽取方式确定，其他同品牌投标人</w:t>
      </w:r>
      <w:r>
        <w:rPr>
          <w:rFonts w:hint="eastAsia" w:ascii="宋体" w:hAnsi="宋体" w:cs="宋体"/>
          <w:b/>
          <w:szCs w:val="21"/>
        </w:rPr>
        <w:t>不作为中标候选人</w:t>
      </w:r>
      <w:r>
        <w:rPr>
          <w:rFonts w:hint="eastAsia" w:ascii="宋体" w:hAnsi="宋体" w:cs="宋体"/>
          <w:szCs w:val="21"/>
        </w:rPr>
        <w:t>。</w:t>
      </w:r>
    </w:p>
    <w:p w14:paraId="10AC7E08">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5.3非单一产品采购项目：多家投标人提供的核心产品品牌均相同的，视为相同品牌，按本章本节第 5.2 款规定处理。</w:t>
      </w:r>
    </w:p>
    <w:p w14:paraId="4B5845BE">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5.4政府采购政策：</w:t>
      </w:r>
    </w:p>
    <w:p w14:paraId="7D1DBE6B">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szCs w:val="21"/>
        </w:rPr>
        <w:t>（1）</w:t>
      </w:r>
      <w:r>
        <w:rPr>
          <w:rFonts w:hint="eastAsia" w:ascii="宋体" w:hAnsi="宋体" w:cs="宋体"/>
          <w:bCs/>
          <w:szCs w:val="21"/>
        </w:rPr>
        <w:t>价格评审优惠：</w:t>
      </w:r>
      <w:r>
        <w:rPr>
          <w:rFonts w:hint="eastAsia" w:ascii="宋体" w:hAnsi="宋体" w:cs="宋体"/>
          <w:szCs w:val="21"/>
        </w:rPr>
        <w:t>按</w:t>
      </w:r>
      <w:r>
        <w:rPr>
          <w:rFonts w:hint="eastAsia" w:ascii="宋体" w:hAnsi="宋体" w:cs="宋体"/>
          <w:b/>
          <w:szCs w:val="21"/>
        </w:rPr>
        <w:t>【评标方法及标准前附表】</w:t>
      </w:r>
      <w:r>
        <w:rPr>
          <w:rFonts w:hint="eastAsia" w:ascii="宋体" w:hAnsi="宋体" w:cs="宋体"/>
          <w:szCs w:val="21"/>
        </w:rPr>
        <w:t>及第二章“投标须知”的相关规定给予一定的价格折扣。</w:t>
      </w:r>
    </w:p>
    <w:p w14:paraId="5AC8D103">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szCs w:val="21"/>
        </w:rPr>
        <w:t>（2）优先采购：</w:t>
      </w:r>
      <w:r>
        <w:rPr>
          <w:rFonts w:hint="eastAsia" w:ascii="宋体" w:hAnsi="宋体" w:cs="宋体"/>
          <w:bCs/>
          <w:szCs w:val="21"/>
        </w:rPr>
        <w:t>评审时按</w:t>
      </w:r>
      <w:r>
        <w:rPr>
          <w:rFonts w:hint="eastAsia" w:ascii="宋体" w:hAnsi="宋体" w:cs="宋体"/>
          <w:b/>
          <w:szCs w:val="21"/>
        </w:rPr>
        <w:t>【评标方法及标准前附表】</w:t>
      </w:r>
      <w:r>
        <w:rPr>
          <w:rFonts w:hint="eastAsia" w:ascii="宋体" w:hAnsi="宋体" w:cs="宋体"/>
          <w:bCs/>
          <w:szCs w:val="21"/>
        </w:rPr>
        <w:t>及第二章</w:t>
      </w:r>
      <w:r>
        <w:rPr>
          <w:rFonts w:hint="eastAsia" w:ascii="宋体" w:hAnsi="宋体" w:cs="宋体"/>
          <w:szCs w:val="21"/>
        </w:rPr>
        <w:t>“投标须知”</w:t>
      </w:r>
      <w:r>
        <w:rPr>
          <w:rFonts w:hint="eastAsia" w:ascii="宋体" w:hAnsi="宋体" w:cs="宋体"/>
          <w:bCs/>
          <w:szCs w:val="21"/>
        </w:rPr>
        <w:t>的相关规定给予价格折扣或者加分。</w:t>
      </w:r>
    </w:p>
    <w:p w14:paraId="3C960F5C">
      <w:pPr>
        <w:pStyle w:val="4"/>
        <w:keepNext w:val="0"/>
        <w:keepLines w:val="0"/>
        <w:adjustRightInd w:val="0"/>
        <w:snapToGrid w:val="0"/>
        <w:spacing w:before="161" w:beforeLines="50" w:after="0" w:line="360" w:lineRule="auto"/>
        <w:rPr>
          <w:rFonts w:ascii="宋体" w:hAnsi="宋体" w:cs="宋体"/>
          <w:sz w:val="24"/>
          <w:szCs w:val="24"/>
        </w:rPr>
      </w:pPr>
      <w:bookmarkStart w:id="55" w:name="_Toc29558"/>
      <w:r>
        <w:rPr>
          <w:rFonts w:hint="eastAsia" w:ascii="宋体" w:hAnsi="宋体" w:cs="宋体"/>
          <w:bCs w:val="0"/>
          <w:sz w:val="24"/>
          <w:szCs w:val="24"/>
        </w:rPr>
        <w:t>6．</w:t>
      </w:r>
      <w:r>
        <w:rPr>
          <w:rFonts w:hint="eastAsia" w:ascii="宋体" w:hAnsi="宋体" w:cs="宋体"/>
          <w:sz w:val="24"/>
          <w:szCs w:val="24"/>
        </w:rPr>
        <w:t>推荐中标候选人</w:t>
      </w:r>
      <w:bookmarkEnd w:id="55"/>
    </w:p>
    <w:p w14:paraId="69A68DB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szCs w:val="21"/>
        </w:rPr>
        <w:t>6.1最低评标价法：</w:t>
      </w:r>
      <w:r>
        <w:rPr>
          <w:rFonts w:hint="eastAsia" w:ascii="宋体" w:hAnsi="宋体" w:cs="宋体"/>
          <w:bCs/>
          <w:szCs w:val="21"/>
        </w:rPr>
        <w:t>评标结果按算术修正和落实政府采购政策需进行的价格扣除后的投标报价由低到高顺序排列。报价相同的并列，按</w:t>
      </w:r>
      <w:r>
        <w:rPr>
          <w:rFonts w:hint="eastAsia" w:ascii="宋体" w:hAnsi="宋体" w:cs="宋体"/>
          <w:b/>
          <w:szCs w:val="21"/>
        </w:rPr>
        <w:t>【评标方法及标准前附表】</w:t>
      </w:r>
      <w:r>
        <w:rPr>
          <w:rFonts w:hint="eastAsia" w:ascii="宋体" w:hAnsi="宋体" w:cs="宋体"/>
          <w:szCs w:val="21"/>
        </w:rPr>
        <w:t>规定的方式确定中标单位；</w:t>
      </w:r>
      <w:r>
        <w:rPr>
          <w:rFonts w:hint="eastAsia" w:ascii="宋体" w:hAnsi="宋体" w:cs="宋体"/>
          <w:bCs/>
          <w:szCs w:val="21"/>
        </w:rPr>
        <w:t>招标文件未规定的，采取随机抽取的方式确定。</w:t>
      </w:r>
    </w:p>
    <w:p w14:paraId="564DA2DC">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6.2综合评分法：评标结果按评审后得分由高到低顺序排列。得分相同的，按投标报价由低到高顺序排列。得分且投标报价相同的并列，按</w:t>
      </w:r>
      <w:r>
        <w:rPr>
          <w:rFonts w:hint="eastAsia" w:ascii="宋体" w:hAnsi="宋体" w:cs="宋体"/>
          <w:b/>
          <w:bCs/>
          <w:szCs w:val="21"/>
        </w:rPr>
        <w:t>【评标方法及标准前附表】</w:t>
      </w:r>
      <w:r>
        <w:rPr>
          <w:rFonts w:hint="eastAsia" w:ascii="宋体" w:hAnsi="宋体" w:cs="宋体"/>
          <w:bCs/>
          <w:szCs w:val="21"/>
        </w:rPr>
        <w:t>规定的方式确定中标单位；招标文件未规定的，采取随机抽取的方式确定。</w:t>
      </w:r>
    </w:p>
    <w:p w14:paraId="2E2FACEB">
      <w:pPr>
        <w:pStyle w:val="4"/>
        <w:keepNext w:val="0"/>
        <w:keepLines w:val="0"/>
        <w:adjustRightInd w:val="0"/>
        <w:snapToGrid w:val="0"/>
        <w:spacing w:before="161" w:beforeLines="50" w:after="0" w:line="360" w:lineRule="auto"/>
        <w:rPr>
          <w:rFonts w:ascii="宋体" w:hAnsi="宋体" w:cs="宋体"/>
          <w:sz w:val="24"/>
          <w:szCs w:val="24"/>
        </w:rPr>
      </w:pPr>
      <w:bookmarkStart w:id="56" w:name="_Toc2387"/>
      <w:r>
        <w:rPr>
          <w:rFonts w:hint="eastAsia" w:ascii="宋体" w:hAnsi="宋体" w:cs="宋体"/>
          <w:bCs w:val="0"/>
          <w:sz w:val="24"/>
          <w:szCs w:val="24"/>
        </w:rPr>
        <w:t>7．</w:t>
      </w:r>
      <w:r>
        <w:rPr>
          <w:rFonts w:hint="eastAsia" w:ascii="宋体" w:hAnsi="宋体" w:cs="宋体"/>
          <w:sz w:val="24"/>
          <w:szCs w:val="24"/>
        </w:rPr>
        <w:t>编写评标报告</w:t>
      </w:r>
      <w:bookmarkEnd w:id="56"/>
    </w:p>
    <w:p w14:paraId="4A10235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1951CE6E">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6D7588A4">
      <w:pPr>
        <w:pStyle w:val="4"/>
        <w:keepNext w:val="0"/>
        <w:keepLines w:val="0"/>
        <w:adjustRightInd w:val="0"/>
        <w:snapToGrid w:val="0"/>
        <w:spacing w:before="161" w:beforeLines="50" w:after="0" w:line="360" w:lineRule="auto"/>
        <w:rPr>
          <w:rFonts w:ascii="宋体" w:hAnsi="宋体" w:cs="宋体"/>
          <w:bCs w:val="0"/>
          <w:sz w:val="24"/>
          <w:szCs w:val="24"/>
        </w:rPr>
      </w:pPr>
      <w:bookmarkStart w:id="57" w:name="_Toc19531"/>
      <w:r>
        <w:rPr>
          <w:rFonts w:hint="eastAsia" w:ascii="宋体" w:hAnsi="宋体" w:cs="宋体"/>
          <w:bCs w:val="0"/>
          <w:sz w:val="24"/>
          <w:szCs w:val="24"/>
        </w:rPr>
        <w:t>8．</w:t>
      </w:r>
      <w:r>
        <w:rPr>
          <w:rFonts w:hint="eastAsia" w:ascii="宋体" w:hAnsi="宋体" w:cs="宋体"/>
          <w:sz w:val="24"/>
          <w:szCs w:val="24"/>
        </w:rPr>
        <w:t>评标报告</w:t>
      </w:r>
      <w:r>
        <w:rPr>
          <w:rFonts w:hint="eastAsia" w:ascii="宋体" w:hAnsi="宋体" w:cs="宋体"/>
          <w:bCs w:val="0"/>
          <w:sz w:val="24"/>
          <w:szCs w:val="24"/>
        </w:rPr>
        <w:t>复核</w:t>
      </w:r>
      <w:bookmarkEnd w:id="57"/>
    </w:p>
    <w:p w14:paraId="2130D7D4">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8.1汇总结束后，评标委员会应当进行复核，特别要对拟推荐为中标候选投标人的、报价最低的、投标文件被认定为无效的进行重点复核。</w:t>
      </w:r>
    </w:p>
    <w:p w14:paraId="1E7C19A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8.2汇总完成后，除下列情形外，任何人不得修改评标结果：</w:t>
      </w:r>
    </w:p>
    <w:p w14:paraId="6534E540">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kern w:val="0"/>
          <w:szCs w:val="21"/>
        </w:rPr>
        <w:t>（1）分值汇总计算错误的；</w:t>
      </w:r>
    </w:p>
    <w:p w14:paraId="3089B157">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kern w:val="0"/>
          <w:szCs w:val="21"/>
        </w:rPr>
        <w:t>（2）分项评分超出评分标准范围的；</w:t>
      </w:r>
    </w:p>
    <w:p w14:paraId="7854C71C">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kern w:val="0"/>
          <w:szCs w:val="21"/>
        </w:rPr>
        <w:t>（3）评标委员会成员对客观评审因素评分不一致的；</w:t>
      </w:r>
    </w:p>
    <w:p w14:paraId="0FEB0FE9">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kern w:val="0"/>
          <w:szCs w:val="21"/>
        </w:rPr>
        <w:t>（4）经评标委员会认定评分畸高、畸低的。</w:t>
      </w:r>
    </w:p>
    <w:p w14:paraId="41008B59">
      <w:pPr>
        <w:adjustRightInd w:val="0"/>
        <w:snapToGrid w:val="0"/>
        <w:spacing w:before="161" w:beforeLines="50" w:line="360" w:lineRule="auto"/>
        <w:ind w:firstLine="420" w:firstLineChars="200"/>
        <w:jc w:val="left"/>
        <w:rPr>
          <w:rFonts w:ascii="宋体" w:hAnsi="宋体" w:cs="宋体"/>
          <w:b/>
          <w:bCs/>
          <w:szCs w:val="21"/>
        </w:rPr>
      </w:pPr>
      <w:r>
        <w:rPr>
          <w:rFonts w:hint="eastAsia" w:ascii="宋体" w:hAnsi="宋体" w:cs="宋体"/>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F48DE61">
      <w:pPr>
        <w:pStyle w:val="4"/>
        <w:keepNext w:val="0"/>
        <w:keepLines w:val="0"/>
        <w:adjustRightInd w:val="0"/>
        <w:snapToGrid w:val="0"/>
        <w:spacing w:before="161" w:beforeLines="50" w:after="0" w:line="360" w:lineRule="auto"/>
        <w:rPr>
          <w:rFonts w:ascii="宋体" w:hAnsi="宋体" w:cs="宋体"/>
          <w:bCs w:val="0"/>
          <w:sz w:val="24"/>
          <w:szCs w:val="24"/>
        </w:rPr>
      </w:pPr>
      <w:bookmarkStart w:id="58" w:name="_Toc3690"/>
      <w:r>
        <w:rPr>
          <w:rFonts w:hint="eastAsia" w:ascii="宋体" w:hAnsi="宋体" w:cs="宋体"/>
          <w:sz w:val="24"/>
          <w:szCs w:val="24"/>
        </w:rPr>
        <w:t>9．</w:t>
      </w:r>
      <w:r>
        <w:rPr>
          <w:rFonts w:hint="eastAsia" w:ascii="宋体" w:hAnsi="宋体" w:cs="宋体"/>
          <w:bCs w:val="0"/>
          <w:sz w:val="24"/>
          <w:szCs w:val="24"/>
        </w:rPr>
        <w:t>停止评标</w:t>
      </w:r>
      <w:bookmarkEnd w:id="58"/>
    </w:p>
    <w:p w14:paraId="63B9D357">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bCs/>
          <w:szCs w:val="21"/>
        </w:rPr>
        <w:t>9.1</w:t>
      </w:r>
      <w:r>
        <w:rPr>
          <w:rFonts w:hint="eastAsia" w:ascii="宋体" w:hAnsi="宋体" w:cs="宋体"/>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6313FDED">
      <w:pPr>
        <w:adjustRightInd w:val="0"/>
        <w:snapToGrid w:val="0"/>
        <w:spacing w:before="161" w:beforeLines="50" w:line="360" w:lineRule="auto"/>
        <w:jc w:val="left"/>
        <w:rPr>
          <w:rFonts w:ascii="宋体" w:hAnsi="宋体" w:cs="宋体"/>
          <w:b/>
          <w:sz w:val="24"/>
        </w:rPr>
      </w:pPr>
      <w:r>
        <w:rPr>
          <w:rFonts w:hint="eastAsia" w:ascii="宋体" w:hAnsi="宋体" w:cs="宋体"/>
          <w:b/>
          <w:sz w:val="24"/>
        </w:rPr>
        <w:t>10.废标</w:t>
      </w:r>
    </w:p>
    <w:p w14:paraId="77994A39">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10.1 根据有关法律法规和招标文件的有关规定，如出现下列情况之一的，应予以废标：</w:t>
      </w:r>
    </w:p>
    <w:p w14:paraId="634507A2">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28C1382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1E32D0D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（3）投标人的报价均超过采购人项目采购预算，采购人不能支付的；</w:t>
      </w:r>
    </w:p>
    <w:p w14:paraId="5C55636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（4）因重大变故，采购任务取消的。</w:t>
      </w:r>
    </w:p>
    <w:p w14:paraId="503CA9A9">
      <w:pPr>
        <w:pStyle w:val="4"/>
        <w:keepNext w:val="0"/>
        <w:keepLines w:val="0"/>
        <w:adjustRightInd w:val="0"/>
        <w:snapToGrid w:val="0"/>
        <w:spacing w:before="161" w:beforeLines="50" w:after="0" w:line="360" w:lineRule="auto"/>
        <w:rPr>
          <w:rFonts w:ascii="宋体" w:hAnsi="宋体" w:cs="宋体"/>
          <w:bCs w:val="0"/>
          <w:sz w:val="24"/>
          <w:szCs w:val="24"/>
        </w:rPr>
      </w:pPr>
      <w:bookmarkStart w:id="59" w:name="_Toc7406"/>
      <w:r>
        <w:rPr>
          <w:rFonts w:hint="eastAsia" w:ascii="宋体" w:hAnsi="宋体" w:cs="宋体"/>
          <w:kern w:val="0"/>
          <w:sz w:val="24"/>
          <w:szCs w:val="24"/>
        </w:rPr>
        <w:t>11．重新组建评标委员会进行评标</w:t>
      </w:r>
      <w:bookmarkEnd w:id="59"/>
    </w:p>
    <w:p w14:paraId="545BE73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11.1评标委员会或者其成员存在下列情形导致评标结果无效的，采购人、采购代理机构可以重新组建评标委员会进行评标，并书面报告本级财政部门，但采购合同已经履行的除外：</w:t>
      </w:r>
    </w:p>
    <w:p w14:paraId="1F78A94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（1）评标委员会组成不符合《政府采购货物和服务招标投标管理办法》规定的；</w:t>
      </w:r>
    </w:p>
    <w:p w14:paraId="2E9E3347">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（2）有《政府采购货物和服务招标投标管理办法》第六十二条第一至五项情形的；</w:t>
      </w:r>
    </w:p>
    <w:p w14:paraId="08855CC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（3）评标委员会及其成员独立评标受到非法干预的；</w:t>
      </w:r>
    </w:p>
    <w:p w14:paraId="6555DEE6">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（4）有政府采购法实施条例第七十五条规定的违法行为的。</w:t>
      </w:r>
    </w:p>
    <w:p w14:paraId="6B416FBA">
      <w:pPr>
        <w:adjustRightInd w:val="0"/>
        <w:snapToGrid w:val="0"/>
        <w:spacing w:before="161" w:beforeLines="50" w:line="360" w:lineRule="auto"/>
        <w:ind w:firstLine="420" w:firstLineChars="200"/>
        <w:jc w:val="left"/>
        <w:rPr>
          <w:rFonts w:ascii="宋体" w:hAnsi="宋体" w:cs="宋体"/>
          <w:b/>
          <w:sz w:val="32"/>
          <w:szCs w:val="32"/>
        </w:rPr>
      </w:pPr>
      <w:r>
        <w:rPr>
          <w:rFonts w:hint="eastAsia" w:ascii="宋体" w:hAnsi="宋体" w:cs="宋体"/>
          <w:szCs w:val="21"/>
        </w:rPr>
        <w:t>11.2有违法违规行为的原评标委员会成员不得参加重新组建的评标委员会。</w:t>
      </w:r>
      <w:r>
        <w:rPr>
          <w:rFonts w:hint="eastAsia" w:ascii="宋体" w:hAnsi="宋体" w:cs="宋体"/>
          <w:b/>
          <w:sz w:val="32"/>
          <w:szCs w:val="32"/>
        </w:rPr>
        <w:br w:type="page"/>
      </w:r>
    </w:p>
    <w:p w14:paraId="33F804F1">
      <w:pPr>
        <w:pStyle w:val="3"/>
        <w:adjustRightInd w:val="0"/>
        <w:snapToGrid w:val="0"/>
        <w:jc w:val="center"/>
        <w:rPr>
          <w:rFonts w:ascii="宋体" w:hAnsi="宋体" w:cs="宋体"/>
          <w:sz w:val="28"/>
          <w:szCs w:val="28"/>
        </w:rPr>
      </w:pPr>
      <w:bookmarkStart w:id="60" w:name="_Toc20717"/>
      <w:r>
        <w:rPr>
          <w:rFonts w:hint="eastAsia" w:ascii="宋体" w:hAnsi="宋体" w:cs="宋体"/>
          <w:sz w:val="28"/>
          <w:szCs w:val="28"/>
        </w:rPr>
        <w:t>第三节 投标文件的符合性审查</w:t>
      </w:r>
      <w:bookmarkEnd w:id="60"/>
    </w:p>
    <w:p w14:paraId="575500DE">
      <w:pPr>
        <w:adjustRightInd w:val="0"/>
        <w:snapToGrid w:val="0"/>
        <w:spacing w:before="161" w:beforeLines="50" w:line="360" w:lineRule="auto"/>
        <w:rPr>
          <w:rFonts w:ascii="宋体" w:hAnsi="宋体" w:cs="宋体"/>
          <w:b/>
          <w:sz w:val="24"/>
        </w:rPr>
      </w:pPr>
      <w:r>
        <w:rPr>
          <w:rFonts w:hint="eastAsia" w:ascii="宋体" w:hAnsi="宋体" w:cs="宋体"/>
          <w:b/>
          <w:sz w:val="24"/>
        </w:rPr>
        <w:t>1.符合性审查</w:t>
      </w:r>
    </w:p>
    <w:p w14:paraId="28D675B6">
      <w:pPr>
        <w:adjustRightInd w:val="0"/>
        <w:snapToGrid w:val="0"/>
        <w:spacing w:before="161" w:beforeLines="50" w:line="360" w:lineRule="auto"/>
        <w:ind w:firstLine="420" w:firstLineChars="200"/>
        <w:rPr>
          <w:rFonts w:ascii="宋体" w:hAnsi="宋体" w:cs="宋体"/>
        </w:rPr>
      </w:pPr>
      <w:r>
        <w:rPr>
          <w:rFonts w:hint="eastAsia" w:ascii="宋体" w:hAnsi="宋体" w:cs="宋体"/>
        </w:rPr>
        <w:t>1.1</w:t>
      </w:r>
      <w:r>
        <w:rPr>
          <w:rFonts w:hint="eastAsia" w:ascii="宋体" w:hAnsi="宋体" w:cs="宋体"/>
          <w:szCs w:val="21"/>
        </w:rPr>
        <w:t>评标委员会应按本章本节附表1“符合性审查表”所列审查项目及审查标准，</w:t>
      </w:r>
      <w:r>
        <w:rPr>
          <w:rFonts w:hint="eastAsia" w:ascii="宋体" w:hAnsi="宋体" w:cs="宋体"/>
        </w:rPr>
        <w:t>对符合资格条件的投标人的投标文件进行符合性审查，以确定其是否满足招标文件的实质性要求。</w:t>
      </w:r>
    </w:p>
    <w:p w14:paraId="60C545DE">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508016C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（2）投标人不得通过修正或撤销不合要求的偏离从而使其投标成为实质上响应的投标。</w:t>
      </w:r>
    </w:p>
    <w:p w14:paraId="2787ED6C">
      <w:pPr>
        <w:adjustRightInd w:val="0"/>
        <w:snapToGrid w:val="0"/>
        <w:spacing w:before="161" w:beforeLines="50" w:line="360" w:lineRule="auto"/>
        <w:ind w:firstLine="420" w:firstLineChars="200"/>
        <w:jc w:val="left"/>
        <w:rPr>
          <w:rFonts w:ascii="宋体" w:hAnsi="宋体" w:cs="宋体"/>
        </w:rPr>
      </w:pPr>
      <w:r>
        <w:rPr>
          <w:rFonts w:hint="eastAsia" w:ascii="宋体" w:hAnsi="宋体" w:cs="宋体"/>
          <w:kern w:val="0"/>
          <w:szCs w:val="21"/>
        </w:rPr>
        <w:t>1.2</w:t>
      </w:r>
      <w:r>
        <w:rPr>
          <w:rFonts w:hint="eastAsia" w:ascii="宋体" w:hAnsi="宋体" w:cs="宋体"/>
        </w:rPr>
        <w:t>未通过符合性审查的投标人，其投标将被认定为投标无效，不能进入下一阶段评审。通过符合性审查的投标人数量不足3家的，不得作进一步的比较和评价。</w:t>
      </w:r>
    </w:p>
    <w:p w14:paraId="109856B5">
      <w:pPr>
        <w:adjustRightInd w:val="0"/>
        <w:snapToGrid w:val="0"/>
        <w:spacing w:before="161" w:beforeLines="50" w:line="360" w:lineRule="auto"/>
        <w:jc w:val="left"/>
        <w:rPr>
          <w:rFonts w:ascii="宋体" w:hAnsi="宋体" w:cs="宋体"/>
          <w:b/>
          <w:sz w:val="24"/>
        </w:rPr>
      </w:pPr>
      <w:r>
        <w:rPr>
          <w:rFonts w:hint="eastAsia" w:ascii="宋体" w:hAnsi="宋体" w:cs="宋体"/>
          <w:b/>
          <w:sz w:val="24"/>
        </w:rPr>
        <w:t>2.投标无效</w:t>
      </w:r>
    </w:p>
    <w:p w14:paraId="63B21535">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2.1投标人存在下列情况之一的，符合性审查不合格，投标无效：</w:t>
      </w:r>
    </w:p>
    <w:p w14:paraId="48F327A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（1）投标文件中商务技术文件未按照招标文件规定要求签署、盖章的；</w:t>
      </w:r>
    </w:p>
    <w:p w14:paraId="79569811">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（2）投标文件没有对招标文件的实质性要求和条件作出响应，或者对招标文件的偏离超出招标文件规定的偏离</w:t>
      </w:r>
      <w:r>
        <w:rPr>
          <w:rFonts w:hint="eastAsia" w:ascii="宋体" w:hAnsi="宋体" w:cs="宋体"/>
        </w:rPr>
        <w:t>范围和幅度</w:t>
      </w:r>
      <w:r>
        <w:rPr>
          <w:rFonts w:hint="eastAsia" w:ascii="宋体" w:hAnsi="宋体" w:cs="宋体"/>
          <w:szCs w:val="21"/>
        </w:rPr>
        <w:t>；</w:t>
      </w:r>
    </w:p>
    <w:p w14:paraId="41DE54B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（3）投标有效期不足的；</w:t>
      </w:r>
    </w:p>
    <w:p w14:paraId="4BF78CB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（4）投标文件含有采购人不能接受的附加条件的；</w:t>
      </w:r>
    </w:p>
    <w:p w14:paraId="07C0524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（5）不符合本节第1.1款规定符合性审查标准的；</w:t>
      </w:r>
    </w:p>
    <w:p w14:paraId="790BB0C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（6）法律、法规和招标文件规定的其他投标无效情形的。</w:t>
      </w:r>
    </w:p>
    <w:p w14:paraId="380189D0">
      <w:pPr>
        <w:adjustRightInd w:val="0"/>
        <w:snapToGrid w:val="0"/>
        <w:spacing w:before="161" w:beforeLines="50" w:line="360" w:lineRule="auto"/>
        <w:ind w:firstLine="420" w:firstLineChars="200"/>
        <w:jc w:val="left"/>
        <w:rPr>
          <w:rFonts w:ascii="宋体" w:hAnsi="宋体" w:cs="宋体"/>
          <w:kern w:val="0"/>
          <w:szCs w:val="21"/>
        </w:rPr>
      </w:pPr>
      <w:r>
        <w:rPr>
          <w:rFonts w:hint="eastAsia" w:ascii="宋体" w:hAnsi="宋体" w:cs="宋体"/>
          <w:kern w:val="0"/>
          <w:szCs w:val="21"/>
        </w:rPr>
        <w:t>2.2在评标过程中发现投标人有不遵循公平竞争的原则，恶意串通，妨碍其他投标人的竞争行为，损害采购人或者其他投标人的合法权益的，评标委员会应当认定其</w:t>
      </w:r>
      <w:r>
        <w:rPr>
          <w:rFonts w:hint="eastAsia" w:ascii="宋体" w:hAnsi="宋体" w:cs="宋体"/>
          <w:b/>
          <w:kern w:val="0"/>
          <w:szCs w:val="21"/>
        </w:rPr>
        <w:t>投标无效</w:t>
      </w:r>
      <w:r>
        <w:rPr>
          <w:rFonts w:hint="eastAsia" w:ascii="宋体" w:hAnsi="宋体" w:cs="宋体"/>
          <w:kern w:val="0"/>
          <w:szCs w:val="21"/>
        </w:rPr>
        <w:t>，并书面报告本级财政部门。</w:t>
      </w:r>
    </w:p>
    <w:p w14:paraId="198D4C73">
      <w:pPr>
        <w:rPr>
          <w:rFonts w:ascii="宋体" w:hAnsi="宋体" w:cs="宋体"/>
        </w:rPr>
      </w:pPr>
    </w:p>
    <w:p w14:paraId="0A5702D6">
      <w:pPr>
        <w:rPr>
          <w:rFonts w:ascii="宋体" w:hAnsi="宋体" w:cs="宋体"/>
        </w:rPr>
      </w:pPr>
    </w:p>
    <w:p w14:paraId="08AE1AA0">
      <w:pPr>
        <w:widowControl/>
        <w:jc w:val="left"/>
        <w:rPr>
          <w:rFonts w:ascii="宋体" w:hAnsi="宋体" w:cs="宋体"/>
          <w:b/>
          <w:szCs w:val="21"/>
        </w:rPr>
      </w:pPr>
      <w:r>
        <w:rPr>
          <w:rFonts w:hint="eastAsia" w:ascii="宋体" w:hAnsi="宋体" w:cs="宋体"/>
          <w:b/>
          <w:szCs w:val="21"/>
        </w:rPr>
        <w:br w:type="page"/>
      </w:r>
    </w:p>
    <w:p w14:paraId="1352FDA2">
      <w:pPr>
        <w:pStyle w:val="4"/>
        <w:adjustRightInd w:val="0"/>
        <w:snapToGrid w:val="0"/>
        <w:spacing w:before="161" w:beforeLines="50" w:after="0" w:line="360" w:lineRule="auto"/>
        <w:rPr>
          <w:rFonts w:ascii="宋体" w:hAnsi="宋体" w:cs="宋体"/>
          <w:sz w:val="21"/>
          <w:szCs w:val="21"/>
        </w:rPr>
      </w:pPr>
      <w:bookmarkStart w:id="61" w:name="_Toc15295"/>
      <w:r>
        <w:rPr>
          <w:rFonts w:hint="eastAsia" w:ascii="宋体" w:hAnsi="宋体" w:cs="宋体"/>
          <w:sz w:val="21"/>
          <w:szCs w:val="21"/>
        </w:rPr>
        <w:t>附表1 符合性审查表</w:t>
      </w:r>
      <w:bookmarkEnd w:id="61"/>
    </w:p>
    <w:p w14:paraId="69A6CE95">
      <w:pPr>
        <w:adjustRightInd w:val="0"/>
        <w:snapToGrid w:val="0"/>
        <w:spacing w:before="161" w:beforeLines="50" w:line="360" w:lineRule="auto"/>
        <w:jc w:val="center"/>
        <w:rPr>
          <w:rFonts w:ascii="宋体" w:hAnsi="宋体" w:cs="宋体"/>
          <w:b/>
          <w:sz w:val="28"/>
          <w:szCs w:val="28"/>
        </w:rPr>
      </w:pPr>
      <w:r>
        <w:rPr>
          <w:rFonts w:hint="eastAsia" w:ascii="宋体" w:hAnsi="宋体" w:cs="宋体"/>
          <w:b/>
          <w:sz w:val="28"/>
          <w:szCs w:val="28"/>
        </w:rPr>
        <w:t>符合性审查表</w:t>
      </w:r>
    </w:p>
    <w:p w14:paraId="018264C7">
      <w:pPr>
        <w:adjustRightInd w:val="0"/>
        <w:snapToGrid w:val="0"/>
        <w:spacing w:before="161" w:beforeLines="50" w:line="360" w:lineRule="auto"/>
        <w:rPr>
          <w:rFonts w:ascii="宋体" w:hAnsi="宋体" w:cs="宋体"/>
          <w:szCs w:val="21"/>
        </w:rPr>
      </w:pPr>
      <w:r>
        <w:rPr>
          <w:rFonts w:hint="eastAsia" w:ascii="宋体" w:hAnsi="宋体" w:cs="宋体"/>
          <w:szCs w:val="21"/>
        </w:rPr>
        <w:t xml:space="preserve">项目名称：                                           委托代理编号： </w:t>
      </w:r>
    </w:p>
    <w:tbl>
      <w:tblPr>
        <w:tblStyle w:val="44"/>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14:paraId="4D201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14:paraId="46005893">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序号</w:t>
            </w:r>
          </w:p>
        </w:tc>
        <w:tc>
          <w:tcPr>
            <w:tcW w:w="2686" w:type="dxa"/>
            <w:tcBorders>
              <w:tl2br w:val="nil"/>
              <w:tr2bl w:val="nil"/>
            </w:tcBorders>
            <w:vAlign w:val="center"/>
          </w:tcPr>
          <w:p w14:paraId="7101488B">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691" w:type="dxa"/>
            <w:tcBorders>
              <w:tl2br w:val="nil"/>
              <w:tr2bl w:val="nil"/>
            </w:tcBorders>
            <w:vAlign w:val="center"/>
          </w:tcPr>
          <w:p w14:paraId="4EDEB8BF">
            <w:pPr>
              <w:adjustRightInd w:val="0"/>
              <w:snapToGrid w:val="0"/>
              <w:spacing w:before="161"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51CB3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5D2FA9D7">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1</w:t>
            </w:r>
          </w:p>
        </w:tc>
        <w:tc>
          <w:tcPr>
            <w:tcW w:w="2686" w:type="dxa"/>
            <w:tcBorders>
              <w:tl2br w:val="nil"/>
              <w:tr2bl w:val="nil"/>
            </w:tcBorders>
            <w:vAlign w:val="center"/>
          </w:tcPr>
          <w:p w14:paraId="7A7EA993">
            <w:pPr>
              <w:spacing w:line="360" w:lineRule="auto"/>
              <w:rPr>
                <w:rFonts w:ascii="宋体" w:hAnsi="宋体" w:cs="宋体"/>
                <w:kern w:val="0"/>
                <w:szCs w:val="21"/>
              </w:rPr>
            </w:pPr>
            <w:r>
              <w:rPr>
                <w:rFonts w:hint="eastAsia" w:ascii="宋体" w:hAnsi="宋体" w:cs="宋体"/>
              </w:rPr>
              <w:t>投标文件的签署、盖章</w:t>
            </w:r>
          </w:p>
        </w:tc>
        <w:tc>
          <w:tcPr>
            <w:tcW w:w="5691" w:type="dxa"/>
            <w:tcBorders>
              <w:tl2br w:val="nil"/>
              <w:tr2bl w:val="nil"/>
            </w:tcBorders>
            <w:vAlign w:val="center"/>
          </w:tcPr>
          <w:p w14:paraId="4007E3B6">
            <w:pPr>
              <w:spacing w:line="360" w:lineRule="auto"/>
              <w:rPr>
                <w:rFonts w:ascii="宋体" w:hAnsi="宋体" w:cs="宋体"/>
                <w:kern w:val="0"/>
                <w:szCs w:val="21"/>
              </w:rPr>
            </w:pPr>
            <w:r>
              <w:rPr>
                <w:rFonts w:hint="eastAsia" w:ascii="宋体" w:hAnsi="宋体" w:cs="宋体"/>
              </w:rPr>
              <w:t>投标文件中商务技术文件未按照招标文件规定要求签署、盖 章的，其符合性审查不合格。</w:t>
            </w:r>
          </w:p>
        </w:tc>
      </w:tr>
      <w:tr w14:paraId="09994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1ECA92A7">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2</w:t>
            </w:r>
          </w:p>
        </w:tc>
        <w:tc>
          <w:tcPr>
            <w:tcW w:w="2686" w:type="dxa"/>
            <w:tcBorders>
              <w:tl2br w:val="nil"/>
              <w:tr2bl w:val="nil"/>
            </w:tcBorders>
            <w:vAlign w:val="center"/>
          </w:tcPr>
          <w:p w14:paraId="54E1C3E9">
            <w:pPr>
              <w:spacing w:line="360" w:lineRule="auto"/>
              <w:rPr>
                <w:rFonts w:ascii="宋体" w:hAnsi="宋体" w:cs="宋体"/>
                <w:kern w:val="0"/>
                <w:szCs w:val="21"/>
              </w:rPr>
            </w:pPr>
            <w:r>
              <w:rPr>
                <w:rFonts w:hint="eastAsia" w:ascii="宋体" w:hAnsi="宋体" w:cs="宋体"/>
              </w:rPr>
              <w:t>对招标文件条款的响应</w:t>
            </w:r>
          </w:p>
        </w:tc>
        <w:tc>
          <w:tcPr>
            <w:tcW w:w="5691" w:type="dxa"/>
            <w:tcBorders>
              <w:tl2br w:val="nil"/>
              <w:tr2bl w:val="nil"/>
            </w:tcBorders>
            <w:vAlign w:val="center"/>
          </w:tcPr>
          <w:p w14:paraId="2910A42F">
            <w:pPr>
              <w:spacing w:line="360" w:lineRule="auto"/>
              <w:rPr>
                <w:rFonts w:ascii="宋体" w:hAnsi="宋体" w:cs="宋体"/>
                <w:kern w:val="0"/>
                <w:szCs w:val="21"/>
              </w:rPr>
            </w:pPr>
            <w:r>
              <w:rPr>
                <w:rFonts w:hint="eastAsia" w:ascii="宋体" w:hAnsi="宋体" w:cs="宋体"/>
              </w:rPr>
              <w:t>投标文件没有对招标文件的实质性要求和条件作出响应，或 者对招标文件的偏离超出招标文件规定的偏离范围和幅度的，其符合性审查不合格。</w:t>
            </w:r>
          </w:p>
        </w:tc>
      </w:tr>
      <w:tr w14:paraId="321D5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561E7EE8">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3</w:t>
            </w:r>
          </w:p>
        </w:tc>
        <w:tc>
          <w:tcPr>
            <w:tcW w:w="2686" w:type="dxa"/>
            <w:tcBorders>
              <w:tl2br w:val="nil"/>
              <w:tr2bl w:val="nil"/>
            </w:tcBorders>
            <w:vAlign w:val="center"/>
          </w:tcPr>
          <w:p w14:paraId="766622A9">
            <w:pPr>
              <w:spacing w:line="360" w:lineRule="auto"/>
              <w:rPr>
                <w:rFonts w:ascii="宋体" w:hAnsi="宋体" w:cs="宋体"/>
                <w:kern w:val="0"/>
                <w:szCs w:val="21"/>
              </w:rPr>
            </w:pPr>
            <w:r>
              <w:rPr>
                <w:rFonts w:hint="eastAsia" w:ascii="宋体" w:hAnsi="宋体" w:cs="宋体"/>
              </w:rPr>
              <w:t>投标有效期</w:t>
            </w:r>
          </w:p>
        </w:tc>
        <w:tc>
          <w:tcPr>
            <w:tcW w:w="5691" w:type="dxa"/>
            <w:tcBorders>
              <w:tl2br w:val="nil"/>
              <w:tr2bl w:val="nil"/>
            </w:tcBorders>
            <w:vAlign w:val="center"/>
          </w:tcPr>
          <w:p w14:paraId="2235AB2D">
            <w:pPr>
              <w:spacing w:line="360" w:lineRule="auto"/>
              <w:rPr>
                <w:rFonts w:ascii="宋体" w:hAnsi="宋体" w:cs="宋体"/>
                <w:kern w:val="0"/>
                <w:szCs w:val="21"/>
              </w:rPr>
            </w:pPr>
            <w:r>
              <w:rPr>
                <w:rFonts w:hint="eastAsia" w:ascii="宋体" w:hAnsi="宋体" w:cs="宋体"/>
              </w:rPr>
              <w:t>投标有效期不足的，其符合性审查不合格。</w:t>
            </w:r>
          </w:p>
        </w:tc>
      </w:tr>
      <w:tr w14:paraId="13697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6B926D19">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4</w:t>
            </w:r>
          </w:p>
        </w:tc>
        <w:tc>
          <w:tcPr>
            <w:tcW w:w="2686" w:type="dxa"/>
            <w:tcBorders>
              <w:tl2br w:val="nil"/>
              <w:tr2bl w:val="nil"/>
            </w:tcBorders>
            <w:vAlign w:val="center"/>
          </w:tcPr>
          <w:p w14:paraId="5A3D8351">
            <w:pPr>
              <w:spacing w:line="360" w:lineRule="auto"/>
              <w:rPr>
                <w:rFonts w:ascii="宋体" w:hAnsi="宋体" w:cs="宋体"/>
                <w:kern w:val="0"/>
                <w:szCs w:val="21"/>
              </w:rPr>
            </w:pPr>
            <w:r>
              <w:rPr>
                <w:rFonts w:hint="eastAsia" w:ascii="宋体" w:hAnsi="宋体" w:cs="宋体"/>
              </w:rPr>
              <w:t>附加条件</w:t>
            </w:r>
          </w:p>
        </w:tc>
        <w:tc>
          <w:tcPr>
            <w:tcW w:w="5691" w:type="dxa"/>
            <w:tcBorders>
              <w:tl2br w:val="nil"/>
              <w:tr2bl w:val="nil"/>
            </w:tcBorders>
            <w:vAlign w:val="center"/>
          </w:tcPr>
          <w:p w14:paraId="5B97DAE2">
            <w:pPr>
              <w:spacing w:line="360" w:lineRule="auto"/>
              <w:rPr>
                <w:rFonts w:ascii="宋体" w:hAnsi="宋体" w:cs="宋体"/>
                <w:kern w:val="0"/>
                <w:szCs w:val="21"/>
              </w:rPr>
            </w:pPr>
            <w:r>
              <w:rPr>
                <w:rFonts w:hint="eastAsia" w:ascii="宋体" w:hAnsi="宋体" w:cs="宋体"/>
              </w:rPr>
              <w:t>投标文件含有采购人不能接受的附加条件的，其符合性审查 不合格。</w:t>
            </w:r>
          </w:p>
        </w:tc>
      </w:tr>
      <w:tr w14:paraId="35875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1722F707">
            <w:pPr>
              <w:adjustRightInd w:val="0"/>
              <w:snapToGrid w:val="0"/>
              <w:spacing w:before="161" w:beforeLines="50" w:line="360" w:lineRule="auto"/>
              <w:jc w:val="center"/>
              <w:rPr>
                <w:rFonts w:ascii="宋体" w:hAnsi="宋体" w:cs="宋体"/>
                <w:kern w:val="0"/>
                <w:szCs w:val="21"/>
              </w:rPr>
            </w:pPr>
            <w:r>
              <w:rPr>
                <w:rFonts w:hint="eastAsia" w:ascii="宋体" w:hAnsi="宋体" w:cs="宋体"/>
                <w:kern w:val="0"/>
                <w:szCs w:val="21"/>
              </w:rPr>
              <w:t>5</w:t>
            </w:r>
          </w:p>
        </w:tc>
        <w:tc>
          <w:tcPr>
            <w:tcW w:w="2686" w:type="dxa"/>
            <w:tcBorders>
              <w:tl2br w:val="nil"/>
              <w:tr2bl w:val="nil"/>
            </w:tcBorders>
            <w:vAlign w:val="center"/>
          </w:tcPr>
          <w:p w14:paraId="17FB8794">
            <w:pPr>
              <w:spacing w:line="360" w:lineRule="auto"/>
              <w:rPr>
                <w:rFonts w:ascii="宋体" w:hAnsi="宋体" w:cs="宋体"/>
                <w:kern w:val="0"/>
                <w:szCs w:val="21"/>
              </w:rPr>
            </w:pPr>
            <w:r>
              <w:rPr>
                <w:rFonts w:hint="eastAsia" w:ascii="宋体" w:hAnsi="宋体" w:cs="宋体"/>
              </w:rPr>
              <w:t>其他情形</w:t>
            </w:r>
          </w:p>
        </w:tc>
        <w:tc>
          <w:tcPr>
            <w:tcW w:w="5691" w:type="dxa"/>
            <w:tcBorders>
              <w:tl2br w:val="nil"/>
              <w:tr2bl w:val="nil"/>
            </w:tcBorders>
            <w:vAlign w:val="center"/>
          </w:tcPr>
          <w:p w14:paraId="3DD6D450">
            <w:pPr>
              <w:spacing w:line="360" w:lineRule="auto"/>
              <w:rPr>
                <w:rFonts w:ascii="宋体" w:hAnsi="宋体" w:cs="宋体"/>
                <w:kern w:val="0"/>
                <w:szCs w:val="21"/>
              </w:rPr>
            </w:pPr>
            <w:r>
              <w:rPr>
                <w:rFonts w:hint="eastAsia" w:ascii="宋体" w:hAnsi="宋体" w:cs="宋体"/>
              </w:rPr>
              <w:t>存在不符合本章第三节第 1.1 款规定符合性审查标准的，或者法律、法规和招标文件规定的其他投标无效情形的，其符 合性审查不合格。</w:t>
            </w:r>
          </w:p>
        </w:tc>
      </w:tr>
      <w:tr w14:paraId="559C4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7283CD29">
            <w:pPr>
              <w:adjustRightInd w:val="0"/>
              <w:snapToGrid w:val="0"/>
              <w:spacing w:before="161" w:beforeLines="50" w:line="360" w:lineRule="auto"/>
              <w:jc w:val="center"/>
              <w:rPr>
                <w:rFonts w:ascii="宋体" w:hAnsi="宋体" w:cs="宋体"/>
                <w:kern w:val="0"/>
                <w:sz w:val="20"/>
                <w:szCs w:val="21"/>
              </w:rPr>
            </w:pPr>
            <w:r>
              <w:rPr>
                <w:rFonts w:hint="eastAsia" w:ascii="宋体" w:hAnsi="宋体" w:cs="宋体"/>
                <w:kern w:val="0"/>
                <w:sz w:val="20"/>
                <w:szCs w:val="21"/>
              </w:rPr>
              <w:t>结论</w:t>
            </w:r>
          </w:p>
        </w:tc>
        <w:tc>
          <w:tcPr>
            <w:tcW w:w="8377" w:type="dxa"/>
            <w:gridSpan w:val="2"/>
            <w:tcBorders>
              <w:tl2br w:val="nil"/>
              <w:tr2bl w:val="nil"/>
            </w:tcBorders>
            <w:vAlign w:val="center"/>
          </w:tcPr>
          <w:p w14:paraId="6A804BD9">
            <w:pPr>
              <w:adjustRightInd w:val="0"/>
              <w:snapToGrid w:val="0"/>
              <w:spacing w:before="161" w:beforeLines="50" w:line="360" w:lineRule="auto"/>
              <w:jc w:val="center"/>
              <w:rPr>
                <w:rFonts w:ascii="宋体" w:hAnsi="宋体" w:cs="宋体"/>
                <w:kern w:val="0"/>
                <w:sz w:val="20"/>
                <w:szCs w:val="21"/>
              </w:rPr>
            </w:pPr>
            <w:r>
              <w:rPr>
                <w:rFonts w:hint="eastAsia" w:ascii="宋体" w:hAnsi="宋体" w:cs="宋体"/>
                <w:kern w:val="0"/>
                <w:sz w:val="20"/>
                <w:szCs w:val="21"/>
              </w:rPr>
              <w:t>合格/不合格</w:t>
            </w:r>
          </w:p>
        </w:tc>
      </w:tr>
    </w:tbl>
    <w:p w14:paraId="67B8A4F0">
      <w:pPr>
        <w:adjustRightInd w:val="0"/>
        <w:snapToGrid w:val="0"/>
        <w:spacing w:line="360" w:lineRule="auto"/>
        <w:rPr>
          <w:rFonts w:ascii="宋体" w:hAnsi="宋体" w:cs="宋体"/>
          <w:szCs w:val="21"/>
        </w:rPr>
      </w:pPr>
      <w:r>
        <w:rPr>
          <w:rFonts w:hint="eastAsia" w:ascii="宋体" w:hAnsi="宋体" w:cs="宋体"/>
          <w:szCs w:val="21"/>
        </w:rPr>
        <w:t xml:space="preserve"> </w:t>
      </w:r>
    </w:p>
    <w:p w14:paraId="2B924C0F">
      <w:pPr>
        <w:widowControl/>
        <w:jc w:val="left"/>
        <w:rPr>
          <w:rFonts w:ascii="宋体" w:hAnsi="宋体" w:cs="宋体"/>
          <w:szCs w:val="21"/>
        </w:rPr>
      </w:pPr>
      <w:r>
        <w:rPr>
          <w:rFonts w:hint="eastAsia" w:ascii="宋体" w:hAnsi="宋体" w:cs="宋体"/>
          <w:szCs w:val="21"/>
        </w:rPr>
        <w:br w:type="page"/>
      </w:r>
    </w:p>
    <w:p w14:paraId="73AF11D8">
      <w:pPr>
        <w:pStyle w:val="3"/>
        <w:adjustRightInd w:val="0"/>
        <w:snapToGrid w:val="0"/>
        <w:jc w:val="center"/>
        <w:rPr>
          <w:rFonts w:ascii="宋体" w:hAnsi="宋体" w:cs="宋体"/>
          <w:sz w:val="28"/>
          <w:szCs w:val="28"/>
        </w:rPr>
      </w:pPr>
      <w:bookmarkStart w:id="62" w:name="_Toc18545"/>
      <w:r>
        <w:rPr>
          <w:rFonts w:hint="eastAsia" w:ascii="宋体" w:hAnsi="宋体" w:cs="宋体"/>
          <w:sz w:val="28"/>
          <w:szCs w:val="28"/>
        </w:rPr>
        <w:t xml:space="preserve">  第四节 投标文件的比较与评价（综合评分法）</w:t>
      </w:r>
      <w:bookmarkEnd w:id="62"/>
    </w:p>
    <w:p w14:paraId="0D7E895E">
      <w:pPr>
        <w:widowControl/>
        <w:adjustRightInd w:val="0"/>
        <w:snapToGrid w:val="0"/>
        <w:spacing w:before="161" w:beforeLines="50" w:line="360" w:lineRule="auto"/>
        <w:jc w:val="left"/>
        <w:rPr>
          <w:rFonts w:ascii="宋体" w:hAnsi="宋体" w:cs="宋体"/>
          <w:b/>
          <w:sz w:val="24"/>
        </w:rPr>
      </w:pPr>
      <w:r>
        <w:rPr>
          <w:rFonts w:hint="eastAsia" w:ascii="宋体" w:hAnsi="宋体" w:cs="宋体"/>
          <w:b/>
          <w:sz w:val="24"/>
        </w:rPr>
        <w:t>1.</w:t>
      </w:r>
      <w:r>
        <w:rPr>
          <w:rFonts w:hint="eastAsia" w:ascii="宋体" w:hAnsi="宋体" w:cs="宋体"/>
        </w:rPr>
        <w:t xml:space="preserve"> </w:t>
      </w:r>
      <w:r>
        <w:rPr>
          <w:rFonts w:hint="eastAsia" w:ascii="宋体" w:hAnsi="宋体" w:cs="宋体"/>
          <w:b/>
          <w:sz w:val="24"/>
        </w:rPr>
        <w:t>综合评分法</w:t>
      </w:r>
    </w:p>
    <w:p w14:paraId="69B6C378">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1.1综合评分法，指投标文件满足招标文件全部实质性要求，且按照评审因素的量化指标评审得分最高的投标人为中标候选人的评标方法。</w:t>
      </w:r>
    </w:p>
    <w:p w14:paraId="413CDCF6">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4D638EC2">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1.3未通过符合性审查的投标文件不得进入比较与评价。</w:t>
      </w:r>
    </w:p>
    <w:p w14:paraId="554D3194">
      <w:pPr>
        <w:adjustRightInd w:val="0"/>
        <w:snapToGrid w:val="0"/>
        <w:spacing w:before="161" w:beforeLines="50" w:line="360" w:lineRule="auto"/>
        <w:jc w:val="left"/>
        <w:rPr>
          <w:rFonts w:ascii="宋体" w:hAnsi="宋体" w:cs="宋体"/>
          <w:b/>
          <w:bCs/>
          <w:sz w:val="24"/>
        </w:rPr>
      </w:pPr>
      <w:r>
        <w:rPr>
          <w:rFonts w:hint="eastAsia" w:ascii="宋体" w:hAnsi="宋体" w:cs="宋体"/>
          <w:b/>
          <w:bCs/>
          <w:sz w:val="24"/>
        </w:rPr>
        <w:t>2.</w:t>
      </w:r>
      <w:r>
        <w:rPr>
          <w:rFonts w:hint="eastAsia" w:ascii="宋体" w:hAnsi="宋体" w:cs="宋体"/>
        </w:rPr>
        <w:t xml:space="preserve"> </w:t>
      </w:r>
      <w:r>
        <w:rPr>
          <w:rFonts w:hint="eastAsia" w:ascii="宋体" w:hAnsi="宋体" w:cs="宋体"/>
          <w:b/>
          <w:bCs/>
          <w:sz w:val="24"/>
        </w:rPr>
        <w:t>投标报价的算术修正及政府采购政策调整</w:t>
      </w:r>
    </w:p>
    <w:p w14:paraId="5B3920C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2.1如果有算术错误，投标报价将按本章第二节第4.2款、第4.3款规定进行算术修正。</w:t>
      </w:r>
    </w:p>
    <w:p w14:paraId="1A79112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2.2需落实政府采购政策（价格评审优惠）的，按第二章“投标须知”及本章第二节第5.4（1）项的相关规定进行价格调整。</w:t>
      </w:r>
    </w:p>
    <w:p w14:paraId="295C01B0">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2.3按本章本节第2.1款、第2.2款规定，以修正或调整后的价格确定投标人的投标报价和评标基准价，用于投标报价评价。</w:t>
      </w:r>
    </w:p>
    <w:p w14:paraId="57359449">
      <w:pPr>
        <w:adjustRightInd w:val="0"/>
        <w:snapToGrid w:val="0"/>
        <w:spacing w:before="161" w:beforeLines="50" w:line="360" w:lineRule="auto"/>
        <w:jc w:val="left"/>
        <w:rPr>
          <w:rFonts w:ascii="宋体" w:hAnsi="宋体" w:cs="宋体"/>
          <w:b/>
          <w:bCs/>
          <w:sz w:val="24"/>
        </w:rPr>
      </w:pPr>
      <w:r>
        <w:rPr>
          <w:rFonts w:hint="eastAsia" w:ascii="宋体" w:hAnsi="宋体" w:cs="宋体"/>
          <w:b/>
          <w:bCs/>
          <w:sz w:val="24"/>
        </w:rPr>
        <w:t>3.</w:t>
      </w:r>
      <w:r>
        <w:rPr>
          <w:rFonts w:hint="eastAsia" w:ascii="宋体" w:hAnsi="宋体" w:cs="宋体"/>
        </w:rPr>
        <w:t xml:space="preserve"> </w:t>
      </w:r>
      <w:r>
        <w:rPr>
          <w:rFonts w:hint="eastAsia" w:ascii="宋体" w:hAnsi="宋体" w:cs="宋体"/>
          <w:b/>
          <w:bCs/>
          <w:sz w:val="24"/>
        </w:rPr>
        <w:t>投标报价评价</w:t>
      </w:r>
    </w:p>
    <w:p w14:paraId="3D30FBF8">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3.1投标报价评价：价格分应当采用低价优先法计算，即满足招标文件要求且投标价格最低的投标报价为评标基准价，其价格分为满分（报价权重分）。其他投标人的价格分统一按照下列公式计算：</w:t>
      </w:r>
    </w:p>
    <w:p w14:paraId="19DA45B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投标报价得分=（评标基准价</w:t>
      </w:r>
      <w:r>
        <w:rPr>
          <w:rFonts w:hint="eastAsia" w:ascii="宋体" w:hAnsi="宋体" w:cs="宋体"/>
          <w:szCs w:val="21"/>
          <w:vertAlign w:val="subscript"/>
        </w:rPr>
        <w:t>修正或调整</w:t>
      </w:r>
      <w:r>
        <w:rPr>
          <w:rFonts w:hint="eastAsia" w:ascii="宋体" w:hAnsi="宋体" w:cs="宋体"/>
          <w:szCs w:val="21"/>
        </w:rPr>
        <w:t>／投标报价</w:t>
      </w:r>
      <w:r>
        <w:rPr>
          <w:rFonts w:hint="eastAsia" w:ascii="宋体" w:hAnsi="宋体" w:cs="宋体"/>
          <w:szCs w:val="21"/>
          <w:vertAlign w:val="subscript"/>
        </w:rPr>
        <w:t>修正或调整</w:t>
      </w:r>
      <w:r>
        <w:rPr>
          <w:rFonts w:hint="eastAsia" w:ascii="宋体" w:hAnsi="宋体" w:cs="宋体"/>
          <w:szCs w:val="21"/>
        </w:rPr>
        <w:t>） × 报价权重分</w:t>
      </w:r>
    </w:p>
    <w:p w14:paraId="5634BFFA">
      <w:pPr>
        <w:adjustRightInd w:val="0"/>
        <w:snapToGrid w:val="0"/>
        <w:spacing w:before="161" w:beforeLines="50" w:line="360" w:lineRule="auto"/>
        <w:jc w:val="left"/>
        <w:rPr>
          <w:rFonts w:ascii="宋体" w:hAnsi="宋体" w:cs="宋体"/>
          <w:b/>
          <w:sz w:val="24"/>
        </w:rPr>
      </w:pPr>
      <w:r>
        <w:rPr>
          <w:rFonts w:hint="eastAsia" w:ascii="宋体" w:hAnsi="宋体" w:cs="宋体"/>
          <w:b/>
          <w:sz w:val="24"/>
        </w:rPr>
        <w:t>4.技术、商务等评分项响应评价及政府采购政策加分</w:t>
      </w:r>
    </w:p>
    <w:p w14:paraId="5F2FC89C">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4.1技术、商务等评分项响应评分。按</w:t>
      </w:r>
      <w:r>
        <w:rPr>
          <w:rFonts w:hint="eastAsia" w:ascii="宋体" w:hAnsi="宋体" w:cs="宋体"/>
          <w:bCs/>
          <w:szCs w:val="21"/>
        </w:rPr>
        <w:t>本章</w:t>
      </w:r>
      <w:r>
        <w:rPr>
          <w:rFonts w:hint="eastAsia" w:ascii="宋体" w:hAnsi="宋体" w:cs="宋体"/>
          <w:szCs w:val="21"/>
        </w:rPr>
        <w:t>本节附页1“评标方法及标准表”规定的评标因素和标准，对技术、商务等评分项计算得分。</w:t>
      </w:r>
    </w:p>
    <w:p w14:paraId="7028F4D4">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4.2需落实政府采购政策（优先采购）的，按第二章、本章第二节第5.4（2）项以及本节附页1“评标方法及标准表”的相关规定进行技术、价格、商务项得分(加分)计算。</w:t>
      </w:r>
    </w:p>
    <w:p w14:paraId="1A82E4E2">
      <w:pPr>
        <w:adjustRightInd w:val="0"/>
        <w:snapToGrid w:val="0"/>
        <w:spacing w:before="161" w:beforeLines="50" w:line="360" w:lineRule="auto"/>
        <w:jc w:val="left"/>
        <w:rPr>
          <w:rFonts w:ascii="宋体" w:hAnsi="宋体" w:cs="宋体"/>
          <w:b/>
          <w:sz w:val="24"/>
        </w:rPr>
      </w:pPr>
      <w:r>
        <w:rPr>
          <w:rFonts w:hint="eastAsia" w:ascii="宋体" w:hAnsi="宋体" w:cs="宋体"/>
          <w:b/>
          <w:sz w:val="24"/>
        </w:rPr>
        <w:t>5.评标总得分</w:t>
      </w:r>
    </w:p>
    <w:p w14:paraId="5564B035">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5.1评标总得分为投标报价、技术、商务等评分项得分(含优先采购政策加分)之和。</w:t>
      </w:r>
    </w:p>
    <w:p w14:paraId="305DEB6B">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评标总得分＝A</w:t>
      </w:r>
      <w:r>
        <w:rPr>
          <w:rFonts w:hint="eastAsia" w:ascii="宋体" w:hAnsi="宋体" w:cs="宋体"/>
          <w:szCs w:val="21"/>
          <w:vertAlign w:val="subscript"/>
        </w:rPr>
        <w:t>投标报价得分</w:t>
      </w:r>
      <w:r>
        <w:rPr>
          <w:rFonts w:hint="eastAsia" w:ascii="宋体" w:hAnsi="宋体" w:cs="宋体"/>
          <w:szCs w:val="21"/>
        </w:rPr>
        <w:t>＋A</w:t>
      </w:r>
      <w:r>
        <w:rPr>
          <w:rFonts w:hint="eastAsia" w:ascii="宋体" w:hAnsi="宋体" w:cs="宋体"/>
          <w:szCs w:val="21"/>
          <w:vertAlign w:val="subscript"/>
        </w:rPr>
        <w:t>技术项得分</w:t>
      </w:r>
      <w:r>
        <w:rPr>
          <w:rFonts w:hint="eastAsia" w:ascii="宋体" w:hAnsi="宋体" w:cs="宋体"/>
          <w:szCs w:val="21"/>
        </w:rPr>
        <w:t>＋A</w:t>
      </w:r>
      <w:r>
        <w:rPr>
          <w:rFonts w:hint="eastAsia" w:ascii="宋体" w:hAnsi="宋体" w:cs="宋体"/>
          <w:szCs w:val="21"/>
          <w:vertAlign w:val="subscript"/>
        </w:rPr>
        <w:t>商务项得分</w:t>
      </w:r>
      <w:r>
        <w:rPr>
          <w:rFonts w:hint="eastAsia" w:ascii="宋体" w:hAnsi="宋体" w:cs="宋体"/>
          <w:szCs w:val="21"/>
        </w:rPr>
        <w:t>＋A</w:t>
      </w:r>
      <w:r>
        <w:rPr>
          <w:rFonts w:hint="eastAsia" w:ascii="宋体" w:hAnsi="宋体" w:cs="宋体"/>
          <w:szCs w:val="21"/>
          <w:vertAlign w:val="subscript"/>
        </w:rPr>
        <w:t>优先采购加分</w:t>
      </w:r>
    </w:p>
    <w:p w14:paraId="771C751A">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szCs w:val="21"/>
        </w:rPr>
        <w:t>5.2评分分值计算保留小数点后两位，小数点后第三位“四舍五入”。</w:t>
      </w:r>
    </w:p>
    <w:p w14:paraId="5C25F61F">
      <w:pPr>
        <w:adjustRightInd w:val="0"/>
        <w:snapToGrid w:val="0"/>
        <w:spacing w:before="161" w:beforeLines="50" w:line="360" w:lineRule="auto"/>
        <w:ind w:firstLine="420" w:firstLineChars="200"/>
        <w:jc w:val="left"/>
        <w:rPr>
          <w:rFonts w:ascii="宋体" w:hAnsi="宋体" w:cs="宋体"/>
          <w:szCs w:val="21"/>
        </w:rPr>
      </w:pPr>
      <w:r>
        <w:rPr>
          <w:rFonts w:hint="eastAsia" w:ascii="宋体" w:hAnsi="宋体" w:cs="宋体"/>
          <w:kern w:val="0"/>
          <w:szCs w:val="21"/>
        </w:rPr>
        <w:t>5.3</w:t>
      </w:r>
      <w:r>
        <w:rPr>
          <w:rFonts w:hint="eastAsia" w:ascii="宋体" w:hAnsi="宋体" w:cs="宋体"/>
          <w:szCs w:val="21"/>
        </w:rPr>
        <w:t>评标时，评标委员会成员应当独立对满足招标文件全部实质性要求投标人的</w:t>
      </w:r>
      <w:r>
        <w:rPr>
          <w:rFonts w:hint="eastAsia" w:ascii="宋体" w:hAnsi="宋体" w:cs="宋体"/>
          <w:bCs/>
          <w:szCs w:val="21"/>
        </w:rPr>
        <w:t>投标文件</w:t>
      </w:r>
      <w:r>
        <w:rPr>
          <w:rFonts w:hint="eastAsia" w:ascii="宋体" w:hAnsi="宋体" w:cs="宋体"/>
          <w:szCs w:val="21"/>
        </w:rPr>
        <w:t>进行评价、评分，然后汇总每个投标人每项评分因素的得分。每个投标人的最终得分为所有评标委员会成员评分的算术平均值。</w:t>
      </w:r>
    </w:p>
    <w:p w14:paraId="0F6629C8">
      <w:pPr>
        <w:adjustRightInd w:val="0"/>
        <w:snapToGrid w:val="0"/>
        <w:spacing w:before="161" w:beforeLines="50" w:line="360" w:lineRule="auto"/>
        <w:jc w:val="left"/>
        <w:rPr>
          <w:rFonts w:ascii="宋体" w:hAnsi="宋体" w:cs="宋体"/>
          <w:b/>
          <w:bCs/>
          <w:sz w:val="24"/>
        </w:rPr>
      </w:pPr>
      <w:r>
        <w:rPr>
          <w:rFonts w:hint="eastAsia" w:ascii="宋体" w:hAnsi="宋体" w:cs="宋体"/>
          <w:b/>
          <w:bCs/>
          <w:sz w:val="24"/>
        </w:rPr>
        <w:t>6.中标候选人的推荐方法</w:t>
      </w:r>
    </w:p>
    <w:p w14:paraId="52C495D9">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6.1评标结果按评审后得分由高到低顺序排列。投标文件满足招标文件全部实质性要求，且按照评审因素的量化指标评审得分最高的投标人为排名第一的中标候选人。</w:t>
      </w:r>
    </w:p>
    <w:p w14:paraId="5C2FF401">
      <w:pPr>
        <w:adjustRightInd w:val="0"/>
        <w:snapToGrid w:val="0"/>
        <w:spacing w:before="161" w:beforeLines="50" w:line="360" w:lineRule="auto"/>
        <w:ind w:firstLine="420" w:firstLineChars="200"/>
        <w:jc w:val="left"/>
        <w:rPr>
          <w:rFonts w:ascii="宋体" w:hAnsi="宋体" w:cs="宋体"/>
          <w:bCs/>
          <w:szCs w:val="21"/>
        </w:rPr>
      </w:pPr>
      <w:r>
        <w:rPr>
          <w:rFonts w:hint="eastAsia" w:ascii="宋体" w:hAnsi="宋体" w:cs="宋体"/>
          <w:bCs/>
          <w:szCs w:val="21"/>
        </w:rPr>
        <w:t>6.2得分相同的，按投标报价由低到高顺序排列。得分且投标报价相同的并列，按本章第二节规定确定中标候选人。</w:t>
      </w:r>
    </w:p>
    <w:p w14:paraId="00A3D687">
      <w:pPr>
        <w:adjustRightInd w:val="0"/>
        <w:snapToGrid w:val="0"/>
        <w:spacing w:before="161" w:beforeLines="50" w:line="360" w:lineRule="auto"/>
        <w:ind w:firstLine="420" w:firstLineChars="200"/>
        <w:jc w:val="left"/>
        <w:rPr>
          <w:rFonts w:ascii="宋体" w:hAnsi="宋体" w:cs="宋体"/>
          <w:bCs/>
          <w:szCs w:val="21"/>
        </w:rPr>
      </w:pPr>
    </w:p>
    <w:p w14:paraId="1C6F561A">
      <w:pPr>
        <w:widowControl/>
        <w:jc w:val="left"/>
        <w:rPr>
          <w:rFonts w:ascii="宋体" w:hAnsi="宋体" w:cs="宋体"/>
          <w:bCs/>
          <w:szCs w:val="21"/>
        </w:rPr>
      </w:pPr>
      <w:r>
        <w:rPr>
          <w:rFonts w:hint="eastAsia" w:ascii="宋体" w:hAnsi="宋体" w:cs="宋体"/>
          <w:bCs/>
          <w:szCs w:val="21"/>
        </w:rPr>
        <w:br w:type="page"/>
      </w:r>
    </w:p>
    <w:p w14:paraId="69BD305D">
      <w:pPr>
        <w:pStyle w:val="4"/>
        <w:adjustRightInd w:val="0"/>
        <w:snapToGrid w:val="0"/>
        <w:spacing w:before="161" w:beforeLines="50" w:after="0" w:line="360" w:lineRule="auto"/>
        <w:rPr>
          <w:rFonts w:ascii="宋体" w:hAnsi="宋体" w:cs="宋体"/>
          <w:sz w:val="20"/>
          <w:szCs w:val="20"/>
        </w:rPr>
      </w:pPr>
      <w:bookmarkStart w:id="63" w:name="_Toc10462"/>
      <w:bookmarkStart w:id="64" w:name="_Toc8556"/>
      <w:bookmarkStart w:id="65" w:name="_Toc1585"/>
      <w:r>
        <w:rPr>
          <w:rFonts w:hint="eastAsia" w:ascii="宋体" w:hAnsi="宋体" w:cs="宋体"/>
          <w:sz w:val="20"/>
          <w:szCs w:val="20"/>
        </w:rPr>
        <w:t>评分细则</w:t>
      </w:r>
    </w:p>
    <w:bookmarkEnd w:id="63"/>
    <w:p w14:paraId="0456C711">
      <w:pPr>
        <w:spacing w:after="120"/>
        <w:jc w:val="center"/>
        <w:rPr>
          <w:rFonts w:ascii="宋体" w:hAnsi="宋体" w:cs="宋体"/>
          <w:b/>
          <w:bCs/>
          <w:sz w:val="20"/>
          <w:szCs w:val="20"/>
        </w:rPr>
      </w:pPr>
      <w:r>
        <w:rPr>
          <w:rFonts w:hint="eastAsia" w:ascii="宋体" w:hAnsi="宋体" w:cs="宋体"/>
          <w:b/>
          <w:bCs/>
          <w:sz w:val="20"/>
          <w:szCs w:val="20"/>
        </w:rPr>
        <w:t>附表1、本采购项目的权值见下表</w:t>
      </w:r>
    </w:p>
    <w:tbl>
      <w:tblPr>
        <w:tblStyle w:val="43"/>
        <w:tblW w:w="89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4775"/>
        <w:gridCol w:w="3489"/>
      </w:tblGrid>
      <w:tr w14:paraId="08645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exact"/>
          <w:jc w:val="center"/>
        </w:trPr>
        <w:tc>
          <w:tcPr>
            <w:tcW w:w="734" w:type="dxa"/>
            <w:vAlign w:val="center"/>
          </w:tcPr>
          <w:p w14:paraId="5939A490">
            <w:pPr>
              <w:adjustRightInd w:val="0"/>
              <w:snapToGrid w:val="0"/>
              <w:spacing w:line="240" w:lineRule="exact"/>
              <w:rPr>
                <w:rFonts w:ascii="宋体" w:hAnsi="宋体" w:cs="宋体"/>
                <w:b/>
                <w:bCs/>
                <w:kern w:val="0"/>
                <w:sz w:val="20"/>
                <w:szCs w:val="20"/>
                <w:lang w:val="ru-RU" w:eastAsia="ru-RU"/>
              </w:rPr>
            </w:pPr>
            <w:r>
              <w:rPr>
                <w:rFonts w:hint="eastAsia" w:ascii="宋体" w:hAnsi="宋体" w:cs="宋体"/>
                <w:b/>
                <w:bCs/>
                <w:kern w:val="0"/>
                <w:sz w:val="20"/>
                <w:szCs w:val="20"/>
                <w:lang w:val="ru-RU" w:eastAsia="ru-RU"/>
              </w:rPr>
              <w:t>序号</w:t>
            </w:r>
          </w:p>
        </w:tc>
        <w:tc>
          <w:tcPr>
            <w:tcW w:w="4775" w:type="dxa"/>
            <w:vAlign w:val="center"/>
          </w:tcPr>
          <w:p w14:paraId="71F977E5">
            <w:pPr>
              <w:adjustRightInd w:val="0"/>
              <w:snapToGrid w:val="0"/>
              <w:spacing w:line="240" w:lineRule="exact"/>
              <w:jc w:val="center"/>
              <w:rPr>
                <w:rFonts w:ascii="宋体" w:hAnsi="宋体" w:cs="宋体"/>
                <w:b/>
                <w:bCs/>
                <w:kern w:val="0"/>
                <w:sz w:val="20"/>
                <w:szCs w:val="20"/>
                <w:lang w:val="ru-RU" w:eastAsia="ru-RU"/>
              </w:rPr>
            </w:pPr>
            <w:r>
              <w:rPr>
                <w:rFonts w:hint="eastAsia" w:ascii="宋体" w:hAnsi="宋体" w:cs="宋体"/>
                <w:b/>
                <w:bCs/>
                <w:kern w:val="0"/>
                <w:sz w:val="20"/>
                <w:szCs w:val="20"/>
                <w:lang w:val="ru-RU" w:eastAsia="ru-RU"/>
              </w:rPr>
              <w:t>项     目</w:t>
            </w:r>
          </w:p>
        </w:tc>
        <w:tc>
          <w:tcPr>
            <w:tcW w:w="3489" w:type="dxa"/>
            <w:vAlign w:val="center"/>
          </w:tcPr>
          <w:p w14:paraId="7352405B">
            <w:pPr>
              <w:adjustRightInd w:val="0"/>
              <w:snapToGrid w:val="0"/>
              <w:spacing w:line="240" w:lineRule="exact"/>
              <w:jc w:val="center"/>
              <w:rPr>
                <w:rFonts w:ascii="宋体" w:hAnsi="宋体" w:cs="宋体"/>
                <w:b/>
                <w:bCs/>
                <w:kern w:val="0"/>
                <w:sz w:val="20"/>
                <w:szCs w:val="20"/>
                <w:lang w:val="ru-RU" w:eastAsia="ru-RU"/>
              </w:rPr>
            </w:pPr>
            <w:r>
              <w:rPr>
                <w:rFonts w:hint="eastAsia" w:ascii="宋体" w:hAnsi="宋体" w:cs="宋体"/>
                <w:b/>
                <w:bCs/>
                <w:kern w:val="0"/>
                <w:sz w:val="20"/>
                <w:szCs w:val="20"/>
                <w:lang w:val="ru-RU" w:eastAsia="ru-RU"/>
              </w:rPr>
              <w:t>权值的取值</w:t>
            </w:r>
          </w:p>
        </w:tc>
      </w:tr>
      <w:tr w14:paraId="5722A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734" w:type="dxa"/>
            <w:vAlign w:val="center"/>
          </w:tcPr>
          <w:p w14:paraId="43A1F7B1">
            <w:pPr>
              <w:adjustRightInd w:val="0"/>
              <w:snapToGrid w:val="0"/>
              <w:spacing w:line="240" w:lineRule="exact"/>
              <w:jc w:val="center"/>
              <w:rPr>
                <w:rFonts w:ascii="宋体" w:hAnsi="宋体" w:cs="宋体"/>
                <w:kern w:val="0"/>
                <w:sz w:val="20"/>
                <w:szCs w:val="20"/>
                <w:lang w:val="ru-RU" w:eastAsia="ru-RU"/>
              </w:rPr>
            </w:pPr>
            <w:r>
              <w:rPr>
                <w:rFonts w:hint="eastAsia" w:ascii="宋体" w:hAnsi="宋体" w:cs="宋体"/>
                <w:kern w:val="0"/>
                <w:sz w:val="20"/>
                <w:szCs w:val="20"/>
                <w:lang w:val="ru-RU" w:eastAsia="ru-RU"/>
              </w:rPr>
              <w:t>1</w:t>
            </w:r>
          </w:p>
        </w:tc>
        <w:tc>
          <w:tcPr>
            <w:tcW w:w="4775" w:type="dxa"/>
            <w:vAlign w:val="center"/>
          </w:tcPr>
          <w:p w14:paraId="2F14C8E6">
            <w:pPr>
              <w:adjustRightInd w:val="0"/>
              <w:snapToGrid w:val="0"/>
              <w:spacing w:line="240" w:lineRule="exact"/>
              <w:jc w:val="center"/>
              <w:rPr>
                <w:rFonts w:ascii="宋体" w:hAnsi="宋体" w:cs="宋体"/>
                <w:kern w:val="0"/>
                <w:sz w:val="20"/>
                <w:szCs w:val="20"/>
                <w:lang w:val="ru-RU"/>
              </w:rPr>
            </w:pPr>
            <w:r>
              <w:rPr>
                <w:rFonts w:hint="eastAsia" w:ascii="宋体" w:hAnsi="宋体" w:cs="宋体"/>
                <w:kern w:val="0"/>
                <w:sz w:val="20"/>
                <w:szCs w:val="20"/>
                <w:lang w:val="ru-RU" w:eastAsia="ru-RU"/>
              </w:rPr>
              <w:t>报价</w:t>
            </w:r>
            <w:r>
              <w:rPr>
                <w:rFonts w:hint="eastAsia" w:ascii="宋体" w:hAnsi="宋体" w:cs="宋体"/>
                <w:kern w:val="0"/>
                <w:sz w:val="20"/>
                <w:szCs w:val="20"/>
                <w:lang w:val="ru-RU"/>
              </w:rPr>
              <w:t>（A1）</w:t>
            </w:r>
          </w:p>
        </w:tc>
        <w:tc>
          <w:tcPr>
            <w:tcW w:w="3489" w:type="dxa"/>
            <w:vAlign w:val="center"/>
          </w:tcPr>
          <w:p w14:paraId="6A6A378F">
            <w:pPr>
              <w:adjustRightInd w:val="0"/>
              <w:snapToGrid w:val="0"/>
              <w:spacing w:line="240" w:lineRule="exact"/>
              <w:jc w:val="center"/>
              <w:rPr>
                <w:rFonts w:ascii="宋体" w:hAnsi="宋体" w:cs="宋体"/>
                <w:kern w:val="0"/>
                <w:sz w:val="20"/>
                <w:szCs w:val="20"/>
              </w:rPr>
            </w:pPr>
            <w:r>
              <w:rPr>
                <w:rFonts w:hint="eastAsia" w:ascii="宋体" w:hAnsi="宋体" w:cs="宋体"/>
                <w:kern w:val="0"/>
                <w:sz w:val="20"/>
                <w:szCs w:val="20"/>
              </w:rPr>
              <w:t>0.60</w:t>
            </w:r>
          </w:p>
        </w:tc>
      </w:tr>
      <w:tr w14:paraId="79312F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vAlign w:val="center"/>
          </w:tcPr>
          <w:p w14:paraId="0B40FE26">
            <w:pPr>
              <w:adjustRightInd w:val="0"/>
              <w:snapToGrid w:val="0"/>
              <w:spacing w:line="240" w:lineRule="exact"/>
              <w:jc w:val="center"/>
              <w:rPr>
                <w:rFonts w:ascii="宋体" w:hAnsi="宋体" w:cs="宋体"/>
                <w:kern w:val="0"/>
                <w:sz w:val="20"/>
                <w:szCs w:val="20"/>
                <w:lang w:val="ru-RU" w:eastAsia="ru-RU"/>
              </w:rPr>
            </w:pPr>
            <w:r>
              <w:rPr>
                <w:rFonts w:hint="eastAsia" w:ascii="宋体" w:hAnsi="宋体" w:cs="宋体"/>
                <w:kern w:val="0"/>
                <w:sz w:val="20"/>
                <w:szCs w:val="20"/>
                <w:lang w:val="ru-RU" w:eastAsia="ru-RU"/>
              </w:rPr>
              <w:t>2</w:t>
            </w:r>
          </w:p>
        </w:tc>
        <w:tc>
          <w:tcPr>
            <w:tcW w:w="4775" w:type="dxa"/>
            <w:vAlign w:val="center"/>
          </w:tcPr>
          <w:p w14:paraId="0A1CA3FD">
            <w:pPr>
              <w:adjustRightInd w:val="0"/>
              <w:snapToGrid w:val="0"/>
              <w:spacing w:line="240" w:lineRule="exact"/>
              <w:jc w:val="center"/>
              <w:rPr>
                <w:rFonts w:ascii="宋体" w:hAnsi="宋体" w:cs="宋体"/>
                <w:kern w:val="0"/>
                <w:sz w:val="20"/>
                <w:szCs w:val="20"/>
                <w:lang w:val="ru-RU" w:eastAsia="ru-RU"/>
              </w:rPr>
            </w:pPr>
            <w:r>
              <w:rPr>
                <w:rFonts w:hint="eastAsia" w:ascii="宋体" w:hAnsi="宋体" w:cs="宋体"/>
                <w:kern w:val="0"/>
                <w:sz w:val="20"/>
                <w:szCs w:val="20"/>
                <w:lang w:val="ru-RU" w:eastAsia="ru-RU"/>
              </w:rPr>
              <w:t>技术</w:t>
            </w:r>
            <w:r>
              <w:rPr>
                <w:rFonts w:hint="eastAsia" w:ascii="宋体" w:hAnsi="宋体" w:cs="宋体"/>
                <w:kern w:val="0"/>
                <w:sz w:val="20"/>
                <w:szCs w:val="20"/>
                <w:lang w:val="ru-RU"/>
              </w:rPr>
              <w:t>（A2）</w:t>
            </w:r>
          </w:p>
        </w:tc>
        <w:tc>
          <w:tcPr>
            <w:tcW w:w="3489" w:type="dxa"/>
            <w:vAlign w:val="center"/>
          </w:tcPr>
          <w:p w14:paraId="6EA2327B">
            <w:pPr>
              <w:adjustRightInd w:val="0"/>
              <w:snapToGrid w:val="0"/>
              <w:spacing w:line="240" w:lineRule="exact"/>
              <w:jc w:val="center"/>
              <w:rPr>
                <w:rFonts w:ascii="宋体" w:hAnsi="宋体" w:cs="宋体"/>
                <w:kern w:val="0"/>
                <w:sz w:val="20"/>
                <w:szCs w:val="20"/>
              </w:rPr>
            </w:pPr>
            <w:r>
              <w:rPr>
                <w:rFonts w:hint="eastAsia" w:ascii="宋体" w:hAnsi="宋体" w:cs="宋体"/>
                <w:kern w:val="0"/>
                <w:sz w:val="20"/>
                <w:szCs w:val="20"/>
              </w:rPr>
              <w:t>0.35</w:t>
            </w:r>
          </w:p>
        </w:tc>
      </w:tr>
      <w:tr w14:paraId="49CFDA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vAlign w:val="center"/>
          </w:tcPr>
          <w:p w14:paraId="7B3AEFC8">
            <w:pPr>
              <w:adjustRightInd w:val="0"/>
              <w:snapToGrid w:val="0"/>
              <w:spacing w:line="240" w:lineRule="exact"/>
              <w:jc w:val="center"/>
              <w:rPr>
                <w:rFonts w:ascii="宋体" w:hAnsi="宋体" w:cs="宋体"/>
                <w:kern w:val="0"/>
                <w:sz w:val="20"/>
                <w:szCs w:val="20"/>
                <w:lang w:val="ru-RU" w:eastAsia="ru-RU"/>
              </w:rPr>
            </w:pPr>
            <w:r>
              <w:rPr>
                <w:rFonts w:hint="eastAsia" w:ascii="宋体" w:hAnsi="宋体" w:cs="宋体"/>
                <w:kern w:val="0"/>
                <w:sz w:val="20"/>
                <w:szCs w:val="20"/>
                <w:lang w:val="ru-RU" w:eastAsia="ru-RU"/>
              </w:rPr>
              <w:t>3</w:t>
            </w:r>
          </w:p>
        </w:tc>
        <w:tc>
          <w:tcPr>
            <w:tcW w:w="4775" w:type="dxa"/>
            <w:vAlign w:val="center"/>
          </w:tcPr>
          <w:p w14:paraId="3B23D661">
            <w:pPr>
              <w:adjustRightInd w:val="0"/>
              <w:snapToGrid w:val="0"/>
              <w:spacing w:line="240" w:lineRule="exact"/>
              <w:jc w:val="center"/>
              <w:rPr>
                <w:rFonts w:ascii="宋体" w:hAnsi="宋体" w:cs="宋体"/>
                <w:kern w:val="0"/>
                <w:sz w:val="20"/>
                <w:szCs w:val="20"/>
                <w:lang w:val="ru-RU"/>
              </w:rPr>
            </w:pPr>
            <w:r>
              <w:rPr>
                <w:rFonts w:hint="eastAsia" w:ascii="宋体" w:hAnsi="宋体" w:cs="宋体"/>
                <w:kern w:val="0"/>
                <w:sz w:val="20"/>
                <w:szCs w:val="20"/>
                <w:lang w:val="ru-RU"/>
              </w:rPr>
              <w:t>商务（A3）</w:t>
            </w:r>
          </w:p>
        </w:tc>
        <w:tc>
          <w:tcPr>
            <w:tcW w:w="3489" w:type="dxa"/>
            <w:vAlign w:val="center"/>
          </w:tcPr>
          <w:p w14:paraId="178D256F">
            <w:pPr>
              <w:adjustRightInd w:val="0"/>
              <w:snapToGrid w:val="0"/>
              <w:spacing w:line="240" w:lineRule="exact"/>
              <w:jc w:val="center"/>
              <w:rPr>
                <w:rFonts w:ascii="宋体" w:hAnsi="宋体" w:cs="宋体"/>
                <w:kern w:val="0"/>
                <w:sz w:val="20"/>
                <w:szCs w:val="20"/>
              </w:rPr>
            </w:pPr>
            <w:r>
              <w:rPr>
                <w:rFonts w:hint="eastAsia" w:ascii="宋体" w:hAnsi="宋体" w:cs="宋体"/>
                <w:kern w:val="0"/>
                <w:sz w:val="20"/>
                <w:szCs w:val="20"/>
              </w:rPr>
              <w:t>0.05</w:t>
            </w:r>
          </w:p>
        </w:tc>
      </w:tr>
      <w:tr w14:paraId="7CC50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5509" w:type="dxa"/>
            <w:gridSpan w:val="2"/>
            <w:vAlign w:val="center"/>
          </w:tcPr>
          <w:p w14:paraId="7990044E">
            <w:pPr>
              <w:adjustRightInd w:val="0"/>
              <w:snapToGrid w:val="0"/>
              <w:spacing w:line="240" w:lineRule="exact"/>
              <w:jc w:val="center"/>
              <w:rPr>
                <w:rFonts w:ascii="宋体" w:hAnsi="宋体" w:cs="宋体"/>
                <w:kern w:val="0"/>
                <w:sz w:val="20"/>
                <w:szCs w:val="20"/>
                <w:lang w:val="ru-RU" w:eastAsia="ru-RU"/>
              </w:rPr>
            </w:pPr>
            <w:r>
              <w:rPr>
                <w:rFonts w:hint="eastAsia" w:ascii="宋体" w:hAnsi="宋体" w:cs="宋体"/>
                <w:kern w:val="0"/>
                <w:sz w:val="20"/>
                <w:szCs w:val="20"/>
              </w:rPr>
              <w:t xml:space="preserve">       </w:t>
            </w:r>
            <w:r>
              <w:rPr>
                <w:rFonts w:hint="eastAsia" w:ascii="宋体" w:hAnsi="宋体" w:cs="宋体"/>
                <w:kern w:val="0"/>
                <w:sz w:val="20"/>
                <w:szCs w:val="20"/>
                <w:lang w:val="ru-RU"/>
              </w:rPr>
              <w:t>合计</w:t>
            </w:r>
          </w:p>
        </w:tc>
        <w:tc>
          <w:tcPr>
            <w:tcW w:w="3489" w:type="dxa"/>
            <w:vAlign w:val="center"/>
          </w:tcPr>
          <w:p w14:paraId="22A93F35">
            <w:pPr>
              <w:adjustRightInd w:val="0"/>
              <w:snapToGrid w:val="0"/>
              <w:spacing w:line="240" w:lineRule="exact"/>
              <w:jc w:val="center"/>
              <w:rPr>
                <w:rFonts w:ascii="宋体" w:hAnsi="宋体" w:cs="宋体"/>
                <w:kern w:val="0"/>
                <w:sz w:val="20"/>
                <w:szCs w:val="20"/>
              </w:rPr>
            </w:pPr>
            <w:r>
              <w:rPr>
                <w:rFonts w:hint="eastAsia" w:ascii="宋体" w:hAnsi="宋体" w:cs="宋体"/>
                <w:kern w:val="0"/>
                <w:sz w:val="20"/>
                <w:szCs w:val="20"/>
              </w:rPr>
              <w:t>1.00</w:t>
            </w:r>
          </w:p>
        </w:tc>
      </w:tr>
    </w:tbl>
    <w:p w14:paraId="51AF2997">
      <w:pPr>
        <w:adjustRightInd w:val="0"/>
        <w:snapToGrid w:val="0"/>
        <w:spacing w:before="161" w:beforeLines="50" w:line="360" w:lineRule="auto"/>
        <w:jc w:val="center"/>
        <w:rPr>
          <w:rFonts w:ascii="宋体" w:hAnsi="宋体" w:cs="宋体"/>
          <w:b/>
          <w:bCs/>
          <w:sz w:val="20"/>
          <w:szCs w:val="20"/>
        </w:rPr>
      </w:pPr>
    </w:p>
    <w:p w14:paraId="2D89484A">
      <w:pPr>
        <w:adjustRightInd w:val="0"/>
        <w:snapToGrid w:val="0"/>
        <w:spacing w:before="161" w:beforeLines="50" w:line="360" w:lineRule="auto"/>
        <w:jc w:val="center"/>
        <w:rPr>
          <w:rFonts w:ascii="宋体" w:hAnsi="宋体" w:cs="宋体"/>
          <w:b/>
          <w:bCs/>
          <w:sz w:val="20"/>
          <w:szCs w:val="20"/>
        </w:rPr>
      </w:pPr>
      <w:r>
        <w:rPr>
          <w:rFonts w:hint="eastAsia" w:ascii="宋体" w:hAnsi="宋体" w:cs="宋体"/>
          <w:b/>
          <w:bCs/>
          <w:sz w:val="20"/>
          <w:szCs w:val="20"/>
        </w:rPr>
        <w:t>附表1.1投标报价评审标准表</w:t>
      </w:r>
    </w:p>
    <w:tbl>
      <w:tblPr>
        <w:tblStyle w:val="43"/>
        <w:tblW w:w="92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2160"/>
        <w:gridCol w:w="6435"/>
      </w:tblGrid>
      <w:tr w14:paraId="0F31C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691" w:type="dxa"/>
            <w:tcBorders>
              <w:right w:val="single" w:color="auto" w:sz="4" w:space="0"/>
            </w:tcBorders>
            <w:vAlign w:val="center"/>
          </w:tcPr>
          <w:p w14:paraId="4CEB6A4E">
            <w:pPr>
              <w:adjustRightInd w:val="0"/>
              <w:snapToGrid w:val="0"/>
              <w:jc w:val="center"/>
              <w:rPr>
                <w:rFonts w:ascii="宋体" w:hAnsi="宋体" w:cs="宋体"/>
                <w:b/>
                <w:sz w:val="20"/>
                <w:szCs w:val="20"/>
              </w:rPr>
            </w:pPr>
            <w:r>
              <w:rPr>
                <w:rFonts w:hint="eastAsia" w:ascii="宋体" w:hAnsi="宋体" w:cs="宋体"/>
                <w:b/>
                <w:sz w:val="20"/>
                <w:szCs w:val="20"/>
              </w:rPr>
              <w:t>序号</w:t>
            </w:r>
          </w:p>
        </w:tc>
        <w:tc>
          <w:tcPr>
            <w:tcW w:w="2160" w:type="dxa"/>
            <w:tcBorders>
              <w:left w:val="single" w:color="auto" w:sz="4" w:space="0"/>
              <w:right w:val="single" w:color="auto" w:sz="4" w:space="0"/>
            </w:tcBorders>
            <w:vAlign w:val="center"/>
          </w:tcPr>
          <w:p w14:paraId="6A2E4B76">
            <w:pPr>
              <w:adjustRightInd w:val="0"/>
              <w:snapToGrid w:val="0"/>
              <w:jc w:val="center"/>
              <w:rPr>
                <w:rFonts w:ascii="宋体" w:hAnsi="宋体" w:cs="宋体"/>
                <w:b/>
                <w:sz w:val="20"/>
                <w:szCs w:val="20"/>
              </w:rPr>
            </w:pPr>
            <w:r>
              <w:rPr>
                <w:rFonts w:hint="eastAsia" w:ascii="宋体" w:hAnsi="宋体" w:cs="宋体"/>
                <w:b/>
                <w:sz w:val="20"/>
                <w:szCs w:val="20"/>
              </w:rPr>
              <w:t>评标因素（权重分）</w:t>
            </w:r>
          </w:p>
        </w:tc>
        <w:tc>
          <w:tcPr>
            <w:tcW w:w="6435" w:type="dxa"/>
            <w:tcBorders>
              <w:left w:val="single" w:color="auto" w:sz="4" w:space="0"/>
            </w:tcBorders>
            <w:vAlign w:val="center"/>
          </w:tcPr>
          <w:p w14:paraId="30F29A9C">
            <w:pPr>
              <w:adjustRightInd w:val="0"/>
              <w:snapToGrid w:val="0"/>
              <w:jc w:val="center"/>
              <w:rPr>
                <w:rFonts w:ascii="宋体" w:hAnsi="宋体" w:cs="宋体"/>
                <w:b/>
                <w:sz w:val="20"/>
                <w:szCs w:val="20"/>
              </w:rPr>
            </w:pPr>
            <w:r>
              <w:rPr>
                <w:rFonts w:hint="eastAsia" w:ascii="宋体" w:hAnsi="宋体" w:cs="宋体"/>
                <w:b/>
                <w:sz w:val="20"/>
                <w:szCs w:val="20"/>
              </w:rPr>
              <w:t>评标标准</w:t>
            </w:r>
          </w:p>
        </w:tc>
      </w:tr>
      <w:tr w14:paraId="2216C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691" w:type="dxa"/>
            <w:tcBorders>
              <w:right w:val="single" w:color="auto" w:sz="4" w:space="0"/>
            </w:tcBorders>
            <w:vAlign w:val="center"/>
          </w:tcPr>
          <w:p w14:paraId="707FA86A">
            <w:pPr>
              <w:adjustRightInd w:val="0"/>
              <w:snapToGrid w:val="0"/>
              <w:spacing w:before="161" w:beforeLines="5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2160" w:type="dxa"/>
            <w:tcBorders>
              <w:left w:val="single" w:color="auto" w:sz="4" w:space="0"/>
              <w:right w:val="single" w:color="auto" w:sz="4" w:space="0"/>
            </w:tcBorders>
            <w:vAlign w:val="center"/>
          </w:tcPr>
          <w:p w14:paraId="6ED966BD">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价格评价项</w:t>
            </w:r>
          </w:p>
          <w:p w14:paraId="42CB0A54">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（F=100分）</w:t>
            </w:r>
          </w:p>
        </w:tc>
        <w:tc>
          <w:tcPr>
            <w:tcW w:w="6435" w:type="dxa"/>
            <w:tcBorders>
              <w:left w:val="single" w:color="auto" w:sz="4" w:space="0"/>
            </w:tcBorders>
            <w:vAlign w:val="center"/>
          </w:tcPr>
          <w:p w14:paraId="6938FB0B">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满足招标文件要求且投标价格最低的投标报价为评标基准价，投标报价得分=（评标基准价</w:t>
            </w:r>
            <w:r>
              <w:rPr>
                <w:rFonts w:hint="eastAsia" w:ascii="宋体" w:hAnsi="宋体" w:cs="宋体"/>
                <w:color w:val="000000" w:themeColor="text1"/>
                <w:sz w:val="20"/>
                <w:szCs w:val="20"/>
                <w:vertAlign w:val="subscript"/>
                <w14:textFill>
                  <w14:solidFill>
                    <w14:schemeClr w14:val="tx1"/>
                  </w14:solidFill>
                </w14:textFill>
              </w:rPr>
              <w:t>修正或调整</w:t>
            </w:r>
            <w:r>
              <w:rPr>
                <w:rFonts w:hint="eastAsia" w:ascii="宋体" w:hAnsi="宋体" w:cs="宋体"/>
                <w:color w:val="000000" w:themeColor="text1"/>
                <w:sz w:val="20"/>
                <w:szCs w:val="20"/>
                <w14:textFill>
                  <w14:solidFill>
                    <w14:schemeClr w14:val="tx1"/>
                  </w14:solidFill>
                </w14:textFill>
              </w:rPr>
              <w:t>／投标报价</w:t>
            </w:r>
            <w:r>
              <w:rPr>
                <w:rFonts w:hint="eastAsia" w:ascii="宋体" w:hAnsi="宋体" w:cs="宋体"/>
                <w:color w:val="000000" w:themeColor="text1"/>
                <w:sz w:val="20"/>
                <w:szCs w:val="20"/>
                <w:vertAlign w:val="subscript"/>
                <w14:textFill>
                  <w14:solidFill>
                    <w14:schemeClr w14:val="tx1"/>
                  </w14:solidFill>
                </w14:textFill>
              </w:rPr>
              <w:t>修正或调整</w:t>
            </w:r>
            <w:r>
              <w:rPr>
                <w:rFonts w:hint="eastAsia" w:ascii="宋体" w:hAnsi="宋体" w:cs="宋体"/>
                <w:color w:val="000000" w:themeColor="text1"/>
                <w:sz w:val="20"/>
                <w:szCs w:val="20"/>
                <w14:textFill>
                  <w14:solidFill>
                    <w14:schemeClr w14:val="tx1"/>
                  </w14:solidFill>
                </w14:textFill>
              </w:rPr>
              <w:t>）×100分。</w:t>
            </w:r>
          </w:p>
          <w:p w14:paraId="288F0B7D">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注：供应商投标报价出现第二章第13.8款第（一）项情形的，评审委员会将启动异常低价投标（响应）审查程序评，供应商须在评标现场规定的时间内提供项目具体成本测算等与报价合理性相关的书面说明及必要的证明材料;投标（响应）供应商不能提供书面说明、证明材料，或者提供的书面说明、证明材料不能证明其报价合理性的，评审委员会应当将其作为无效投标（响应）处理。</w:t>
            </w:r>
          </w:p>
        </w:tc>
      </w:tr>
      <w:tr w14:paraId="336E01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691" w:type="dxa"/>
            <w:tcBorders>
              <w:right w:val="single" w:color="auto" w:sz="4" w:space="0"/>
            </w:tcBorders>
            <w:vAlign w:val="center"/>
          </w:tcPr>
          <w:p w14:paraId="5EBF6795">
            <w:pPr>
              <w:adjustRightInd w:val="0"/>
              <w:snapToGrid w:val="0"/>
              <w:spacing w:before="161" w:beforeLines="5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2160" w:type="dxa"/>
            <w:tcBorders>
              <w:left w:val="single" w:color="auto" w:sz="4" w:space="0"/>
            </w:tcBorders>
            <w:vAlign w:val="center"/>
          </w:tcPr>
          <w:p w14:paraId="6122DD39">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优先采购加分（F</w:t>
            </w:r>
            <w:r>
              <w:rPr>
                <w:rFonts w:hint="eastAsia" w:ascii="宋体" w:hAnsi="宋体" w:cs="宋体"/>
                <w:color w:val="000000" w:themeColor="text1"/>
                <w:sz w:val="20"/>
                <w:szCs w:val="20"/>
                <w:vertAlign w:val="subscript"/>
                <w14:textFill>
                  <w14:solidFill>
                    <w14:schemeClr w14:val="tx1"/>
                  </w14:solidFill>
                </w14:textFill>
              </w:rPr>
              <w:t>优先采购加分</w:t>
            </w:r>
            <w:r>
              <w:rPr>
                <w:rFonts w:hint="eastAsia" w:ascii="宋体" w:hAnsi="宋体" w:cs="宋体"/>
                <w:color w:val="000000" w:themeColor="text1"/>
                <w:sz w:val="20"/>
                <w:szCs w:val="20"/>
                <w14:textFill>
                  <w14:solidFill>
                    <w14:schemeClr w14:val="tx1"/>
                  </w14:solidFill>
                </w14:textFill>
              </w:rPr>
              <w:t>）</w:t>
            </w:r>
          </w:p>
        </w:tc>
        <w:tc>
          <w:tcPr>
            <w:tcW w:w="6435" w:type="dxa"/>
            <w:tcBorders>
              <w:bottom w:val="single" w:color="auto" w:sz="4" w:space="0"/>
            </w:tcBorders>
            <w:vAlign w:val="center"/>
          </w:tcPr>
          <w:p w14:paraId="490F742A">
            <w:pPr>
              <w:adjustRightInd w:val="0"/>
              <w:snapToGrid w:val="0"/>
              <w:spacing w:before="161" w:beforeLines="50"/>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position w:val="-16"/>
                <w:sz w:val="20"/>
                <w:szCs w:val="20"/>
                <w14:textFill>
                  <w14:solidFill>
                    <w14:schemeClr w14:val="tx1"/>
                  </w14:solidFill>
                </w14:textFill>
              </w:rPr>
              <w:object>
                <v:shape id="_x0000_i1025" o:spt="75" type="#_x0000_t75" style="height:20.75pt;width:101.35pt;" o:ole="t" filled="f" coordsize="21600,21600">
                  <v:path/>
                  <v:fill on="f" focussize="0,0"/>
                  <v:stroke/>
                  <v:imagedata r:id="rId17" o:title=""/>
                  <o:lock v:ext="edit" aspectratio="t"/>
                  <w10:wrap type="none"/>
                  <w10:anchorlock/>
                </v:shape>
                <o:OLEObject Type="Embed" ProgID="Equations" ShapeID="_x0000_i1025" DrawAspect="Content" ObjectID="_1468075725" r:id="rId16">
                  <o:LockedField>false</o:LockedField>
                </o:OLEObject>
              </w:object>
            </w:r>
            <w:r>
              <w:rPr>
                <w:rFonts w:hint="eastAsia" w:ascii="宋体" w:hAnsi="宋体" w:cs="宋体"/>
                <w:color w:val="000000" w:themeColor="text1"/>
                <w:sz w:val="20"/>
                <w:szCs w:val="20"/>
                <w14:textFill>
                  <w14:solidFill>
                    <w14:schemeClr w14:val="tx1"/>
                  </w14:solidFill>
                </w14:textFill>
              </w:rPr>
              <w:t>×100×本项目加分比例</w:t>
            </w:r>
          </w:p>
        </w:tc>
      </w:tr>
      <w:tr w14:paraId="72FAE0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691" w:type="dxa"/>
            <w:tcBorders>
              <w:right w:val="single" w:color="auto" w:sz="4" w:space="0"/>
            </w:tcBorders>
            <w:vAlign w:val="center"/>
          </w:tcPr>
          <w:p w14:paraId="71C2EA4C">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w:t>
            </w:r>
          </w:p>
        </w:tc>
        <w:tc>
          <w:tcPr>
            <w:tcW w:w="8595" w:type="dxa"/>
            <w:gridSpan w:val="2"/>
            <w:tcBorders>
              <w:left w:val="single" w:color="auto" w:sz="4" w:space="0"/>
            </w:tcBorders>
            <w:vAlign w:val="center"/>
          </w:tcPr>
          <w:p w14:paraId="6A255510">
            <w:pPr>
              <w:adjustRightInd w:val="0"/>
              <w:snapToGrid w:val="0"/>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F</w:t>
            </w:r>
            <w:r>
              <w:rPr>
                <w:rFonts w:hint="eastAsia" w:ascii="宋体" w:hAnsi="宋体" w:cs="宋体"/>
                <w:color w:val="000000" w:themeColor="text1"/>
                <w:sz w:val="20"/>
                <w:szCs w:val="20"/>
                <w:vertAlign w:val="subscript"/>
                <w14:textFill>
                  <w14:solidFill>
                    <w14:schemeClr w14:val="tx1"/>
                  </w14:solidFill>
                </w14:textFill>
              </w:rPr>
              <w:t>1</w:t>
            </w:r>
            <w:r>
              <w:rPr>
                <w:rFonts w:hint="eastAsia" w:ascii="宋体" w:hAnsi="宋体" w:cs="宋体"/>
                <w:color w:val="000000" w:themeColor="text1"/>
                <w:sz w:val="20"/>
                <w:szCs w:val="20"/>
                <w14:textFill>
                  <w14:solidFill>
                    <w14:schemeClr w14:val="tx1"/>
                  </w14:solidFill>
                </w14:textFill>
              </w:rPr>
              <w:t>=F+ F</w:t>
            </w:r>
            <w:r>
              <w:rPr>
                <w:rFonts w:hint="eastAsia" w:ascii="宋体" w:hAnsi="宋体" w:cs="宋体"/>
                <w:color w:val="000000" w:themeColor="text1"/>
                <w:sz w:val="20"/>
                <w:szCs w:val="20"/>
                <w:vertAlign w:val="subscript"/>
                <w14:textFill>
                  <w14:solidFill>
                    <w14:schemeClr w14:val="tx1"/>
                  </w14:solidFill>
                </w14:textFill>
              </w:rPr>
              <w:t>优先采购加分</w:t>
            </w:r>
          </w:p>
        </w:tc>
      </w:tr>
    </w:tbl>
    <w:p w14:paraId="56B9C89A">
      <w:pPr>
        <w:jc w:val="center"/>
        <w:rPr>
          <w:b/>
          <w:bCs/>
          <w:color w:val="000000" w:themeColor="text1"/>
          <w14:textFill>
            <w14:solidFill>
              <w14:schemeClr w14:val="tx1"/>
            </w14:solidFill>
          </w14:textFill>
        </w:rPr>
      </w:pPr>
    </w:p>
    <w:p w14:paraId="3CD2761B">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附表1.2技术部分评审标准表</w:t>
      </w:r>
    </w:p>
    <w:tbl>
      <w:tblPr>
        <w:tblStyle w:val="43"/>
        <w:tblW w:w="960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0"/>
        <w:gridCol w:w="1764"/>
        <w:gridCol w:w="1582"/>
        <w:gridCol w:w="5591"/>
      </w:tblGrid>
      <w:tr w14:paraId="7BF6E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670" w:type="dxa"/>
            <w:tcBorders>
              <w:right w:val="single" w:color="auto" w:sz="4" w:space="0"/>
            </w:tcBorders>
            <w:vAlign w:val="center"/>
          </w:tcPr>
          <w:p w14:paraId="388F4E36">
            <w:pPr>
              <w:adjustRightInd w:val="0"/>
              <w:snapToGrid w:val="0"/>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序号</w:t>
            </w:r>
          </w:p>
        </w:tc>
        <w:tc>
          <w:tcPr>
            <w:tcW w:w="1764" w:type="dxa"/>
            <w:tcBorders>
              <w:left w:val="single" w:color="auto" w:sz="4" w:space="0"/>
              <w:right w:val="single" w:color="auto" w:sz="4" w:space="0"/>
            </w:tcBorders>
            <w:vAlign w:val="center"/>
          </w:tcPr>
          <w:p w14:paraId="2FEC35FF">
            <w:pPr>
              <w:adjustRightInd w:val="0"/>
              <w:snapToGrid w:val="0"/>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评标因素</w:t>
            </w:r>
          </w:p>
          <w:p w14:paraId="5C06862B">
            <w:pPr>
              <w:adjustRightInd w:val="0"/>
              <w:snapToGrid w:val="0"/>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（权重分）</w:t>
            </w:r>
          </w:p>
        </w:tc>
        <w:tc>
          <w:tcPr>
            <w:tcW w:w="7173" w:type="dxa"/>
            <w:gridSpan w:val="2"/>
            <w:tcBorders>
              <w:left w:val="single" w:color="auto" w:sz="4" w:space="0"/>
            </w:tcBorders>
            <w:vAlign w:val="center"/>
          </w:tcPr>
          <w:p w14:paraId="0A00FA09">
            <w:pPr>
              <w:adjustRightInd w:val="0"/>
              <w:snapToGrid w:val="0"/>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评标标准</w:t>
            </w:r>
          </w:p>
        </w:tc>
      </w:tr>
      <w:tr w14:paraId="61BCB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70" w:type="dxa"/>
            <w:vMerge w:val="restart"/>
            <w:tcBorders>
              <w:right w:val="single" w:color="auto" w:sz="4" w:space="0"/>
            </w:tcBorders>
            <w:vAlign w:val="center"/>
          </w:tcPr>
          <w:p w14:paraId="2CE7972C">
            <w:pPr>
              <w:adjustRightInd w:val="0"/>
              <w:snapToGrid w:val="0"/>
              <w:spacing w:before="161" w:beforeLines="5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764" w:type="dxa"/>
            <w:vMerge w:val="restart"/>
            <w:tcBorders>
              <w:left w:val="single" w:color="auto" w:sz="4" w:space="0"/>
            </w:tcBorders>
            <w:vAlign w:val="center"/>
          </w:tcPr>
          <w:p w14:paraId="2A4B295B">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技术评价项</w:t>
            </w:r>
          </w:p>
          <w:p w14:paraId="3D750D5F">
            <w:pPr>
              <w:adjustRightInd w:val="0"/>
              <w:snapToGrid w:val="0"/>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（F=100分）</w:t>
            </w:r>
          </w:p>
        </w:tc>
        <w:tc>
          <w:tcPr>
            <w:tcW w:w="1582" w:type="dxa"/>
            <w:vAlign w:val="center"/>
          </w:tcPr>
          <w:p w14:paraId="2241B082">
            <w:pPr>
              <w:spacing w:after="120" w:line="32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技术响应（30）</w:t>
            </w:r>
          </w:p>
        </w:tc>
        <w:tc>
          <w:tcPr>
            <w:tcW w:w="5591" w:type="dxa"/>
            <w:vAlign w:val="center"/>
          </w:tcPr>
          <w:p w14:paraId="1612A145">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所投产品各项技术参数均满足招标文件要求的，得满分</w:t>
            </w:r>
            <w:r>
              <w:rPr>
                <w:rFonts w:hint="eastAsia" w:ascii="宋体" w:hAnsi="宋体" w:cs="宋体"/>
                <w:color w:val="000000"/>
                <w:kern w:val="0"/>
                <w:sz w:val="20"/>
                <w:szCs w:val="20"/>
                <w:lang w:val="en-US" w:eastAsia="zh-CN" w:bidi="ar"/>
              </w:rPr>
              <w:t>3</w:t>
            </w:r>
            <w:r>
              <w:rPr>
                <w:rFonts w:hint="eastAsia" w:ascii="宋体" w:hAnsi="宋体" w:eastAsia="宋体" w:cs="宋体"/>
                <w:color w:val="000000"/>
                <w:kern w:val="0"/>
                <w:sz w:val="20"/>
                <w:szCs w:val="20"/>
                <w:lang w:val="en-US" w:eastAsia="zh-CN" w:bidi="ar"/>
              </w:rPr>
              <w:t>0分；</w:t>
            </w:r>
          </w:p>
          <w:p w14:paraId="704D6C8B">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带“★”属于</w:t>
            </w:r>
            <w:r>
              <w:rPr>
                <w:rFonts w:hint="eastAsia" w:ascii="宋体" w:hAnsi="宋体" w:cs="宋体"/>
                <w:color w:val="000000"/>
                <w:kern w:val="0"/>
                <w:sz w:val="20"/>
                <w:szCs w:val="20"/>
                <w:lang w:val="en-US" w:eastAsia="zh-CN" w:bidi="ar"/>
              </w:rPr>
              <w:t>实质性</w:t>
            </w:r>
            <w:r>
              <w:rPr>
                <w:rFonts w:hint="eastAsia" w:ascii="宋体" w:hAnsi="宋体" w:eastAsia="宋体" w:cs="宋体"/>
                <w:color w:val="000000"/>
                <w:kern w:val="0"/>
                <w:sz w:val="20"/>
                <w:szCs w:val="20"/>
                <w:lang w:val="en-US" w:eastAsia="zh-CN" w:bidi="ar"/>
              </w:rPr>
              <w:t>技术参数，</w:t>
            </w:r>
            <w:r>
              <w:rPr>
                <w:rFonts w:hint="eastAsia" w:ascii="宋体" w:hAnsi="宋体" w:cs="宋体"/>
                <w:color w:val="000000"/>
                <w:kern w:val="0"/>
                <w:sz w:val="20"/>
                <w:szCs w:val="20"/>
                <w:lang w:val="en-US" w:eastAsia="zh-CN" w:bidi="ar"/>
              </w:rPr>
              <w:t>偏离视为无效投标</w:t>
            </w:r>
            <w:r>
              <w:rPr>
                <w:rFonts w:hint="eastAsia" w:ascii="宋体" w:hAnsi="宋体" w:eastAsia="宋体" w:cs="宋体"/>
                <w:color w:val="000000"/>
                <w:kern w:val="0"/>
                <w:sz w:val="20"/>
                <w:szCs w:val="20"/>
                <w:lang w:val="en-US" w:eastAsia="zh-CN" w:bidi="ar"/>
              </w:rPr>
              <w:t>。</w:t>
            </w:r>
          </w:p>
          <w:p w14:paraId="46A2F00A">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带“▲”属于重要技术参数，</w:t>
            </w:r>
            <w:r>
              <w:rPr>
                <w:rFonts w:hint="eastAsia" w:ascii="宋体" w:hAnsi="宋体" w:cs="宋体"/>
                <w:color w:val="000000"/>
                <w:kern w:val="0"/>
                <w:sz w:val="20"/>
                <w:szCs w:val="20"/>
                <w:lang w:val="en-US" w:eastAsia="zh-CN" w:bidi="ar"/>
              </w:rPr>
              <w:t>每项偏离</w:t>
            </w:r>
            <w:r>
              <w:rPr>
                <w:rFonts w:hint="eastAsia" w:ascii="宋体" w:hAnsi="宋体" w:eastAsia="宋体" w:cs="宋体"/>
                <w:color w:val="000000"/>
                <w:kern w:val="0"/>
                <w:sz w:val="20"/>
                <w:szCs w:val="20"/>
                <w:lang w:val="en-US" w:eastAsia="zh-CN" w:bidi="ar"/>
              </w:rPr>
              <w:t>扣</w:t>
            </w:r>
            <w:r>
              <w:rPr>
                <w:rFonts w:hint="eastAsia" w:ascii="宋体" w:hAnsi="宋体" w:cs="宋体"/>
                <w:color w:val="000000"/>
                <w:kern w:val="0"/>
                <w:sz w:val="20"/>
                <w:szCs w:val="20"/>
                <w:lang w:val="en-US" w:eastAsia="zh-CN" w:bidi="ar"/>
              </w:rPr>
              <w:t>3</w:t>
            </w:r>
            <w:r>
              <w:rPr>
                <w:rFonts w:hint="eastAsia" w:ascii="宋体" w:hAnsi="宋体" w:eastAsia="宋体" w:cs="宋体"/>
                <w:color w:val="000000"/>
                <w:kern w:val="0"/>
                <w:sz w:val="20"/>
                <w:szCs w:val="20"/>
                <w:lang w:val="en-US" w:eastAsia="zh-CN" w:bidi="ar"/>
              </w:rPr>
              <w:t>分，扣完为止。</w:t>
            </w:r>
          </w:p>
          <w:p w14:paraId="30996645">
            <w:pPr>
              <w:keepNext w:val="0"/>
              <w:keepLines w:val="0"/>
              <w:widowControl/>
              <w:suppressLineNumbers w:val="0"/>
              <w:jc w:val="left"/>
            </w:pPr>
            <w:r>
              <w:rPr>
                <w:rFonts w:hint="eastAsia" w:ascii="宋体" w:hAnsi="宋体" w:eastAsia="宋体" w:cs="宋体"/>
                <w:color w:val="000000"/>
                <w:kern w:val="0"/>
                <w:sz w:val="20"/>
                <w:szCs w:val="20"/>
                <w:lang w:val="en-US" w:eastAsia="zh-CN" w:bidi="ar"/>
              </w:rPr>
              <w:t>非带“▲”属于</w:t>
            </w:r>
            <w:r>
              <w:rPr>
                <w:rFonts w:hint="eastAsia" w:ascii="宋体" w:hAnsi="宋体" w:cs="宋体"/>
                <w:kern w:val="0"/>
                <w:sz w:val="20"/>
                <w:szCs w:val="20"/>
                <w:lang w:bidi="ar"/>
              </w:rPr>
              <w:t>其他一般技术条款</w:t>
            </w:r>
            <w:r>
              <w:rPr>
                <w:rFonts w:hint="eastAsia" w:ascii="宋体" w:hAnsi="宋体" w:eastAsia="宋体" w:cs="宋体"/>
                <w:color w:val="000000"/>
                <w:kern w:val="0"/>
                <w:sz w:val="20"/>
                <w:szCs w:val="20"/>
                <w:lang w:val="en-US" w:eastAsia="zh-CN" w:bidi="ar"/>
              </w:rPr>
              <w:t>，</w:t>
            </w:r>
            <w:r>
              <w:rPr>
                <w:rFonts w:hint="eastAsia" w:ascii="宋体" w:hAnsi="宋体" w:cs="宋体"/>
                <w:color w:val="000000"/>
                <w:kern w:val="0"/>
                <w:sz w:val="20"/>
                <w:szCs w:val="20"/>
                <w:lang w:val="en-US" w:eastAsia="zh-CN" w:bidi="ar"/>
              </w:rPr>
              <w:t>每项偏离</w:t>
            </w:r>
            <w:r>
              <w:rPr>
                <w:rFonts w:hint="eastAsia" w:ascii="宋体" w:hAnsi="宋体" w:eastAsia="宋体" w:cs="宋体"/>
                <w:color w:val="000000"/>
                <w:kern w:val="0"/>
                <w:sz w:val="20"/>
                <w:szCs w:val="20"/>
                <w:lang w:val="en-US" w:eastAsia="zh-CN" w:bidi="ar"/>
              </w:rPr>
              <w:t>扣</w:t>
            </w:r>
            <w:r>
              <w:rPr>
                <w:rFonts w:hint="eastAsia" w:ascii="宋体" w:hAnsi="宋体" w:cs="宋体"/>
                <w:color w:val="000000"/>
                <w:kern w:val="0"/>
                <w:sz w:val="20"/>
                <w:szCs w:val="20"/>
                <w:lang w:val="en-US" w:eastAsia="zh-CN" w:bidi="ar"/>
              </w:rPr>
              <w:t>1.5</w:t>
            </w:r>
            <w:r>
              <w:rPr>
                <w:rFonts w:hint="eastAsia" w:ascii="宋体" w:hAnsi="宋体" w:eastAsia="宋体" w:cs="宋体"/>
                <w:color w:val="000000"/>
                <w:kern w:val="0"/>
                <w:sz w:val="20"/>
                <w:szCs w:val="20"/>
                <w:lang w:val="en-US" w:eastAsia="zh-CN" w:bidi="ar"/>
              </w:rPr>
              <w:t xml:space="preserve">分，扣完为止。 </w:t>
            </w:r>
          </w:p>
          <w:p w14:paraId="09820605">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注：①招标文件技术参数中需提供相关证明材料，须按招标文件要求提供，否则视为偏离。 </w:t>
            </w:r>
          </w:p>
          <w:p w14:paraId="00962084">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②同一技术参数的偏离按一处扣分，不重复扣分。</w:t>
            </w:r>
          </w:p>
          <w:p w14:paraId="431045DC">
            <w:pPr>
              <w:keepNext w:val="0"/>
              <w:keepLines w:val="0"/>
              <w:widowControl/>
              <w:suppressLineNumbers w:val="0"/>
              <w:jc w:val="left"/>
              <w:rPr>
                <w:rFonts w:ascii="宋体" w:hAnsi="宋体" w:cs="宋体"/>
                <w:color w:val="000000"/>
                <w:kern w:val="0"/>
                <w:sz w:val="20"/>
                <w:szCs w:val="20"/>
                <w:lang w:bidi="ar"/>
              </w:rPr>
            </w:pPr>
            <w:r>
              <w:rPr>
                <w:rFonts w:hint="eastAsia" w:ascii="宋体" w:hAnsi="宋体" w:eastAsia="宋体" w:cs="宋体"/>
                <w:color w:val="000000"/>
                <w:kern w:val="0"/>
                <w:sz w:val="20"/>
                <w:szCs w:val="20"/>
                <w:lang w:val="en-US" w:eastAsia="zh-CN" w:bidi="ar"/>
              </w:rPr>
              <w:t>③重要技术参数和一般参数条款偏离项数之和</w:t>
            </w:r>
            <w:r>
              <w:rPr>
                <w:rFonts w:hint="eastAsia" w:ascii="宋体" w:hAnsi="宋体" w:eastAsia="宋体" w:cs="宋体"/>
                <w:b/>
                <w:bCs/>
                <w:color w:val="000000"/>
                <w:kern w:val="0"/>
                <w:sz w:val="20"/>
                <w:szCs w:val="20"/>
                <w:lang w:val="en-US" w:eastAsia="zh-CN" w:bidi="ar"/>
              </w:rPr>
              <w:t>≥</w:t>
            </w:r>
            <w:r>
              <w:rPr>
                <w:rFonts w:hint="eastAsia" w:ascii="宋体" w:hAnsi="宋体" w:cs="宋体"/>
                <w:b/>
                <w:bCs/>
                <w:color w:val="000000"/>
                <w:kern w:val="0"/>
                <w:sz w:val="20"/>
                <w:szCs w:val="20"/>
                <w:lang w:val="en-US" w:eastAsia="zh-CN" w:bidi="ar"/>
              </w:rPr>
              <w:t>10</w:t>
            </w:r>
            <w:r>
              <w:rPr>
                <w:rFonts w:hint="eastAsia" w:ascii="宋体" w:hAnsi="宋体" w:eastAsia="宋体" w:cs="宋体"/>
                <w:color w:val="000000"/>
                <w:kern w:val="0"/>
                <w:sz w:val="20"/>
                <w:szCs w:val="20"/>
                <w:lang w:val="en-US" w:eastAsia="zh-CN" w:bidi="ar"/>
              </w:rPr>
              <w:t>项将导致无效投标。</w:t>
            </w:r>
          </w:p>
        </w:tc>
      </w:tr>
      <w:tr w14:paraId="733CA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57" w:hRule="atLeast"/>
          <w:jc w:val="center"/>
        </w:trPr>
        <w:tc>
          <w:tcPr>
            <w:tcW w:w="670" w:type="dxa"/>
            <w:vMerge w:val="continue"/>
            <w:tcBorders>
              <w:right w:val="single" w:color="auto" w:sz="4" w:space="0"/>
            </w:tcBorders>
            <w:vAlign w:val="center"/>
          </w:tcPr>
          <w:p w14:paraId="4B7DFE41">
            <w:pPr>
              <w:adjustRightInd w:val="0"/>
              <w:snapToGrid w:val="0"/>
              <w:spacing w:before="161" w:beforeLines="50"/>
              <w:jc w:val="center"/>
              <w:rPr>
                <w:rFonts w:ascii="宋体" w:hAnsi="宋体" w:cs="宋体"/>
                <w:color w:val="000000" w:themeColor="text1"/>
                <w:sz w:val="20"/>
                <w:szCs w:val="20"/>
                <w14:textFill>
                  <w14:solidFill>
                    <w14:schemeClr w14:val="tx1"/>
                  </w14:solidFill>
                </w14:textFill>
              </w:rPr>
            </w:pPr>
          </w:p>
        </w:tc>
        <w:tc>
          <w:tcPr>
            <w:tcW w:w="1764" w:type="dxa"/>
            <w:vMerge w:val="continue"/>
            <w:tcBorders>
              <w:left w:val="single" w:color="auto" w:sz="4" w:space="0"/>
            </w:tcBorders>
            <w:vAlign w:val="center"/>
          </w:tcPr>
          <w:p w14:paraId="4FE82298">
            <w:pPr>
              <w:adjustRightInd w:val="0"/>
              <w:snapToGrid w:val="0"/>
              <w:jc w:val="center"/>
              <w:rPr>
                <w:rFonts w:ascii="宋体" w:hAnsi="宋体" w:cs="宋体"/>
                <w:color w:val="000000" w:themeColor="text1"/>
                <w:sz w:val="20"/>
                <w:szCs w:val="20"/>
                <w14:textFill>
                  <w14:solidFill>
                    <w14:schemeClr w14:val="tx1"/>
                  </w14:solidFill>
                </w14:textFill>
              </w:rPr>
            </w:pPr>
          </w:p>
        </w:tc>
        <w:tc>
          <w:tcPr>
            <w:tcW w:w="1582" w:type="dxa"/>
            <w:vAlign w:val="center"/>
          </w:tcPr>
          <w:p w14:paraId="40188EB1">
            <w:pPr>
              <w:spacing w:after="120" w:line="320" w:lineRule="exact"/>
              <w:jc w:val="center"/>
              <w:rPr>
                <w:rFonts w:hint="eastAsia"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产品质量</w:t>
            </w:r>
          </w:p>
          <w:p w14:paraId="3DC405E7">
            <w:pPr>
              <w:spacing w:after="120" w:line="320" w:lineRule="exact"/>
              <w:jc w:val="center"/>
              <w:rPr>
                <w:rFonts w:ascii="宋体" w:hAnsi="宋体" w:cs="宋体"/>
                <w:color w:val="0000FF"/>
                <w:sz w:val="20"/>
                <w:szCs w:val="20"/>
              </w:rPr>
            </w:pPr>
            <w:r>
              <w:rPr>
                <w:rFonts w:hint="eastAsia" w:ascii="宋体" w:hAnsi="宋体" w:cs="宋体"/>
                <w:color w:val="000000" w:themeColor="text1"/>
                <w:sz w:val="20"/>
                <w:szCs w:val="20"/>
                <w14:textFill>
                  <w14:solidFill>
                    <w14:schemeClr w14:val="tx1"/>
                  </w14:solidFill>
                </w14:textFill>
              </w:rPr>
              <w:t>（30）</w:t>
            </w:r>
          </w:p>
        </w:tc>
        <w:tc>
          <w:tcPr>
            <w:tcW w:w="5591" w:type="dxa"/>
            <w:vAlign w:val="center"/>
          </w:tcPr>
          <w:p w14:paraId="0F7AAF2B">
            <w:pPr>
              <w:numPr>
                <w:ilvl w:val="0"/>
                <w:numId w:val="0"/>
              </w:numPr>
              <w:rPr>
                <w:rFonts w:hint="eastAsia" w:asciiTheme="majorEastAsia" w:hAnsiTheme="majorEastAsia" w:eastAsiaTheme="majorEastAsia" w:cstheme="majorEastAsia"/>
                <w:b w:val="0"/>
                <w:bCs w:val="0"/>
                <w:kern w:val="2"/>
                <w:sz w:val="20"/>
                <w:szCs w:val="20"/>
                <w:highlight w:val="none"/>
                <w:lang w:val="en-US" w:eastAsia="zh-CN" w:bidi="ar-SA"/>
              </w:rPr>
            </w:pPr>
            <w:r>
              <w:rPr>
                <w:rFonts w:hint="eastAsia" w:asciiTheme="majorEastAsia" w:hAnsiTheme="majorEastAsia" w:eastAsiaTheme="majorEastAsia" w:cstheme="majorEastAsia"/>
                <w:b w:val="0"/>
                <w:bCs w:val="0"/>
                <w:kern w:val="2"/>
                <w:sz w:val="20"/>
                <w:szCs w:val="20"/>
                <w:lang w:val="en-US" w:eastAsia="zh-CN" w:bidi="ar-SA"/>
              </w:rPr>
              <w:t>1、</w:t>
            </w:r>
            <w:r>
              <w:rPr>
                <w:rFonts w:hint="eastAsia" w:asciiTheme="majorEastAsia" w:hAnsiTheme="majorEastAsia" w:eastAsiaTheme="majorEastAsia" w:cstheme="majorEastAsia"/>
                <w:b w:val="0"/>
                <w:bCs w:val="0"/>
                <w:sz w:val="20"/>
                <w:szCs w:val="20"/>
                <w:highlight w:val="none"/>
                <w:lang w:val="en-US" w:eastAsia="zh-CN"/>
              </w:rPr>
              <w:t>所投户内全彩LED屏产品需符合GB/T 26572-2011《电子电气产品中限用物质的限量要求》中关于相关有害物质限量要求。计5分</w:t>
            </w:r>
            <w:r>
              <w:rPr>
                <w:rFonts w:hint="eastAsia" w:asciiTheme="majorEastAsia" w:hAnsiTheme="majorEastAsia" w:eastAsiaTheme="majorEastAsia" w:cstheme="majorEastAsia"/>
                <w:b w:val="0"/>
                <w:bCs w:val="0"/>
                <w:kern w:val="2"/>
                <w:sz w:val="20"/>
                <w:szCs w:val="20"/>
                <w:highlight w:val="none"/>
                <w:lang w:val="en-US" w:eastAsia="zh-CN" w:bidi="ar-SA"/>
              </w:rPr>
              <w:t>（提供第三方权威机构出具的</w:t>
            </w:r>
            <w:r>
              <w:rPr>
                <w:rFonts w:hint="eastAsia" w:asciiTheme="majorEastAsia" w:hAnsiTheme="majorEastAsia" w:eastAsiaTheme="majorEastAsia" w:cstheme="majorEastAsia"/>
                <w:b w:val="0"/>
                <w:bCs w:val="0"/>
                <w:sz w:val="20"/>
                <w:szCs w:val="20"/>
                <w:highlight w:val="none"/>
                <w:lang w:val="en-US" w:eastAsia="zh-CN"/>
              </w:rPr>
              <w:t>相关认证证书</w:t>
            </w:r>
            <w:r>
              <w:rPr>
                <w:rFonts w:hint="eastAsia" w:asciiTheme="majorEastAsia" w:hAnsiTheme="majorEastAsia" w:eastAsiaTheme="majorEastAsia" w:cstheme="majorEastAsia"/>
                <w:b w:val="0"/>
                <w:bCs w:val="0"/>
                <w:kern w:val="2"/>
                <w:sz w:val="20"/>
                <w:szCs w:val="20"/>
                <w:highlight w:val="none"/>
                <w:lang w:val="en-US" w:eastAsia="zh-CN" w:bidi="ar-SA"/>
              </w:rPr>
              <w:t>并加盖投标人公章，否则不计分）</w:t>
            </w:r>
          </w:p>
          <w:p w14:paraId="636A4AFE">
            <w:pPr>
              <w:widowControl w:val="0"/>
              <w:numPr>
                <w:ilvl w:val="0"/>
                <w:numId w:val="0"/>
              </w:numPr>
              <w:jc w:val="both"/>
              <w:rPr>
                <w:rFonts w:hint="eastAsia" w:asciiTheme="majorEastAsia" w:hAnsiTheme="majorEastAsia" w:eastAsiaTheme="majorEastAsia" w:cstheme="majorEastAsia"/>
                <w:b w:val="0"/>
                <w:bCs w:val="0"/>
                <w:kern w:val="2"/>
                <w:sz w:val="20"/>
                <w:szCs w:val="20"/>
                <w:highlight w:val="none"/>
                <w:lang w:val="en-US" w:eastAsia="zh-CN" w:bidi="ar-SA"/>
              </w:rPr>
            </w:pPr>
            <w:r>
              <w:rPr>
                <w:rFonts w:hint="eastAsia" w:asciiTheme="majorEastAsia" w:hAnsiTheme="majorEastAsia" w:eastAsiaTheme="majorEastAsia" w:cstheme="majorEastAsia"/>
                <w:b w:val="0"/>
                <w:bCs w:val="0"/>
                <w:kern w:val="2"/>
                <w:sz w:val="20"/>
                <w:szCs w:val="20"/>
                <w:highlight w:val="none"/>
                <w:lang w:val="en-US" w:eastAsia="zh-CN" w:bidi="ar-SA"/>
              </w:rPr>
              <w:t>2、所投</w:t>
            </w:r>
            <w:r>
              <w:rPr>
                <w:rFonts w:hint="eastAsia" w:asciiTheme="majorEastAsia" w:hAnsiTheme="majorEastAsia" w:eastAsiaTheme="majorEastAsia" w:cstheme="majorEastAsia"/>
                <w:b w:val="0"/>
                <w:bCs w:val="0"/>
                <w:sz w:val="20"/>
                <w:szCs w:val="20"/>
                <w:highlight w:val="none"/>
                <w:lang w:val="en-US" w:eastAsia="zh-CN"/>
              </w:rPr>
              <w:t>户内全彩LED屏产品</w:t>
            </w:r>
            <w:r>
              <w:rPr>
                <w:rFonts w:hint="eastAsia" w:asciiTheme="majorEastAsia" w:hAnsiTheme="majorEastAsia" w:eastAsiaTheme="majorEastAsia" w:cstheme="majorEastAsia"/>
                <w:b w:val="0"/>
                <w:bCs w:val="0"/>
                <w:kern w:val="2"/>
                <w:sz w:val="20"/>
                <w:szCs w:val="20"/>
                <w:highlight w:val="none"/>
                <w:lang w:val="en-US" w:eastAsia="zh-CN" w:bidi="ar-SA"/>
              </w:rPr>
              <w:t>符合GB/T 20145-2006 标准的光生物安全及蓝光危害评估检测的无危害类要求（豁免级），具备防蓝光护眼模式，且</w:t>
            </w:r>
            <w:r>
              <w:rPr>
                <w:rFonts w:hint="eastAsia" w:asciiTheme="majorEastAsia" w:hAnsiTheme="majorEastAsia" w:eastAsiaTheme="majorEastAsia" w:cstheme="majorEastAsia"/>
                <w:color w:val="auto"/>
                <w:kern w:val="2"/>
                <w:sz w:val="20"/>
                <w:szCs w:val="20"/>
                <w:highlight w:val="none"/>
                <w:lang w:val="en-US" w:eastAsia="zh-CN"/>
              </w:rPr>
              <w:t>符合</w:t>
            </w:r>
            <w:r>
              <w:rPr>
                <w:rFonts w:hint="eastAsia" w:asciiTheme="majorEastAsia" w:hAnsiTheme="majorEastAsia" w:eastAsiaTheme="majorEastAsia" w:cstheme="majorEastAsia"/>
                <w:b w:val="0"/>
                <w:bCs w:val="0"/>
                <w:kern w:val="2"/>
                <w:sz w:val="20"/>
                <w:szCs w:val="20"/>
                <w:highlight w:val="none"/>
                <w:lang w:val="en-US" w:eastAsia="zh-CN" w:bidi="ar-SA"/>
              </w:rPr>
              <w:t>《显示设备显示性能和视觉健康认证技术规范第5部分:室内LED显示屏》相关要求，提供相关的产品认证证书。</w:t>
            </w:r>
            <w:r>
              <w:rPr>
                <w:rFonts w:hint="eastAsia" w:asciiTheme="majorEastAsia" w:hAnsiTheme="majorEastAsia" w:eastAsiaTheme="majorEastAsia" w:cstheme="majorEastAsia"/>
                <w:b w:val="0"/>
                <w:bCs w:val="0"/>
                <w:sz w:val="20"/>
                <w:szCs w:val="20"/>
                <w:highlight w:val="none"/>
                <w:lang w:val="en-US" w:eastAsia="zh-CN"/>
              </w:rPr>
              <w:t>计5分</w:t>
            </w:r>
            <w:r>
              <w:rPr>
                <w:rFonts w:hint="eastAsia" w:asciiTheme="majorEastAsia" w:hAnsiTheme="majorEastAsia" w:eastAsiaTheme="majorEastAsia" w:cstheme="majorEastAsia"/>
                <w:b w:val="0"/>
                <w:bCs w:val="0"/>
                <w:kern w:val="2"/>
                <w:sz w:val="20"/>
                <w:szCs w:val="20"/>
                <w:highlight w:val="none"/>
                <w:lang w:val="en-US" w:eastAsia="zh-CN" w:bidi="ar-SA"/>
              </w:rPr>
              <w:t>（提供第三方权威机构出具的</w:t>
            </w:r>
            <w:r>
              <w:rPr>
                <w:rFonts w:hint="eastAsia" w:asciiTheme="majorEastAsia" w:hAnsiTheme="majorEastAsia" w:eastAsiaTheme="majorEastAsia" w:cstheme="majorEastAsia"/>
                <w:b w:val="0"/>
                <w:bCs w:val="0"/>
                <w:sz w:val="20"/>
                <w:szCs w:val="20"/>
                <w:highlight w:val="none"/>
                <w:lang w:val="en-US" w:eastAsia="zh-CN"/>
              </w:rPr>
              <w:t>相关认证证书</w:t>
            </w:r>
            <w:r>
              <w:rPr>
                <w:rFonts w:hint="eastAsia" w:asciiTheme="majorEastAsia" w:hAnsiTheme="majorEastAsia" w:eastAsiaTheme="majorEastAsia" w:cstheme="majorEastAsia"/>
                <w:b w:val="0"/>
                <w:bCs w:val="0"/>
                <w:kern w:val="2"/>
                <w:sz w:val="20"/>
                <w:szCs w:val="20"/>
                <w:highlight w:val="none"/>
                <w:lang w:val="en-US" w:eastAsia="zh-CN" w:bidi="ar-SA"/>
              </w:rPr>
              <w:t>并加盖投标人公章，否则不计分）</w:t>
            </w:r>
          </w:p>
          <w:p w14:paraId="1D3B872F">
            <w:pPr>
              <w:numPr>
                <w:ilvl w:val="0"/>
                <w:numId w:val="0"/>
              </w:numPr>
              <w:rPr>
                <w:rFonts w:hint="eastAsia" w:asciiTheme="majorEastAsia" w:hAnsiTheme="majorEastAsia" w:eastAsiaTheme="majorEastAsia" w:cstheme="majorEastAsia"/>
                <w:b w:val="0"/>
                <w:bCs w:val="0"/>
                <w:sz w:val="20"/>
                <w:szCs w:val="20"/>
                <w:highlight w:val="none"/>
                <w:lang w:val="en-US" w:eastAsia="zh-CN"/>
              </w:rPr>
            </w:pPr>
            <w:r>
              <w:rPr>
                <w:rFonts w:hint="eastAsia" w:asciiTheme="majorEastAsia" w:hAnsiTheme="majorEastAsia" w:eastAsiaTheme="majorEastAsia" w:cstheme="majorEastAsia"/>
                <w:b w:val="0"/>
                <w:bCs w:val="0"/>
                <w:sz w:val="20"/>
                <w:szCs w:val="20"/>
                <w:highlight w:val="none"/>
                <w:lang w:val="en-US" w:eastAsia="zh-CN"/>
              </w:rPr>
              <w:t>3、所投全数字会议系统综合控制软件通过信息系统安全等级保护备案，具有公安机关出具的备案证明复印件；信息系统定为信息安全等级保护第三级，得5分；信息系统定为信息安全等级保护第二级，得2分；信息系统定为信息安全等级保护第一级及以上，得1分；未提供不得分。</w:t>
            </w:r>
          </w:p>
          <w:p w14:paraId="09C746D8">
            <w:pPr>
              <w:numPr>
                <w:ilvl w:val="0"/>
                <w:numId w:val="0"/>
              </w:numPr>
              <w:rPr>
                <w:rFonts w:hint="eastAsia" w:asciiTheme="majorEastAsia" w:hAnsiTheme="majorEastAsia" w:eastAsiaTheme="majorEastAsia" w:cstheme="majorEastAsia"/>
                <w:b w:val="0"/>
                <w:bCs w:val="0"/>
                <w:sz w:val="20"/>
                <w:szCs w:val="20"/>
                <w:highlight w:val="none"/>
                <w:lang w:val="en-US" w:eastAsia="zh-CN"/>
              </w:rPr>
            </w:pPr>
            <w:r>
              <w:rPr>
                <w:rFonts w:hint="eastAsia" w:asciiTheme="majorEastAsia" w:hAnsiTheme="majorEastAsia" w:eastAsiaTheme="majorEastAsia" w:cstheme="majorEastAsia"/>
                <w:b w:val="0"/>
                <w:bCs w:val="0"/>
                <w:sz w:val="20"/>
                <w:szCs w:val="20"/>
                <w:highlight w:val="none"/>
                <w:lang w:val="en-US" w:eastAsia="zh-CN"/>
              </w:rPr>
              <w:t>4、所投全数字会议系统综合控制软件符合中国信息安全测评中心与国家保密科技测评中心颁发的《安全可靠测评工作指南》要求，测评确认安全可靠等级达到I级的操作系统兼容（提供产品互认证明或软件适配认证材料及关于操作系统的中国信息安全测评中心安全可靠测评结果公告截图作为证明材料），计5分，否则不得分。</w:t>
            </w:r>
          </w:p>
          <w:p w14:paraId="53936252">
            <w:pPr>
              <w:numPr>
                <w:ilvl w:val="0"/>
                <w:numId w:val="0"/>
              </w:numPr>
              <w:rPr>
                <w:rFonts w:hint="eastAsia" w:asciiTheme="majorEastAsia" w:hAnsiTheme="majorEastAsia" w:eastAsiaTheme="majorEastAsia" w:cstheme="majorEastAsia"/>
                <w:b w:val="0"/>
                <w:bCs w:val="0"/>
                <w:sz w:val="20"/>
                <w:szCs w:val="20"/>
                <w:highlight w:val="none"/>
              </w:rPr>
            </w:pPr>
            <w:r>
              <w:rPr>
                <w:rFonts w:hint="eastAsia" w:asciiTheme="majorEastAsia" w:hAnsiTheme="majorEastAsia" w:eastAsiaTheme="majorEastAsia" w:cstheme="majorEastAsia"/>
                <w:b w:val="0"/>
                <w:bCs w:val="0"/>
                <w:sz w:val="20"/>
                <w:szCs w:val="20"/>
                <w:highlight w:val="none"/>
                <w:lang w:val="en-US" w:eastAsia="zh-CN"/>
              </w:rPr>
              <w:t>5、</w:t>
            </w:r>
            <w:r>
              <w:rPr>
                <w:rFonts w:hint="eastAsia" w:asciiTheme="majorEastAsia" w:hAnsiTheme="majorEastAsia" w:eastAsiaTheme="majorEastAsia" w:cstheme="majorEastAsia"/>
                <w:b w:val="0"/>
                <w:bCs w:val="0"/>
                <w:sz w:val="20"/>
                <w:szCs w:val="20"/>
                <w:highlight w:val="none"/>
              </w:rPr>
              <w:t>所投</w:t>
            </w:r>
            <w:r>
              <w:rPr>
                <w:rFonts w:hint="eastAsia" w:asciiTheme="majorEastAsia" w:hAnsiTheme="majorEastAsia" w:eastAsiaTheme="majorEastAsia" w:cstheme="majorEastAsia"/>
                <w:b w:val="0"/>
                <w:bCs w:val="0"/>
                <w:sz w:val="20"/>
                <w:szCs w:val="20"/>
                <w:highlight w:val="none"/>
                <w:lang w:val="en-US" w:eastAsia="zh-CN"/>
              </w:rPr>
              <w:t>网络半球摄像机</w:t>
            </w:r>
            <w:r>
              <w:rPr>
                <w:rFonts w:hint="eastAsia" w:asciiTheme="majorEastAsia" w:hAnsiTheme="majorEastAsia" w:eastAsiaTheme="majorEastAsia" w:cstheme="majorEastAsia"/>
                <w:b w:val="0"/>
                <w:bCs w:val="0"/>
                <w:sz w:val="20"/>
                <w:szCs w:val="20"/>
                <w:highlight w:val="none"/>
              </w:rPr>
              <w:t>产品</w:t>
            </w:r>
            <w:r>
              <w:rPr>
                <w:rFonts w:hint="eastAsia" w:asciiTheme="majorEastAsia" w:hAnsiTheme="majorEastAsia" w:eastAsiaTheme="majorEastAsia" w:cstheme="majorEastAsia"/>
                <w:b w:val="0"/>
                <w:bCs w:val="0"/>
                <w:sz w:val="20"/>
                <w:szCs w:val="20"/>
                <w:highlight w:val="none"/>
                <w:lang w:val="en-US" w:eastAsia="zh-CN"/>
              </w:rPr>
              <w:t>符合中华人民共和国教育部发布的</w:t>
            </w:r>
            <w:r>
              <w:rPr>
                <w:rFonts w:hint="eastAsia" w:asciiTheme="majorEastAsia" w:hAnsiTheme="majorEastAsia" w:eastAsiaTheme="majorEastAsia" w:cstheme="majorEastAsia"/>
                <w:b w:val="0"/>
                <w:bCs w:val="0"/>
                <w:sz w:val="20"/>
                <w:szCs w:val="20"/>
                <w:highlight w:val="none"/>
              </w:rPr>
              <w:t xml:space="preserve">JY/T </w:t>
            </w:r>
            <w:r>
              <w:rPr>
                <w:rFonts w:hint="eastAsia" w:asciiTheme="majorEastAsia" w:hAnsiTheme="majorEastAsia" w:eastAsiaTheme="majorEastAsia" w:cstheme="majorEastAsia"/>
                <w:b w:val="0"/>
                <w:bCs w:val="0"/>
                <w:sz w:val="20"/>
                <w:szCs w:val="20"/>
                <w:highlight w:val="none"/>
                <w:lang w:val="en-US" w:eastAsia="zh-CN"/>
              </w:rPr>
              <w:t>-KS-JS-2017-1标准《国家教育考试网上巡查系统视频标准技术规范》相关要求；</w:t>
            </w:r>
            <w:r>
              <w:rPr>
                <w:rFonts w:hint="eastAsia" w:asciiTheme="majorEastAsia" w:hAnsiTheme="majorEastAsia" w:eastAsiaTheme="majorEastAsia" w:cstheme="majorEastAsia"/>
                <w:b w:val="0"/>
                <w:bCs w:val="0"/>
                <w:sz w:val="20"/>
                <w:szCs w:val="20"/>
                <w:highlight w:val="none"/>
              </w:rPr>
              <w:t>计</w:t>
            </w:r>
            <w:r>
              <w:rPr>
                <w:rFonts w:hint="eastAsia" w:asciiTheme="majorEastAsia" w:hAnsiTheme="majorEastAsia" w:eastAsiaTheme="majorEastAsia" w:cstheme="majorEastAsia"/>
                <w:b w:val="0"/>
                <w:bCs w:val="0"/>
                <w:sz w:val="20"/>
                <w:szCs w:val="20"/>
                <w:highlight w:val="none"/>
                <w:lang w:val="en-US" w:eastAsia="zh-CN"/>
              </w:rPr>
              <w:t>5</w:t>
            </w:r>
            <w:r>
              <w:rPr>
                <w:rFonts w:hint="eastAsia" w:asciiTheme="majorEastAsia" w:hAnsiTheme="majorEastAsia" w:eastAsiaTheme="majorEastAsia" w:cstheme="majorEastAsia"/>
                <w:b w:val="0"/>
                <w:bCs w:val="0"/>
                <w:sz w:val="20"/>
                <w:szCs w:val="20"/>
                <w:highlight w:val="none"/>
              </w:rPr>
              <w:t>分</w:t>
            </w:r>
            <w:r>
              <w:rPr>
                <w:rFonts w:hint="eastAsia" w:asciiTheme="majorEastAsia" w:hAnsiTheme="majorEastAsia" w:eastAsiaTheme="majorEastAsia" w:cstheme="majorEastAsia"/>
                <w:b w:val="0"/>
                <w:bCs w:val="0"/>
                <w:sz w:val="20"/>
                <w:szCs w:val="20"/>
                <w:highlight w:val="none"/>
                <w:lang w:eastAsia="zh-CN"/>
              </w:rPr>
              <w:t>。（</w:t>
            </w:r>
            <w:r>
              <w:rPr>
                <w:rFonts w:hint="eastAsia" w:asciiTheme="majorEastAsia" w:hAnsiTheme="majorEastAsia" w:eastAsiaTheme="majorEastAsia" w:cstheme="majorEastAsia"/>
                <w:b w:val="0"/>
                <w:bCs w:val="0"/>
                <w:sz w:val="20"/>
                <w:szCs w:val="20"/>
                <w:highlight w:val="none"/>
              </w:rPr>
              <w:t>提供</w:t>
            </w:r>
            <w:r>
              <w:rPr>
                <w:rFonts w:hint="eastAsia" w:asciiTheme="majorEastAsia" w:hAnsiTheme="majorEastAsia" w:eastAsiaTheme="majorEastAsia" w:cstheme="majorEastAsia"/>
                <w:b w:val="0"/>
                <w:bCs w:val="0"/>
                <w:i w:val="0"/>
                <w:iCs w:val="0"/>
                <w:color w:val="000000"/>
                <w:kern w:val="0"/>
                <w:sz w:val="20"/>
                <w:szCs w:val="20"/>
                <w:u w:val="none"/>
                <w:lang w:val="en-US" w:eastAsia="zh-CN" w:bidi="ar"/>
              </w:rPr>
              <w:t>第三方权威机构</w:t>
            </w:r>
            <w:r>
              <w:rPr>
                <w:rFonts w:hint="eastAsia" w:asciiTheme="majorEastAsia" w:hAnsiTheme="majorEastAsia" w:eastAsiaTheme="majorEastAsia" w:cstheme="majorEastAsia"/>
                <w:b w:val="0"/>
                <w:bCs w:val="0"/>
                <w:sz w:val="20"/>
                <w:szCs w:val="20"/>
                <w:highlight w:val="none"/>
              </w:rPr>
              <w:t>证明材料并加盖投标人公章，否则不计分</w:t>
            </w:r>
            <w:r>
              <w:rPr>
                <w:rFonts w:hint="eastAsia" w:asciiTheme="majorEastAsia" w:hAnsiTheme="majorEastAsia" w:eastAsiaTheme="majorEastAsia" w:cstheme="majorEastAsia"/>
                <w:b w:val="0"/>
                <w:bCs w:val="0"/>
                <w:sz w:val="20"/>
                <w:szCs w:val="20"/>
                <w:highlight w:val="none"/>
                <w:lang w:eastAsia="zh-CN"/>
              </w:rPr>
              <w:t>）</w:t>
            </w:r>
          </w:p>
          <w:p w14:paraId="3E14C089">
            <w:pPr>
              <w:rPr>
                <w:rFonts w:hint="eastAsia" w:asciiTheme="majorEastAsia" w:hAnsiTheme="majorEastAsia" w:eastAsiaTheme="majorEastAsia" w:cstheme="majorEastAsia"/>
                <w:color w:val="000000"/>
                <w:kern w:val="0"/>
                <w:sz w:val="20"/>
                <w:szCs w:val="20"/>
                <w:lang w:bidi="ar"/>
              </w:rPr>
            </w:pPr>
            <w:r>
              <w:rPr>
                <w:rFonts w:hint="eastAsia" w:asciiTheme="majorEastAsia" w:hAnsiTheme="majorEastAsia" w:eastAsiaTheme="majorEastAsia" w:cstheme="majorEastAsia"/>
                <w:color w:val="auto"/>
                <w:kern w:val="2"/>
                <w:sz w:val="20"/>
                <w:szCs w:val="20"/>
                <w:highlight w:val="none"/>
                <w:lang w:val="en-US" w:eastAsia="zh-CN"/>
              </w:rPr>
              <w:t>6、所投</w:t>
            </w:r>
            <w:r>
              <w:rPr>
                <w:rFonts w:hint="eastAsia" w:asciiTheme="majorEastAsia" w:hAnsiTheme="majorEastAsia" w:eastAsiaTheme="majorEastAsia" w:cstheme="majorEastAsia"/>
                <w:color w:val="000000"/>
                <w:kern w:val="0"/>
                <w:sz w:val="20"/>
                <w:szCs w:val="20"/>
                <w:lang w:bidi="ar"/>
              </w:rPr>
              <w:t>IP网络数字功放</w:t>
            </w:r>
            <w:r>
              <w:rPr>
                <w:rFonts w:hint="eastAsia" w:asciiTheme="majorEastAsia" w:hAnsiTheme="majorEastAsia" w:eastAsiaTheme="majorEastAsia" w:cstheme="majorEastAsia"/>
                <w:color w:val="auto"/>
                <w:kern w:val="2"/>
                <w:sz w:val="20"/>
                <w:szCs w:val="20"/>
                <w:highlight w:val="none"/>
                <w:lang w:val="en-US" w:eastAsia="zh-CN"/>
              </w:rPr>
              <w:t>产品</w:t>
            </w:r>
            <w:r>
              <w:rPr>
                <w:rFonts w:hint="eastAsia" w:asciiTheme="majorEastAsia" w:hAnsiTheme="majorEastAsia" w:eastAsiaTheme="majorEastAsia" w:cstheme="majorEastAsia"/>
                <w:b w:val="0"/>
                <w:bCs w:val="0"/>
                <w:sz w:val="20"/>
                <w:szCs w:val="20"/>
                <w:highlight w:val="none"/>
                <w:lang w:val="en-US" w:eastAsia="zh-CN"/>
              </w:rPr>
              <w:t>符合中华人民共和国</w:t>
            </w:r>
            <w:r>
              <w:rPr>
                <w:rFonts w:hint="eastAsia" w:asciiTheme="majorEastAsia" w:hAnsiTheme="majorEastAsia" w:eastAsiaTheme="majorEastAsia" w:cstheme="majorEastAsia"/>
                <w:color w:val="auto"/>
                <w:kern w:val="2"/>
                <w:sz w:val="20"/>
                <w:szCs w:val="20"/>
                <w:highlight w:val="none"/>
                <w:lang w:val="en-US" w:eastAsia="zh-CN"/>
              </w:rPr>
              <w:t>国家市场监督管理总局、中国国家标准化管理委员会发布的GB/T 36449-2018标准《电子考场系统通用要求》</w:t>
            </w:r>
            <w:r>
              <w:rPr>
                <w:rFonts w:hint="eastAsia" w:asciiTheme="majorEastAsia" w:hAnsiTheme="majorEastAsia" w:eastAsiaTheme="majorEastAsia" w:cstheme="majorEastAsia"/>
                <w:b w:val="0"/>
                <w:bCs w:val="0"/>
                <w:sz w:val="20"/>
                <w:szCs w:val="20"/>
                <w:highlight w:val="none"/>
                <w:lang w:val="en-US" w:eastAsia="zh-CN"/>
              </w:rPr>
              <w:t>的；</w:t>
            </w:r>
            <w:r>
              <w:rPr>
                <w:rFonts w:hint="eastAsia" w:asciiTheme="majorEastAsia" w:hAnsiTheme="majorEastAsia" w:eastAsiaTheme="majorEastAsia" w:cstheme="majorEastAsia"/>
                <w:b w:val="0"/>
                <w:bCs w:val="0"/>
                <w:sz w:val="20"/>
                <w:szCs w:val="20"/>
                <w:highlight w:val="none"/>
              </w:rPr>
              <w:t>计</w:t>
            </w:r>
            <w:r>
              <w:rPr>
                <w:rFonts w:hint="eastAsia" w:asciiTheme="majorEastAsia" w:hAnsiTheme="majorEastAsia" w:eastAsiaTheme="majorEastAsia" w:cstheme="majorEastAsia"/>
                <w:b w:val="0"/>
                <w:bCs w:val="0"/>
                <w:sz w:val="20"/>
                <w:szCs w:val="20"/>
                <w:highlight w:val="none"/>
                <w:lang w:val="en-US" w:eastAsia="zh-CN"/>
              </w:rPr>
              <w:t>5</w:t>
            </w:r>
            <w:r>
              <w:rPr>
                <w:rFonts w:hint="eastAsia" w:asciiTheme="majorEastAsia" w:hAnsiTheme="majorEastAsia" w:eastAsiaTheme="majorEastAsia" w:cstheme="majorEastAsia"/>
                <w:b w:val="0"/>
                <w:bCs w:val="0"/>
                <w:sz w:val="20"/>
                <w:szCs w:val="20"/>
                <w:highlight w:val="none"/>
              </w:rPr>
              <w:t>分</w:t>
            </w:r>
            <w:r>
              <w:rPr>
                <w:rFonts w:hint="eastAsia" w:asciiTheme="majorEastAsia" w:hAnsiTheme="majorEastAsia" w:eastAsiaTheme="majorEastAsia" w:cstheme="majorEastAsia"/>
                <w:b w:val="0"/>
                <w:bCs w:val="0"/>
                <w:sz w:val="20"/>
                <w:szCs w:val="20"/>
                <w:highlight w:val="none"/>
                <w:lang w:eastAsia="zh-CN"/>
              </w:rPr>
              <w:t>；（</w:t>
            </w:r>
            <w:r>
              <w:rPr>
                <w:rFonts w:hint="eastAsia" w:asciiTheme="majorEastAsia" w:hAnsiTheme="majorEastAsia" w:eastAsiaTheme="majorEastAsia" w:cstheme="majorEastAsia"/>
                <w:b w:val="0"/>
                <w:bCs w:val="0"/>
                <w:sz w:val="20"/>
                <w:szCs w:val="20"/>
                <w:highlight w:val="none"/>
              </w:rPr>
              <w:t>提供</w:t>
            </w:r>
            <w:r>
              <w:rPr>
                <w:rFonts w:hint="eastAsia" w:asciiTheme="majorEastAsia" w:hAnsiTheme="majorEastAsia" w:eastAsiaTheme="majorEastAsia" w:cstheme="majorEastAsia"/>
                <w:b w:val="0"/>
                <w:bCs w:val="0"/>
                <w:i w:val="0"/>
                <w:iCs w:val="0"/>
                <w:color w:val="000000"/>
                <w:kern w:val="0"/>
                <w:sz w:val="20"/>
                <w:szCs w:val="20"/>
                <w:u w:val="none"/>
                <w:lang w:val="en-US" w:eastAsia="zh-CN" w:bidi="ar"/>
              </w:rPr>
              <w:t>第三方权威机构</w:t>
            </w:r>
            <w:r>
              <w:rPr>
                <w:rFonts w:hint="eastAsia" w:asciiTheme="majorEastAsia" w:hAnsiTheme="majorEastAsia" w:eastAsiaTheme="majorEastAsia" w:cstheme="majorEastAsia"/>
                <w:b w:val="0"/>
                <w:bCs w:val="0"/>
                <w:sz w:val="20"/>
                <w:szCs w:val="20"/>
                <w:highlight w:val="none"/>
              </w:rPr>
              <w:t>证明材料并加盖投标人公章，否则不计分</w:t>
            </w:r>
            <w:r>
              <w:rPr>
                <w:rFonts w:hint="eastAsia" w:asciiTheme="majorEastAsia" w:hAnsiTheme="majorEastAsia" w:eastAsiaTheme="majorEastAsia" w:cstheme="majorEastAsia"/>
                <w:b w:val="0"/>
                <w:bCs w:val="0"/>
                <w:sz w:val="20"/>
                <w:szCs w:val="20"/>
                <w:highlight w:val="none"/>
                <w:lang w:eastAsia="zh-CN"/>
              </w:rPr>
              <w:t>）</w:t>
            </w:r>
          </w:p>
        </w:tc>
      </w:tr>
      <w:tr w14:paraId="3DB86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670" w:type="dxa"/>
            <w:vMerge w:val="continue"/>
            <w:tcBorders>
              <w:right w:val="single" w:color="auto" w:sz="4" w:space="0"/>
            </w:tcBorders>
            <w:vAlign w:val="center"/>
          </w:tcPr>
          <w:p w14:paraId="093AFC97">
            <w:pPr>
              <w:adjustRightInd w:val="0"/>
              <w:snapToGrid w:val="0"/>
              <w:spacing w:before="161" w:beforeLines="50"/>
              <w:jc w:val="center"/>
              <w:rPr>
                <w:rFonts w:ascii="宋体" w:hAnsi="宋体" w:cs="宋体"/>
                <w:color w:val="000000" w:themeColor="text1"/>
                <w:sz w:val="20"/>
                <w:szCs w:val="20"/>
                <w14:textFill>
                  <w14:solidFill>
                    <w14:schemeClr w14:val="tx1"/>
                  </w14:solidFill>
                </w14:textFill>
              </w:rPr>
            </w:pPr>
          </w:p>
        </w:tc>
        <w:tc>
          <w:tcPr>
            <w:tcW w:w="1764" w:type="dxa"/>
            <w:vMerge w:val="continue"/>
            <w:tcBorders>
              <w:left w:val="single" w:color="auto" w:sz="4" w:space="0"/>
            </w:tcBorders>
            <w:vAlign w:val="center"/>
          </w:tcPr>
          <w:p w14:paraId="1E8794A9">
            <w:pPr>
              <w:adjustRightInd w:val="0"/>
              <w:snapToGrid w:val="0"/>
              <w:jc w:val="center"/>
              <w:rPr>
                <w:rFonts w:ascii="宋体" w:hAnsi="宋体" w:cs="宋体"/>
                <w:color w:val="000000" w:themeColor="text1"/>
                <w:sz w:val="20"/>
                <w:szCs w:val="20"/>
                <w14:textFill>
                  <w14:solidFill>
                    <w14:schemeClr w14:val="tx1"/>
                  </w14:solidFill>
                </w14:textFill>
              </w:rPr>
            </w:pPr>
          </w:p>
        </w:tc>
        <w:tc>
          <w:tcPr>
            <w:tcW w:w="1582" w:type="dxa"/>
            <w:vAlign w:val="center"/>
          </w:tcPr>
          <w:p w14:paraId="39C0C96D">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sz w:val="20"/>
                <w:szCs w:val="20"/>
                <w:lang w:eastAsia="zh-CN"/>
              </w:rPr>
              <w:t>设计</w:t>
            </w:r>
            <w:r>
              <w:rPr>
                <w:rFonts w:hint="eastAsia" w:ascii="宋体" w:hAnsi="宋体" w:cs="宋体"/>
                <w:sz w:val="20"/>
                <w:szCs w:val="20"/>
              </w:rPr>
              <w:t>方案（25）</w:t>
            </w:r>
          </w:p>
        </w:tc>
        <w:tc>
          <w:tcPr>
            <w:tcW w:w="5591" w:type="dxa"/>
            <w:vAlign w:val="center"/>
          </w:tcPr>
          <w:p w14:paraId="7C111983">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根据投标人针对本项目制定的多媒体报告厅音视频系统整体功能设计方案进行综合评审：内容包括但不限于产品系统图、布点图、声场分析图、效果图（至少3张）等评审委员会将根据方案的合理性、完整性和可行性进行评审。方案内容完整、每项思路清晰、针对性强、可行性高、各项方案能力证明材料依据客观可查、完全符合项目要求，计25分，缺漏项的每项扣5分，小项有缺陷之处的每处扣3分，扣完为止。未提供的不计分。</w:t>
            </w:r>
          </w:p>
          <w:p w14:paraId="5E3D4D4F">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注：缺陷是指：方案中存在下列情形之一:①不满足本项目 </w:t>
            </w:r>
          </w:p>
          <w:p w14:paraId="3D320ADD">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需求的；②缺少关键节点或表述不完整；③方案有误或前后 </w:t>
            </w:r>
          </w:p>
          <w:p w14:paraId="2CFD2E34">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矛盾、不一致；④内容与本项目无关、仅有标题或简单的文 </w:t>
            </w:r>
          </w:p>
          <w:p w14:paraId="730F400E">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字描述、存在项目名称或地点区域错误；</w:t>
            </w:r>
          </w:p>
        </w:tc>
      </w:tr>
      <w:tr w14:paraId="4413EA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70" w:type="dxa"/>
            <w:vMerge w:val="continue"/>
            <w:tcBorders>
              <w:right w:val="single" w:color="auto" w:sz="4" w:space="0"/>
            </w:tcBorders>
            <w:vAlign w:val="center"/>
          </w:tcPr>
          <w:p w14:paraId="31DD4E9E">
            <w:pPr>
              <w:adjustRightInd w:val="0"/>
              <w:snapToGrid w:val="0"/>
              <w:spacing w:before="161" w:beforeLines="50"/>
              <w:jc w:val="center"/>
              <w:rPr>
                <w:rFonts w:ascii="宋体" w:hAnsi="宋体" w:cs="宋体"/>
                <w:sz w:val="20"/>
                <w:szCs w:val="20"/>
              </w:rPr>
            </w:pPr>
          </w:p>
        </w:tc>
        <w:tc>
          <w:tcPr>
            <w:tcW w:w="1764" w:type="dxa"/>
            <w:vMerge w:val="continue"/>
            <w:tcBorders>
              <w:left w:val="single" w:color="auto" w:sz="4" w:space="0"/>
            </w:tcBorders>
            <w:vAlign w:val="center"/>
          </w:tcPr>
          <w:p w14:paraId="7638F1C0">
            <w:pPr>
              <w:adjustRightInd w:val="0"/>
              <w:snapToGrid w:val="0"/>
              <w:spacing w:before="161" w:beforeLines="50"/>
              <w:jc w:val="center"/>
              <w:rPr>
                <w:rFonts w:ascii="宋体" w:hAnsi="宋体" w:cs="宋体"/>
                <w:sz w:val="20"/>
                <w:szCs w:val="20"/>
              </w:rPr>
            </w:pPr>
          </w:p>
        </w:tc>
        <w:tc>
          <w:tcPr>
            <w:tcW w:w="1582" w:type="dxa"/>
            <w:vAlign w:val="center"/>
          </w:tcPr>
          <w:p w14:paraId="14DE2E8C">
            <w:pPr>
              <w:spacing w:line="320" w:lineRule="exact"/>
              <w:jc w:val="center"/>
              <w:rPr>
                <w:rFonts w:hint="eastAsia" w:ascii="宋体" w:hAnsi="宋体" w:cs="宋体"/>
                <w:sz w:val="20"/>
                <w:szCs w:val="20"/>
                <w:lang w:val="ru-RU"/>
              </w:rPr>
            </w:pPr>
            <w:r>
              <w:rPr>
                <w:rFonts w:hint="eastAsia" w:ascii="宋体" w:hAnsi="宋体" w:cs="宋体"/>
                <w:sz w:val="20"/>
                <w:szCs w:val="20"/>
                <w:lang w:val="ru-RU" w:eastAsia="zh-CN"/>
              </w:rPr>
              <w:t>实施</w:t>
            </w:r>
            <w:r>
              <w:rPr>
                <w:rFonts w:hint="eastAsia" w:ascii="宋体" w:hAnsi="宋体" w:cs="宋体"/>
                <w:sz w:val="20"/>
                <w:szCs w:val="20"/>
                <w:lang w:val="ru-RU"/>
              </w:rPr>
              <w:t xml:space="preserve">方案 </w:t>
            </w:r>
          </w:p>
          <w:p w14:paraId="7D62D00C">
            <w:pPr>
              <w:spacing w:line="320" w:lineRule="exact"/>
              <w:jc w:val="center"/>
              <w:rPr>
                <w:rFonts w:ascii="宋体" w:hAnsi="宋体" w:cs="宋体"/>
                <w:sz w:val="20"/>
                <w:szCs w:val="20"/>
                <w:lang w:val="ru-RU"/>
              </w:rPr>
            </w:pPr>
            <w:r>
              <w:rPr>
                <w:rFonts w:hint="eastAsia" w:ascii="宋体" w:hAnsi="宋体" w:cs="宋体"/>
                <w:sz w:val="20"/>
                <w:szCs w:val="20"/>
                <w:lang w:val="ru-RU"/>
              </w:rPr>
              <w:t>（</w:t>
            </w:r>
            <w:r>
              <w:rPr>
                <w:rFonts w:hint="eastAsia" w:ascii="宋体" w:hAnsi="宋体" w:cs="宋体"/>
                <w:sz w:val="20"/>
                <w:szCs w:val="20"/>
              </w:rPr>
              <w:t>15</w:t>
            </w:r>
            <w:r>
              <w:rPr>
                <w:rFonts w:hint="eastAsia" w:ascii="宋体" w:hAnsi="宋体" w:cs="宋体"/>
                <w:sz w:val="20"/>
                <w:szCs w:val="20"/>
                <w:lang w:val="ru-RU"/>
              </w:rPr>
              <w:t>）</w:t>
            </w:r>
          </w:p>
          <w:p w14:paraId="0CB94FD2">
            <w:pPr>
              <w:spacing w:after="120" w:line="320" w:lineRule="exact"/>
              <w:rPr>
                <w:rFonts w:ascii="宋体" w:hAnsi="宋体" w:cs="宋体"/>
                <w:sz w:val="20"/>
                <w:szCs w:val="20"/>
              </w:rPr>
            </w:pPr>
          </w:p>
        </w:tc>
        <w:tc>
          <w:tcPr>
            <w:tcW w:w="5591" w:type="dxa"/>
            <w:vAlign w:val="center"/>
          </w:tcPr>
          <w:p w14:paraId="5B2AFDCE">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根据投标人提供的实施方案，包括技术实施与系统对接方案、施工方案、调试方案、应急预案、运维服务等情况进行综合评价：评审委员会将根据方案的合理性、完整性和可行性进行评审。方案内容完整、每项思路清晰、针对性强、可行性高、各项方案能力证明材料依据客观可查、完全符合项目要求，计15 分，缺漏项的每项扣5分，小项有缺陷之处的每处扣3分，扣完为止。未提供的不计分。</w:t>
            </w:r>
          </w:p>
          <w:p w14:paraId="2F4BA135">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注：缺陷是指：方案中存在下列情形之一:①不满足本项目 </w:t>
            </w:r>
          </w:p>
          <w:p w14:paraId="1757F3E5">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需求的；②缺少关键节点或表述不完整；③方案有误或前后 </w:t>
            </w:r>
          </w:p>
          <w:p w14:paraId="28754BC2">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矛盾、不一致；④内容与本项目无关、仅有标题或简单的文 </w:t>
            </w:r>
          </w:p>
          <w:p w14:paraId="30A149D7">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 xml:space="preserve">字描述、存在项目名称或地点区域错误；⑤所提供的方案能 </w:t>
            </w:r>
          </w:p>
          <w:p w14:paraId="0D008411">
            <w:pPr>
              <w:rPr>
                <w:rFonts w:hint="eastAsia" w:asciiTheme="majorEastAsia" w:hAnsiTheme="majorEastAsia" w:eastAsiaTheme="majorEastAsia" w:cstheme="majorEastAsia"/>
                <w:color w:val="auto"/>
                <w:kern w:val="2"/>
                <w:sz w:val="20"/>
                <w:szCs w:val="20"/>
                <w:highlight w:val="none"/>
                <w:lang w:val="en-US" w:eastAsia="zh-CN"/>
              </w:rPr>
            </w:pPr>
            <w:r>
              <w:rPr>
                <w:rFonts w:hint="eastAsia" w:asciiTheme="majorEastAsia" w:hAnsiTheme="majorEastAsia" w:eastAsiaTheme="majorEastAsia" w:cstheme="majorEastAsia"/>
                <w:color w:val="auto"/>
                <w:kern w:val="2"/>
                <w:sz w:val="20"/>
                <w:szCs w:val="20"/>
                <w:highlight w:val="none"/>
                <w:lang w:val="en-US" w:eastAsia="zh-CN"/>
              </w:rPr>
              <w:t>力举证依据缺乏客观依据、参考价值不高的。</w:t>
            </w:r>
          </w:p>
        </w:tc>
      </w:tr>
      <w:tr w14:paraId="1977D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670" w:type="dxa"/>
            <w:tcBorders>
              <w:right w:val="single" w:color="auto" w:sz="4" w:space="0"/>
            </w:tcBorders>
            <w:vAlign w:val="center"/>
          </w:tcPr>
          <w:p w14:paraId="3C4CAD2A">
            <w:pPr>
              <w:adjustRightInd w:val="0"/>
              <w:snapToGrid w:val="0"/>
              <w:spacing w:before="161" w:beforeLines="50"/>
              <w:jc w:val="center"/>
              <w:rPr>
                <w:rFonts w:ascii="宋体" w:hAnsi="宋体" w:cs="宋体"/>
                <w:sz w:val="20"/>
                <w:szCs w:val="20"/>
              </w:rPr>
            </w:pPr>
            <w:r>
              <w:rPr>
                <w:rFonts w:hint="eastAsia" w:ascii="宋体" w:hAnsi="宋体" w:cs="宋体"/>
                <w:sz w:val="20"/>
                <w:szCs w:val="20"/>
              </w:rPr>
              <w:t>2</w:t>
            </w:r>
          </w:p>
        </w:tc>
        <w:tc>
          <w:tcPr>
            <w:tcW w:w="1764" w:type="dxa"/>
            <w:tcBorders>
              <w:left w:val="single" w:color="auto" w:sz="4" w:space="0"/>
            </w:tcBorders>
            <w:vAlign w:val="center"/>
          </w:tcPr>
          <w:p w14:paraId="23753DCA">
            <w:pPr>
              <w:adjustRightInd w:val="0"/>
              <w:snapToGrid w:val="0"/>
              <w:jc w:val="center"/>
              <w:rPr>
                <w:rFonts w:ascii="宋体" w:hAnsi="宋体" w:cs="宋体"/>
                <w:sz w:val="20"/>
                <w:szCs w:val="20"/>
              </w:rPr>
            </w:pPr>
            <w:r>
              <w:rPr>
                <w:rFonts w:hint="eastAsia" w:ascii="宋体" w:hAnsi="宋体" w:cs="宋体"/>
                <w:sz w:val="20"/>
                <w:szCs w:val="20"/>
              </w:rPr>
              <w:t>优先采购加分（F</w:t>
            </w:r>
            <w:r>
              <w:rPr>
                <w:rFonts w:hint="eastAsia" w:ascii="宋体" w:hAnsi="宋体" w:cs="宋体"/>
                <w:sz w:val="20"/>
                <w:szCs w:val="20"/>
                <w:vertAlign w:val="subscript"/>
              </w:rPr>
              <w:t>优先采购加分</w:t>
            </w:r>
            <w:r>
              <w:rPr>
                <w:rFonts w:hint="eastAsia" w:ascii="宋体" w:hAnsi="宋体" w:cs="宋体"/>
                <w:sz w:val="20"/>
                <w:szCs w:val="20"/>
              </w:rPr>
              <w:t>）</w:t>
            </w:r>
          </w:p>
        </w:tc>
        <w:tc>
          <w:tcPr>
            <w:tcW w:w="7173" w:type="dxa"/>
            <w:gridSpan w:val="2"/>
            <w:tcBorders>
              <w:bottom w:val="single" w:color="auto" w:sz="4" w:space="0"/>
            </w:tcBorders>
            <w:vAlign w:val="center"/>
          </w:tcPr>
          <w:p w14:paraId="3804BC56">
            <w:pPr>
              <w:adjustRightInd w:val="0"/>
              <w:snapToGrid w:val="0"/>
              <w:spacing w:before="161" w:beforeLines="50"/>
              <w:rPr>
                <w:rFonts w:ascii="宋体" w:hAnsi="宋体" w:cs="宋体"/>
                <w:sz w:val="20"/>
                <w:szCs w:val="20"/>
              </w:rPr>
            </w:pPr>
            <w:r>
              <w:rPr>
                <w:rFonts w:hint="eastAsia" w:ascii="宋体" w:hAnsi="宋体" w:cs="宋体"/>
                <w:position w:val="-16"/>
                <w:sz w:val="20"/>
                <w:szCs w:val="20"/>
              </w:rPr>
              <w:object>
                <v:shape id="_x0000_i1026" o:spt="75" type="#_x0000_t75" style="height:20.75pt;width:101.35pt;" o:ole="t" filled="f" coordsize="21600,21600">
                  <v:path/>
                  <v:fill on="f" focussize="0,0"/>
                  <v:stroke/>
                  <v:imagedata r:id="rId17" o:title=""/>
                  <o:lock v:ext="edit" aspectratio="t"/>
                  <w10:wrap type="none"/>
                  <w10:anchorlock/>
                </v:shape>
                <o:OLEObject Type="Embed" ProgID="Equation.3" ShapeID="_x0000_i1026" DrawAspect="Content" ObjectID="_1468075726" r:id="rId18">
                  <o:LockedField>false</o:LockedField>
                </o:OLEObject>
              </w:object>
            </w:r>
            <w:r>
              <w:rPr>
                <w:rFonts w:hint="eastAsia" w:ascii="宋体" w:hAnsi="宋体" w:cs="宋体"/>
                <w:sz w:val="20"/>
                <w:szCs w:val="20"/>
              </w:rPr>
              <w:t>×100×本项目加分比例</w:t>
            </w:r>
          </w:p>
        </w:tc>
      </w:tr>
      <w:tr w14:paraId="7B0FE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670" w:type="dxa"/>
            <w:tcBorders>
              <w:right w:val="single" w:color="auto" w:sz="4" w:space="0"/>
            </w:tcBorders>
            <w:vAlign w:val="center"/>
          </w:tcPr>
          <w:p w14:paraId="794C0FC1">
            <w:pPr>
              <w:adjustRightInd w:val="0"/>
              <w:snapToGrid w:val="0"/>
              <w:jc w:val="center"/>
              <w:rPr>
                <w:rFonts w:ascii="宋体" w:hAnsi="宋体" w:cs="宋体"/>
                <w:sz w:val="20"/>
                <w:szCs w:val="20"/>
              </w:rPr>
            </w:pPr>
            <w:r>
              <w:rPr>
                <w:rFonts w:hint="eastAsia" w:ascii="宋体" w:hAnsi="宋体" w:cs="宋体"/>
                <w:sz w:val="20"/>
                <w:szCs w:val="20"/>
              </w:rPr>
              <w:t>∑</w:t>
            </w:r>
          </w:p>
        </w:tc>
        <w:tc>
          <w:tcPr>
            <w:tcW w:w="8937" w:type="dxa"/>
            <w:gridSpan w:val="3"/>
            <w:tcBorders>
              <w:left w:val="single" w:color="auto" w:sz="4" w:space="0"/>
            </w:tcBorders>
            <w:vAlign w:val="center"/>
          </w:tcPr>
          <w:p w14:paraId="27842E33">
            <w:pPr>
              <w:adjustRightInd w:val="0"/>
              <w:snapToGrid w:val="0"/>
              <w:rPr>
                <w:rFonts w:ascii="宋体" w:hAnsi="宋体" w:cs="宋体"/>
                <w:sz w:val="20"/>
                <w:szCs w:val="20"/>
              </w:rPr>
            </w:pPr>
            <w:r>
              <w:rPr>
                <w:rFonts w:hint="eastAsia" w:ascii="宋体" w:hAnsi="宋体" w:cs="宋体"/>
                <w:sz w:val="20"/>
                <w:szCs w:val="20"/>
              </w:rPr>
              <w:t>F</w:t>
            </w:r>
            <w:r>
              <w:rPr>
                <w:rFonts w:hint="eastAsia" w:ascii="宋体" w:hAnsi="宋体" w:cs="宋体"/>
                <w:sz w:val="20"/>
                <w:szCs w:val="20"/>
                <w:vertAlign w:val="subscript"/>
              </w:rPr>
              <w:t>2</w:t>
            </w:r>
            <w:r>
              <w:rPr>
                <w:rFonts w:hint="eastAsia" w:ascii="宋体" w:hAnsi="宋体" w:cs="宋体"/>
                <w:sz w:val="20"/>
                <w:szCs w:val="20"/>
              </w:rPr>
              <w:t>=F+ F</w:t>
            </w:r>
            <w:r>
              <w:rPr>
                <w:rFonts w:hint="eastAsia" w:ascii="宋体" w:hAnsi="宋体" w:cs="宋体"/>
                <w:sz w:val="20"/>
                <w:szCs w:val="20"/>
                <w:vertAlign w:val="subscript"/>
              </w:rPr>
              <w:t>优先采购加分</w:t>
            </w:r>
          </w:p>
        </w:tc>
      </w:tr>
    </w:tbl>
    <w:p w14:paraId="118A83B1">
      <w:pPr>
        <w:snapToGrid w:val="0"/>
        <w:jc w:val="left"/>
        <w:rPr>
          <w:b/>
          <w:bCs/>
          <w:sz w:val="18"/>
          <w:szCs w:val="18"/>
        </w:rPr>
      </w:pPr>
    </w:p>
    <w:p w14:paraId="584613FB">
      <w:pPr>
        <w:adjustRightInd w:val="0"/>
        <w:snapToGrid w:val="0"/>
        <w:spacing w:before="161" w:beforeLines="50" w:line="360" w:lineRule="auto"/>
        <w:jc w:val="center"/>
        <w:rPr>
          <w:b/>
          <w:bCs/>
        </w:rPr>
      </w:pPr>
    </w:p>
    <w:p w14:paraId="73F97F9B">
      <w:pPr>
        <w:rPr>
          <w:rFonts w:ascii="宋体" w:hAnsi="宋体" w:cs="宋体"/>
          <w:b/>
          <w:bCs/>
          <w:sz w:val="20"/>
          <w:szCs w:val="20"/>
        </w:rPr>
      </w:pPr>
      <w:r>
        <w:rPr>
          <w:rFonts w:hint="eastAsia" w:ascii="宋体" w:hAnsi="宋体" w:cs="宋体"/>
          <w:b/>
          <w:bCs/>
          <w:sz w:val="20"/>
          <w:szCs w:val="20"/>
        </w:rPr>
        <w:br w:type="page"/>
      </w:r>
    </w:p>
    <w:p w14:paraId="1A213E5A">
      <w:pPr>
        <w:adjustRightInd w:val="0"/>
        <w:snapToGrid w:val="0"/>
        <w:spacing w:before="161" w:beforeLines="50" w:line="360" w:lineRule="auto"/>
        <w:jc w:val="center"/>
        <w:rPr>
          <w:rFonts w:ascii="宋体" w:hAnsi="宋体" w:cs="宋体"/>
          <w:b/>
          <w:bCs/>
          <w:sz w:val="20"/>
          <w:szCs w:val="20"/>
        </w:rPr>
      </w:pPr>
      <w:r>
        <w:rPr>
          <w:rFonts w:hint="eastAsia" w:ascii="宋体" w:hAnsi="宋体" w:cs="宋体"/>
          <w:b/>
          <w:bCs/>
          <w:sz w:val="20"/>
          <w:szCs w:val="20"/>
        </w:rPr>
        <w:t>附表1.3商务部分评审标准表</w:t>
      </w:r>
    </w:p>
    <w:tbl>
      <w:tblPr>
        <w:tblStyle w:val="43"/>
        <w:tblW w:w="944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4"/>
        <w:gridCol w:w="2160"/>
        <w:gridCol w:w="1545"/>
        <w:gridCol w:w="5027"/>
      </w:tblGrid>
      <w:tr w14:paraId="0CB50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14" w:type="dxa"/>
            <w:tcBorders>
              <w:right w:val="single" w:color="auto" w:sz="4" w:space="0"/>
            </w:tcBorders>
            <w:vAlign w:val="center"/>
          </w:tcPr>
          <w:p w14:paraId="313A5D3B">
            <w:pPr>
              <w:adjustRightInd w:val="0"/>
              <w:snapToGrid w:val="0"/>
              <w:jc w:val="center"/>
              <w:rPr>
                <w:rFonts w:ascii="宋体" w:hAnsi="宋体" w:cs="宋体"/>
                <w:b/>
                <w:sz w:val="20"/>
                <w:szCs w:val="20"/>
              </w:rPr>
            </w:pPr>
            <w:r>
              <w:rPr>
                <w:rFonts w:hint="eastAsia" w:ascii="宋体" w:hAnsi="宋体" w:cs="宋体"/>
                <w:b/>
                <w:sz w:val="20"/>
                <w:szCs w:val="20"/>
              </w:rPr>
              <w:t>序号</w:t>
            </w:r>
          </w:p>
        </w:tc>
        <w:tc>
          <w:tcPr>
            <w:tcW w:w="2160" w:type="dxa"/>
            <w:tcBorders>
              <w:left w:val="single" w:color="auto" w:sz="4" w:space="0"/>
              <w:right w:val="single" w:color="auto" w:sz="4" w:space="0"/>
            </w:tcBorders>
            <w:vAlign w:val="center"/>
          </w:tcPr>
          <w:p w14:paraId="45918D0D">
            <w:pPr>
              <w:adjustRightInd w:val="0"/>
              <w:snapToGrid w:val="0"/>
              <w:jc w:val="center"/>
              <w:rPr>
                <w:rFonts w:ascii="宋体" w:hAnsi="宋体" w:cs="宋体"/>
                <w:b/>
                <w:sz w:val="20"/>
                <w:szCs w:val="20"/>
              </w:rPr>
            </w:pPr>
            <w:r>
              <w:rPr>
                <w:rFonts w:hint="eastAsia" w:ascii="宋体" w:hAnsi="宋体" w:cs="宋体"/>
                <w:b/>
                <w:sz w:val="20"/>
                <w:szCs w:val="20"/>
              </w:rPr>
              <w:t>评标因素（权重分）</w:t>
            </w:r>
          </w:p>
        </w:tc>
        <w:tc>
          <w:tcPr>
            <w:tcW w:w="6572" w:type="dxa"/>
            <w:gridSpan w:val="2"/>
            <w:tcBorders>
              <w:left w:val="single" w:color="auto" w:sz="4" w:space="0"/>
            </w:tcBorders>
            <w:vAlign w:val="center"/>
          </w:tcPr>
          <w:p w14:paraId="28F01964">
            <w:pPr>
              <w:adjustRightInd w:val="0"/>
              <w:snapToGrid w:val="0"/>
              <w:jc w:val="center"/>
              <w:rPr>
                <w:rFonts w:ascii="宋体" w:hAnsi="宋体" w:cs="宋体"/>
                <w:b/>
                <w:sz w:val="20"/>
                <w:szCs w:val="20"/>
              </w:rPr>
            </w:pPr>
            <w:r>
              <w:rPr>
                <w:rFonts w:hint="eastAsia" w:ascii="宋体" w:hAnsi="宋体" w:cs="宋体"/>
                <w:b/>
                <w:sz w:val="20"/>
                <w:szCs w:val="20"/>
              </w:rPr>
              <w:t>评标标准</w:t>
            </w:r>
          </w:p>
        </w:tc>
      </w:tr>
      <w:tr w14:paraId="1F579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jc w:val="center"/>
        </w:trPr>
        <w:tc>
          <w:tcPr>
            <w:tcW w:w="714" w:type="dxa"/>
            <w:vMerge w:val="restart"/>
            <w:tcBorders>
              <w:right w:val="single" w:color="auto" w:sz="4" w:space="0"/>
            </w:tcBorders>
            <w:vAlign w:val="center"/>
          </w:tcPr>
          <w:p w14:paraId="77DC162C">
            <w:pPr>
              <w:adjustRightInd w:val="0"/>
              <w:snapToGrid w:val="0"/>
              <w:spacing w:before="161" w:beforeLines="50"/>
              <w:jc w:val="center"/>
              <w:rPr>
                <w:rFonts w:ascii="宋体" w:hAnsi="宋体" w:cs="宋体"/>
                <w:sz w:val="20"/>
                <w:szCs w:val="20"/>
              </w:rPr>
            </w:pPr>
            <w:r>
              <w:rPr>
                <w:rFonts w:hint="eastAsia" w:ascii="宋体" w:hAnsi="宋体" w:cs="宋体"/>
                <w:sz w:val="20"/>
                <w:szCs w:val="20"/>
              </w:rPr>
              <w:t>1</w:t>
            </w:r>
          </w:p>
        </w:tc>
        <w:tc>
          <w:tcPr>
            <w:tcW w:w="2160" w:type="dxa"/>
            <w:vMerge w:val="restart"/>
            <w:tcBorders>
              <w:left w:val="single" w:color="auto" w:sz="4" w:space="0"/>
            </w:tcBorders>
            <w:vAlign w:val="center"/>
          </w:tcPr>
          <w:p w14:paraId="4E4982B3">
            <w:pPr>
              <w:adjustRightInd w:val="0"/>
              <w:snapToGrid w:val="0"/>
              <w:jc w:val="center"/>
              <w:rPr>
                <w:rFonts w:ascii="宋体" w:hAnsi="宋体" w:cs="宋体"/>
                <w:sz w:val="20"/>
                <w:szCs w:val="20"/>
              </w:rPr>
            </w:pPr>
            <w:r>
              <w:rPr>
                <w:rFonts w:hint="eastAsia" w:ascii="宋体" w:hAnsi="宋体" w:cs="宋体"/>
                <w:sz w:val="20"/>
                <w:szCs w:val="20"/>
              </w:rPr>
              <w:t>商务评价项</w:t>
            </w:r>
          </w:p>
          <w:p w14:paraId="359D7299">
            <w:pPr>
              <w:adjustRightInd w:val="0"/>
              <w:snapToGrid w:val="0"/>
              <w:jc w:val="center"/>
              <w:rPr>
                <w:rFonts w:ascii="宋体" w:hAnsi="宋体" w:cs="宋体"/>
                <w:sz w:val="20"/>
                <w:szCs w:val="20"/>
              </w:rPr>
            </w:pPr>
            <w:r>
              <w:rPr>
                <w:rFonts w:hint="eastAsia" w:ascii="宋体" w:hAnsi="宋体" w:cs="宋体"/>
                <w:sz w:val="20"/>
                <w:szCs w:val="20"/>
              </w:rPr>
              <w:t>（F=100分）</w:t>
            </w:r>
          </w:p>
        </w:tc>
        <w:tc>
          <w:tcPr>
            <w:tcW w:w="1545" w:type="dxa"/>
            <w:vAlign w:val="center"/>
          </w:tcPr>
          <w:p w14:paraId="1A3ED681">
            <w:pPr>
              <w:spacing w:line="320" w:lineRule="exact"/>
              <w:jc w:val="center"/>
              <w:rPr>
                <w:rFonts w:ascii="宋体" w:hAnsi="宋体" w:cs="宋体"/>
                <w:sz w:val="20"/>
                <w:szCs w:val="20"/>
              </w:rPr>
            </w:pPr>
            <w:r>
              <w:rPr>
                <w:rFonts w:hint="eastAsia" w:ascii="宋体" w:hAnsi="宋体" w:cs="宋体"/>
                <w:sz w:val="20"/>
                <w:szCs w:val="20"/>
              </w:rPr>
              <w:t>类似业绩（20）</w:t>
            </w:r>
          </w:p>
        </w:tc>
        <w:tc>
          <w:tcPr>
            <w:tcW w:w="5027" w:type="dxa"/>
            <w:vAlign w:val="center"/>
          </w:tcPr>
          <w:p w14:paraId="01E2B9E2">
            <w:pPr>
              <w:rPr>
                <w:rFonts w:ascii="宋体" w:hAnsi="宋体" w:cs="宋体"/>
                <w:color w:val="auto"/>
                <w:sz w:val="20"/>
                <w:szCs w:val="20"/>
              </w:rPr>
            </w:pPr>
            <w:r>
              <w:rPr>
                <w:rFonts w:hint="eastAsia" w:ascii="宋体" w:hAnsi="宋体" w:cs="宋体"/>
                <w:color w:val="auto"/>
                <w:sz w:val="20"/>
                <w:szCs w:val="20"/>
              </w:rPr>
              <w:t>根据投标单位提供的202</w:t>
            </w:r>
            <w:r>
              <w:rPr>
                <w:rFonts w:hint="eastAsia" w:ascii="宋体" w:hAnsi="宋体" w:cs="宋体"/>
                <w:color w:val="auto"/>
                <w:sz w:val="20"/>
                <w:szCs w:val="20"/>
                <w:lang w:val="en-US" w:eastAsia="zh-CN"/>
              </w:rPr>
              <w:t>3</w:t>
            </w:r>
            <w:r>
              <w:rPr>
                <w:rFonts w:hint="eastAsia" w:ascii="宋体" w:hAnsi="宋体" w:cs="宋体"/>
                <w:color w:val="auto"/>
                <w:sz w:val="20"/>
                <w:szCs w:val="20"/>
              </w:rPr>
              <w:t>年</w:t>
            </w:r>
            <w:r>
              <w:rPr>
                <w:rFonts w:hint="eastAsia" w:ascii="宋体" w:hAnsi="宋体" w:cs="宋体"/>
                <w:color w:val="auto"/>
                <w:sz w:val="20"/>
                <w:szCs w:val="20"/>
                <w:lang w:val="en-US" w:eastAsia="zh-CN"/>
              </w:rPr>
              <w:t>8</w:t>
            </w:r>
            <w:r>
              <w:rPr>
                <w:rFonts w:hint="eastAsia" w:ascii="宋体" w:hAnsi="宋体" w:cs="宋体"/>
                <w:color w:val="auto"/>
                <w:sz w:val="20"/>
                <w:szCs w:val="20"/>
              </w:rPr>
              <w:t>月1日至今本单位所投教育教学智能设备采购项目类似项目业绩情况计分，每提供一例有效业绩计10分，满分为</w:t>
            </w:r>
            <w:r>
              <w:rPr>
                <w:rFonts w:hint="eastAsia" w:ascii="宋体" w:hAnsi="宋体" w:cs="宋体"/>
                <w:color w:val="auto"/>
                <w:sz w:val="20"/>
                <w:szCs w:val="20"/>
                <w:lang w:val="en-US" w:eastAsia="zh-CN"/>
              </w:rPr>
              <w:t>2</w:t>
            </w:r>
            <w:r>
              <w:rPr>
                <w:rFonts w:hint="eastAsia" w:ascii="宋体" w:hAnsi="宋体" w:cs="宋体"/>
                <w:color w:val="auto"/>
                <w:sz w:val="20"/>
                <w:szCs w:val="20"/>
              </w:rPr>
              <w:t>0分。（以合同签订时间为准，</w:t>
            </w:r>
            <w:r>
              <w:rPr>
                <w:rFonts w:hint="eastAsia" w:ascii="宋体" w:hAnsi="宋体" w:cs="宋体"/>
                <w:color w:val="auto"/>
                <w:sz w:val="20"/>
                <w:szCs w:val="20"/>
                <w:lang w:val="en-US" w:eastAsia="zh-CN"/>
              </w:rPr>
              <w:t>需</w:t>
            </w:r>
            <w:r>
              <w:rPr>
                <w:rFonts w:hint="eastAsia" w:ascii="宋体" w:hAnsi="宋体" w:cs="宋体"/>
                <w:color w:val="auto"/>
                <w:sz w:val="20"/>
                <w:szCs w:val="20"/>
              </w:rPr>
              <w:t>提供类似业绩合同扫描件</w:t>
            </w:r>
            <w:r>
              <w:rPr>
                <w:rFonts w:hint="eastAsia" w:ascii="宋体" w:hAnsi="宋体" w:cs="宋体"/>
                <w:color w:val="auto"/>
                <w:sz w:val="20"/>
                <w:szCs w:val="20"/>
                <w:lang w:eastAsia="zh-CN"/>
              </w:rPr>
              <w:t>、</w:t>
            </w:r>
            <w:r>
              <w:rPr>
                <w:rFonts w:hint="eastAsia" w:ascii="宋体" w:hAnsi="宋体" w:cs="宋体"/>
                <w:color w:val="auto"/>
                <w:sz w:val="20"/>
                <w:szCs w:val="20"/>
                <w:lang w:val="en-US" w:eastAsia="zh-CN"/>
              </w:rPr>
              <w:t>结算证明（比如：发票、验收报告）等类似项目实施闭环的证明材料</w:t>
            </w:r>
            <w:r>
              <w:rPr>
                <w:rFonts w:hint="eastAsia" w:ascii="宋体" w:hAnsi="宋体" w:cs="宋体"/>
                <w:color w:val="auto"/>
                <w:sz w:val="20"/>
                <w:szCs w:val="20"/>
                <w:lang w:eastAsia="zh-CN"/>
              </w:rPr>
              <w:t>，</w:t>
            </w:r>
            <w:r>
              <w:rPr>
                <w:rFonts w:hint="eastAsia" w:ascii="宋体" w:hAnsi="宋体" w:cs="宋体"/>
                <w:color w:val="auto"/>
                <w:sz w:val="20"/>
                <w:szCs w:val="20"/>
                <w:lang w:val="en-US" w:eastAsia="zh-CN"/>
              </w:rPr>
              <w:t>每份合同内容至少包含本项目的一项核心产品</w:t>
            </w:r>
            <w:r>
              <w:rPr>
                <w:rFonts w:hint="eastAsia" w:ascii="宋体" w:hAnsi="宋体" w:cs="宋体"/>
                <w:color w:val="auto"/>
                <w:sz w:val="20"/>
                <w:szCs w:val="20"/>
              </w:rPr>
              <w:t>，否则不计分）</w:t>
            </w:r>
          </w:p>
        </w:tc>
      </w:tr>
      <w:tr w14:paraId="3E4254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jc w:val="center"/>
        </w:trPr>
        <w:tc>
          <w:tcPr>
            <w:tcW w:w="714" w:type="dxa"/>
            <w:vMerge w:val="continue"/>
            <w:tcBorders>
              <w:right w:val="single" w:color="auto" w:sz="4" w:space="0"/>
            </w:tcBorders>
            <w:vAlign w:val="center"/>
          </w:tcPr>
          <w:p w14:paraId="2E870A00">
            <w:pPr>
              <w:adjustRightInd w:val="0"/>
              <w:snapToGrid w:val="0"/>
              <w:spacing w:before="161" w:beforeLines="50"/>
              <w:jc w:val="center"/>
              <w:rPr>
                <w:rFonts w:hint="eastAsia" w:ascii="宋体" w:hAnsi="宋体" w:cs="宋体"/>
                <w:sz w:val="20"/>
                <w:szCs w:val="20"/>
              </w:rPr>
            </w:pPr>
          </w:p>
        </w:tc>
        <w:tc>
          <w:tcPr>
            <w:tcW w:w="2160" w:type="dxa"/>
            <w:vMerge w:val="continue"/>
            <w:tcBorders>
              <w:left w:val="single" w:color="auto" w:sz="4" w:space="0"/>
            </w:tcBorders>
            <w:vAlign w:val="center"/>
          </w:tcPr>
          <w:p w14:paraId="5AA2F964">
            <w:pPr>
              <w:adjustRightInd w:val="0"/>
              <w:snapToGrid w:val="0"/>
              <w:jc w:val="center"/>
              <w:rPr>
                <w:rFonts w:hint="eastAsia" w:ascii="宋体" w:hAnsi="宋体" w:cs="宋体"/>
                <w:sz w:val="20"/>
                <w:szCs w:val="20"/>
              </w:rPr>
            </w:pPr>
          </w:p>
        </w:tc>
        <w:tc>
          <w:tcPr>
            <w:tcW w:w="1545" w:type="dxa"/>
            <w:vAlign w:val="center"/>
          </w:tcPr>
          <w:p w14:paraId="734285B4">
            <w:pPr>
              <w:jc w:val="center"/>
              <w:rPr>
                <w:rFonts w:hint="eastAsia" w:ascii="宋体" w:hAnsi="宋体" w:eastAsia="宋体" w:cs="宋体"/>
                <w:sz w:val="20"/>
                <w:szCs w:val="20"/>
              </w:rPr>
            </w:pPr>
            <w:r>
              <w:rPr>
                <w:rFonts w:hint="eastAsia" w:ascii="宋体" w:hAnsi="宋体" w:eastAsia="宋体" w:cs="宋体"/>
                <w:sz w:val="20"/>
                <w:szCs w:val="20"/>
                <w:lang w:val="en-US" w:eastAsia="zh-CN"/>
              </w:rPr>
              <w:t>技术服务能力</w:t>
            </w:r>
            <w:r>
              <w:rPr>
                <w:rFonts w:hint="eastAsia" w:ascii="宋体" w:hAnsi="宋体" w:eastAsia="宋体" w:cs="宋体"/>
                <w:sz w:val="20"/>
                <w:szCs w:val="20"/>
              </w:rPr>
              <w:t>（</w:t>
            </w:r>
            <w:r>
              <w:rPr>
                <w:rFonts w:hint="eastAsia" w:ascii="宋体" w:hAnsi="宋体" w:eastAsia="宋体" w:cs="宋体"/>
                <w:sz w:val="20"/>
                <w:szCs w:val="20"/>
                <w:lang w:val="en-US" w:eastAsia="zh-CN"/>
              </w:rPr>
              <w:t>50</w:t>
            </w:r>
            <w:r>
              <w:rPr>
                <w:rFonts w:hint="eastAsia" w:ascii="宋体" w:hAnsi="宋体" w:eastAsia="宋体" w:cs="宋体"/>
                <w:sz w:val="20"/>
                <w:szCs w:val="20"/>
              </w:rPr>
              <w:t>）</w:t>
            </w:r>
          </w:p>
        </w:tc>
        <w:tc>
          <w:tcPr>
            <w:tcW w:w="5027" w:type="dxa"/>
            <w:vAlign w:val="center"/>
          </w:tcPr>
          <w:p w14:paraId="2461745D">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1、拟投入本项目的项目负责人具备项目经理专业认证证书的计8分。（提供证书复印件、查询截图和近三个月任意一个月的社保证明）</w:t>
            </w:r>
          </w:p>
          <w:p w14:paraId="5C34DD51">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拟投入本项目的技术负责人员具备计算机相关专业高级工程师认证（计算机网络、信息系统集成、网络布线等相关专业均可）的计6分，中级的计3分，没有的不计分。（提供证书复印件、查询截图和近三个月任意一个月的社保证明）</w:t>
            </w:r>
          </w:p>
          <w:p w14:paraId="3E1F7CD8">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3、拟投入本项目的项目团队成员：具有具备国家人力资源和社会保障部认可颁发的低压电工相关的职业资格证证书</w:t>
            </w:r>
            <w:r>
              <w:rPr>
                <w:rFonts w:hint="eastAsia" w:ascii="宋体" w:hAnsi="宋体" w:cs="宋体"/>
                <w:color w:val="auto"/>
                <w:sz w:val="20"/>
                <w:szCs w:val="20"/>
                <w:lang w:val="en-US" w:eastAsia="zh-CN"/>
              </w:rPr>
              <w:t>或</w:t>
            </w:r>
            <w:r>
              <w:rPr>
                <w:rFonts w:hint="eastAsia" w:ascii="宋体" w:hAnsi="宋体" w:eastAsia="宋体" w:cs="宋体"/>
                <w:color w:val="auto"/>
                <w:sz w:val="20"/>
                <w:szCs w:val="20"/>
                <w:lang w:val="en-US" w:eastAsia="zh-CN"/>
              </w:rPr>
              <w:t>通信专业相关的职业资格认证证书</w:t>
            </w:r>
            <w:r>
              <w:rPr>
                <w:rFonts w:hint="eastAsia" w:ascii="宋体" w:hAnsi="宋体" w:cs="宋体"/>
                <w:color w:val="auto"/>
                <w:sz w:val="20"/>
                <w:szCs w:val="20"/>
                <w:lang w:val="en-US" w:eastAsia="zh-CN"/>
              </w:rPr>
              <w:t>或</w:t>
            </w:r>
            <w:r>
              <w:rPr>
                <w:rFonts w:hint="eastAsia" w:ascii="宋体" w:hAnsi="宋体" w:eastAsia="宋体" w:cs="宋体"/>
                <w:color w:val="auto"/>
                <w:sz w:val="20"/>
                <w:szCs w:val="20"/>
                <w:lang w:val="en-US" w:eastAsia="zh-CN"/>
              </w:rPr>
              <w:t>计算机相关专业职业资格证认证。每提供一个证书计4分，最高计20分；（提供证书复印件、查询截图和近三个月任意一个月的社保证明）</w:t>
            </w:r>
          </w:p>
          <w:p w14:paraId="271DA425">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拟投入本项目的原厂调试人员具备国家人力资源和社会保障部认可颁发的高级音响调音员职业资格证书的，每提供一个计8分，中级的计4分，最高计16分，没有的不计分。（提供证书复印件、查询截图和所在单位近三个月任意一个月的社保证明）</w:t>
            </w:r>
          </w:p>
          <w:p w14:paraId="402DE5A0">
            <w:pP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注：以上人员一人多证的不重复计算。</w:t>
            </w:r>
          </w:p>
        </w:tc>
      </w:tr>
      <w:tr w14:paraId="656B95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14" w:type="dxa"/>
            <w:vMerge w:val="continue"/>
            <w:tcBorders>
              <w:right w:val="single" w:color="auto" w:sz="4" w:space="0"/>
            </w:tcBorders>
            <w:vAlign w:val="center"/>
          </w:tcPr>
          <w:p w14:paraId="07FFD452">
            <w:pPr>
              <w:adjustRightInd w:val="0"/>
              <w:snapToGrid w:val="0"/>
              <w:spacing w:before="161" w:beforeLines="50"/>
              <w:jc w:val="center"/>
              <w:rPr>
                <w:rFonts w:ascii="宋体" w:hAnsi="宋体" w:cs="宋体"/>
                <w:sz w:val="20"/>
                <w:szCs w:val="20"/>
              </w:rPr>
            </w:pPr>
          </w:p>
        </w:tc>
        <w:tc>
          <w:tcPr>
            <w:tcW w:w="2160" w:type="dxa"/>
            <w:vMerge w:val="continue"/>
            <w:tcBorders>
              <w:left w:val="single" w:color="auto" w:sz="4" w:space="0"/>
            </w:tcBorders>
            <w:vAlign w:val="center"/>
          </w:tcPr>
          <w:p w14:paraId="13D9E88E">
            <w:pPr>
              <w:adjustRightInd w:val="0"/>
              <w:snapToGrid w:val="0"/>
              <w:spacing w:before="161" w:beforeLines="50"/>
              <w:jc w:val="center"/>
              <w:rPr>
                <w:rFonts w:ascii="宋体" w:hAnsi="宋体" w:cs="宋体"/>
                <w:sz w:val="20"/>
                <w:szCs w:val="20"/>
              </w:rPr>
            </w:pPr>
          </w:p>
        </w:tc>
        <w:tc>
          <w:tcPr>
            <w:tcW w:w="1545" w:type="dxa"/>
            <w:vAlign w:val="center"/>
          </w:tcPr>
          <w:p w14:paraId="79FC14B4">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培训方案（15）</w:t>
            </w:r>
          </w:p>
        </w:tc>
        <w:tc>
          <w:tcPr>
            <w:tcW w:w="5027" w:type="dxa"/>
            <w:vAlign w:val="center"/>
          </w:tcPr>
          <w:p w14:paraId="5F34112A">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投标人提供针对本项目的培训方案内容（包括但不限于：①培训计划安排；②培训内容；③培训方式），评标委员会根据方案的内容按以下评分标准进行计分：方案无缺漏项、培训计划安排科学且具有持续性和机动性、培训方式具有灵活行和创新性、培训内容及人员安排详细合理的、培训具体措施有针对性、可行性高的计15分；方案有缺漏项的，每缺一项扣5分；扣完为止。有欠完善或欠科学合理或欠可行的，每处扣2分。未提供培训方案的计0分。</w:t>
            </w:r>
          </w:p>
          <w:p w14:paraId="3784F886">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注：欠完善或欠科学合理或欠可行是指内容具有明显缺陷、存在逻辑漏洞、前后内容无法连贯、脱离了实际情况、适用性差以及与本项目无关等情况。</w:t>
            </w:r>
          </w:p>
        </w:tc>
      </w:tr>
      <w:tr w14:paraId="26E627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14" w:type="dxa"/>
            <w:vMerge w:val="continue"/>
            <w:tcBorders>
              <w:right w:val="single" w:color="auto" w:sz="4" w:space="0"/>
            </w:tcBorders>
            <w:vAlign w:val="center"/>
          </w:tcPr>
          <w:p w14:paraId="77A3A586">
            <w:pPr>
              <w:adjustRightInd w:val="0"/>
              <w:snapToGrid w:val="0"/>
              <w:spacing w:before="161" w:beforeLines="50"/>
              <w:jc w:val="center"/>
              <w:rPr>
                <w:rFonts w:ascii="宋体" w:hAnsi="宋体" w:cs="宋体"/>
                <w:sz w:val="20"/>
                <w:szCs w:val="20"/>
              </w:rPr>
            </w:pPr>
          </w:p>
        </w:tc>
        <w:tc>
          <w:tcPr>
            <w:tcW w:w="2160" w:type="dxa"/>
            <w:vMerge w:val="continue"/>
            <w:tcBorders>
              <w:left w:val="single" w:color="auto" w:sz="4" w:space="0"/>
            </w:tcBorders>
            <w:vAlign w:val="center"/>
          </w:tcPr>
          <w:p w14:paraId="163BE23F">
            <w:pPr>
              <w:adjustRightInd w:val="0"/>
              <w:snapToGrid w:val="0"/>
              <w:spacing w:before="161" w:beforeLines="50"/>
              <w:jc w:val="center"/>
              <w:rPr>
                <w:rFonts w:ascii="宋体" w:hAnsi="宋体" w:cs="宋体"/>
                <w:sz w:val="20"/>
                <w:szCs w:val="20"/>
              </w:rPr>
            </w:pPr>
          </w:p>
        </w:tc>
        <w:tc>
          <w:tcPr>
            <w:tcW w:w="1545" w:type="dxa"/>
            <w:vAlign w:val="center"/>
          </w:tcPr>
          <w:p w14:paraId="2E6D8319">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售后服务（15）</w:t>
            </w:r>
          </w:p>
        </w:tc>
        <w:tc>
          <w:tcPr>
            <w:tcW w:w="5027" w:type="dxa"/>
            <w:vAlign w:val="center"/>
          </w:tcPr>
          <w:p w14:paraId="255882CA">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投标人须根据采购需求提供针对本项目的售后服务方案（包含但不限于：①售后服务保障措施；②备品备件储备情况；③本地化服务能力.评标委员会根据方案的内容按以下评分标准进行计分：无缺漏项、方案包含以上全部内容、阐述详细全面、售后服务保障措施有针对性、可行性高、备品备件储备充足、本地化服务能力有保障、售后服务人员专业度高及原厂服务能力有保障的计15分；有缺漏项的，每缺一项扣5分；有欠完善或欠科学合理或欠可行的，每处扣2分；扣完为止。未提供售后服务方案的计0 分。</w:t>
            </w:r>
          </w:p>
          <w:p w14:paraId="40A553E4">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注：欠完善或欠科学合理或欠可行是指内容具有明显缺陷、存在逻辑漏洞、前后内容无法连贯、脱离了实际情况、适用性差以及与本项目无关等情况。</w:t>
            </w:r>
          </w:p>
        </w:tc>
      </w:tr>
      <w:tr w14:paraId="6163AA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714" w:type="dxa"/>
            <w:tcBorders>
              <w:right w:val="single" w:color="auto" w:sz="4" w:space="0"/>
            </w:tcBorders>
            <w:vAlign w:val="center"/>
          </w:tcPr>
          <w:p w14:paraId="6309C8FF">
            <w:pPr>
              <w:adjustRightInd w:val="0"/>
              <w:snapToGrid w:val="0"/>
              <w:spacing w:before="161" w:beforeLines="50"/>
              <w:jc w:val="center"/>
              <w:rPr>
                <w:rFonts w:ascii="宋体" w:hAnsi="宋体" w:cs="宋体"/>
                <w:sz w:val="20"/>
                <w:szCs w:val="20"/>
              </w:rPr>
            </w:pPr>
            <w:r>
              <w:rPr>
                <w:rFonts w:hint="eastAsia" w:ascii="宋体" w:hAnsi="宋体" w:cs="宋体"/>
                <w:sz w:val="20"/>
                <w:szCs w:val="20"/>
              </w:rPr>
              <w:t>2</w:t>
            </w:r>
          </w:p>
        </w:tc>
        <w:tc>
          <w:tcPr>
            <w:tcW w:w="2160" w:type="dxa"/>
            <w:tcBorders>
              <w:left w:val="single" w:color="auto" w:sz="4" w:space="0"/>
            </w:tcBorders>
            <w:vAlign w:val="center"/>
          </w:tcPr>
          <w:p w14:paraId="3BE50D08">
            <w:pPr>
              <w:adjustRightInd w:val="0"/>
              <w:snapToGrid w:val="0"/>
              <w:jc w:val="center"/>
              <w:rPr>
                <w:rFonts w:ascii="宋体" w:hAnsi="宋体" w:cs="宋体"/>
                <w:sz w:val="20"/>
                <w:szCs w:val="20"/>
              </w:rPr>
            </w:pPr>
            <w:r>
              <w:rPr>
                <w:rFonts w:hint="eastAsia" w:ascii="宋体" w:hAnsi="宋体" w:cs="宋体"/>
                <w:sz w:val="20"/>
                <w:szCs w:val="20"/>
              </w:rPr>
              <w:t>优先采购加分（F</w:t>
            </w:r>
            <w:r>
              <w:rPr>
                <w:rFonts w:hint="eastAsia" w:ascii="宋体" w:hAnsi="宋体" w:cs="宋体"/>
                <w:sz w:val="20"/>
                <w:szCs w:val="20"/>
                <w:vertAlign w:val="subscript"/>
              </w:rPr>
              <w:t>优先采购加分</w:t>
            </w:r>
            <w:r>
              <w:rPr>
                <w:rFonts w:hint="eastAsia" w:ascii="宋体" w:hAnsi="宋体" w:cs="宋体"/>
                <w:sz w:val="20"/>
                <w:szCs w:val="20"/>
              </w:rPr>
              <w:t>）</w:t>
            </w:r>
          </w:p>
        </w:tc>
        <w:tc>
          <w:tcPr>
            <w:tcW w:w="6572" w:type="dxa"/>
            <w:gridSpan w:val="2"/>
            <w:tcBorders>
              <w:bottom w:val="single" w:color="auto" w:sz="4" w:space="0"/>
            </w:tcBorders>
            <w:vAlign w:val="center"/>
          </w:tcPr>
          <w:p w14:paraId="4162BB55">
            <w:pPr>
              <w:adjustRightInd w:val="0"/>
              <w:snapToGrid w:val="0"/>
              <w:spacing w:before="161" w:beforeLines="50"/>
              <w:rPr>
                <w:rFonts w:ascii="宋体" w:hAnsi="宋体" w:cs="宋体"/>
                <w:sz w:val="20"/>
                <w:szCs w:val="20"/>
              </w:rPr>
            </w:pPr>
            <w:r>
              <w:rPr>
                <w:rFonts w:hint="eastAsia" w:ascii="宋体" w:hAnsi="宋体" w:cs="宋体"/>
                <w:sz w:val="20"/>
                <w:szCs w:val="20"/>
              </w:rPr>
              <w:t>无</w:t>
            </w:r>
          </w:p>
        </w:tc>
      </w:tr>
      <w:tr w14:paraId="7EA5BE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4" w:type="dxa"/>
            <w:tcBorders>
              <w:right w:val="single" w:color="auto" w:sz="4" w:space="0"/>
            </w:tcBorders>
            <w:vAlign w:val="center"/>
          </w:tcPr>
          <w:p w14:paraId="7FB2053B">
            <w:pPr>
              <w:adjustRightInd w:val="0"/>
              <w:snapToGrid w:val="0"/>
              <w:jc w:val="center"/>
              <w:rPr>
                <w:rFonts w:ascii="宋体" w:hAnsi="宋体" w:cs="宋体"/>
                <w:sz w:val="20"/>
                <w:szCs w:val="20"/>
              </w:rPr>
            </w:pPr>
            <w:r>
              <w:rPr>
                <w:rFonts w:hint="eastAsia" w:ascii="宋体" w:hAnsi="宋体" w:cs="宋体"/>
                <w:sz w:val="20"/>
                <w:szCs w:val="20"/>
              </w:rPr>
              <w:t>∑</w:t>
            </w:r>
          </w:p>
        </w:tc>
        <w:tc>
          <w:tcPr>
            <w:tcW w:w="8732" w:type="dxa"/>
            <w:gridSpan w:val="3"/>
            <w:tcBorders>
              <w:left w:val="single" w:color="auto" w:sz="4" w:space="0"/>
            </w:tcBorders>
            <w:vAlign w:val="center"/>
          </w:tcPr>
          <w:p w14:paraId="60F1002A">
            <w:pPr>
              <w:adjustRightInd w:val="0"/>
              <w:snapToGrid w:val="0"/>
              <w:rPr>
                <w:rFonts w:ascii="宋体" w:hAnsi="宋体" w:cs="宋体"/>
                <w:sz w:val="20"/>
                <w:szCs w:val="20"/>
              </w:rPr>
            </w:pPr>
            <w:r>
              <w:rPr>
                <w:rFonts w:hint="eastAsia" w:ascii="宋体" w:hAnsi="宋体" w:cs="宋体"/>
                <w:sz w:val="20"/>
                <w:szCs w:val="20"/>
              </w:rPr>
              <w:t>F</w:t>
            </w:r>
            <w:r>
              <w:rPr>
                <w:rFonts w:hint="eastAsia" w:ascii="宋体" w:hAnsi="宋体" w:cs="宋体"/>
                <w:sz w:val="20"/>
                <w:szCs w:val="20"/>
                <w:vertAlign w:val="subscript"/>
              </w:rPr>
              <w:t>3</w:t>
            </w:r>
            <w:r>
              <w:rPr>
                <w:rFonts w:hint="eastAsia" w:ascii="宋体" w:hAnsi="宋体" w:cs="宋体"/>
                <w:sz w:val="20"/>
                <w:szCs w:val="20"/>
              </w:rPr>
              <w:t>=F+ F</w:t>
            </w:r>
            <w:r>
              <w:rPr>
                <w:rFonts w:hint="eastAsia" w:ascii="宋体" w:hAnsi="宋体" w:cs="宋体"/>
                <w:sz w:val="20"/>
                <w:szCs w:val="20"/>
                <w:vertAlign w:val="subscript"/>
              </w:rPr>
              <w:t>优先采购加分</w:t>
            </w:r>
          </w:p>
        </w:tc>
      </w:tr>
    </w:tbl>
    <w:p w14:paraId="40CCE4F7">
      <w:pPr>
        <w:pStyle w:val="2"/>
        <w:keepNext w:val="0"/>
        <w:adjustRightInd w:val="0"/>
        <w:snapToGrid w:val="0"/>
        <w:spacing w:before="161" w:beforeLines="50" w:line="360" w:lineRule="auto"/>
        <w:rPr>
          <w:rFonts w:ascii="宋体" w:hAnsi="宋体" w:cs="宋体"/>
          <w:sz w:val="32"/>
          <w:szCs w:val="32"/>
        </w:rPr>
      </w:pPr>
      <w:r>
        <w:rPr>
          <w:rFonts w:ascii="黑体" w:hAnsi="华文中宋" w:eastAsia="黑体"/>
          <w:sz w:val="32"/>
          <w:szCs w:val="32"/>
        </w:rPr>
        <w:br w:type="page"/>
      </w:r>
      <w:bookmarkEnd w:id="64"/>
      <w:r>
        <w:rPr>
          <w:rFonts w:hint="eastAsia" w:ascii="宋体" w:hAnsi="宋体" w:cs="宋体"/>
          <w:sz w:val="32"/>
          <w:szCs w:val="32"/>
        </w:rPr>
        <w:t>第五章 采购需求</w:t>
      </w:r>
    </w:p>
    <w:p w14:paraId="36FC06EF">
      <w:pPr>
        <w:pStyle w:val="3"/>
        <w:adjustRightInd w:val="0"/>
        <w:snapToGrid w:val="0"/>
        <w:spacing w:before="161" w:beforeLines="50"/>
        <w:jc w:val="center"/>
        <w:rPr>
          <w:rFonts w:hint="eastAsia" w:ascii="黑体" w:hAnsi="黑体" w:eastAsia="黑体"/>
          <w:sz w:val="28"/>
          <w:szCs w:val="28"/>
        </w:rPr>
      </w:pPr>
      <w:bookmarkStart w:id="66" w:name="_Toc27822"/>
      <w:bookmarkStart w:id="67" w:name="_Hlk7184255"/>
      <w:bookmarkStart w:id="68" w:name="_Toc3145"/>
      <w:r>
        <w:rPr>
          <w:rFonts w:hint="eastAsia" w:ascii="黑体" w:hAnsi="黑体" w:eastAsia="黑体"/>
          <w:sz w:val="28"/>
          <w:szCs w:val="28"/>
        </w:rPr>
        <w:t>第一节 采购清单一览表</w:t>
      </w:r>
    </w:p>
    <w:tbl>
      <w:tblPr>
        <w:tblStyle w:val="43"/>
        <w:tblW w:w="8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539"/>
        <w:gridCol w:w="2106"/>
        <w:gridCol w:w="1051"/>
        <w:gridCol w:w="1039"/>
        <w:gridCol w:w="690"/>
        <w:gridCol w:w="775"/>
      </w:tblGrid>
      <w:tr w14:paraId="276F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46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02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05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简要技术要求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06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8F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70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节能产品</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19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进口产品</w:t>
            </w:r>
          </w:p>
        </w:tc>
      </w:tr>
      <w:tr w14:paraId="6739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F9A4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一、报告厅声光电设备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6261">
            <w:pPr>
              <w:jc w:val="center"/>
              <w:rPr>
                <w:rFonts w:hint="eastAsia" w:ascii="宋体" w:hAnsi="宋体" w:eastAsia="宋体" w:cs="宋体"/>
                <w:b/>
                <w:bCs/>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4BDF">
            <w:pPr>
              <w:jc w:val="center"/>
              <w:rPr>
                <w:rFonts w:hint="eastAsia" w:ascii="宋体" w:hAnsi="宋体" w:eastAsia="宋体" w:cs="宋体"/>
                <w:b/>
                <w:bCs/>
                <w:i w:val="0"/>
                <w:iCs w:val="0"/>
                <w:color w:val="000000"/>
                <w:sz w:val="22"/>
                <w:szCs w:val="22"/>
                <w:u w:val="none"/>
              </w:rPr>
            </w:pPr>
          </w:p>
        </w:tc>
      </w:tr>
      <w:tr w14:paraId="390E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0FF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1、LED显示系统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C158">
            <w:pPr>
              <w:jc w:val="both"/>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8CD9">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458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C53C">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F7A2">
            <w:pPr>
              <w:jc w:val="center"/>
              <w:rPr>
                <w:rFonts w:hint="eastAsia" w:ascii="宋体" w:hAnsi="宋体" w:eastAsia="宋体" w:cs="宋体"/>
                <w:i w:val="0"/>
                <w:iCs w:val="0"/>
                <w:color w:val="000000"/>
                <w:sz w:val="22"/>
                <w:szCs w:val="22"/>
                <w:u w:val="none"/>
              </w:rPr>
            </w:pPr>
          </w:p>
        </w:tc>
      </w:tr>
      <w:tr w14:paraId="3415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A50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1.1主屏系统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E499">
            <w:pPr>
              <w:jc w:val="both"/>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6044">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DDFE">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05AC">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EC8F">
            <w:pPr>
              <w:jc w:val="center"/>
              <w:rPr>
                <w:rFonts w:hint="eastAsia" w:ascii="宋体" w:hAnsi="宋体" w:eastAsia="宋体" w:cs="宋体"/>
                <w:i w:val="0"/>
                <w:iCs w:val="0"/>
                <w:color w:val="000000"/>
                <w:sz w:val="22"/>
                <w:szCs w:val="22"/>
                <w:u w:val="none"/>
              </w:rPr>
            </w:pPr>
          </w:p>
        </w:tc>
      </w:tr>
      <w:tr w14:paraId="3726D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B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E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2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F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7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8C8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60C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0F6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5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3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77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1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2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E49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17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56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8F8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1.2LED左竖屏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4EB1">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0F36">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57F5">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3727">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F871">
            <w:pPr>
              <w:jc w:val="center"/>
              <w:rPr>
                <w:rFonts w:hint="eastAsia" w:ascii="宋体" w:hAnsi="宋体" w:eastAsia="宋体" w:cs="宋体"/>
                <w:i w:val="0"/>
                <w:iCs w:val="0"/>
                <w:color w:val="000000"/>
                <w:sz w:val="22"/>
                <w:szCs w:val="22"/>
                <w:u w:val="none"/>
              </w:rPr>
            </w:pPr>
          </w:p>
        </w:tc>
      </w:tr>
      <w:tr w14:paraId="0153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C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6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C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9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D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F11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714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536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0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F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76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A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77C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91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AB1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FB0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1.3LED右竖屏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E57F">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7E10">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07DC">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2BF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FC4B">
            <w:pPr>
              <w:jc w:val="center"/>
              <w:rPr>
                <w:rFonts w:hint="eastAsia" w:ascii="宋体" w:hAnsi="宋体" w:eastAsia="宋体" w:cs="宋体"/>
                <w:i w:val="0"/>
                <w:iCs w:val="0"/>
                <w:color w:val="000000"/>
                <w:sz w:val="22"/>
                <w:szCs w:val="22"/>
                <w:u w:val="none"/>
              </w:rPr>
            </w:pPr>
          </w:p>
        </w:tc>
      </w:tr>
      <w:tr w14:paraId="3D65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2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A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0B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3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F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057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9E6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9F8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8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7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86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1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B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590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0FC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80E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C06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 控制设备以及配套设备</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F8BA">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E285">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0B52">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AFA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2522">
            <w:pPr>
              <w:jc w:val="center"/>
              <w:rPr>
                <w:rFonts w:hint="eastAsia" w:ascii="宋体" w:hAnsi="宋体" w:eastAsia="宋体" w:cs="宋体"/>
                <w:i w:val="0"/>
                <w:iCs w:val="0"/>
                <w:color w:val="000000"/>
                <w:sz w:val="22"/>
                <w:szCs w:val="22"/>
                <w:u w:val="none"/>
              </w:rPr>
            </w:pPr>
          </w:p>
        </w:tc>
      </w:tr>
      <w:tr w14:paraId="6F65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7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7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无缝高清矩阵切换器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97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7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7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2A1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D9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02FE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3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0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HDMI超高清无缝输入卡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DB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8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0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076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682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9F4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2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E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HDMI超高清无缝输出卡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1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1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D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CE2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79A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466A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B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7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LED配电柜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4B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5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169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457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19D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571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2、舞台灯光系统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D7C6">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8733">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196F">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1BA5">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D4B1">
            <w:pPr>
              <w:jc w:val="center"/>
              <w:rPr>
                <w:rFonts w:hint="eastAsia" w:ascii="宋体" w:hAnsi="宋体" w:eastAsia="宋体" w:cs="宋体"/>
                <w:i w:val="0"/>
                <w:iCs w:val="0"/>
                <w:color w:val="000000"/>
                <w:sz w:val="22"/>
                <w:szCs w:val="22"/>
                <w:u w:val="none"/>
              </w:rPr>
            </w:pPr>
          </w:p>
        </w:tc>
      </w:tr>
      <w:tr w14:paraId="1D4E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1D9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2.1一顶光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2777">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B6BC">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5A01">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CC42">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1108">
            <w:pPr>
              <w:jc w:val="center"/>
              <w:rPr>
                <w:rFonts w:hint="eastAsia" w:ascii="宋体" w:hAnsi="宋体" w:eastAsia="宋体" w:cs="宋体"/>
                <w:i w:val="0"/>
                <w:iCs w:val="0"/>
                <w:color w:val="000000"/>
                <w:sz w:val="22"/>
                <w:szCs w:val="22"/>
                <w:u w:val="none"/>
              </w:rPr>
            </w:pPr>
          </w:p>
        </w:tc>
      </w:tr>
      <w:tr w14:paraId="7586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D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E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C1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F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7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3E5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EB9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A0D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E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B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F0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1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8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E64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BC1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576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08F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2.2二顶光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D141">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90B4">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019A">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AC4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129B">
            <w:pPr>
              <w:jc w:val="center"/>
              <w:rPr>
                <w:rFonts w:hint="eastAsia" w:ascii="宋体" w:hAnsi="宋体" w:eastAsia="宋体" w:cs="宋体"/>
                <w:i w:val="0"/>
                <w:iCs w:val="0"/>
                <w:color w:val="000000"/>
                <w:sz w:val="22"/>
                <w:szCs w:val="22"/>
                <w:u w:val="none"/>
              </w:rPr>
            </w:pPr>
          </w:p>
        </w:tc>
      </w:tr>
      <w:tr w14:paraId="624E8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4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0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8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0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853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F2D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1A7F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2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0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9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D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9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72A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E30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3E7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7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C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8E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A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3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A30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5C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A0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FD2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2.3三顶光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3A2B">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8FDF">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329C">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3816">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9278">
            <w:pPr>
              <w:jc w:val="center"/>
              <w:rPr>
                <w:rFonts w:hint="eastAsia" w:ascii="宋体" w:hAnsi="宋体" w:eastAsia="宋体" w:cs="宋体"/>
                <w:i w:val="0"/>
                <w:iCs w:val="0"/>
                <w:color w:val="000000"/>
                <w:sz w:val="22"/>
                <w:szCs w:val="22"/>
                <w:u w:val="none"/>
              </w:rPr>
            </w:pPr>
          </w:p>
        </w:tc>
      </w:tr>
      <w:tr w14:paraId="5EDC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3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C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B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8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64C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39F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6918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E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6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D9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B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6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3E3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FCA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695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9A2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2.4面光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4A63">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8AA2">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4171">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ECDB">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126C">
            <w:pPr>
              <w:jc w:val="center"/>
              <w:rPr>
                <w:rFonts w:hint="eastAsia" w:ascii="宋体" w:hAnsi="宋体" w:eastAsia="宋体" w:cs="宋体"/>
                <w:i w:val="0"/>
                <w:iCs w:val="0"/>
                <w:color w:val="000000"/>
                <w:sz w:val="22"/>
                <w:szCs w:val="22"/>
                <w:u w:val="none"/>
              </w:rPr>
            </w:pPr>
          </w:p>
        </w:tc>
      </w:tr>
      <w:tr w14:paraId="5B12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D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C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91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7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003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FBB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809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1A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2.5外围设备及控制系统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AC1E">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6085">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70E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773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F69D">
            <w:pPr>
              <w:jc w:val="center"/>
              <w:rPr>
                <w:rFonts w:hint="eastAsia" w:ascii="宋体" w:hAnsi="宋体" w:eastAsia="宋体" w:cs="宋体"/>
                <w:i w:val="0"/>
                <w:iCs w:val="0"/>
                <w:color w:val="000000"/>
                <w:sz w:val="22"/>
                <w:szCs w:val="22"/>
                <w:u w:val="none"/>
              </w:rPr>
            </w:pPr>
          </w:p>
        </w:tc>
      </w:tr>
      <w:tr w14:paraId="305B7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0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3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E2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F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1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69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093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249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E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A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信号放大器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4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5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5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2BC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B59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53E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2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9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直通箱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AD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8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3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39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F5F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D95B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6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1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大灯勾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A0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C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F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5F7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E26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5710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2D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8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多功能灯勾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E0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E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8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5DD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B24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C72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5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3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88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F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7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629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97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BFF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87F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2.6舞台机械幕布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B5FD">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AC02">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D318">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D876">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941A">
            <w:pPr>
              <w:jc w:val="center"/>
              <w:rPr>
                <w:rFonts w:hint="eastAsia" w:ascii="宋体" w:hAnsi="宋体" w:eastAsia="宋体" w:cs="宋体"/>
                <w:i w:val="0"/>
                <w:iCs w:val="0"/>
                <w:color w:val="000000"/>
                <w:sz w:val="22"/>
                <w:szCs w:val="22"/>
                <w:u w:val="none"/>
              </w:rPr>
            </w:pPr>
          </w:p>
        </w:tc>
      </w:tr>
      <w:tr w14:paraId="1134E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2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A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环链电动葫芦</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3B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E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C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48C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197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A71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7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9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三角桁架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D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9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1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C2A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21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F7A5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6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5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连接件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AD7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6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3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9F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7BE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FE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8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0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CD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8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0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C83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68C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930B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D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收线器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0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2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0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4CC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FE9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7BF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F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E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3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E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B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3CF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1D8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BD8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F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8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4B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C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CE3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DA0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71F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A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F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6C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5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8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623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57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CE1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B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5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DA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4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6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29C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E66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FD00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8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E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8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9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0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12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9CD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371F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3AB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2.7声光影系统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A01F">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A79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8CF4">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012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442A">
            <w:pPr>
              <w:jc w:val="center"/>
              <w:rPr>
                <w:rFonts w:hint="eastAsia" w:ascii="宋体" w:hAnsi="宋体" w:eastAsia="宋体" w:cs="宋体"/>
                <w:i w:val="0"/>
                <w:iCs w:val="0"/>
                <w:color w:val="000000"/>
                <w:sz w:val="22"/>
                <w:szCs w:val="22"/>
                <w:u w:val="none"/>
              </w:rPr>
            </w:pPr>
          </w:p>
        </w:tc>
      </w:tr>
      <w:tr w14:paraId="2702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9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B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声光影主机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1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E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6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681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952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09E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9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0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3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7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3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07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B76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186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4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F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F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E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3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695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C0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38C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084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3、专业扩声系统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FC4B">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D00A">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8751">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299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2738">
            <w:pPr>
              <w:jc w:val="center"/>
              <w:rPr>
                <w:rFonts w:hint="eastAsia" w:ascii="宋体" w:hAnsi="宋体" w:eastAsia="宋体" w:cs="宋体"/>
                <w:i w:val="0"/>
                <w:iCs w:val="0"/>
                <w:color w:val="000000"/>
                <w:sz w:val="22"/>
                <w:szCs w:val="22"/>
                <w:u w:val="none"/>
              </w:rPr>
            </w:pPr>
          </w:p>
        </w:tc>
      </w:tr>
      <w:tr w14:paraId="7C24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D8D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3.1、信号放大及扬声器系统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EF7A">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103F">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0425">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BEB3">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982F">
            <w:pPr>
              <w:jc w:val="center"/>
              <w:rPr>
                <w:rFonts w:hint="eastAsia" w:ascii="宋体" w:hAnsi="宋体" w:eastAsia="宋体" w:cs="宋体"/>
                <w:i w:val="0"/>
                <w:iCs w:val="0"/>
                <w:color w:val="000000"/>
                <w:sz w:val="22"/>
                <w:szCs w:val="22"/>
                <w:u w:val="none"/>
              </w:rPr>
            </w:pPr>
          </w:p>
        </w:tc>
      </w:tr>
      <w:tr w14:paraId="7EB9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9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3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D0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C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D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3E7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29E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A05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4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1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DD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E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D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7B2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AE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398C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2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6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0B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E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6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F53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5C1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A8D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4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0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66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8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E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D3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88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9F6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1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9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E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0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5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004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559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CF2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F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0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41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E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4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02B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8FB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D12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D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A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7A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A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4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200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1BD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67B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6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C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1B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6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9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594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44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AFBF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E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4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B4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A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8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7CA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03A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F6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9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8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31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8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B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DEC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46E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87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2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6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99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6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1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712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866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8D7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5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B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6C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C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7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685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1DD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FBF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E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C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3F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F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A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E04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7E7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1864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C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9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A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1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E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008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07C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245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2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E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9D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4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3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B6F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EAE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165D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3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7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CD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8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D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AE9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ED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B48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4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8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7A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E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AA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83B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F6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97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3.2、音源及传声部分</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AFDE">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4F0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C626">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274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8E4E">
            <w:pPr>
              <w:jc w:val="center"/>
              <w:rPr>
                <w:rFonts w:hint="eastAsia" w:ascii="宋体" w:hAnsi="宋体" w:eastAsia="宋体" w:cs="宋体"/>
                <w:i w:val="0"/>
                <w:iCs w:val="0"/>
                <w:color w:val="000000"/>
                <w:sz w:val="22"/>
                <w:szCs w:val="22"/>
                <w:u w:val="none"/>
              </w:rPr>
            </w:pPr>
          </w:p>
        </w:tc>
      </w:tr>
      <w:tr w14:paraId="32D3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0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6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A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7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2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A8F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A0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136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9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5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充电底座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19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D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E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47A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0F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B96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D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6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智能充电管理软件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DC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D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9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CE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6C8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87BB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6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A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A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A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C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72E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7D2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BC3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2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E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20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A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C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13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107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4026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9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F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51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8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E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284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D23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267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8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9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天线分配器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1D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E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864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6A6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645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3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A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天线耦合器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73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7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D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03C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54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F4C9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3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9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天线放大器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5E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6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7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D5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919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9F2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2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1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话筒天线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4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4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D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F89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FB8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55A3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6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7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AI智慧混音器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71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6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4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DE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306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181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4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6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AI反馈抑制器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0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B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5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834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600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C24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4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5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音频隔离器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F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1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A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07E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CBAF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5AC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B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F5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E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4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F57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676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FF3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4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5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1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7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4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04C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4A5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82C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D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4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F8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4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4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B97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CB7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7FC9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C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C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AI智慧混音器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93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6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3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38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83A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62E7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8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8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头戴麦</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A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4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4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EC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262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EFC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252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3.3信号处理及周边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7759">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C2DB">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6F2E">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57DA">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98DE">
            <w:pPr>
              <w:jc w:val="center"/>
              <w:rPr>
                <w:rFonts w:hint="eastAsia" w:ascii="宋体" w:hAnsi="宋体" w:eastAsia="宋体" w:cs="宋体"/>
                <w:i w:val="0"/>
                <w:iCs w:val="0"/>
                <w:color w:val="000000"/>
                <w:sz w:val="22"/>
                <w:szCs w:val="22"/>
                <w:u w:val="none"/>
              </w:rPr>
            </w:pPr>
          </w:p>
        </w:tc>
      </w:tr>
      <w:tr w14:paraId="0722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E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F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数字调音台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00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2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5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69B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157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E3D7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8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6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03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D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D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88C0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5ED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EA5C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7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E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会议音频综合管理平台软件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A5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5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789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6F7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643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8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8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有源音箱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7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A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8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8E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B97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334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0AD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4、会议系统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259F">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521C">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0627">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3127">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354F">
            <w:pPr>
              <w:jc w:val="center"/>
              <w:rPr>
                <w:rFonts w:hint="eastAsia" w:ascii="宋体" w:hAnsi="宋体" w:eastAsia="宋体" w:cs="宋体"/>
                <w:i w:val="0"/>
                <w:iCs w:val="0"/>
                <w:color w:val="000000"/>
                <w:sz w:val="22"/>
                <w:szCs w:val="22"/>
                <w:u w:val="none"/>
              </w:rPr>
            </w:pPr>
          </w:p>
        </w:tc>
      </w:tr>
      <w:tr w14:paraId="2B2F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7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2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9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1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4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9C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FD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CCD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2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1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全数字会议系统综合控制软件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5D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8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7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86E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705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C1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5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B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AI会议话筒处理器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7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4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8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3B7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619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619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1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0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主会议话筒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4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2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B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9AB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201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16FA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1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2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A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5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E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D7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8C8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7E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C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3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发射器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C8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6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5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371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99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B63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5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E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4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A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57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EDF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490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2D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5、摄录系统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C82E">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1B14">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815E">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D370">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339B">
            <w:pPr>
              <w:jc w:val="center"/>
              <w:rPr>
                <w:rFonts w:hint="eastAsia" w:ascii="宋体" w:hAnsi="宋体" w:eastAsia="宋体" w:cs="宋体"/>
                <w:i w:val="0"/>
                <w:iCs w:val="0"/>
                <w:color w:val="000000"/>
                <w:sz w:val="22"/>
                <w:szCs w:val="22"/>
                <w:u w:val="none"/>
              </w:rPr>
            </w:pPr>
          </w:p>
        </w:tc>
      </w:tr>
      <w:tr w14:paraId="45F1A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D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D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AI智慧录播主机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C7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C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0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A45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7CB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F98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8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D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A5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0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5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4C5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977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7B6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CE1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6、集中控制系统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EEB5">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67C0">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7B66">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AEE4">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4FBD">
            <w:pPr>
              <w:jc w:val="center"/>
              <w:rPr>
                <w:rFonts w:hint="eastAsia" w:ascii="宋体" w:hAnsi="宋体" w:eastAsia="宋体" w:cs="宋体"/>
                <w:i w:val="0"/>
                <w:iCs w:val="0"/>
                <w:color w:val="000000"/>
                <w:sz w:val="22"/>
                <w:szCs w:val="22"/>
                <w:u w:val="none"/>
              </w:rPr>
            </w:pPr>
          </w:p>
        </w:tc>
      </w:tr>
      <w:tr w14:paraId="3B1C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1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3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网络中控主机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4D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8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7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F7B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F9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BC8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4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9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串口分配器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88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1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D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400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0EB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93C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A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3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8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C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3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FCD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3A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C20C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7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4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变压器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C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0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5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BBE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EAD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5AA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3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5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94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5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9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24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0EB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8FE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E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2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A7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0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E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A8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DF3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5334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6F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7、多功能报告厅辅材及设备安装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D23A">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E570">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6D56">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1212">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3B18">
            <w:pPr>
              <w:jc w:val="center"/>
              <w:rPr>
                <w:rFonts w:hint="eastAsia" w:ascii="宋体" w:hAnsi="宋体" w:eastAsia="宋体" w:cs="宋体"/>
                <w:i w:val="0"/>
                <w:iCs w:val="0"/>
                <w:color w:val="000000"/>
                <w:sz w:val="22"/>
                <w:szCs w:val="22"/>
                <w:u w:val="none"/>
              </w:rPr>
            </w:pPr>
          </w:p>
        </w:tc>
      </w:tr>
      <w:tr w14:paraId="758FD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83C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7.1LED显示系统安装工程</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F0A1">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B43D">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A0AF">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018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AAB3">
            <w:pPr>
              <w:jc w:val="center"/>
              <w:rPr>
                <w:rFonts w:hint="eastAsia" w:ascii="宋体" w:hAnsi="宋体" w:eastAsia="宋体" w:cs="宋体"/>
                <w:i w:val="0"/>
                <w:iCs w:val="0"/>
                <w:color w:val="000000"/>
                <w:sz w:val="22"/>
                <w:szCs w:val="22"/>
                <w:u w:val="none"/>
              </w:rPr>
            </w:pPr>
          </w:p>
        </w:tc>
      </w:tr>
      <w:tr w14:paraId="4152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5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2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主屏钢结构及包边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9E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1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7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8B4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44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667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9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0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副屏1钢结构及包边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83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B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6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452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4F3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BB4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F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0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副屏2钢结构及包边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A3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5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3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D22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319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44B5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9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1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2E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B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F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07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9B2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E530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1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E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E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A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1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D09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5E3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191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3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D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B0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8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3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C0C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91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0F26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3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4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CB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D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2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5E7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8D9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2E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6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7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E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F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6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516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6F9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7DB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7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6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B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7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E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16F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4A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3D1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A6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二、报告厅综合布线</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CF5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DEEC">
            <w:pPr>
              <w:jc w:val="center"/>
              <w:rPr>
                <w:rFonts w:hint="eastAsia" w:ascii="宋体" w:hAnsi="宋体" w:eastAsia="宋体" w:cs="宋体"/>
                <w:i w:val="0"/>
                <w:iCs w:val="0"/>
                <w:color w:val="000000"/>
                <w:sz w:val="22"/>
                <w:szCs w:val="22"/>
                <w:u w:val="none"/>
              </w:rPr>
            </w:pPr>
          </w:p>
        </w:tc>
      </w:tr>
      <w:tr w14:paraId="7F4F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FF8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一、控制设备以及配套设备</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0A1A">
            <w:pPr>
              <w:jc w:val="left"/>
              <w:rPr>
                <w:rFonts w:hint="eastAsia" w:ascii="宋体" w:hAnsi="宋体" w:eastAsia="宋体" w:cs="宋体"/>
                <w:b/>
                <w:bCs/>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252C">
            <w:pPr>
              <w:jc w:val="center"/>
              <w:rPr>
                <w:rFonts w:hint="eastAsia" w:ascii="宋体" w:hAnsi="宋体" w:eastAsia="宋体" w:cs="宋体"/>
                <w:b/>
                <w:bCs/>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1B50">
            <w:pPr>
              <w:jc w:val="center"/>
              <w:rPr>
                <w:rFonts w:hint="eastAsia" w:ascii="宋体" w:hAnsi="宋体" w:eastAsia="宋体" w:cs="宋体"/>
                <w:b/>
                <w:bCs/>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28B1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661D">
            <w:pPr>
              <w:jc w:val="center"/>
              <w:rPr>
                <w:rFonts w:hint="eastAsia" w:ascii="宋体" w:hAnsi="宋体" w:eastAsia="宋体" w:cs="宋体"/>
                <w:i w:val="0"/>
                <w:iCs w:val="0"/>
                <w:color w:val="000000"/>
                <w:sz w:val="22"/>
                <w:szCs w:val="22"/>
                <w:u w:val="none"/>
              </w:rPr>
            </w:pPr>
          </w:p>
        </w:tc>
      </w:tr>
      <w:tr w14:paraId="26C0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C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5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B8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0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D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269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B52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63D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4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B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C8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FB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2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36B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80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806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5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3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2K显控终端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FD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2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3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10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FE"/>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AB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064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4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C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2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2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8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1C8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22B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D26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0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无线路由器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AF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8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3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34C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41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F73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3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9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户内单红LED屏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94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1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C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4BF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CB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5C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0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5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D2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C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A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F96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74E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BC7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8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C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转接板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B5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A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7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33B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96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E02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A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A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移动控制终端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48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5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3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2F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FE"/>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970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29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D11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二、摄录系统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9164">
            <w:pPr>
              <w:jc w:val="left"/>
              <w:rPr>
                <w:rFonts w:hint="eastAsia" w:ascii="宋体" w:hAnsi="宋体" w:eastAsia="宋体" w:cs="宋体"/>
                <w:b/>
                <w:bCs/>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668E">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5E68">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06E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9A37">
            <w:pPr>
              <w:jc w:val="center"/>
              <w:rPr>
                <w:rFonts w:hint="eastAsia" w:ascii="宋体" w:hAnsi="宋体" w:eastAsia="宋体" w:cs="宋体"/>
                <w:i w:val="0"/>
                <w:iCs w:val="0"/>
                <w:color w:val="000000"/>
                <w:sz w:val="22"/>
                <w:szCs w:val="22"/>
                <w:u w:val="none"/>
              </w:rPr>
            </w:pPr>
          </w:p>
        </w:tc>
      </w:tr>
      <w:tr w14:paraId="74AB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6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F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BF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D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6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EAE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9B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B435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F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3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4K直播摄像机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38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A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6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1D9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4FD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5E4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5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A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移动直播工作站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0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D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8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782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7DF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80E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2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F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直播三脚架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19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A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4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E9A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8A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2FC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E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2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D7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8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B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54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623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DD8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A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5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CF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B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3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875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AA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BE4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3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1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A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B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9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EF3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0F3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6A8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0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0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B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2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1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83C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102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6FF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E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6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BE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A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2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63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D638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145D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B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C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32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E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F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A84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C34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379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F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9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2F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3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A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14A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0DF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2318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9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B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39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A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A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E57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8C4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893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4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0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会标屏框架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68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4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7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34D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B9B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35A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0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C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C7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5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1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A0E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8E0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404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B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D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E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B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B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C8B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363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D4E4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4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B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13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7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D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4A9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710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921C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9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4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81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5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1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BE1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2FA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02A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5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4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天线馈线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473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1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7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648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B64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713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2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7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E7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4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3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311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2BE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B50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1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9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DB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6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0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09E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C0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5276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4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1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C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2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5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E9F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8AE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ECEA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A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C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DE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F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0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3F7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FFD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2783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D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1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0D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5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4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C0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A22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FC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5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5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3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E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7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B60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E1E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4B6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D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1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C9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3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6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FE2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214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760F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9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8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C5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E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3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32D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50A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8D02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3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4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D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C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7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29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C10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046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C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8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成品音频线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C5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1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A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925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AB5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468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A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8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A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4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0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99C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D0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7EE2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0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2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7C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9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1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A03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A74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5A91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2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4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单口/双口面板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EB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F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D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3E2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456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9214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9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C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09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1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6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15A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BA7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8D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D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A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4D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A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A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076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9A4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A63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E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7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钢丝绳锁扣</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2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E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D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BDF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616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DD1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C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B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85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7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8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7DC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CE1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1F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7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5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B5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F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C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31F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12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3BC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B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5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5B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8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6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346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2B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2A6B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C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F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D7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4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E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0F0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E96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95F3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F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4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D6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2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7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7F3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04F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6843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4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2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3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5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428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8A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7D9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C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6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5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6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B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53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86A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C5F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6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F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线阵音箱钢结构</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2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4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3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75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51C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0A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7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7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0D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C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D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40A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16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8BF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7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8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0B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1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9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C35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F26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8F4D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1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0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技术服务费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1B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6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B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DC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F84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9A8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B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2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葫芦基础支架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88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5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A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092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F21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12CE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7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A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7A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0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E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5F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912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240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A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6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E1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0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6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60E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A39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7F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E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5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葫芦电机，桁架设备安装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5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1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F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36A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8CA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83D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D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7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固定幕布吊杆</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BE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2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9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D8C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AD2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082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B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3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F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5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9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898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622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A4C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F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C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C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C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A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61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EB0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105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2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B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7F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E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C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653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7F3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B746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E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2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灯光技术服务费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9A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F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3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C99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8CB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BFC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30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三、音乐器材</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4416">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01C6">
            <w:pPr>
              <w:jc w:val="center"/>
              <w:rPr>
                <w:rFonts w:hint="eastAsia" w:ascii="宋体" w:hAnsi="宋体" w:eastAsia="宋体" w:cs="宋体"/>
                <w:i w:val="0"/>
                <w:iCs w:val="0"/>
                <w:color w:val="000000"/>
                <w:sz w:val="22"/>
                <w:szCs w:val="22"/>
                <w:u w:val="none"/>
              </w:rPr>
            </w:pPr>
          </w:p>
        </w:tc>
      </w:tr>
      <w:tr w14:paraId="2DA6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D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3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舞台会议条桌</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09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B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7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6CC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C7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1AD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D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8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机房桌椅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B2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8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5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DCB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FDC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540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A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2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合唱站台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A2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0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B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CFC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B4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A72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C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6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三角钢琴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19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9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B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A28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B85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F03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F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E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立式钢琴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E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E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2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E62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91F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849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4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C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键盘</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D1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0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8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01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1C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55AD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4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1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电吉他</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4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7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E57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8B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CE2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9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E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8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F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4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DF6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161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648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4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9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贝斯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EB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0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E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94D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2A0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CDC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0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2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6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9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5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536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76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E948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E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23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E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0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003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20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6E6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E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F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短连接线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A8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1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5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D1B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A5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77B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A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3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39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C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F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F57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5F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0A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D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6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40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A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0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516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253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31A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8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D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FC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7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D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B20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7C6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069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B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D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高方凳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F7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5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2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669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66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CE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8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2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87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1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A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07F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96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D2D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73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四、智慧黑板</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7DF0">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1ACA">
            <w:pPr>
              <w:jc w:val="center"/>
              <w:rPr>
                <w:rFonts w:hint="eastAsia" w:ascii="宋体" w:hAnsi="宋体" w:eastAsia="宋体" w:cs="宋体"/>
                <w:i w:val="0"/>
                <w:iCs w:val="0"/>
                <w:color w:val="000000"/>
                <w:sz w:val="22"/>
                <w:szCs w:val="22"/>
                <w:u w:val="none"/>
              </w:rPr>
            </w:pPr>
          </w:p>
        </w:tc>
      </w:tr>
      <w:tr w14:paraId="0F17D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3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8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智慧黑板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6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9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D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42B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F70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343A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D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5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视频展台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A6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9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E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30A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C0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799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9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43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1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C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12E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67F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A4B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C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9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E6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A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D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488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DA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9497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B4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五、高考系统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158B">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14F8">
            <w:pPr>
              <w:jc w:val="center"/>
              <w:rPr>
                <w:rFonts w:hint="eastAsia" w:ascii="宋体" w:hAnsi="宋体" w:eastAsia="宋体" w:cs="宋体"/>
                <w:i w:val="0"/>
                <w:iCs w:val="0"/>
                <w:color w:val="000000"/>
                <w:sz w:val="22"/>
                <w:szCs w:val="22"/>
                <w:u w:val="none"/>
              </w:rPr>
            </w:pPr>
          </w:p>
        </w:tc>
      </w:tr>
      <w:tr w14:paraId="4B690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6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8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高考摄像头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AD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1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E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A8B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EF9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4866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3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5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A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3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4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702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C3C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CC6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1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7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66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8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F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1A9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1EA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104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6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8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拾音器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BC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0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4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B30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5F7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9CE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E7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六．广播系统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A76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647D">
            <w:pPr>
              <w:jc w:val="center"/>
              <w:rPr>
                <w:rFonts w:hint="eastAsia" w:ascii="宋体" w:hAnsi="宋体" w:eastAsia="宋体" w:cs="宋体"/>
                <w:i w:val="0"/>
                <w:iCs w:val="0"/>
                <w:color w:val="000000"/>
                <w:sz w:val="22"/>
                <w:szCs w:val="22"/>
                <w:u w:val="none"/>
              </w:rPr>
            </w:pPr>
          </w:p>
        </w:tc>
      </w:tr>
      <w:tr w14:paraId="11B3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9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6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IP网络寻呼话筒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C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9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E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9E4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ACD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027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3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D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IP网络有源音箱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04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C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7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91A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A44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bookmarkEnd w:id="66"/>
      <w:bookmarkEnd w:id="67"/>
    </w:tbl>
    <w:p w14:paraId="6FB88BBD">
      <w:pPr>
        <w:pStyle w:val="170"/>
        <w:adjustRightInd w:val="0"/>
        <w:snapToGrid w:val="0"/>
        <w:spacing w:before="161" w:beforeLines="50" w:line="440" w:lineRule="exact"/>
        <w:rPr>
          <w:rFonts w:ascii="宋体" w:hAnsi="宋体" w:cs="宋体"/>
          <w:szCs w:val="21"/>
        </w:rPr>
      </w:pPr>
      <w:r>
        <w:rPr>
          <w:rFonts w:hint="eastAsia" w:ascii="宋体" w:hAnsi="宋体" w:cs="宋体"/>
          <w:szCs w:val="21"/>
        </w:rPr>
        <w:t>注：</w:t>
      </w:r>
    </w:p>
    <w:p w14:paraId="4B5F1FC5">
      <w:pPr>
        <w:pStyle w:val="170"/>
        <w:numPr>
          <w:ilvl w:val="255"/>
          <w:numId w:val="0"/>
        </w:numPr>
        <w:adjustRightInd w:val="0"/>
        <w:snapToGrid w:val="0"/>
        <w:spacing w:line="440" w:lineRule="exact"/>
        <w:rPr>
          <w:rFonts w:ascii="宋体" w:hAnsi="宋体" w:cs="宋体"/>
          <w:b/>
          <w:bCs/>
          <w:color w:val="auto"/>
          <w:sz w:val="21"/>
          <w:szCs w:val="21"/>
        </w:rPr>
      </w:pPr>
      <w:r>
        <w:rPr>
          <w:rFonts w:hint="eastAsia" w:ascii="宋体" w:hAnsi="宋体" w:cs="宋体"/>
          <w:b/>
          <w:bCs/>
          <w:color w:val="auto"/>
          <w:sz w:val="21"/>
          <w:szCs w:val="21"/>
        </w:rPr>
        <w:t>1.本项目为交钥匙工程、所报价格应包含所有设备采购、安装、调试、平台对接、货物上架、装修以及运输、验收等人工、管理、保险、税金、利润等所有费用。</w:t>
      </w:r>
    </w:p>
    <w:p w14:paraId="09309D9A">
      <w:pPr>
        <w:pStyle w:val="170"/>
        <w:numPr>
          <w:ilvl w:val="255"/>
          <w:numId w:val="0"/>
        </w:numPr>
        <w:adjustRightInd w:val="0"/>
        <w:snapToGrid w:val="0"/>
        <w:spacing w:line="440" w:lineRule="exact"/>
        <w:rPr>
          <w:rFonts w:ascii="宋体" w:hAnsi="宋体" w:cs="宋体"/>
          <w:color w:val="auto"/>
          <w:sz w:val="21"/>
          <w:szCs w:val="21"/>
        </w:rPr>
      </w:pPr>
      <w:r>
        <w:rPr>
          <w:rFonts w:hint="eastAsia" w:ascii="宋体" w:hAnsi="宋体" w:cs="宋体"/>
          <w:color w:val="auto"/>
          <w:sz w:val="21"/>
          <w:szCs w:val="21"/>
        </w:rPr>
        <w:t>2.投标人必须对一个完整、独立的包进行投标，不得仅对一个包中的部分品目投标，否则</w:t>
      </w:r>
      <w:r>
        <w:rPr>
          <w:rFonts w:hint="eastAsia" w:ascii="宋体" w:hAnsi="宋体" w:cs="宋体"/>
          <w:b/>
          <w:color w:val="auto"/>
          <w:sz w:val="21"/>
          <w:szCs w:val="21"/>
        </w:rPr>
        <w:t>投标无效</w:t>
      </w:r>
      <w:r>
        <w:rPr>
          <w:rFonts w:hint="eastAsia" w:ascii="宋体" w:hAnsi="宋体" w:cs="宋体"/>
          <w:color w:val="auto"/>
          <w:sz w:val="21"/>
          <w:szCs w:val="21"/>
        </w:rPr>
        <w:t>。</w:t>
      </w:r>
    </w:p>
    <w:p w14:paraId="667891B1">
      <w:pPr>
        <w:pStyle w:val="170"/>
        <w:numPr>
          <w:ilvl w:val="255"/>
          <w:numId w:val="0"/>
        </w:numPr>
        <w:adjustRightInd w:val="0"/>
        <w:snapToGrid w:val="0"/>
        <w:spacing w:line="440" w:lineRule="exact"/>
        <w:rPr>
          <w:rFonts w:ascii="宋体" w:hAnsi="宋体" w:cs="宋体"/>
          <w:color w:val="auto"/>
          <w:sz w:val="21"/>
          <w:szCs w:val="21"/>
        </w:rPr>
      </w:pPr>
      <w:r>
        <w:rPr>
          <w:rFonts w:hint="eastAsia" w:ascii="宋体" w:hAnsi="宋体" w:cs="宋体"/>
          <w:color w:val="auto"/>
          <w:sz w:val="21"/>
          <w:szCs w:val="21"/>
        </w:rPr>
        <w:t>3.货物的主要技术参数或规格：详见具体技术参数。</w:t>
      </w:r>
    </w:p>
    <w:p w14:paraId="6FB58872">
      <w:pPr>
        <w:pStyle w:val="170"/>
        <w:numPr>
          <w:ilvl w:val="255"/>
          <w:numId w:val="0"/>
        </w:numPr>
        <w:adjustRightInd w:val="0"/>
        <w:snapToGrid w:val="0"/>
        <w:spacing w:line="440" w:lineRule="exact"/>
        <w:rPr>
          <w:rFonts w:ascii="宋体" w:hAnsi="宋体" w:cs="宋体"/>
          <w:color w:val="auto"/>
          <w:sz w:val="21"/>
          <w:szCs w:val="21"/>
        </w:rPr>
      </w:pPr>
      <w:r>
        <w:rPr>
          <w:rFonts w:hint="eastAsia" w:ascii="宋体" w:hAnsi="宋体" w:cs="宋体"/>
          <w:color w:val="auto"/>
          <w:sz w:val="21"/>
          <w:szCs w:val="21"/>
        </w:rPr>
        <w:t>4.投标人应在投标文件《分项报价明细表》中按标的名称顺序及本章第二节技术要求所有子项条目逐项填写，且每个标的中的条目均需按招标文件规定报价。如有缺项、漏项，其</w:t>
      </w:r>
      <w:r>
        <w:rPr>
          <w:rFonts w:hint="eastAsia" w:ascii="宋体" w:hAnsi="宋体" w:cs="宋体"/>
          <w:b/>
          <w:color w:val="auto"/>
          <w:sz w:val="21"/>
          <w:szCs w:val="21"/>
        </w:rPr>
        <w:t>投标无效</w:t>
      </w:r>
      <w:r>
        <w:rPr>
          <w:rFonts w:hint="eastAsia" w:ascii="宋体" w:hAnsi="宋体" w:cs="宋体"/>
          <w:color w:val="auto"/>
          <w:sz w:val="21"/>
          <w:szCs w:val="21"/>
        </w:rPr>
        <w:t>。</w:t>
      </w:r>
    </w:p>
    <w:p w14:paraId="44AA4DCB">
      <w:pPr>
        <w:pStyle w:val="174"/>
        <w:adjustRightInd w:val="0"/>
        <w:snapToGrid w:val="0"/>
        <w:spacing w:line="440" w:lineRule="exact"/>
        <w:ind w:firstLine="0" w:firstLineChars="0"/>
        <w:rPr>
          <w:rFonts w:hint="eastAsia" w:ascii="宋体" w:hAnsi="宋体" w:cs="宋体"/>
          <w:color w:val="auto"/>
          <w:kern w:val="0"/>
          <w:sz w:val="21"/>
          <w:szCs w:val="21"/>
        </w:rPr>
      </w:pPr>
      <w:r>
        <w:rPr>
          <w:rFonts w:hint="eastAsia" w:ascii="宋体" w:hAnsi="宋体" w:cs="宋体"/>
          <w:bCs/>
          <w:color w:val="auto"/>
          <w:sz w:val="21"/>
          <w:szCs w:val="21"/>
        </w:rPr>
        <w:t>5.</w:t>
      </w:r>
      <w:r>
        <w:rPr>
          <w:rFonts w:hint="eastAsia" w:ascii="宋体" w:hAnsi="宋体" w:cs="宋体"/>
          <w:color w:val="auto"/>
          <w:kern w:val="0"/>
          <w:sz w:val="21"/>
          <w:szCs w:val="21"/>
        </w:rPr>
        <w:t>本表分项报价内容的详细组成明细或报价说明等资料（包括所投产品的品牌、产地、厂商等内容），可以附后作为本表附件部分。</w:t>
      </w:r>
    </w:p>
    <w:p w14:paraId="1EA6D76C">
      <w:pPr>
        <w:pStyle w:val="174"/>
        <w:adjustRightInd w:val="0"/>
        <w:snapToGrid w:val="0"/>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lang w:val="en-US" w:eastAsia="zh-CN"/>
        </w:rPr>
        <w:t>6.同品牌、同型号产品技术参数在第二节技术要求中多处出现的不重复评审。</w:t>
      </w:r>
    </w:p>
    <w:p w14:paraId="07E4F3AD">
      <w:pPr>
        <w:pStyle w:val="3"/>
        <w:adjustRightInd w:val="0"/>
        <w:snapToGrid w:val="0"/>
        <w:spacing w:before="161" w:beforeLines="50"/>
        <w:jc w:val="center"/>
        <w:rPr>
          <w:rFonts w:ascii="黑体" w:hAnsi="黑体" w:eastAsia="黑体"/>
          <w:sz w:val="28"/>
          <w:szCs w:val="28"/>
        </w:rPr>
      </w:pPr>
      <w:r>
        <w:rPr>
          <w:rFonts w:hint="eastAsia" w:hAnsi="宋体" w:cs="宋体"/>
          <w:sz w:val="32"/>
        </w:rPr>
        <w:br w:type="page"/>
      </w:r>
      <w:bookmarkStart w:id="69" w:name="_Toc8803"/>
      <w:r>
        <w:rPr>
          <w:rFonts w:hint="eastAsia" w:ascii="黑体" w:hAnsi="黑体" w:eastAsia="黑体"/>
          <w:sz w:val="28"/>
          <w:szCs w:val="28"/>
        </w:rPr>
        <w:t xml:space="preserve">第二节 </w:t>
      </w:r>
      <w:r>
        <w:rPr>
          <w:rFonts w:ascii="黑体" w:hAnsi="黑体" w:eastAsia="黑体"/>
          <w:sz w:val="28"/>
          <w:szCs w:val="28"/>
        </w:rPr>
        <w:t>技术要求</w:t>
      </w:r>
      <w:bookmarkEnd w:id="69"/>
    </w:p>
    <w:p w14:paraId="27950547">
      <w:pPr>
        <w:pStyle w:val="22"/>
        <w:rPr>
          <w:rFonts w:hAnsi="宋体" w:cs="宋体"/>
          <w:b/>
          <w:bCs/>
          <w:sz w:val="24"/>
          <w:szCs w:val="24"/>
        </w:rPr>
      </w:pPr>
      <w:r>
        <w:rPr>
          <w:rFonts w:hint="eastAsia" w:hAnsi="宋体" w:cs="宋体"/>
          <w:b/>
          <w:bCs/>
          <w:sz w:val="24"/>
          <w:szCs w:val="24"/>
        </w:rPr>
        <w:t>一、技术参数及要求</w:t>
      </w:r>
    </w:p>
    <w:tbl>
      <w:tblPr>
        <w:tblStyle w:val="43"/>
        <w:tblW w:w="10020" w:type="dxa"/>
        <w:tblInd w:w="-2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1074"/>
        <w:gridCol w:w="6576"/>
        <w:gridCol w:w="675"/>
        <w:gridCol w:w="840"/>
      </w:tblGrid>
      <w:tr w14:paraId="4503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78E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一、报告厅声光电设备</w:t>
            </w:r>
          </w:p>
        </w:tc>
      </w:tr>
      <w:tr w14:paraId="7756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E09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序号</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AE6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产品名称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2BF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产品规格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1D3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5C9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单位</w:t>
            </w:r>
          </w:p>
        </w:tc>
      </w:tr>
      <w:tr w14:paraId="328BA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FD0F">
            <w:pP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1、LED显示系统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6A6A">
            <w:pP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234C">
            <w:pPr>
              <w:rPr>
                <w:rFonts w:hint="eastAsia" w:asciiTheme="minorEastAsia" w:hAnsiTheme="minorEastAsia" w:eastAsiaTheme="minorEastAsia" w:cstheme="minorEastAsia"/>
                <w:i w:val="0"/>
                <w:iCs w:val="0"/>
                <w:color w:val="000000"/>
                <w:sz w:val="20"/>
                <w:szCs w:val="20"/>
                <w:u w:val="none"/>
              </w:rPr>
            </w:pPr>
          </w:p>
        </w:tc>
      </w:tr>
      <w:tr w14:paraId="1BBD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8BEB">
            <w:pP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1.1主屏系统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FCE4">
            <w:pP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4C71">
            <w:pPr>
              <w:rPr>
                <w:rFonts w:hint="eastAsia" w:asciiTheme="minorEastAsia" w:hAnsiTheme="minorEastAsia" w:eastAsiaTheme="minorEastAsia" w:cstheme="minorEastAsia"/>
                <w:i w:val="0"/>
                <w:iCs w:val="0"/>
                <w:color w:val="000000"/>
                <w:sz w:val="20"/>
                <w:szCs w:val="20"/>
                <w:u w:val="none"/>
              </w:rPr>
            </w:pPr>
          </w:p>
        </w:tc>
      </w:tr>
      <w:tr w14:paraId="615C2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D7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0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BE25">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LED显示屏灯珠采用表贴三合一铜线封装；LED封装形式：SMD1515黑灯；</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2.LED显示屏采用≤2.0mm点间距；</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3.LED显示屏模组尺寸320mm*160mm；</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4.LED显示屏采用前/后维护方式，可正面拆卸模组、接收卡、电源等低压器件，具备热插拔能力；</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5.LED显示屏符合等同或优于IP5X防护等级；</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6.LED显示屏亮度可达到450cd/m²，可通过配套软件0-100%调节，设置亮度定时调节；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7.LED显示屏对比度≥10000：1；LED显示屏杂点率≤1/100000且无连续失控点；</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8.LED显示屏亮度均匀性≥99%；LED显示色度均匀性±0.001Cx,Cy之内；</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9.LED显示屏观看水平≥160°/垂直视角≥140°；</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10.LED显示屏刷新频率≥3840Hz；</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11.LED显示屏峰值功耗为≤450W/㎡；LED显示屏平均功耗为≤150W/㎡；</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12.LED显示屏符合GB 4943.1-2022音视频、信息技术和通信技术设备安全标准对设备进行接地电阻测试试验输入地线-接地远端测试限值≤100mΩ</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3B06C86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13.LED显示屏符合GB 4943.1-2022音视频、信息技术和通信技术设备安全标准对设备进行接触电流测试试验，受试设备（EUT）的连接方式与交流电网电源的单独连接与交流电网电源的多路余连接与交流电网电源的多路同时连接试验电压（v）测得的电流值（mA）允许的大接触电流值（mA）测试的保护导体电流值（mA）允许的大保护导体电流（mA），接触电流值不得超过3.5mA。</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73DF28C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14.</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LED显示屏符合泄露电流需通过GB 4943.1-2022第5.1章标准试验，接地部分最大接触电流不应超过3.5mA，未接地部分最大接触电流不应超过0.25mA。</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43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31.8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33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4966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C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AA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8A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1.具有≥1个LCD显示屏，可显示设备当前状态和菜单，分辨率≥320×240。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2.整机支持带载≥1040万像素自定义输出，宽度≥61440像素，高度≥61440像素；单网口支持带载≥65万像素，宽度≥3840像素，高度≥3840像素。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3.支持输入分辨率≥3840×2160@60Hz；具备输入信号EDID管理功能，自定义宽度≥7680像素，高度≥7680像素。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4.具备视频源任意切换功能，亮度和色温调节功能。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5.具备≥8画面显示，≥1路OSD字幕画面，具备画面位置、大小自由调节功能。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6.具备检测输入信号、输出网口、接收卡通讯状态，支持在软件端进行查看。</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7.支持安卓、鸿蒙系统移动终端控制APP，实现信号切换功能。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8.具备画面回显功能，通过上位机软件预览输入输出画面。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9.具有≥16路千兆网口输出，支持网口备份模式；具有≥4个HDMI 1.3输入接口，≥1个HDMI2.0输入接口，≥1个DP1.2输入接口，≥1路音频输入接口，≥1路音频输出接口，≥1路RS-232接口。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FB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0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1E42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567A">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1.2LED左竖屏</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8A89">
            <w:pPr>
              <w:jc w:val="cente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58E3">
            <w:pPr>
              <w:jc w:val="center"/>
              <w:rPr>
                <w:rFonts w:hint="eastAsia" w:asciiTheme="minorEastAsia" w:hAnsiTheme="minorEastAsia" w:eastAsiaTheme="minorEastAsia" w:cstheme="minorEastAsia"/>
                <w:i w:val="0"/>
                <w:iCs w:val="0"/>
                <w:color w:val="000000"/>
                <w:sz w:val="20"/>
                <w:szCs w:val="20"/>
                <w:u w:val="none"/>
              </w:rPr>
            </w:pPr>
          </w:p>
        </w:tc>
      </w:tr>
      <w:tr w14:paraId="6235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CC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1F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D0D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LED显示屏灯珠采用表贴三合一铜线封装；LED封装形式：SMD1515黑灯；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2.LED显示屏采用≤2.0mm点间距；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3.LED显示屏模组尺寸320mm*160mm；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4.LED显示屏采用前/后维护方式，可正面拆卸模组、接收卡、电源等低压器件，具备热插拔能力；</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5.LED显示屏符合等同或优于IP5X防护等级；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6.LED显示屏亮度可达到450cd/m²，可通过配套软件0-100%调节，设置亮度定时调节；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7.LED显示屏对比度≥10000：1；LED显示屏杂点率≤1/100000且无连续失控点；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8.LED显示屏亮度均匀性≥99%；LED显示色度均匀性±0.001Cx,Cy之内；</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9.LED显示屏观看水平≥160°/垂直视角≥140°；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10.LED显示屏刷新频率≥3840Hz；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11.LED显示屏峰值功耗为≤450W/㎡；LED显示屏平均功耗为≤150W/㎡；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12.LED显示屏具备低蓝光模式，可在控制软件中选择30%、40%、70%三档调节显示屏蓝光输出，有效减少蓝光辐射对眼睛的伤害；</w:t>
            </w:r>
          </w:p>
          <w:p w14:paraId="51ADE3C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13.具备LED显示屏开关机次数、使用时长记录，可形成数据保存周期</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不少于100天</w:t>
            </w:r>
            <w:r>
              <w:rPr>
                <w:rFonts w:hint="eastAsia" w:asciiTheme="minorEastAsia" w:hAnsiTheme="minorEastAsia" w:eastAsiaTheme="minorEastAsia" w:cstheme="minorEastAsia"/>
                <w:i w:val="0"/>
                <w:iCs w:val="0"/>
                <w:color w:val="000000"/>
                <w:kern w:val="0"/>
                <w:sz w:val="20"/>
                <w:szCs w:val="20"/>
                <w:u w:val="none"/>
                <w:lang w:val="en-US" w:eastAsia="zh-CN" w:bidi="ar"/>
              </w:rPr>
              <w:t>，并支持对现场温湿度的监测，可在控制软件端实时显示数据，方便用户了解现场屏体、环境温湿度数据情况；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AB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6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5A42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C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C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58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1.具有≥1个LCD显示屏，可显示设备当前状态和菜单，分辨率≥160×128。</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2.整机支持带载≥260万像素自定义输出，宽度≥7680像素，高度≥7680像素；单网口支持带载≥65万像素，宽度≥1920像素，高度≥1920像素。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3.支持输入分辨率≥1920×1080@60Hz；具备输入信号EDID管理功能，自定义宽度≥2048像素，高度≥2048像素。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4.具备视频源任意切换功能，亮度和色温调节功能。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5.具备≥1路OSD字幕画面，具备画面位置、大小自由调节功能。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6.具备检测输入信号、输出网口、接收卡通讯状态，支持在软件端进行查看。</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7.支持安卓、鸿蒙系统移动终端控制APP，实现信号切换功能。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8.具备画面回显功能，通过上位机软件预览输入输出画面。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9.具有≥4路千兆网口输出，支持网口备份模式；具有≥3个HDMI 1.3输入接口，≥1个DVI输入接口。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C9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5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047C4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A53C">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1.3LED右竖屏</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42BE">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7746">
            <w:pPr>
              <w:jc w:val="left"/>
              <w:rPr>
                <w:rFonts w:hint="eastAsia" w:asciiTheme="minorEastAsia" w:hAnsiTheme="minorEastAsia" w:eastAsiaTheme="minorEastAsia" w:cstheme="minorEastAsia"/>
                <w:i w:val="0"/>
                <w:iCs w:val="0"/>
                <w:color w:val="000000"/>
                <w:sz w:val="20"/>
                <w:szCs w:val="20"/>
                <w:u w:val="none"/>
              </w:rPr>
            </w:pPr>
          </w:p>
        </w:tc>
      </w:tr>
      <w:tr w14:paraId="3CC8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69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D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B3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1.LED显示屏灯珠采用表贴三合一铜线封装；LED封装形式：SMD1515黑灯；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2.LED显示屏采用≤2.0mm点间距；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3.LED显示屏模组尺寸320mm*160mm；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4.LED显示屏采用前/后维护方式，可正面拆卸模组、接收卡、电源等低压器件，具备热插拔能力；</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5.LED显示屏符合等同或优于IP5X防护等级；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6.LED显示屏亮度可达到450cd/m²，可通过配套软件0-100%调节，设置亮度定时调节；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7.LED显示屏对比度≥10000：1；LED显示屏杂点率≤1/100000且无连续失控点；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8.LED显示屏亮度均匀性≥99%；LED显示色度均匀性±0.001Cx,Cy之内；</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9.LED显示屏观看水平≥160°/垂直视角≥140°；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10.LED显示屏刷新频率≥3840Hz；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11.LED显示屏峰值功耗为≤450W/㎡；LED显示屏平均功耗为≤150W/㎡；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12.LED显示屏具备低蓝光模式，可在控制软件中选择30%、40%、70%三档调节显示屏蓝光输出，有效减少蓝光辐射对眼睛的伤害；</w:t>
            </w:r>
            <w:r>
              <w:rPr>
                <w:rFonts w:hint="eastAsia" w:asciiTheme="minorEastAsia" w:hAnsiTheme="minorEastAsia" w:eastAsiaTheme="minorEastAsia" w:cstheme="minorEastAsia"/>
                <w:i w:val="0"/>
                <w:iCs w:val="0"/>
                <w:strike/>
                <w:dstrike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13.具备LED显示屏开关机次数、使用时长记录，可形成数据保存周</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期不少于100天，</w:t>
            </w:r>
            <w:r>
              <w:rPr>
                <w:rFonts w:hint="eastAsia" w:asciiTheme="minorEastAsia" w:hAnsiTheme="minorEastAsia" w:eastAsiaTheme="minorEastAsia" w:cstheme="minorEastAsia"/>
                <w:i w:val="0"/>
                <w:iCs w:val="0"/>
                <w:color w:val="000000"/>
                <w:kern w:val="0"/>
                <w:sz w:val="20"/>
                <w:szCs w:val="20"/>
                <w:u w:val="none"/>
                <w:lang w:val="en-US" w:eastAsia="zh-CN" w:bidi="ar"/>
              </w:rPr>
              <w:t>并支持对现场温湿度的监测，可在控制软件端实时显示数据，方便用户了解现场屏体、环境温湿度数据情况；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9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A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0A300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9C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A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56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1.具有≥1个LCD显示屏，可显示设备当前状态和菜单，分辨率≥160×128。</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2.整机支持带载≥260万像素自定义输出，宽度≥7680像素，高度≥7680像素；单网口支持带载≥65万像素，宽度≥1920像素，高度≥1920像素。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3.支持输入分辨率≥1920×1080@60Hz；具备输入信号EDID管理功能，自定义宽度≥2048像素，高度≥2048像素。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4.具备视频源任意切换功能，亮度和色温调节功能。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5.具备≥1路OSD字幕画面，具备画面位置、大小自由调节功能。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6.具备检测输入信号、输出网口、接收卡通讯状态，支持在软件端进行查看。</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7.支持安卓、鸿蒙系统移动终端控制APP，实现信号切换功能。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8.具备画面回显功能，通过上位机软件预览输入输出画面。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9.具有≥4路千兆网口输出，支持网口备份模式；具有≥3个HDMI 1.3输入接口，≥1个DVI输入接口。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A5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78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3A35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BC9D">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 控制设备以及配套设备</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7415">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75D1">
            <w:pPr>
              <w:jc w:val="left"/>
              <w:rPr>
                <w:rFonts w:hint="eastAsia" w:asciiTheme="minorEastAsia" w:hAnsiTheme="minorEastAsia" w:eastAsiaTheme="minorEastAsia" w:cstheme="minorEastAsia"/>
                <w:i w:val="0"/>
                <w:iCs w:val="0"/>
                <w:color w:val="000000"/>
                <w:sz w:val="20"/>
                <w:szCs w:val="20"/>
                <w:u w:val="none"/>
              </w:rPr>
            </w:pPr>
          </w:p>
        </w:tc>
      </w:tr>
      <w:tr w14:paraId="3EBEC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A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0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无缝高清矩阵切换器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D1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1.矩阵采用纯硬件标准化机箱设计，支持配置≥16×16路信号切换，支持HDMI、DVI、VGA、SDI、HDBaseT、光纤的任意输入/输出信号卡，其中DVI输入卡兼容CVBS，YUV,VGA信号，VGA输入/输出卡均兼容CVBS，YUV,VGA信号。</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2.采用板卡模块化设计，支持接入≥4块输入卡、≥4块输出卡、≥1块控制卡；通过定制配置各类相同或不同的输入输出卡可以组成单一接口类型或多接口类型的矩阵，如HDMI矩阵，DVI矩阵，VGA矩阵，YUV矩阵。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3.支持无缝切换功能，切换过程无黑屏信号。</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4.输入输出分辨率支持≥4K@60Hz；支持断电记忆功能；系统内可存储多组预切换指令，调用时可以一键切换</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（提供功能截图进行佐证）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5.支持模拟音频与HDMI内嵌音频选择输入、支持模拟音频与HDMI内嵌音频同时输出。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6.采用多线程通信技术，支持接入≥1块控制板卡，具有≥1路RS-232接口,≥1路RS-485接口,≥1路TCP/IP端口，支持扩展延长触控屏控制。</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7.HDBaseT输入输出信号支持双向RS-232和双向IR信号传输，可对RS-232和IR信号选择随视频信号切换，或分离切换模式。</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机箱前面板内置≥7英寸全彩触摸屏，可通过前面板触控屏进行通道切换、场景调用、切换、保存操作，具备自定义设置场景名称功能，可查看设备IP地址、通道信息、切换状态，可进行IP地址设置、重置，具备通道切换状态显示，支持输出分辨率显示，支持板卡接入状态显示，具备中英文双语切换功能。</w:t>
            </w:r>
            <w:r>
              <w:rPr>
                <w:rFonts w:hint="eastAsia" w:asciiTheme="minorEastAsia" w:hAnsiTheme="minorEastAsia" w:eastAsiaTheme="minorEastAsia" w:cstheme="minorEastAsia"/>
                <w:color w:val="FF0000"/>
                <w:sz w:val="20"/>
                <w:szCs w:val="20"/>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9.采用无极缩放算法与视频编解码处理技术，支持画面色度、亮度、对比度、色温、伽马值等调节，支持HDR画质增强功能。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D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C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BD6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2B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87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HDMI超高清无缝输入卡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ED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1．具有≥4路HDMI-A母接口输入和≥4路3.5mm音频座，支持音视频信号一起切换，同时支持音频单独传输，模拟音频与HDMI内嵌音频支持选择输入。</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2．画面切换效果支持无缝切换，切换过程无闪烁、无黑屏。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3．模块插板式矩阵，支持热插拔，即插即用。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4．支持断电现场切换记忆保护功能，ESD静电保护功能。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5．支持分辨率≥3840×2160P@60Hz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6．支持EDID管理功能，可选默认EDID或者现场可学习。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4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4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r>
      <w:tr w14:paraId="74FE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25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3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HDMI超高清无缝输出卡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4A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1．具有≥4路HDMI-A母接口输出和≥4路3.5mm音频座，支持音视频信号一起切换，同时支持音频单独传输，模拟音频与HDMI内嵌音频支持选择输出。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2．画面切换效果支持无缝切换，切换过程无闪烁、无黑屏。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3．模块插板式矩阵，支持热插拔，即插即用。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4．支持断电现场切换记忆保护功能，ESD静电保护功能。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5．支持分辨率≥3840×2160P@60Hz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6．支持EDID管理功能，可选默认EDID或者现场可学习。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1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D8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r>
      <w:tr w14:paraId="5625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7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AB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LED配电柜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05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1.额定功率：≥40kW，输出路数：≥12路；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2.输入电压：三相五线制AC380V±10%，频率50Hz±5%；</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3.输出电压：单相220VAC；</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4.具备过压、欠压、过流、短路、断路、过载、浪涌电气保护措施；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5.具备电子按键、手持遥控器、电脑远控多种控制方式；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6.具备单台、集群管理功能，采用RS485有线以太网远程通信端口，在局域网内任意一台电脑进行控制；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7.具备设置≥4组开关时间，支持每天定时通电和断电功能；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8.具备通过PLC软件实现实时温度、湿度、过压、欠压、过流、缺相监测，实时高温低温、高湿自动断电；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9.具备触发告警后，电脑自动强制弹屏提示，PLC蜂鸣器告警、软件弹屏告警方式；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10.具备继电器回路整体上下电，也可通过PLC软件单独控制每个接触器的上下电；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11.内置避雷器，具有避雷防雷功能；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12.内置10A-16A备用三孔万能插座；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13.PLC软件具备多国语言切换界面，可运行于银河麒麟、统信国产操作系统；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14.PLC软件具备自动保存所有操作记录、告警记录、温湿度运行数据，支持历史记录查询，导出Excel文档；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15.具备配电系统中对线路起隔离、过载、短路及过压、欠压保护及自动恢复功能，同时可实现远程控制自动分闸，及自动重合闸功能，发生故障时也可切换手动维修合闸；</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4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2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A284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6EE5">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2、舞台灯光系统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E4F0">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63C4">
            <w:pPr>
              <w:jc w:val="left"/>
              <w:rPr>
                <w:rFonts w:hint="eastAsia" w:asciiTheme="minorEastAsia" w:hAnsiTheme="minorEastAsia" w:eastAsiaTheme="minorEastAsia" w:cstheme="minorEastAsia"/>
                <w:i w:val="0"/>
                <w:iCs w:val="0"/>
                <w:color w:val="000000"/>
                <w:sz w:val="20"/>
                <w:szCs w:val="20"/>
                <w:u w:val="none"/>
              </w:rPr>
            </w:pPr>
          </w:p>
        </w:tc>
      </w:tr>
      <w:tr w14:paraId="6CDE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DA89">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2.1一顶光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6FE0">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48AC">
            <w:pPr>
              <w:jc w:val="left"/>
              <w:rPr>
                <w:rFonts w:hint="eastAsia" w:asciiTheme="minorEastAsia" w:hAnsiTheme="minorEastAsia" w:eastAsiaTheme="minorEastAsia" w:cstheme="minorEastAsia"/>
                <w:i w:val="0"/>
                <w:iCs w:val="0"/>
                <w:color w:val="000000"/>
                <w:sz w:val="20"/>
                <w:szCs w:val="20"/>
                <w:u w:val="none"/>
              </w:rPr>
            </w:pPr>
          </w:p>
        </w:tc>
      </w:tr>
      <w:tr w14:paraId="627D7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B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A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87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1.采用≥54×3W LED光源，光源平均寿命≥50000H。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2.具备光束角度≥15°，光斑角度≥30°。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4.具备RGBW(红绿蓝白)线性混色系统，内置宏功能，支持3200K-7200K色温线性调节。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6.采用数码管显示，配置≥4个机械按键。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8.支持DMX512协议，RDM协议，内置主从模式、自走模式、声控模式、手动控制模式。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9.具备≥2种通道模式，由精简模式≥4CH，标准模式≥8CH组成。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B0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0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1406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C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F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66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1.采用≥630*0.5W LED光源，光源平均寿命≥50000H。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2.具备光斑角度≥100°。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5.采用≥1.8英寸蓝屏LCD显示屏，配置≥4个机械按键。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7.支持DMX512协议，RDM协议，内置主从模式、自走模式、手动控制模式。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8.具备≥3种通道模式，由精简模式≥2CH，标准模式≥6CH，拓展模式≥7CH组成。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9.配置≥1个电源输入接口，≥1个电源输出接口，≥1个DMX512输入接口，≥1个DMX512输出接口。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10.具备Ra≥95。</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11.支持3000K-6500K色温线性调节。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0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EA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BF5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0F13">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2.2二顶光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D49A">
            <w:pPr>
              <w:jc w:val="cente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8B03">
            <w:pPr>
              <w:jc w:val="center"/>
              <w:rPr>
                <w:rFonts w:hint="eastAsia" w:asciiTheme="minorEastAsia" w:hAnsiTheme="minorEastAsia" w:eastAsiaTheme="minorEastAsia" w:cstheme="minorEastAsia"/>
                <w:i w:val="0"/>
                <w:iCs w:val="0"/>
                <w:color w:val="000000"/>
                <w:sz w:val="20"/>
                <w:szCs w:val="20"/>
                <w:u w:val="none"/>
              </w:rPr>
            </w:pPr>
          </w:p>
        </w:tc>
      </w:tr>
      <w:tr w14:paraId="0BA8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F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9E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DB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1.采用≥54×3W LED光源，光源平均寿命≥50000H。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2.具备光束角度≥15°，光斑角度≥30°。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4.具备RGBW(红绿蓝白)线性混色系统，内置宏功能，支持3200K-7200K色温线性调节。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6.采用数码管显示，配置≥4个机械按键。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8.支持DMX512协议，RDM协议，内置主从模式、自走模式、声控模式、手动控制模式。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9.具备≥2种通道模式，由精简模式≥4CH，标准模式≥8CH组成。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C1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25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EB6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3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70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B7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1.采用≥630*0.5W LED光源，光源平均寿命≥50000H。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2.具备光斑角度≥100°。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5.采用≥1.8英寸蓝屏LCD显示屏，配置≥4个机械按键。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7.支持DMX512协议，RDM协议，内置主从模式、自走模式、手动控制模式。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8.具备≥3种通道模式，由精简模式≥2CH，标准模式≥6CH，拓展模式≥7CH组成。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9.配置≥1个电源输入接口，≥1个电源输出接口，≥1个DMX512输入接口，≥1个DMX512输出接口。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10.具备Ra≥95。</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11.支持3000K-6500K色温线性调节。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9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72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45C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5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5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摇头灯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52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1.采用≥371W灯泡，光源平均寿命≥1500H。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2.配置≥φ155mm口径出光镜头，光束角度≤2°。</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3.配置≥1个颜色盘，由≥14个颜色+≥1个白光组成，双向彩虹效果，速度可调，任意定位功能。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4.配置≥1个固定图案盘，由≥16个固定图案+≥1个白光组成，速度可调，任意定位功能。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5.配置≥1个八彩镜，实现光束多彩效果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6.配置≥2个棱镜，由≥1个八棱镜+≥1个二十四棱镜，可正反旋转，速度可调，棱镜叠加功能。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7.配置≥1个独立的雾化片，实现柔光雾化效果。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9.采用≥2.4英寸LCD液晶显示屏，配置≥5个机械按键。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10.支持通过实时监控风扇转速，可以在显示屏上显示风扇的旋转状态和速度。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11.配备≥20个独立可编辑场景，单机编程录制出多变的场景灯光效果。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12.支持弹窗式预警功能，在设备运行出现故障或其他问题时自动弹出一个警告窗口。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13.支持≥6种屏保模式，当显示屏在一段时间内没有活动时，将自动进入屏保模式。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14.支持0-23次/秒双片式频闪，速度可调节，内置随机频闪或脉冲频闪；支持0-100%线性调光，具备≥4种调光曲线（平方曲线、反曲线、直线和S曲线）。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15.支持RDM协议，单机编程控制模式；具备≥2种通道模式，由精简模式≥12CH，标准模式≥14CH组成。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8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CF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7E7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7039">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2.3三顶光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46E1">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A2D5">
            <w:pPr>
              <w:jc w:val="left"/>
              <w:rPr>
                <w:rFonts w:hint="eastAsia" w:asciiTheme="minorEastAsia" w:hAnsiTheme="minorEastAsia" w:eastAsiaTheme="minorEastAsia" w:cstheme="minorEastAsia"/>
                <w:i w:val="0"/>
                <w:iCs w:val="0"/>
                <w:color w:val="000000"/>
                <w:sz w:val="20"/>
                <w:szCs w:val="20"/>
                <w:u w:val="none"/>
              </w:rPr>
            </w:pPr>
          </w:p>
        </w:tc>
      </w:tr>
      <w:tr w14:paraId="2E954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C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6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A4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1.采用≥54×3W LED光源，光源平均寿命≥50000H。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2.具备光束角度≥15°，光斑角度≥30°。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4.具备RGBW(红绿蓝白)线性混色系统，内置宏功能，支持3200K-7200K色温线性调节。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6.采用数码管显示，配置≥4个机械按键。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8.支持DMX512协议，RDM协议，内置主从模式、自走模式、声控模式、手动控制模式。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9.具备≥2种通道模式，由精简模式≥4CH，标准模式≥8CH组成。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05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0C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7F5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6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0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摇头灯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43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1.采用≥371W灯泡，光源平均寿命≥1500H。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2.配置≥φ155mm口径出光镜头，光束角度≤2°。</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3.配置≥1个颜色盘，由≥14个颜色+≥1个白光组成，双向彩虹效果，速度可调，任意定位功能。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4.配置≥1个固定图案盘，由≥16个固定图案+≥1个白光组成，速度可调，任意定位功能。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5.配置≥1个八彩镜，实现光束多彩效果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6.配置≥2个棱镜，由≥1个八棱镜+≥1个二十四棱镜，可正反旋转，速度可调，棱镜叠加功能。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7.配置≥1个独立的雾化片，实现柔光雾化效果。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9.采用≥2.4英寸LCD液晶显示屏，配置≥5个机械按键。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10.支持通过实时监控风扇转速，可以在显示屏上显示风扇的旋转状态和速度。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11.配备≥20个独立可编辑场景，单机编程录制出多变的场景灯光效果。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12.支持弹窗式预警功能，在设备运行出现故障或其他问题时自动弹出一个警告窗口。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13.支持≥6种屏保模式，当显示屏在一段时间内没有活动时，将自动进入屏保模式。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14.支持0-23次/秒双片式频闪，速度可调节，内置随机频闪或脉冲频闪；支持0-100%线性调光，具备≥4种调光曲线（平方曲线、反曲线、直线和S曲线）。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15.支持RDM协议，单机编程控制模式；具备≥2种通道模式，由精简模式≥12CH，标准模式≥14CH组成。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2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5D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E49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04DC">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2.4面光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CE73">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17D5">
            <w:pPr>
              <w:jc w:val="left"/>
              <w:rPr>
                <w:rFonts w:hint="eastAsia" w:asciiTheme="minorEastAsia" w:hAnsiTheme="minorEastAsia" w:eastAsiaTheme="minorEastAsia" w:cstheme="minorEastAsia"/>
                <w:i w:val="0"/>
                <w:iCs w:val="0"/>
                <w:color w:val="000000"/>
                <w:sz w:val="20"/>
                <w:szCs w:val="20"/>
                <w:u w:val="none"/>
              </w:rPr>
            </w:pPr>
          </w:p>
        </w:tc>
      </w:tr>
      <w:tr w14:paraId="2368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9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67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6A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1.采用≥200W 白光LED COB，光源平均寿命≥50000H。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2.具备Ra≥95 ，R9≥85 ，R15≥90。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3.支持线性电动调焦,具备12°-36°光学角度。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4.采用≥φ174mm口径菲涅尔镜片。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5.支持0-25次/秒电子频闪，速度可调节，内置随机频闪或脉冲频闪,支持0-100%电子线性调光。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6.支持2700K-7000K色温线性调节。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7.采用≥1.8英寸蓝屏LCD显示屏，配置≥4个机械按键。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8.支持DMX信号更新、云端服务器远程在线更新。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9.内置NTC温度控测功能，当LED工作过热时，智能降低LED的输出功率。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10.支持DMX512协议，RDM协议，内置主从模式、自走模式、手动控制模式。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11.具备≥2种通道模式，包含精简模式≥3CH，标准模式≥6CH。</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7B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7F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053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550D">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2.5外围设备及控制系统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FCCD">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AD28">
            <w:pPr>
              <w:jc w:val="left"/>
              <w:rPr>
                <w:rFonts w:hint="eastAsia" w:asciiTheme="minorEastAsia" w:hAnsiTheme="minorEastAsia" w:eastAsiaTheme="minorEastAsia" w:cstheme="minorEastAsia"/>
                <w:i w:val="0"/>
                <w:iCs w:val="0"/>
                <w:color w:val="000000"/>
                <w:sz w:val="20"/>
                <w:szCs w:val="20"/>
                <w:u w:val="none"/>
              </w:rPr>
            </w:pPr>
          </w:p>
        </w:tc>
      </w:tr>
      <w:tr w14:paraId="4325E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E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A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控台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A6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1.物理固定输出≥1024个DMX512控制通道，可使用ART-NET拓展到≥4个输出口，共≥2048个DMX512通道。</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2.支持≥96台电脑灯的配接数量。</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3.支持电脑灯重新配接地址码，支持灯具水平垂直交换，支持灯具通道反相输出。</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4.支持灯具通道滑步模式切换，支持≥40主通道+≥40微调通道控制，支持R20灯库。</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5.具备≥60个可保存的场景，具备≥10个可同时运行的场景，具备≥600步场景的总步数。</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6.具备淡入、淡出、LTP滑步场景时间控制。</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7.支持推杆启动场景并进行调光，支持互锁场景，支持点控场景。</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8.具备图形生成器，每个场景可存储≥5个图形。</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9.具备≥10个可同时运行图形数量。</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10.具备全局、重演、灯具主控推杆。</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11.支持立即黑场。</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12.支持转盘调整通道数值，支持推杆调整通道数值，支持推杆调光。</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13.支持FAT32格式U盘读取。</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14.支持Art-net协议与RDM协议。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8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4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E9B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2F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F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信号放大器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7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1.支持DMX512公母接口输入。</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2.支持输入输出光电隔离。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3.支持≥8路独立放大驱动输出。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4.具备信号放大整形功能，延长信号传输距离。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5.具备增强数据总线接入设备数量的能力。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6.具备独立的LED信号指示。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ED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8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3BF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4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60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直通箱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6F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1.具备过载与短路双重保护高分断空气开关。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2.具备≥12路×4KW功率输出。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3.支持A.B.C三相工作指示灯。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4.支持两脚和三脚万能用插座。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0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4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2980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E2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A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大灯勾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8A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1.规格：厚度≥28mm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2.承重：≥50kg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3.卡管：40mm-58mm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4.配套：外六角螺栓M10*30（GB5783，≥4.8级）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5.材质：拉伸铝</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1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C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5D940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7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5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多功能灯勾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2A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1.规格：厚度≥30mm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2.承重：≥150kg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3.卡管：44mm-52mm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4.配套：外六角螺栓M10*40（GB5783，≥4.8级）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5.材质：拉伸铝</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AC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A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5A756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6B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DD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安全绳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FE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1.规格：直径≥4.0mm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2.长度：总长≥845mm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3.材质：铁+包胶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4.承重：≥100kg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备注：配≥1个5号扣，铝套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DB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77</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1E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7C3B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95BF">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2.6舞台机械幕布</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ED12">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5CA7">
            <w:pPr>
              <w:jc w:val="left"/>
              <w:rPr>
                <w:rFonts w:hint="eastAsia" w:asciiTheme="minorEastAsia" w:hAnsiTheme="minorEastAsia" w:eastAsiaTheme="minorEastAsia" w:cstheme="minorEastAsia"/>
                <w:i w:val="0"/>
                <w:iCs w:val="0"/>
                <w:color w:val="000000"/>
                <w:sz w:val="20"/>
                <w:szCs w:val="20"/>
                <w:u w:val="none"/>
              </w:rPr>
            </w:pPr>
          </w:p>
        </w:tc>
      </w:tr>
      <w:tr w14:paraId="7404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F6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3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环链电动葫芦</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8D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1.具备≥1000kg载荷重量；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2.具备≥14m链条长度；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3.具备不低于7*21mm破断力8倍链条规格；</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4.具有≥55Db噪音等级；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5.支持≥4m/min提升速度；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6.支持≥IP54防护等级；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7.支持≥40%JC接电持续率；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8.支持F级电机绝缘等级；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9.支持≥1380r/min电机转速；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10.具备超载机械保护装置；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11.支持上下行程电子限位；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F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DA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DC7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0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98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三角桁架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2F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1.规格：≥1米铝合金三角桁架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27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73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045E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B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AE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连接件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40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吊点连接件/配合桁架制作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9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D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31B1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6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EF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吊环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70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U型吊环/弓形卸扣3.25吨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4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75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1992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1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5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收线器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84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电缆8*2.5mm2/收线长度：10米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7A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2E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7D40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5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E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控制柜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71D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1.额定输入电流≥25A；额定输入功率≥12KW；具备≥12路输出路数。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2.支持通过APP进行无线控制，兼容Windows、iOS及Android多平台，可在局域网内通过手机、平板、PC等终端设备实现远程操作。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3.支持工业通信协议，串口通信采用MODBUS RTU协议；以太网通信运用MODBUS TCP/IP、EtherNet/IP协议；自由口协议则可针对特殊设备或场景进行通信配置。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4.支持通过触摸屏实现对吊杆、对开大幕等舞台设备的实时控制，界面采用图形化设计。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5.支持多台电动葫芦编组集中控制，用户可自定义设备组合，一键执行批量升降运行等指令。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6.具备PLC接口，由≥2个以太网口，≥1个RS485口，≥8路数字量输入，≥24路数字量输出组成。</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7.具备触摸屏接口，由≥2个以太网口，≥1个RS485口，≥1个USB2.0。</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（提供实物接口图片进行佐证）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10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F3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B60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6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2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24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D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194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6D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54C68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7B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5C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46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3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B8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59347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81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C2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AD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D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B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3B92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F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5A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6F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6E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07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20B5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75A2">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2.7声光影系统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1181">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4100">
            <w:pPr>
              <w:jc w:val="left"/>
              <w:rPr>
                <w:rFonts w:hint="eastAsia" w:asciiTheme="minorEastAsia" w:hAnsiTheme="minorEastAsia" w:eastAsiaTheme="minorEastAsia" w:cstheme="minorEastAsia"/>
                <w:i w:val="0"/>
                <w:iCs w:val="0"/>
                <w:color w:val="000000"/>
                <w:sz w:val="20"/>
                <w:szCs w:val="20"/>
                <w:u w:val="none"/>
              </w:rPr>
            </w:pPr>
          </w:p>
        </w:tc>
      </w:tr>
      <w:tr w14:paraId="53F8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9E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C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声光影主机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32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1.产品配置等于或优于Intel i3 10代处理器，内存≥8G，存储≥128G。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2.具有在线音乐库功能，用户能够自由选择自己喜欢的音乐并将其下载至设备上；内置智能音乐结构分析技术，实时生成音乐段落、节拍、速度、力度数据信息；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内置声卡和音乐播放器功能，无需额外增加音乐播放设备；内置在线音乐曲库，提供在线音乐供用户选择，用户能够自由选择自己喜欢的音乐并将其下载至设备上，通过音频结构分析技术，分析音频的前奏、上扬、下行、副歌、演唱副歌、连续段、尾奏、爆点等段落，根据段落自动调度灯光、视频、机械设备，与现场音乐协调联动。</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（提供功能截图进行佐证）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4.具有音乐编排功能，能够对不同音乐进行分类，并提供≥三种不同的类型；用户可以创建歌单，并将喜欢的歌曲添加到歌单中。</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5.具有联动控制功能，可提前预设输入场景模式，用户可以设置音量增减、播放、暂停、下一首、模式设置功能，并提供OSC协议、485/232协议和BPM输出中控指令。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产品符合GB4943.1-2022《音视频、信息技术和通信技术设备第1部分：安全要求》，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具有联动控制模式输出功能，可提前预设输出场景模式，通过控制面板触发预设的模式；可根据歌曲BPM值与灯光、视频联动，使灯光、视频与歌曲的律动同步触发；提供OSC协议、485/232协议/BPM输出中控指令；具有中控图形化编程方式，用户可自定义界面图片、文本、数字、按钮、开关、下拉框、分组名称、边框颜色界面模块；支持OSC、UDP、485、232协议，双向通讯，可实时反馈控制状态。</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FF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创建场景模式，可编辑模式名称，提前预设场景模式对应的歌曲或歌单、音频联动模式选择、视频联动模式选择；预设输入通道音量大小、≥8段EQ均衡调节、延时补偿功能；预设输出通道超低音、立体声、3D环绕、立体声子通道音量大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▲8.设备接口：具有≥4路XLR音频输入接口和≥4路XLR音频输出接口；具有≥1路RS485、≥1路RS232；具有≥2路USB2.0；具有≥1路WAN接口、≥12路LAN接口；支持网络传输音频功能，支持≥10进16出音频传输通道。</w:t>
            </w:r>
            <w:r>
              <w:rPr>
                <w:rFonts w:hint="eastAsia" w:asciiTheme="minorEastAsia" w:hAnsiTheme="minorEastAsia" w:eastAsiaTheme="minorEastAsia" w:cstheme="minorEastAsia"/>
                <w:b/>
                <w:bCs/>
                <w:i w:val="0"/>
                <w:iCs w:val="0"/>
                <w:color w:val="auto"/>
                <w:kern w:val="0"/>
                <w:sz w:val="20"/>
                <w:szCs w:val="20"/>
                <w:u w:val="none"/>
                <w:lang w:val="en-US" w:eastAsia="zh-CN" w:bidi="ar"/>
              </w:rPr>
              <w:t>（提供设备接口图佐证）</w:t>
            </w:r>
            <w:r>
              <w:rPr>
                <w:rFonts w:hint="eastAsia" w:asciiTheme="minorEastAsia" w:hAnsiTheme="minorEastAsia" w:eastAsiaTheme="minorEastAsia" w:cstheme="minorEastAsia"/>
                <w:i w:val="0"/>
                <w:iCs w:val="0"/>
                <w:color w:val="FF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9.具有移动端控制软件，可让用户进行高程度的定制化，支持UI界面、空间场景、操作功能的定制。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10.具有云端备份以及远程服务，可通过互联网远程访问、控制设备。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11.具有SMPTE时间码功能（LTC）精确同步音频和视频信号；支持沉浸式环绕效果声技术，可以实现≥64通道的沉浸式环绕声效果，并且具有≥100首以上在线沉浸声音乐素材可免费下载。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1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C1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1D1F1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8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C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影像处理器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26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1.采用OSC控制协议与声光影主机无缝对接，能根据音乐结构信息，实时调节视频速度、颜色以及特效节奏。</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2.自带高清素材，支持上传和播放自制视频素材。</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（提供功能截图佐证）</w:t>
            </w:r>
            <w:r>
              <w:rPr>
                <w:rFonts w:hint="eastAsia" w:asciiTheme="minorEastAsia" w:hAnsiTheme="minorEastAsia" w:eastAsiaTheme="minorEastAsia" w:cstheme="minorEastAsia"/>
                <w:i w:val="0"/>
                <w:iCs w:val="0"/>
                <w:color w:val="FF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3.具有≥1路USB3.0视频采集，支持画中画功能，最大支持≥4个窗口，可自定义每个窗口的分辨率。</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4.具有≥2路USB3.0素材导入接口。</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5.具有≥2路HDMI视频输出通道，支持全高清≥1920×1080P@60fps的视频输出标准。</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6.支持≥1路RCA音频采集。</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7.支持≥2路RJ45，连接至声光影主机。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0A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0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814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2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7C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灯光处理器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F6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1.可与声光影主机进行无缝对接，实现“光随声动”的联动效果。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2.支持灯光控台信号录制功能，便于制作灯光特效。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3.支持灯光平行控制切换，用户可主动切换至灯控台控制。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4.具有≥2路DMX512输入，可接入主流灯控台。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5.具有≥2路DMX512输出，共≥1024路灯光控制通道。</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6.最大支持≥12台设备接入，最大实现≥12288路灯光控制通道。</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9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15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0299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3AC6">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3、专业扩声系统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E8A1">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5AE2">
            <w:pPr>
              <w:jc w:val="left"/>
              <w:rPr>
                <w:rFonts w:hint="eastAsia" w:asciiTheme="minorEastAsia" w:hAnsiTheme="minorEastAsia" w:eastAsiaTheme="minorEastAsia" w:cstheme="minorEastAsia"/>
                <w:i w:val="0"/>
                <w:iCs w:val="0"/>
                <w:color w:val="000000"/>
                <w:sz w:val="20"/>
                <w:szCs w:val="20"/>
                <w:u w:val="none"/>
              </w:rPr>
            </w:pPr>
          </w:p>
        </w:tc>
      </w:tr>
      <w:tr w14:paraId="302A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50A9">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3.1、信号放大及扬声器系统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7E1E">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7114">
            <w:pPr>
              <w:jc w:val="left"/>
              <w:rPr>
                <w:rFonts w:hint="eastAsia" w:asciiTheme="minorEastAsia" w:hAnsiTheme="minorEastAsia" w:eastAsiaTheme="minorEastAsia" w:cstheme="minorEastAsia"/>
                <w:i w:val="0"/>
                <w:iCs w:val="0"/>
                <w:color w:val="000000"/>
                <w:sz w:val="20"/>
                <w:szCs w:val="20"/>
                <w:u w:val="none"/>
              </w:rPr>
            </w:pPr>
          </w:p>
        </w:tc>
      </w:tr>
      <w:tr w14:paraId="0B41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7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6B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线阵音箱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18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1.采用≥两只10寸低音单元和一只3寸高音驱动器组成。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2.专业航空插座、插头。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3.采用等同或优于0°~10°的专业化吊挂系统。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4.类型：二分频线性阵列全频音箱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5.标称阻抗：低音≤8Ω，高音≤8Ω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6.频率范围等同或优于55Hz-20kHz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7.额定功率≥低音700W，高音120W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8.水平覆盖角(-6dB)≥110°、垂直覆盖角(-6dB)≥10°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DA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8A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09402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8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F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E2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1.标准≤1U机柜式设计，采用PFC+开关电源+D类数字功放设计方案。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2.开机软启动功能，软启动过程中电源需求缓慢上升，减少对电网和其他电子设备的电流冲击。</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3.采用数字功放双环路压限保护电路，避免开机瞬间的大电流冲击扬声器，减少对扬声器的损害风险，为功放全方位系统保护。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4.采用开关电源输出电压自启停动态节能的功能，自适应动态功率高效转换功能。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5.支持过压保护、欠压保护、过流保护、输出短路保护、温度压限、信号压限、温度自动控风扇功能，很大程度提高功放稳定性和可靠性。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6.XLR平衡式输入/XLR 平衡式LINK输出；SPEAKON音响插座输出。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7.MONO/STEREO/BRIDGE三种模式可选择切换。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8.灵敏度1V/2V可选择切换。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9.带温控风机，开机即转，随着温度长高风扇加速。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10.面板有信号（绿）、削顶（橙）、保护指示灯（红）、电源指示灯（蓝）。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11.输出功率（1KHz/THD≤1％）：连续功率：立体声8Ω×2：≥2*1000W；立体声4Ω×2：≥2*1700W；立体声2Ω×2：≥2*2900W；桥接16Ω：≥2000W；桥接8Ω：≥3400W；桥接4Ω：≥5800W。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C4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5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500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94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F5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16D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1.标准≤1U机箱设计，采用D类数字功放设计方案。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2.内置智能削峰限幅器，过流压限控制功率器，让扬声器系统在安全范围内工作。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3.内置保护电路模块，具有过压保护、欠压保护、过流保护、直流保护、输出短路保护、温控风扇功能。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4.具有≥2个LINE平衡XLR输入通道，≥2个LINE平衡XLR级联输出通道，≥2个四芯SPEAKON音响插座输出通道。</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w:t>
            </w:r>
            <w:r>
              <w:rPr>
                <w:rFonts w:hint="eastAsia" w:asciiTheme="minorEastAsia" w:hAnsiTheme="minorEastAsia" w:eastAsiaTheme="minorEastAsia" w:cstheme="minorEastAsia"/>
                <w:sz w:val="20"/>
                <w:szCs w:val="20"/>
              </w:rPr>
              <w:t>立体声</w:t>
            </w:r>
            <w:r>
              <w:rPr>
                <w:rFonts w:hint="eastAsia" w:asciiTheme="minorEastAsia" w:hAnsiTheme="minorEastAsia" w:eastAsiaTheme="minorEastAsia" w:cstheme="minorEastAsia"/>
                <w:i w:val="0"/>
                <w:iCs w:val="0"/>
                <w:color w:val="000000"/>
                <w:kern w:val="0"/>
                <w:sz w:val="20"/>
                <w:szCs w:val="20"/>
                <w:u w:val="none"/>
                <w:lang w:val="en-US" w:eastAsia="zh-CN" w:bidi="ar"/>
              </w:rPr>
              <w:t>/</w:t>
            </w:r>
            <w:r>
              <w:rPr>
                <w:rFonts w:hint="eastAsia" w:asciiTheme="minorEastAsia" w:hAnsiTheme="minorEastAsia" w:eastAsiaTheme="minorEastAsia" w:cstheme="minorEastAsia"/>
                <w:sz w:val="20"/>
                <w:szCs w:val="20"/>
              </w:rPr>
              <w:t>并联</w:t>
            </w:r>
            <w:r>
              <w:rPr>
                <w:rFonts w:hint="eastAsia" w:asciiTheme="minorEastAsia" w:hAnsiTheme="minorEastAsia" w:eastAsiaTheme="minorEastAsia" w:cstheme="minorEastAsia"/>
                <w:i w:val="0"/>
                <w:iCs w:val="0"/>
                <w:color w:val="000000"/>
                <w:kern w:val="0"/>
                <w:sz w:val="20"/>
                <w:szCs w:val="20"/>
                <w:u w:val="none"/>
                <w:lang w:val="en-US" w:eastAsia="zh-CN" w:bidi="ar"/>
              </w:rPr>
              <w:t>/</w:t>
            </w:r>
            <w:r>
              <w:rPr>
                <w:rFonts w:hint="eastAsia" w:asciiTheme="minorEastAsia" w:hAnsiTheme="minorEastAsia" w:eastAsiaTheme="minorEastAsia" w:cstheme="minorEastAsia"/>
                <w:sz w:val="20"/>
                <w:szCs w:val="20"/>
              </w:rPr>
              <w:t>桥接</w:t>
            </w:r>
            <w:r>
              <w:rPr>
                <w:rFonts w:hint="eastAsia" w:asciiTheme="minorEastAsia" w:hAnsiTheme="minorEastAsia" w:eastAsiaTheme="minorEastAsia" w:cstheme="minorEastAsia"/>
                <w:i w:val="0"/>
                <w:iCs w:val="0"/>
                <w:color w:val="000000"/>
                <w:kern w:val="0"/>
                <w:sz w:val="20"/>
                <w:szCs w:val="20"/>
                <w:u w:val="none"/>
                <w:lang w:val="en-US" w:eastAsia="zh-CN" w:bidi="ar"/>
              </w:rPr>
              <w:t>三种模式，可选择切换。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6.输出功率：立体声8Ω ≥200W×2；立体声4Ω≥400W×2；桥接16Ω≥400W；桥接8Ω≥750W。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7.信噪比（A计权）:≥105dB；具有输入灵敏度1V和2V切换功能。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40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6C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1D69D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39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E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2B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田字架支架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0B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E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4DBC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3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4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67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葫芦架支架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BD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BC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05E32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A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0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4D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1.采用≥10寸中低音钕磁喇叭单元和1只≥1.7寸压缩钕磁高音单元。</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2.精确设计的分频器优化功率响应及人声部分的中频表现力。</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3.阻抗≤8Ω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4.频响等同或优于45Hz-20kHz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5.额定功率≥300W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6.水平覆盖角≥90°，垂直覆盖角≥70°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1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B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6B8D1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9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D5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1.双通道大功率专业数字功放。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2.功放具有直流、短路、过载、过热保护。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3.具备信号、功率、温度压限功能。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4.灵敏度支持≥1V/2V，可选择切换。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5.输出功率*（1KHz/THD≤1％）：立体声8Ω：≥2*500W；立体声4Ω：≥2*800W；立体声2Ω：≥2*1300W；桥接16Ω：≥1000W；桥接8Ω：≥1600W；桥接4Ω：≥2600W。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6.电压增益 (@1KHz) ≥36dB；输入阻抗 ≤10K Ω 非平衡、20KΩ 平衡；THD+N(@1/8功率下） ≤0.01％；信噪比 (A计权) ≥102dB；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8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E1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FCC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09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8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F4E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75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9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2F5A3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E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D5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7A98">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lang w:val="en-US" w:eastAsia="zh-CN" w:bidi="ar"/>
              </w:rPr>
              <w:t>1.</w:t>
            </w:r>
            <w:r>
              <w:rPr>
                <w:rFonts w:hint="eastAsia" w:asciiTheme="minorEastAsia" w:hAnsiTheme="minorEastAsia" w:eastAsiaTheme="minorEastAsia" w:cstheme="minorEastAsia"/>
                <w:i w:val="0"/>
                <w:iCs w:val="0"/>
                <w:color w:val="auto"/>
                <w:kern w:val="0"/>
                <w:sz w:val="20"/>
                <w:szCs w:val="20"/>
                <w:u w:val="none"/>
                <w:lang w:val="en-US" w:eastAsia="zh-CN" w:bidi="ar"/>
              </w:rPr>
              <w:t>音箱类型为超低频音箱，阻抗≤4Ω，额定功率≥1200W，低频≥2×18"铁氧体超低音单元。</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2.</w:t>
            </w:r>
            <w:r>
              <w:rPr>
                <w:rFonts w:hint="eastAsia" w:asciiTheme="minorEastAsia" w:hAnsiTheme="minorEastAsia" w:eastAsiaTheme="minorEastAsia" w:cstheme="minorEastAsia"/>
                <w:color w:val="auto"/>
                <w:sz w:val="20"/>
                <w:szCs w:val="20"/>
                <w:lang w:val="en-US" w:eastAsia="zh-CN"/>
              </w:rPr>
              <w:t>依据</w:t>
            </w:r>
            <w:r>
              <w:rPr>
                <w:rFonts w:hint="eastAsia" w:asciiTheme="minorEastAsia" w:hAnsiTheme="minorEastAsia" w:eastAsiaTheme="minorEastAsia" w:cstheme="minorEastAsia"/>
                <w:i w:val="0"/>
                <w:iCs w:val="0"/>
                <w:color w:val="auto"/>
                <w:kern w:val="0"/>
                <w:sz w:val="20"/>
                <w:szCs w:val="20"/>
                <w:u w:val="none"/>
                <w:lang w:val="en-US" w:eastAsia="zh-CN" w:bidi="ar"/>
              </w:rPr>
              <w:t>GB/T 9397-2013《直接辐射式电动扬声器通用规范》或GB/T 12060.5-2011《声系统设备第5部分相关要求:产品频率响应（测试电压：2V，测试距离：1m）：等同或宽于40Hz-400Hz。</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p>
          <w:p w14:paraId="50A3C105">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3.</w:t>
            </w:r>
            <w:r>
              <w:rPr>
                <w:rFonts w:hint="eastAsia" w:asciiTheme="minorEastAsia" w:hAnsiTheme="minorEastAsia" w:eastAsiaTheme="minorEastAsia" w:cstheme="minorEastAsia"/>
                <w:color w:val="auto"/>
                <w:sz w:val="20"/>
                <w:szCs w:val="20"/>
                <w:lang w:val="en-US" w:eastAsia="zh-CN"/>
              </w:rPr>
              <w:t>依据</w:t>
            </w:r>
            <w:r>
              <w:rPr>
                <w:rFonts w:hint="eastAsia" w:asciiTheme="minorEastAsia" w:hAnsiTheme="minorEastAsia" w:eastAsiaTheme="minorEastAsia" w:cstheme="minorEastAsia"/>
                <w:i w:val="0"/>
                <w:iCs w:val="0"/>
                <w:color w:val="auto"/>
                <w:kern w:val="0"/>
                <w:sz w:val="20"/>
                <w:szCs w:val="20"/>
                <w:u w:val="none"/>
                <w:lang w:val="en-US" w:eastAsia="zh-CN" w:bidi="ar"/>
              </w:rPr>
              <w:t>GB/T 9397-2013《直接辐射式电动扬声器通用规范》相关标准：产品指定频带内的声压级（测试电压：69.3V，频率范围40Hz-400Hz，测试距离1m）：≥127dB±2dB。</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6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9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只</w:t>
            </w:r>
          </w:p>
        </w:tc>
      </w:tr>
      <w:tr w14:paraId="1A0D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D1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4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018D">
            <w:pPr>
              <w:keepNext w:val="0"/>
              <w:keepLines w:val="0"/>
              <w:widowControl/>
              <w:numPr>
                <w:ilvl w:val="0"/>
                <w:numId w:val="1"/>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标准≤1U机柜式设计，采用PFC+开关电源+D类数字功放设计方案。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2.开机软启动功能，软启动过程中电源需求缓慢上升，减少对电网和其他电子设备的电流冲击。</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3.采用数字功放双环路压限保护电路，避免开机瞬间的大电流冲击扬声器，减少对扬声器的损害风险，为功放全方位系统保护。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4.采用开关电源输出电压自启停动态节能的功能，自适应动态功率高效转换功能。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5.支持过压保护、欠压保护、过流保护、输出短路保护、温度压限、信号压限、温度自动控风扇功能，很大程度提高功放稳定性和可靠性。</w:t>
            </w:r>
          </w:p>
          <w:p w14:paraId="348D4A4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6.XLR平衡式输入/XLR 平衡式LINK输出；</w:t>
            </w:r>
            <w:r>
              <w:rPr>
                <w:rFonts w:hint="eastAsia" w:asciiTheme="minorEastAsia" w:hAnsiTheme="minorEastAsia" w:eastAsiaTheme="minorEastAsia" w:cstheme="minorEastAsia"/>
                <w:i w:val="0"/>
                <w:iCs w:val="0"/>
                <w:color w:val="000000"/>
                <w:kern w:val="0"/>
                <w:sz w:val="20"/>
                <w:szCs w:val="20"/>
                <w:u w:val="none"/>
                <w:lang w:val="en-US" w:eastAsia="zh-CN" w:bidi="ar"/>
              </w:rPr>
              <w:t>SPEAKON音响插座输出。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7.MONO/STEREO/BRIDGE三种模式可选择切换。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8.灵敏度1V/2V可选择切换。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9.带温控风机，开机即转，随着温度长高风扇加速。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10.面板有信号（绿）、削顶（橙）、保护指示灯（红）、电源指示灯（蓝）。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11.输出功率（1KHz/THD≤1％）：连续功率：立体声8Ω×2：≥2*1200W；立体声4Ω×2：≥2*1900W；立体声2Ω×2：≥2*3200W；桥接16Ω：≥2400W；桥接8Ω：≥3800W；桥接4Ω：≥6400W；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6E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D8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D06B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88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0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9F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1.采用≥一只12寸同轴扬声器单元（含一只12寸低音单元及一只75mm高音单元）</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2.多用途箱体结构设计，可横竖放置，作全频箱或舞台监听音箱；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3.箱体采用优质桦木板CNC加工；耐磨环保水性漆喷涂。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4.水平覆盖角≥90°，垂直覆盖角≥90°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5.阻抗≤8Ω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6.频响等同或优于50Hz-20kHz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7.额定功率≥400W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3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7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7E770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C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82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21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1.双通道大功率专业数字功放。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2.功放具有直流、短路、过载、过热保护。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3.具备信号、功率、温度压限功能。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4.灵敏度支持≥1V/2V，可选择切换。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5.输出功率*（1KHz/THD≤1％）：立体声8Ω：≥2*700W；立体声4Ω：≥2*1200W；立体声2Ω：≥2*1800W；桥接16Ω：≥1400W；桥接8Ω：≥2400W；桥接4Ω：≥3600W.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6.电压增益 (@1KHz)≥37.5dB；输入阻抗≤10KΩ非平衡、20KΩ平衡；THD+N(@1/8功率下）≤0.01％；信噪比 (A计权)≥102dB；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D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A0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DCA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AB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D5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F1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1.采用≥10寸中低音钕磁喇叭单元和1只≥1.7寸压缩钕磁高音单元。</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2.精确设计的分频器优化功率响应及人声部分的中频表现力。</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3.阻抗≤8Ω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4.频响等同或优于45Hz-20kHz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5.额定功率≥300W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6.水平覆盖角≥90°，垂直覆盖角≥70°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69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2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3EF1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26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F4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69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1.双通道大功率专业数字功放。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2.功放具有直流、短路、过载、过热保护。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3.具备信号、功率、温度压限功能。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4.灵敏度支持≥1V/2V，可选择切换。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5.输出功率*（1KHz/THD≤1％）：立体声8Ω：≥2*500W；立体声4Ω：≥2*800W；立体声2Ω：≥2*1300W；桥接16Ω：≥1000W；桥接8Ω：≥1600W；桥接4Ω：≥2600W。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6.电压增益 (@1KHz)≥36dB；输入阻抗≤10KΩ非平衡、20KΩ平衡；THD+N(@1/8功率下）≤0.01％；信噪比(A计权)≥102dB；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9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6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0109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E4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0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6E9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1.阻抗≤8Ω，额定功率≥300W，高频≥1.4"×1压缩单元，低频≥10"×1低音单元；覆盖角度：等同或宽于80°(H)×60°(V)。</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2.频率响应：等同或宽于50Hz-20kHz。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3.指定频带内的声压级：≥120dB±2dB。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A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3B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6BDE6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9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65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音响支架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85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9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DB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6C36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BA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50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AB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1.采用高效功率放大电路，输出可桥接8欧。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2.电源采用开关电源供电，具有过压保护功能。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3.功放具有压限，过温保护，过流保护，输出直流保护，输出短路保护功能。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4.支持XLR平衡式输入，SPEAKON音响插座输出。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5.MONO/STEREO/BRIDGE三种模式可选择切换。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6.常规带载8Ω，最低带载4Ω。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7.输出功率：立体声8Ω：≥350W×4；立体声4Ω：≥580W×4；桥接8Ω：≥1100W×2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2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1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F8A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7D47">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3.2、音源及传声部分</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D607">
            <w:pPr>
              <w:jc w:val="cente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BDB6">
            <w:pPr>
              <w:jc w:val="center"/>
              <w:rPr>
                <w:rFonts w:hint="eastAsia" w:asciiTheme="minorEastAsia" w:hAnsiTheme="minorEastAsia" w:eastAsiaTheme="minorEastAsia" w:cstheme="minorEastAsia"/>
                <w:i w:val="0"/>
                <w:iCs w:val="0"/>
                <w:color w:val="000000"/>
                <w:sz w:val="20"/>
                <w:szCs w:val="20"/>
                <w:u w:val="none"/>
              </w:rPr>
            </w:pPr>
          </w:p>
        </w:tc>
      </w:tr>
      <w:tr w14:paraId="3410E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2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22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无线话筒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C5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1.基于数字U段的传输技术，pi/4-DQPSK调制方式；传输距离≥80米，接收机具有≥2路平衡输出、≥1路非平衡混音输出；具有混响、均衡、智能静音、音频加密、功率调节功能。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2.具有≥1台接收主机、≥2只手持发射机；频率范围等同或宽于540MHz-590MHz、640MHz-690MHz两个频段使用。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显示屏、≥1个开关机/静音按键、≥1个工作状态指示灯、≥1×Type-C充电接口。</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（提供设备接口图佐证）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4.具有自动静音功能，麦克风跌落、抛掷时，毫秒级自动静音，避免冲击声；实时监测设备姿态，静置≥5秒静音，≥8分钟关机，无需手动干预。</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5.具有多档位混响调节功能，混响效果≥15625个，效果占比、回响延时、混响幅度调节，三种音效各具有≥25档调节方式。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6.具有多频段均衡调节功能，均衡调节≥2197种，麦克风均衡器调节功能，具有高、中、低音三种调节档位，每种效果支持≥13档调节。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7.具有长时间续航，发射机使用时长≥10小时。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8.具有ID码防串扰功能，采用32位唯一ID码，用于接收和发射配对，收发ID码必须相同才能对码，能够有效防止相同频率的信号相互串台。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9.发射机能够显示频率信息、音频加密状态、功率挡位、静音状态、电量格数信息。</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10.发射机供电方式支持Type-C直充、充电底座充电及5号电池（兼容镍氢/碱性/锂电池）供电。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F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6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19286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6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ED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充电底座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1E71">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具有≥2个Type-C多功能充电孔位（兼容手持话筒和腰包机）、≥2×级联接口、≥1×RJ45接口、≥4×AA电池充电接口（带状态指示）；≥1个显示屏。</w:t>
            </w:r>
            <w:r>
              <w:rPr>
                <w:rFonts w:hint="eastAsia" w:asciiTheme="minorEastAsia" w:hAnsiTheme="minorEastAsia" w:eastAsiaTheme="minorEastAsia" w:cstheme="minorEastAsia"/>
                <w:b/>
                <w:bCs/>
                <w:i w:val="0"/>
                <w:iCs w:val="0"/>
                <w:color w:val="auto"/>
                <w:kern w:val="0"/>
                <w:sz w:val="20"/>
                <w:szCs w:val="20"/>
                <w:u w:val="none"/>
                <w:lang w:val="en-US" w:eastAsia="zh-CN" w:bidi="ar"/>
              </w:rPr>
              <w:t>（提供设备实物图佐证）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2.具有显示屏和电源指示灯，实时显示当前充电状态，包括充电进度、功率分配及设备识别状态。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3.支持通过智能充电管理软件远程监控充电状态、显示设备状态、设备名称、IP地址设备信息；支持查看级联充电底座的设备信息；支持编辑设备名称、网络配置信息。</w:t>
            </w:r>
          </w:p>
          <w:p w14:paraId="1B6B3FE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支持推送设备异常、离线、充满状态消息；支持新消息未读标识提示和声音提醒功能（可开关）；支持打开弹窗查看消息列表，可标记单条或批量消息为已读；支持一键清空消息列表。5.支持通过智能充电管理软件实现区域筛选、状态筛选充电底座，查看充电底座使用情况和设备定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6.支持级联扩展功能，无需额外接线即可实现级联（≥4台设备），系统自动识别级联拓扑。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7.充电底座与话筒/腰包发射机搭配使用，实现即插即用，充满自动切换至维护模式，无需频繁更换电池。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8.支持网络和串口两种升级方式，支持通过智能充电管理软件进行固件升级，网络支持单个或批量固件升级，串口支持单个固件升级。</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7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0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947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A3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4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智能充电管理软件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9B1E">
            <w:pPr>
              <w:keepNext w:val="0"/>
              <w:keepLines w:val="0"/>
              <w:widowControl/>
              <w:numPr>
                <w:ilvl w:val="0"/>
                <w:numId w:val="2"/>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软件可同时管理充电底座、手持麦克风、腰包机，支持多台设备同时管控及操作；支持中英文界面切换。</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2.支持管理员和普通用户两种角色，根据不同角色管理操作权限；支持输入账号和密码登录；支持勾选记住密码功能。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3.具有数据总览界面，可显示设备总数、设备状态、异常设备数量；具有充电底座设备使用情况显示，可显示充电底座状态；支持通过区域筛选、状态筛选充电底座查看充电底座使用情况和设备定位功能。</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（提供软件界面截图佐证）</w:t>
            </w:r>
          </w:p>
          <w:p w14:paraId="0580EDD0">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支持推送设备异常、离线、充满状态消息；支持新消息未读标识提示和声音提醒功能（可开关）；支持打开弹窗查看消息列表，可标记单条或批量消息为已读；支持一键清空消息列表。</w:t>
            </w:r>
          </w:p>
          <w:p w14:paraId="341FDD71">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支持扫描设备、手动添加设备；支持显示设备状态（在线、离线、异常）、设备名称、IP地址设备信息；支持查看级联充电底座的设备信息；支持编辑设备名称、网络配置信息；支持设备定位；支持设备筛选功能。</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（提供软件界面截图佐证）</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6.支持网络和串口两种升级方式，支持充电底座、手持麦克风、腰包机设备进行固件升级，网络支持单个或批量固件升级，串口仅支持单个固件升级。</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7.支持跨平台使用，支持Windows操作系统、国产操作系统、苹果MacOS操作系统使用。</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3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E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1CE2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1B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8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合唱话筒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41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1.采用柱极式电容麦克风设计，具有良好的束状特性。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2.接口：平衡式XLR接口；方向特性：束状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3.支持单只麦克风或多只麦克风同时使用。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4.幻象供电：≥+48V</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E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C7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r>
      <w:tr w14:paraId="29DC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70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A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80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1.高度调节等同或优于1030-1710mm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2.横杠长度≥750mm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3.重量≥2.85kg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4.外箱尺寸≥325*290*1000MM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4D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29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29B3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D7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5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无线话筒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8A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1.基于数字U段的传输技术，pi/4-DQPSK调制方式；传输距离≥80米，接收机具有≥4路平衡输出、≥1路非平衡混音输出；具有混响、均衡、智能静音、音频加密、功率调节功能。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2.具有≥1台接收主机、≥2只头戴腰包；频率范围等同或宽于540MHz-590MHz、640MHz-690MHz两个频段使用。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接收机前面板具有≥4个显示屏、≥4个编码旋钮、≥4个频率扫描实体按键、≥4个红外对频实体按键、≥1个电源开关按键、≥1个二合一指示灯（红外发射管+对频指示灯）；后面板具有≥1个LINE-OUT接口、≥4个XLR-OUT接口、≥4个BNC接口、≥1个DC接口。发射机具有≥1个OLED 显示屏、≥1个开关机/静音按键、≥2个工作状态指示灯、≥1×Type-C充电接口。</w:t>
            </w:r>
            <w:r>
              <w:rPr>
                <w:rFonts w:hint="eastAsia" w:asciiTheme="minorEastAsia" w:hAnsiTheme="minorEastAsia" w:eastAsiaTheme="minorEastAsia" w:cstheme="minorEastAsia"/>
                <w:b/>
                <w:bCs/>
                <w:i w:val="0"/>
                <w:iCs w:val="0"/>
                <w:color w:val="auto"/>
                <w:kern w:val="0"/>
                <w:sz w:val="20"/>
                <w:szCs w:val="20"/>
                <w:u w:val="none"/>
                <w:lang w:val="en-US" w:eastAsia="zh-CN" w:bidi="ar"/>
              </w:rPr>
              <w:t>（提供设备接口图佐证）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4.具有多档位混响调节功能，多种混响效果，效果占比、回响延时、混响幅度调节，三种音效各具有≥25档调节方式。</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5.具有多频段均衡调节功能，均衡调节≥2197种，麦克风均衡器调节功能，具有高、中、低音三种调节档位，每种效果支持≥13档调节。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6.具有长时间续航，发射机连续使用时长≥10小时。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7.具有ID码防串扰功能，采用32位唯一ID码，用于接收和发射配对，收发ID码必须相同才能对码，能够有效防止相同频率的信号相互串台。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8.发射机能够显示频率信息、音频加密状态、功率挡位、静音状态、电量格数信息。</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9.发射机供电方式支持Type-C直充、充电底座充电及5号电池（兼容镍氢/碱性/锂电池）供电。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1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8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6290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F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3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天线分配器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43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1.具备≥2个天线输入接口，支持接收天线信号，实现分配多路射频信号的效果。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2.具备放大射频信号，补偿因信号功率被分配至多个输出而造成的插入损耗。</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3.具备≥2个天线级联接口，支持无限制级联分配器，可实现扩展无线话筒的目的。</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4.具备≥4个直流电源输出接口，支持给≥4台接收机供电，减少适配器数量和免去繁琐布线。</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E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8C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3C67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E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6A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天线耦合器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AF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1.宽带设计，在应用频率范围内提供高隔离度，防止信号相互干扰。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2.在系统中，通过此耦合器方便转接和安装。</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3.可使用多组耦合器进行拓展覆盖区域。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4.耦合器在线路中有隔离杂讯的功能，防止自激。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20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D7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56B8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60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3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天线放大器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25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1.频率范围≥470-950MHZ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2.端子：BNC</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3.噪声：≤2dB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4.增益：≥20dB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D4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B8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3487C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7D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8E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话筒天线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9C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1.射频频率范围等同或优于470～950MHz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2.驻波比：≤2.0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3.输入阻抗：≤50Ω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4.指向性：≥180度指向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5.放大器增益：五档可调：无源(0dB)、有源(+3dB/+6dB/+10dB/+16dB)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2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95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27D0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6E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6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AI智慧混音器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F9B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1.具有≥2个状态指示灯、≥1个船型开关、≥1个散热风扇、≥1个LAN网口、≥16路模拟平衡输入（每路都具有48V幻象电源）、≥4路模拟平衡输出。</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（提供设备接口图佐证）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产品符合GB4943.1-2022《音视频、信息技术和通信技术设备第1部分：安全要求》，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3.具有设备定位功能，客户端一键定位局域网内同类设备，被定位的设备会显示定位信息。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4.支持设备统一集控，支持≥65535台设备通过软件集中控制。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5.支持多客户端数据同步，APP软件、PC软件多个客户端同时连接设备时多端数据同步。</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产品符合GB4943.1-2022《音视频、信息技术和通信技术设备第1部分：安全要求》，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55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B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1726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CB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8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AI反馈抑制器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9735">
            <w:pPr>
              <w:keepNext w:val="0"/>
              <w:keepLines w:val="0"/>
              <w:widowControl/>
              <w:suppressLineNumbers w:val="0"/>
              <w:jc w:val="left"/>
              <w:textAlignment w:val="center"/>
              <w:rPr>
                <w:rFonts w:hint="eastAsia" w:asciiTheme="minorEastAsia" w:hAnsiTheme="minorEastAsia" w:eastAsiaTheme="minorEastAsia" w:cstheme="minorEastAsia"/>
                <w:b/>
                <w:bCs/>
                <w:color w:val="auto"/>
                <w:sz w:val="20"/>
                <w:szCs w:val="20"/>
                <w:highlight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1.处理器主频≥1.3GHz；配置≥2个完全独立的反馈抑制通道，每通道均支持自适应反馈抑制（AFC）功能，传声增益提升≥6dB，可分别处理不同声源信号（如主讲麦克风与观众席拾音）。</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p>
          <w:p w14:paraId="70FD45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2.支持声学校正按钮，按下可以预测声反馈回路。提供≥高/中/低三档输入电平调节。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3.具有≥2个独立通道，每通道均支持等同或宽于0-99级数字音量调节及静音开关功能。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4.基于啸叫检测门限更新法，具有移频+陷波反馈抑制功能，可以使用≥48个可编程陷波点。</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前面板具有≥48个LED灯陷波状态指示灯（具有≥2×12个静态点和≥2×12个动态点）、IPS显示屏、≥1个编码旋钮；后面板具有≥1个船形开关、≥2路XLR母座+2路TRS母座模拟输入、≥2路XLR公座+2路TRS母座模拟输出、≥1个RJ45接口。</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（提供设备接口图佐证）</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6.设备具有编码旋钮和IPS屏幕，可用于控制和配置设备直通、场景。IPS屏幕能够显示IP地址，输入和输出通道的实时电平。</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7.具有设备定位，PC客户端具有一键定位局域网内同类设备功能，被定位到的设备会在显示屏上显示定位信息。</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8.设备具有统一集中控制功能。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9.支持多客户端数据同步，≥2个客户端以上连接混音器设备时，可实现多端数据同步。</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（提供功能界面截图佐证）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D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E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268A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F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00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音频隔离器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9A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1.一款双通道音频隔离器。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2.低底噪、无50Hz交流“嗡”声、无高频“嗞啦”干扰。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3.点对点平衡传输音频，可以选择前面板2个接口中的任意一个COMBO接口输入，从后面板对应COMBO接口输出。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4.即插即用，支持热插拨。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5.隔离滤波音频传输最远传输信号等同或优于450－600米。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6.内置瞬态、浪涌抑制、抗静电保护电路。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7.具有≥2路XLR输入；具有≥2路XLR输出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6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95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1F45A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1B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E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AI音频处理器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3BD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lang w:val="en-US" w:eastAsia="zh-CN" w:bidi="ar"/>
              </w:rPr>
              <w:t>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处理器≥4核，主频≥2.0GHz。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后面板具有≥16路线路音频凤凰端子平衡输入接口（具有48V幻象供电）、≥16路线路音频凤凰端子平衡输出接口、≥1个拨码开关、≥1个RJ45接口、≥1个RS232接口、≥1个RS485接口、≥8个可编程GPIO控制接口、≥1个接地柱；前面板具有显示屏、≥1个编码旋钮、≥1个USB存储设备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4.具有矩阵增益调节功能，每个输入通道参与混音的增益可调，增益调节范围等同或优于-72dB到12dB。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w:t>
            </w:r>
            <w:r>
              <w:rPr>
                <w:rFonts w:hint="eastAsia" w:asciiTheme="minorEastAsia" w:hAnsiTheme="minorEastAsia" w:eastAsiaTheme="minorEastAsia" w:cstheme="minorEastAsia"/>
                <w:color w:val="auto"/>
                <w:sz w:val="20"/>
                <w:szCs w:val="20"/>
                <w:highlight w:val="none"/>
              </w:rPr>
              <w:t>音频处理器配备跨平台管理软件，可兼容运行</w:t>
            </w:r>
            <w:r>
              <w:rPr>
                <w:rFonts w:hint="eastAsia" w:asciiTheme="minorEastAsia" w:hAnsiTheme="minorEastAsia" w:eastAsiaTheme="minorEastAsia" w:cstheme="minorEastAsia"/>
                <w:color w:val="auto"/>
                <w:sz w:val="20"/>
                <w:szCs w:val="20"/>
                <w:highlight w:val="none"/>
                <w:lang w:val="en-US" w:eastAsia="zh-CN"/>
              </w:rPr>
              <w:t>于</w:t>
            </w:r>
            <w:r>
              <w:rPr>
                <w:rFonts w:hint="eastAsia" w:asciiTheme="minorEastAsia" w:hAnsiTheme="minorEastAsia" w:eastAsiaTheme="minorEastAsia" w:cstheme="minorEastAsia"/>
                <w:color w:val="auto"/>
                <w:sz w:val="20"/>
                <w:szCs w:val="20"/>
                <w:highlight w:val="none"/>
              </w:rPr>
              <w:t xml:space="preserve"> Windows、国产操作系统、macOS 和 Ubuntu 桌面版操作系统。</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p>
          <w:p w14:paraId="613B40A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6.产品具有PC客户端、手机移动端、平板端不同控制方式，可以同时登入APP软件、PC客户端同时连接设备，并实现多端数据的同步。</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7.设备具有编码旋钮和IPS屏幕，可用于控制和配置设备静音，增益，场景；IPS屏幕能够显示IP地址，输入和输出通道的实时电平。</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8.具有设备定位功能，客户端一键定位局域网内同类设备，被定位的设备会显示定位信息。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9.设备具有统一集中控制功能。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（提供功能截图佐证）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11.支持双机热备份；当主机出现故障时，备用主机自动承担服务，切换时间≤2s。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7E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30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48F9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E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6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合唱话筒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A6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1.采用柱极式电容麦克风设计，具有良好的束状特性。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2.接口：平衡式XLR接口；方向特性：束状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3.支持单只麦克风或多只麦克风同时使用。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4.幻象供电：≥+48V</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A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05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r>
      <w:tr w14:paraId="26B7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83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4A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0C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1.高度调节等同或优于1030-1710mm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2.横杠长度≥750mm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3.外箱尺寸≥325*290*1000MM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9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5E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10F4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8E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7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AI智慧混音器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40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1.具有≥2个状态指示灯、≥1个船型开关、≥1个散热风扇、≥1个LAN网口、≥16路模拟平衡输入（每路都具有48V幻象电源）、≥4路模拟平衡输出。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3.具有设备定位功能，客户端一键定位局域网内同类设备，被定位的设备会显示定位信息。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4.支持设备统一集控，支持≥65535台设备通过软件集中控制。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5.支持多客户端数据同步，APP软件、PC软件多个客户端同时连接设备时多端数据同步。</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DA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13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CC9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3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4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头戴麦</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335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1.耳机长度≥1米，支持搭配腰包机使用，用于设备的拾音。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2.声压级≥115dB。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3.信噪比＞60dB。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06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7A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78B6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910B">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3.3信号处理及周边</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D333">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4A6D">
            <w:pPr>
              <w:jc w:val="left"/>
              <w:rPr>
                <w:rFonts w:hint="eastAsia" w:asciiTheme="minorEastAsia" w:hAnsiTheme="minorEastAsia" w:eastAsiaTheme="minorEastAsia" w:cstheme="minorEastAsia"/>
                <w:i w:val="0"/>
                <w:iCs w:val="0"/>
                <w:color w:val="000000"/>
                <w:sz w:val="20"/>
                <w:szCs w:val="20"/>
                <w:u w:val="none"/>
              </w:rPr>
            </w:pPr>
          </w:p>
        </w:tc>
      </w:tr>
      <w:tr w14:paraId="32DE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E8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3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数字调音台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A9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1.具有≥10.1英寸1280x800电容触摸屏、数字编码器以及按键构成的操作面板。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2.具有≥17个电动推子，电动推子可操控：≥1个LR主声道推子、≥16个通道推子。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3.支持中英文界面切换，且无需重启。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4.内置USB录音、放音功能。能够识别USB电子盘内的中英文歌曲名，具备快进、下一曲、快速暂停功能；且支持播放APE、FLAC、MP3、WAV音频格式。</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5.内置≥16个通道独立的反馈抑制器，内置≥16路自动混音（增益共享型）。</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6.具有≥2个内置效果器，自带有经典混响、大房间混响效果模块；FX音效可使用专用的返回通道返回到混音且不占用单声道和立体声输入通道。</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7.支持iPad触摸屏全功能控制，实时数据同步；支持≥8个终端同时控制。</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8.可通过网络或者USB升级ARM固件、DSP固件。</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9.每个输入通道具有≥4段参数均衡、噪声门、高低通、压缩、反相。</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10.每个输出通道具有≥8段参数均衡、高低通、压缩、反相、延时器。</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11.模拟输入≥32CH ( MIC/Line)；输出通道支持L/R、10BUS、HeadPhone(L/R)</w:t>
            </w:r>
            <w:r>
              <w:rPr>
                <w:rFonts w:hint="eastAsia" w:asciiTheme="minorEastAsia" w:hAnsiTheme="minorEastAsia" w:eastAsiaTheme="minorEastAsia" w:cstheme="minorEastAsia"/>
                <w:i w:val="0"/>
                <w:iCs w:val="0"/>
                <w:color w:val="000000"/>
                <w:kern w:val="0"/>
                <w:sz w:val="20"/>
                <w:szCs w:val="20"/>
                <w:u w:val="none"/>
                <w:lang w:val="en-US" w:eastAsia="zh-CN" w:bidi="ar"/>
              </w:rPr>
              <w:t>，10BUS混音总线可选择推子前、推子后（PRE/POST）。</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12.支持≥100组场景预设功能，可导出、导入USB存储器，便于数据备份；支持32个PEQ模式存储。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13.内置信号发生器：正弦波、粉红噪声、白噪声。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14.支持通道参数拷贝功能，相同的通道快速复制数据，通道名称可自定义。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15.接线方式：平衡式输入、输出卡侬。</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16.支持≥8个推子编组、≥8个用户自定义按键、≥4个快速静音组按键。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17.具有面板锁定按键，防止误操作。</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68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9B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31EF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F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27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AI音频处理器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C93C">
            <w:pPr>
              <w:keepNext w:val="0"/>
              <w:keepLines w:val="0"/>
              <w:widowControl/>
              <w:numPr>
                <w:ilvl w:val="0"/>
                <w:numId w:val="4"/>
              </w:numPr>
              <w:suppressLineNumbers w:val="0"/>
              <w:jc w:val="left"/>
              <w:textAlignment w:val="center"/>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处理器≥4核，主频≥2.0GHz。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后面板具有≥16路线路音频凤凰端子平衡输入接口（具有48V幻象供电）、≥16路线路音频凤凰端子平衡输出接口、≥1个拨码开关、≥1个RJ45接口、≥1个RS232接口、≥1个RS485接口、≥8个可编程GPIO控制接口、≥1个接地柱；前面板具有显示屏、≥1个编码旋钮、≥1个USB存储设备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4.具有矩阵增益调节功能，每个输入通道参与混音的增益可调，增益调节范围等同或优于-72dB到12dB。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5.音频处理器具有跨平台软件，可兼容运行于windows操作系统、国产操作系统、macOS系统和Ubuntu桌面版操作系统</w:t>
            </w:r>
          </w:p>
          <w:p w14:paraId="6E4B9BF8">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产品具有PC客户端、手机移动端、平板端不同控制方式，可以同时登入APP软件、PC客户端同时连接设备，并实现多端数据的同步。</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7.设备具有编码旋钮和IPS屏幕，可用于控制和配置设备静音，增益，场景；IPS屏幕能够显示IP地址，输入和输出通道的实时电平。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8.具有设备定位功能，客户端一键定位局域网内同类设备，被定位的设备会显示定位信息。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9.设备具有统一集中控制功能。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p w14:paraId="70EA741B">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11.支持双机热备份；当主机出现故障时，备用主机自动承担服务，切换时间≤2s。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4E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D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BD2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B7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BF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会议音频综合管理平台软件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C16E5A">
            <w:pPr>
              <w:keepNext w:val="0"/>
              <w:keepLines w:val="0"/>
              <w:widowControl/>
              <w:suppressLineNumbers w:val="0"/>
              <w:jc w:val="left"/>
              <w:textAlignment w:val="top"/>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平台集成全数字会议系统软件模块、反馈抑制器软件模块、智能混音器软件模块、智能充电管理软件模块、数字调音台控制软件模块，各模块打开呈现在状态栏窗口，可快速管理和调用，并具备自动检测音频处理器、智能混音器、反馈抑制器、充电底座、数字调音台设备硬件版本、软件版本功能；检测到有新版本时提供更新提示，可对硬件进行升级。</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通过平台扫描并管理设备（包括音频处理器、智能混音器、反馈抑制器、充电底座、数字调音台）的功能，支持手动添加（包括全数字会议系统主机）设备，在平台查看设备硬件名称、硬件IP地址、在线、离线状态信息；可针对不同硬件类型选择适用软件版本，并直接下载或打开。</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平台具有应用列表，通过平台可下载全数字会议系统软件模块、反馈抑制器软件模块、智能混音器软件模块、智能充电管理软件模块、数字调音台控制软件模块，下载后在主界面实时显示，可选择打开应用、卸载应用，应用上移、下移功能。</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4.平台具有应用中心功能，支持通过关键字查找不同系统应用（支持≥11款软件）；可针对不同客户需求选择软件版本。</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平台具有软件配置信息备份和还原功能，通过平台可以一键备份全数字会议系统软件模块、反馈抑制器软件模块、智能混音器软件模块、智能充电管理软件模块、数字调音台控制软件模块配置信息上传云端或者保存本地；可通过平台一键还原备份的数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6.登入平台后，进入各子模块（包括反馈抑制器软件模块、智能混音器软件模块、智能充电管理软件模块、数字调音台控制软件模块）无需反复输入密码，可以直接进入界面操作、控制设备。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平台具有AI助手，联网后支持通过智能问答与快捷指令协助用户操作，能够基于语义理解识别用户意图，并完成平台内子软件的打开、关闭、下载、跳转等指令执行；内置产品知识库，可通过AI助手查询产品功能、修改IP地址指引、音频处理功能说明、设备应用解答等信息；支持上下文理解与多轮对话，内置可扩展的常用操作指令模板，并支持生成系统运行报告；平台可对接大模型，为用户提供实时智能问答，用户在交互界面输入问题后，AI助手生成的结果将显示在专用回答框内。</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跨系统使用，平台软件可运行于windows操作系统国产操作系统macOS系统Ubuntu桌面版操作系统；其中支持跨平台的子模块包括：智能混音器软件模块、全数字会议系统综合控制软件模块、智能充电管理软件模块、数字调音台控制软件模块。</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9.平台支持与全数字会议系统软件模块实现数据联动功能，支持在平台显示数字会议系统会议、数字会议系统会议服务等信息。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10.具有全数字会议系统软件模块，具有签到、表决、话筒管理、会议管理、模拟排位、摄像跟踪、译员机多语言功能。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11.具有反馈抑制器软件模块，支持反馈抑制AFC、场景切换及导入导出、在线固件升级、多设备管理、用户管理、信号选择、模拟输入、模拟输出、陷波器、噪声门、限幅器的音频参数配置功能。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12.具有智能混音器软件模块，软件支持多设备管理、4场景切换、在线批量升级，分组设置、数据备份、自定义通道名称、自动混音、矩阵、分频器、均衡器、闪避器的音频参数配置调节。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具有数字调音台管理软件模块，支持设备管理、场景管理、通道分类导航、显示通道列表、增益调节、音量调节、静音选择、相位切换、幻象供电、信号延时、通道监听、声像/平衡、通道联调、效果器类型、均衡器、噪声门、压缩器、限幅器、反馈抑制器、通道复制、设备信息、本机地址、面板锁、语言切换、恢复出厂设置、自检信号发生器、监听类型、自动混音、静音编组、USB录音、USB播放、固件升级、自定义按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14.具有智能充电管理软件模块,支持管理充电底座、手持麦克风、腰包机等设备，支持区域管理、多设备同时管控、充电状态查看、网络和串口固件升级、设备日志记录、云端日志上传、中英文切换。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▲支持部署于国产操作系统，与国产操作系统完成兼容性测试，能够达到通用兼容性要求及性能、可靠性要求，满足用户的关键性应用需求。</w:t>
            </w:r>
            <w:r>
              <w:rPr>
                <w:rFonts w:hint="eastAsia" w:asciiTheme="minorEastAsia" w:hAnsiTheme="minorEastAsia" w:eastAsiaTheme="minorEastAsia" w:cstheme="minorEastAsia"/>
                <w:b/>
                <w:bCs/>
                <w:i w:val="0"/>
                <w:iCs w:val="0"/>
                <w:color w:val="auto"/>
                <w:kern w:val="0"/>
                <w:sz w:val="20"/>
                <w:szCs w:val="20"/>
                <w:u w:val="none"/>
                <w:lang w:val="en-US" w:eastAsia="zh-CN" w:bidi="ar"/>
              </w:rPr>
              <w:t>（需提供软件适配认证复印件加盖投标人公章）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41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5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6466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D4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2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有源音箱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18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1.有源音箱内置高保真扬声器，额定输出功率支持≥2×25W，支持4-8Ω输出阻抗。</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2.支持≥1路话筒和≥1路立体声线路输入接口、≥1路立体声线路输出接口，带默音功能，话筒优先于线路输入。具有≥1个麦克风音量调节，≥1个线路输入音量调节，≥2个高低音调节。</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（提供设备接口图佐证）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3.支持≥100V广播输入接口。</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（提供设备接口图佐证）</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4.具有输出过载、过压、短路保护。</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5.信噪比≥70dB，频率响应等同或优于40Hz~20KHz(≤±3dB)，谐波失真≤1%。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22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6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116D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1B7A">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4、会议系统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FE72">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5A82">
            <w:pPr>
              <w:jc w:val="left"/>
              <w:rPr>
                <w:rFonts w:hint="eastAsia" w:asciiTheme="minorEastAsia" w:hAnsiTheme="minorEastAsia" w:eastAsiaTheme="minorEastAsia" w:cstheme="minorEastAsia"/>
                <w:i w:val="0"/>
                <w:iCs w:val="0"/>
                <w:color w:val="000000"/>
                <w:sz w:val="20"/>
                <w:szCs w:val="20"/>
                <w:u w:val="none"/>
              </w:rPr>
            </w:pPr>
          </w:p>
        </w:tc>
      </w:tr>
      <w:tr w14:paraId="354A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08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3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全数字会议系统主机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10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1.产品符合GB 4943.1-2022《音视频、信息技术和通信技术设备第1部分：安全要求》相关要求，支持管理有线会议单元和无线会议单元。系统可对会议单元进行控制，具有会议议程的签到、表决、服务的功能及发言控制功能，接入的会议单元可参与会议议程。</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2.主机兼容同时连接有线与无线会议单元，二者可并行使用；采用跨域音频同步技术，有线与无线会议单元音频的音频无缝混音输出。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3.设备采用分段压缩混音处理技术和时钟同步传输技术，会议单元拾音到主机输出延时≤5ms。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设备具有≥1个USB接口；后面板具有≥2路RS-232接口、≥1路RS-485接口、≥4路RJ45通讯接口；具有≥1路RCA输入、≥1路卡侬输入、≥2路凤凰端子输入接口；≥1路RCA输出、≥1路卡侬输出、≥16路凤凰端子输出接口；≥1个拨码开关、≥1个接地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前面板具有≥5个状态指示灯，可显示有线无线会议单元使用状态；其中≥4个有线会议发言单元通讯指示灯，有线会议单元正常通讯使用为闪烁状态；其中≥1个为无线会议发言单元通讯指示灯，接上无线收发器正常使用进入闪烁状态；未接入设备时不亮，可快速检测链路使用状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7.主机具有≥16通道音频分组输出接口；采用会议分区相控技术，可拆分≥16个独立的会议系统使用，也可以组成一个大型的会议系统使用，实现多种方式的会议室合并/拆分。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8.支持主机U盘和客户端软件两种录音方式；搭配会议单元和采集器可以录制单个会议单元发言音频和录制所有会议单元混音发言音频。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▲9.产品符合GB 4943.1-2022《音视频、信息技术和通信技术设备第1部分：安全要求》相关要求，具有C/S、B/S管控架构，包括客户端、WEB端、本机全彩触</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摸屏、手机/平板控制方式；</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通过客户端、WEB端可调节音频矩阵参数（包括EQ、音量、延时器、会议单元灵敏度）、≥16通道输出模式切换、开关会议单元、控制会议系统角色分离主机功能；使用本机全彩触摸屏可调节会议模式、有线/无线会议单元开麦数量、编ID、主机/从机设置、显示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度/输出音量调节、显示剩余使用天数、输入注册码进行主机注册功能；使用手机/平板</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可控制会议单元开关、开启签到、投票表决、接收会议服务信息、一键关闭无线会议单元功能。</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10.支持在WEB管理端切换个性化主题风格功能，可切换≥4种风格，可选红色、蓝色、绿色、紫色主题，不同主题提供不同 UI 界面背景颜色。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11.产品符合GB 4943.1-2022《音视频、信息技术和通信技术设备第1部分：安全要求》相关要求，产品具有超大数据处理能力，系统支持≥24台会议单元同时发言，其中支持≥16台有线会议单元和≥8台无线会议单元同时发言；具有自定义会议单元发言人数功能，有线会议单元发言人数范围可设置为1至16之间；无线会议单元发言人数范围可设置为1至8之间。</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13.采用会议系统多环路检测及网络补给技术，实现会议单元手拉手链路出现故障时快速恢复，环路恢复时间≤5ms。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14.客户端、WEB端软件可运行于windows操作系统或国产操作系统或macOS系统或Ubuntu桌面版操作系统。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15.支持搭配会议话筒处理器使用，主机与话筒处理器之间通过网线连接方式传输音频，可以同时传输≥16路有线会议单元和≥8路无线会议</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单元发言的音频信号，并提供反馈抑制、智能混音以及自动增益音频调节处理功能。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▲16.产品符合GB 4943.1-2022《音视频、信息技术和通信技术设备第1部分：安全要求》相关要求，会议主机软件融入音频综合管理平台实现音频设备统一管理，平台可手动添加全数字会议系统主机、音频处理器、混音器、反馈抑制器、功放类产品并查看在线情况；同款产品多台在线设备可手动添加，并显示设备硬件名称、硬件IP地址、在线、离线状态信息；具备一键上传配置信息至云端或保存本地进行备份功能和一键还原配置信息功能。</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7D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83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C58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12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64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全数字会议系统综合控制软件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D5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lang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1.支持查询历史会议，并支持复制拷贝历史会议信息到新建会议。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2.支持查看参会名单和会议人员座位图。支持会议室模拟排位功能，支持自动和手动排位，对参会人进行座位的安排和调整实时保存并下发给终端。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3.支持电子铭牌广播，管理员可以在会议前将电子铭牌广播到设备上。</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4.支持创建（及编辑、删除、查看）会议投影，会前可直接预览投影效果。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5.支持投票参数设置，支持实名匿名、投票倒计时、投票通过率；支持投票结果实时投屏展示，支持三种投屏方式（文字、柱状图、饼状图）。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会议中支持集中控制管理终端，控制有线话筒发言最大数量、无线话筒发言最大数量、话筒模式、全局音量控制、译员机话筒模式、发言总控制、广播信息，以及对无线话筒关机控制，可对所有话筒设置各个通道的音量大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7.支持会议服务呼叫，会中及时接收会议服务信息并进行处理；可选茶水、笔、纸等；呼叫服务后显示等待状态，后勤服务人员处理完成则状态完成。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8.会议结束后支持会议议程查看，可查看会议过程中签到数据、投票详细数据。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9.会议结束后可查看会中服务记录，统计会议服务数据。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10.会议后可导出统计，可选择导出签到信息、投票信息、会议总表、日志记录、会议服务。</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11.支持数字会主机配置管理，可设置主机网络、注册信息，并控制话筒升降等操作。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▲12.产品支持会议室可视化布局配置管理；会议室可拖拽添加不同终端、可自动扫描终端、可批量添加不同终端，并可关联话筒单元。</w:t>
            </w:r>
            <w:r>
              <w:rPr>
                <w:rFonts w:hint="eastAsia" w:asciiTheme="minorEastAsia" w:hAnsiTheme="minorEastAsia" w:eastAsiaTheme="minorEastAsia" w:cstheme="minorEastAsia"/>
                <w:b/>
                <w:bCs/>
                <w:i w:val="0"/>
                <w:iCs w:val="0"/>
                <w:color w:val="auto"/>
                <w:kern w:val="0"/>
                <w:sz w:val="20"/>
                <w:szCs w:val="20"/>
                <w:u w:val="none"/>
                <w:lang w:val="en-US" w:eastAsia="zh-CN" w:bidi="ar"/>
              </w:rPr>
              <w:t>（提供功能界面截图佐证）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13.支持对主机所有接口进行音频调节，可对接口进行总音量、EQ、延时调节，方便会场音效自由调整。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14.支持语音转写角色分离，可配置4种角色分离模式，实现一套系统多种模式输出。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15.支持数据备份和恢复，系统数据可保存到本地，可通过恢复功能还原系统数据。</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7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56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078FF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DA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4B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AI会议话筒处理器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EB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1.产品符合GB 4943.1-2022《音视频、信息技术和通信技术设备第1部分：安全要求》相关要求，产品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highlight w:val="yellow"/>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2.可对接摄像机实现摄像跟踪功能；内置≥64个话筒预置位，满足大型会议室摄像跟踪需求。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▲4.产品符合GB 4943.1-2022《音视频、信息技术和通信技术设备第1部分：安全要求》相关要求，处理器与数字会议主机通过网络传输链路传输会议单元音频信号，只需要通过网线即可以接收数字会议单元音频信号，并提供自动增益、自动混音、AFC反馈抑制、EQ调节 音频处理功能。</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▲5.产品符合GB 4943.1-2022《音视频、信息技术和通信技术设备第1部分：安全要求》相关要求，支持与全数字会议系统主机软件集成，使用全数字会议系统综合控制软件统一配置全数字会议系统主机和会议话筒处理器；支持搭配音频综合管理平台集中管控软件模块，包含数字会议系统软件模块、电子桌牌软件模块、反馈抑制器软件模块、智能混音器软件模块、数字音频处理器软件模块、智控数字专业功放软件模块，各模块打开呈现在状态栏窗口，可快速管理和调用。</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38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8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AE9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E2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AD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主会议话筒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3E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1.话筒采用≥48kHz采样率。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2.采用芯片架构及算法，话筒开机连接时间≤5秒。</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3.具有智能检测故障功能，提示用户AP故障、主机通信故障、信号强度过低等情况。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4.支持通过Type-C口充电，支持≥18W快充，具有智能指标状态。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5.可通过UI设置SSID。</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6.具有中英文切换显示功能，通过PC软件统一设置。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7.具有发言计时和定时发言功能。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8.具有声控功能。通过软件调节声控灵敏度及设置关闭时间。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9.支持签到功能，通过PC软件设置并发起。</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10.支持会议投票功能、支持五键选举、三键表决功能。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11.采用≥128位AES加密技术，支持 WPA/WPA2 无线安全技术。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12.主席具备优先权功能，可关闭正在发言的所有代表话筒。</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13.采用全彩触屏，咪杆长度≤240mm。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14.具备≥3.5mm耳机孔，可连接外置麦克风。</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15.内置锂电池，电池容量支持≥14小时持续发言。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1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5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07D68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6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1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会议话筒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31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.▲产品符合GB 4943.1-2022《音视频、信息技术和通信技术设备第1部分：安全要求》相关要求，采用≥128位AES加密技术，支持 WPA/WPA2 无线安全技术。</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2.代表机具有申请发言功能，通过主席机批准申请人发言。具有声控功能。具有发言计时和定时发言功能。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3.产品符合GB 4943.1-2022《音视频、信息技术和通信技术设备第1部分：安全要求》相关要求，具备TYPE-C口，可进行升级程序和充电，内置容量锂电池，电池容量≥4800 mAh，可持续≥14小时发言。</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4.具备≥5段EQ调节功能。</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5.具有智能检测故障功能，提示用户AP故障、主机通信故障、信号强度过低等情况。</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具有≥四种投票表决模式，包括表决、选举、评级与自定义，可任选“先签到后表决”或“直接表决”两种流程；计票规则支持“第一次有效”或“最后一次有效”，并配倒计时提醒。投票结束后，可选择文字、柱状图或饼图呈现结果和通过率。</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（提供功能截图佐证）</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7.具备支持会议服务功能，话筒单元可向会议主机发送茶水、纸笔、人工服务需求；支持（圆盘）时钟界面显示功能，可显示时间；支持通过全数字会议系统综合控制软件配置显示或隐藏。</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（提供功能截图佐证）</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8.具备≥3.5mm耳机孔，可连接外置麦克风。</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9.咪杆尺寸≤240mm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9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2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E8D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2A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B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发射器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2F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1.遵从Wi-Fi 6协议标准（IEEE 802.11ax），向下兼容802.11a/b/g/n/ac/Wave2，支持MU-MIMO，允许AP同时接收多个终端发送数据，整机最大传输速率可达1.601Gbps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2.支持OFDMA空间复用技术和1024QAM调制解调算法。</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3.支持中文SSID，可指定最长包含≥31个字符的SSID，也可以使用中英文混合的SSID</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4.支持WPA3安全协议。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5.支持等同或优于80/160MHz的高带宽频段。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A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C4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C3A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23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6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充电箱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46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1.充电箱具有≥10个USB接口，支持使用USB线充电，提供5V/9V供电。一端连接充电器一端连接会议单元,支持≥18W快充。支持同时插满所有USB接口。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2.根据设备的耐受电流大小充电器会自动匹配合适的电流大小给设备充电，同时有过流保护功能。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3.智能自动电路保护，所有USB插口均具有短路保护功能和自恢复功能。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E5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4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006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93E3">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5、摄录系统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BACC">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D9F3">
            <w:pPr>
              <w:jc w:val="left"/>
              <w:rPr>
                <w:rFonts w:hint="eastAsia" w:asciiTheme="minorEastAsia" w:hAnsiTheme="minorEastAsia" w:eastAsiaTheme="minorEastAsia" w:cstheme="minorEastAsia"/>
                <w:i w:val="0"/>
                <w:iCs w:val="0"/>
                <w:color w:val="000000"/>
                <w:sz w:val="20"/>
                <w:szCs w:val="20"/>
                <w:u w:val="none"/>
              </w:rPr>
            </w:pPr>
          </w:p>
        </w:tc>
      </w:tr>
      <w:tr w14:paraId="502E0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5D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C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AI智慧录播主机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10F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内置LCD屏，显示设备运行状态、参数信息、硬盘容量、音频状态、资源通道录制状态、文件拷贝进度。设备具备≥4个物理按键，具备一键录制、停止、直播以及一键拷贝录制文件的能力。</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具备≥6路HDMI信号输入接口，全HDMI接口视频≥4K分辨率画面采集，具备≥1路Type-C接口采集画面，≥1080P分辨率采集画面。具备≥4路HDMI信号输出接口，其中≥2路4K分辨率以及音频同时输出；其他≥2路HDMI输出口具备自定义通道画面输出。具备≥1路3.5mm音频接口以及≥2路凤凰端子采集音频；≥1路3.5mm音频接口以及≥2路凤凰端子输出音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产品符合GB 4943.1-2022《音视频、信息技术和通信技术设备第1部分：安全要求》相关要求，</w:t>
            </w:r>
            <w:r>
              <w:rPr>
                <w:rFonts w:hint="eastAsia" w:asciiTheme="minorEastAsia" w:hAnsiTheme="minorEastAsia" w:eastAsiaTheme="minorEastAsia" w:cstheme="minorEastAsia"/>
                <w:i w:val="0"/>
                <w:iCs w:val="0"/>
                <w:color w:val="000000"/>
                <w:kern w:val="0"/>
                <w:sz w:val="20"/>
                <w:szCs w:val="20"/>
                <w:u w:val="none"/>
                <w:lang w:val="en-US" w:eastAsia="zh-CN" w:bidi="ar"/>
              </w:rPr>
              <w:t>具备≥3路RS-232凤凰端子接口和≥1路RS-485凤凰端子接口，其中≥1路RS232和≥1路RS485带12V电压供电，可对接各种串口协议设备并对该设备进行供电；具备≥5路USB接口，用于接U盘拷贝文件或者键盘鼠标操作内嵌导播台；具备≥1路802.3ab 1000Base-T千兆RJ45网络接口，≥1路光纤接口，支持IPv4地址和IPv6地址。</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4.设备可实现≥8路4K网络摄像头同时接入解码，具备≥6路资源画面合成输出≥4K分辨率PGM画面。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5.具备嵌入式导播控制台，可实时预览≥9路画面：≥1路PGM画面预览和≥8路资源通道预览，</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≥9路视频流同时录制，录制的文件格式支持MP4、AVI、MOV、FLV、TS和MKV格式。具备独立录制功能，各路录制可自由绑定音频通道，可独立录制控制。</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6.产品符合GB 4943.1-2022《音视频、信息技术和通信技术设备第1部分：安全要求》相关要求，产品具备对供电异常导致损坏的视频文件进行文件修复功能。</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077DA84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具备软件中控，在录播管理界面填写好中控指令，即可通过界面进行中控操作，对接其它设备进行一键控制；支持录播安卓APP对接和控制；支持对接私有云平台服务器。对接成功后，云平台可对设备进行统一的管控，方便对多台录播设备进行管理。</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音视频互动模式下，可实现HDMI输出主会场和分会场的画面，当主会场开启辅流共享时，主会场和分会场的HDMI接口都输出主会场的电脑课件内容；主会场不开启辅流共享时，主会场的HDMI接口输出主会场的电脑课件内容，分会场的HDMI接口输出分会场的电脑课件内容。</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9.产品符合GB 4943.1-2022《音视频、信息技术和通信技术设备第1部分：安全要求》相关要求，具备加密录制功能：可实现对录制文件加密录制，≥2种加密方式；加密视频需使用解密播放器进行播放，需使用U盾或密码对加密视频进行授权播放。</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5693DE5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10.产品符合GB 4943.1-2022《音视频、信息技术和通信技术设备第1部分：安全要求》相关要求，具备用户模式和高级模式设置。用户设置：一键设置超高清、高清、标清、流畅四个等级，可自定义分辨率、码率、帧率。码率支持256kbps、512kbps、1Mbps、2Mbps、4Mbps、8Mbps、12Mbps、20Mbps，支持动态编码以及静态编码选择；支持自定义分辨率，不同分辨率比例设置。</w:t>
            </w:r>
            <w:r>
              <w:rPr>
                <w:rFonts w:hint="eastAsia" w:asciiTheme="minorEastAsia" w:hAnsiTheme="minorEastAsia" w:eastAsiaTheme="minorEastAsia" w:cstheme="minorEastAsia"/>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4DB7BAE0">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11.音频编码支持多种格式，支持AAC、PCM、G.711A、G.711U、ADPCM格式，音频采样率支持48K、44.1K、8K。支持音频管理功能，支持音频混音管理，对≥5路音频输入混音设置以及每路通道音量大小单独控制。</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产品主机支持AI实时记录课堂互动，分析师生行为占比，分析每节课的教学模式，包括讲授型、练习型、对话型、混合型，并绘制出S-T图与RT-CH图。</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5E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CF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3DA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A4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64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摄像机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0A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1.摄像机采用≥1/1.8英寸、≥842万像素的UHD CMOS传感器，可输出分辨率≥4K@60的画面，并具备≥30倍光学变倍镜头。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2.镜头焦距≥30x, f = 7.1mm～210mm，F1.61～F5.19。</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3.具备RS232和RS485串口，支持预置位数量≥255个，预置位精度：≤0.1°。</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4.水平视场角：≥59.2°~ 2.5°；支持水平转动范围：≥-170°～+170°，垂直转动范围：≥-30°～+90°，水平转动速度范围：水平：≥1.7° ~ 100°/s，俯仰：≥1.7°~69.9°/s。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5.具备重力传感器，支持图像自动翻转功能。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6.支持AAC、G711音频编码。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7.具备≥1路HDMI输出接口、≥1路3G-SDI输出接口、≥1路USB3.0输出接口、≥1路网络接口，具备≥1路3.5mm音频输入接口和≥1路3.5mm音频输出接口，HDMI或3G-SDI与USB、LAN可同时输出≥3路高清数字信号。</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9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B7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65E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009C">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6、集中控制系统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73A2">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2549">
            <w:pPr>
              <w:jc w:val="left"/>
              <w:rPr>
                <w:rFonts w:hint="eastAsia" w:asciiTheme="minorEastAsia" w:hAnsiTheme="minorEastAsia" w:eastAsiaTheme="minorEastAsia" w:cstheme="minorEastAsia"/>
                <w:i w:val="0"/>
                <w:iCs w:val="0"/>
                <w:color w:val="000000"/>
                <w:sz w:val="20"/>
                <w:szCs w:val="20"/>
                <w:u w:val="none"/>
              </w:rPr>
            </w:pPr>
          </w:p>
        </w:tc>
      </w:tr>
      <w:tr w14:paraId="5E67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1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9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网络中控主机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E4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1.支持红外控制、RS-232、RS-422、RS-485、UDP、TCP、telnet、http、MQTT以及SNMP等多种协议，兼容性强，可对接第三方设备。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2.主机具备≥4.3英寸触摸彩屏、≥8路独立可编程串口、≥8路独立可编程IR红外发射口、≥8路数字I/0控制口、≥8路弱电继电器控制接口、≥1个NET网络控制接口、≥1路TF卡接口。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3.支持双机热备份。当中控主机出现故障时，备用中控主机自动承担服务，从而保证系统在不需要人工干预的情况下能正常运行。</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4.支持互联网控制。中控主机在连接互联网的情况下，用户可操作手机或平板等移动端通过互联网实现对中控主机远程控制。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5.支持扫二维码控制。中控主机在连接互联网的情况下会在云平台自动生成二维码，通过微信或者浏览器扫一扫二维码，即可进入控制界面，实现对中控主机控制。支持密码权限设置。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6.支持视频矩阵可视化控制。用户可通过控制端实时预览、拖动并切换矩阵视频信号，支持设置触碰和投放触发切换方式。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7.支持拼接矩阵可视化控制。用户可通过控制端实时预览、放大、缩小、拖动并切换拼接矩阵视频信号，可对输入信号源进行置底、置顶以及一键清屏等操作，支持设置触碰和投放触发切换方式。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8.支持≥2种局域网远程桌面方式，无需连接外部网络或使用第三方软件，支持多用户远程协同控制，便于现场运维。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9.对接云会务系统。用户通过手机APP或WEB端预约会议室时，可设置情景类型以及开始/结束时间。会议开始前，系统会自动调用场景，场景内所有设备联动启动或切换；会议结束后设备自动关闭。</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产品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E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7F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8532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F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75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串口分配器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0E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1.采用标准机柜式安装设计，结合高端中控使用，可节省控制端口的成本。具有≥1路网络通讯口、≥1路RS-232串口输入、≥8路RS-232串口及≥8路RS-485输出。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2.输入数据可指定切换至≥8路的任何一路输出，输出数据的波特率和校验方式可设定。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3.通过面板指示灯，可以清楚观察每个端口的操作。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4.具有复位按键，支持恢复到出厂的默认设置。具有≥1路网络接口，支持网络转≥8路RS-232串口及≥8路RS-485输出。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F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D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29D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FA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AC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控制器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2E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1.具有≥8路自动、手动电源控制器，内置≥8个20A继电器，负载能力≥4400W/单路；配合中控主机使用，用于控制灯光、电动投影幕、电动窗帘等会议室周边设备。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2.每路继电器都有三连接点的接线柱,具有常开与常闭的功能。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3.具有复位按键，支持恢复到出厂的默认设置。具有1路网络接口，支持通过网络实现远程控制。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4.具有设备运行状态指示灯及≥8个继电器的开关状态指示灯。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5.具有键盘锁（LOCK）功能。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6.机器具备ID识别，通过中控主机网络控制多台时，可通过ID识别。</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3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A8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C86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2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1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变压器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E9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1．具备≥2路输入、≥2路输出，工业标准接线端子。</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2．隔离静噪抗干扰器，消除“嗡”音和“嗞”音“超大电流声”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8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8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28B0F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D9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3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电源管理器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D0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2.当远程控制有效时同时控制后板ALARM（报警）端口导通以起到级联控制ALARM（报警）功能。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3.单个通道最大负载功率≥2200W，所有通道负载总功率≥6000W。输出连接器：多用途电源插座。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4.具有≥1路USB接口。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D1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B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1B8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4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15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电源管理器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0F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1.支持≥8通道电源时序打开/关闭，支持远程控制（上电+24V直流信号）≥8通道电源时序打开/关闭—当电源开关锁处于off位置时有效。支持配置CH1和CH2通道为受控或不受控状态。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2.当远程控制有效时同时控制后板ALARM（报警）端口导通以起到级联控制ALARM（报警）功能。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3.单个通道最大负载功率≥3500W，所有通道负载总功率达≥6000W，输入连接器：大功率线码式电源连接器。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4.输出连接器：≥2个16A，≥2个16A接线端子和≥4个10A电源插座。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5.具有≥1路USB接口。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8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B7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20D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AA26">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8、多功能报告厅辅材及设备安装</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F3AE">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4D84">
            <w:pPr>
              <w:jc w:val="left"/>
              <w:rPr>
                <w:rFonts w:hint="eastAsia" w:asciiTheme="minorEastAsia" w:hAnsiTheme="minorEastAsia" w:eastAsiaTheme="minorEastAsia" w:cstheme="minorEastAsia"/>
                <w:i w:val="0"/>
                <w:iCs w:val="0"/>
                <w:color w:val="000000"/>
                <w:sz w:val="20"/>
                <w:szCs w:val="20"/>
                <w:u w:val="none"/>
              </w:rPr>
            </w:pPr>
          </w:p>
        </w:tc>
      </w:tr>
      <w:tr w14:paraId="53E1B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BD68">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8.1LED显示系统安装工程</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57BC">
            <w:pPr>
              <w:jc w:val="left"/>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E56D">
            <w:pPr>
              <w:jc w:val="left"/>
              <w:rPr>
                <w:rFonts w:hint="eastAsia" w:asciiTheme="minorEastAsia" w:hAnsiTheme="minorEastAsia" w:eastAsiaTheme="minorEastAsia" w:cstheme="minorEastAsia"/>
                <w:i w:val="0"/>
                <w:iCs w:val="0"/>
                <w:color w:val="000000"/>
                <w:sz w:val="20"/>
                <w:szCs w:val="20"/>
                <w:u w:val="none"/>
              </w:rPr>
            </w:pPr>
          </w:p>
        </w:tc>
      </w:tr>
      <w:tr w14:paraId="7921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E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4B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主屏钢结构及包边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3B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C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36.8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E0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013F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3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77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副屏1钢结构及包边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7F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90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A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1AEEE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DB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7C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副屏2钢结构及包边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28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00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1D809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86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9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AA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1.8米音频连接线：卡侬头（母）-卡侬头（公）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5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8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48E1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4A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BE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D6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5米音频连接线：卡侬头（母）-卡侬头（公）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B9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32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65DF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86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64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C3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5米音频连接线：卡农头（母）-空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D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7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37B47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E3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E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73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1.8米音频连接线：卡农头（公）-空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0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4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30AE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8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3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28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5米音频连接线：3.5（耳机插头）-双6.35话筒插头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82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63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2B8D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1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1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AB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5米音频连接线：6.35话筒插头-6.35话筒插头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0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02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64E63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872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二、报告厅综合布线需求清单</w:t>
            </w:r>
          </w:p>
        </w:tc>
      </w:tr>
      <w:tr w14:paraId="3B24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8C3C">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一、控制设备以及配套设备</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365">
            <w:pPr>
              <w:jc w:val="left"/>
              <w:rPr>
                <w:rFonts w:hint="eastAsia" w:asciiTheme="minorEastAsia" w:hAnsiTheme="minorEastAsia" w:eastAsiaTheme="minorEastAsia" w:cstheme="minorEastAsia"/>
                <w:b/>
                <w:bCs/>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B58C">
            <w:pPr>
              <w:jc w:val="left"/>
              <w:rPr>
                <w:rFonts w:hint="eastAsia" w:asciiTheme="minorEastAsia" w:hAnsiTheme="minorEastAsia" w:eastAsiaTheme="minorEastAsia" w:cstheme="minorEastAsia"/>
                <w:b/>
                <w:bCs/>
                <w:i w:val="0"/>
                <w:iCs w:val="0"/>
                <w:color w:val="000000"/>
                <w:sz w:val="20"/>
                <w:szCs w:val="20"/>
                <w:u w:val="none"/>
              </w:rPr>
            </w:pPr>
          </w:p>
        </w:tc>
      </w:tr>
      <w:tr w14:paraId="4AA9B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A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68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图形工作站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10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1.处理器采用桌面级高端架构，核心规格≥10核16线程，基础主频≥2.5GHz，睿频≥4.8GHz，三级缓存≥20MB，满足多视频解码、多屏播控长期稳定运行。</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2.主板采用商用高端芯片组，配备全速PCIe 4.0 X16插槽，支持DDR4双通道内存及NVMe高速固态，具备硬件监控、开机自启、断电保护功能。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3.独立显卡采用高端图形处理架构，显存≥12GB GDDR6，位宽≥192bit；配备标准HDMI2.0输出接口，支持≥3路4K@60Hz独立信号输出，支持自定义分辨率、EDID屏幕锁定适配功能。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4.内存配置≥32GB DDR4 3200MHz高速双通道内存，满足多素材加载、多程序常驻运行需求。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5.固态硬盘配置≥1TB M.2 NVMe高速固态硬盘，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83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4C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224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A6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21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图形工作站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7E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1.处理器采用主流多核心工作站架构，6核12线程，基础主频≥3.0GHz，睿频≥4.2GHz，三级缓存≥12MB，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2.主板采用工作站芯片组，配备单路 PCIe 4.0 X16 插槽，支持独立显卡安装扩展，兼容 DDR4 双通道内存与 NVMe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3.独立显卡采用专业影音图形处理架构，显存≥6GB GDDR6，位宽≥128bit；搭载标准 HDMI2.0 输出接口，支持单路 4K@60Hz 高清信号输出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4.内存配置≥16GB DDR4 3200MHz 双通道高速内存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5.固态硬盘配置≥512GB M.2 NVMe 高速固态硬盘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97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48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7C9C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E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36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2K显控终端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D21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1.屏幕尺寸：23.8英寸，16:9标准宽屏，IPS广视角硬屏，微窄边框设计，适合控制室工位部署与多屏并排摆放。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2.物理分辨率：2560×1440（2K 高清），刷新率≥100Hz，灰阶响应时间≤4ms，静态典型对比度≥1300:1，动态对比度≥20000000:1，长时间播放 4K 影片画面无拖影、明暗层次清晰。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3.亮度色彩：典型亮度 300cd/㎡，sRGB 色域覆盖≥99%，出厂色彩校准 ΔE＜2，支持 HDR10解码，适配图形工作站输出影视素材监看；178°/178° 全可视角度，控制室多角度观看无色偏、发白现象。</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4.色彩规格：8bit色深，1670万色彩，搭载DCB活彩技术、Eco多场景亮度模式，可针对视频播放、图文编辑切换显示方案。</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3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C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6D5D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0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C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交换机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27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千兆以太网交换机（二层/二层+管理型）24个10/100/1000Base-T以太网电口+4个1000Base-X SFP光口1个Console口，交换容量336Gbps，包转发率92Mpps，MAC地址表最大支持8K/16K MAC地址深度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4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2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48B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1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B4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无线路由器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17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1个10/100/1000Mbps自适应千兆WAN口，3个10/100/1000Mbps自适应千兆LAN口，外置全向天线：2根2.4G天线+2根5G天线，支持100M/200M/500M/1000M光纤宽带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DF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6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72A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D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6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户内单红LED屏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C4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1.LED封装形式：SMD2121，发光点颜色组合：1R。</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2.物理点间距：≤4.75mm；分辨率：44321点/㎡。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3.单元板分辨率：64*32，单元板尺寸（mm）：304*152，白平衡亮度：200CD/㎡。</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4.水平视角：≥120°；垂直视角：≥120°。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5.平均无故障时间：≥10000H</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6.控制方式：异步控制；驱动器件：恒流；刷新频率：360Hz；换帧频率：≥60Hz；</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F2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80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37B4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EB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1C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控制卡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AF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1.支持控制单色带载≥4800*512，向下兼容；双色带载≥4096*512，向下兼容；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2.支持适配各种规格的单色/双基色LED显示屏；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3.支持分组集群管理、多节目编辑、多区域显示、多种语言版本；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D3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3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张</w:t>
            </w:r>
          </w:p>
        </w:tc>
      </w:tr>
      <w:tr w14:paraId="0181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82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D8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转接板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C4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1.配套转接板；50PIN背插连接，结构紧凑；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2.最大高度：≥128行（≥4组T8接口）；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B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47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44C3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E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31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移动控制终端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5C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11英寸全贴合护眼高刷屏，支持手写；</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八核处理器，内存≥8GB，存储≥128GB；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B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B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0FD5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9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1F6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二、摄录系统</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35C7">
            <w:pPr>
              <w:jc w:val="left"/>
              <w:rPr>
                <w:rFonts w:hint="eastAsia" w:asciiTheme="minorEastAsia" w:hAnsiTheme="minorEastAsia" w:eastAsiaTheme="minorEastAsia" w:cstheme="minorEastAsia"/>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A0E8">
            <w:pPr>
              <w:jc w:val="center"/>
              <w:rPr>
                <w:rFonts w:hint="eastAsia" w:asciiTheme="minorEastAsia" w:hAnsiTheme="minorEastAsia" w:eastAsiaTheme="minorEastAsia" w:cstheme="minorEastAsia"/>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A80C">
            <w:pPr>
              <w:jc w:val="center"/>
              <w:rPr>
                <w:rFonts w:hint="eastAsia" w:asciiTheme="minorEastAsia" w:hAnsiTheme="minorEastAsia" w:eastAsiaTheme="minorEastAsia" w:cstheme="minorEastAsia"/>
                <w:i w:val="0"/>
                <w:iCs w:val="0"/>
                <w:color w:val="000000"/>
                <w:sz w:val="20"/>
                <w:szCs w:val="20"/>
                <w:u w:val="none"/>
              </w:rPr>
            </w:pPr>
          </w:p>
        </w:tc>
      </w:tr>
      <w:tr w14:paraId="1483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A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4F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吊装支架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18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适配录播4K高清云台摄像机 ，一体化隐藏走线、万向角度调节，承重稳定无抖动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321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480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0954B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1F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1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4K直播摄像机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BC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1、成像规格：设备有效像素≥800万，支持4K（3840×2160）高清分辨率输出，搭载宽动态CMOS图像传感器，具备良好逆光抑制能力，明暗画面层次清晰，满足室内外高清拍摄及直播采集需求。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2、镜头与变焦性能：镜头成像等效焦距覆盖3.3–9.7mm视野范围，支持≥3倍无损光学变焦/等效3倍高清数码变焦、≥4倍数字变焦，具备自动对焦功能，远近画面切换清晰流畅，无明显虚化、拖影。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云台调节性能：支持水平、垂直大范围多角度云台调节，视角调节范围广，云台运行平稳无抖动；设备可存储不少于5组自定义画面预置位，支持一键调用预设拍摄角度，适配固定机位录制及移动多角度拍摄场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4、音频采集：内置高保真阵列式麦克风，支持≥5米远距离清晰拾音，有效抑制环境噪音，人声采集清晰通透。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5、接口与兼容性：配备USB</w:t>
            </w:r>
            <w:r>
              <w:rPr>
                <w:rFonts w:hint="eastAsia" w:asciiTheme="minorEastAsia" w:hAnsiTheme="minorEastAsia" w:eastAsiaTheme="minorEastAsia" w:cstheme="minorEastAsia"/>
                <w:i w:val="0"/>
                <w:iCs w:val="0"/>
                <w:color w:val="000000"/>
                <w:kern w:val="0"/>
                <w:sz w:val="20"/>
                <w:szCs w:val="20"/>
                <w:u w:val="none"/>
                <w:lang w:val="en-US" w:eastAsia="zh-CN" w:bidi="ar"/>
              </w:rPr>
              <w:noBreakHyphen/>
            </w:r>
            <w:r>
              <w:rPr>
                <w:rFonts w:hint="eastAsia" w:asciiTheme="minorEastAsia" w:hAnsiTheme="minorEastAsia" w:eastAsiaTheme="minorEastAsia" w:cstheme="minorEastAsia"/>
                <w:i w:val="0"/>
                <w:iCs w:val="0"/>
                <w:color w:val="000000"/>
                <w:kern w:val="0"/>
                <w:sz w:val="20"/>
                <w:szCs w:val="20"/>
                <w:u w:val="none"/>
                <w:lang w:val="en-US" w:eastAsia="zh-CN" w:bidi="ar"/>
              </w:rPr>
              <w:t>C高速接口，支持UVC免驱协议，电脑、设备即插即用，无需额外安装驱动，兼容各类直播、录播、视频会议软件采集推流。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6、设备适应性要求：设备支持固定机位部署及移动手持拍摄两种场景，可独立使用，无需绑定专用录播主机系统。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678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57B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6D24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E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1F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移动直播工作站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18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1.处理器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基础主频≥1.7GHz、最高睿频≥4.8GHz。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2.内存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基础内存容量≥16GB高频双通道内存，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3.存储设备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标配固态硬盘容量≥512GB NVMe TLC高速固态，可选容量≥1TB固态；机身预留≥1处额外M.2硬盘拓展位。</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4.图形处理显卡</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三、屏幕显示</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尺寸比例：≥16 英寸16:10窄边框雾面防眩光显示屏；</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分辨率≥2560×1600（2.5K）；</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屏幕刷新率≥120Hz，动态画面无拖影；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色彩与护眼：色域覆盖≥100% sRGB，专业级色准；通过低蓝光、无频闪双重护眼认证；屏幕峰值亮度≥300nit，强光环境可视清晰。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四、机身、散热与输入外设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机身：三面金属材质，整机重量≤1.9kg，机身厚度≤18mm，外勤携带轻便。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散热：双风扇多热管散热架构，高负载运行温控稳定、不降频，办公模式低噪音运行。</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输入：全尺寸背光巧克力键盘，配备独立数字小键盘；大尺寸多点触控板，支持多手势快捷操作。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五、接口、网络与供电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接口：配备 HDMI 高清视频输出口、全功能 Type-C 接口、≥2组USB-A高速接口、3.5mm二合一音频口、SD读卡器、RJ45千兆有线网口，无需拓展坞即可直连显示器、打印机、存储外设。</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网络：无线网卡规格≥WiFi 6，蓝牙版本≥5.3，无线传输低延迟、连接稳定。</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六、音视频与安全配置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音频：双立体声扬声器，支持全景声音效；内置双阵列降噪麦克风。</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F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D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EEC8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1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CE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直播三脚架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ED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加粗升降90cm笔记本支架工作台+鼠标托盘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C4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3A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1E93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C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45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电源适配器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B02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1.功率：30W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2.POE供电距离：100m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3.网口类型：千兆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符合IEEE 802.3af PoE供电标准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A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2A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3662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53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24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机柜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8D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1.42U。</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2.前门采用钢制嵌边式玻璃门。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3.后门和两侧采用钢质快速拆卸门板。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4.预留顶部和底部进线孔，满足上下进线需求。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0A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AD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1E33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07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5B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操作台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A9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定制机柜旁放置调音台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材质：冷轧钢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钢材厚度：1mm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6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4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4802C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68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81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D0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国标电源线：RVV3*2.5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2B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E2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5FE4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F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4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86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6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4270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D9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188E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E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10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77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8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7A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r>
      <w:tr w14:paraId="2201C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D9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36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PVC线管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6D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PVC25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A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E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463A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1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5A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镀锌槽式桥架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E2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XQJ-C 200*100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58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C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2B237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30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会标屏框架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E4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1.用材要求：采用国标镀锌钢型材、加固连接件及配套辅材制作承重结构；选用不锈钢板、铝塑板及专用辅材做屏体包边，所有材料全新合规、符合行业标准。</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5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B6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平方米</w:t>
            </w:r>
          </w:p>
        </w:tc>
      </w:tr>
      <w:tr w14:paraId="0A38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E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5C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多媒体插座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BC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电源，HDMI，音频，网口，卡侬，欧姆（按用户要求定制）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9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1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r w14:paraId="3703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89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4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69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卡侬*2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3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E9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563A6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B9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01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B3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欧姆头*2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B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6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D94C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0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D9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63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RVPE2*0.5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64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CC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7967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35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9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天线馈线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FF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SYV50-5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A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E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2FEB5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9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09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DF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HDMI线材质: 纯铜长度:2米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CD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E6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62F0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0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F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0BC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HDMI线材质: 纯铜长度:5米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2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2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729B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87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F6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6A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HDMI线材质: 纯铜长度:15米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18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B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7267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6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7E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2E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HDMI光纤线：40米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B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6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1181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5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5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00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HDMI光纤线：60米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D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87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3AAF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72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00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BF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HDMI光纤线：80米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F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5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209C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99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79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D0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音箱线:EVJV2*2.5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E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60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1BD65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B9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2B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74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音箱线:EVJV4*2.5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77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4E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50601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6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74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52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HDMI线材质: 纯铜长度:10米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E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0BC3B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C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98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成品音频线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BE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20米音频线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4F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8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4F7CA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A2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F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40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6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40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6442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1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0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机柜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E1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1.42U。</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2.前门采用钢制嵌边式玻璃门。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3.后门和两侧采用钢质快速拆卸门板。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4.预留顶部和底部进线孔，满足上下进线需求。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93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14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637E2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0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0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单口/双口面板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63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白色，含防尘盖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E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6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42F0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0F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5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03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5E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B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r>
      <w:tr w14:paraId="05A9B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6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5A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钢丝绳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34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钢丝绳，Φ8mm*1米（7*19）</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参考重量：100米/Kg=25.6</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最小破断拉力：33.35KN</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最大承重：3403Kg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21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1F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1D14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D9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2F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钢丝绳锁扣</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33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304不锈钢741夹头、卡头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8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F8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22E6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A4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1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24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国标电源线：RVV3*1.5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A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3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65A93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39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E6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60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国标电源线：RVV3*4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F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48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1A19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9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8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8A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F0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2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3155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B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23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D9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8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AF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r>
      <w:tr w14:paraId="173BC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BC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70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金属线管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02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JDG25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DA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3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1F6BB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4C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53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金属线管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ED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JDG32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CB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3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6AFE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8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8D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镀锌槽式桥架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40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XQJ-C 100*100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6A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3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680C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F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7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线阵音箱钢结构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34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包含线阵音箱吊挂承重主体钢结构、加固支撑结构、现场制作安装、防腐防锈处理、所有结构、材料选用、施工工艺完全符合国家及行业安全规范标准，确保结构安全、安装适配、外观整体统一美观。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5C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8A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7A4C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6E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3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空气开关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6E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国标2P32A漏电保护断路器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3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CB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3A94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81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40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E7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线管、桥架连接件、固定支架、紧固五金、接地配件、走线固定件、绝缘配件、扎带、套管、垫片、螺丝、膨胀螺栓、音响插头、音频接头、音视频转接头、底盒、弯头、接头、螺丝、扎带、电胶布、插头、标签标识等五金材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DC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55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5A02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E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6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技术服务费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96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包含报告厅扩声系统、数字会议系统、录播系统、中控系统、管线敷设、布线端接、安装施工、接地防护、标识归档、设备调试，售后质保等全套配套服务。所有结构施工、线路确保整体适配统一、安全合规。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00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BF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1D838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2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15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葫芦基础支架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AA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动葫芦吊挂专用基础承重支架，依据现场建筑原有结构尺寸、荷载条件定制生产，配套完成现场制作、就位安装、整体防腐防锈全套工序；支架结构选型、主材规格、施工工艺全部符合现行国家与行业安全技术标准，确保结构承载稳定、设备安装匹配、整体视觉协调美观。供货及施工范围涵盖适配现场原有主体承重所需的全部主梁、承重次梁、加固构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2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67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2F16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F1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0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18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国标电源线：RVV4*2.5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9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02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0490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DF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8F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A7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线管、桥架连接件、固定支架、紧固五金、接地配件、走线固定件、绝缘配件、扎带、套管、垫片、螺丝、膨胀螺栓、固定挂件、过渡接头、防尘封堵、设备整理固定等相关辅料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90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48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3A33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C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4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葫芦电机，桁架设备安装</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10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包含报葫芦电机，桁架设备、管线敷设、布线端接、安装施工、接地防护、标识归档、售后质保等全套配套服务。所有施工、线路确保整体适配统一、安全合规。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F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12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5D65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4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B9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固定幕布吊杆</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A7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包含报固定幕布吊杆，防锈底漆、黑色面漆；现场焊接制作桁架设备所有施工、确保整体适配统一、安全合规。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8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43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05B4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85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0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FB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国标电源线：RVV3*2.5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38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B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524B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CA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A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信号线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E6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灯具信号线：RVVP2*0.5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C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1D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r>
      <w:tr w14:paraId="5574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2B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1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D8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线管、桥架连接件、固定支架、紧固五金、接地配件、走线固定件、绝缘配件、扎带、套管、垫片、螺丝、膨胀螺栓、固定挂件、过渡接头、设备整理固定等相关辅料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D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0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55941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8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24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灯光技术服务费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7B5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包含报告厅灯光设备、管线敷设、布线端接、安装施工、接地防护、标识归档、售后质保等全套配套服务。所有施工、线路确保整体适配统一、安全合规。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EA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E2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2B07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69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三、音乐器材</w:t>
            </w:r>
          </w:p>
        </w:tc>
      </w:tr>
      <w:tr w14:paraId="4391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2A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2B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舞台会议条桌</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87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小型长条实木可拼接主席台领导发言会议桌椅</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尺寸：1400*600*760（偏差≤3mm）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15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CD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2FA4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39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33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机房桌椅</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A1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尺寸：1400*500*750（偏差≤3mm）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F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E2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7B796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8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0C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合唱站台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29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1、黑色喷塑铁制框架和铁结构，三层台阶设计，多层板包地毯，外观和品质满足专业和大型表演需要；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2、带优质静音超大脚轮使合唱台能够根据使用需求灵活移动、布置和储存放置；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3、独特的变形从弧形转换成直形，马蹄形，灵活方便通过层板调整形成弧形、直线、翼形等不同的合唱台造形组合方式；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4、每层台阶宽≦45㎝,台阶高度≦30㎝；每组合唱台有连接装置保证安全连接并固定到位；背部也同时配备与合唱台一体的安全护栏，并可实现收折方便存放和移动；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D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DA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5271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17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9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三角钢琴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E7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1.具有机械钢琴必备的三个踏板，包括延音踏板、弱音踏板、柔音踏板；钢琴款型:三角钢琴，基本结构均符合GB/T 10159-2002中3.3的有关要求；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2.钢琴键数:88键，音质：全音域均匀、连贯、无杂音，音量：全音域均匀，能表现不同的强弱音，层次清楚；</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产品规格：长≥150cm，宽≥151cm，高≥102cm；</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3.材质: 音板采用鱼鳞松音板，符合GB/T 10159－2002的相关要求，钢琴共鸣系统发音规律，音板、肋木、弦马、音板框结合牢固，无开裂、不脱胶；</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4.油漆：光面乌黑色,PE树脂环保涂料，钢琴烤漆工艺，琴整体结构牢固，表面平整，色泽均匀协调，缝隙均匀，各活动件开闭方便，稳妥可靠，表面涂饰符合GB/T 10159-2002 中的规定，平面度符合GB/T 10159-2002 中的规定；</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5.机芯：实木总档机芯，符合QB/T 2279－2004的规定；</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6.马克：符合标准机械钢琴马克要求；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7.钢板：结构牢固，没有使用和外观上的缺陷，涂层没有起泡、脱皮，铸造强度HT150-200,符合GB/T 10159－2002中4.4的规定，踏瓣、铰链、压弦条、弦枕、弦枕钮、锁的表面光洁，没有锈蚀和变色；外观色泽一致，不起泡、脱皮和露底，电镀件防锈能力符合QB/T3451－1982的规定，耐腐蚀等级不小于６级；</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8.琴弦：达到GB/T 10159－2002的相关要求；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9.琴槌：红木纯羊毛榔头，达到GB/T 10159－2002的相关要求；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10.键盘：实木键盘，砝码加铅技术，内置高级液压缓降器，白键前端长度为48.0mm，每音组白键宽度符合QB/T 3912-1999表１中A的规定，黑键上端面宽度符合QB/T 3912-1999表１中A的规定，黑键底宽度为≥11.0mm，黑键长度为≥94mm，黑键前端距白键面的高度为≥11.5mm，琴键间隙符合QB/T 3912-1999表１的规定，琴键面排列平整，各键倒棱、倒角，中盘底面距地面高度不低于570mm，白键面距地面高度不低于640mm。</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配：双人琴凳1张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5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67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5B0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3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21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立式钢琴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3D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1.标准126机械钢琴，具有机械钢琴必备的三个踏板，包括延音踏板、弱音踏板、柔音踏板；</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钢琴款型:立式钢琴，基本结构均符合GB/T 10159-2015中3.3的有关要求；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2.钢琴键数:88键，音质：全音域均匀、连贯、无杂音，音量：全音域均匀，能表现不同的强弱音，层次清楚；</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3.产品规格：长151cm，宽61cm，高126cm；</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4.音板: 采用纯实木音板，符合GB/T 10159－2015的相关要求；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5.肋木：在原木上切出直纹并进行成型加工后,将称为 肋木的粗而结实的木材与音板的横纹交叉装配,由操 作熟练的工匠精心组装而成。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6.油漆：光面乌黑色,树脂环保涂料，钢琴烤漆工艺，琴整体结构牢固，表面平整，色泽均匀协调，缝隙均匀，各活动件开闭方便，稳妥可靠</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7.机芯：采用原装机芯，制作工艺达到 0.05 毫米的精密度，符合GB/T 2279－2004的规定；</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8.马克：1456马克，符合标准机械钢琴马克要求；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9.琴弦：琴弦达到GB/T 10159-2015《钢琴》相关要求；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10.弦码：采用色木多层板制作。</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11.琴槌：达到GB/T 10159-2015《钢琴》的相关要求；</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12.键盘：采用多层实木键盘，键盘表面硬度2H以上，砝码加铅技术，内置高级液压缓降器，白键前端长度为48.0mm，黑键底宽度为11.0mm，黑键长度为94mm，黑键前端距白键面的高度为11.5mm，琴键面排列平整，各键倒棱、倒角，中盘底面距地面高度不低于570mm，白键面距地面高度不低于640mm。</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13.缓降器：采用原装高级液压纯铜缓降器，防止压手，反复使用可达50万次。</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14.弦轴板：采用18层优质榉木；</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15.击弦机：所有运动部件均由实木制作而成，不含塑料、ABS材质或碳纤维材质；</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16..中盘：纯实木中盘，铝合金加固，结构牢固，避免潮湿或干燥的天气造成影响而变形；</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17、五金件：合页及脚轮等五金件为纯铜材质，统一色泽，坚韧。</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配：双人琴凳1张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CD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28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65DB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9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42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键盘</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72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1.键盘：61键、力度感应，无触后</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2.复音：128最大复音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3.音色：1400+预置音色、35套鼓组，支持官方EXP音色扩展</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4.核心功能：乐句打击垫、琶音器、8轨音序器、声码器、人声效果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5.接口：麦克风输入、外接音频、USB（声卡+ MIDI）、MIDI进出、踏板接口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6.供电：电源适配器/AA充电电池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3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E5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640D2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7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81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电吉他</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6909">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琴体：杨木（双缺角 ST 造型）</w:t>
            </w:r>
          </w:p>
          <w:p w14:paraId="356F626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2.琴颈/指板：碳化（烤）枫木、锁接式连接</w:t>
            </w:r>
          </w:p>
          <w:p w14:paraId="465BFB0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3.弦长/品数：648mm、22 品、指板弧度 9.5"</w:t>
            </w:r>
          </w:p>
          <w:p w14:paraId="02639601">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4.琴枕：牛骨；品记：白珍珠 ABS圆点</w:t>
            </w:r>
          </w:p>
          <w:p w14:paraId="022784F9">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5.拾音器：HSS（单单双，琴桥双、琴颈/中间单）、5档切换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6.电路：1音量、2音色旋钮</w:t>
            </w:r>
          </w:p>
          <w:p w14:paraId="5F4A22C6">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7.琴桥：六点式复古单摇（同步颤音）</w:t>
            </w:r>
          </w:p>
          <w:p w14:paraId="6C37450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8.弦钮：封闭式（18:1）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9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13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把</w:t>
            </w:r>
          </w:p>
        </w:tc>
      </w:tr>
      <w:tr w14:paraId="5F84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9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9E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效果器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085B">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核心建模：55个音箱前级模拟、26 个原厂IR箱体，支持第三方IR加载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2.效果系统：9大模块、151种效果类型，可自定义效果链</w:t>
            </w:r>
          </w:p>
          <w:p w14:paraId="6347E069">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3.实用功能：内置52秒循环录音、40种鼓机+10种节拍器、调音器、TAP TEMPO</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4.预设存储：200个用户预设，支持 MOOER STUDIO 软件编辑/导入模型</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5.接口：6.35mm 单声道输入、双6.35mm立体声输出、3.5mm AUX /耳机、EXP 表情踏板、USB（声卡 + MIDI）</w:t>
            </w:r>
          </w:p>
          <w:p w14:paraId="4F8C275B">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6.供电 / 尺寸：9V DC 600mA（内负外正）、尺寸 297×145.5×45.5mm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1C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FB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44085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59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7E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贝斯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5F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1.琴体：椴木（Basswood），P型双缺角，经典复古外观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2.琴颈/连接：加拿大硬枫木，螺</w:t>
            </w:r>
            <w:r>
              <w:rPr>
                <w:rFonts w:hint="eastAsia" w:asciiTheme="minorEastAsia" w:hAnsiTheme="minorEastAsia" w:eastAsiaTheme="minorEastAsia" w:cstheme="minorEastAsia"/>
                <w:i w:val="0"/>
                <w:iCs w:val="0"/>
                <w:color w:val="auto"/>
                <w:kern w:val="0"/>
                <w:sz w:val="20"/>
                <w:szCs w:val="20"/>
                <w:u w:val="none"/>
                <w:lang w:val="en-US" w:eastAsia="zh-CN" w:bidi="ar"/>
              </w:rPr>
              <w:t>栓锁接，C形手感</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3.指板：玫瑰木，21 品，圆点品记，弦长34 英寸（864mm），琴枕41mm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4.拾音器：单块 P 型分裂单线圈、被动电路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5.控制：1音量、1音色旋钮（经典P贝斯配置）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6.琴桥/弦钮：复古钢制琴桥、黄铜弦码；复古开放式弦钮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E2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B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把</w:t>
            </w:r>
          </w:p>
        </w:tc>
      </w:tr>
      <w:tr w14:paraId="78A9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3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19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76C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类型：动圈（动圈式）、手持人声专用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2.指向性：心形，抑制背景噪、防啸叫</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3.频响：50Hz–15kHz（人声优化，中频突出、低频滚降）</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4.灵敏度：-54.5 dBV/Pa（1.85mV/Pa，1kHz 开路）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5.阻抗：额定150Ω（实际 300Ω）</w:t>
            </w:r>
          </w:p>
          <w:p w14:paraId="6746B3A5">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6.最大声压级：160dB SPL（1kHz）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7.开关：带通断开关（On/Off）（SM58S区别于SM58）</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8.接口：公头XLR（3针）</w:t>
            </w:r>
          </w:p>
          <w:p w14:paraId="7B0A7AFE">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9.结构：金属机身、钢制网头、内置防喷 / 防风、气动防震架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C7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53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r>
      <w:tr w14:paraId="02DF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80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B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长连接线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AE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1.线芯规格：20AWG，铜包镁铝合金/无氧铜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2.屏蔽：单层螺旋屏蔽，覆盖率 90%，抗干扰降噪</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3.绝缘/护套：PE 内绝缘 +PVC 外护套，外径6.5mm，柔软耐磨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4.插头：6.35mm (1/4") TS 单声道，金属外壳、镀镍触点，直头×2</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5.阻抗/适用：低阻抗乐器线，适配电吉他、贝斯、效果器、音箱</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7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C6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4BE1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D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53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短连接线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0F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1.长度：3米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2.插头：双直头 6.35mm TS 大二芯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3.线材：PVC 耐磨外护套，柔韧抗拉扯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4.屏蔽：高密度编织屏蔽，降噪防干扰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5.线芯：高导电合金铜芯，传输稳定</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6.适用：电吉他、贝斯、效果器、音箱通用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7.特点：抗氧化镀镍插头，做工耐用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A3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D9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r>
      <w:tr w14:paraId="7E4D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9F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90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琴架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C8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可折叠，可选颜色黑/白/黄/粉/蓝</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10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B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5EB0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CD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1A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CBB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1.功率/喇叭：20W RMS，双4英寸全频喇叭，适合家用/街头弹唱。</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2.通道/效果：双独立通道（吉他6.35mm、话筒 XLR）；吉他带合唱/延迟/混响，话筒带独立混响。</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3.供电/续航：内置11.1V锂电池，续航约6小时，支持15V DC适配器供电，户外便携。</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4.接口/功能：带蓝牙、3.5mm AUX、USB</w:t>
            </w:r>
            <w:r>
              <w:rPr>
                <w:rFonts w:hint="eastAsia" w:asciiTheme="minorEastAsia" w:hAnsiTheme="minorEastAsia" w:eastAsiaTheme="minorEastAsia" w:cstheme="minorEastAsia"/>
                <w:i w:val="0"/>
                <w:iCs w:val="0"/>
                <w:color w:val="auto"/>
                <w:kern w:val="0"/>
                <w:sz w:val="20"/>
                <w:szCs w:val="20"/>
                <w:u w:val="none"/>
                <w:lang w:val="en-US" w:eastAsia="zh-CN" w:bidi="ar"/>
              </w:rPr>
              <w:noBreakHyphen/>
            </w:r>
            <w:r>
              <w:rPr>
                <w:rFonts w:hint="eastAsia" w:asciiTheme="minorEastAsia" w:hAnsiTheme="minorEastAsia" w:eastAsiaTheme="minorEastAsia" w:cstheme="minorEastAsia"/>
                <w:i w:val="0"/>
                <w:iCs w:val="0"/>
                <w:color w:val="auto"/>
                <w:kern w:val="0"/>
                <w:sz w:val="20"/>
                <w:szCs w:val="20"/>
                <w:u w:val="none"/>
                <w:lang w:val="en-US" w:eastAsia="zh-CN" w:bidi="ar"/>
              </w:rPr>
              <w:t>C OTG内录、3.5mm耳机，支持直播/伴奏/录音。</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5.便携紧凑、适合弹唱直播。</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68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FAD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57A6B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2E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81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93C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落地支架，金属材质，高度可调，三脚底座稳固防滑，升降顺滑，承重强，适配手持/电容话筒，折叠便携，舞台、排练、直播通用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5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5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445EB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2D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DF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高方凳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58E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kern w:val="0"/>
                <w:sz w:val="20"/>
                <w:szCs w:val="20"/>
                <w:u w:val="none"/>
                <w:lang w:val="en-US" w:eastAsia="zh-CN" w:bidi="ar"/>
              </w:rPr>
              <w:t>整体：363×337×466mm</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凳面：约330×300mm（弧形前宽后窄）</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凳腿内空：约280×250mm</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离地高：466mm（标准餐桌高凳）</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主体：食品级PP塑料</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脚垫：底部防滑TPR 软胶垫</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结构：四角加强筋、中空一体成型、可堆叠</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凳面：165° 弧形 + 镂空条纹，透气防滑</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静态承重：≥150 kg</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单只净重：约1.1–1.2 kg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7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DA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条</w:t>
            </w:r>
          </w:p>
        </w:tc>
      </w:tr>
      <w:tr w14:paraId="0B71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06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45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窗帘</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15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类型：全遮光布艺帘（双层：布帘+遮光衬）</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褶皱比例：1.8–2.0倍（遮光+垂感+吸音）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安装：满墙落地帘（宽=窗宽+左右各200–300；高=净高-10）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遮光率：≥99.5%（全遮光级），投影无光斑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紫外线阻隔：UPF50+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成分：100% 聚酯纤维（工程涤纶），高密度长丝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结构：双层（面布+全遮光衬），无涂层异味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阻燃等级：GB 20286 B1 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环保：GB 18401 B类；甲醛≤20mg/kg；无异味、低 VOC</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色牢度：耐晒≥7级，耐洗≥4–5级，长期日晒不褪色</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断裂强力：经向≥2000N，纬向≥1100N</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撕破强力：≥300N</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耐磨：≥4级；抗老化≥8年</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吸音系数：中高频≥0.30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轨道/罗马杆参数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轨道：静音铝合金大方轨，壁厚≥2.0mm，承重≥10kg/m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规格：1.2mm 壁厚以上、电泳/氧化耐磨，象牙白/银灰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走轮：静音尼龙轮，推拉顺畅无噪音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主色：低反光、耐脏、吸音好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5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DF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项</w:t>
            </w:r>
          </w:p>
        </w:tc>
      </w:tr>
      <w:tr w14:paraId="1896A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991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四、智慧黑板</w:t>
            </w:r>
          </w:p>
        </w:tc>
      </w:tr>
      <w:tr w14:paraId="72BE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E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C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智慧黑板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A7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一、整体设计要求：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1、整机采用全金属外壳，三拼接平面一体化设计，屏幕采用86英寸液晶显示器。整机屏幕边缘采用金属圆角包边防护，整机背板采用金属材质，有效屏蔽内部电路器件辐射；防潮耐盐雾蚀锈，适应多种教学环境。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2、整机采用超高清LED液晶显示屏，显示比例16:9，分辨率≥3840×2160。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3、整机输入接口具备至少2路HDMI、至少1路RS232、至少1路音频输出、至少1路触控USB输出；前置输入接口具备至少3路USB接口（包含1路Type-C）。</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4、▲产品符合GB 4943.1-2022相关要求，整机嵌入式系统版本不低于Android 15，主频≥1.6GHz，内存≥2GB，存储空间≥32GB。</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5、整机支持Windows系统和Android系统中进行50点或以上触控。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6、产品符合GB 4943.1-2022相关要求，整机CPU芯片，WIFI与蓝牙芯片、摄像头图像处理芯片、均采用国产自主芯片。</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7、长时间无人使用屏幕可自动息屏，有效保护屏幕寿命及节能，用户可通过整机内置触摸中控菜单进行开启和关闭，可自定义无人操作息屏时间间隔。</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8、产品符合GB 4943.1-2022相关要求，整机全通道侧边栏快捷菜单中可实时查看物联设备的连接情况，点击设备图标即可调出中控菜单进行管控。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9、整机上边框内置非独立式摄像头，视场角≥150度，可拍摄≥5000万像素的照片，摄像头支持环境色温判断，根据环境调节合适的显示图像效果。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10、整机系统支持书写触控延迟≤25ms，整机触控书写功能集成预测算法，在书写速度≥50cm/s，支持笔迹距离笔的距离小于20mm。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11、整机全通道⽀持4K显示，包括安卓通道、PC通道、HDMI通道。</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12、产品符合GB 4943.1-2022相关要求，整机内置2.2声道扬声器，高音扬声器≥2个，中低音扬声器≥2个，最大功率≥80W。</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13、产品符合GB 4943.1-2022相关要求，整机听力模式下具备AI人声语言增强功能，支持三挡强弱调节，通过AI算法提取视频/音频中的语言进行效果增强，在不增加音量的情况下提升语言清晰度</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整机内置非独立外扩展的8阵列麦克风，拾音距离≥12m，内置语音助手，通过整机麦克风及智能笔以唤醒词调起语音助手，支持语音交互的方式调节整机音量、亮度等，语音操控打开系统已安装应用如：教学白板、浏览器、计算器、画板等，语音搜索指定网页内容，支持选择网页中的视频进行播放或暂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15、支持标准、听力、观影和AI空间感知音效模式，AI空间感知音效模式可通过内置麦克风采集教室物理环境声音，自动生成符合当前教室物理环境的频段、音量、音效。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16、整机系统支持人工智能画质调节模式，在安卓通道下可根据屏幕内容自动调节画质参数，自动调整对比度、饱和度、锐利度、色调色相值、高光/阴影等。</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17、支持自定义图像设置，可对对比度、屏幕色温、图像亮度、色彩空间调节等设置。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18、整机全通道支持纸质护眼模式，可实现画面纹理的实时调整；支持纸质纹理：牛皮纸、素描纸、宣纸、水彩纸、水纹纸；支持透明度调节；支持色温调节。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19、产品符合GB 4943.1-2022相关要求，整机侧边栏内置智能语音转文字工具，将整机内置麦克风拾取的语音进行文字转译，以悬浮字幕形式将转译文字显示在屏幕上。</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20、产品符合GB 4943.1-2022相关要求，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二、无线互联要求：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1、整机无需外接无线网卡，在Android和Windows系统下可实现Wi-Fi无线上网连接、AP无线热点发射和BT蓝牙连接功能。Wi-Fi和AP热点工作距离≥12m。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2、整机支持蓝牙Bluetooth 5.4标准，整机PC端支持主动发现蓝牙外设从而连接（无需整机进入发现模式）。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3、整机无线模块（Wi-Fi和蓝牙）采用独立模块化设计，无需拆卸整机后壳即可独立拆装。</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4、产品符合GB 4943.1-2022相关要求，整机支持发出超声波信号，智能手机和笔记本电脑接收超声波信号后可以自动识别附近投屏设备，点击对应设备即可完成投屏操作。</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5、产品符合GB 4943.1-2022相关要求，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6、整机内置传屏接收模块，整机不需要连接任何附加设备，可实现外部电脑、手机等设备的音视频信号实时传输到整机上；当使用外部电脑传屏时，支持触摸回传。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7、整机内置双WiFi6无线网卡，在Android和Windows系统下，可实现Wi-Fi无线上网连接、AP无线热点发射。</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8、整机无需外接无线网卡，在Windows系统下接入无线网络，切换到嵌入式Android系统下可直接实现无线上网功能，不需手动重复设置。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9、整机支持通过机器序列号定向进行软件OTA升级和云端在线系统固件升级。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ops主机配置：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1、处理器：i5 十二代或以上 CPU</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2、内存规格：DDR4内存，8G；硬盘：256G 固态硬盘；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3、PC 模块可抽拉式插入整机，可实现无单独接线的拔插。</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4、电脑模块和整机连接采用万兆级接口，传输速率≥10Gpbs。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5、采用按压式卡扣，无需工具就可快速拆卸电脑模块。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DB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6C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3C3E2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D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4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视频展台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34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硬件参数要求：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安全可靠，防止意外事故的发生，采用壁挂式安装，圆弧式设计，无锐角；同时托板采用磁吸吸附式机构，防止托板打落，方便打开及固定，避免机械式锁具故障率高的问题，有效防止师生碰伤，防盗防破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2、极简设计，采用一体化托板与主体进行连接，展开后托板尺寸≥A4面积，托板及挂墙部分采用金属加强，可承受重量不得低于3kg。</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3、保障清晰度，采用不低于800W像素摄像头，过程中支持自动对焦，可拍摄A4画幅，1080P动态视频预览达到30帧/秒。</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4、极简设计，采用USB高速接口，单根USB线实现供电、高清数据传输需求。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5、便捷使用，自带LED补光灯，光线不足时可进行亮度补充，亮度均匀。</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6、外壳在摄像头部分带保护镜片密封，防止灰尘沾染摄像头，防护等级达到IP4X级别。</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8、为保证兼容性及稳定性，视频展台需与智慧黑板为同一品牌厂家。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软件参数：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1、教师能对展台画面进行便捷操作，包括画面的放大，缩小，旋转，自适应，冻结画面等，支持拍照截图并进行多图预览，可对任一图片进行全屏显示。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2、支持展台画面实时批注，预设多种笔划粗细及颜色供选择，且支持对展台画面联同批注内容进行同步缩放、移动。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3、具有延时拍摄功能，支持5秒或10秒的模式进行延时拍照，留足充足时间以便于调节拍摄内容，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4、教师可自由选择多种情景模式对拍摄内容进行展示，以便于适应不同场景的教学，包含可选择图像、文本或动态等情景模式。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5、为增加显示的清晰度，具备图像增强功能，可自动裁剪背景并增强文字显示，使文档画面更清晰。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6、支持二维码扫码功能：打开扫一扫功能后，将书本上的二维码放入扫描框内即可自动扫描，并进入系统浏览器获取二维码的链接内容，帮助老师快速获取电子教学资源。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8E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30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25C4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5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AB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AI智慧屏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F4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一、屏体硬件：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1.整机采用≥86英寸UHD超高清LED液晶屏，显示比例16:9，分辨率3840×2160，屏幕采用防眩光钢化玻璃保护厚度≤4mm，硬度≥9H，屏幕触摸有效识别高度不超过1.5mm，触摸屏识别为点击操作。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▲2.产品符合GB 4943.1-2022相关要求，红外触控技术支持Windows系统和安卓系统中进行40点或以上触控，触摸分辨率32768*32768，整机系统支持书写触控延迟≤25ms，触控书写功能集成预测算法，在书写速度≥50cm/s，支持笔迹距离笔的距离小于20mm。</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3.整机支持色彩空间可选，包含标准模式和sRGB模式，在sRGB模式下可做到高色准△E≤1。</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4.为充分满足用户实际使用需求，前置面板需具有以下输入接口：≥2路双通道USB3.0接口、≥1路USB Type-C全功能通道接口，后置≥1路HDMI接口、≥1路USB 接口等接口。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▲6.产品符合GB 4943.1-2022相关要求，交互平板具有物理开机防蓝光功能，蓝光危害为RGO豁免级，通过由中国标准化研究院制定的视觉舒适度（VICO）体系认证，并达到视觉舒适度A +级或以上标准；</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7.产品符合GB 4943.1-2022相关要求，整机内置2.2声道扬声器采用缝隙发声技术，顶置朝前发声前朝向10W高音扬声器2个，上朝向20W中低音扬声器2个，内置非独立外扩展的8阵列麦克风拾音距离≥12m，支持标准、听力、观影和AI空间感知音效模式，AI空间感知音效模式可通过内置麦克风采集教室物理环境声音，自动生成符合当前教室物理环境的频段、音量、音效。</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8.整机内置无线网络模块和蓝牙Bluetooth 5.4标准模块，内置双WiFi6无线网卡（不接受外接），在Android和Windows系统下，可实现Wi-Fi无线上网连接、AP无线热点发射，在Android下支持无线设备同时连接数量≥32个，在Windows系统下支持无线设备同时连接≥8个。</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整机全通道支持纸质护眼模式，可实现画面纹理的实时调整；支持纸质纹理：牛皮纸、素描纸、宣纸、水彩纸、水纹纸；支持透明度调节、色温调节，纸质护眼模式下，显示画面各像素点灰度不规则，减少背景干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10.整机上边框内置非独立式摄像头数量≥3个像素值均大于800 万，广角高清摄像头视场角≥142度且水平视场角≥121度，支持输出4:3、16:9比例的图片和视频；在清晰度为2592 x 1944分辨率下支持30帧的视频输出，均支持 3D 降噪算法和数字宽动态范围成像WDR 技术，支持输出 MJPG、 H.264 视频格式。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11.整机支持上边框内置非独立摄像头模组，同时输出至少 3 路视频流，同时支持课堂远程巡课、课堂教学数据采集、本地画面预览（拍照或视频录制），摄像头支持环境色温判断，根据环境调节合适的显示图像效果。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设备支持至少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13.整机关机状态下，通过长按电源键进入设置界面后，可点击屏幕选择故障检测、系统还原功能，系统还原可单独还原PC系统单独还原整机系统。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二、教学辅助系统：</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1.内置安卓教学辅助系统版本不低于Android 13，内存≥2GB，存储空间≥8GB。</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2.整机内置专业硬件自检维护工具，支持对整机内部的板卡及部件模块进行故障检测、系统还原功能，支持云端在线系统固件升级。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3.产品符合GB 4943.1-2022相关要求，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4.产品符合GB 4943.1-2022相关要求，整机系统支持手势上滑调出人工智能画质调节模式（AI-PQ），在安卓通道下可根据屏幕内容自动调节画质参数，当屏幕出现人物、建筑、夜景等元素时，自动调整对比度、饱和度、锐利度、色调色相值、高光/阴影。</w:t>
            </w:r>
            <w:r>
              <w:rPr>
                <w:rFonts w:hint="eastAsia" w:asciiTheme="minorEastAsia" w:hAnsiTheme="minorEastAsia" w:eastAsiaTheme="minorEastAsia" w:cstheme="minorEastAsia"/>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同一支笔头、笔尾书写不同的颜色且颜色可自定义，支持将自定义图片、支持将自定义动画设置为开机画面，支持提笔书写在Windows系统下可实现无需点击任意功能入口，当检测到红外笔笔尖接触屏幕时，自动进入书写模式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三、内置电脑</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1.内置电脑模块采用按压式开关，万兆高速传输接口，传输速率≥10Gbps；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2.CPU采用不低于第12代I5处理器；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 xml:space="preserve">3.内存：≥ 8G DDR4； </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4.硬盘：≥256G SSD固态硬盘；</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5.接口：整机非外扩展具备3个USB接口；具有独立非外扩展的视频输出接口：≥1路HDMI等；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C2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7D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31A64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4C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2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移动支架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0B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适配86寸AI智慧屏</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10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21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r>
      <w:tr w14:paraId="7457C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C6B1">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五、高考系统</w:t>
            </w:r>
          </w:p>
        </w:tc>
      </w:tr>
      <w:tr w14:paraId="3D5F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2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2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高考摄像头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F0B6">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≥400万像素、半球网络摄像机。</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2.采用1/3"CMOS传感器、最小照度可达0.005Lux，0Lux with IR。</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3.采用2.7～12mm镜头、水平视场角93°～30°。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4.具有开启或关闭环境噪声过滤设置选项。</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5.支持对摄像机OSD进行设置，支持登加或取消叠加名称、日期、星期以及自定义字符。</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6.通道名称支持叠加64个字符或32个汉字。</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7.视频编码标准支持H.265/H.264、音频编码标准支持G.711/MP2L2/AAC；</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8.支持设置纯视频流和音视频复合流两种视频类型。</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9.支持三码流同时存储和输出、各码流可独立设置且应满足: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主码流:2688X1520、25帧/秒，子码流:640X480、25帧/秒，三码流: 1280X720、1帧/秒。</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10.支持选择4:3/16:9/原始尺寸/原始比例/自适应模式预览监控视频画面。</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11.支对预览视频进行电子放大。</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12.支持在预览视频过程中对视频进行抓图、录像并存储至本地文件。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13.支持在预览视频过程中开启或关闭音频在、支持对预览音量进行调节。</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14.断网情况下，信息自动存储到本地存储卡、网络恢复后自动上传。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15.具有≥1个内置麦克风，具有≥1个RJ45 10M/100M自适应以太网口、1路音频输入接口、1路音频输出接口、1路报警输入接口、1路报警输出接口；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16.具有≥1路DC12V/100mA电源输出接口，可用于外接拾音器供电，支持DC12V/PoE(802.3af)供电。</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17.红外照射距离≥30米。</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18.外壳防护等级≥IP67。</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19.防暴等级试验≥IK10。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▲20.产品符合GB/T 36449-2018相关要求，支持对SD卡进行管理，支持自动检测安装到摄像机的SD卡，可显示SD卡容量、剩余空间、状态、类型、格式化类型、属性及进度;支持对所选SD卡进行格式化;支持容量为256GB的SD卡，支持SD卡热插拔。</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p>
          <w:p w14:paraId="2A731DC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▲21.产品符合GB/T 36449-2018相关要求，支持SIP、RTP、RTCP等网络协议。</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22.H264的视频编码作为必选格式，系统码流要求符合ITU-T VCEG AVC/H.264视频编码标准，系统码流具体要求为复合流方式采用PS/TS流的格式，系统输出码流率应满足GB/T 36449-2018中表1分辨率与对应码流。</w:t>
            </w:r>
          </w:p>
          <w:p w14:paraId="038D33E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23.</w:t>
            </w:r>
            <w:r>
              <w:rPr>
                <w:rFonts w:hint="eastAsia" w:ascii="宋体" w:hAnsi="宋体" w:eastAsia="宋体" w:cs="宋体"/>
                <w:i w:val="0"/>
                <w:iCs w:val="0"/>
                <w:color w:val="000000"/>
                <w:kern w:val="0"/>
                <w:sz w:val="20"/>
                <w:szCs w:val="20"/>
                <w:highlight w:val="none"/>
                <w:u w:val="none"/>
                <w:lang w:val="en-US" w:eastAsia="zh-CN" w:bidi="ar"/>
              </w:rPr>
              <w:t>高考摄像头需与学校现有高考巡查系统及株洲市、湖南省国家教育考试网上巡查系统实现互联互通；</w:t>
            </w:r>
            <w:r>
              <w:rPr>
                <w:rFonts w:hint="eastAsia" w:ascii="宋体" w:hAnsi="宋体" w:eastAsia="宋体" w:cs="宋体"/>
                <w:b/>
                <w:bCs/>
                <w:i w:val="0"/>
                <w:iCs w:val="0"/>
                <w:color w:val="000000"/>
                <w:kern w:val="0"/>
                <w:sz w:val="20"/>
                <w:szCs w:val="20"/>
                <w:highlight w:val="none"/>
                <w:u w:val="none"/>
                <w:lang w:val="en-US" w:eastAsia="zh-CN" w:bidi="ar"/>
              </w:rPr>
              <w:t>（须出具供应商承诺函）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0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8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r>
      <w:tr w14:paraId="4E45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5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17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电源</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6F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输出电源DC12V，输出电流2A。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3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E5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58D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19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FA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AF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定制摄像机专用臂架，材质：金属，带出线孔，壁装底盘、带半球孔位直径与高清网络巡查前端配套。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D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E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7469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3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D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拾音器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41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监听面积：150㎡/7m；指向性：全指向；频率响应：300Hz～8000Hz；信噪比：＞60dB；驻极体最大承受声压：120dB；输出阻抗：50Ω非平衡；混音输入阻抗：7.5KΩ；信号处理电路：低噪声可变增益放大器、环境噪声抑制；供电电源：12VD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D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E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2F0AA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19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六．广播系统</w:t>
            </w:r>
          </w:p>
        </w:tc>
      </w:tr>
      <w:tr w14:paraId="7141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DE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64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IP网络寻呼话筒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38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1.专业控制台设计，高档铝合金面板，坚固耐用。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2.4英寸触摸显示屏，分辨率480*480。</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3.可进行全区、分区、终端进行广播喊话。</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4.支持U盘和外部音源混音输入，通过网络广播发送到前端设备。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5.支持用户权限管理,显示用户终端列表。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6.支持广播任务中随意增加/删减任务终端。</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7.内置3W扬声器，免提通话、接收广播、实况监听。</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8.支持自定义添加快捷广播任务，可本地进行重命名。</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9.内置数字音频处理器，提升降噪效果、提高受话距离和音频音质。</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10.兼容标准SIP协议，可单独接入VoIP电话系统(Asterisk等主流IP-PBX)。</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11.支持无服务器情况下的脱机对讲和广播(发起和接收)。</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12.带路报警输入，可外接报警按钮。</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13.标准RJ45接口，有以太网口的地方即可接入，跨网段和跨路由。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电源、功耗 DC12V/1.5A，≤3W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网络通讯协议 TCP/IP、UDP、ARP、SIP、ICMP、IGMP、HTTP、FTP</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网络芯片速率 10/100Mbps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音频采样、位率 8Khz-44.1Khz,16bit,8Kbps-320kbps</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内置功放 3W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信噪比、频响 80dB，100Hz-16KHz</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显示屏 4英寸</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显示语言 中文</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接口1个RJ45网络接口、1个电源开关、1路报警输入、2路线路输入、1线路输出、1个USB接口，1路麦克风输入</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工作温度、湿度 0-45℃，≤90％（无结露）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FD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41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r>
      <w:tr w14:paraId="3495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FA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E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IP网络有源音箱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FCD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lang w:val="en-US" w:eastAsia="zh-CN" w:bidi="ar"/>
              </w:rPr>
              <w:t>1、</w:t>
            </w:r>
            <w:r>
              <w:rPr>
                <w:rFonts w:hint="eastAsia" w:asciiTheme="minorEastAsia" w:hAnsiTheme="minorEastAsia" w:eastAsiaTheme="minorEastAsia" w:cstheme="minorEastAsia"/>
                <w:i w:val="0"/>
                <w:iCs w:val="0"/>
                <w:color w:val="000000"/>
                <w:kern w:val="0"/>
                <w:sz w:val="20"/>
                <w:szCs w:val="20"/>
                <w:u w:val="none"/>
                <w:lang w:val="en-US" w:eastAsia="zh-CN" w:bidi="ar"/>
              </w:rPr>
              <w:t>采用主副音箱架构，主音箱为IP音箱，副音箱为模拟音箱。主副音箱采用壁挂式设计；</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2、内置高保真扬声器及≥2x10W(8Ω)立体声D类功率放大器，音质清晰；</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3、具有至少1路3.5mm线路输入，1路3.5mm线路输出接口；</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▲4、产品符合GB 4943.1-2022标准相关要求，具有音频回路检测功能,设备接收广播过程可检测喇叭状态是否正常，方便维护和检修；</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5、支持在服务软件上远程调节输出音量，并可在本地用旋钮调节线路输入音量；</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6、内置定压备份模块，实现接入100V定压广播线路作为备用。网络检测时间配置范围在100ms-3000ms之间可设，当检测到网络异常时，能自动从“数字网络广播”切换到“定压广播”；</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7、支持WEB端、手机客户端或者升级工具远程更新程序，自动完成升级，节省大量维护工作；</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8、支持在网页中修改终端密码；</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9、可通过服务器或者手机客户端对设备音量远程任意调节，实时生效；</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10、内置无线接收模块，配合无线话筒，可实现本地扩声。话筒开启时自动对频，不绑定音箱；</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11、标准RJ45网络接口，不受地理位置限制，有以太网口的地方即可接入，支持跨网段和跨路由，安装简便；</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12、电源、功耗 DC24V/1A，≤23W、待机≤3W；</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13、网络通讯协议支持TCP/IP、UDP、ARP、ICMP、IGMP；</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14、音频编码支持MP2/MP3/PCM/ADPCM；</w:t>
            </w:r>
            <w:r>
              <w:rPr>
                <w:rFonts w:hint="eastAsia" w:asciiTheme="minorEastAsia" w:hAnsiTheme="minorEastAsia" w:eastAsiaTheme="minorEastAsia" w:cstheme="minorEastAsia"/>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u w:val="none"/>
                <w:lang w:val="en-US" w:eastAsia="zh-CN" w:bidi="ar"/>
              </w:rPr>
              <w:t>▲15、产品符合GB 4943.1-2022标准相关要求，高保真音质，音频采样不低于48kHz,16Bit。</w:t>
            </w:r>
            <w:r>
              <w:rPr>
                <w:rFonts w:hint="eastAsia" w:asciiTheme="minorEastAsia" w:hAnsiTheme="minorEastAsia" w:eastAsiaTheme="minorEastAsia" w:cstheme="minorEastAsia"/>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p>
          <w:p w14:paraId="42D54063">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★需与学校原有广播系统实现兼容对接；</w:t>
            </w:r>
            <w:r>
              <w:rPr>
                <w:rFonts w:hint="eastAsia" w:ascii="宋体" w:hAnsi="宋体" w:eastAsia="宋体" w:cs="宋体"/>
                <w:b/>
                <w:bCs/>
                <w:i w:val="0"/>
                <w:iCs w:val="0"/>
                <w:color w:val="000000"/>
                <w:kern w:val="0"/>
                <w:sz w:val="20"/>
                <w:szCs w:val="20"/>
                <w:highlight w:val="none"/>
                <w:u w:val="none"/>
                <w:lang w:val="en-US" w:eastAsia="zh-CN" w:bidi="ar"/>
              </w:rPr>
              <w:t>（</w:t>
            </w:r>
            <w:r>
              <w:rPr>
                <w:rFonts w:hint="eastAsia" w:ascii="宋体" w:hAnsi="宋体" w:cs="宋体"/>
                <w:b/>
                <w:bCs/>
                <w:i w:val="0"/>
                <w:iCs w:val="0"/>
                <w:color w:val="000000"/>
                <w:kern w:val="0"/>
                <w:sz w:val="20"/>
                <w:szCs w:val="20"/>
                <w:highlight w:val="none"/>
                <w:u w:val="none"/>
                <w:lang w:val="en-US" w:eastAsia="zh-CN" w:bidi="ar"/>
              </w:rPr>
              <w:t>须</w:t>
            </w:r>
            <w:r>
              <w:rPr>
                <w:rFonts w:hint="eastAsia" w:ascii="宋体" w:hAnsi="宋体" w:eastAsia="宋体" w:cs="宋体"/>
                <w:b/>
                <w:bCs/>
                <w:i w:val="0"/>
                <w:iCs w:val="0"/>
                <w:color w:val="000000"/>
                <w:kern w:val="0"/>
                <w:sz w:val="20"/>
                <w:szCs w:val="20"/>
                <w:highlight w:val="none"/>
                <w:u w:val="none"/>
                <w:lang w:val="en-US" w:eastAsia="zh-CN" w:bidi="ar"/>
              </w:rPr>
              <w:t>出具供应商承诺函）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6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D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r>
    </w:tbl>
    <w:p w14:paraId="762AF8B2">
      <w:pPr>
        <w:pStyle w:val="153"/>
        <w:spacing w:line="500" w:lineRule="exact"/>
        <w:ind w:firstLine="400"/>
        <w:rPr>
          <w:rFonts w:ascii="黑体" w:hAnsi="黑体" w:eastAsia="黑体"/>
          <w:sz w:val="20"/>
          <w:szCs w:val="20"/>
        </w:rPr>
      </w:pPr>
      <w:r>
        <w:rPr>
          <w:rFonts w:hint="eastAsia"/>
          <w:b w:val="0"/>
          <w:sz w:val="20"/>
          <w:szCs w:val="20"/>
        </w:rPr>
        <w:t>注：招标文件其他要求与本表要求不一致的，以本表为准。</w:t>
      </w:r>
    </w:p>
    <w:p w14:paraId="4B4590D8">
      <w:pPr>
        <w:rPr>
          <w:rFonts w:hint="eastAsia" w:ascii="黑体" w:hAnsi="黑体" w:eastAsia="黑体"/>
          <w:sz w:val="28"/>
          <w:szCs w:val="28"/>
        </w:rPr>
      </w:pPr>
      <w:r>
        <w:rPr>
          <w:rFonts w:hint="eastAsia" w:ascii="黑体" w:hAnsi="黑体" w:eastAsia="黑体"/>
          <w:sz w:val="28"/>
          <w:szCs w:val="28"/>
        </w:rPr>
        <w:br w:type="page"/>
      </w:r>
    </w:p>
    <w:p w14:paraId="561CFED4">
      <w:pPr>
        <w:pStyle w:val="3"/>
        <w:adjustRightInd w:val="0"/>
        <w:snapToGrid w:val="0"/>
        <w:spacing w:before="161" w:beforeLines="50" w:line="500" w:lineRule="exact"/>
        <w:jc w:val="center"/>
        <w:rPr>
          <w:rFonts w:ascii="黑体" w:hAnsi="黑体" w:eastAsia="黑体"/>
        </w:rPr>
      </w:pPr>
      <w:r>
        <w:rPr>
          <w:rFonts w:hint="eastAsia" w:ascii="黑体" w:hAnsi="黑体" w:eastAsia="黑体"/>
          <w:sz w:val="28"/>
          <w:szCs w:val="28"/>
        </w:rPr>
        <w:t>第三节 商务</w:t>
      </w:r>
      <w:r>
        <w:rPr>
          <w:rFonts w:ascii="黑体" w:hAnsi="黑体" w:eastAsia="黑体"/>
          <w:sz w:val="28"/>
          <w:szCs w:val="28"/>
        </w:rPr>
        <w:t>要求</w:t>
      </w:r>
      <w:bookmarkEnd w:id="68"/>
    </w:p>
    <w:p w14:paraId="1153A06A">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一、供货及运输、安装、调试、验收、付款及售后服务</w:t>
      </w:r>
    </w:p>
    <w:p w14:paraId="4DB67F4D">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1、供货及运输</w:t>
      </w:r>
    </w:p>
    <w:p w14:paraId="5DC35147">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1.1</w:t>
      </w:r>
      <w:bookmarkStart w:id="70" w:name="auto_fouce_1"/>
      <w:r>
        <w:rPr>
          <w:rFonts w:hint="eastAsia" w:ascii="宋体" w:hAnsi="宋体" w:eastAsia="宋体" w:cs="宋体"/>
          <w:bCs/>
          <w:szCs w:val="21"/>
        </w:rPr>
        <w:t>供货时间：接到采购人进场通知后60天内完成全部设备的供货、安装及调试工作，并通过采购人最终验收；若采购人进场通知延迟发出，工期相应顺延。若因中标单位原因导致验收不合格的，整改及重新验收的时间不计入上述60天期限，且全部整改相关费用由中标单位自行承担。</w:t>
      </w:r>
      <w:bookmarkEnd w:id="70"/>
    </w:p>
    <w:p w14:paraId="29EE7543">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1.2供货地点：采购人指定安装地点。</w:t>
      </w:r>
    </w:p>
    <w:p w14:paraId="799AC6EC">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1.3中标单位负责产品到交货地点的全部运输，包括装卸、现场运送等。</w:t>
      </w:r>
    </w:p>
    <w:p w14:paraId="1465BF55">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2、安装、调试</w:t>
      </w:r>
    </w:p>
    <w:p w14:paraId="3E775227">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2.1在货物到达使用单位，现场场地符合安装条件后，采购人将通知中标单位派技术人员对所投设备全面进行安装、调试。中标单位应派技术人员在采购人要求时间内到达采购人指定安装地点，并在采购人技术人员在场的情况下开箱清点货物，组织安装、调试，并承担因此发生的一切费用。</w:t>
      </w:r>
    </w:p>
    <w:p w14:paraId="1442791F">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2.2所有设备的现场安装及调试等工作均由中标单位负责，所有安装流程应严格按照国家及行业相关规定及标准实施，同时需严格遵守甲方制定的现场施工管理规范及要求，所有安装、调试所需的专业设备、仪器及相关工具由中标单位自行负责，有关费用包含在投标报价中。</w:t>
      </w:r>
    </w:p>
    <w:p w14:paraId="592D0020">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2.3项目实施过程中，中标单位应做好相关人员的安全防护措施，实施过程中所有人员的安全事故责任均由中标单位自行承担，采购人将派专人负责现场协调工作。</w:t>
      </w:r>
    </w:p>
    <w:p w14:paraId="57784009">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2.4全部设备安装、调试完成后，中标单位须自行组织初步测验，测验时应邀请采购人代表到场见证，测验合格后方可提请采购人组织项目验收工作。</w:t>
      </w:r>
    </w:p>
    <w:p w14:paraId="7E7D2F98">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3、验收要求</w:t>
      </w:r>
    </w:p>
    <w:p w14:paraId="3016BCEF">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3.1验收小组由采购人及产品使用方共同组织，并按照国家及行业标准对照本项目招标文件、中标单位投标文件约定的技术要求进行现场正式验收工作。</w:t>
      </w:r>
    </w:p>
    <w:p w14:paraId="76B12921">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3.2项目验收严格按招标文件设备清单及要求、采购合同的有关规定执行。国家有强制性规定的，按国家规定执行，验收费用由中标单位承担，采购人书面确认的验收合格凭证作为申请付款的凭证之一。</w:t>
      </w:r>
    </w:p>
    <w:p w14:paraId="5B443FD0">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3.3验收过程中产生纠纷的，由双方共同选定或采购人指定的、经质量技术监督部门认定的检测机构检测,如为中标单位原因造成的，由中标单位承担检测费用；否则，由采购人承担。</w:t>
      </w:r>
    </w:p>
    <w:p w14:paraId="01457198">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3.4项目验收不合格，由中标单位返工直至合格，有关返工、再行验收，以及给采购人造成的损失等费用由中标单位承担。连续两次项目验收不合格的，采购人可解除合同，由此带来的一切损失由中标单位承担，且中标单位需在合同解除后10个工作日内退还采购人已支付的全部款项，并赔偿采购人重新采购的差价、工期延误损失等全部实际损失。</w:t>
      </w:r>
    </w:p>
    <w:p w14:paraId="22B83B04">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3.5验收方式：本项目验收方式为采购人自行组织验收，合同履约及验收相关程序按照《株洲市政府采购项目履约验收管理暂行办法》等的要求执行。</w:t>
      </w:r>
    </w:p>
    <w:p w14:paraId="00CAD89A">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4、付款方式</w:t>
      </w:r>
    </w:p>
    <w:p w14:paraId="4BE43162">
      <w:pPr>
        <w:adjustRightInd w:val="0"/>
        <w:snapToGrid w:val="0"/>
        <w:spacing w:line="440" w:lineRule="exact"/>
        <w:ind w:firstLine="420" w:firstLineChars="200"/>
        <w:rPr>
          <w:rFonts w:ascii="Times New Roman" w:hAnsi="Times New Roman" w:eastAsia="宋体" w:cs="Times New Roman"/>
        </w:rPr>
      </w:pPr>
      <w:r>
        <w:rPr>
          <w:rFonts w:hint="eastAsia" w:ascii="宋体" w:hAnsi="宋体" w:eastAsia="宋体" w:cs="宋体"/>
          <w:bCs/>
          <w:szCs w:val="21"/>
        </w:rPr>
        <w:t>4.1</w:t>
      </w:r>
      <w:bookmarkStart w:id="71" w:name="auto_fouce_8"/>
      <w:r>
        <w:rPr>
          <w:rFonts w:hint="eastAsia" w:ascii="宋体" w:hAnsi="宋体" w:eastAsia="宋体" w:cs="宋体"/>
          <w:bCs/>
          <w:szCs w:val="21"/>
        </w:rPr>
        <w:t>合同签订之后，采购人收到中标单位在采购人所在地或中标单位注册地的银行开具的不可撤销、不可转让、见索即付的与预付款等额的独立保函（前述“所在地”范围为地级市，保函有效期至少至预付款对应批次的货物经采购人初步验收合格之日）后，根据湖南省财政厅发布的《关于政府采购促进中小企业发展有关措施的通知》(湘财购[2022〕17号)，本项目预付款比例：非中小企业为30%,中小企业为50%。</w:t>
      </w:r>
    </w:p>
    <w:bookmarkEnd w:id="71"/>
    <w:p w14:paraId="03ACB7FC">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4.2</w:t>
      </w:r>
      <w:bookmarkStart w:id="72" w:name="auto_fouce_9"/>
      <w:r>
        <w:rPr>
          <w:rFonts w:hint="eastAsia" w:ascii="宋体" w:hAnsi="宋体" w:eastAsia="宋体" w:cs="宋体"/>
          <w:bCs/>
          <w:szCs w:val="21"/>
        </w:rPr>
        <w:t>根据采购人确认的项目交付批次，相关设备经采购人初步到货验收合格后，支付该批次合格设备总价款30%的进度款，批次划分由采购人根据项目实际情况确定</w:t>
      </w:r>
      <w:bookmarkEnd w:id="72"/>
      <w:r>
        <w:rPr>
          <w:rFonts w:hint="eastAsia" w:ascii="宋体" w:hAnsi="宋体" w:eastAsia="宋体" w:cs="宋体"/>
          <w:bCs/>
          <w:szCs w:val="21"/>
        </w:rPr>
        <w:t>。</w:t>
      </w:r>
    </w:p>
    <w:p w14:paraId="213AA093">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4.3本项目全部设备安装调试完成并通过项目最终验收合格，且项目整体完成移交后采购人支付至合同总价款的100%；乙方在与甲方验收结算向甲方缴纳项目结算总额的3%质量保证金，质量保证金在验收合格满一年后且乙方无违约的前提下无息退还。</w:t>
      </w:r>
    </w:p>
    <w:p w14:paraId="0C3BF9D4">
      <w:pPr>
        <w:spacing w:line="400" w:lineRule="exact"/>
        <w:ind w:firstLine="411" w:firstLineChars="196"/>
        <w:rPr>
          <w:rFonts w:ascii="宋体" w:hAnsi="宋体" w:eastAsia="宋体" w:cs="宋体"/>
          <w:bCs/>
          <w:szCs w:val="21"/>
        </w:rPr>
      </w:pPr>
      <w:r>
        <w:rPr>
          <w:rFonts w:hint="eastAsia" w:ascii="宋体" w:hAnsi="宋体" w:eastAsia="宋体" w:cs="宋体"/>
          <w:bCs/>
          <w:szCs w:val="21"/>
        </w:rPr>
        <w:t>4.4质量保证金返还需以采购人书面确认无质量争议为前提，若在质量保证金拟返还时存在未决索赔、质量争议或正在进行的质量检测、仲裁、诉讼等事项，采购人有权暂缓返还质量保证金，直至相关争议以书面、仲裁裁决或司法判决终结或双方另行书面达成解决方案。采购人因暂缓返还质量保证金而产生的合理保管或管理费用、必要的检测费用，可由采购人从质量保证金中扣除并抵偿；</w:t>
      </w:r>
    </w:p>
    <w:p w14:paraId="00F72DBE">
      <w:pPr>
        <w:spacing w:line="400" w:lineRule="exact"/>
        <w:ind w:firstLine="411" w:firstLineChars="196"/>
        <w:rPr>
          <w:rFonts w:ascii="宋体" w:hAnsi="宋体" w:eastAsia="宋体" w:cs="宋体"/>
          <w:bCs/>
          <w:szCs w:val="21"/>
        </w:rPr>
      </w:pPr>
      <w:r>
        <w:rPr>
          <w:rFonts w:hint="eastAsia" w:ascii="宋体" w:hAnsi="宋体" w:eastAsia="宋体" w:cs="宋体"/>
          <w:bCs/>
          <w:szCs w:val="21"/>
        </w:rPr>
        <w:t>4.5每次付款前，中标单位须向采购人提交与当次付款总额等额的合法增值税发票，如中标单位未能提供发票，采购人有权拒绝付款且无需承担责任。</w:t>
      </w:r>
    </w:p>
    <w:p w14:paraId="42C6D6ED">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5、培训</w:t>
      </w:r>
    </w:p>
    <w:p w14:paraId="7A37895C">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5.1投标人必须提供设备使用及日常维护的培训，完成对用户的知识转移，保证用户全面了解和掌握系统操作功能。</w:t>
      </w:r>
    </w:p>
    <w:p w14:paraId="75CFFF98">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5.2投标人派出的培训教员应熟悉本项目所有设备，并有一定的教学经验。投标单位为所培训人员提供中文培训资料和讲义等用品，并提供培训后可自行学习查阅的书面的用户手册。</w:t>
      </w:r>
    </w:p>
    <w:p w14:paraId="522D0F7C">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6、质量保证及售后服务</w:t>
      </w:r>
    </w:p>
    <w:p w14:paraId="029A15C8">
      <w:pPr>
        <w:spacing w:line="400" w:lineRule="exact"/>
        <w:ind w:firstLine="420" w:firstLineChars="200"/>
        <w:rPr>
          <w:rFonts w:ascii="宋体" w:hAnsi="宋体" w:eastAsia="宋体" w:cs="宋体"/>
          <w:snapToGrid w:val="0"/>
          <w:kern w:val="0"/>
          <w:szCs w:val="21"/>
        </w:rPr>
      </w:pPr>
      <w:r>
        <w:rPr>
          <w:rFonts w:hint="eastAsia" w:ascii="宋体" w:hAnsi="宋体" w:eastAsia="宋体" w:cs="宋体"/>
          <w:bCs/>
          <w:snapToGrid w:val="0"/>
          <w:kern w:val="0"/>
          <w:szCs w:val="21"/>
        </w:rPr>
        <w:t>6.1质量要求：</w:t>
      </w:r>
      <w:r>
        <w:rPr>
          <w:rFonts w:hint="eastAsia" w:ascii="宋体" w:hAnsi="宋体" w:eastAsia="宋体" w:cs="宋体"/>
          <w:snapToGrid w:val="0"/>
          <w:kern w:val="0"/>
          <w:szCs w:val="21"/>
        </w:rPr>
        <w:t>投标人</w:t>
      </w:r>
      <w:r>
        <w:rPr>
          <w:rFonts w:hint="eastAsia" w:ascii="宋体" w:hAnsi="宋体" w:eastAsia="宋体" w:cs="宋体"/>
        </w:rPr>
        <w:t>必须保证</w:t>
      </w:r>
      <w:r>
        <w:rPr>
          <w:rFonts w:hint="eastAsia" w:ascii="宋体" w:hAnsi="宋体" w:eastAsia="宋体" w:cs="宋体"/>
          <w:snapToGrid w:val="0"/>
          <w:kern w:val="0"/>
          <w:szCs w:val="21"/>
        </w:rPr>
        <w:t>所提供产品必须是全新</w:t>
      </w:r>
      <w:r>
        <w:rPr>
          <w:rFonts w:hint="eastAsia" w:ascii="宋体" w:hAnsi="宋体" w:eastAsia="宋体" w:cs="宋体"/>
        </w:rPr>
        <w:t>原装</w:t>
      </w:r>
      <w:r>
        <w:rPr>
          <w:rFonts w:hint="eastAsia" w:ascii="宋体" w:hAnsi="宋体" w:eastAsia="宋体" w:cs="宋体"/>
          <w:snapToGrid w:val="0"/>
          <w:kern w:val="0"/>
          <w:szCs w:val="21"/>
        </w:rPr>
        <w:t>、完整、未使用过的，且满足本项目需要的技术参数及性能（配置）要求的产品，</w:t>
      </w:r>
      <w:r>
        <w:rPr>
          <w:rFonts w:hint="eastAsia" w:ascii="宋体" w:hAnsi="宋体" w:eastAsia="宋体" w:cs="宋体"/>
        </w:rPr>
        <w:t>保证提供的所有软件为正版软件。</w:t>
      </w:r>
      <w:r>
        <w:rPr>
          <w:rFonts w:hint="eastAsia" w:ascii="宋体" w:hAnsi="宋体" w:eastAsia="宋体" w:cs="宋体"/>
          <w:snapToGrid w:val="0"/>
          <w:kern w:val="0"/>
          <w:szCs w:val="21"/>
        </w:rPr>
        <w:t>质量保证期从项目最终验收合格之日起计算</w:t>
      </w:r>
      <w:r>
        <w:rPr>
          <w:rFonts w:hint="eastAsia" w:ascii="宋体" w:hAnsi="宋体" w:eastAsia="宋体" w:cs="宋体"/>
        </w:rPr>
        <w:t>，要求原厂质保期不得低于3年（技术要求另有约定的除外），超出厂家正常保修范围的，投标人需向厂家购买。</w:t>
      </w:r>
    </w:p>
    <w:p w14:paraId="382B5AAF">
      <w:pPr>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6.2售后服务要求：</w:t>
      </w:r>
      <w:r>
        <w:rPr>
          <w:rFonts w:hint="eastAsia" w:ascii="宋体" w:hAnsi="宋体" w:eastAsia="宋体" w:cs="宋体"/>
          <w:szCs w:val="21"/>
          <w:lang w:val="zh-CN"/>
        </w:rPr>
        <w:t>投标</w:t>
      </w:r>
      <w:r>
        <w:rPr>
          <w:rFonts w:hint="eastAsia" w:ascii="宋体" w:hAnsi="宋体" w:eastAsia="宋体" w:cs="宋体"/>
          <w:szCs w:val="21"/>
        </w:rPr>
        <w:t>人应</w:t>
      </w:r>
      <w:r>
        <w:rPr>
          <w:rFonts w:hint="eastAsia" w:ascii="宋体" w:hAnsi="宋体" w:eastAsia="宋体" w:cs="宋体"/>
          <w:szCs w:val="21"/>
          <w:lang w:val="zh-CN"/>
        </w:rPr>
        <w:t>提供详细的售前、售中、售后服务计划及承诺。</w:t>
      </w:r>
    </w:p>
    <w:p w14:paraId="757DDC71">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6.3技术支持：提供7×24小时的技术咨询服务。</w:t>
      </w:r>
    </w:p>
    <w:p w14:paraId="7D549CA4">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6.4故障响应</w:t>
      </w:r>
    </w:p>
    <w:p w14:paraId="09C74D44">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1）提供7×24小时的故障服务受理，接到故障报修后2小时内提供远程技术支持或远程诊断，并在远程支持期间积极跟进；接到故障通知后24小时内技术人员到达到现场，48小时内解决问题（复杂备件更换或需返厂的特殊情况除外，特殊情况应由中标单位书面说明并经采购人书面同意）；一般故障应当场解决，重大故障原则上72小时内解决并提供临时替代方案或应急措施；</w:t>
      </w:r>
    </w:p>
    <w:p w14:paraId="5D8EB92C">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（2）对重大故障提供7×24小时的现场支援，一般故障提供7×8小时的现场支援；</w:t>
      </w:r>
    </w:p>
    <w:p w14:paraId="06A2C1E6">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（3）备件服务：遇到重大故障，提供所需更换的任何备件。</w:t>
      </w:r>
    </w:p>
    <w:p w14:paraId="1F2ECF26">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6.5质保期内出现任何质量问题（人为破坏或自然灾害等不可抗力除外），由中标单位负责全免费（免全部工时费、材料费、管理费、财务费等等）更换或维修。中标单位须在故障修复后72小时内提交故障分析报告，报告应包含故障原因、修复措施、预防建议及所用备件明细。质保期满后，无论采购人是否另行选择维保供应商，中标单位应及时优惠提供所需的备品备件，优惠后的价格不得高于该备品备件市场公允价格的80%，且需提供官方成本价证明。</w:t>
      </w:r>
    </w:p>
    <w:p w14:paraId="6D96CFDC">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6.6中标单位在正式合同签订前须向采购人提供所投产品制造商出具的售后服务承诺函。质量保证期内，如设备因质量问题导致采购人教学计划延误，供应商应按照合同总价的每日千分之一支付违约金，总额不超过合同总价的10%；若该违约金不足以弥补采购人因教学计划延误造成的实际损失（包括但不限于教学场地闲置费、师资误工费、学生补课费等），供应商仍需就不足部分向采购人承担赔偿责任。</w:t>
      </w:r>
    </w:p>
    <w:p w14:paraId="646D9CC9">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6.7提供售后服务机构详细资料（包括服务机构地址、联系人、售后服务热线、维修技术人员等内容），以证明其具备能响应本项目售后服务的能力。</w:t>
      </w:r>
    </w:p>
    <w:p w14:paraId="50D76F29">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二、其他重要说明</w:t>
      </w:r>
    </w:p>
    <w:p w14:paraId="63E5D003">
      <w:pPr>
        <w:adjustRightInd w:val="0"/>
        <w:snapToGrid w:val="0"/>
        <w:spacing w:line="400" w:lineRule="exact"/>
        <w:ind w:firstLine="420" w:firstLineChars="200"/>
        <w:rPr>
          <w:rFonts w:hint="eastAsia" w:ascii="宋体" w:hAnsi="宋体" w:eastAsia="宋体" w:cs="宋体"/>
          <w:bCs/>
          <w:szCs w:val="21"/>
          <w:highlight w:val="yellow"/>
        </w:rPr>
      </w:pPr>
      <w:r>
        <w:rPr>
          <w:rFonts w:hint="eastAsia" w:ascii="宋体" w:hAnsi="宋体" w:eastAsia="宋体" w:cs="宋体"/>
          <w:bCs/>
          <w:szCs w:val="21"/>
          <w:highlight w:val="none"/>
        </w:rPr>
        <w:t>1、投标人应确保所供货物技术指标符合项目采购技术文件、以及国家或行业标准要求。中标人所供货物必须与投标文件响应内容完全一致，实质性参数（★号条款）不得负偏离。验收时将逐项核对，任何一项不满足即视为验收不合格，采购人有权解除合同并追究违约责任。</w:t>
      </w:r>
    </w:p>
    <w:p w14:paraId="17B614E8">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2、投标人应说明所投产品相关的生产体系、认证情况、产品质量、产品检验报告等证明材料以证明产品的来源及质量合格。</w:t>
      </w:r>
    </w:p>
    <w:p w14:paraId="1F3E33A9">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u w:val="single"/>
        </w:rPr>
        <w:t>3、中小企业声明：本项目为集成项目，投标产品符合中小企业优先采购政策要求的，投标人应按本章第二节技术要求中各集成产品总体要求所列产品内容如实声明所有制造商的企业规模，否则，不享受小微企业价格扣除。</w:t>
      </w:r>
    </w:p>
    <w:p w14:paraId="3CDD5E12">
      <w:pPr>
        <w:adjustRightInd w:val="0"/>
        <w:snapToGrid w:val="0"/>
        <w:spacing w:line="400" w:lineRule="exact"/>
        <w:ind w:firstLine="361" w:firstLineChars="200"/>
        <w:rPr>
          <w:rFonts w:ascii="宋体" w:hAnsi="宋体" w:eastAsia="宋体" w:cs="宋体"/>
          <w:bCs/>
          <w:szCs w:val="21"/>
          <w:highlight w:val="none"/>
          <w:u w:val="single"/>
        </w:rPr>
      </w:pPr>
      <w:r>
        <w:rPr>
          <w:rFonts w:hint="eastAsia" w:ascii="宋体" w:hAnsi="宋体" w:eastAsia="宋体" w:cs="宋体"/>
          <w:b/>
          <w:bCs/>
          <w:sz w:val="18"/>
          <w:szCs w:val="18"/>
          <w:u w:val="single"/>
        </w:rPr>
        <w:t>★</w:t>
      </w:r>
      <w:r>
        <w:rPr>
          <w:rFonts w:hint="eastAsia" w:ascii="宋体" w:hAnsi="宋体" w:eastAsia="宋体" w:cs="宋体"/>
          <w:bCs/>
          <w:szCs w:val="21"/>
          <w:u w:val="single"/>
        </w:rPr>
        <w:t>4、投标人应确保其投标产品技术参数的真实性。采购人在正式合同签订前，有权对中标产品的技术参数进行核查和进行样品抽查，中标单位应无条件配合并按采购人要求提供相关证明材料和样品。如中标单位拒不配合或无法提供佐证材料证明其参数真实性的，按照虚假应标处理，采购人将依法取消其中标资格，并上报财政部门。</w:t>
      </w:r>
      <w:r>
        <w:rPr>
          <w:rFonts w:hint="eastAsia" w:ascii="宋体" w:hAnsi="宋体" w:eastAsia="宋体" w:cs="宋体"/>
          <w:bCs/>
          <w:szCs w:val="21"/>
          <w:highlight w:val="none"/>
          <w:u w:val="single"/>
        </w:rPr>
        <w:t>合同的标的、数量、质量、价款、履行期限等实质性内容，在中标后不得通过双方协商擅自变更。</w:t>
      </w:r>
    </w:p>
    <w:p w14:paraId="08B90EBA">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5、本项目采用费用包干建设方式，投标人的投标报价应包括完成本项目所需的设备费、材料费、运输费、安装费、调试费、检测费、验收费、管理费、税金以及参与政府采购活动等所需的全部费用。除中标单位报价外，采购人不再额外支付任何其他费用。</w:t>
      </w:r>
    </w:p>
    <w:p w14:paraId="7AB7453A">
      <w:pPr>
        <w:adjustRightInd w:val="0"/>
        <w:snapToGrid w:val="0"/>
        <w:spacing w:line="400" w:lineRule="exact"/>
        <w:ind w:firstLine="361" w:firstLineChars="200"/>
        <w:rPr>
          <w:rFonts w:ascii="宋体" w:hAnsi="宋体" w:eastAsia="宋体" w:cs="宋体"/>
          <w:bCs/>
          <w:szCs w:val="21"/>
          <w:u w:val="single"/>
        </w:rPr>
      </w:pPr>
      <w:r>
        <w:rPr>
          <w:rFonts w:hint="eastAsia" w:ascii="宋体" w:hAnsi="宋体" w:eastAsia="宋体" w:cs="宋体"/>
          <w:b/>
          <w:bCs/>
          <w:sz w:val="18"/>
          <w:szCs w:val="18"/>
          <w:u w:val="single"/>
        </w:rPr>
        <w:t>★</w:t>
      </w:r>
      <w:r>
        <w:rPr>
          <w:rFonts w:hint="eastAsia" w:ascii="宋体" w:hAnsi="宋体" w:eastAsia="宋体" w:cs="宋体"/>
          <w:bCs/>
          <w:szCs w:val="21"/>
          <w:u w:val="single"/>
        </w:rPr>
        <w:t>6、安全承诺：本项目履行过程中中标单位在采购人单位发生任何安全事故由中标单位承担全部责任，与采购人无关（投标人提供承诺函，格式自拟）。</w:t>
      </w:r>
    </w:p>
    <w:p w14:paraId="5BBB32B8">
      <w:pPr>
        <w:adjustRightInd w:val="0"/>
        <w:snapToGrid w:val="0"/>
        <w:spacing w:line="400" w:lineRule="exact"/>
        <w:ind w:firstLine="420" w:firstLineChars="200"/>
        <w:rPr>
          <w:rFonts w:ascii="宋体" w:hAnsi="宋体" w:eastAsia="宋体" w:cs="宋体"/>
        </w:rPr>
      </w:pPr>
      <w:r>
        <w:rPr>
          <w:rFonts w:hint="eastAsia" w:ascii="宋体" w:hAnsi="宋体" w:eastAsia="宋体" w:cs="宋体"/>
          <w:bCs/>
          <w:szCs w:val="21"/>
        </w:rPr>
        <w:t>7、对于上述项目要求，包括投标人承诺提供的其他相关服务等内容，投标人应在响应文件中进行回应，作出承诺及说明。</w:t>
      </w:r>
    </w:p>
    <w:p w14:paraId="29A1EC3E">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三、系统兼容与对接服务要求及说明</w:t>
      </w:r>
    </w:p>
    <w:p w14:paraId="2D952BD6">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本项目为改扩建项目，涉及信息化系统的扩容、升级及新建。</w:t>
      </w:r>
    </w:p>
    <w:p w14:paraId="0B36F7B6">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1.现场踏勘与答疑</w:t>
      </w:r>
    </w:p>
    <w:p w14:paraId="06746578">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为方便潜在投标人真实了解采购需求，采购人将于招标文件提供期限截止后统一组织现场踏勘和答疑活动（具体时间地点详见前附列表）。现场踏勘遵循自愿参加原则，潜在投标人可根据自身需要自主决定是否参加。不参加现场踏勘不影响投标资格，投标人是否参加现场踏勘不作为资格审查条件、实质性响应条款或评审因素。</w:t>
      </w:r>
    </w:p>
    <w:p w14:paraId="632F8148">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2.系统兼容与对接需求</w:t>
      </w:r>
    </w:p>
    <w:p w14:paraId="0887597D">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本项目以下系统需实现兼容对接：</w:t>
      </w:r>
    </w:p>
    <w:p w14:paraId="77897FFF">
      <w:pPr>
        <w:adjustRightInd w:val="0"/>
        <w:snapToGrid w:val="0"/>
        <w:spacing w:line="400" w:lineRule="exact"/>
        <w:ind w:firstLine="361" w:firstLineChars="200"/>
        <w:rPr>
          <w:rFonts w:ascii="宋体" w:hAnsi="宋体" w:eastAsia="宋体" w:cs="宋体"/>
          <w:bCs/>
          <w:szCs w:val="21"/>
        </w:rPr>
      </w:pPr>
      <w:r>
        <w:rPr>
          <w:rFonts w:hint="eastAsia" w:ascii="宋体" w:hAnsi="宋体" w:eastAsia="宋体" w:cs="宋体"/>
          <w:b/>
          <w:bCs/>
          <w:sz w:val="18"/>
          <w:szCs w:val="18"/>
          <w:u w:val="none"/>
        </w:rPr>
        <w:t>★</w:t>
      </w:r>
      <w:r>
        <w:rPr>
          <w:rFonts w:hint="eastAsia" w:ascii="宋体" w:hAnsi="宋体" w:eastAsia="宋体" w:cs="宋体"/>
          <w:bCs/>
          <w:szCs w:val="21"/>
        </w:rPr>
        <w:t>（1）高考巡查系统需与学校现有巡查系统及株洲市、湖南省国家教育考试网上巡查系统实现互联互通；</w:t>
      </w:r>
    </w:p>
    <w:p w14:paraId="1245B693">
      <w:pPr>
        <w:adjustRightInd w:val="0"/>
        <w:snapToGrid w:val="0"/>
        <w:spacing w:line="400" w:lineRule="exact"/>
        <w:ind w:firstLine="361" w:firstLineChars="200"/>
        <w:rPr>
          <w:rFonts w:ascii="宋体" w:hAnsi="宋体" w:eastAsia="宋体" w:cs="宋体"/>
          <w:bCs/>
          <w:szCs w:val="21"/>
        </w:rPr>
      </w:pPr>
      <w:r>
        <w:rPr>
          <w:rFonts w:hint="eastAsia" w:ascii="宋体" w:hAnsi="宋体" w:eastAsia="宋体" w:cs="宋体"/>
          <w:b/>
          <w:bCs/>
          <w:sz w:val="18"/>
          <w:szCs w:val="18"/>
          <w:u w:val="none"/>
        </w:rPr>
        <w:t>★</w:t>
      </w:r>
      <w:r>
        <w:rPr>
          <w:rFonts w:hint="eastAsia" w:ascii="宋体" w:hAnsi="宋体" w:eastAsia="宋体" w:cs="宋体"/>
          <w:bCs/>
          <w:szCs w:val="21"/>
        </w:rPr>
        <w:t>（2）广播系统（含高考听力系统）需与学校原有广播系统实现兼容对接；</w:t>
      </w:r>
    </w:p>
    <w:p w14:paraId="1D3135EB">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3.对接工作的合同履行</w:t>
      </w:r>
    </w:p>
    <w:p w14:paraId="356AF696">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中标供应商应在合同签订后、项目验收前完成上述第2条所列对接工作。采购人应当协调现有系统的原供应商提供必要的技术接口、文档及技术支持，确保中标供应商能够公平地完成对接任务。</w:t>
      </w:r>
    </w:p>
    <w:p w14:paraId="4E41175C">
      <w:pPr>
        <w:keepNext w:val="0"/>
        <w:widowControl/>
        <w:spacing w:line="240" w:lineRule="atLeast"/>
        <w:jc w:val="left"/>
        <w:outlineLvl w:val="0"/>
        <w:rPr>
          <w:rFonts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4、高考系统互联对接及视频分发系统第三方对接技术文档</w:t>
      </w:r>
    </w:p>
    <w:p w14:paraId="2103D3B5">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编制依据：《国家教育考试网上巡查系统视频标准技术规范（2017版）》适用对象：上级巡查平台、下级考点巡查系统、第三方视频监控平台、教育考试监管平台合规属性：系统软硬件整体满足国产化信创适配要求</w:t>
      </w:r>
    </w:p>
    <w:p w14:paraId="12653F7A">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一、系统概述</w:t>
      </w:r>
    </w:p>
    <w:p w14:paraId="4AF1184B">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竞业达互联对接及视频分发系统，由SIP服务器、视频分发服务器两大核心服务组成，全设备满足国产化需求。</w:t>
      </w:r>
    </w:p>
    <w:p w14:paraId="6534F26D">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系统严格遵循《国家教育考试网上巡查系统视频标准技术规范（2017版）》，由SIP服务器负责SIP信令消息解析、注册认证、会话协商；视频分发服务器承担视音频信号汇聚、转发与分发。通过SIP信令完成设备间会话建立、控制命令交互；支持上下级SIP服务器接入认证、SIP路由信任关系及路由列表管理；本级视频分发服务器可将本级及下级所有巡查视频图像，统一转发至上级巡查中心，实现多级联网视频调度。</w:t>
      </w:r>
    </w:p>
    <w:p w14:paraId="55AF048D">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二、系统总体架构与组网层级</w:t>
      </w:r>
    </w:p>
    <w:p w14:paraId="64EABC38">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2.1 架构模式</w:t>
      </w:r>
    </w:p>
    <w:p w14:paraId="1139242A">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系统基于标准SIP架构构建高清网上巡查体系，采用信令与媒体分离设计：</w:t>
      </w:r>
    </w:p>
    <w:p w14:paraId="6E2B9D1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信令链路：由SIP服务器承载注册、鉴权、会话、控制指令交互</w:t>
      </w:r>
    </w:p>
    <w:p w14:paraId="48269766">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媒体链路：由视频分发服务器统一做视频汇聚、级联转发、多点分发</w:t>
      </w:r>
    </w:p>
    <w:p w14:paraId="2BF8A5E6">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2.2 联网层级规范</w:t>
      </w:r>
    </w:p>
    <w:p w14:paraId="0FFF8A7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1、基础架构：校级—县级—市级—省级—国家级5级逐级 SIP 注册联网</w:t>
      </w:r>
    </w:p>
    <w:p w14:paraId="727BCD7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2、扩展架构：在5级基础上，支持校级直连市级、校级直连省级跨级注册路由</w:t>
      </w:r>
    </w:p>
    <w:p w14:paraId="5DAE8D29">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3、系统可灵活组建3～5级可扩展巡查联网体系，适配第三方不同层级对接场景</w:t>
      </w:r>
    </w:p>
    <w:p w14:paraId="768D85F6">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三、对接 IP 地址与端口配置</w:t>
      </w:r>
    </w:p>
    <w:p w14:paraId="1B1006FF">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3.1 服务器对接 IP</w:t>
      </w:r>
    </w:p>
    <w:p w14:paraId="6B03F808">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SIP 服务器对接 IP：192.168.0.200视频分发服务器对接 IP：192.168.0.201</w:t>
      </w:r>
    </w:p>
    <w:p w14:paraId="7BE95FB0">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 通信端口定义</w:t>
      </w:r>
    </w:p>
    <w:p w14:paraId="37391CDA">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3.2.1 SIP 信令端口</w:t>
      </w:r>
    </w:p>
    <w:p w14:paraId="511C184A">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主端口：UDP 5060（注册、信令交互、会话建立、控制命令）备用端口：TCP 5060（可靠传输场景备用）</w:t>
      </w:r>
    </w:p>
    <w:p w14:paraId="18125DB3">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3.2.2 视频媒体端口</w:t>
      </w:r>
    </w:p>
    <w:p w14:paraId="34A6CE56">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视频媒体流端口范围：UDP 15000–20000RTSP 备用服务端口：TCP 554</w:t>
      </w:r>
    </w:p>
    <w:p w14:paraId="24804D42">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3.2.3 网络互通要求</w:t>
      </w:r>
    </w:p>
    <w:p w14:paraId="65C2C5D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第三方平台需与 SIP 服务器、视频分发服务器三层网络互通；</w:t>
      </w:r>
    </w:p>
    <w:p w14:paraId="50A5F18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防火墙安全策略需全量放行：TCP 5060、TCP 554、UDP 5060、UDP 15000–20000；</w:t>
      </w:r>
    </w:p>
    <w:p w14:paraId="6CE1084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避免严格 NAT、端口封堵，保证 SIP 信令注册心跳、视频媒体流双向通行。</w:t>
      </w:r>
    </w:p>
    <w:p w14:paraId="2E8728CE">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四、核心服务器功能说明</w:t>
      </w:r>
    </w:p>
    <w:p w14:paraId="0903E8DA">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4.1 SIP 服务器</w:t>
      </w:r>
    </w:p>
    <w:p w14:paraId="229AED6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完全兼容2017版国家教育考试网上巡查视频标准；</w:t>
      </w:r>
    </w:p>
    <w:p w14:paraId="54E3C91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提供第三方节点、下级平台SIP注册接入、身份认证、准入鉴权；</w:t>
      </w:r>
    </w:p>
    <w:p w14:paraId="2BEFB5A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支持SIP路由配置、上下级信任关系维护、路由白名单列表管理；</w:t>
      </w:r>
    </w:p>
    <w:p w14:paraId="32B4B69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负责节点会话创建、挂断、心跳保活、巡查控制命令透传；</w:t>
      </w:r>
    </w:p>
    <w:p w14:paraId="039CC78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统一管控全网节点在线状态、注册状态、路由可达性。</w:t>
      </w:r>
    </w:p>
    <w:p w14:paraId="7BAAE98B">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4.2 视频分发服务器</w:t>
      </w:r>
    </w:p>
    <w:p w14:paraId="52F80C6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汇聚本级考场、考点所有巡查视频码流；</w:t>
      </w:r>
    </w:p>
    <w:p w14:paraId="0E59D6C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接收下级各层级视频流，统一汇聚后向上级 / 第三方平台级联转发；</w:t>
      </w:r>
    </w:p>
    <w:p w14:paraId="318753E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配合SIP会话建立媒体通道，支持视频点播、轮巡、多客户端同时分发；</w:t>
      </w:r>
    </w:p>
    <w:p w14:paraId="50F7FCE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码流封装、编码格式完全符合2017版规范，转发过程不转码、无损传输。</w:t>
      </w:r>
    </w:p>
    <w:p w14:paraId="036B4E93">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五、技术接口规范</w:t>
      </w:r>
    </w:p>
    <w:p w14:paraId="59F1A285">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5.1 SIP 基础接口规范</w:t>
      </w:r>
    </w:p>
    <w:p w14:paraId="66CBD55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协议标准：遵循《国家教育考试网上巡查系统视频标准技术规范（2017版）》SIP协议栈</w:t>
      </w:r>
    </w:p>
    <w:p w14:paraId="467A08F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传输方式：默认UDP 5060，网络不稳定场景可切换 TCP 5060</w:t>
      </w:r>
    </w:p>
    <w:p w14:paraId="65B758B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注册方式：第三方平台配置SIP服务器 IP:5060，采用标准SIP REGISTER 报文注册</w:t>
      </w:r>
    </w:p>
    <w:p w14:paraId="7F7F63C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认证方式：支持账号密码鉴权、IP 白名单双向认证</w:t>
      </w:r>
    </w:p>
    <w:p w14:paraId="1F7960B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信令报文：支持 INVITE、BYE、ACK、MESSAGE、OPTIONS 心跳保活标准报文交互</w:t>
      </w:r>
    </w:p>
    <w:p w14:paraId="4C7D0174">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5.2 视频媒体接口规范</w:t>
      </w:r>
    </w:p>
    <w:p w14:paraId="1362D5C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媒体协议：遵循2017版规范 RTP/RTCP 封装码流</w:t>
      </w:r>
    </w:p>
    <w:p w14:paraId="363C7636">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编码格式：支持H.264、H.265 主流高清视频编码</w:t>
      </w:r>
    </w:p>
    <w:p w14:paraId="38F829D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传输端口：媒体流固定使用UDP 15000–20000 区间动态分配</w:t>
      </w:r>
    </w:p>
    <w:p w14:paraId="4A146F2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拉流方式：第三方通过SIP会话发起点播，由视频分发服务器主动推送媒体流</w:t>
      </w:r>
    </w:p>
    <w:p w14:paraId="20B4DF7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级联接口：支持上下级视频分发服务器级联对接，自动同步视频目录及码流转发</w:t>
      </w:r>
    </w:p>
    <w:p w14:paraId="2CA92ADC">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5.3 业务控制接口</w:t>
      </w:r>
    </w:p>
    <w:p w14:paraId="57A5B83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云台控制：通过 SIP MESSAGE 信令透传 PTZ 上下左右、变焦、预置位调用指令</w:t>
      </w:r>
    </w:p>
    <w:p w14:paraId="2EAF9ED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画面调度：支持单画面、多画面轮巡、画面切换、码流切换控制</w:t>
      </w:r>
    </w:p>
    <w:p w14:paraId="76DF5A6E">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状态上报：设备在线离线、视频异常、录像状态通过 SIP 信令主动上报第三方</w:t>
      </w:r>
    </w:p>
    <w:p w14:paraId="005A5FE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目录同步：支持国标层级目录、考点考场目录主动同步至第三方平台</w:t>
      </w:r>
    </w:p>
    <w:p w14:paraId="4C799365">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六、第三方标准对接业务流程</w:t>
      </w:r>
    </w:p>
    <w:p w14:paraId="1E8D0FAB">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6.1 节点注册接入流程</w:t>
      </w:r>
    </w:p>
    <w:p w14:paraId="4FDE9B87">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第三方平台配置SIP服务器IP及端口 5060，发起标准SIP注册请求；</w:t>
      </w:r>
    </w:p>
    <w:p w14:paraId="7B0170BF">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本系统SIP服务器对第三方节点进行接入合法性认证；</w:t>
      </w:r>
    </w:p>
    <w:p w14:paraId="4AA349B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认证通过后自动纳入SIP信任路由列表，建立上下级路由信任关系；</w:t>
      </w:r>
    </w:p>
    <w:p w14:paraId="40B9969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注册成功后纳入3–5级巡查组网，可正常进行信令交互与视频调取。</w:t>
      </w:r>
    </w:p>
    <w:p w14:paraId="6D7A2322">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6.2 SIP 信令与控制对接流程</w:t>
      </w:r>
    </w:p>
    <w:p w14:paraId="6AF6137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双方严格按照《国家教育考试网上巡查系统视频标准技术规范（2017版）》进行SIP信令编解码；</w:t>
      </w:r>
    </w:p>
    <w:p w14:paraId="4D69E8E8">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支持会话建立、会话挂断、心跳保活、状态上报；</w:t>
      </w:r>
    </w:p>
    <w:p w14:paraId="48F5206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云台控制、画面切换、录像调度、轮巡策略等控制指令，均通过SIP信令通道透传交互。</w:t>
      </w:r>
    </w:p>
    <w:p w14:paraId="44AC1F74">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6.3 视频级联分发对接流程</w:t>
      </w:r>
    </w:p>
    <w:p w14:paraId="414DA54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下级前端视频逐级汇聚至本级视频分发服务器；</w:t>
      </w:r>
    </w:p>
    <w:p w14:paraId="45F3A93E">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视频分发服务器汇总本级+下级全部巡查图像资源；</w:t>
      </w:r>
    </w:p>
    <w:p w14:paraId="465CE6F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上级第三方平台通过SIP发起视频点播请求；</w:t>
      </w:r>
    </w:p>
    <w:p w14:paraId="24D7062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本系统视频分发服务器按需转发视音频流，支持实时预览、视频回放、多画面轮巡。</w:t>
      </w:r>
    </w:p>
    <w:p w14:paraId="3124C9CE">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七、对接技术规范及约束条件</w:t>
      </w:r>
    </w:p>
    <w:p w14:paraId="7C67F90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协议标准：必须严格遵循《国家教育考试网上巡查系统视频标准技术规范（2017版）》；</w:t>
      </w:r>
    </w:p>
    <w:p w14:paraId="02EAB53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国产化要求：第三方对接软硬件、操作系统、中间件需适配国产化信创生态；</w:t>
      </w:r>
    </w:p>
    <w:p w14:paraId="0385881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准入约束：所有第三方SIP节点必须通过接入认证，加入信任路由列表后方可通信；</w:t>
      </w:r>
    </w:p>
    <w:p w14:paraId="5D64509F">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组网约束：支持逐级注册与跨级注册，兼容3～5级任意层级联网对接；</w:t>
      </w:r>
    </w:p>
    <w:p w14:paraId="0CDF251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媒体约束：视频流统一由视频分发服务器级联转发，禁止第三方越级直拉前端原始码流；</w:t>
      </w:r>
    </w:p>
    <w:p w14:paraId="7A21BAB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网络约束：严格开放约定IP及端口，保证信令、媒体流双向无拦截通行。</w:t>
      </w:r>
    </w:p>
    <w:p w14:paraId="19CDF737">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八、第三方对接能力清单</w:t>
      </w:r>
    </w:p>
    <w:p w14:paraId="00AA521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第三方SIP节点注册、接入认证、路由信任关系同步；</w:t>
      </w:r>
    </w:p>
    <w:p w14:paraId="087B4D1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标准SIP信令对接、会话管理、巡查控制命令双向交互；</w:t>
      </w:r>
    </w:p>
    <w:p w14:paraId="6F8FFB1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各级考场巡查视频汇聚、级联转发、向上级平台视频分发调度；</w:t>
      </w:r>
    </w:p>
    <w:p w14:paraId="2A39974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适配3～5级弹性组网，支持跨级路由注册对接；</w:t>
      </w:r>
    </w:p>
    <w:p w14:paraId="0CC86A5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全网设备在线、注册、会话状态实时同步；</w:t>
      </w:r>
    </w:p>
    <w:p w14:paraId="6761685F">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信令、码流全兼容2017版巡查标准，适配国产化平台集成对接。</w:t>
      </w:r>
    </w:p>
    <w:p w14:paraId="2EDFE4CC">
      <w:pPr>
        <w:keepNext w:val="0"/>
        <w:widowControl/>
        <w:spacing w:line="240" w:lineRule="atLeast"/>
        <w:jc w:val="left"/>
        <w:outlineLvl w:val="0"/>
        <w:rPr>
          <w:rFonts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5、广播系统（含高考听力系统）第三方对接接口文档</w:t>
      </w:r>
    </w:p>
    <w:p w14:paraId="1AA2F16C">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文档说明</w:t>
      </w:r>
    </w:p>
    <w:p w14:paraId="357BB81A">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本文档为第三方系统对接接口规范，定义了接口调用协议、安全验证方式、调用示例及通用规范，供对接方开发与调试使用。</w:t>
      </w:r>
    </w:p>
    <w:p w14:paraId="54D87AC0">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一、API 调用说明</w:t>
      </w:r>
    </w:p>
    <w:p w14:paraId="05100DA9">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 协议说明</w:t>
      </w:r>
    </w:p>
    <w:p w14:paraId="6C168C21">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通信协议</w:t>
      </w:r>
      <w:r>
        <w:rPr>
          <w:rFonts w:hint="eastAsia" w:ascii="宋体" w:hAnsi="宋体" w:eastAsia="宋体" w:cs="宋体"/>
          <w:color w:val="000000"/>
          <w:szCs w:val="21"/>
        </w:rPr>
        <w:t>：HTTP/1.1</w:t>
      </w:r>
    </w:p>
    <w:p w14:paraId="14A7C221">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请求方法</w:t>
      </w:r>
      <w:r>
        <w:rPr>
          <w:rFonts w:hint="eastAsia" w:ascii="宋体" w:hAnsi="宋体" w:eastAsia="宋体" w:cs="宋体"/>
          <w:color w:val="000000"/>
          <w:szCs w:val="21"/>
        </w:rPr>
        <w:t>：POST</w:t>
      </w:r>
    </w:p>
    <w:p w14:paraId="0C8109EA">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Content-Type</w:t>
      </w:r>
      <w:r>
        <w:rPr>
          <w:rFonts w:hint="eastAsia" w:ascii="宋体" w:hAnsi="宋体" w:eastAsia="宋体" w:cs="宋体"/>
          <w:color w:val="000000"/>
          <w:szCs w:val="21"/>
        </w:rPr>
        <w:t>：</w:t>
      </w:r>
      <w:r>
        <w:rPr>
          <w:rStyle w:val="55"/>
          <w:rFonts w:hint="eastAsia" w:ascii="宋体" w:hAnsi="宋体" w:eastAsia="宋体" w:cs="宋体"/>
          <w:color w:val="000000"/>
          <w:sz w:val="21"/>
          <w:szCs w:val="21"/>
        </w:rPr>
        <w:t>application/x-www-form-urlencoded</w:t>
      </w:r>
    </w:p>
    <w:p w14:paraId="7062F94B">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参数格式</w:t>
      </w:r>
      <w:r>
        <w:rPr>
          <w:rFonts w:hint="eastAsia" w:ascii="宋体" w:hAnsi="宋体" w:eastAsia="宋体" w:cs="宋体"/>
          <w:color w:val="000000"/>
          <w:szCs w:val="21"/>
        </w:rPr>
        <w:t xml:space="preserve">：请求参数以 </w:t>
      </w:r>
      <w:r>
        <w:rPr>
          <w:rStyle w:val="55"/>
          <w:rFonts w:hint="eastAsia" w:ascii="宋体" w:hAnsi="宋体" w:eastAsia="宋体" w:cs="宋体"/>
          <w:color w:val="000000"/>
          <w:sz w:val="21"/>
          <w:szCs w:val="21"/>
        </w:rPr>
        <w:t>jsondata[xxx]</w:t>
      </w:r>
      <w:r>
        <w:rPr>
          <w:rFonts w:hint="eastAsia" w:ascii="宋体" w:hAnsi="宋体" w:eastAsia="宋体" w:cs="宋体"/>
          <w:color w:val="000000"/>
          <w:szCs w:val="21"/>
        </w:rPr>
        <w:t xml:space="preserve"> 格式传递，即通过 </w:t>
      </w:r>
      <w:r>
        <w:rPr>
          <w:rStyle w:val="55"/>
          <w:rFonts w:hint="eastAsia" w:ascii="宋体" w:hAnsi="宋体" w:eastAsia="宋体" w:cs="宋体"/>
          <w:color w:val="000000"/>
          <w:sz w:val="21"/>
          <w:szCs w:val="21"/>
        </w:rPr>
        <w:t>jsondata</w:t>
      </w:r>
      <w:r>
        <w:rPr>
          <w:rFonts w:hint="eastAsia" w:ascii="宋体" w:hAnsi="宋体" w:eastAsia="宋体" w:cs="宋体"/>
          <w:color w:val="000000"/>
          <w:szCs w:val="21"/>
        </w:rPr>
        <w:t xml:space="preserve"> 字段传递 JSON 结构的参数（需按表单格式编码）</w:t>
      </w:r>
    </w:p>
    <w:p w14:paraId="669A6256">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响应格式</w:t>
      </w:r>
      <w:r>
        <w:rPr>
          <w:rFonts w:hint="eastAsia" w:ascii="宋体" w:hAnsi="宋体" w:eastAsia="宋体" w:cs="宋体"/>
          <w:color w:val="000000"/>
          <w:szCs w:val="21"/>
        </w:rPr>
        <w:t>：统一返回 JSON 格式数据</w:t>
      </w:r>
    </w:p>
    <w:p w14:paraId="6EC8C993">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调试工具建议</w:t>
      </w:r>
      <w:r>
        <w:rPr>
          <w:rFonts w:hint="eastAsia" w:ascii="宋体" w:hAnsi="宋体" w:eastAsia="宋体" w:cs="宋体"/>
          <w:color w:val="000000"/>
          <w:szCs w:val="21"/>
        </w:rPr>
        <w:t>：PostMan</w:t>
      </w:r>
    </w:p>
    <w:p w14:paraId="3FC841CB">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1.1.1 标准请求报文示例</w:t>
      </w:r>
    </w:p>
    <w:p w14:paraId="45615769">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http</w:t>
      </w:r>
    </w:p>
    <w:p w14:paraId="365960DB">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POST /php/getsetzonedata.php HTTP/1.1Host: 192.168.0.104Cache-Control: no-cacheContent-Type: application/x-www-form-urlencoded</w:t>
      </w:r>
    </w:p>
    <w:p w14:paraId="39ACA04F">
      <w:pPr>
        <w:widowControl/>
        <w:spacing w:before="162" w:after="80" w:line="240" w:lineRule="atLeast"/>
        <w:jc w:val="left"/>
        <w:rPr>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jsondata%5BpageIndex%5D=0&amp;jsondata%5BpageCount%5D=30</w:t>
      </w:r>
    </w:p>
    <w:p w14:paraId="5FAF4D0E">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1.1.2 HTML/JavaScript Ajax 调用示例</w:t>
      </w:r>
    </w:p>
    <w:p w14:paraId="6EF94786">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javascript</w:t>
      </w:r>
    </w:p>
    <w:p w14:paraId="31CC1EBE">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运行</w:t>
      </w:r>
    </w:p>
    <w:p w14:paraId="1239A21A">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function loaderZoneData(pIndex, pCount) {</w:t>
      </w:r>
    </w:p>
    <w:p w14:paraId="13BCB118">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 构造业务参数</w:t>
      </w:r>
    </w:p>
    <w:p w14:paraId="721314DA">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var jsonData = {</w:t>
      </w:r>
    </w:p>
    <w:p w14:paraId="783D8156">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"pageIndex" : pIndex,   // 页码索引，从0开始</w:t>
      </w:r>
    </w:p>
    <w:p w14:paraId="086F93FC">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"pageCount" : pCount    // 每页数据条数</w:t>
      </w:r>
    </w:p>
    <w:p w14:paraId="44FCD078">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w:t>
      </w:r>
    </w:p>
    <w:p w14:paraId="3F57382C">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 发起Ajax请求</w:t>
      </w:r>
    </w:p>
    <w:p w14:paraId="274FA648">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$.ajax({</w:t>
      </w:r>
    </w:p>
    <w:p w14:paraId="0001B9C4">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type: "POST",</w:t>
      </w:r>
    </w:p>
    <w:p w14:paraId="45EB6D20">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url: "http://192.168.1.13/php/getsetzonedata.php", // 实际使用时替换为真实接口地址</w:t>
      </w:r>
    </w:p>
    <w:p w14:paraId="23C11FE2">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dataType: "json",</w:t>
      </w:r>
    </w:p>
    <w:p w14:paraId="686270E9">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data: { "jsondata" : JSON.stringify(jsonData) },   // 注意：需将jsonData序列化为字符串</w:t>
      </w:r>
    </w:p>
    <w:p w14:paraId="7076FB80">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success: function(resData) {</w:t>
      </w:r>
    </w:p>
    <w:p w14:paraId="71B28375">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 处理成功响应数据</w:t>
      </w:r>
    </w:p>
    <w:p w14:paraId="7B44F48D">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console.log("请求成功", resData);</w:t>
      </w:r>
    </w:p>
    <w:p w14:paraId="54DD22AC">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w:t>
      </w:r>
    </w:p>
    <w:p w14:paraId="2D1F7EA9">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error: function(xhr, status, error) {</w:t>
      </w:r>
    </w:p>
    <w:p w14:paraId="47C01042">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 处理请求异常</w:t>
      </w:r>
    </w:p>
    <w:p w14:paraId="0F4A564D">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console.error("请求失败", error);</w:t>
      </w:r>
    </w:p>
    <w:p w14:paraId="2943BE27">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w:t>
      </w:r>
    </w:p>
    <w:p w14:paraId="20C5C521">
      <w:pPr>
        <w:widowControl/>
        <w:spacing w:before="162" w:after="80" w:line="240" w:lineRule="atLeast"/>
        <w:jc w:val="left"/>
        <w:rPr>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w:t>
      </w:r>
    </w:p>
    <w:p w14:paraId="31D7E0CC">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1.1.3 响应数据示例</w:t>
      </w:r>
    </w:p>
    <w:p w14:paraId="38801E0A">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json</w:t>
      </w:r>
    </w:p>
    <w:p w14:paraId="475F962E">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w:t>
      </w:r>
    </w:p>
    <w:p w14:paraId="4D439C7A">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"res": "1",</w:t>
      </w:r>
    </w:p>
    <w:p w14:paraId="0948BA67">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"rows": [</w:t>
      </w:r>
    </w:p>
    <w:p w14:paraId="63934F5E">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{"id":"1","name":"Group1","member":"1,"},</w:t>
      </w:r>
    </w:p>
    <w:p w14:paraId="2D8386FC">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{"id":"2","name":"Group2","member":"2,"},</w:t>
      </w:r>
    </w:p>
    <w:p w14:paraId="698FC5EA">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{"id":"3","name":"Group3","member":"3,4,5,"}</w:t>
      </w:r>
    </w:p>
    <w:p w14:paraId="2D4DE873">
      <w:pPr>
        <w:widowControl/>
        <w:spacing w:before="162" w:after="80" w:line="240" w:lineRule="atLeast"/>
        <w:jc w:val="left"/>
        <w:rPr>
          <w:rStyle w:val="55"/>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w:t>
      </w:r>
    </w:p>
    <w:p w14:paraId="725BB67F">
      <w:pPr>
        <w:widowControl/>
        <w:spacing w:before="162" w:after="80" w:line="240" w:lineRule="atLeast"/>
        <w:jc w:val="left"/>
        <w:rPr>
          <w:rFonts w:ascii="宋体" w:hAnsi="宋体" w:eastAsia="宋体" w:cs="宋体"/>
          <w:color w:val="000000"/>
          <w:kern w:val="0"/>
          <w:sz w:val="21"/>
          <w:szCs w:val="21"/>
          <w:lang w:val="en-US" w:eastAsia="zh-CN" w:bidi="ar-SA"/>
        </w:rPr>
      </w:pPr>
      <w:r>
        <w:rPr>
          <w:rStyle w:val="55"/>
          <w:rFonts w:hint="eastAsia" w:ascii="宋体" w:hAnsi="宋体" w:eastAsia="宋体" w:cs="宋体"/>
          <w:color w:val="000000"/>
          <w:kern w:val="2"/>
          <w:sz w:val="21"/>
          <w:szCs w:val="21"/>
          <w:lang w:val="en-US" w:eastAsia="zh-CN" w:bidi="ar-SA"/>
        </w:rPr>
        <w:t xml:space="preserve">    "total": "3"}</w:t>
      </w:r>
    </w:p>
    <w:p w14:paraId="367B70F2">
      <w:pPr>
        <w:widowControl/>
        <w:spacing w:line="240" w:lineRule="atLeast"/>
        <w:ind w:left="-360" w:firstLine="420" w:firstLineChars="200"/>
        <w:jc w:val="left"/>
        <w:rPr>
          <w:rFonts w:ascii="宋体" w:hAnsi="宋体" w:eastAsia="宋体" w:cs="宋体"/>
          <w:color w:val="000000"/>
          <w:szCs w:val="21"/>
        </w:rPr>
      </w:pPr>
      <w:r>
        <w:rPr>
          <w:rStyle w:val="55"/>
          <w:rFonts w:hint="eastAsia" w:ascii="宋体" w:hAnsi="宋体" w:eastAsia="宋体" w:cs="宋体"/>
          <w:color w:val="000000"/>
          <w:sz w:val="21"/>
          <w:szCs w:val="21"/>
        </w:rPr>
        <w:t>res</w:t>
      </w:r>
      <w:r>
        <w:rPr>
          <w:rFonts w:hint="eastAsia" w:ascii="宋体" w:hAnsi="宋体" w:eastAsia="宋体" w:cs="宋体"/>
          <w:color w:val="000000"/>
          <w:szCs w:val="21"/>
        </w:rPr>
        <w:t>: 响应状态码，</w:t>
      </w:r>
      <w:r>
        <w:rPr>
          <w:rStyle w:val="55"/>
          <w:rFonts w:hint="eastAsia" w:ascii="宋体" w:hAnsi="宋体" w:eastAsia="宋体" w:cs="宋体"/>
          <w:color w:val="000000"/>
          <w:sz w:val="21"/>
          <w:szCs w:val="21"/>
        </w:rPr>
        <w:t>1</w:t>
      </w:r>
      <w:r>
        <w:rPr>
          <w:rFonts w:hint="eastAsia" w:ascii="宋体" w:hAnsi="宋体" w:eastAsia="宋体" w:cs="宋体"/>
          <w:color w:val="000000"/>
          <w:szCs w:val="21"/>
        </w:rPr>
        <w:t xml:space="preserve"> 表示成功，</w:t>
      </w:r>
      <w:r>
        <w:rPr>
          <w:rStyle w:val="55"/>
          <w:rFonts w:hint="eastAsia" w:ascii="宋体" w:hAnsi="宋体" w:eastAsia="宋体" w:cs="宋体"/>
          <w:color w:val="000000"/>
          <w:sz w:val="21"/>
          <w:szCs w:val="21"/>
        </w:rPr>
        <w:t>0</w:t>
      </w:r>
      <w:r>
        <w:rPr>
          <w:rFonts w:hint="eastAsia" w:ascii="宋体" w:hAnsi="宋体" w:eastAsia="宋体" w:cs="宋体"/>
          <w:color w:val="000000"/>
          <w:szCs w:val="21"/>
        </w:rPr>
        <w:t xml:space="preserve"> 表示失败</w:t>
      </w:r>
    </w:p>
    <w:p w14:paraId="3BD66A4D">
      <w:pPr>
        <w:widowControl/>
        <w:spacing w:line="240" w:lineRule="atLeast"/>
        <w:ind w:left="-360" w:firstLine="420" w:firstLineChars="200"/>
        <w:jc w:val="left"/>
        <w:rPr>
          <w:rFonts w:ascii="宋体" w:hAnsi="宋体" w:eastAsia="宋体" w:cs="宋体"/>
          <w:color w:val="000000"/>
          <w:szCs w:val="21"/>
        </w:rPr>
      </w:pPr>
      <w:r>
        <w:rPr>
          <w:rStyle w:val="55"/>
          <w:rFonts w:hint="eastAsia" w:ascii="宋体" w:hAnsi="宋体" w:eastAsia="宋体" w:cs="宋体"/>
          <w:color w:val="000000"/>
          <w:sz w:val="21"/>
          <w:szCs w:val="21"/>
        </w:rPr>
        <w:t>rows</w:t>
      </w:r>
      <w:r>
        <w:rPr>
          <w:rFonts w:hint="eastAsia" w:ascii="宋体" w:hAnsi="宋体" w:eastAsia="宋体" w:cs="宋体"/>
          <w:color w:val="000000"/>
          <w:szCs w:val="21"/>
        </w:rPr>
        <w:t>: 业务数据列表</w:t>
      </w:r>
    </w:p>
    <w:p w14:paraId="4E46316C">
      <w:pPr>
        <w:widowControl/>
        <w:spacing w:line="240" w:lineRule="atLeast"/>
        <w:ind w:left="-360" w:firstLine="420" w:firstLineChars="200"/>
        <w:jc w:val="left"/>
        <w:rPr>
          <w:rFonts w:ascii="宋体" w:hAnsi="宋体" w:eastAsia="宋体" w:cs="宋体"/>
          <w:color w:val="000000"/>
          <w:szCs w:val="21"/>
        </w:rPr>
      </w:pPr>
      <w:r>
        <w:rPr>
          <w:rStyle w:val="55"/>
          <w:rFonts w:hint="eastAsia" w:ascii="宋体" w:hAnsi="宋体" w:eastAsia="宋体" w:cs="宋体"/>
          <w:color w:val="000000"/>
          <w:sz w:val="21"/>
          <w:szCs w:val="21"/>
        </w:rPr>
        <w:t>total</w:t>
      </w:r>
      <w:r>
        <w:rPr>
          <w:rFonts w:hint="eastAsia" w:ascii="宋体" w:hAnsi="宋体" w:eastAsia="宋体" w:cs="宋体"/>
          <w:color w:val="000000"/>
          <w:szCs w:val="21"/>
        </w:rPr>
        <w:t>: 数据总条数</w:t>
      </w:r>
    </w:p>
    <w:p w14:paraId="17623F82">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 HTTP 安全验证（TOKEN 机制）</w:t>
      </w:r>
    </w:p>
    <w:p w14:paraId="212E97B7">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为保障接口调用安全，系统支持开启 HTTP 安全验证（TOKEN 检测），可在系统【综合设置】中配置开启。</w:t>
      </w:r>
    </w:p>
    <w:p w14:paraId="22F84992">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1.2.1 配置说明</w:t>
      </w:r>
    </w:p>
    <w:p w14:paraId="4EB5994A">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开启后需在配置界面完成以下设置：</w:t>
      </w:r>
    </w:p>
    <w:p w14:paraId="080C75A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TOKEN 认证开关：启用 / 关闭 TOKEN 验证</w:t>
      </w:r>
    </w:p>
    <w:p w14:paraId="28E1F937">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TOKEN 超时时间：设置 TOKEN 的有效时长（如 6 小时）</w:t>
      </w:r>
    </w:p>
    <w:p w14:paraId="7CEDFD2E">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HTTP 白名单 / 黑名单：配置允许 / 禁止访问的 IP 地址</w:t>
      </w:r>
    </w:p>
    <w:p w14:paraId="28C26391">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1.2.2 开启 TOKEN 验证后的调用要求</w:t>
      </w:r>
    </w:p>
    <w:p w14:paraId="10E2EA07">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当开启 TOKEN 验证后，所有接口请求需额外携带合法的 TOKEN 信息，具体认证规则与对接方式请参考系统附件文档。</w:t>
      </w:r>
    </w:p>
    <w:p w14:paraId="420A8356">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二、通用调用规范</w:t>
      </w:r>
    </w:p>
    <w:p w14:paraId="71B0E84C">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接口地址</w:t>
      </w:r>
      <w:r>
        <w:rPr>
          <w:rFonts w:hint="eastAsia" w:ascii="宋体" w:hAnsi="宋体" w:eastAsia="宋体" w:cs="宋体"/>
          <w:color w:val="000000"/>
          <w:szCs w:val="21"/>
        </w:rPr>
        <w:t>：实际对接时请以对接方提供的正式 IP 地址与接口路径为准。</w:t>
      </w:r>
    </w:p>
    <w:p w14:paraId="288A53EB">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编码要求</w:t>
      </w:r>
      <w:r>
        <w:rPr>
          <w:rFonts w:hint="eastAsia" w:ascii="宋体" w:hAnsi="宋体" w:eastAsia="宋体" w:cs="宋体"/>
          <w:color w:val="000000"/>
          <w:szCs w:val="21"/>
        </w:rPr>
        <w:t>：所有请求参数需使用 UTF-8 编码，特殊字符需进行 URL 编码。</w:t>
      </w:r>
    </w:p>
    <w:p w14:paraId="51C38CA0">
      <w:pPr>
        <w:widowControl/>
        <w:spacing w:line="240" w:lineRule="atLeast"/>
        <w:jc w:val="left"/>
        <w:rPr>
          <w:rFonts w:ascii="宋体" w:hAnsi="宋体" w:eastAsia="宋体" w:cs="宋体"/>
          <w:color w:val="000000"/>
          <w:szCs w:val="21"/>
        </w:rPr>
      </w:pPr>
      <w:r>
        <w:rPr>
          <w:rStyle w:val="46"/>
          <w:rFonts w:hint="eastAsia" w:ascii="宋体" w:hAnsi="宋体" w:eastAsia="宋体" w:cs="宋体"/>
          <w:color w:val="000000"/>
          <w:szCs w:val="21"/>
        </w:rPr>
        <w:t>错误处理</w:t>
      </w:r>
      <w:r>
        <w:rPr>
          <w:rFonts w:hint="eastAsia" w:ascii="宋体" w:hAnsi="宋体" w:eastAsia="宋体" w:cs="宋体"/>
          <w:color w:val="000000"/>
          <w:szCs w:val="21"/>
        </w:rPr>
        <w:t>：请求失败时需根据 HTTP 状态码与响应内容排查问题，常见状态码说明：</w:t>
      </w:r>
    </w:p>
    <w:p w14:paraId="53D0B20A">
      <w:pPr>
        <w:widowControl/>
        <w:spacing w:line="240" w:lineRule="atLeast"/>
        <w:jc w:val="left"/>
        <w:rPr>
          <w:rFonts w:ascii="宋体" w:hAnsi="宋体" w:eastAsia="宋体" w:cs="宋体"/>
          <w:color w:val="000000"/>
          <w:szCs w:val="21"/>
        </w:rPr>
      </w:pPr>
      <w:r>
        <w:rPr>
          <w:rStyle w:val="55"/>
          <w:rFonts w:hint="eastAsia" w:ascii="宋体" w:hAnsi="宋体" w:eastAsia="宋体" w:cs="宋体"/>
          <w:color w:val="000000"/>
          <w:sz w:val="21"/>
          <w:szCs w:val="21"/>
        </w:rPr>
        <w:t>200 OK</w:t>
      </w:r>
      <w:r>
        <w:rPr>
          <w:rFonts w:hint="eastAsia" w:ascii="宋体" w:hAnsi="宋体" w:eastAsia="宋体" w:cs="宋体"/>
          <w:color w:val="000000"/>
          <w:szCs w:val="21"/>
        </w:rPr>
        <w:t>：请求成功</w:t>
      </w:r>
    </w:p>
    <w:p w14:paraId="446F94E3">
      <w:pPr>
        <w:widowControl/>
        <w:spacing w:line="240" w:lineRule="atLeast"/>
        <w:jc w:val="left"/>
        <w:rPr>
          <w:rFonts w:ascii="宋体" w:hAnsi="宋体" w:eastAsia="宋体" w:cs="宋体"/>
          <w:color w:val="000000"/>
          <w:szCs w:val="21"/>
        </w:rPr>
      </w:pPr>
      <w:r>
        <w:rPr>
          <w:rStyle w:val="55"/>
          <w:rFonts w:hint="eastAsia" w:ascii="宋体" w:hAnsi="宋体" w:eastAsia="宋体" w:cs="宋体"/>
          <w:color w:val="000000"/>
          <w:sz w:val="21"/>
          <w:szCs w:val="21"/>
        </w:rPr>
        <w:t>401 Unauthorized</w:t>
      </w:r>
      <w:r>
        <w:rPr>
          <w:rFonts w:hint="eastAsia" w:ascii="宋体" w:hAnsi="宋体" w:eastAsia="宋体" w:cs="宋体"/>
          <w:color w:val="000000"/>
          <w:szCs w:val="21"/>
        </w:rPr>
        <w:t>：TOKEN 无效或未携带认证信息</w:t>
      </w:r>
    </w:p>
    <w:p w14:paraId="7641D5DF">
      <w:pPr>
        <w:widowControl/>
        <w:spacing w:line="240" w:lineRule="atLeast"/>
        <w:jc w:val="left"/>
        <w:rPr>
          <w:rFonts w:ascii="宋体" w:hAnsi="宋体" w:eastAsia="宋体" w:cs="宋体"/>
          <w:color w:val="000000"/>
          <w:szCs w:val="21"/>
        </w:rPr>
      </w:pPr>
      <w:r>
        <w:rPr>
          <w:rStyle w:val="55"/>
          <w:rFonts w:hint="eastAsia" w:ascii="宋体" w:hAnsi="宋体" w:eastAsia="宋体" w:cs="宋体"/>
          <w:color w:val="000000"/>
          <w:sz w:val="21"/>
          <w:szCs w:val="21"/>
        </w:rPr>
        <w:t>403 Forbidden</w:t>
      </w:r>
      <w:r>
        <w:rPr>
          <w:rFonts w:hint="eastAsia" w:ascii="宋体" w:hAnsi="宋体" w:eastAsia="宋体" w:cs="宋体"/>
          <w:color w:val="000000"/>
          <w:szCs w:val="21"/>
        </w:rPr>
        <w:t>：IP 地址未在白名单内或无访问权限</w:t>
      </w:r>
    </w:p>
    <w:p w14:paraId="452A1DC2">
      <w:pPr>
        <w:widowControl/>
        <w:spacing w:line="240" w:lineRule="atLeast"/>
        <w:jc w:val="left"/>
        <w:rPr>
          <w:rFonts w:ascii="宋体" w:hAnsi="宋体" w:eastAsia="宋体" w:cs="宋体"/>
          <w:color w:val="000000"/>
          <w:szCs w:val="21"/>
        </w:rPr>
      </w:pPr>
      <w:r>
        <w:rPr>
          <w:rStyle w:val="55"/>
          <w:rFonts w:hint="eastAsia" w:ascii="宋体" w:hAnsi="宋体" w:eastAsia="宋体" w:cs="宋体"/>
          <w:color w:val="000000"/>
          <w:sz w:val="21"/>
          <w:szCs w:val="21"/>
        </w:rPr>
        <w:t>404 Not Found</w:t>
      </w:r>
      <w:r>
        <w:rPr>
          <w:rFonts w:hint="eastAsia" w:ascii="宋体" w:hAnsi="宋体" w:eastAsia="宋体" w:cs="宋体"/>
          <w:color w:val="000000"/>
          <w:szCs w:val="21"/>
        </w:rPr>
        <w:t>：接口地址错误</w:t>
      </w:r>
    </w:p>
    <w:p w14:paraId="33EF3A02">
      <w:pPr>
        <w:widowControl/>
        <w:spacing w:line="240" w:lineRule="atLeast"/>
        <w:jc w:val="left"/>
        <w:rPr>
          <w:rFonts w:ascii="宋体" w:hAnsi="宋体" w:eastAsia="宋体" w:cs="宋体"/>
          <w:color w:val="000000"/>
          <w:szCs w:val="21"/>
        </w:rPr>
      </w:pPr>
      <w:r>
        <w:rPr>
          <w:rStyle w:val="55"/>
          <w:rFonts w:hint="eastAsia" w:ascii="宋体" w:hAnsi="宋体" w:eastAsia="宋体" w:cs="宋体"/>
          <w:color w:val="000000"/>
          <w:sz w:val="21"/>
          <w:szCs w:val="21"/>
        </w:rPr>
        <w:t>500 Internal Server Error</w:t>
      </w:r>
      <w:r>
        <w:rPr>
          <w:rFonts w:hint="eastAsia" w:ascii="宋体" w:hAnsi="宋体" w:eastAsia="宋体" w:cs="宋体"/>
          <w:color w:val="000000"/>
          <w:szCs w:val="21"/>
        </w:rPr>
        <w:t>：服务端内部异常</w:t>
      </w:r>
    </w:p>
    <w:p w14:paraId="2C90A712">
      <w:pPr>
        <w:widowControl/>
        <w:spacing w:line="240" w:lineRule="atLeast"/>
        <w:ind w:left="-360" w:firstLine="422" w:firstLineChars="200"/>
        <w:jc w:val="left"/>
        <w:rPr>
          <w:rFonts w:ascii="宋体" w:hAnsi="宋体" w:eastAsia="宋体" w:cs="宋体"/>
          <w:color w:val="000000"/>
          <w:szCs w:val="21"/>
        </w:rPr>
      </w:pPr>
      <w:r>
        <w:rPr>
          <w:rStyle w:val="46"/>
          <w:rFonts w:hint="eastAsia" w:ascii="宋体" w:hAnsi="宋体" w:eastAsia="宋体" w:cs="宋体"/>
          <w:color w:val="000000"/>
          <w:szCs w:val="21"/>
        </w:rPr>
        <w:t>频率限制</w:t>
      </w:r>
      <w:r>
        <w:rPr>
          <w:rFonts w:hint="eastAsia" w:ascii="宋体" w:hAnsi="宋体" w:eastAsia="宋体" w:cs="宋体"/>
          <w:color w:val="000000"/>
          <w:szCs w:val="21"/>
        </w:rPr>
        <w:t>：为避免对系统造成压力，单接口调用频率建议不超过 1 次 / 秒，高频调用需提前沟通。</w:t>
      </w:r>
    </w:p>
    <w:p w14:paraId="157A5B20">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三、调试说明</w:t>
      </w:r>
    </w:p>
    <w:p w14:paraId="0BB22214">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优先使用 PostMan工具调试接口，可直接使用本文档的请求报文模板进行修改。</w:t>
      </w:r>
    </w:p>
    <w:p w14:paraId="2287F071">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调试时需注意：</w:t>
      </w:r>
    </w:p>
    <w:p w14:paraId="7BC788A1">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 xml:space="preserve">确认 </w:t>
      </w:r>
      <w:r>
        <w:rPr>
          <w:rStyle w:val="55"/>
          <w:rFonts w:hint="eastAsia" w:ascii="宋体" w:hAnsi="宋体" w:eastAsia="宋体" w:cs="宋体"/>
          <w:color w:val="000000"/>
          <w:sz w:val="21"/>
          <w:szCs w:val="21"/>
        </w:rPr>
        <w:t>Content-Type</w:t>
      </w:r>
      <w:r>
        <w:rPr>
          <w:rFonts w:hint="eastAsia" w:ascii="宋体" w:hAnsi="宋体" w:eastAsia="宋体" w:cs="宋体"/>
          <w:color w:val="000000"/>
          <w:szCs w:val="21"/>
        </w:rPr>
        <w:t xml:space="preserve"> 为 </w:t>
      </w:r>
      <w:r>
        <w:rPr>
          <w:rStyle w:val="55"/>
          <w:rFonts w:hint="eastAsia" w:ascii="宋体" w:hAnsi="宋体" w:eastAsia="宋体" w:cs="宋体"/>
          <w:color w:val="000000"/>
          <w:sz w:val="21"/>
          <w:szCs w:val="21"/>
        </w:rPr>
        <w:t>application/x-www-form-urlencoded</w:t>
      </w:r>
    </w:p>
    <w:p w14:paraId="250CD00C">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 xml:space="preserve">确认 </w:t>
      </w:r>
      <w:r>
        <w:rPr>
          <w:rStyle w:val="55"/>
          <w:rFonts w:hint="eastAsia" w:ascii="宋体" w:hAnsi="宋体" w:eastAsia="宋体" w:cs="宋体"/>
          <w:color w:val="000000"/>
          <w:sz w:val="21"/>
          <w:szCs w:val="21"/>
        </w:rPr>
        <w:t>jsondata</w:t>
      </w:r>
      <w:r>
        <w:rPr>
          <w:rFonts w:hint="eastAsia" w:ascii="宋体" w:hAnsi="宋体" w:eastAsia="宋体" w:cs="宋体"/>
          <w:color w:val="000000"/>
          <w:szCs w:val="21"/>
        </w:rPr>
        <w:t xml:space="preserve"> 参数已正确编码，无特殊字符转义错误</w:t>
      </w:r>
    </w:p>
    <w:p w14:paraId="1058447C">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开启TOKEN验证后，需在请求中携带有效的认证信息</w:t>
      </w:r>
    </w:p>
    <w:p w14:paraId="2ADFEB06">
      <w:pPr>
        <w:rPr>
          <w:rFonts w:ascii="宋体" w:hAnsi="宋体" w:cs="宋体"/>
          <w:b/>
          <w:szCs w:val="21"/>
        </w:rPr>
      </w:pPr>
    </w:p>
    <w:p w14:paraId="2C15C6BE">
      <w:pPr>
        <w:rPr>
          <w:rFonts w:hAnsi="宋体" w:cs="宋体"/>
          <w:b/>
          <w:sz w:val="32"/>
          <w:szCs w:val="32"/>
        </w:rPr>
      </w:pPr>
      <w:r>
        <w:rPr>
          <w:rFonts w:hAnsi="宋体" w:cs="宋体"/>
          <w:b/>
          <w:sz w:val="32"/>
          <w:szCs w:val="32"/>
        </w:rPr>
        <w:br w:type="page"/>
      </w:r>
    </w:p>
    <w:p w14:paraId="2987D4D9">
      <w:pPr>
        <w:pStyle w:val="22"/>
        <w:adjustRightInd w:val="0"/>
        <w:snapToGrid w:val="0"/>
        <w:spacing w:line="360" w:lineRule="auto"/>
        <w:jc w:val="center"/>
        <w:outlineLvl w:val="0"/>
        <w:rPr>
          <w:rFonts w:hAnsi="宋体" w:cs="宋体"/>
          <w:b/>
          <w:sz w:val="32"/>
          <w:szCs w:val="32"/>
        </w:rPr>
      </w:pPr>
    </w:p>
    <w:p w14:paraId="0592AF4B">
      <w:pPr>
        <w:pStyle w:val="22"/>
        <w:adjustRightInd w:val="0"/>
        <w:snapToGrid w:val="0"/>
        <w:spacing w:line="360" w:lineRule="auto"/>
        <w:jc w:val="center"/>
        <w:outlineLvl w:val="0"/>
        <w:rPr>
          <w:rFonts w:hAnsi="宋体" w:cs="宋体"/>
          <w:b/>
          <w:sz w:val="32"/>
          <w:szCs w:val="32"/>
        </w:rPr>
      </w:pPr>
      <w:r>
        <w:rPr>
          <w:rFonts w:hint="eastAsia" w:hAnsi="宋体" w:cs="宋体"/>
          <w:b/>
          <w:sz w:val="32"/>
          <w:szCs w:val="32"/>
        </w:rPr>
        <w:t>第六章 政府采购合同</w:t>
      </w:r>
      <w:bookmarkEnd w:id="65"/>
    </w:p>
    <w:p w14:paraId="76F7134D">
      <w:pPr>
        <w:pStyle w:val="3"/>
        <w:adjustRightInd w:val="0"/>
        <w:snapToGrid w:val="0"/>
        <w:jc w:val="center"/>
        <w:rPr>
          <w:rFonts w:ascii="宋体" w:hAnsi="宋体" w:cs="宋体"/>
          <w:sz w:val="28"/>
          <w:szCs w:val="28"/>
        </w:rPr>
      </w:pPr>
      <w:bookmarkStart w:id="73" w:name="_Toc22627"/>
      <w:r>
        <w:rPr>
          <w:rFonts w:hint="eastAsia" w:ascii="宋体" w:hAnsi="宋体" w:cs="宋体"/>
          <w:sz w:val="28"/>
          <w:szCs w:val="28"/>
        </w:rPr>
        <w:t>第一节 政府采购合同协议书</w:t>
      </w:r>
      <w:bookmarkEnd w:id="73"/>
    </w:p>
    <w:p w14:paraId="1160F0F8">
      <w:pPr>
        <w:ind w:firstLine="5880" w:firstLineChars="2800"/>
      </w:pPr>
      <w:r>
        <w:rPr>
          <w:rFonts w:hint="eastAsia"/>
        </w:rPr>
        <w:t>采购合同编号：</w:t>
      </w:r>
      <w:r>
        <w:rPr>
          <w:u w:val="single"/>
        </w:rPr>
        <w:t xml:space="preserve">                 </w:t>
      </w:r>
    </w:p>
    <w:p w14:paraId="4DFFD515"/>
    <w:p w14:paraId="5950B30F">
      <w:pPr>
        <w:adjustRightInd w:val="0"/>
        <w:snapToGrid w:val="0"/>
        <w:spacing w:before="161" w:beforeLines="50"/>
        <w:jc w:val="center"/>
        <w:rPr>
          <w:rFonts w:ascii="宋体" w:hAnsi="宋体"/>
          <w:b/>
          <w:szCs w:val="21"/>
        </w:rPr>
      </w:pPr>
    </w:p>
    <w:p w14:paraId="4B86550E">
      <w:pPr>
        <w:adjustRightInd w:val="0"/>
        <w:snapToGrid w:val="0"/>
        <w:spacing w:before="161" w:beforeLines="50"/>
        <w:rPr>
          <w:rFonts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1EA33135">
      <w:pPr>
        <w:adjustRightInd w:val="0"/>
        <w:snapToGrid w:val="0"/>
        <w:spacing w:before="161" w:beforeLines="50"/>
        <w:rPr>
          <w:rFonts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3E490261">
      <w:pPr>
        <w:pStyle w:val="18"/>
        <w:adjustRightInd w:val="0"/>
        <w:snapToGrid w:val="0"/>
        <w:spacing w:before="161" w:beforeLines="50" w:after="0"/>
        <w:rPr>
          <w:rFonts w:ascii="宋体" w:hAnsi="宋体"/>
          <w:szCs w:val="21"/>
        </w:rPr>
      </w:pPr>
    </w:p>
    <w:p w14:paraId="2E918609">
      <w:pPr>
        <w:pStyle w:val="18"/>
        <w:adjustRightInd w:val="0"/>
        <w:snapToGrid w:val="0"/>
        <w:spacing w:before="161" w:beforeLines="50" w:after="0" w:line="360" w:lineRule="auto"/>
        <w:ind w:left="0" w:leftChars="0" w:firstLine="420" w:firstLineChars="200"/>
        <w:rPr>
          <w:rFonts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08FEBF37">
      <w:pPr>
        <w:adjustRightInd w:val="0"/>
        <w:snapToGrid w:val="0"/>
        <w:spacing w:before="161" w:beforeLines="50" w:line="360" w:lineRule="auto"/>
        <w:ind w:firstLine="422" w:firstLineChars="200"/>
        <w:rPr>
          <w:rFonts w:ascii="宋体" w:hAnsi="宋体"/>
          <w:b/>
          <w:szCs w:val="21"/>
        </w:rPr>
      </w:pPr>
      <w:r>
        <w:rPr>
          <w:rFonts w:hint="eastAsia" w:ascii="宋体" w:hAnsi="宋体"/>
          <w:b/>
          <w:szCs w:val="21"/>
        </w:rPr>
        <w:t>1.项目信息</w:t>
      </w:r>
    </w:p>
    <w:p w14:paraId="204F56C4">
      <w:pPr>
        <w:pStyle w:val="18"/>
        <w:adjustRightInd w:val="0"/>
        <w:snapToGrid w:val="0"/>
        <w:spacing w:before="161" w:beforeLines="50" w:after="0" w:line="360" w:lineRule="auto"/>
        <w:rPr>
          <w:rFonts w:ascii="宋体" w:hAnsi="宋体"/>
          <w:szCs w:val="21"/>
        </w:rPr>
      </w:pPr>
      <w:r>
        <w:rPr>
          <w:rFonts w:hint="eastAsia" w:ascii="宋体" w:hAnsi="宋体"/>
          <w:szCs w:val="21"/>
        </w:rPr>
        <w:t>（1）采购项目名称：</w:t>
      </w:r>
      <w:r>
        <w:rPr>
          <w:rFonts w:ascii="宋体" w:hAnsi="宋体"/>
          <w:szCs w:val="21"/>
          <w:u w:val="single"/>
        </w:rPr>
        <w:t xml:space="preserve">                                          </w:t>
      </w:r>
    </w:p>
    <w:p w14:paraId="71BF9DD4">
      <w:pPr>
        <w:pStyle w:val="18"/>
        <w:adjustRightInd w:val="0"/>
        <w:snapToGrid w:val="0"/>
        <w:spacing w:before="161" w:beforeLines="50" w:after="0" w:line="360" w:lineRule="auto"/>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ascii="宋体" w:hAnsi="宋体"/>
          <w:szCs w:val="21"/>
        </w:rPr>
        <w:t xml:space="preserve"> </w:t>
      </w:r>
    </w:p>
    <w:p w14:paraId="752E7EDE">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（3）项目内容：</w:t>
      </w:r>
      <w:r>
        <w:rPr>
          <w:rFonts w:hint="eastAsia" w:ascii="宋体" w:hAnsi="宋体"/>
          <w:szCs w:val="21"/>
          <w:u w:val="single"/>
        </w:rPr>
        <w:t xml:space="preserve">                             </w:t>
      </w:r>
    </w:p>
    <w:p w14:paraId="2E22011A">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（4）</w:t>
      </w:r>
      <w:bookmarkStart w:id="74" w:name="tip_risk_bookmark_16"/>
      <w:bookmarkStart w:id="75" w:name="tip_risk_bookmark_15"/>
      <w:r>
        <w:rPr>
          <w:rFonts w:hint="eastAsia" w:ascii="宋体" w:hAnsi="宋体"/>
          <w:szCs w:val="21"/>
        </w:rPr>
        <w:t>是否分包：</w:t>
      </w:r>
      <w:r>
        <w:rPr>
          <w:rFonts w:hint="eastAsia" w:ascii="宋体" w:hAnsi="宋体"/>
          <w:szCs w:val="21"/>
          <w:u w:val="single"/>
        </w:rPr>
        <w:t xml:space="preserve">               </w:t>
      </w:r>
      <w:r>
        <w:rPr>
          <w:rFonts w:hint="eastAsia" w:ascii="宋体" w:hAnsi="宋体"/>
          <w:szCs w:val="21"/>
        </w:rPr>
        <w:t>。</w:t>
      </w:r>
      <w:bookmarkEnd w:id="74"/>
    </w:p>
    <w:p w14:paraId="4A17D026">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61A23AA9">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bookmarkEnd w:id="75"/>
    </w:p>
    <w:p w14:paraId="4AA7B3D7">
      <w:pPr>
        <w:adjustRightInd w:val="0"/>
        <w:snapToGrid w:val="0"/>
        <w:spacing w:before="161" w:beforeLines="50" w:line="360" w:lineRule="auto"/>
        <w:ind w:firstLine="413" w:firstLineChars="196"/>
        <w:rPr>
          <w:rFonts w:ascii="宋体" w:hAnsi="宋体"/>
          <w:b/>
          <w:szCs w:val="21"/>
        </w:rPr>
      </w:pPr>
      <w:r>
        <w:rPr>
          <w:rFonts w:hint="eastAsia" w:ascii="宋体" w:hAnsi="宋体"/>
          <w:b/>
          <w:szCs w:val="21"/>
        </w:rPr>
        <w:t>2.合同金额</w:t>
      </w:r>
    </w:p>
    <w:p w14:paraId="74BBE0F9">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（1）</w:t>
      </w:r>
      <w:bookmarkStart w:id="76" w:name="tip_risk_bookmark_17"/>
      <w:r>
        <w:rPr>
          <w:rFonts w:hint="eastAsia" w:ascii="宋体" w:hAnsi="宋体"/>
          <w:szCs w:val="21"/>
        </w:rPr>
        <w:t>合同金额小写：</w:t>
      </w:r>
      <w:r>
        <w:rPr>
          <w:rFonts w:hint="eastAsia" w:ascii="宋体" w:hAnsi="宋体"/>
          <w:szCs w:val="21"/>
          <w:u w:val="single"/>
        </w:rPr>
        <w:t xml:space="preserve">                      </w:t>
      </w:r>
    </w:p>
    <w:p w14:paraId="491383DF">
      <w:pPr>
        <w:adjustRightInd w:val="0"/>
        <w:snapToGrid w:val="0"/>
        <w:spacing w:before="161" w:beforeLines="50" w:line="360" w:lineRule="auto"/>
        <w:ind w:firstLine="1260" w:firstLineChars="600"/>
        <w:rPr>
          <w:rFonts w:ascii="宋体" w:hAnsi="宋体"/>
          <w:b/>
          <w:szCs w:val="21"/>
        </w:rPr>
      </w:pPr>
      <w:r>
        <w:rPr>
          <w:rFonts w:hint="eastAsia" w:ascii="宋体" w:hAnsi="宋体"/>
          <w:szCs w:val="21"/>
        </w:rPr>
        <w:t>大写：</w:t>
      </w:r>
      <w:bookmarkEnd w:id="76"/>
      <w:r>
        <w:rPr>
          <w:rFonts w:hint="eastAsia" w:ascii="宋体" w:hAnsi="宋体"/>
          <w:szCs w:val="21"/>
          <w:u w:val="single"/>
        </w:rPr>
        <w:t xml:space="preserve">                      </w:t>
      </w:r>
    </w:p>
    <w:p w14:paraId="037D519D">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（2）具体标的见附件。</w:t>
      </w:r>
    </w:p>
    <w:p w14:paraId="40532B9F">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（3）合同定价方式：</w:t>
      </w:r>
      <w:r>
        <w:rPr>
          <w:rFonts w:ascii="Wingdings" w:hAnsi="Wingdings"/>
          <w:iCs/>
          <w:szCs w:val="21"/>
        </w:rPr>
        <w:sym w:font="Wingdings" w:char="F0A8"/>
      </w:r>
      <w:r>
        <w:rPr>
          <w:rFonts w:hint="eastAsia" w:ascii="宋体" w:hAnsi="宋体"/>
          <w:iCs/>
          <w:szCs w:val="21"/>
        </w:rPr>
        <w:t xml:space="preserve">固定总价 </w:t>
      </w:r>
      <w:r>
        <w:rPr>
          <w:rFonts w:ascii="Wingdings" w:hAnsi="Wingdings"/>
          <w:iCs/>
          <w:szCs w:val="21"/>
        </w:rPr>
        <w:sym w:font="Wingdings" w:char="F0A8"/>
      </w:r>
      <w:r>
        <w:rPr>
          <w:rFonts w:hint="eastAsia" w:ascii="宋体" w:hAnsi="宋体"/>
          <w:iCs/>
          <w:szCs w:val="21"/>
        </w:rPr>
        <w:t xml:space="preserve">固定单价 </w:t>
      </w:r>
      <w:r>
        <w:rPr>
          <w:rFonts w:ascii="Wingdings" w:hAnsi="Wingdings"/>
          <w:iCs/>
          <w:szCs w:val="21"/>
        </w:rPr>
        <w:sym w:font="Wingdings" w:char="F0A8"/>
      </w:r>
      <w:r>
        <w:rPr>
          <w:rFonts w:hint="eastAsia" w:ascii="宋体" w:hAnsi="宋体"/>
          <w:iCs/>
          <w:szCs w:val="21"/>
        </w:rPr>
        <w:t xml:space="preserve">成本补偿 </w:t>
      </w:r>
      <w:r>
        <w:rPr>
          <w:rFonts w:ascii="Wingdings" w:hAnsi="Wingdings"/>
          <w:iCs/>
          <w:szCs w:val="21"/>
        </w:rPr>
        <w:sym w:font="Wingdings" w:char="F0A8"/>
      </w:r>
      <w:r>
        <w:rPr>
          <w:rFonts w:hint="eastAsia" w:ascii="宋体" w:hAnsi="宋体"/>
          <w:iCs/>
          <w:szCs w:val="21"/>
        </w:rPr>
        <w:t>绩效激励</w:t>
      </w:r>
    </w:p>
    <w:p w14:paraId="01AD642C">
      <w:pPr>
        <w:pStyle w:val="153"/>
        <w:spacing w:line="360" w:lineRule="auto"/>
        <w:ind w:firstLine="422"/>
      </w:pPr>
      <w:r>
        <w:rPr>
          <w:rFonts w:hint="eastAsia" w:ascii="宋体" w:hAnsi="宋体"/>
        </w:rPr>
        <w:t>（4）付款方式（按项目实际勾选填写）：</w:t>
      </w:r>
    </w:p>
    <w:p w14:paraId="4AD41142">
      <w:pPr>
        <w:adjustRightInd w:val="0"/>
        <w:snapToGrid w:val="0"/>
        <w:spacing w:before="161" w:beforeLines="50" w:line="360" w:lineRule="auto"/>
        <w:ind w:firstLine="630" w:firstLineChars="300"/>
        <w:rPr>
          <w:rFonts w:ascii="宋体" w:hAnsi="宋体"/>
          <w:szCs w:val="21"/>
          <w:u w:val="single"/>
        </w:rPr>
      </w:pPr>
      <w:r>
        <w:rPr>
          <w:rFonts w:ascii="Wingdings" w:hAnsi="Wingdings"/>
          <w:szCs w:val="21"/>
        </w:rPr>
        <w:sym w:font="Wingdings" w:char="F0A8"/>
      </w:r>
      <w:r>
        <w:rPr>
          <w:rFonts w:hint="eastAsia" w:ascii="宋体" w:hAnsi="宋体"/>
          <w:szCs w:val="21"/>
        </w:rPr>
        <w:t>全额付款：</w:t>
      </w:r>
      <w:r>
        <w:rPr>
          <w:rFonts w:hint="eastAsia" w:ascii="宋体" w:hAnsi="宋体"/>
          <w:szCs w:val="21"/>
          <w:u w:val="single"/>
        </w:rPr>
        <w:t xml:space="preserve">     （应一次性支付全部合同款项）                    </w:t>
      </w:r>
    </w:p>
    <w:p w14:paraId="24D1C070">
      <w:pPr>
        <w:adjustRightInd w:val="0"/>
        <w:snapToGrid w:val="0"/>
        <w:spacing w:before="161" w:beforeLines="50" w:line="360" w:lineRule="auto"/>
        <w:ind w:firstLine="630" w:firstLineChars="300"/>
        <w:rPr>
          <w:rFonts w:ascii="宋体" w:hAnsi="宋体"/>
          <w:szCs w:val="21"/>
          <w:u w:val="single"/>
        </w:rPr>
      </w:pPr>
      <w:r>
        <w:rPr>
          <w:rFonts w:ascii="Wingdings" w:hAnsi="Wingdings"/>
          <w:szCs w:val="21"/>
        </w:rPr>
        <w:sym w:font="Wingdings" w:char="F0A8"/>
      </w:r>
      <w:r>
        <w:rPr>
          <w:rFonts w:hint="eastAsia" w:ascii="宋体" w:hAnsi="宋体"/>
          <w:szCs w:val="21"/>
        </w:rPr>
        <w:t>预付款：</w:t>
      </w:r>
      <w:r>
        <w:rPr>
          <w:rFonts w:hint="eastAsia" w:ascii="宋体" w:hAnsi="宋体"/>
          <w:szCs w:val="21"/>
          <w:u w:val="single"/>
        </w:rPr>
        <w:t xml:space="preserve">    （应明确预付款的支付比例和支付条件）               </w:t>
      </w:r>
    </w:p>
    <w:p w14:paraId="496C6E2C">
      <w:pPr>
        <w:adjustRightInd w:val="0"/>
        <w:snapToGrid w:val="0"/>
        <w:spacing w:before="161" w:beforeLines="50" w:line="360" w:lineRule="auto"/>
        <w:ind w:firstLine="630" w:firstLineChars="300"/>
        <w:rPr>
          <w:rFonts w:ascii="宋体" w:hAnsi="宋体"/>
          <w:szCs w:val="21"/>
        </w:rPr>
      </w:pPr>
      <w:r>
        <w:rPr>
          <w:rFonts w:ascii="Wingdings" w:hAnsi="Wingdings"/>
          <w:szCs w:val="21"/>
        </w:rPr>
        <w:sym w:font="Wingdings" w:char="F0A8"/>
      </w:r>
      <w:r>
        <w:rPr>
          <w:rFonts w:hint="eastAsia" w:ascii="宋体" w:hAnsi="宋体"/>
          <w:szCs w:val="21"/>
        </w:rPr>
        <w:t>分期付款：</w:t>
      </w:r>
      <w:r>
        <w:rPr>
          <w:rFonts w:hint="eastAsia" w:ascii="宋体" w:hAnsi="宋体"/>
          <w:szCs w:val="21"/>
          <w:u w:val="single"/>
        </w:rPr>
        <w:t xml:space="preserve">     （应按照季度分期支付合同款项）                   </w:t>
      </w:r>
    </w:p>
    <w:p w14:paraId="209817E6">
      <w:pPr>
        <w:adjustRightInd w:val="0"/>
        <w:snapToGrid w:val="0"/>
        <w:spacing w:before="161" w:beforeLines="50" w:line="360" w:lineRule="auto"/>
        <w:ind w:firstLine="630" w:firstLineChars="300"/>
        <w:rPr>
          <w:rFonts w:ascii="宋体" w:hAnsi="宋体"/>
          <w:szCs w:val="21"/>
        </w:rPr>
      </w:pPr>
      <w:r>
        <w:rPr>
          <w:rFonts w:ascii="Wingdings" w:hAnsi="Wingdings"/>
          <w:szCs w:val="21"/>
        </w:rPr>
        <w:sym w:font="Wingdings" w:char="F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081AD67">
      <w:pPr>
        <w:adjustRightInd w:val="0"/>
        <w:snapToGrid w:val="0"/>
        <w:spacing w:before="161" w:beforeLines="50" w:line="360" w:lineRule="auto"/>
        <w:ind w:firstLine="630" w:firstLineChars="300"/>
        <w:rPr>
          <w:rFonts w:ascii="宋体" w:hAnsi="宋体"/>
          <w:szCs w:val="21"/>
        </w:rPr>
      </w:pPr>
      <w:r>
        <w:rPr>
          <w:rFonts w:ascii="Wingdings" w:hAnsi="Wingdings"/>
          <w:szCs w:val="21"/>
        </w:rPr>
        <w:sym w:font="Wingdings" w:char="F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5712C184">
      <w:pPr>
        <w:adjustRightInd w:val="0"/>
        <w:snapToGrid w:val="0"/>
        <w:spacing w:before="161" w:beforeLines="50" w:line="360" w:lineRule="auto"/>
        <w:ind w:firstLine="422" w:firstLineChars="200"/>
        <w:rPr>
          <w:rFonts w:ascii="宋体" w:hAnsi="宋体"/>
          <w:szCs w:val="21"/>
          <w:u w:val="single"/>
        </w:rPr>
      </w:pPr>
      <w:r>
        <w:rPr>
          <w:rFonts w:hint="eastAsia" w:ascii="宋体" w:hAnsi="宋体"/>
          <w:b/>
          <w:szCs w:val="21"/>
        </w:rPr>
        <w:t>3.合同履行</w:t>
      </w:r>
    </w:p>
    <w:p w14:paraId="05A38EB6">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（1）</w:t>
      </w:r>
      <w:bookmarkStart w:id="77" w:name="tip_risk_bookmark_19"/>
      <w:r>
        <w:rPr>
          <w:rFonts w:hint="eastAsia" w:ascii="宋体" w:hAnsi="宋体"/>
          <w:szCs w:val="21"/>
        </w:rPr>
        <w:t>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bookmarkEnd w:id="77"/>
    </w:p>
    <w:p w14:paraId="0049D936">
      <w:pPr>
        <w:adjustRightInd w:val="0"/>
        <w:snapToGrid w:val="0"/>
        <w:spacing w:before="161" w:beforeLines="50" w:line="360" w:lineRule="auto"/>
        <w:ind w:firstLine="420" w:firstLineChars="200"/>
        <w:rPr>
          <w:rFonts w:ascii="宋体" w:hAnsi="宋体"/>
          <w:szCs w:val="21"/>
          <w:u w:val="single"/>
        </w:rPr>
      </w:pPr>
      <w:r>
        <w:rPr>
          <w:rFonts w:hint="eastAsia" w:ascii="宋体" w:hAnsi="宋体"/>
          <w:szCs w:val="21"/>
        </w:rPr>
        <w:t>（2）</w:t>
      </w:r>
      <w:bookmarkStart w:id="78" w:name="tip_risk_bookmark_20"/>
      <w:r>
        <w:rPr>
          <w:rFonts w:hint="eastAsia" w:ascii="宋体" w:hAnsi="宋体"/>
          <w:szCs w:val="21"/>
        </w:rPr>
        <w:t>地点</w:t>
      </w:r>
      <w:r>
        <w:rPr>
          <w:rFonts w:hint="eastAsia" w:ascii="宋体" w:hAnsi="宋体"/>
          <w:b/>
          <w:szCs w:val="21"/>
        </w:rPr>
        <w:t>：</w:t>
      </w:r>
      <w:r>
        <w:rPr>
          <w:rFonts w:hint="eastAsia" w:ascii="宋体" w:hAnsi="宋体"/>
          <w:szCs w:val="21"/>
          <w:u w:val="single"/>
        </w:rPr>
        <w:t xml:space="preserve">                             </w:t>
      </w:r>
    </w:p>
    <w:p w14:paraId="7EC6437F">
      <w:pPr>
        <w:adjustRightInd w:val="0"/>
        <w:snapToGrid w:val="0"/>
        <w:spacing w:before="161" w:beforeLines="50" w:line="360" w:lineRule="auto"/>
        <w:ind w:firstLine="420" w:firstLineChars="200"/>
        <w:rPr>
          <w:rFonts w:ascii="宋体" w:hAnsi="宋体"/>
          <w:szCs w:val="21"/>
          <w:u w:val="single"/>
        </w:rPr>
      </w:pPr>
      <w:r>
        <w:rPr>
          <w:rFonts w:hint="eastAsia" w:ascii="宋体" w:hAnsi="宋体"/>
          <w:szCs w:val="21"/>
        </w:rPr>
        <w:t>（3）方式：</w:t>
      </w:r>
      <w:bookmarkEnd w:id="78"/>
      <w:r>
        <w:rPr>
          <w:rFonts w:hint="eastAsia" w:ascii="宋体" w:hAnsi="宋体"/>
          <w:szCs w:val="21"/>
          <w:u w:val="single"/>
        </w:rPr>
        <w:t xml:space="preserve">                             </w:t>
      </w:r>
    </w:p>
    <w:p w14:paraId="3944B2F8">
      <w:pPr>
        <w:adjustRightInd w:val="0"/>
        <w:snapToGrid w:val="0"/>
        <w:spacing w:before="161" w:beforeLines="50" w:line="360" w:lineRule="auto"/>
        <w:ind w:firstLine="420" w:firstLineChars="200"/>
        <w:rPr>
          <w:rFonts w:ascii="宋体" w:hAnsi="宋体"/>
          <w:bCs/>
          <w:szCs w:val="21"/>
        </w:rPr>
      </w:pPr>
      <w:r>
        <w:rPr>
          <w:rFonts w:hint="eastAsia" w:ascii="宋体" w:hAnsi="宋体"/>
          <w:bCs/>
          <w:szCs w:val="21"/>
        </w:rPr>
        <w:t>（4）</w:t>
      </w:r>
      <w:bookmarkStart w:id="79" w:name="tip_risk_bookmark_22"/>
      <w:bookmarkStart w:id="80" w:name="tip_risk_bookmark_21"/>
      <w:r>
        <w:rPr>
          <w:rFonts w:hint="eastAsia" w:ascii="宋体" w:hAnsi="宋体"/>
          <w:bCs/>
          <w:szCs w:val="21"/>
        </w:rPr>
        <w:t>履约担保：</w:t>
      </w:r>
      <w:r>
        <w:rPr>
          <w:rFonts w:hint="eastAsia" w:ascii="宋体" w:hAnsi="宋体"/>
          <w:bCs/>
          <w:szCs w:val="21"/>
          <w:u w:val="single"/>
        </w:rPr>
        <w:t>履约担保的金额、形式和期限要求</w:t>
      </w:r>
      <w:r>
        <w:rPr>
          <w:rFonts w:hint="eastAsia" w:ascii="宋体" w:hAnsi="宋体"/>
          <w:bCs/>
          <w:szCs w:val="21"/>
        </w:rPr>
        <w:t>。</w:t>
      </w:r>
      <w:bookmarkEnd w:id="79"/>
    </w:p>
    <w:p w14:paraId="3E407816">
      <w:pPr>
        <w:adjustRightInd w:val="0"/>
        <w:snapToGrid w:val="0"/>
        <w:spacing w:before="161" w:beforeLines="50" w:line="360" w:lineRule="auto"/>
        <w:ind w:firstLine="420" w:firstLineChars="200"/>
        <w:rPr>
          <w:rFonts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r>
        <w:rPr>
          <w:rFonts w:hint="eastAsia" w:ascii="宋体" w:hAnsi="宋体"/>
          <w:bCs/>
          <w:szCs w:val="21"/>
        </w:rPr>
        <w:t>。</w:t>
      </w:r>
      <w:bookmarkEnd w:id="80"/>
    </w:p>
    <w:p w14:paraId="467B38D5">
      <w:pPr>
        <w:adjustRightInd w:val="0"/>
        <w:snapToGrid w:val="0"/>
        <w:spacing w:before="161" w:beforeLines="50" w:line="360" w:lineRule="auto"/>
        <w:ind w:firstLine="422" w:firstLineChars="200"/>
        <w:rPr>
          <w:rFonts w:ascii="宋体" w:hAnsi="宋体"/>
          <w:b/>
          <w:szCs w:val="21"/>
        </w:rPr>
      </w:pPr>
      <w:r>
        <w:rPr>
          <w:rFonts w:hint="eastAsia" w:ascii="宋体" w:hAnsi="宋体"/>
          <w:b/>
          <w:szCs w:val="21"/>
        </w:rPr>
        <w:t>4.合同验收</w:t>
      </w:r>
    </w:p>
    <w:p w14:paraId="618D868D">
      <w:pPr>
        <w:adjustRightInd w:val="0"/>
        <w:snapToGrid w:val="0"/>
        <w:spacing w:before="161" w:beforeLines="50" w:line="360" w:lineRule="auto"/>
        <w:ind w:firstLine="420" w:firstLineChars="200"/>
        <w:rPr>
          <w:rFonts w:ascii="宋体" w:hAnsi="宋体"/>
          <w:bCs/>
          <w:szCs w:val="21"/>
        </w:rPr>
      </w:pPr>
      <w:r>
        <w:rPr>
          <w:rFonts w:hint="eastAsia" w:ascii="宋体" w:hAnsi="宋体"/>
          <w:bCs/>
          <w:szCs w:val="21"/>
        </w:rPr>
        <w:t>（1）</w:t>
      </w:r>
      <w:bookmarkStart w:id="81" w:name="tip_risk_bookmark_23"/>
      <w:r>
        <w:rPr>
          <w:rFonts w:hint="eastAsia" w:ascii="宋体" w:hAnsi="宋体"/>
          <w:bCs/>
          <w:szCs w:val="21"/>
        </w:rPr>
        <w:t>验收主体：</w:t>
      </w:r>
      <w:r>
        <w:rPr>
          <w:rFonts w:hint="eastAsia" w:ascii="宋体" w:hAnsi="宋体"/>
          <w:bCs/>
          <w:szCs w:val="21"/>
          <w:u w:val="single"/>
        </w:rPr>
        <w:t xml:space="preserve">                             </w:t>
      </w:r>
      <w:r>
        <w:rPr>
          <w:rFonts w:hint="eastAsia" w:ascii="宋体" w:hAnsi="宋体"/>
          <w:bCs/>
          <w:szCs w:val="21"/>
        </w:rPr>
        <w:t>。</w:t>
      </w:r>
    </w:p>
    <w:p w14:paraId="5A6FAB0D">
      <w:pPr>
        <w:adjustRightInd w:val="0"/>
        <w:snapToGrid w:val="0"/>
        <w:spacing w:before="161" w:beforeLines="50" w:line="360" w:lineRule="auto"/>
        <w:ind w:firstLine="420" w:firstLineChars="200"/>
        <w:rPr>
          <w:rFonts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119D0637">
      <w:pPr>
        <w:adjustRightInd w:val="0"/>
        <w:snapToGrid w:val="0"/>
        <w:spacing w:before="161" w:beforeLines="50" w:line="360" w:lineRule="auto"/>
        <w:ind w:firstLine="420" w:firstLineChars="200"/>
        <w:rPr>
          <w:rFonts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bookmarkEnd w:id="81"/>
    </w:p>
    <w:p w14:paraId="5D37BBDC">
      <w:pPr>
        <w:adjustRightInd w:val="0"/>
        <w:snapToGrid w:val="0"/>
        <w:spacing w:before="161" w:beforeLines="50" w:line="360" w:lineRule="auto"/>
        <w:ind w:firstLine="422" w:firstLineChars="200"/>
        <w:rPr>
          <w:rFonts w:ascii="宋体" w:hAnsi="宋体"/>
          <w:b/>
          <w:szCs w:val="21"/>
        </w:rPr>
      </w:pPr>
      <w:r>
        <w:rPr>
          <w:rFonts w:hint="eastAsia" w:ascii="宋体" w:hAnsi="宋体"/>
          <w:b/>
          <w:szCs w:val="21"/>
        </w:rPr>
        <w:t>5.组成合同的文件</w:t>
      </w:r>
    </w:p>
    <w:p w14:paraId="5AB3AABC">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134FA88">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3EC9A3A3">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（2）本合同协议书</w:t>
      </w:r>
    </w:p>
    <w:p w14:paraId="6F8AC212">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（3）中标通知书</w:t>
      </w:r>
    </w:p>
    <w:p w14:paraId="1BC0E426">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（4）投标文件</w:t>
      </w:r>
    </w:p>
    <w:p w14:paraId="6EF93BA0">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（5）政府采购合同专用条款</w:t>
      </w:r>
    </w:p>
    <w:p w14:paraId="0DFC062C">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（6）政府采购合同通用条款</w:t>
      </w:r>
    </w:p>
    <w:p w14:paraId="3CC5C962">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（7）标准、规范及有关技术文件，图纸。</w:t>
      </w:r>
    </w:p>
    <w:p w14:paraId="4AFB7997">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（8）其他合同文件。</w:t>
      </w:r>
    </w:p>
    <w:p w14:paraId="558B9D79">
      <w:pPr>
        <w:adjustRightInd w:val="0"/>
        <w:snapToGrid w:val="0"/>
        <w:spacing w:before="161" w:beforeLines="50" w:line="360" w:lineRule="auto"/>
        <w:ind w:firstLine="310" w:firstLineChars="147"/>
        <w:rPr>
          <w:rFonts w:ascii="宋体" w:hAnsi="宋体"/>
          <w:b/>
          <w:szCs w:val="21"/>
        </w:rPr>
      </w:pPr>
      <w:r>
        <w:rPr>
          <w:rFonts w:hint="eastAsia" w:ascii="宋体" w:hAnsi="宋体"/>
          <w:b/>
          <w:szCs w:val="21"/>
        </w:rPr>
        <w:t>6.合同生效</w:t>
      </w:r>
    </w:p>
    <w:p w14:paraId="222E5CF9">
      <w:pPr>
        <w:adjustRightInd w:val="0"/>
        <w:snapToGrid w:val="0"/>
        <w:spacing w:before="161" w:beforeLines="50" w:line="360" w:lineRule="auto"/>
        <w:ind w:firstLine="420" w:firstLineChars="200"/>
        <w:rPr>
          <w:rFonts w:ascii="宋体" w:hAnsi="宋体"/>
          <w:szCs w:val="21"/>
        </w:rPr>
      </w:pPr>
      <w:bookmarkStart w:id="82" w:name="tip_risk_bookmark_24"/>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bookmarkEnd w:id="82"/>
    </w:p>
    <w:p w14:paraId="4987C93F">
      <w:pPr>
        <w:adjustRightInd w:val="0"/>
        <w:snapToGrid w:val="0"/>
        <w:spacing w:before="161" w:beforeLines="50" w:line="360" w:lineRule="auto"/>
        <w:ind w:firstLine="310" w:firstLineChars="147"/>
        <w:rPr>
          <w:rFonts w:ascii="宋体" w:hAnsi="宋体"/>
          <w:b/>
          <w:szCs w:val="21"/>
        </w:rPr>
      </w:pPr>
      <w:r>
        <w:rPr>
          <w:rFonts w:hint="eastAsia" w:ascii="宋体" w:hAnsi="宋体"/>
          <w:b/>
          <w:szCs w:val="21"/>
        </w:rPr>
        <w:t>7.合同份数</w:t>
      </w:r>
    </w:p>
    <w:p w14:paraId="23ACE13C">
      <w:pPr>
        <w:adjustRightInd w:val="0"/>
        <w:snapToGrid w:val="0"/>
        <w:spacing w:before="161" w:beforeLines="50" w:line="360" w:lineRule="auto"/>
        <w:ind w:firstLine="420" w:firstLineChars="200"/>
        <w:rPr>
          <w:rFonts w:ascii="宋体" w:hAnsi="宋体"/>
          <w:szCs w:val="21"/>
        </w:rPr>
      </w:pPr>
      <w:bookmarkStart w:id="83" w:name="tip_risk_bookmark_25"/>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bookmarkEnd w:id="83"/>
    </w:p>
    <w:p w14:paraId="14901256">
      <w:pPr>
        <w:adjustRightInd w:val="0"/>
        <w:snapToGrid w:val="0"/>
        <w:spacing w:before="161" w:beforeLines="50" w:line="360" w:lineRule="auto"/>
        <w:rPr>
          <w:rFonts w:ascii="宋体" w:hAnsi="宋体"/>
          <w:szCs w:val="21"/>
        </w:rPr>
      </w:pPr>
    </w:p>
    <w:p w14:paraId="3987DC79">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75A1546">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45242AB6">
      <w:pPr>
        <w:adjustRightInd w:val="0"/>
        <w:snapToGrid w:val="0"/>
        <w:spacing w:before="161" w:beforeLines="50"/>
        <w:ind w:firstLine="420" w:firstLineChars="200"/>
        <w:rPr>
          <w:rFonts w:ascii="宋体" w:hAnsi="宋体"/>
          <w:szCs w:val="21"/>
        </w:rPr>
      </w:pPr>
      <w:r>
        <w:rPr>
          <w:rFonts w:hint="eastAsia" w:ascii="宋体" w:hAnsi="宋体"/>
          <w:szCs w:val="21"/>
        </w:rPr>
        <w:t xml:space="preserve">    </w:t>
      </w:r>
    </w:p>
    <w:p w14:paraId="572470FF">
      <w:pPr>
        <w:adjustRightInd w:val="0"/>
        <w:snapToGrid w:val="0"/>
        <w:spacing w:before="161" w:beforeLines="50"/>
        <w:rPr>
          <w:rFonts w:ascii="宋体" w:hAnsi="宋体"/>
          <w:szCs w:val="21"/>
        </w:rPr>
      </w:pPr>
      <w:r>
        <w:rPr>
          <w:rFonts w:hint="eastAsia" w:ascii="宋体" w:hAnsi="宋体"/>
          <w:szCs w:val="21"/>
        </w:rPr>
        <w:t>甲      方：（公章）                     乙      方：（公章）</w:t>
      </w:r>
    </w:p>
    <w:p w14:paraId="5EB73E0E">
      <w:pPr>
        <w:adjustRightInd w:val="0"/>
        <w:snapToGrid w:val="0"/>
        <w:spacing w:before="161" w:beforeLines="50"/>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6897E887">
      <w:pPr>
        <w:adjustRightInd w:val="0"/>
        <w:snapToGrid w:val="0"/>
        <w:spacing w:before="161" w:beforeLines="50"/>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1E503D97">
      <w:pPr>
        <w:adjustRightInd w:val="0"/>
        <w:snapToGrid w:val="0"/>
        <w:spacing w:before="161" w:beforeLines="50"/>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7DD1F915">
      <w:pPr>
        <w:adjustRightInd w:val="0"/>
        <w:snapToGrid w:val="0"/>
        <w:spacing w:before="161" w:beforeLines="50"/>
        <w:rPr>
          <w:rFonts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46E32705">
      <w:pPr>
        <w:adjustRightInd w:val="0"/>
        <w:snapToGrid w:val="0"/>
        <w:spacing w:before="161" w:beforeLines="50"/>
        <w:rPr>
          <w:rFonts w:ascii="宋体" w:hAnsi="宋体"/>
          <w:szCs w:val="21"/>
        </w:rPr>
      </w:pPr>
      <w:r>
        <w:rPr>
          <w:rFonts w:hint="eastAsia" w:ascii="宋体" w:hAnsi="宋体"/>
          <w:szCs w:val="21"/>
        </w:rPr>
        <w:t>地      址：</w:t>
      </w:r>
      <w:r>
        <w:rPr>
          <w:rFonts w:hint="eastAsia" w:ascii="宋体" w:hAnsi="宋体"/>
          <w:szCs w:val="21"/>
          <w:u w:val="single"/>
        </w:rPr>
        <w:t xml:space="preserve">                   </w:t>
      </w:r>
      <w:r>
        <w:rPr>
          <w:rFonts w:hint="eastAsia" w:ascii="宋体" w:hAnsi="宋体"/>
          <w:szCs w:val="21"/>
        </w:rPr>
        <w:t xml:space="preserve">         地      址：</w:t>
      </w:r>
      <w:r>
        <w:rPr>
          <w:rFonts w:hint="eastAsia" w:ascii="宋体" w:hAnsi="宋体"/>
          <w:szCs w:val="21"/>
          <w:u w:val="single"/>
        </w:rPr>
        <w:t xml:space="preserve">                   </w:t>
      </w:r>
      <w:r>
        <w:rPr>
          <w:rFonts w:hint="eastAsia" w:ascii="宋体" w:hAnsi="宋体"/>
          <w:szCs w:val="21"/>
        </w:rPr>
        <w:t xml:space="preserve">                           </w:t>
      </w:r>
    </w:p>
    <w:p w14:paraId="0E70CBFB">
      <w:pPr>
        <w:adjustRightInd w:val="0"/>
        <w:snapToGrid w:val="0"/>
        <w:spacing w:before="161" w:beforeLines="50"/>
        <w:ind w:firstLine="4200" w:firstLineChars="2000"/>
        <w:rPr>
          <w:rFonts w:ascii="宋体" w:hAnsi="宋体"/>
          <w:szCs w:val="21"/>
        </w:rPr>
      </w:pPr>
      <w:r>
        <w:rPr>
          <w:rFonts w:hint="eastAsia" w:ascii="宋体" w:hAnsi="宋体"/>
          <w:szCs w:val="21"/>
        </w:rPr>
        <w:t>开 户 银 行：</w:t>
      </w:r>
      <w:r>
        <w:rPr>
          <w:rFonts w:hint="eastAsia" w:ascii="宋体" w:hAnsi="宋体"/>
          <w:szCs w:val="21"/>
          <w:u w:val="single"/>
        </w:rPr>
        <w:t xml:space="preserve">                   </w:t>
      </w:r>
    </w:p>
    <w:p w14:paraId="3BC2AB3B">
      <w:pPr>
        <w:adjustRightInd w:val="0"/>
        <w:snapToGrid w:val="0"/>
        <w:spacing w:before="161" w:beforeLines="50"/>
        <w:jc w:val="center"/>
        <w:rPr>
          <w:rFonts w:ascii="宋体" w:hAnsi="宋体"/>
          <w:b/>
          <w:szCs w:val="21"/>
        </w:rPr>
      </w:pPr>
      <w:r>
        <w:rPr>
          <w:rFonts w:hint="eastAsia" w:ascii="宋体" w:hAnsi="宋体"/>
          <w:szCs w:val="21"/>
        </w:rPr>
        <w:t xml:space="preserve">         账       号：</w:t>
      </w:r>
      <w:r>
        <w:rPr>
          <w:rFonts w:hint="eastAsia" w:ascii="宋体" w:hAnsi="宋体"/>
          <w:szCs w:val="21"/>
          <w:u w:val="single"/>
        </w:rPr>
        <w:t xml:space="preserve">                  </w:t>
      </w:r>
    </w:p>
    <w:p w14:paraId="01C71A76">
      <w:pPr>
        <w:pStyle w:val="3"/>
        <w:adjustRightInd w:val="0"/>
        <w:snapToGrid w:val="0"/>
        <w:spacing w:before="161" w:beforeLines="50"/>
        <w:jc w:val="center"/>
        <w:rPr>
          <w:rFonts w:ascii="黑体" w:hAnsi="黑体" w:eastAsia="黑体"/>
          <w:sz w:val="28"/>
          <w:szCs w:val="28"/>
        </w:rPr>
      </w:pPr>
      <w:r>
        <w:rPr>
          <w:rFonts w:ascii="宋体" w:hAnsi="宋体"/>
          <w:sz w:val="21"/>
          <w:szCs w:val="21"/>
          <w:u w:val="single"/>
        </w:rPr>
        <w:br w:type="page"/>
      </w:r>
      <w:bookmarkStart w:id="84" w:name="_Toc13625"/>
      <w:r>
        <w:rPr>
          <w:rFonts w:hint="eastAsia" w:ascii="黑体" w:hAnsi="黑体" w:eastAsia="黑体"/>
          <w:sz w:val="28"/>
          <w:szCs w:val="28"/>
        </w:rPr>
        <w:t>第二节 政府采购合同通用条款</w:t>
      </w:r>
      <w:bookmarkEnd w:id="84"/>
    </w:p>
    <w:p w14:paraId="67F42715">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定义</w:t>
      </w:r>
    </w:p>
    <w:p w14:paraId="30B3F20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14:paraId="7736CEA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371E1A54">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4FECE12F">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14:paraId="62359012">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60AF4850">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78A32D70">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755CA6EB">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02CE4657">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（5）“合同条款”系指本合同条款。</w:t>
      </w:r>
    </w:p>
    <w:p w14:paraId="3C39F9FE">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23AA94DC">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14:paraId="73903A1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222F9D8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合同内容根据招标文件、投标文件而确定。</w:t>
      </w:r>
    </w:p>
    <w:p w14:paraId="285B2493">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2E6C68C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3B87F2E5">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60F02B09">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7B7A88A1">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14:paraId="7BD580E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70111A9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78F122EB">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7876464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290109D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 xml:space="preserve">6.2 </w:t>
      </w:r>
      <w:bookmarkStart w:id="85" w:name="auto_fouce_26"/>
      <w:r>
        <w:rPr>
          <w:rFonts w:hint="eastAsia" w:ascii="宋体" w:hAnsi="宋体"/>
          <w:szCs w:val="21"/>
        </w:rPr>
        <w:t>货物的表面瑕疵，甲方应在到货验收时当面提出；对质量问题有异议的，甲方可在安装调试后、质量保证期内的任何时间提出异议。</w:t>
      </w:r>
      <w:bookmarkEnd w:id="85"/>
    </w:p>
    <w:p w14:paraId="52876A6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426D190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若因乙方原因导致二次验收的，相关检测费用及甲方人员误工费用由乙方承担。上述费用包括但不限于：为二次验收产生的第三方检测机构费用、现场复测费用、以及采购人因参加二次验收所实际发生的合理人工费（按甲方单位内部标准计算）和交通食宿等必要费用。乙方应在接到甲方就二次验收费用的书面结算请求后十日内予以支付或从应付货款中扣除相应金额。</w:t>
      </w:r>
    </w:p>
    <w:p w14:paraId="7FDE0AA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w:t>
      </w:r>
    </w:p>
    <w:p w14:paraId="718A0A3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54CB7EC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14:paraId="2A03210B">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14:paraId="5990477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5261A7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6EB1ECC1">
      <w:pPr>
        <w:adjustRightInd w:val="0"/>
        <w:snapToGrid w:val="0"/>
        <w:spacing w:before="50" w:line="360" w:lineRule="auto"/>
        <w:jc w:val="left"/>
        <w:rPr>
          <w:rFonts w:ascii="宋体" w:hAnsi="宋体"/>
          <w:b/>
          <w:sz w:val="24"/>
        </w:rPr>
      </w:pPr>
      <w:r>
        <w:rPr>
          <w:rFonts w:hint="eastAsia" w:ascii="宋体" w:hAnsi="宋体"/>
          <w:b/>
          <w:sz w:val="24"/>
        </w:rPr>
        <w:t>8.运输和保险</w:t>
      </w:r>
    </w:p>
    <w:p w14:paraId="0DC61E88">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15CF67BF">
      <w:pPr>
        <w:adjustRightInd w:val="0"/>
        <w:snapToGrid w:val="0"/>
        <w:spacing w:before="50" w:line="360" w:lineRule="auto"/>
        <w:ind w:firstLine="420" w:firstLineChars="200"/>
        <w:jc w:val="left"/>
        <w:rPr>
          <w:rFonts w:ascii="宋体" w:hAnsi="宋体"/>
          <w:szCs w:val="21"/>
        </w:rPr>
      </w:pPr>
      <w:r>
        <w:rPr>
          <w:rFonts w:hint="eastAsia" w:ascii="宋体" w:hAnsi="宋体"/>
          <w:szCs w:val="21"/>
        </w:rPr>
        <w:t>8.2</w:t>
      </w:r>
      <w:bookmarkStart w:id="86" w:name="auto_fouce_28"/>
      <w:r>
        <w:rPr>
          <w:rFonts w:hint="eastAsia" w:ascii="宋体" w:hAnsi="宋体"/>
          <w:szCs w:val="21"/>
        </w:rPr>
        <w:t>乙方应在货物发运前向保险公司投保以甲方为唯一受益人的发运合同货物发票金额的110％运输一切险，并将保险单副本提交甲方留存；货物运输途中发生毁损、灭失的，乙方应负责重新供货至符合合同要求，相关费用由乙方自行承担。</w:t>
      </w:r>
      <w:bookmarkEnd w:id="86"/>
    </w:p>
    <w:p w14:paraId="07DB5F63">
      <w:pPr>
        <w:adjustRightInd w:val="0"/>
        <w:snapToGrid w:val="0"/>
        <w:spacing w:before="50" w:line="360" w:lineRule="auto"/>
        <w:jc w:val="left"/>
        <w:rPr>
          <w:rFonts w:ascii="宋体" w:hAnsi="宋体"/>
          <w:b/>
          <w:sz w:val="24"/>
        </w:rPr>
      </w:pPr>
      <w:r>
        <w:rPr>
          <w:rFonts w:hint="eastAsia" w:ascii="宋体" w:hAnsi="宋体"/>
          <w:b/>
          <w:sz w:val="24"/>
        </w:rPr>
        <w:t>9.质量标准和保证</w:t>
      </w:r>
    </w:p>
    <w:p w14:paraId="0A048478">
      <w:pPr>
        <w:pStyle w:val="22"/>
        <w:adjustRightInd w:val="0"/>
        <w:snapToGrid w:val="0"/>
        <w:spacing w:before="50" w:line="360" w:lineRule="auto"/>
        <w:ind w:firstLine="420" w:firstLineChars="200"/>
        <w:jc w:val="left"/>
        <w:rPr>
          <w:rFonts w:hAnsi="宋体"/>
          <w:b/>
        </w:rPr>
      </w:pPr>
      <w:r>
        <w:rPr>
          <w:rFonts w:hint="eastAsia" w:hAnsi="宋体"/>
        </w:rPr>
        <w:t>9.1 质量标准</w:t>
      </w:r>
    </w:p>
    <w:p w14:paraId="66B227B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（1）本合同下交付的货物应符合招标文件第五章“采购需求”所述的标准。如果没有提及适用标准，则应符合中华人民共和国有关机构发布的最新版本的标准。</w:t>
      </w:r>
    </w:p>
    <w:p w14:paraId="0913ACED">
      <w:pPr>
        <w:pStyle w:val="22"/>
        <w:adjustRightInd w:val="0"/>
        <w:snapToGrid w:val="0"/>
        <w:spacing w:before="50" w:line="360" w:lineRule="auto"/>
        <w:ind w:firstLine="420" w:firstLineChars="200"/>
        <w:jc w:val="left"/>
        <w:rPr>
          <w:rFonts w:hAnsi="宋体"/>
        </w:rPr>
      </w:pPr>
      <w:r>
        <w:rPr>
          <w:rFonts w:hint="eastAsia" w:hAnsi="宋体"/>
        </w:rPr>
        <w:t>（2）采用中华人民共和国法定计量单位。</w:t>
      </w:r>
    </w:p>
    <w:p w14:paraId="76EFA13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14:paraId="676B6B5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14:paraId="23A7FEC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5BBB4B4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4A3156F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00B6D48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w:t>
      </w:r>
      <w:bookmarkStart w:id="87" w:name="auto_fouce_29"/>
      <w:r>
        <w:rPr>
          <w:rFonts w:hint="eastAsia" w:ascii="宋体" w:hAnsi="宋体"/>
          <w:szCs w:val="21"/>
        </w:rPr>
        <w:t>在质量保证期内，如果货物的质量或规格与合同不符，或证实货物是有缺陷的，包括潜在的缺陷或使用不符合要求的材料等，甲方可以根据本合同第15.1条规定以书面形式向乙方提出补救措施或索赔。质保期届满后出现重大质量问题的，乙方应继续承担维修义务且仅收取成本费用。该等“重大质量问题”是指影响设备核心部件、系统性功能或安全使用的缺陷，经甲方书面确认并由双方认可或有权威机构出具的检测报告证明。乙方继续承担维修义务的期限应不低于自质保期届满之日起12个月，乙方就该等维修仅得收取合理的材料成本及直接人工成本，但不得另行就维修收取利润、管理费或其他间接费用；材料成本及直接人工成本的计算标准以乙方官方公布的成本价清单为准，无官方清单的由双方协商确认，协商不成的以采购人询价的市场成本价为准。</w:t>
      </w:r>
      <w:bookmarkEnd w:id="87"/>
    </w:p>
    <w:p w14:paraId="28AED774">
      <w:pPr>
        <w:adjustRightInd w:val="0"/>
        <w:snapToGrid w:val="0"/>
        <w:spacing w:before="50"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5B2AD914">
      <w:pPr>
        <w:adjustRightInd w:val="0"/>
        <w:snapToGrid w:val="0"/>
        <w:spacing w:before="50" w:line="360" w:lineRule="auto"/>
        <w:jc w:val="left"/>
        <w:rPr>
          <w:rFonts w:ascii="宋体" w:hAnsi="宋体"/>
          <w:b/>
          <w:bCs/>
          <w:sz w:val="24"/>
        </w:rPr>
      </w:pPr>
      <w:r>
        <w:rPr>
          <w:rFonts w:hint="eastAsia" w:ascii="宋体" w:hAnsi="宋体"/>
          <w:b/>
          <w:bCs/>
          <w:sz w:val="24"/>
        </w:rPr>
        <w:t>10.权利瑕疵担保</w:t>
      </w:r>
    </w:p>
    <w:p w14:paraId="06A2112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14:paraId="122885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688DE26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14:paraId="19B44294">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14:paraId="167773C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51F6D0C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13AC3F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2665C25B">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14:paraId="2971F91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3B0B9DE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12.2乙方就其在履行本合同过程中知悉或获取的甲方教学计划、学生信息、考核数据及其他任何涉及甲方教学管理或可识别个人的数据等信息，负有永久保密义务（不因本合同终止或履约完成而解除）。未经甲方事先书面同意，乙方不得向任何第三方披露、转让或用于本合同以外的目的。若乙方违反上述保密义务，甲方有权解除合同，并有权要求乙方按合同总价的20%支付违约金，且该等违约金不妨碍甲方就因此遭受的全部实际损失或第三方索赔继续追究乙方的赔偿责任。</w:t>
      </w:r>
    </w:p>
    <w:p w14:paraId="68FF8D53">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14:paraId="5D6AADE0">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w:t>
      </w:r>
      <w:bookmarkStart w:id="88" w:name="auto_fouce_30"/>
      <w:r>
        <w:rPr>
          <w:rFonts w:hint="eastAsia" w:ascii="宋体" w:hAnsi="宋体"/>
          <w:szCs w:val="21"/>
        </w:rPr>
        <w:t>除预付款外，验收合格后，乙方出具正规发票给甲方，凭相关验收凭证办理对应合同价</w:t>
      </w:r>
      <w:r>
        <w:rPr>
          <w:rFonts w:hint="eastAsia" w:ascii="宋体" w:hAnsi="宋体"/>
          <w:bCs/>
          <w:szCs w:val="21"/>
        </w:rPr>
        <w:t>款</w:t>
      </w:r>
      <w:r>
        <w:rPr>
          <w:rFonts w:hint="eastAsia" w:ascii="宋体" w:hAnsi="宋体"/>
          <w:szCs w:val="21"/>
        </w:rPr>
        <w:t>结算手续。</w:t>
      </w:r>
      <w:bookmarkEnd w:id="88"/>
    </w:p>
    <w:p w14:paraId="2EFBE20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w:t>
      </w:r>
      <w:bookmarkStart w:id="89" w:name="_Hlk159253476"/>
      <w:r>
        <w:rPr>
          <w:rFonts w:hint="eastAsia" w:ascii="宋体" w:hAnsi="宋体"/>
          <w:szCs w:val="21"/>
        </w:rPr>
        <w:t>并收到乙方开具的等额增值税发票</w:t>
      </w:r>
      <w:bookmarkEnd w:id="89"/>
      <w:r>
        <w:rPr>
          <w:rFonts w:hint="eastAsia" w:ascii="宋体" w:hAnsi="宋体"/>
          <w:szCs w:val="21"/>
        </w:rPr>
        <w:t>后向国库管理部门申请支付，经国库管理部门审核后支付给乙方。</w:t>
      </w:r>
    </w:p>
    <w:p w14:paraId="493C2206">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合同价款构成中应当由甲方自行支付的部分，甲方应当在货物验收合格并收到乙方开具的等额增值税发票后支付。</w:t>
      </w:r>
    </w:p>
    <w:p w14:paraId="7E4DFD5B">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422BB13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3765CE14">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2CAE4A8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 xml:space="preserve">14.1 </w:t>
      </w:r>
      <w:bookmarkStart w:id="90" w:name="auto_fouce_31"/>
      <w:r>
        <w:rPr>
          <w:rFonts w:hint="eastAsia" w:ascii="宋体" w:hAnsi="宋体"/>
          <w:szCs w:val="21"/>
        </w:rPr>
        <w:t>乙方应向甲方提交所提供货物的技术文件，包括相应的中文技术文件，如：产品目录、图纸、操作手册、使用说明、维护手册或服务指南。这些文件应包装好随同货物一起发运。乙方应在申请项目最终验收之日前至少15日向甲方提交全套技术资料（含三维模型、装配图纸、维修手册电子版及其他与设备安装、调试、运行、维护有关的全部电子版和纸质版技术资料），且电子版资料需符合甲方指定的文件格式要求。甲方对资料的完整性、规范性提出异议的，乙方应在3个工作日内补充完善，否则甲方有权拒绝启动验收程序。乙方未按上述时限提交上述全套技术资料的，除承担由此给甲方造成的损失外，视为交付迟延，甲方有权按合同约定追究相应违约责任。</w:t>
      </w:r>
      <w:bookmarkEnd w:id="90"/>
    </w:p>
    <w:p w14:paraId="3EEF5E9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 乙方还应提供下列服务：</w:t>
      </w:r>
    </w:p>
    <w:p w14:paraId="6F6948E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19E9347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7031DFA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7F5496A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6A18059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6C0B3B5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14:paraId="4B8A5E94">
      <w:pPr>
        <w:adjustRightInd w:val="0"/>
        <w:snapToGrid w:val="0"/>
        <w:spacing w:before="50" w:line="360" w:lineRule="auto"/>
        <w:jc w:val="left"/>
        <w:rPr>
          <w:rFonts w:ascii="宋体" w:hAnsi="宋体"/>
          <w:b/>
          <w:bCs/>
          <w:sz w:val="24"/>
        </w:rPr>
      </w:pPr>
      <w:r>
        <w:rPr>
          <w:rFonts w:hint="eastAsia" w:ascii="宋体" w:hAnsi="宋体"/>
          <w:b/>
          <w:bCs/>
          <w:sz w:val="24"/>
        </w:rPr>
        <w:t>15.违约责任</w:t>
      </w:r>
    </w:p>
    <w:p w14:paraId="0274EC22">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279E00E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乙方应按照甲方同意的下列一种或几种方式结合起来解决索赔事宜：</w:t>
      </w:r>
    </w:p>
    <w:p w14:paraId="4964E81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①乙方退货并将货款退还给甲方，由此发生的一切费用和损失由乙方承担。</w:t>
      </w:r>
    </w:p>
    <w:p w14:paraId="71F89B0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1E52DD1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55F7BF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w:t>
      </w:r>
      <w:bookmarkStart w:id="91" w:name="auto_fouce_32"/>
      <w:r>
        <w:rPr>
          <w:rFonts w:hint="eastAsia" w:ascii="宋体" w:hAnsi="宋体"/>
          <w:szCs w:val="21"/>
        </w:rPr>
        <w:t>如果在甲方发出索赔通知后五日内乙方未作答复，上述索赔应视为已被乙方接受。如果乙方未能在甲方发出索赔通知后五日内或甲方同意延长的期限内，按照上述规定的任何一种方法采取补救措施，甲方有权从应付货款中扣除索赔金额或者没收质量保证金，如不足以弥补甲方损失的，甲方仍有权要求乙方赔偿全部损失。乙方应赔偿甲方因此遭受的全部损失（包括但不限于设备重置费用、停工损失、第三方索赔及为实现权利而发生的合理费用）。若发生重大质量事故，甲方有权立即采取包括先行使用质量保证金在内的应急处置措施，并有权要求乙方承担全部应急处置费用及相关损失；该等扣划与使用不影响甲方依据本合同或法律向乙方追偿其他赔偿责任。甲方行使扣划或赔偿权利的，同时保留追究乙方其他违约责任的权利。</w:t>
      </w:r>
      <w:bookmarkEnd w:id="91"/>
    </w:p>
    <w:p w14:paraId="17E8890A">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14:paraId="4A6A472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224CE9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w:t>
      </w:r>
      <w:bookmarkStart w:id="92" w:name="auto_fouce_33"/>
      <w:r>
        <w:rPr>
          <w:rFonts w:hint="eastAsia" w:ascii="宋体" w:hAnsi="宋体"/>
          <w:szCs w:val="21"/>
        </w:rPr>
        <w:t>除本合同</w:t>
      </w:r>
      <w:r>
        <w:rPr>
          <w:rFonts w:hint="eastAsia" w:ascii="宋体" w:hAnsi="宋体"/>
          <w:bCs/>
          <w:szCs w:val="21"/>
        </w:rPr>
        <w:t>第19条</w:t>
      </w:r>
      <w:r>
        <w:rPr>
          <w:rFonts w:hint="eastAsia" w:ascii="宋体" w:hAnsi="宋体"/>
          <w:szCs w:val="21"/>
        </w:rPr>
        <w:t>规定情况外，如果乙方没有按照合同规定的时间交货和提供服务，甲方有权单方从应付货款中直接扣除误期违约金及因此给甲方造成的损失费用而不影响合同项下的其他补救方法，违约金按每日计收，按应交货物的交货价或延期服务的服务费用的百分之零点一（0.1%）计算。若乙方逾期交货或提供服务超过30天的，或者累计误期违约金及因此给甲方造成的损失费用达到合同总价的百分之十五（15%)时，甲方有权解除</w:t>
      </w:r>
      <w:bookmarkEnd w:id="92"/>
      <w:r>
        <w:rPr>
          <w:rFonts w:hint="eastAsia" w:ascii="宋体" w:hAnsi="宋体"/>
          <w:szCs w:val="21"/>
        </w:rPr>
        <w:t>全部或部分合同，并依其认为适当的条件和方法购买与未交货物或未提供服务类似的货物或服务，乙方应对购买类似货物或服务所超出的那部分费用负责。且乙方应继续执行合同中未终止的部分。甲方行使解除权的，不影响甲方依据本合同有关约定再追究乙方其他违约责任，包括但不限于要求支付误期违约金及赔偿损失等。</w:t>
      </w:r>
    </w:p>
    <w:p w14:paraId="69444DE3">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14:paraId="6E923C3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09C64F3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 xml:space="preserve">16.2 </w:t>
      </w:r>
      <w:bookmarkStart w:id="93" w:name="auto_fouce_34"/>
      <w:r>
        <w:rPr>
          <w:rFonts w:hint="eastAsia" w:ascii="宋体" w:hAnsi="宋体"/>
          <w:szCs w:val="21"/>
        </w:rPr>
        <w:t>在不改变合同其他条款的前提下，甲方有权在合同价款百分之十的范围内追加与合同标的相同的货物或服务，并就此与乙方签订补充合同，乙方不得拒绝。追加部分货物的单价应参照本合同已有相同货物的单价执行；若无相同货物，则由双方参照市场价格另行协商确定。</w:t>
      </w:r>
      <w:bookmarkEnd w:id="93"/>
    </w:p>
    <w:p w14:paraId="37991DF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1CECD19D">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14:paraId="7271F62B">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14:paraId="4947C80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3340B60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33937CD3">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14:paraId="6E8A55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14:paraId="1435DF0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乙方提供的设备与投标文件所述技术参数存在实质性偏离的，甲方有权解除合同，并要求乙方按合同价的30%支付惩罚性违约金并赔偿损失；该等惩罚性违约金并不影响甲方针对因此遭受的实际损失另行索赔的权利。</w:t>
      </w:r>
    </w:p>
    <w:p w14:paraId="137BE7F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54D36F5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3BAC509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6FCDEC5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w:t>
      </w:r>
      <w:bookmarkStart w:id="94" w:name="auto_fouce_35"/>
      <w:r>
        <w:rPr>
          <w:rFonts w:hint="eastAsia" w:ascii="宋体" w:hAnsi="宋体"/>
          <w:szCs w:val="21"/>
        </w:rPr>
        <w:t>甲方发现乙方提供虚假检测报告、设备核心参数造假等根本违约情形时，有权单方终止合同并没收全部履约保证金。本条所称“根本违约情形”包括但不限于：提供虚假的出厂检测报告或校验数据、对设备关键性能指标存在虚假陈述或伪造证明材料、隐瞒设备存在的重大缺陷、以任何方式篡改验收或检测试验记录，或未按合同要求提交全套技术资料、售后服务承诺函等文件，经甲方书面催告后5个工作日内仍未提交的。乙方在被认定存在上述情形的，还应对甲方因此产生的全部损失承担赔偿责任，并不得以其他合同条款或抗辩减轻责任。</w:t>
      </w:r>
      <w:bookmarkEnd w:id="94"/>
    </w:p>
    <w:p w14:paraId="12A0EE3D">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14:paraId="5C5D959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6C86B91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27161C1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14:paraId="432CC85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60EB21C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74F4964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乙方迟延履行后发生不可抗力的，不得免责，且应在事发后24小时内提交由具有法定资质或双方事先认可的权威机构出具的证明材料（含事件认定、起止时间、影响范围及相关证明），否则不得主张不可抗力免责。同时，提出不可抗力主张的一方应积极采取合理措施以减轻损失并及时向对方报告救济措施进展。</w:t>
      </w:r>
    </w:p>
    <w:p w14:paraId="4A45EE8A">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14:paraId="68DF179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协商不能解决，双方同意向甲方所在地有管辖权的人民法院提起诉讼解决。乙方违约，应承担甲方支出的诉讼费、保全费、诉讼保全担保费、律师费、差旅费等实现债权的费用。</w:t>
      </w:r>
    </w:p>
    <w:p w14:paraId="3E9F888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如诉讼事项不影响合同其它部分的履行，则在诉讼期间，除正在进行诉讼的部分外，合同的其它部分应继续执行。</w:t>
      </w:r>
    </w:p>
    <w:p w14:paraId="62BC7F41">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14:paraId="772FBAF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6298AC41">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14:paraId="08B46A2A">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w:t>
      </w:r>
      <w:bookmarkStart w:id="95" w:name="_Hlk159253608"/>
      <w:r>
        <w:rPr>
          <w:rFonts w:hint="eastAsia" w:ascii="宋体" w:hAnsi="宋体"/>
          <w:szCs w:val="21"/>
        </w:rPr>
        <w:t>以及各方的文件往来及与司法机关的司法诉讼文书等</w:t>
      </w:r>
      <w:bookmarkEnd w:id="95"/>
      <w:r>
        <w:rPr>
          <w:rFonts w:hint="eastAsia" w:ascii="宋体" w:hAnsi="宋体"/>
          <w:szCs w:val="21"/>
        </w:rPr>
        <w:t>均应采用书面形式，</w:t>
      </w:r>
      <w:bookmarkStart w:id="96" w:name="_Hlk159253624"/>
      <w:r>
        <w:rPr>
          <w:rFonts w:hint="eastAsia" w:ascii="宋体" w:hAnsi="宋体"/>
          <w:szCs w:val="21"/>
        </w:rPr>
        <w:t>通知文件</w:t>
      </w:r>
      <w:bookmarkEnd w:id="96"/>
      <w:r>
        <w:rPr>
          <w:rFonts w:hint="eastAsia" w:ascii="宋体" w:hAnsi="宋体"/>
          <w:szCs w:val="21"/>
        </w:rPr>
        <w:t>送到本合同中列明的对方的地址</w:t>
      </w:r>
      <w:bookmarkStart w:id="97" w:name="_Hlk159253639"/>
      <w:r>
        <w:rPr>
          <w:rFonts w:hint="eastAsia" w:ascii="宋体" w:hAnsi="宋体"/>
          <w:szCs w:val="21"/>
        </w:rPr>
        <w:t>或联系方式上</w:t>
      </w:r>
      <w:bookmarkEnd w:id="97"/>
      <w:r>
        <w:rPr>
          <w:rFonts w:hint="eastAsia" w:ascii="宋体" w:hAnsi="宋体"/>
          <w:szCs w:val="21"/>
        </w:rPr>
        <w:t>视为送达。</w:t>
      </w:r>
      <w:bookmarkStart w:id="98" w:name="_Hlk159253652"/>
      <w:r>
        <w:rPr>
          <w:rFonts w:hint="eastAsia" w:ascii="宋体" w:hAnsi="宋体"/>
          <w:szCs w:val="21"/>
        </w:rPr>
        <w:t>联系方式发生变更的，应在变更之日起3个工作日内书面通知另一方。</w:t>
      </w:r>
    </w:p>
    <w:bookmarkEnd w:id="98"/>
    <w:p w14:paraId="32BCB26E">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54A0C47F">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14:paraId="2ED033DA">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5F9DF784">
      <w:pPr>
        <w:adjustRightInd w:val="0"/>
        <w:snapToGrid w:val="0"/>
        <w:spacing w:before="50" w:line="360" w:lineRule="auto"/>
        <w:jc w:val="left"/>
        <w:rPr>
          <w:rFonts w:ascii="宋体" w:hAnsi="宋体"/>
          <w:b/>
          <w:bCs/>
          <w:sz w:val="24"/>
        </w:rPr>
      </w:pPr>
      <w:r>
        <w:rPr>
          <w:rFonts w:hint="eastAsia" w:ascii="宋体" w:hAnsi="宋体"/>
          <w:b/>
          <w:bCs/>
          <w:sz w:val="24"/>
        </w:rPr>
        <w:t>24.合同生效</w:t>
      </w:r>
    </w:p>
    <w:p w14:paraId="67E434F5">
      <w:r>
        <w:rPr>
          <w:rFonts w:hint="eastAsia" w:ascii="宋体" w:hAnsi="宋体"/>
          <w:szCs w:val="21"/>
        </w:rPr>
        <w:t xml:space="preserve">24.1 </w:t>
      </w:r>
      <w:bookmarkStart w:id="99" w:name="auto_fouce_38"/>
      <w:r>
        <w:rPr>
          <w:rFonts w:hint="eastAsia" w:ascii="宋体" w:hAnsi="宋体"/>
          <w:szCs w:val="21"/>
        </w:rPr>
        <w:t>本合同自双方法定代表人或委托代理人签字并加盖单位公章（或合同专用章）之日起生效。</w:t>
      </w:r>
      <w:bookmarkEnd w:id="99"/>
    </w:p>
    <w:p w14:paraId="575C5811">
      <w:pPr>
        <w:autoSpaceDE w:val="0"/>
        <w:autoSpaceDN w:val="0"/>
        <w:adjustRightInd w:val="0"/>
        <w:snapToGrid w:val="0"/>
        <w:spacing w:before="50" w:line="360" w:lineRule="auto"/>
        <w:ind w:firstLine="420" w:firstLineChars="200"/>
        <w:jc w:val="left"/>
        <w:rPr>
          <w:rFonts w:ascii="宋体" w:hAnsi="宋体" w:cs="宋体"/>
          <w:b/>
          <w:bCs/>
          <w:sz w:val="32"/>
        </w:rPr>
      </w:pPr>
      <w:r>
        <w:rPr>
          <w:rFonts w:hint="eastAsia" w:ascii="宋体" w:hAnsi="宋体" w:cs="宋体"/>
          <w:szCs w:val="21"/>
          <w:u w:val="single"/>
        </w:rPr>
        <w:br w:type="page"/>
      </w:r>
    </w:p>
    <w:p w14:paraId="6BA9D921">
      <w:pPr>
        <w:autoSpaceDE w:val="0"/>
        <w:autoSpaceDN w:val="0"/>
        <w:adjustRightInd w:val="0"/>
        <w:snapToGrid w:val="0"/>
        <w:spacing w:before="50" w:line="360" w:lineRule="auto"/>
        <w:ind w:firstLine="643" w:firstLineChars="200"/>
        <w:jc w:val="left"/>
        <w:rPr>
          <w:rFonts w:ascii="宋体" w:hAnsi="宋体" w:cs="宋体"/>
          <w:b/>
          <w:bCs/>
          <w:sz w:val="32"/>
        </w:rPr>
      </w:pPr>
    </w:p>
    <w:p w14:paraId="2825FFC3">
      <w:pPr>
        <w:pStyle w:val="3"/>
        <w:adjustRightInd w:val="0"/>
        <w:snapToGrid w:val="0"/>
        <w:jc w:val="center"/>
        <w:rPr>
          <w:rFonts w:ascii="宋体" w:hAnsi="宋体" w:cs="宋体"/>
          <w:sz w:val="28"/>
          <w:szCs w:val="28"/>
        </w:rPr>
      </w:pPr>
      <w:bookmarkStart w:id="100" w:name="_Toc27095"/>
      <w:r>
        <w:rPr>
          <w:rFonts w:hint="eastAsia" w:ascii="宋体" w:hAnsi="宋体" w:cs="宋体"/>
          <w:sz w:val="28"/>
          <w:szCs w:val="28"/>
        </w:rPr>
        <w:t>第三节 政府采购合同专用条款</w:t>
      </w:r>
      <w:bookmarkEnd w:id="100"/>
    </w:p>
    <w:p w14:paraId="418A75A3">
      <w:pPr>
        <w:adjustRightInd w:val="0"/>
        <w:snapToGrid w:val="0"/>
        <w:spacing w:line="360" w:lineRule="auto"/>
        <w:ind w:right="31" w:rightChars="15" w:firstLine="420" w:firstLineChars="200"/>
        <w:rPr>
          <w:rFonts w:ascii="宋体" w:hAnsi="宋体" w:cs="宋体"/>
          <w:iCs/>
          <w:szCs w:val="21"/>
        </w:rPr>
      </w:pPr>
      <w:r>
        <w:rPr>
          <w:rFonts w:hint="eastAsia" w:ascii="宋体" w:hAnsi="宋体" w:cs="宋体"/>
          <w:iCs/>
          <w:szCs w:val="21"/>
        </w:rPr>
        <w:t>注：本项目启用的条款在“编列内容规定”栏内以“■”标注。</w:t>
      </w:r>
    </w:p>
    <w:tbl>
      <w:tblPr>
        <w:tblStyle w:val="43"/>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6462F8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6B57F41">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443BA456">
            <w:pPr>
              <w:adjustRightInd w:val="0"/>
              <w:snapToGrid w:val="0"/>
              <w:spacing w:line="360" w:lineRule="auto"/>
              <w:jc w:val="center"/>
              <w:rPr>
                <w:rFonts w:ascii="宋体" w:hAnsi="宋体" w:cs="宋体"/>
                <w:szCs w:val="21"/>
              </w:rPr>
            </w:pPr>
            <w:r>
              <w:rPr>
                <w:rFonts w:hint="eastAsia" w:ascii="宋体" w:hAnsi="宋体" w:cs="宋体"/>
                <w:szCs w:val="21"/>
              </w:rPr>
              <w:t>第1.1款</w:t>
            </w:r>
          </w:p>
        </w:tc>
        <w:tc>
          <w:tcPr>
            <w:tcW w:w="1843" w:type="dxa"/>
            <w:vAlign w:val="center"/>
          </w:tcPr>
          <w:p w14:paraId="32801DFD">
            <w:pPr>
              <w:adjustRightInd w:val="0"/>
              <w:snapToGrid w:val="0"/>
              <w:spacing w:line="360" w:lineRule="auto"/>
              <w:jc w:val="left"/>
              <w:rPr>
                <w:rFonts w:ascii="宋体" w:hAnsi="宋体" w:cs="宋体"/>
                <w:szCs w:val="21"/>
              </w:rPr>
            </w:pPr>
            <w:r>
              <w:rPr>
                <w:rFonts w:hint="eastAsia" w:ascii="宋体" w:hAnsi="宋体" w:cs="宋体"/>
                <w:szCs w:val="21"/>
              </w:rPr>
              <w:t xml:space="preserve">甲方名称、地址 </w:t>
            </w:r>
          </w:p>
        </w:tc>
        <w:tc>
          <w:tcPr>
            <w:tcW w:w="5464" w:type="dxa"/>
            <w:vAlign w:val="center"/>
          </w:tcPr>
          <w:p w14:paraId="4D7218AB">
            <w:pPr>
              <w:spacing w:line="360" w:lineRule="auto"/>
              <w:rPr>
                <w:rFonts w:ascii="宋体" w:hAnsi="宋体" w:cs="宋体"/>
              </w:rPr>
            </w:pPr>
            <w:r>
              <w:rPr>
                <w:rFonts w:hint="eastAsia" w:ascii="宋体" w:hAnsi="宋体" w:cs="宋体"/>
              </w:rPr>
              <w:t>甲方名称：</w:t>
            </w:r>
            <w:r>
              <w:rPr>
                <w:rFonts w:hint="eastAsia" w:ascii="宋体" w:hAnsi="宋体" w:cs="宋体"/>
                <w:szCs w:val="21"/>
              </w:rPr>
              <w:t>株洲市第八中学</w:t>
            </w:r>
            <w:r>
              <w:rPr>
                <w:rFonts w:hint="eastAsia" w:ascii="宋体" w:hAnsi="宋体" w:cs="宋体"/>
              </w:rPr>
              <w:t>；</w:t>
            </w:r>
          </w:p>
          <w:p w14:paraId="31AEB508">
            <w:pPr>
              <w:spacing w:line="360" w:lineRule="auto"/>
              <w:rPr>
                <w:rFonts w:ascii="宋体" w:hAnsi="宋体" w:cs="宋体"/>
                <w:szCs w:val="21"/>
              </w:rPr>
            </w:pPr>
            <w:r>
              <w:rPr>
                <w:rFonts w:hint="eastAsia" w:ascii="宋体" w:hAnsi="宋体" w:cs="宋体"/>
              </w:rPr>
              <w:t>地</w:t>
            </w:r>
            <w:r>
              <w:rPr>
                <w:rFonts w:hint="eastAsia" w:ascii="宋体" w:hAnsi="宋体" w:cs="宋体"/>
              </w:rPr>
              <w:tab/>
            </w:r>
            <w:r>
              <w:rPr>
                <w:rFonts w:hint="eastAsia" w:ascii="宋体" w:hAnsi="宋体" w:cs="宋体"/>
              </w:rPr>
              <w:t xml:space="preserve">  址：</w:t>
            </w:r>
            <w:r>
              <w:rPr>
                <w:rFonts w:hint="eastAsia" w:ascii="宋体" w:hAnsi="宋体" w:cs="宋体"/>
                <w:szCs w:val="21"/>
              </w:rPr>
              <w:t>湖南省株洲市芦淞区贺嘉路258号</w:t>
            </w:r>
          </w:p>
        </w:tc>
      </w:tr>
      <w:tr w14:paraId="02DDAF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DB2D18E">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37D1BCFE">
            <w:pPr>
              <w:adjustRightInd w:val="0"/>
              <w:snapToGrid w:val="0"/>
              <w:spacing w:line="360" w:lineRule="auto"/>
              <w:jc w:val="center"/>
              <w:rPr>
                <w:rFonts w:ascii="宋体" w:hAnsi="宋体" w:cs="宋体"/>
                <w:szCs w:val="21"/>
              </w:rPr>
            </w:pPr>
            <w:r>
              <w:rPr>
                <w:rFonts w:hint="eastAsia" w:ascii="宋体" w:hAnsi="宋体" w:cs="宋体"/>
                <w:szCs w:val="21"/>
              </w:rPr>
              <w:t>第1.2（6）项</w:t>
            </w:r>
          </w:p>
        </w:tc>
        <w:tc>
          <w:tcPr>
            <w:tcW w:w="1843" w:type="dxa"/>
            <w:vAlign w:val="center"/>
          </w:tcPr>
          <w:p w14:paraId="0EE0D795">
            <w:pPr>
              <w:adjustRightInd w:val="0"/>
              <w:snapToGrid w:val="0"/>
              <w:spacing w:line="360" w:lineRule="auto"/>
              <w:jc w:val="left"/>
              <w:rPr>
                <w:rFonts w:ascii="宋体" w:hAnsi="宋体" w:cs="宋体"/>
                <w:szCs w:val="21"/>
              </w:rPr>
            </w:pPr>
            <w:r>
              <w:rPr>
                <w:rFonts w:hint="eastAsia" w:ascii="宋体" w:hAnsi="宋体" w:cs="宋体"/>
                <w:szCs w:val="21"/>
              </w:rPr>
              <w:t>项目现场</w:t>
            </w:r>
          </w:p>
        </w:tc>
        <w:tc>
          <w:tcPr>
            <w:tcW w:w="5464" w:type="dxa"/>
            <w:vAlign w:val="center"/>
          </w:tcPr>
          <w:p w14:paraId="27BA2656">
            <w:pPr>
              <w:spacing w:line="360" w:lineRule="auto"/>
              <w:rPr>
                <w:rFonts w:ascii="宋体" w:hAnsi="宋体" w:cs="宋体"/>
                <w:szCs w:val="21"/>
              </w:rPr>
            </w:pPr>
            <w:r>
              <w:rPr>
                <w:rFonts w:hint="eastAsia" w:ascii="宋体" w:hAnsi="宋体" w:cs="宋体"/>
                <w:szCs w:val="21"/>
              </w:rPr>
              <w:t>采购人指定</w:t>
            </w:r>
          </w:p>
        </w:tc>
      </w:tr>
      <w:tr w14:paraId="23FE0E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D2E8B33">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63FD9D88">
            <w:pPr>
              <w:adjustRightInd w:val="0"/>
              <w:snapToGrid w:val="0"/>
              <w:spacing w:line="360" w:lineRule="auto"/>
              <w:jc w:val="center"/>
              <w:rPr>
                <w:rFonts w:ascii="宋体" w:hAnsi="宋体" w:cs="宋体"/>
                <w:szCs w:val="21"/>
              </w:rPr>
            </w:pPr>
            <w:r>
              <w:rPr>
                <w:rFonts w:hint="eastAsia" w:ascii="宋体" w:hAnsi="宋体" w:cs="宋体"/>
                <w:szCs w:val="21"/>
              </w:rPr>
              <w:t>第5.1款</w:t>
            </w:r>
          </w:p>
        </w:tc>
        <w:tc>
          <w:tcPr>
            <w:tcW w:w="1843" w:type="dxa"/>
            <w:vAlign w:val="center"/>
          </w:tcPr>
          <w:p w14:paraId="44DBA665">
            <w:pPr>
              <w:adjustRightInd w:val="0"/>
              <w:snapToGrid w:val="0"/>
              <w:spacing w:line="360" w:lineRule="auto"/>
              <w:jc w:val="left"/>
              <w:rPr>
                <w:rFonts w:ascii="宋体" w:hAnsi="宋体" w:cs="宋体"/>
                <w:szCs w:val="21"/>
              </w:rPr>
            </w:pPr>
            <w:r>
              <w:rPr>
                <w:rFonts w:hint="eastAsia" w:ascii="宋体" w:hAnsi="宋体" w:cs="宋体"/>
                <w:szCs w:val="21"/>
              </w:rPr>
              <w:t>履行合同的时间、地点及方式</w:t>
            </w:r>
          </w:p>
        </w:tc>
        <w:tc>
          <w:tcPr>
            <w:tcW w:w="5464" w:type="dxa"/>
            <w:vAlign w:val="center"/>
          </w:tcPr>
          <w:p w14:paraId="42F9A2AC">
            <w:pPr>
              <w:spacing w:line="360" w:lineRule="auto"/>
              <w:rPr>
                <w:rFonts w:ascii="宋体" w:hAnsi="宋体" w:cs="宋体"/>
              </w:rPr>
            </w:pPr>
            <w:r>
              <w:rPr>
                <w:rFonts w:hint="eastAsia" w:ascii="宋体" w:hAnsi="宋体" w:cs="宋体"/>
              </w:rPr>
              <w:t>交货时间：</w:t>
            </w:r>
            <w:r>
              <w:rPr>
                <w:rFonts w:hint="eastAsia" w:ascii="宋体" w:hAnsi="宋体" w:cs="宋体"/>
                <w:u w:val="single"/>
              </w:rPr>
              <w:t>按第五章采购需求要求；</w:t>
            </w:r>
          </w:p>
          <w:p w14:paraId="7F097CA9">
            <w:pPr>
              <w:spacing w:line="360" w:lineRule="auto"/>
              <w:rPr>
                <w:rFonts w:ascii="宋体" w:hAnsi="宋体" w:cs="宋体"/>
              </w:rPr>
            </w:pPr>
            <w:r>
              <w:rPr>
                <w:rFonts w:hint="eastAsia" w:ascii="宋体" w:hAnsi="宋体" w:cs="宋体"/>
              </w:rPr>
              <w:t>交货地点：</w:t>
            </w:r>
            <w:r>
              <w:rPr>
                <w:rFonts w:hint="eastAsia" w:ascii="宋体" w:hAnsi="宋体" w:cs="宋体"/>
                <w:u w:val="single"/>
              </w:rPr>
              <w:t>采购人指定的交付地点</w:t>
            </w:r>
            <w:r>
              <w:rPr>
                <w:rFonts w:hint="eastAsia" w:ascii="宋体" w:hAnsi="宋体" w:cs="宋体"/>
              </w:rPr>
              <w:t>；</w:t>
            </w:r>
          </w:p>
          <w:p w14:paraId="09943E00">
            <w:pPr>
              <w:spacing w:line="360" w:lineRule="auto"/>
              <w:rPr>
                <w:rFonts w:ascii="宋体" w:hAnsi="宋体" w:cs="宋体"/>
                <w:szCs w:val="21"/>
              </w:rPr>
            </w:pPr>
            <w:r>
              <w:rPr>
                <w:rFonts w:hint="eastAsia" w:ascii="宋体" w:hAnsi="宋体" w:cs="宋体"/>
              </w:rPr>
              <w:t>交货方式：</w:t>
            </w:r>
            <w:r>
              <w:rPr>
                <w:rFonts w:hint="eastAsia" w:ascii="宋体" w:hAnsi="宋体" w:cs="宋体"/>
                <w:u w:val="single"/>
              </w:rPr>
              <w:t>现场交付</w:t>
            </w:r>
            <w:r>
              <w:rPr>
                <w:rFonts w:hint="eastAsia" w:ascii="宋体" w:hAnsi="宋体" w:cs="宋体"/>
              </w:rPr>
              <w:t>。</w:t>
            </w:r>
          </w:p>
        </w:tc>
      </w:tr>
      <w:tr w14:paraId="7ADF80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42A9D4A">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764D7041">
            <w:pPr>
              <w:adjustRightInd w:val="0"/>
              <w:snapToGrid w:val="0"/>
              <w:spacing w:line="360" w:lineRule="auto"/>
              <w:jc w:val="center"/>
              <w:rPr>
                <w:rFonts w:ascii="宋体" w:hAnsi="宋体" w:cs="宋体"/>
                <w:szCs w:val="21"/>
              </w:rPr>
            </w:pPr>
            <w:r>
              <w:rPr>
                <w:rFonts w:hint="eastAsia" w:ascii="宋体" w:hAnsi="宋体" w:cs="宋体"/>
                <w:szCs w:val="21"/>
              </w:rPr>
              <w:t>第9.2（1）项</w:t>
            </w:r>
          </w:p>
        </w:tc>
        <w:tc>
          <w:tcPr>
            <w:tcW w:w="1843" w:type="dxa"/>
            <w:vAlign w:val="center"/>
          </w:tcPr>
          <w:p w14:paraId="0174A646">
            <w:pPr>
              <w:adjustRightInd w:val="0"/>
              <w:snapToGrid w:val="0"/>
              <w:spacing w:line="360" w:lineRule="auto"/>
              <w:jc w:val="left"/>
              <w:rPr>
                <w:rFonts w:ascii="宋体" w:hAnsi="宋体" w:cs="宋体"/>
                <w:szCs w:val="21"/>
              </w:rPr>
            </w:pPr>
            <w:r>
              <w:rPr>
                <w:rFonts w:hint="eastAsia" w:ascii="宋体" w:hAnsi="宋体" w:cs="宋体"/>
                <w:szCs w:val="21"/>
              </w:rPr>
              <w:t>质量保证期</w:t>
            </w:r>
          </w:p>
        </w:tc>
        <w:tc>
          <w:tcPr>
            <w:tcW w:w="5464" w:type="dxa"/>
            <w:vAlign w:val="center"/>
          </w:tcPr>
          <w:p w14:paraId="7788A5A2">
            <w:pPr>
              <w:spacing w:line="360" w:lineRule="auto"/>
              <w:rPr>
                <w:rFonts w:ascii="宋体" w:hAnsi="宋体" w:cs="宋体"/>
                <w:szCs w:val="21"/>
              </w:rPr>
            </w:pPr>
            <w:r>
              <w:rPr>
                <w:rFonts w:hint="eastAsia" w:ascii="宋体" w:hAnsi="宋体" w:cs="宋体"/>
                <w:u w:val="single"/>
              </w:rPr>
              <w:t>按第五章采购需求要求；</w:t>
            </w:r>
          </w:p>
        </w:tc>
      </w:tr>
      <w:tr w14:paraId="588A5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F87733D">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7227D11B">
            <w:pPr>
              <w:adjustRightInd w:val="0"/>
              <w:snapToGrid w:val="0"/>
              <w:spacing w:line="360" w:lineRule="auto"/>
              <w:jc w:val="center"/>
              <w:rPr>
                <w:rFonts w:ascii="宋体" w:hAnsi="宋体" w:cs="宋体"/>
                <w:szCs w:val="21"/>
              </w:rPr>
            </w:pPr>
            <w:r>
              <w:rPr>
                <w:rFonts w:hint="eastAsia" w:ascii="宋体" w:hAnsi="宋体" w:cs="宋体"/>
                <w:szCs w:val="21"/>
              </w:rPr>
              <w:t>第9.2（3）项</w:t>
            </w:r>
          </w:p>
        </w:tc>
        <w:tc>
          <w:tcPr>
            <w:tcW w:w="1843" w:type="dxa"/>
            <w:vAlign w:val="center"/>
          </w:tcPr>
          <w:p w14:paraId="52826ED3">
            <w:pPr>
              <w:adjustRightInd w:val="0"/>
              <w:snapToGrid w:val="0"/>
              <w:spacing w:line="360" w:lineRule="auto"/>
              <w:jc w:val="left"/>
              <w:rPr>
                <w:rFonts w:ascii="宋体" w:hAnsi="宋体" w:cs="宋体"/>
                <w:szCs w:val="21"/>
              </w:rPr>
            </w:pPr>
            <w:r>
              <w:rPr>
                <w:rFonts w:hint="eastAsia" w:ascii="宋体" w:hAnsi="宋体" w:cs="宋体"/>
                <w:szCs w:val="21"/>
              </w:rPr>
              <w:t>响应时间</w:t>
            </w:r>
          </w:p>
        </w:tc>
        <w:tc>
          <w:tcPr>
            <w:tcW w:w="5464" w:type="dxa"/>
            <w:vAlign w:val="center"/>
          </w:tcPr>
          <w:p w14:paraId="68CC6E25">
            <w:pPr>
              <w:spacing w:line="360" w:lineRule="auto"/>
              <w:rPr>
                <w:rFonts w:ascii="宋体" w:hAnsi="宋体" w:cs="宋体"/>
                <w:b/>
                <w:bCs/>
                <w:szCs w:val="21"/>
              </w:rPr>
            </w:pPr>
            <w:r>
              <w:rPr>
                <w:rFonts w:hint="eastAsia" w:ascii="宋体" w:hAnsi="宋体" w:cs="宋体"/>
                <w:u w:val="single"/>
              </w:rPr>
              <w:t>按第五章采购需求要求；</w:t>
            </w:r>
          </w:p>
        </w:tc>
      </w:tr>
      <w:tr w14:paraId="22FC99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066523A">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49129C22">
            <w:pPr>
              <w:adjustRightInd w:val="0"/>
              <w:snapToGrid w:val="0"/>
              <w:spacing w:line="360" w:lineRule="auto"/>
              <w:jc w:val="center"/>
              <w:rPr>
                <w:rFonts w:ascii="宋体" w:hAnsi="宋体" w:cs="宋体"/>
                <w:szCs w:val="21"/>
              </w:rPr>
            </w:pPr>
            <w:r>
              <w:rPr>
                <w:rFonts w:hint="eastAsia" w:ascii="宋体" w:hAnsi="宋体" w:cs="宋体"/>
                <w:szCs w:val="21"/>
              </w:rPr>
              <w:t>第13.5款</w:t>
            </w:r>
          </w:p>
        </w:tc>
        <w:tc>
          <w:tcPr>
            <w:tcW w:w="1843" w:type="dxa"/>
            <w:vAlign w:val="center"/>
          </w:tcPr>
          <w:p w14:paraId="2C1FCCCC">
            <w:pPr>
              <w:adjustRightInd w:val="0"/>
              <w:snapToGrid w:val="0"/>
              <w:spacing w:line="360" w:lineRule="auto"/>
              <w:jc w:val="left"/>
              <w:rPr>
                <w:rFonts w:ascii="宋体" w:hAnsi="宋体" w:cs="宋体"/>
                <w:szCs w:val="21"/>
              </w:rPr>
            </w:pPr>
            <w:r>
              <w:rPr>
                <w:rFonts w:hint="eastAsia" w:ascii="宋体" w:hAnsi="宋体" w:cs="宋体"/>
                <w:szCs w:val="21"/>
              </w:rPr>
              <w:t>合同价款支付方式</w:t>
            </w:r>
            <w:r>
              <w:rPr>
                <w:rFonts w:hint="eastAsia" w:ascii="宋体" w:hAnsi="宋体" w:cs="宋体"/>
                <w:bCs/>
                <w:szCs w:val="21"/>
              </w:rPr>
              <w:t>和条件</w:t>
            </w:r>
          </w:p>
        </w:tc>
        <w:tc>
          <w:tcPr>
            <w:tcW w:w="5464" w:type="dxa"/>
            <w:vAlign w:val="center"/>
          </w:tcPr>
          <w:p w14:paraId="7987418E">
            <w:pPr>
              <w:spacing w:line="360" w:lineRule="auto"/>
              <w:rPr>
                <w:rFonts w:ascii="宋体" w:hAnsi="宋体" w:cs="宋体"/>
              </w:rPr>
            </w:pPr>
            <w:r>
              <w:rPr>
                <w:rFonts w:hint="eastAsia" w:ascii="宋体" w:hAnsi="宋体" w:cs="宋体"/>
                <w:u w:val="single"/>
              </w:rPr>
              <w:t>按第五章采购需求要求；</w:t>
            </w:r>
          </w:p>
        </w:tc>
      </w:tr>
      <w:tr w14:paraId="7BE52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49EEB0B">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32E98AA8">
            <w:pPr>
              <w:adjustRightInd w:val="0"/>
              <w:snapToGrid w:val="0"/>
              <w:spacing w:line="360" w:lineRule="auto"/>
              <w:jc w:val="center"/>
              <w:rPr>
                <w:rFonts w:ascii="宋体" w:hAnsi="宋体" w:cs="宋体"/>
                <w:szCs w:val="21"/>
              </w:rPr>
            </w:pPr>
            <w:r>
              <w:rPr>
                <w:rFonts w:hint="eastAsia" w:ascii="宋体" w:hAnsi="宋体" w:cs="宋体"/>
                <w:szCs w:val="21"/>
              </w:rPr>
              <w:t>第14.2（6）项</w:t>
            </w:r>
          </w:p>
        </w:tc>
        <w:tc>
          <w:tcPr>
            <w:tcW w:w="1843" w:type="dxa"/>
            <w:vAlign w:val="center"/>
          </w:tcPr>
          <w:p w14:paraId="519A29E3">
            <w:pPr>
              <w:adjustRightInd w:val="0"/>
              <w:snapToGrid w:val="0"/>
              <w:spacing w:line="360" w:lineRule="auto"/>
              <w:jc w:val="left"/>
              <w:rPr>
                <w:rFonts w:ascii="宋体" w:hAnsi="宋体" w:cs="宋体"/>
                <w:szCs w:val="21"/>
              </w:rPr>
            </w:pPr>
            <w:r>
              <w:rPr>
                <w:rFonts w:hint="eastAsia" w:ascii="宋体" w:hAnsi="宋体" w:cs="宋体"/>
                <w:szCs w:val="21"/>
              </w:rPr>
              <w:t>乙方提供的其他服务</w:t>
            </w:r>
          </w:p>
        </w:tc>
        <w:tc>
          <w:tcPr>
            <w:tcW w:w="5464" w:type="dxa"/>
            <w:vAlign w:val="center"/>
          </w:tcPr>
          <w:p w14:paraId="7E9FED3F">
            <w:pPr>
              <w:spacing w:line="360" w:lineRule="auto"/>
              <w:rPr>
                <w:rFonts w:ascii="宋体" w:hAnsi="宋体" w:cs="宋体"/>
                <w:szCs w:val="21"/>
              </w:rPr>
            </w:pPr>
            <w:r>
              <w:rPr>
                <w:rFonts w:hint="eastAsia" w:ascii="宋体" w:hAnsi="宋体"/>
                <w:szCs w:val="21"/>
                <w:u w:val="single"/>
              </w:rPr>
              <w:t>乙方提供的投标文件及承诺函</w:t>
            </w:r>
            <w:r>
              <w:rPr>
                <w:rFonts w:hint="eastAsia" w:ascii="宋体" w:hAnsi="宋体"/>
                <w:szCs w:val="21"/>
              </w:rPr>
              <w:t>，及见第五章采购需求。</w:t>
            </w:r>
          </w:p>
        </w:tc>
      </w:tr>
      <w:tr w14:paraId="4C0EF0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A5CBBF3">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06E1197C">
            <w:pPr>
              <w:adjustRightInd w:val="0"/>
              <w:snapToGrid w:val="0"/>
              <w:spacing w:line="360" w:lineRule="auto"/>
              <w:jc w:val="center"/>
              <w:rPr>
                <w:rFonts w:ascii="宋体" w:hAnsi="宋体" w:cs="宋体"/>
                <w:bCs/>
                <w:szCs w:val="21"/>
              </w:rPr>
            </w:pPr>
            <w:r>
              <w:rPr>
                <w:rFonts w:hint="eastAsia" w:ascii="宋体" w:hAnsi="宋体" w:cs="宋体"/>
                <w:szCs w:val="21"/>
              </w:rPr>
              <w:t>第20.2款</w:t>
            </w:r>
          </w:p>
        </w:tc>
        <w:tc>
          <w:tcPr>
            <w:tcW w:w="1843" w:type="dxa"/>
            <w:vAlign w:val="center"/>
          </w:tcPr>
          <w:p w14:paraId="249F0ACE">
            <w:pPr>
              <w:adjustRightInd w:val="0"/>
              <w:snapToGrid w:val="0"/>
              <w:spacing w:line="360" w:lineRule="auto"/>
              <w:jc w:val="left"/>
              <w:rPr>
                <w:rFonts w:ascii="宋体" w:hAnsi="宋体" w:cs="宋体"/>
                <w:bCs/>
                <w:szCs w:val="21"/>
              </w:rPr>
            </w:pPr>
            <w:r>
              <w:rPr>
                <w:rFonts w:hint="eastAsia" w:ascii="宋体" w:hAnsi="宋体" w:cs="宋体"/>
                <w:szCs w:val="21"/>
              </w:rPr>
              <w:t>解决争议的方式</w:t>
            </w:r>
          </w:p>
        </w:tc>
        <w:tc>
          <w:tcPr>
            <w:tcW w:w="5464" w:type="dxa"/>
            <w:vAlign w:val="center"/>
          </w:tcPr>
          <w:p w14:paraId="18FB49B4">
            <w:pPr>
              <w:adjustRightInd w:val="0"/>
              <w:snapToGrid w:val="0"/>
              <w:rPr>
                <w:rFonts w:ascii="宋体" w:hAnsi="宋体"/>
                <w:szCs w:val="21"/>
              </w:rPr>
            </w:pPr>
            <w:r>
              <w:rPr>
                <w:rFonts w:hint="eastAsia" w:ascii="宋体" w:hAnsi="宋体" w:cs="宋体"/>
              </w:rPr>
              <w:t xml:space="preserve">■ </w:t>
            </w:r>
            <w:r>
              <w:rPr>
                <w:rFonts w:hint="eastAsia" w:ascii="宋体" w:hAnsi="宋体"/>
                <w:szCs w:val="21"/>
              </w:rPr>
              <w:t>向甲方所在地人民法院提起诉讼解决。乙方违约，应承担甲方因此支出的诉讼费、保全费、律师费、差旅费等实现债权的费用。</w:t>
            </w:r>
          </w:p>
          <w:p w14:paraId="5A4D2560">
            <w:pPr>
              <w:spacing w:line="360" w:lineRule="auto"/>
              <w:rPr>
                <w:rFonts w:ascii="宋体" w:hAnsi="宋体" w:cs="宋体"/>
              </w:rPr>
            </w:pPr>
            <w:r>
              <w:rPr>
                <w:rFonts w:hint="eastAsia" w:ascii="宋体" w:hAnsi="宋体"/>
                <w:szCs w:val="21"/>
              </w:rPr>
              <w:t>□ 仲裁</w:t>
            </w:r>
          </w:p>
        </w:tc>
      </w:tr>
      <w:tr w14:paraId="233AE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DEE9F2B">
            <w:pPr>
              <w:adjustRightInd w:val="0"/>
              <w:snapToGrid w:val="0"/>
              <w:spacing w:line="360" w:lineRule="auto"/>
              <w:jc w:val="center"/>
              <w:rPr>
                <w:rFonts w:ascii="宋体" w:hAnsi="宋体" w:cs="宋体"/>
                <w:szCs w:val="21"/>
              </w:rPr>
            </w:pPr>
            <w:r>
              <w:rPr>
                <w:rFonts w:hint="eastAsia" w:ascii="宋体" w:hAnsi="宋体" w:cs="宋体"/>
                <w:szCs w:val="21"/>
              </w:rPr>
              <w:t>本章第二节</w:t>
            </w:r>
          </w:p>
          <w:p w14:paraId="16FFDD94">
            <w:pPr>
              <w:adjustRightInd w:val="0"/>
              <w:snapToGrid w:val="0"/>
              <w:spacing w:line="360" w:lineRule="auto"/>
              <w:jc w:val="center"/>
              <w:rPr>
                <w:rFonts w:ascii="宋体" w:hAnsi="宋体" w:cs="宋体"/>
                <w:szCs w:val="21"/>
              </w:rPr>
            </w:pPr>
            <w:r>
              <w:rPr>
                <w:rFonts w:hint="eastAsia" w:ascii="宋体" w:hAnsi="宋体" w:cs="宋体"/>
                <w:szCs w:val="21"/>
              </w:rPr>
              <w:t>第23.1款</w:t>
            </w:r>
          </w:p>
        </w:tc>
        <w:tc>
          <w:tcPr>
            <w:tcW w:w="1843" w:type="dxa"/>
            <w:vAlign w:val="center"/>
          </w:tcPr>
          <w:p w14:paraId="35384398">
            <w:pPr>
              <w:adjustRightInd w:val="0"/>
              <w:snapToGrid w:val="0"/>
              <w:spacing w:line="360" w:lineRule="auto"/>
              <w:jc w:val="left"/>
              <w:rPr>
                <w:rFonts w:ascii="宋体" w:hAnsi="宋体" w:cs="宋体"/>
                <w:szCs w:val="21"/>
              </w:rPr>
            </w:pPr>
            <w:r>
              <w:rPr>
                <w:rFonts w:hint="eastAsia" w:ascii="宋体" w:hAnsi="宋体" w:cs="宋体"/>
                <w:bCs/>
                <w:szCs w:val="21"/>
              </w:rPr>
              <w:t>合同未尽事项</w:t>
            </w:r>
          </w:p>
        </w:tc>
        <w:tc>
          <w:tcPr>
            <w:tcW w:w="5464" w:type="dxa"/>
            <w:vAlign w:val="center"/>
          </w:tcPr>
          <w:p w14:paraId="6A2F53E1">
            <w:pPr>
              <w:spacing w:line="360" w:lineRule="auto"/>
              <w:rPr>
                <w:rFonts w:ascii="宋体" w:hAnsi="宋体" w:cs="宋体"/>
                <w:szCs w:val="21"/>
              </w:rPr>
            </w:pPr>
            <w:bookmarkStart w:id="101" w:name="auto_fouce_43"/>
            <w:bookmarkStart w:id="102" w:name="tip_risk_bookmark_44"/>
            <w:r>
              <w:rPr>
                <w:rFonts w:hint="eastAsia" w:ascii="宋体" w:hAnsi="宋体"/>
                <w:szCs w:val="21"/>
              </w:rPr>
              <w:t>本章第二节第23.1款合同未尽事项：由甲方提出处理方案，乙方应予以配合执行；</w:t>
            </w:r>
            <w:r>
              <w:rPr>
                <w:rFonts w:ascii="宋体" w:hAnsi="宋体"/>
                <w:szCs w:val="21"/>
              </w:rPr>
              <w:t>双方</w:t>
            </w:r>
            <w:r>
              <w:rPr>
                <w:rFonts w:hint="eastAsia" w:ascii="宋体" w:hAnsi="宋体"/>
                <w:szCs w:val="21"/>
              </w:rPr>
              <w:t>无法达成一致的，以甲方的书面意见为准。乙方提供银行或者担保机构开具的履约保函的，甲方有权调查其保函真伪，如发现其履约保函涉嫌伪造，或者所出具的银行或担保机构不认可此履约保函，视为乙方未提供履约担保并不具备中标资格，甲方将取消乙方中标资格，并有权解除本合同，乙方应向甲方支付合同总价款【10】%作为违约金并赔偿甲方所受损失的，同时甲方有权报告公安机关单位启动立案调查。</w:t>
            </w:r>
            <w:bookmarkEnd w:id="101"/>
            <w:bookmarkEnd w:id="102"/>
            <w:bookmarkStart w:id="103" w:name="auto_fouce_42"/>
            <w:r>
              <w:rPr>
                <w:rFonts w:hint="eastAsia" w:ascii="宋体" w:hAnsi="宋体"/>
                <w:szCs w:val="21"/>
              </w:rPr>
              <w:t>乙方应向甲方提供保函开具单位的官方联系方式、保函编号等信息，以便甲方核实保函真实性；乙方拒绝配合的，视为未提供履约保函。</w:t>
            </w:r>
            <w:bookmarkEnd w:id="103"/>
          </w:p>
        </w:tc>
      </w:tr>
    </w:tbl>
    <w:p w14:paraId="33AAB39C">
      <w:pPr>
        <w:adjustRightInd w:val="0"/>
        <w:snapToGrid w:val="0"/>
        <w:spacing w:line="360" w:lineRule="auto"/>
        <w:jc w:val="center"/>
        <w:rPr>
          <w:rFonts w:ascii="宋体" w:hAnsi="宋体" w:cs="宋体"/>
          <w:sz w:val="24"/>
        </w:rPr>
      </w:pPr>
    </w:p>
    <w:p w14:paraId="00CAE086">
      <w:pPr>
        <w:pStyle w:val="22"/>
        <w:adjustRightInd w:val="0"/>
        <w:snapToGrid w:val="0"/>
        <w:spacing w:line="360" w:lineRule="auto"/>
        <w:jc w:val="center"/>
        <w:outlineLvl w:val="0"/>
        <w:rPr>
          <w:rFonts w:hAnsi="宋体" w:cs="宋体"/>
          <w:b/>
          <w:bCs/>
          <w:sz w:val="32"/>
        </w:rPr>
      </w:pPr>
      <w:r>
        <w:rPr>
          <w:rFonts w:hint="eastAsia" w:hAnsi="宋体" w:cs="宋体"/>
          <w:b/>
          <w:bCs/>
          <w:sz w:val="52"/>
          <w:szCs w:val="30"/>
        </w:rPr>
        <w:br w:type="page"/>
      </w:r>
      <w:bookmarkStart w:id="104" w:name="_Toc17570"/>
      <w:r>
        <w:rPr>
          <w:rFonts w:hint="eastAsia" w:hAnsi="宋体" w:cs="宋体"/>
          <w:b/>
          <w:bCs/>
          <w:sz w:val="32"/>
          <w:szCs w:val="32"/>
        </w:rPr>
        <w:t>第七章 投标文件的组成</w:t>
      </w:r>
      <w:bookmarkEnd w:id="104"/>
    </w:p>
    <w:p w14:paraId="264C2622">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第一部分 资格证明文件</w:t>
      </w:r>
    </w:p>
    <w:p w14:paraId="30FB6134">
      <w:pPr>
        <w:adjustRightInd w:val="0"/>
        <w:snapToGrid w:val="0"/>
        <w:spacing w:before="161" w:beforeLines="50"/>
        <w:ind w:firstLine="630" w:firstLineChars="300"/>
        <w:rPr>
          <w:rFonts w:ascii="宋体" w:hAnsi="宋体" w:cs="宋体"/>
          <w:szCs w:val="21"/>
        </w:rPr>
      </w:pPr>
      <w:r>
        <w:rPr>
          <w:rFonts w:hint="eastAsia" w:ascii="宋体" w:hAnsi="宋体" w:cs="宋体"/>
          <w:szCs w:val="21"/>
        </w:rPr>
        <w:t>资格证明文件封面</w:t>
      </w:r>
    </w:p>
    <w:p w14:paraId="5EFE6757">
      <w:pPr>
        <w:adjustRightInd w:val="0"/>
        <w:snapToGrid w:val="0"/>
        <w:spacing w:before="161" w:beforeLines="50"/>
        <w:ind w:firstLine="630" w:firstLineChars="300"/>
        <w:rPr>
          <w:rFonts w:ascii="宋体" w:hAnsi="宋体" w:cs="宋体"/>
          <w:szCs w:val="21"/>
        </w:rPr>
      </w:pPr>
      <w:r>
        <w:rPr>
          <w:rFonts w:hint="eastAsia" w:ascii="宋体" w:hAnsi="宋体" w:cs="宋体"/>
          <w:szCs w:val="21"/>
        </w:rPr>
        <w:t>一、资格证明材料</w:t>
      </w:r>
    </w:p>
    <w:p w14:paraId="537C339C">
      <w:pPr>
        <w:adjustRightInd w:val="0"/>
        <w:snapToGrid w:val="0"/>
        <w:spacing w:before="161" w:beforeLines="50"/>
        <w:ind w:firstLine="630" w:firstLineChars="300"/>
        <w:rPr>
          <w:rFonts w:ascii="宋体" w:hAnsi="宋体" w:cs="宋体"/>
          <w:szCs w:val="21"/>
        </w:rPr>
      </w:pPr>
      <w:r>
        <w:rPr>
          <w:rFonts w:hint="eastAsia" w:ascii="宋体" w:hAnsi="宋体" w:cs="宋体"/>
          <w:szCs w:val="21"/>
        </w:rPr>
        <w:t>（一）开标一览表</w:t>
      </w:r>
    </w:p>
    <w:p w14:paraId="75ACFCA2">
      <w:pPr>
        <w:adjustRightInd w:val="0"/>
        <w:snapToGrid w:val="0"/>
        <w:spacing w:before="161" w:beforeLines="50"/>
        <w:ind w:firstLine="630" w:firstLineChars="300"/>
        <w:rPr>
          <w:rFonts w:ascii="宋体" w:hAnsi="宋体" w:cs="宋体"/>
          <w:szCs w:val="21"/>
        </w:rPr>
      </w:pPr>
      <w:r>
        <w:rPr>
          <w:rFonts w:hint="eastAsia" w:ascii="宋体" w:hAnsi="宋体" w:cs="宋体"/>
          <w:szCs w:val="21"/>
        </w:rPr>
        <w:t>（二）投标保证金</w:t>
      </w:r>
    </w:p>
    <w:p w14:paraId="53172F9B">
      <w:pPr>
        <w:adjustRightInd w:val="0"/>
        <w:snapToGrid w:val="0"/>
        <w:spacing w:before="161" w:beforeLines="50"/>
        <w:ind w:firstLine="630" w:firstLineChars="300"/>
        <w:rPr>
          <w:rFonts w:ascii="宋体" w:hAnsi="宋体" w:cs="宋体"/>
          <w:szCs w:val="21"/>
        </w:rPr>
      </w:pPr>
      <w:r>
        <w:rPr>
          <w:rFonts w:hint="eastAsia" w:ascii="宋体" w:hAnsi="宋体" w:cs="宋体"/>
          <w:szCs w:val="21"/>
        </w:rPr>
        <w:t>（三）法定代表人（单位负责人）身份证明或授权委托书</w:t>
      </w:r>
    </w:p>
    <w:p w14:paraId="7E63A8A6">
      <w:pPr>
        <w:adjustRightInd w:val="0"/>
        <w:snapToGrid w:val="0"/>
        <w:spacing w:before="161" w:beforeLines="50"/>
        <w:ind w:firstLine="630" w:firstLineChars="300"/>
        <w:rPr>
          <w:rFonts w:ascii="宋体" w:hAnsi="宋体" w:cs="宋体"/>
          <w:szCs w:val="21"/>
        </w:rPr>
      </w:pPr>
      <w:r>
        <w:rPr>
          <w:rFonts w:hint="eastAsia" w:ascii="宋体" w:hAnsi="宋体" w:cs="宋体"/>
          <w:szCs w:val="21"/>
        </w:rPr>
        <w:t>（四）投标人具备投标资格的证明文件</w:t>
      </w:r>
    </w:p>
    <w:p w14:paraId="072409DD">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第二部分 商务文件</w:t>
      </w:r>
    </w:p>
    <w:p w14:paraId="42BAF7B1">
      <w:pPr>
        <w:adjustRightInd w:val="0"/>
        <w:snapToGrid w:val="0"/>
        <w:spacing w:before="161" w:beforeLines="50"/>
        <w:ind w:firstLine="630" w:firstLineChars="300"/>
        <w:rPr>
          <w:rFonts w:ascii="宋体" w:hAnsi="宋体" w:cs="宋体"/>
          <w:szCs w:val="21"/>
        </w:rPr>
      </w:pPr>
      <w:r>
        <w:rPr>
          <w:rFonts w:hint="eastAsia" w:ascii="宋体" w:hAnsi="宋体" w:cs="宋体"/>
          <w:szCs w:val="21"/>
        </w:rPr>
        <w:t>商务文件封面</w:t>
      </w:r>
    </w:p>
    <w:p w14:paraId="1112DBBA">
      <w:pPr>
        <w:adjustRightInd w:val="0"/>
        <w:snapToGrid w:val="0"/>
        <w:spacing w:before="161" w:beforeLines="50"/>
        <w:ind w:firstLine="630" w:firstLineChars="300"/>
        <w:rPr>
          <w:rFonts w:ascii="宋体" w:hAnsi="宋体" w:cs="宋体"/>
          <w:szCs w:val="21"/>
        </w:rPr>
      </w:pPr>
      <w:r>
        <w:rPr>
          <w:rFonts w:hint="eastAsia" w:ascii="宋体" w:hAnsi="宋体" w:cs="宋体"/>
          <w:szCs w:val="21"/>
        </w:rPr>
        <w:t>二、投标函</w:t>
      </w:r>
    </w:p>
    <w:p w14:paraId="1F8076B7">
      <w:pPr>
        <w:adjustRightInd w:val="0"/>
        <w:snapToGrid w:val="0"/>
        <w:spacing w:before="161" w:beforeLines="50"/>
        <w:ind w:firstLine="630" w:firstLineChars="300"/>
        <w:rPr>
          <w:rFonts w:ascii="宋体" w:hAnsi="宋体" w:cs="宋体"/>
          <w:szCs w:val="21"/>
        </w:rPr>
      </w:pPr>
      <w:r>
        <w:rPr>
          <w:rFonts w:hint="eastAsia" w:ascii="宋体" w:hAnsi="宋体" w:cs="宋体"/>
          <w:szCs w:val="21"/>
        </w:rPr>
        <w:t>三、分项价格表</w:t>
      </w:r>
    </w:p>
    <w:p w14:paraId="567ACC92">
      <w:pPr>
        <w:adjustRightInd w:val="0"/>
        <w:snapToGrid w:val="0"/>
        <w:spacing w:before="161" w:beforeLines="50"/>
        <w:ind w:firstLine="630" w:firstLineChars="300"/>
        <w:rPr>
          <w:rFonts w:ascii="宋体" w:hAnsi="宋体" w:cs="宋体"/>
          <w:szCs w:val="21"/>
        </w:rPr>
      </w:pPr>
      <w:r>
        <w:rPr>
          <w:rFonts w:hint="eastAsia" w:ascii="宋体" w:hAnsi="宋体" w:cs="宋体"/>
          <w:szCs w:val="21"/>
        </w:rPr>
        <w:t>四、提供政府采购政策产品等证明材料</w:t>
      </w:r>
    </w:p>
    <w:p w14:paraId="5ADCB437">
      <w:pPr>
        <w:adjustRightInd w:val="0"/>
        <w:snapToGrid w:val="0"/>
        <w:spacing w:before="161" w:beforeLines="50"/>
        <w:ind w:firstLine="630" w:firstLineChars="300"/>
        <w:rPr>
          <w:rFonts w:ascii="宋体" w:hAnsi="宋体" w:cs="宋体"/>
          <w:szCs w:val="21"/>
        </w:rPr>
      </w:pPr>
      <w:r>
        <w:rPr>
          <w:rFonts w:hint="eastAsia" w:ascii="宋体" w:hAnsi="宋体" w:cs="宋体"/>
          <w:szCs w:val="21"/>
        </w:rPr>
        <w:t>五、类似业绩</w:t>
      </w:r>
    </w:p>
    <w:p w14:paraId="63D30CEC">
      <w:pPr>
        <w:adjustRightInd w:val="0"/>
        <w:snapToGrid w:val="0"/>
        <w:spacing w:before="161" w:beforeLines="50"/>
        <w:ind w:firstLine="630" w:firstLineChars="300"/>
        <w:rPr>
          <w:rFonts w:hint="eastAsia" w:ascii="宋体" w:hAnsi="宋体" w:eastAsia="宋体" w:cs="宋体"/>
          <w:szCs w:val="21"/>
          <w:lang w:eastAsia="zh-CN"/>
        </w:rPr>
      </w:pPr>
      <w:r>
        <w:rPr>
          <w:rFonts w:hint="eastAsia" w:ascii="宋体" w:hAnsi="宋体" w:eastAsia="宋体" w:cs="宋体"/>
          <w:szCs w:val="21"/>
          <w:lang w:eastAsia="zh-CN"/>
        </w:rPr>
        <w:t>六、</w:t>
      </w:r>
      <w:r>
        <w:rPr>
          <w:rFonts w:hint="eastAsia" w:ascii="宋体" w:hAnsi="宋体" w:eastAsia="宋体" w:cs="宋体"/>
          <w:szCs w:val="21"/>
          <w:lang w:val="en-US" w:eastAsia="zh-CN"/>
        </w:rPr>
        <w:t>技术服务能力</w:t>
      </w:r>
    </w:p>
    <w:p w14:paraId="38638B44">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七</w:t>
      </w:r>
      <w:r>
        <w:rPr>
          <w:rFonts w:hint="eastAsia" w:ascii="宋体" w:hAnsi="宋体" w:cs="宋体"/>
          <w:szCs w:val="21"/>
        </w:rPr>
        <w:t>、培训方案</w:t>
      </w:r>
    </w:p>
    <w:p w14:paraId="55F5B2FA">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八</w:t>
      </w:r>
      <w:r>
        <w:rPr>
          <w:rFonts w:hint="eastAsia" w:ascii="宋体" w:hAnsi="宋体" w:cs="宋体"/>
          <w:szCs w:val="21"/>
        </w:rPr>
        <w:t>、售后服务</w:t>
      </w:r>
    </w:p>
    <w:p w14:paraId="7D6DDCE1">
      <w:pPr>
        <w:adjustRightInd w:val="0"/>
        <w:snapToGrid w:val="0"/>
        <w:spacing w:before="161" w:beforeLines="50"/>
        <w:ind w:firstLine="630" w:firstLineChars="300"/>
        <w:rPr>
          <w:rFonts w:ascii="宋体" w:hAnsi="宋体" w:cs="宋体"/>
          <w:szCs w:val="21"/>
        </w:rPr>
      </w:pPr>
      <w:r>
        <w:rPr>
          <w:rFonts w:hint="eastAsia" w:ascii="宋体" w:hAnsi="宋体" w:cs="宋体"/>
          <w:szCs w:val="21"/>
          <w:lang w:eastAsia="zh-CN"/>
        </w:rPr>
        <w:t>九</w:t>
      </w:r>
      <w:r>
        <w:rPr>
          <w:rFonts w:hint="eastAsia" w:ascii="宋体" w:hAnsi="宋体" w:cs="宋体"/>
          <w:szCs w:val="21"/>
        </w:rPr>
        <w:t>、投标人认为需要提供的其他资料</w:t>
      </w:r>
    </w:p>
    <w:p w14:paraId="26A0134D">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第三部分 技术文件</w:t>
      </w:r>
    </w:p>
    <w:p w14:paraId="11A97EE1">
      <w:pPr>
        <w:adjustRightInd w:val="0"/>
        <w:snapToGrid w:val="0"/>
        <w:spacing w:before="161" w:beforeLines="50"/>
        <w:ind w:firstLine="630" w:firstLineChars="300"/>
        <w:rPr>
          <w:rFonts w:ascii="宋体" w:hAnsi="宋体" w:cs="宋体"/>
          <w:szCs w:val="21"/>
        </w:rPr>
      </w:pPr>
      <w:r>
        <w:rPr>
          <w:rFonts w:hint="eastAsia" w:ascii="宋体" w:hAnsi="宋体" w:cs="宋体"/>
          <w:szCs w:val="21"/>
        </w:rPr>
        <w:t>技术文件封面</w:t>
      </w:r>
    </w:p>
    <w:p w14:paraId="2B8A5E69">
      <w:pPr>
        <w:adjustRightInd w:val="0"/>
        <w:snapToGrid w:val="0"/>
        <w:spacing w:before="161" w:beforeLines="50"/>
        <w:ind w:firstLine="630" w:firstLineChars="300"/>
        <w:rPr>
          <w:rFonts w:ascii="宋体" w:hAnsi="宋体" w:cs="宋体"/>
          <w:szCs w:val="21"/>
        </w:rPr>
      </w:pPr>
      <w:r>
        <w:rPr>
          <w:rFonts w:hint="eastAsia" w:ascii="宋体" w:hAnsi="宋体" w:cs="宋体"/>
          <w:szCs w:val="21"/>
        </w:rPr>
        <w:t>九、采购需求响应</w:t>
      </w:r>
    </w:p>
    <w:p w14:paraId="5CD8AB50">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十、响应偏离表</w:t>
      </w:r>
    </w:p>
    <w:p w14:paraId="19B9B7D8">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十一、投标货物符合招标文件规定的证明文件</w:t>
      </w:r>
    </w:p>
    <w:p w14:paraId="040597AB">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十二、</w:t>
      </w:r>
      <w:r>
        <w:rPr>
          <w:rFonts w:hint="eastAsia" w:ascii="宋体" w:hAnsi="宋体" w:cs="宋体"/>
          <w:szCs w:val="21"/>
          <w:lang w:eastAsia="zh-CN"/>
        </w:rPr>
        <w:t>设计</w:t>
      </w:r>
      <w:r>
        <w:rPr>
          <w:rFonts w:hint="eastAsia" w:ascii="宋体" w:hAnsi="宋体" w:cs="宋体"/>
          <w:szCs w:val="21"/>
        </w:rPr>
        <w:t>方案</w:t>
      </w:r>
    </w:p>
    <w:p w14:paraId="04E4C422">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十三、</w:t>
      </w:r>
      <w:r>
        <w:rPr>
          <w:rFonts w:hint="eastAsia" w:ascii="宋体" w:hAnsi="宋体" w:cs="宋体"/>
          <w:szCs w:val="21"/>
          <w:lang w:eastAsia="zh-CN"/>
        </w:rPr>
        <w:t>实施</w:t>
      </w:r>
      <w:r>
        <w:rPr>
          <w:rFonts w:hint="eastAsia" w:ascii="宋体" w:hAnsi="宋体" w:cs="宋体"/>
          <w:szCs w:val="21"/>
        </w:rPr>
        <w:t>方案</w:t>
      </w:r>
    </w:p>
    <w:p w14:paraId="798015B3">
      <w:pPr>
        <w:adjustRightInd w:val="0"/>
        <w:snapToGrid w:val="0"/>
        <w:spacing w:line="360" w:lineRule="auto"/>
        <w:jc w:val="center"/>
        <w:rPr>
          <w:rFonts w:ascii="宋体" w:hAnsi="宋体" w:cs="宋体"/>
          <w:szCs w:val="21"/>
        </w:rPr>
      </w:pPr>
    </w:p>
    <w:p w14:paraId="27856883">
      <w:pPr>
        <w:adjustRightInd w:val="0"/>
        <w:snapToGrid w:val="0"/>
        <w:spacing w:line="360" w:lineRule="auto"/>
        <w:jc w:val="center"/>
        <w:rPr>
          <w:rFonts w:ascii="宋体" w:hAnsi="宋体" w:cs="宋体"/>
          <w:sz w:val="32"/>
          <w:szCs w:val="32"/>
        </w:rPr>
      </w:pPr>
    </w:p>
    <w:p w14:paraId="0A608659">
      <w:pPr>
        <w:adjustRightInd w:val="0"/>
        <w:snapToGrid w:val="0"/>
        <w:spacing w:line="360" w:lineRule="auto"/>
        <w:jc w:val="center"/>
        <w:rPr>
          <w:rFonts w:ascii="宋体" w:hAnsi="宋体" w:cs="宋体"/>
          <w:sz w:val="32"/>
          <w:szCs w:val="32"/>
        </w:rPr>
      </w:pPr>
    </w:p>
    <w:p w14:paraId="120458D9">
      <w:pPr>
        <w:adjustRightInd w:val="0"/>
        <w:snapToGrid w:val="0"/>
        <w:spacing w:line="360" w:lineRule="auto"/>
        <w:jc w:val="center"/>
        <w:rPr>
          <w:rFonts w:ascii="宋体" w:hAnsi="宋体" w:cs="宋体"/>
          <w:sz w:val="32"/>
          <w:szCs w:val="32"/>
        </w:rPr>
      </w:pPr>
    </w:p>
    <w:p w14:paraId="0DF4712C">
      <w:pPr>
        <w:rPr>
          <w:rFonts w:hAnsi="宋体" w:cs="宋体"/>
          <w:b/>
          <w:bCs/>
          <w:sz w:val="72"/>
          <w:szCs w:val="72"/>
        </w:rPr>
      </w:pPr>
      <w:r>
        <w:rPr>
          <w:rFonts w:hint="eastAsia" w:hAnsi="宋体" w:cs="宋体"/>
          <w:b/>
          <w:bCs/>
          <w:sz w:val="72"/>
          <w:szCs w:val="72"/>
        </w:rPr>
        <w:br w:type="page"/>
      </w:r>
    </w:p>
    <w:p w14:paraId="3D7F1313">
      <w:pPr>
        <w:pStyle w:val="22"/>
        <w:adjustRightInd w:val="0"/>
        <w:snapToGrid w:val="0"/>
        <w:spacing w:line="360" w:lineRule="auto"/>
        <w:jc w:val="center"/>
        <w:rPr>
          <w:rFonts w:hAnsi="宋体" w:cs="宋体"/>
          <w:b/>
          <w:bCs/>
          <w:sz w:val="72"/>
          <w:szCs w:val="72"/>
        </w:rPr>
      </w:pPr>
    </w:p>
    <w:p w14:paraId="2B1A2486">
      <w:pPr>
        <w:pStyle w:val="22"/>
        <w:adjustRightInd w:val="0"/>
        <w:snapToGrid w:val="0"/>
        <w:spacing w:line="360" w:lineRule="auto"/>
        <w:jc w:val="center"/>
        <w:rPr>
          <w:rFonts w:hAnsi="宋体" w:cs="宋体"/>
          <w:b/>
          <w:bCs/>
          <w:sz w:val="72"/>
          <w:szCs w:val="72"/>
        </w:rPr>
      </w:pPr>
    </w:p>
    <w:p w14:paraId="115D08CE">
      <w:pPr>
        <w:pStyle w:val="22"/>
        <w:adjustRightInd w:val="0"/>
        <w:snapToGrid w:val="0"/>
        <w:spacing w:line="360" w:lineRule="auto"/>
        <w:jc w:val="center"/>
        <w:rPr>
          <w:rFonts w:hAnsi="宋体" w:cs="宋体"/>
          <w:b/>
          <w:bCs/>
          <w:sz w:val="72"/>
          <w:szCs w:val="72"/>
        </w:rPr>
      </w:pPr>
      <w:r>
        <w:rPr>
          <w:rFonts w:hint="eastAsia" w:hAnsi="宋体" w:cs="宋体"/>
          <w:b/>
          <w:bCs/>
          <w:sz w:val="72"/>
          <w:szCs w:val="72"/>
        </w:rPr>
        <w:t>政府采购</w:t>
      </w:r>
    </w:p>
    <w:p w14:paraId="0C2FD6DE">
      <w:pPr>
        <w:adjustRightInd w:val="0"/>
        <w:snapToGrid w:val="0"/>
        <w:spacing w:line="360" w:lineRule="auto"/>
        <w:jc w:val="center"/>
        <w:rPr>
          <w:rFonts w:ascii="宋体" w:hAnsi="宋体" w:cs="宋体"/>
          <w:b/>
          <w:bCs/>
          <w:sz w:val="84"/>
          <w:szCs w:val="84"/>
        </w:rPr>
      </w:pPr>
      <w:r>
        <w:rPr>
          <w:rFonts w:hint="eastAsia" w:ascii="宋体" w:hAnsi="宋体" w:cs="宋体"/>
          <w:b/>
          <w:bCs/>
          <w:sz w:val="84"/>
          <w:szCs w:val="84"/>
        </w:rPr>
        <w:t>投 标 文 件</w:t>
      </w:r>
    </w:p>
    <w:p w14:paraId="7DE98C12">
      <w:pPr>
        <w:pStyle w:val="3"/>
        <w:adjustRightInd w:val="0"/>
        <w:snapToGrid w:val="0"/>
        <w:jc w:val="center"/>
        <w:rPr>
          <w:rFonts w:ascii="宋体" w:hAnsi="宋体" w:cs="宋体"/>
          <w:sz w:val="44"/>
          <w:szCs w:val="44"/>
        </w:rPr>
      </w:pPr>
      <w:bookmarkStart w:id="105" w:name="_Toc23611"/>
      <w:r>
        <w:rPr>
          <w:rFonts w:hint="eastAsia" w:ascii="宋体" w:hAnsi="宋体" w:cs="宋体"/>
          <w:sz w:val="44"/>
          <w:szCs w:val="44"/>
        </w:rPr>
        <w:t>第一部分 资格证明文件</w:t>
      </w:r>
      <w:bookmarkEnd w:id="105"/>
    </w:p>
    <w:p w14:paraId="05FC768E">
      <w:pPr>
        <w:adjustRightInd w:val="0"/>
        <w:snapToGrid w:val="0"/>
        <w:spacing w:line="360" w:lineRule="auto"/>
        <w:rPr>
          <w:rFonts w:ascii="宋体" w:hAnsi="宋体" w:cs="宋体"/>
          <w:b/>
          <w:sz w:val="32"/>
          <w:szCs w:val="32"/>
        </w:rPr>
      </w:pPr>
    </w:p>
    <w:p w14:paraId="128D36F3">
      <w:pPr>
        <w:adjustRightInd w:val="0"/>
        <w:snapToGrid w:val="0"/>
        <w:spacing w:line="360" w:lineRule="auto"/>
        <w:rPr>
          <w:rFonts w:ascii="宋体" w:hAnsi="宋体" w:cs="宋体"/>
          <w:b/>
          <w:sz w:val="30"/>
          <w:szCs w:val="30"/>
        </w:rPr>
      </w:pPr>
      <w:r>
        <w:rPr>
          <w:rFonts w:hint="eastAsia" w:ascii="宋体" w:hAnsi="宋体" w:cs="宋体"/>
          <w:b/>
          <w:sz w:val="32"/>
          <w:szCs w:val="32"/>
        </w:rPr>
        <w:t xml:space="preserve">                     </w:t>
      </w:r>
    </w:p>
    <w:p w14:paraId="0EC124A9">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采购项目名称:</w:t>
      </w:r>
      <w:r>
        <w:rPr>
          <w:rFonts w:hint="eastAsia" w:hAnsi="宋体" w:cs="宋体"/>
          <w:b/>
          <w:bCs/>
          <w:sz w:val="30"/>
          <w:szCs w:val="30"/>
          <w:u w:val="single"/>
        </w:rPr>
        <w:t xml:space="preserve">                       </w:t>
      </w:r>
    </w:p>
    <w:p w14:paraId="0BCC5691">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政府采购编号:</w:t>
      </w:r>
      <w:r>
        <w:rPr>
          <w:rFonts w:hint="eastAsia" w:hAnsi="宋体" w:cs="宋体"/>
          <w:b/>
          <w:bCs/>
          <w:sz w:val="30"/>
          <w:szCs w:val="30"/>
          <w:u w:val="single"/>
        </w:rPr>
        <w:t xml:space="preserve">                       </w:t>
      </w:r>
    </w:p>
    <w:p w14:paraId="2A2A2491">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委托代理编号:</w:t>
      </w:r>
      <w:r>
        <w:rPr>
          <w:rFonts w:hint="eastAsia" w:hAnsi="宋体" w:cs="宋体"/>
          <w:b/>
          <w:bCs/>
          <w:sz w:val="30"/>
          <w:szCs w:val="30"/>
          <w:u w:val="single"/>
        </w:rPr>
        <w:t xml:space="preserve">                       </w:t>
      </w:r>
    </w:p>
    <w:p w14:paraId="0E9E250C">
      <w:pPr>
        <w:adjustRightInd w:val="0"/>
        <w:snapToGrid w:val="0"/>
        <w:spacing w:line="360" w:lineRule="auto"/>
        <w:rPr>
          <w:rFonts w:ascii="宋体" w:hAnsi="宋体" w:cs="宋体"/>
          <w:sz w:val="30"/>
          <w:szCs w:val="30"/>
        </w:rPr>
      </w:pPr>
    </w:p>
    <w:p w14:paraId="1E247949">
      <w:pPr>
        <w:adjustRightInd w:val="0"/>
        <w:snapToGrid w:val="0"/>
        <w:spacing w:line="360" w:lineRule="auto"/>
        <w:rPr>
          <w:rFonts w:ascii="宋体" w:hAnsi="宋体" w:cs="宋体"/>
          <w:sz w:val="30"/>
          <w:szCs w:val="30"/>
        </w:rPr>
      </w:pPr>
    </w:p>
    <w:p w14:paraId="281AD308">
      <w:pPr>
        <w:adjustRightInd w:val="0"/>
        <w:snapToGrid w:val="0"/>
        <w:spacing w:line="360" w:lineRule="auto"/>
        <w:ind w:firstLine="1984" w:firstLineChars="620"/>
        <w:rPr>
          <w:rFonts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14:paraId="3480459A">
      <w:pPr>
        <w:adjustRightInd w:val="0"/>
        <w:snapToGrid w:val="0"/>
        <w:spacing w:line="360" w:lineRule="auto"/>
        <w:jc w:val="center"/>
        <w:rPr>
          <w:rFonts w:ascii="宋体" w:hAnsi="宋体" w:cs="宋体"/>
          <w:sz w:val="28"/>
          <w:szCs w:val="28"/>
        </w:rPr>
      </w:pPr>
      <w:r>
        <w:rPr>
          <w:rFonts w:hint="eastAsia" w:ascii="宋体" w:hAnsi="宋体" w:cs="宋体"/>
          <w:sz w:val="32"/>
          <w:szCs w:val="32"/>
        </w:rPr>
        <w:t>年  月  日</w:t>
      </w:r>
      <w:r>
        <w:rPr>
          <w:rFonts w:hint="eastAsia" w:ascii="宋体" w:hAnsi="宋体" w:cs="宋体"/>
          <w:sz w:val="28"/>
          <w:szCs w:val="28"/>
        </w:rPr>
        <w:br w:type="page"/>
      </w:r>
    </w:p>
    <w:p w14:paraId="69AE197A">
      <w:pPr>
        <w:pStyle w:val="4"/>
        <w:adjustRightInd w:val="0"/>
        <w:snapToGrid w:val="0"/>
        <w:spacing w:before="0" w:after="0" w:line="360" w:lineRule="auto"/>
        <w:jc w:val="center"/>
        <w:rPr>
          <w:rFonts w:ascii="宋体" w:hAnsi="宋体" w:cs="宋体"/>
          <w:sz w:val="28"/>
          <w:szCs w:val="28"/>
        </w:rPr>
      </w:pPr>
      <w:bookmarkStart w:id="106" w:name="_Toc3130"/>
      <w:bookmarkStart w:id="107" w:name="_Toc16614"/>
      <w:bookmarkStart w:id="108" w:name="_Toc30442"/>
      <w:bookmarkStart w:id="109" w:name="_Toc24658"/>
      <w:bookmarkStart w:id="110" w:name="_Toc335"/>
      <w:r>
        <w:rPr>
          <w:rFonts w:hint="eastAsia" w:ascii="宋体" w:hAnsi="宋体" w:cs="宋体"/>
          <w:sz w:val="28"/>
          <w:szCs w:val="28"/>
        </w:rPr>
        <w:t>一、资格证明材料</w:t>
      </w:r>
    </w:p>
    <w:p w14:paraId="6F1E4B51">
      <w:pPr>
        <w:pStyle w:val="4"/>
        <w:adjustRightInd w:val="0"/>
        <w:snapToGrid w:val="0"/>
        <w:spacing w:before="0" w:after="0" w:line="360" w:lineRule="auto"/>
        <w:jc w:val="center"/>
        <w:rPr>
          <w:rFonts w:ascii="宋体" w:hAnsi="宋体" w:cs="宋体"/>
          <w:sz w:val="28"/>
          <w:szCs w:val="28"/>
        </w:rPr>
      </w:pPr>
      <w:r>
        <w:rPr>
          <w:rFonts w:hint="eastAsia" w:ascii="宋体" w:hAnsi="宋体" w:cs="宋体"/>
          <w:sz w:val="28"/>
          <w:szCs w:val="28"/>
        </w:rPr>
        <w:t>（一）开标一览表</w:t>
      </w:r>
      <w:bookmarkEnd w:id="106"/>
      <w:bookmarkEnd w:id="107"/>
      <w:bookmarkEnd w:id="108"/>
      <w:bookmarkEnd w:id="109"/>
    </w:p>
    <w:p w14:paraId="30A62A85">
      <w:pPr>
        <w:adjustRightInd w:val="0"/>
        <w:snapToGrid w:val="0"/>
        <w:spacing w:line="360" w:lineRule="auto"/>
        <w:ind w:left="-88" w:leftChars="-42"/>
        <w:jc w:val="center"/>
        <w:rPr>
          <w:rFonts w:ascii="宋体" w:hAnsi="宋体" w:cs="宋体"/>
          <w:sz w:val="24"/>
        </w:rPr>
      </w:pPr>
    </w:p>
    <w:p w14:paraId="38E382BC">
      <w:pPr>
        <w:adjustRightInd w:val="0"/>
        <w:snapToGrid w:val="0"/>
        <w:spacing w:line="360" w:lineRule="auto"/>
        <w:rPr>
          <w:rFonts w:ascii="宋体" w:hAnsi="宋体" w:cs="宋体"/>
          <w:szCs w:val="22"/>
          <w:u w:val="single"/>
          <w:lang w:bidi="ar"/>
        </w:rPr>
      </w:pPr>
      <w:r>
        <w:rPr>
          <w:rFonts w:hint="eastAsia" w:ascii="宋体" w:hAnsi="宋体" w:cs="宋体"/>
          <w:szCs w:val="22"/>
          <w:lang w:bidi="ar"/>
        </w:rPr>
        <w:t>委托代理编号：</w:t>
      </w:r>
      <w:r>
        <w:rPr>
          <w:rFonts w:hint="eastAsia" w:ascii="宋体" w:hAnsi="宋体" w:cs="宋体"/>
          <w:szCs w:val="22"/>
          <w:u w:val="single"/>
          <w:lang w:bidi="ar"/>
        </w:rPr>
        <w:t xml:space="preserve">              </w:t>
      </w:r>
      <w:r>
        <w:rPr>
          <w:rFonts w:hint="eastAsia" w:ascii="宋体" w:hAnsi="宋体" w:cs="宋体"/>
          <w:szCs w:val="22"/>
          <w:lang w:bidi="ar"/>
        </w:rPr>
        <w:t xml:space="preserve">                          项目名称： </w:t>
      </w:r>
      <w:r>
        <w:rPr>
          <w:rFonts w:hint="eastAsia" w:ascii="宋体" w:hAnsi="宋体" w:cs="宋体"/>
          <w:szCs w:val="22"/>
          <w:u w:val="single"/>
          <w:lang w:bidi="ar"/>
        </w:rPr>
        <w:t xml:space="preserve">           </w:t>
      </w:r>
    </w:p>
    <w:p w14:paraId="6F87CF30">
      <w:pPr>
        <w:pStyle w:val="63"/>
      </w:pPr>
      <w:r>
        <w:rPr>
          <w:rFonts w:hint="eastAsia" w:cs="宋体"/>
          <w:i w:val="0"/>
          <w:kern w:val="2"/>
          <w:szCs w:val="22"/>
          <w:lang w:bidi="ar"/>
        </w:rPr>
        <w:t>包号：</w:t>
      </w:r>
      <w:r>
        <w:rPr>
          <w:rFonts w:hint="eastAsia" w:cs="宋体"/>
          <w:u w:val="single"/>
        </w:rPr>
        <w:t xml:space="preserve">              </w:t>
      </w:r>
      <w:r>
        <w:rPr>
          <w:rFonts w:hint="eastAsia" w:cs="宋体"/>
        </w:rPr>
        <w:t xml:space="preserve">                             </w:t>
      </w:r>
      <w:r>
        <w:rPr>
          <w:rFonts w:hint="eastAsia" w:cs="宋体"/>
          <w:i w:val="0"/>
          <w:kern w:val="2"/>
          <w:szCs w:val="22"/>
          <w:lang w:bidi="ar"/>
        </w:rPr>
        <w:t xml:space="preserve">     包名称：</w:t>
      </w:r>
      <w:r>
        <w:rPr>
          <w:rFonts w:hint="eastAsia" w:cs="宋体"/>
          <w:u w:val="single"/>
        </w:rPr>
        <w:t xml:space="preserve">             </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3155"/>
        <w:gridCol w:w="1559"/>
        <w:gridCol w:w="1985"/>
      </w:tblGrid>
      <w:tr w14:paraId="7185F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665" w:type="dxa"/>
            <w:vMerge w:val="restart"/>
            <w:tcBorders>
              <w:top w:val="double" w:color="auto" w:sz="4" w:space="0"/>
              <w:left w:val="double" w:color="auto" w:sz="4" w:space="0"/>
              <w:right w:val="single" w:color="auto" w:sz="6" w:space="0"/>
            </w:tcBorders>
            <w:vAlign w:val="center"/>
          </w:tcPr>
          <w:p w14:paraId="161BDACC">
            <w:pPr>
              <w:tabs>
                <w:tab w:val="left" w:pos="403"/>
                <w:tab w:val="center" w:pos="3781"/>
              </w:tabs>
              <w:spacing w:line="420" w:lineRule="exact"/>
              <w:ind w:right="-5206" w:rightChars="-2479" w:firstLine="210" w:firstLineChars="100"/>
              <w:rPr>
                <w:rFonts w:ascii="宋体" w:hAnsi="宋体" w:cs="宋体"/>
                <w:szCs w:val="21"/>
              </w:rPr>
            </w:pPr>
            <w:r>
              <w:rPr>
                <w:rFonts w:hint="eastAsia" w:ascii="宋体" w:hAnsi="宋体" w:cs="宋体"/>
                <w:szCs w:val="21"/>
              </w:rPr>
              <w:t>项目名称</w:t>
            </w:r>
            <w:r>
              <w:rPr>
                <w:rFonts w:hint="eastAsia" w:ascii="宋体" w:hAnsi="宋体" w:cs="宋体"/>
                <w:szCs w:val="21"/>
              </w:rPr>
              <w:tab/>
            </w:r>
            <w:r>
              <w:rPr>
                <w:rFonts w:hint="eastAsia" w:ascii="宋体" w:hAnsi="宋体" w:cs="宋体"/>
                <w:szCs w:val="21"/>
              </w:rPr>
              <w:t>项目名称</w:t>
            </w:r>
          </w:p>
        </w:tc>
        <w:tc>
          <w:tcPr>
            <w:tcW w:w="3155" w:type="dxa"/>
            <w:vMerge w:val="restart"/>
            <w:tcBorders>
              <w:top w:val="double" w:color="auto" w:sz="4" w:space="0"/>
              <w:left w:val="single" w:color="auto" w:sz="6" w:space="0"/>
              <w:right w:val="single" w:color="auto" w:sz="6" w:space="0"/>
            </w:tcBorders>
            <w:vAlign w:val="center"/>
          </w:tcPr>
          <w:p w14:paraId="67A6FC59">
            <w:pPr>
              <w:spacing w:line="420" w:lineRule="exact"/>
              <w:jc w:val="center"/>
              <w:rPr>
                <w:rFonts w:ascii="宋体" w:hAnsi="宋体" w:cs="宋体"/>
                <w:szCs w:val="21"/>
              </w:rPr>
            </w:pPr>
          </w:p>
        </w:tc>
        <w:tc>
          <w:tcPr>
            <w:tcW w:w="1559" w:type="dxa"/>
            <w:tcBorders>
              <w:top w:val="double" w:color="auto" w:sz="4" w:space="0"/>
              <w:left w:val="single" w:color="auto" w:sz="6" w:space="0"/>
              <w:bottom w:val="single" w:color="auto" w:sz="4" w:space="0"/>
              <w:right w:val="single" w:color="auto" w:sz="4" w:space="0"/>
            </w:tcBorders>
            <w:vAlign w:val="center"/>
          </w:tcPr>
          <w:p w14:paraId="7DA87C24">
            <w:pPr>
              <w:spacing w:line="420" w:lineRule="exact"/>
              <w:jc w:val="center"/>
              <w:rPr>
                <w:rFonts w:ascii="宋体" w:hAnsi="宋体" w:cs="宋体"/>
                <w:szCs w:val="21"/>
              </w:rPr>
            </w:pPr>
            <w:r>
              <w:rPr>
                <w:rFonts w:hint="eastAsia" w:ascii="宋体" w:hAnsi="宋体" w:cs="宋体"/>
                <w:szCs w:val="21"/>
              </w:rPr>
              <w:t>政府采购编号</w:t>
            </w:r>
          </w:p>
        </w:tc>
        <w:tc>
          <w:tcPr>
            <w:tcW w:w="1985" w:type="dxa"/>
            <w:tcBorders>
              <w:top w:val="double" w:color="auto" w:sz="4" w:space="0"/>
              <w:left w:val="single" w:color="auto" w:sz="4" w:space="0"/>
              <w:bottom w:val="single" w:color="auto" w:sz="4" w:space="0"/>
              <w:right w:val="double" w:color="auto" w:sz="4" w:space="0"/>
            </w:tcBorders>
            <w:vAlign w:val="center"/>
          </w:tcPr>
          <w:p w14:paraId="692A1032">
            <w:pPr>
              <w:tabs>
                <w:tab w:val="left" w:pos="403"/>
                <w:tab w:val="center" w:pos="3781"/>
              </w:tabs>
              <w:spacing w:line="420" w:lineRule="exact"/>
              <w:ind w:right="-5206" w:rightChars="-2479"/>
              <w:rPr>
                <w:rFonts w:ascii="宋体" w:hAnsi="宋体" w:cs="宋体"/>
                <w:szCs w:val="21"/>
              </w:rPr>
            </w:pPr>
          </w:p>
        </w:tc>
      </w:tr>
      <w:tr w14:paraId="0D61C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65" w:type="dxa"/>
            <w:vMerge w:val="continue"/>
            <w:tcBorders>
              <w:left w:val="double" w:color="auto" w:sz="4" w:space="0"/>
              <w:right w:val="single" w:color="auto" w:sz="6" w:space="0"/>
            </w:tcBorders>
            <w:vAlign w:val="center"/>
          </w:tcPr>
          <w:p w14:paraId="283E1FB2">
            <w:pPr>
              <w:tabs>
                <w:tab w:val="left" w:pos="403"/>
                <w:tab w:val="center" w:pos="3781"/>
              </w:tabs>
              <w:spacing w:line="420" w:lineRule="exact"/>
              <w:ind w:right="-5206" w:rightChars="-2479" w:firstLine="210" w:firstLineChars="100"/>
              <w:rPr>
                <w:rFonts w:ascii="宋体" w:hAnsi="宋体" w:cs="宋体"/>
                <w:szCs w:val="21"/>
              </w:rPr>
            </w:pPr>
          </w:p>
        </w:tc>
        <w:tc>
          <w:tcPr>
            <w:tcW w:w="3155" w:type="dxa"/>
            <w:vMerge w:val="continue"/>
            <w:tcBorders>
              <w:left w:val="single" w:color="auto" w:sz="6" w:space="0"/>
              <w:right w:val="single" w:color="auto" w:sz="6" w:space="0"/>
            </w:tcBorders>
            <w:vAlign w:val="center"/>
          </w:tcPr>
          <w:p w14:paraId="185E4671">
            <w:pPr>
              <w:spacing w:line="420" w:lineRule="exact"/>
              <w:jc w:val="center"/>
              <w:rPr>
                <w:rFonts w:ascii="宋体" w:hAnsi="宋体" w:cs="宋体"/>
                <w:szCs w:val="21"/>
              </w:rPr>
            </w:pPr>
          </w:p>
        </w:tc>
        <w:tc>
          <w:tcPr>
            <w:tcW w:w="1559" w:type="dxa"/>
            <w:tcBorders>
              <w:top w:val="single" w:color="auto" w:sz="4" w:space="0"/>
              <w:left w:val="single" w:color="auto" w:sz="6" w:space="0"/>
              <w:bottom w:val="single" w:color="auto" w:sz="4" w:space="0"/>
              <w:right w:val="single" w:color="auto" w:sz="4" w:space="0"/>
            </w:tcBorders>
            <w:vAlign w:val="center"/>
          </w:tcPr>
          <w:p w14:paraId="53F25FB6">
            <w:pPr>
              <w:spacing w:line="420" w:lineRule="exact"/>
              <w:jc w:val="center"/>
              <w:rPr>
                <w:rFonts w:ascii="宋体" w:hAnsi="宋体" w:cs="宋体"/>
                <w:szCs w:val="21"/>
              </w:rPr>
            </w:pPr>
            <w:r>
              <w:rPr>
                <w:rFonts w:hint="eastAsia" w:ascii="宋体" w:hAnsi="宋体" w:cs="宋体"/>
                <w:szCs w:val="21"/>
              </w:rPr>
              <w:t>委托代理编号</w:t>
            </w:r>
          </w:p>
        </w:tc>
        <w:tc>
          <w:tcPr>
            <w:tcW w:w="1985" w:type="dxa"/>
            <w:tcBorders>
              <w:top w:val="single" w:color="auto" w:sz="4" w:space="0"/>
              <w:left w:val="single" w:color="auto" w:sz="4" w:space="0"/>
              <w:bottom w:val="single" w:color="auto" w:sz="4" w:space="0"/>
              <w:right w:val="double" w:color="auto" w:sz="4" w:space="0"/>
            </w:tcBorders>
            <w:vAlign w:val="center"/>
          </w:tcPr>
          <w:p w14:paraId="370128BA">
            <w:pPr>
              <w:tabs>
                <w:tab w:val="left" w:pos="403"/>
                <w:tab w:val="center" w:pos="3781"/>
              </w:tabs>
              <w:spacing w:line="420" w:lineRule="exact"/>
              <w:ind w:right="-5206" w:rightChars="-2479"/>
              <w:rPr>
                <w:rFonts w:ascii="宋体" w:hAnsi="宋体" w:cs="宋体"/>
                <w:szCs w:val="21"/>
              </w:rPr>
            </w:pPr>
          </w:p>
        </w:tc>
      </w:tr>
      <w:tr w14:paraId="7C6FA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65" w:type="dxa"/>
            <w:tcBorders>
              <w:left w:val="double" w:color="auto" w:sz="4" w:space="0"/>
              <w:right w:val="single" w:color="auto" w:sz="6" w:space="0"/>
            </w:tcBorders>
            <w:vAlign w:val="center"/>
          </w:tcPr>
          <w:p w14:paraId="2491324B">
            <w:pPr>
              <w:tabs>
                <w:tab w:val="left" w:pos="403"/>
                <w:tab w:val="center" w:pos="3781"/>
              </w:tabs>
              <w:spacing w:line="420" w:lineRule="exact"/>
              <w:ind w:right="-5206" w:rightChars="-2479" w:firstLine="380" w:firstLineChars="200"/>
              <w:rPr>
                <w:rFonts w:ascii="宋体" w:hAnsi="宋体" w:cs="宋体"/>
                <w:szCs w:val="21"/>
              </w:rPr>
            </w:pPr>
            <w:r>
              <w:rPr>
                <w:rFonts w:hint="eastAsia" w:ascii="宋体" w:hAnsi="宋体" w:cs="宋体"/>
                <w:spacing w:val="-10"/>
                <w:szCs w:val="21"/>
              </w:rPr>
              <w:t>包   号</w:t>
            </w:r>
          </w:p>
        </w:tc>
        <w:tc>
          <w:tcPr>
            <w:tcW w:w="6699" w:type="dxa"/>
            <w:gridSpan w:val="3"/>
            <w:tcBorders>
              <w:left w:val="single" w:color="auto" w:sz="6" w:space="0"/>
              <w:right w:val="double" w:color="auto" w:sz="4" w:space="0"/>
            </w:tcBorders>
            <w:vAlign w:val="center"/>
          </w:tcPr>
          <w:p w14:paraId="6FD7B16A">
            <w:pPr>
              <w:tabs>
                <w:tab w:val="left" w:pos="403"/>
                <w:tab w:val="center" w:pos="3781"/>
              </w:tabs>
              <w:spacing w:line="420" w:lineRule="exact"/>
              <w:ind w:right="-5206" w:rightChars="-2479"/>
              <w:rPr>
                <w:rFonts w:ascii="宋体" w:hAnsi="宋体" w:cs="宋体"/>
                <w:szCs w:val="21"/>
              </w:rPr>
            </w:pPr>
          </w:p>
        </w:tc>
      </w:tr>
      <w:tr w14:paraId="05461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65" w:type="dxa"/>
            <w:tcBorders>
              <w:top w:val="single" w:color="auto" w:sz="6" w:space="0"/>
              <w:left w:val="double" w:color="auto" w:sz="4" w:space="0"/>
              <w:bottom w:val="single" w:color="auto" w:sz="6" w:space="0"/>
              <w:right w:val="single" w:color="auto" w:sz="6" w:space="0"/>
            </w:tcBorders>
            <w:vAlign w:val="center"/>
          </w:tcPr>
          <w:p w14:paraId="0CBFF87C">
            <w:pPr>
              <w:adjustRightInd w:val="0"/>
              <w:snapToGrid w:val="0"/>
              <w:ind w:left="-88" w:leftChars="-42"/>
              <w:jc w:val="center"/>
              <w:rPr>
                <w:rFonts w:ascii="宋体" w:hAnsi="宋体" w:cs="宋体"/>
                <w:spacing w:val="-16"/>
                <w:szCs w:val="21"/>
              </w:rPr>
            </w:pPr>
            <w:r>
              <w:rPr>
                <w:rFonts w:hint="eastAsia" w:ascii="宋体" w:hAnsi="宋体" w:cs="宋体"/>
                <w:szCs w:val="21"/>
              </w:rPr>
              <w:t>投标报价</w:t>
            </w:r>
          </w:p>
        </w:tc>
        <w:tc>
          <w:tcPr>
            <w:tcW w:w="6699" w:type="dxa"/>
            <w:gridSpan w:val="3"/>
            <w:tcBorders>
              <w:top w:val="single" w:color="auto" w:sz="6" w:space="0"/>
              <w:left w:val="single" w:color="auto" w:sz="6" w:space="0"/>
              <w:bottom w:val="single" w:color="auto" w:sz="6" w:space="0"/>
              <w:right w:val="double" w:color="auto" w:sz="4" w:space="0"/>
            </w:tcBorders>
            <w:vAlign w:val="center"/>
          </w:tcPr>
          <w:p w14:paraId="673094ED">
            <w:pPr>
              <w:adjustRightInd w:val="0"/>
              <w:snapToGrid w:val="0"/>
              <w:spacing w:before="161" w:beforeLines="50" w:after="161" w:afterLines="50"/>
              <w:rPr>
                <w:rFonts w:ascii="宋体" w:hAnsi="宋体" w:cs="宋体"/>
                <w:szCs w:val="21"/>
              </w:rPr>
            </w:pPr>
          </w:p>
        </w:tc>
      </w:tr>
      <w:tr w14:paraId="70EFE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665" w:type="dxa"/>
            <w:tcBorders>
              <w:top w:val="single" w:color="auto" w:sz="6" w:space="0"/>
              <w:left w:val="double" w:color="auto" w:sz="4" w:space="0"/>
              <w:bottom w:val="single" w:color="auto" w:sz="6" w:space="0"/>
              <w:right w:val="single" w:color="auto" w:sz="6" w:space="0"/>
            </w:tcBorders>
            <w:vAlign w:val="center"/>
          </w:tcPr>
          <w:p w14:paraId="0D5F9B0E">
            <w:pPr>
              <w:spacing w:line="420" w:lineRule="exact"/>
              <w:jc w:val="center"/>
              <w:rPr>
                <w:rFonts w:ascii="宋体" w:hAnsi="宋体" w:cs="宋体"/>
                <w:szCs w:val="21"/>
              </w:rPr>
            </w:pPr>
            <w:r>
              <w:rPr>
                <w:rFonts w:hint="eastAsia" w:ascii="宋体" w:hAnsi="宋体" w:cs="宋体"/>
                <w:szCs w:val="21"/>
              </w:rPr>
              <w:t>项目负责人</w:t>
            </w:r>
          </w:p>
        </w:tc>
        <w:tc>
          <w:tcPr>
            <w:tcW w:w="6699" w:type="dxa"/>
            <w:gridSpan w:val="3"/>
            <w:tcBorders>
              <w:top w:val="single" w:color="auto" w:sz="6" w:space="0"/>
              <w:left w:val="single" w:color="auto" w:sz="6" w:space="0"/>
              <w:bottom w:val="single" w:color="auto" w:sz="6" w:space="0"/>
              <w:right w:val="double" w:color="auto" w:sz="4" w:space="0"/>
            </w:tcBorders>
            <w:vAlign w:val="center"/>
          </w:tcPr>
          <w:p w14:paraId="6FAE6E3C">
            <w:pPr>
              <w:spacing w:line="420" w:lineRule="exact"/>
              <w:ind w:firstLine="210" w:firstLineChars="100"/>
              <w:rPr>
                <w:rFonts w:ascii="宋体" w:hAnsi="宋体" w:cs="宋体"/>
                <w:szCs w:val="21"/>
              </w:rPr>
            </w:pPr>
          </w:p>
        </w:tc>
      </w:tr>
      <w:tr w14:paraId="00501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65" w:type="dxa"/>
            <w:tcBorders>
              <w:top w:val="single" w:color="auto" w:sz="6" w:space="0"/>
              <w:left w:val="double" w:color="auto" w:sz="4" w:space="0"/>
              <w:bottom w:val="double" w:color="auto" w:sz="4" w:space="0"/>
              <w:right w:val="single" w:color="auto" w:sz="6" w:space="0"/>
            </w:tcBorders>
            <w:vAlign w:val="center"/>
          </w:tcPr>
          <w:p w14:paraId="4097EE0E">
            <w:pPr>
              <w:spacing w:line="420" w:lineRule="exact"/>
              <w:jc w:val="center"/>
              <w:rPr>
                <w:rFonts w:ascii="宋体" w:hAnsi="宋体" w:cs="宋体"/>
                <w:szCs w:val="21"/>
              </w:rPr>
            </w:pPr>
            <w:r>
              <w:rPr>
                <w:rFonts w:hint="eastAsia" w:ascii="宋体" w:hAnsi="宋体" w:cs="宋体"/>
                <w:szCs w:val="21"/>
              </w:rPr>
              <w:t>备  注</w:t>
            </w:r>
          </w:p>
        </w:tc>
        <w:tc>
          <w:tcPr>
            <w:tcW w:w="6699" w:type="dxa"/>
            <w:gridSpan w:val="3"/>
            <w:tcBorders>
              <w:top w:val="single" w:color="auto" w:sz="6" w:space="0"/>
              <w:left w:val="single" w:color="auto" w:sz="6" w:space="0"/>
              <w:bottom w:val="double" w:color="auto" w:sz="4" w:space="0"/>
              <w:right w:val="double" w:color="auto" w:sz="4" w:space="0"/>
            </w:tcBorders>
            <w:vAlign w:val="center"/>
          </w:tcPr>
          <w:p w14:paraId="39A8F7F5">
            <w:pPr>
              <w:spacing w:line="420" w:lineRule="exact"/>
              <w:rPr>
                <w:rFonts w:ascii="宋体" w:hAnsi="宋体" w:cs="宋体"/>
                <w:szCs w:val="21"/>
              </w:rPr>
            </w:pPr>
          </w:p>
        </w:tc>
      </w:tr>
    </w:tbl>
    <w:p w14:paraId="2A7DAF0F">
      <w:pPr>
        <w:adjustRightInd w:val="0"/>
        <w:snapToGrid w:val="0"/>
        <w:spacing w:line="360" w:lineRule="auto"/>
        <w:rPr>
          <w:rFonts w:ascii="宋体" w:hAnsi="宋体" w:cs="宋体"/>
          <w:b/>
          <w:szCs w:val="22"/>
          <w:lang w:bidi="ar"/>
        </w:rPr>
      </w:pPr>
    </w:p>
    <w:p w14:paraId="387472D6">
      <w:pPr>
        <w:adjustRightInd w:val="0"/>
        <w:snapToGrid w:val="0"/>
        <w:spacing w:line="360" w:lineRule="auto"/>
        <w:rPr>
          <w:rFonts w:ascii="宋体" w:hAnsi="宋体" w:cs="宋体"/>
          <w:b/>
          <w:szCs w:val="22"/>
          <w:lang w:bidi="ar"/>
        </w:rPr>
      </w:pPr>
      <w:r>
        <w:rPr>
          <w:rFonts w:hint="eastAsia" w:ascii="宋体" w:hAnsi="宋体" w:cs="宋体"/>
          <w:b/>
          <w:szCs w:val="22"/>
          <w:lang w:bidi="ar"/>
        </w:rPr>
        <w:t>备注：</w:t>
      </w:r>
      <w:r>
        <w:rPr>
          <w:rFonts w:hint="eastAsia" w:ascii="宋体" w:hAnsi="宋体" w:cs="宋体"/>
          <w:szCs w:val="21"/>
        </w:rPr>
        <w:t>（1）本表须按包填写，一个“包号”一份。</w:t>
      </w:r>
    </w:p>
    <w:p w14:paraId="24610C4B">
      <w:pPr>
        <w:adjustRightInd w:val="0"/>
        <w:snapToGrid w:val="0"/>
        <w:spacing w:line="360" w:lineRule="auto"/>
        <w:rPr>
          <w:rFonts w:ascii="宋体" w:hAnsi="宋体" w:cs="宋体"/>
        </w:rPr>
      </w:pPr>
      <w:r>
        <w:rPr>
          <w:rFonts w:hint="eastAsia" w:ascii="宋体" w:hAnsi="宋体" w:cs="宋体"/>
          <w:szCs w:val="22"/>
          <w:lang w:bidi="ar"/>
        </w:rPr>
        <w:t>（2）投标人提交两份及以上投标报价不同的“开标一览表”，且未书面说明哪个有效或以哪个为准的，其</w:t>
      </w:r>
      <w:r>
        <w:rPr>
          <w:rFonts w:hint="eastAsia" w:ascii="宋体" w:hAnsi="宋体" w:cs="宋体"/>
          <w:b/>
          <w:szCs w:val="22"/>
          <w:lang w:bidi="ar"/>
        </w:rPr>
        <w:t>投标无效</w:t>
      </w:r>
      <w:r>
        <w:rPr>
          <w:rFonts w:hint="eastAsia" w:ascii="宋体" w:hAnsi="宋体" w:cs="宋体"/>
          <w:szCs w:val="22"/>
          <w:lang w:bidi="ar"/>
        </w:rPr>
        <w:t>。</w:t>
      </w:r>
    </w:p>
    <w:p w14:paraId="5B3CD048">
      <w:pPr>
        <w:adjustRightInd w:val="0"/>
        <w:snapToGrid w:val="0"/>
        <w:spacing w:line="360" w:lineRule="auto"/>
        <w:ind w:firstLine="420" w:firstLineChars="200"/>
        <w:rPr>
          <w:rFonts w:ascii="宋体" w:hAnsi="宋体" w:cs="宋体"/>
        </w:rPr>
      </w:pPr>
      <w:r>
        <w:rPr>
          <w:rFonts w:hint="eastAsia" w:ascii="宋体" w:hAnsi="宋体" w:cs="宋体"/>
          <w:szCs w:val="22"/>
          <w:lang w:bidi="ar"/>
        </w:rPr>
        <w:t>（3）投标人在投标截止时间前修改“开标一览表”中的投标报价的，应同时修改投标文件“分项报价明细表”“享受政府采购政策优惠的证明资料”以及“联合体协议书”（如果影响）等相关内容。</w:t>
      </w:r>
    </w:p>
    <w:p w14:paraId="45690B5F">
      <w:pPr>
        <w:adjustRightInd w:val="0"/>
        <w:snapToGrid w:val="0"/>
        <w:spacing w:line="360" w:lineRule="auto"/>
        <w:ind w:firstLine="420" w:firstLineChars="200"/>
        <w:rPr>
          <w:rFonts w:ascii="宋体" w:hAnsi="宋体" w:cs="宋体"/>
        </w:rPr>
      </w:pPr>
      <w:r>
        <w:rPr>
          <w:rFonts w:hint="eastAsia" w:ascii="宋体" w:hAnsi="宋体" w:cs="宋体"/>
          <w:szCs w:val="22"/>
          <w:lang w:bidi="ar"/>
        </w:rPr>
        <w:t xml:space="preserve"> </w:t>
      </w:r>
    </w:p>
    <w:p w14:paraId="711F65D1">
      <w:pPr>
        <w:adjustRightInd w:val="0"/>
        <w:snapToGrid w:val="0"/>
        <w:spacing w:line="360" w:lineRule="auto"/>
        <w:rPr>
          <w:rFonts w:ascii="宋体" w:hAnsi="宋体" w:cs="宋体"/>
        </w:rPr>
      </w:pPr>
      <w:r>
        <w:rPr>
          <w:rFonts w:hint="eastAsia" w:ascii="宋体" w:hAnsi="宋体" w:cs="宋体"/>
          <w:szCs w:val="22"/>
          <w:lang w:bidi="ar"/>
        </w:rPr>
        <w:t xml:space="preserve"> </w:t>
      </w:r>
    </w:p>
    <w:p w14:paraId="4FBA8271">
      <w:pPr>
        <w:adjustRightInd w:val="0"/>
        <w:snapToGrid w:val="0"/>
        <w:spacing w:line="360" w:lineRule="auto"/>
        <w:rPr>
          <w:rFonts w:ascii="宋体" w:hAnsi="宋体" w:cs="宋体"/>
        </w:rPr>
      </w:pPr>
      <w:r>
        <w:rPr>
          <w:rFonts w:hint="eastAsia" w:ascii="宋体" w:hAnsi="宋体" w:cs="宋体"/>
          <w:szCs w:val="22"/>
          <w:lang w:bidi="ar"/>
        </w:rPr>
        <w:t>投标人名称（盖单位章）：</w:t>
      </w:r>
    </w:p>
    <w:p w14:paraId="43D2EE97">
      <w:pPr>
        <w:adjustRightInd w:val="0"/>
        <w:snapToGrid w:val="0"/>
        <w:spacing w:line="360" w:lineRule="auto"/>
        <w:rPr>
          <w:rFonts w:ascii="宋体" w:hAnsi="宋体" w:cs="宋体"/>
        </w:rPr>
      </w:pPr>
      <w:r>
        <w:rPr>
          <w:rFonts w:hint="eastAsia" w:ascii="宋体" w:hAnsi="宋体" w:cs="宋体"/>
          <w:spacing w:val="-2"/>
          <w:kern w:val="0"/>
          <w:szCs w:val="22"/>
          <w:lang w:bidi="ar"/>
        </w:rPr>
        <w:t>法</w:t>
      </w:r>
      <w:r>
        <w:rPr>
          <w:rFonts w:hint="eastAsia" w:ascii="宋体" w:hAnsi="宋体" w:cs="宋体"/>
          <w:kern w:val="0"/>
          <w:szCs w:val="22"/>
          <w:lang w:bidi="ar"/>
        </w:rPr>
        <w:t>定</w:t>
      </w:r>
      <w:r>
        <w:rPr>
          <w:rFonts w:hint="eastAsia" w:ascii="宋体" w:hAnsi="宋体" w:cs="宋体"/>
          <w:spacing w:val="-2"/>
          <w:kern w:val="0"/>
          <w:szCs w:val="22"/>
          <w:lang w:bidi="ar"/>
        </w:rPr>
        <w:t>代</w:t>
      </w:r>
      <w:r>
        <w:rPr>
          <w:rFonts w:hint="eastAsia" w:ascii="宋体" w:hAnsi="宋体" w:cs="宋体"/>
          <w:kern w:val="0"/>
          <w:szCs w:val="22"/>
          <w:lang w:bidi="ar"/>
        </w:rPr>
        <w:t>表</w:t>
      </w:r>
      <w:r>
        <w:rPr>
          <w:rFonts w:hint="eastAsia" w:ascii="宋体" w:hAnsi="宋体" w:cs="宋体"/>
          <w:spacing w:val="-2"/>
          <w:kern w:val="0"/>
          <w:szCs w:val="22"/>
          <w:lang w:bidi="ar"/>
        </w:rPr>
        <w:t>人</w:t>
      </w:r>
      <w:r>
        <w:rPr>
          <w:rFonts w:hint="eastAsia" w:ascii="宋体" w:hAnsi="宋体" w:cs="宋体"/>
          <w:kern w:val="0"/>
          <w:szCs w:val="22"/>
          <w:lang w:bidi="ar"/>
        </w:rPr>
        <w:t>（</w:t>
      </w:r>
      <w:r>
        <w:rPr>
          <w:rFonts w:hint="eastAsia" w:ascii="宋体" w:hAnsi="宋体" w:cs="宋体"/>
          <w:spacing w:val="-2"/>
          <w:kern w:val="0"/>
          <w:szCs w:val="22"/>
          <w:lang w:bidi="ar"/>
        </w:rPr>
        <w:t>单</w:t>
      </w:r>
      <w:r>
        <w:rPr>
          <w:rFonts w:hint="eastAsia" w:ascii="宋体" w:hAnsi="宋体" w:cs="宋体"/>
          <w:kern w:val="0"/>
          <w:szCs w:val="22"/>
          <w:lang w:bidi="ar"/>
        </w:rPr>
        <w:t>位</w:t>
      </w:r>
      <w:r>
        <w:rPr>
          <w:rFonts w:hint="eastAsia" w:ascii="宋体" w:hAnsi="宋体" w:cs="宋体"/>
          <w:spacing w:val="-2"/>
          <w:kern w:val="0"/>
          <w:szCs w:val="22"/>
          <w:lang w:bidi="ar"/>
        </w:rPr>
        <w:t>负</w:t>
      </w:r>
      <w:r>
        <w:rPr>
          <w:rFonts w:hint="eastAsia" w:ascii="宋体" w:hAnsi="宋体" w:cs="宋体"/>
          <w:kern w:val="0"/>
          <w:szCs w:val="22"/>
          <w:lang w:bidi="ar"/>
        </w:rPr>
        <w:t>责人</w:t>
      </w:r>
      <w:r>
        <w:rPr>
          <w:rFonts w:hint="eastAsia" w:ascii="宋体" w:hAnsi="宋体" w:cs="宋体"/>
          <w:spacing w:val="-2"/>
          <w:kern w:val="0"/>
          <w:szCs w:val="22"/>
          <w:lang w:bidi="ar"/>
        </w:rPr>
        <w:t>）</w:t>
      </w:r>
      <w:r>
        <w:rPr>
          <w:rFonts w:hint="eastAsia" w:ascii="宋体" w:hAnsi="宋体" w:cs="宋体"/>
          <w:szCs w:val="22"/>
          <w:lang w:bidi="ar"/>
        </w:rPr>
        <w:t>或其授权的代理人（签字或印章）：</w:t>
      </w:r>
    </w:p>
    <w:p w14:paraId="7DA4C8E7">
      <w:pPr>
        <w:widowControl/>
        <w:jc w:val="left"/>
      </w:pPr>
      <w:r>
        <w:rPr>
          <w:rFonts w:hint="eastAsia" w:ascii="宋体" w:hAnsi="宋体"/>
          <w:szCs w:val="22"/>
          <w:lang w:bidi="ar"/>
        </w:rPr>
        <w:t>日期：   年   月   日</w:t>
      </w:r>
    </w:p>
    <w:p w14:paraId="56661BDA">
      <w:pPr>
        <w:adjustRightInd w:val="0"/>
        <w:snapToGrid w:val="0"/>
        <w:spacing w:line="360" w:lineRule="auto"/>
        <w:rPr>
          <w:rFonts w:ascii="宋体" w:hAnsi="宋体" w:cs="宋体"/>
          <w:szCs w:val="21"/>
        </w:rPr>
      </w:pPr>
    </w:p>
    <w:p w14:paraId="61582164">
      <w:pPr>
        <w:widowControl/>
        <w:jc w:val="left"/>
        <w:rPr>
          <w:rFonts w:ascii="宋体" w:hAnsi="宋体" w:cs="宋体"/>
          <w:szCs w:val="21"/>
        </w:rPr>
      </w:pPr>
      <w:r>
        <w:rPr>
          <w:rFonts w:hint="eastAsia" w:ascii="宋体" w:hAnsi="宋体" w:cs="宋体"/>
          <w:szCs w:val="21"/>
        </w:rPr>
        <w:br w:type="page"/>
      </w:r>
    </w:p>
    <w:p w14:paraId="3B5ACF5B">
      <w:pPr>
        <w:adjustRightInd w:val="0"/>
        <w:snapToGrid w:val="0"/>
        <w:spacing w:before="161" w:beforeLines="50" w:line="360" w:lineRule="auto"/>
        <w:ind w:firstLine="562" w:firstLineChars="200"/>
        <w:jc w:val="center"/>
        <w:rPr>
          <w:rFonts w:ascii="宋体" w:hAnsi="宋体" w:cs="宋体"/>
          <w:sz w:val="28"/>
          <w:szCs w:val="28"/>
        </w:rPr>
      </w:pPr>
      <w:r>
        <w:rPr>
          <w:rFonts w:hint="eastAsia" w:ascii="宋体" w:hAnsi="宋体" w:cs="宋体"/>
          <w:b/>
          <w:bCs/>
          <w:sz w:val="28"/>
          <w:szCs w:val="28"/>
        </w:rPr>
        <w:t>（二）保证金</w:t>
      </w:r>
    </w:p>
    <w:p w14:paraId="2A68EAC1">
      <w:pPr>
        <w:rPr>
          <w:rFonts w:ascii="宋体" w:hAnsi="宋体" w:cs="宋体"/>
        </w:rPr>
      </w:pPr>
      <w:r>
        <w:rPr>
          <w:rFonts w:hint="eastAsia" w:ascii="宋体" w:hAnsi="宋体" w:cs="宋体"/>
        </w:rPr>
        <w:t>本项目不要求提供投标保证金。</w:t>
      </w:r>
      <w:r>
        <w:rPr>
          <w:rFonts w:hint="eastAsia" w:ascii="宋体" w:hAnsi="宋体" w:cs="宋体"/>
        </w:rPr>
        <w:br w:type="page"/>
      </w:r>
    </w:p>
    <w:p w14:paraId="4F18D37F">
      <w:pPr>
        <w:pStyle w:val="4"/>
        <w:adjustRightInd w:val="0"/>
        <w:snapToGrid w:val="0"/>
        <w:spacing w:before="0" w:after="0" w:line="360" w:lineRule="auto"/>
        <w:jc w:val="center"/>
        <w:rPr>
          <w:rFonts w:ascii="宋体" w:hAnsi="宋体" w:cs="宋体"/>
          <w:sz w:val="28"/>
          <w:szCs w:val="28"/>
        </w:rPr>
      </w:pPr>
      <w:bookmarkStart w:id="111" w:name="_Toc28751"/>
      <w:bookmarkStart w:id="112" w:name="_Toc14644"/>
      <w:bookmarkStart w:id="113" w:name="_Toc15321"/>
      <w:bookmarkStart w:id="114" w:name="_Toc31621"/>
    </w:p>
    <w:p w14:paraId="5846A361">
      <w:pPr>
        <w:pStyle w:val="4"/>
        <w:adjustRightInd w:val="0"/>
        <w:snapToGrid w:val="0"/>
        <w:spacing w:before="0" w:after="0" w:line="360" w:lineRule="auto"/>
        <w:jc w:val="center"/>
        <w:rPr>
          <w:rFonts w:ascii="宋体" w:hAnsi="宋体" w:cs="宋体"/>
          <w:sz w:val="28"/>
          <w:szCs w:val="28"/>
        </w:rPr>
      </w:pPr>
      <w:r>
        <w:rPr>
          <w:rFonts w:hint="eastAsia" w:ascii="宋体" w:hAnsi="宋体" w:cs="宋体"/>
          <w:sz w:val="28"/>
          <w:szCs w:val="28"/>
        </w:rPr>
        <w:t>（三）法定代表人（单位负责人）身份证明或授权委托书</w:t>
      </w:r>
      <w:bookmarkEnd w:id="111"/>
      <w:bookmarkEnd w:id="112"/>
      <w:bookmarkEnd w:id="113"/>
      <w:bookmarkEnd w:id="114"/>
    </w:p>
    <w:p w14:paraId="4F1DADD1">
      <w:pPr>
        <w:tabs>
          <w:tab w:val="left" w:pos="3880"/>
        </w:tabs>
        <w:autoSpaceDE w:val="0"/>
        <w:autoSpaceDN w:val="0"/>
        <w:adjustRightInd w:val="0"/>
        <w:snapToGrid w:val="0"/>
        <w:spacing w:line="360" w:lineRule="auto"/>
        <w:ind w:left="100" w:right="-20"/>
        <w:jc w:val="left"/>
        <w:rPr>
          <w:rFonts w:ascii="宋体" w:hAnsi="宋体" w:cs="宋体"/>
          <w:kern w:val="0"/>
          <w:position w:val="-4"/>
          <w:szCs w:val="21"/>
        </w:rPr>
      </w:pPr>
    </w:p>
    <w:p w14:paraId="4E0A87D2">
      <w:pPr>
        <w:tabs>
          <w:tab w:val="left" w:pos="3880"/>
        </w:tabs>
        <w:autoSpaceDE w:val="0"/>
        <w:autoSpaceDN w:val="0"/>
        <w:adjustRightInd w:val="0"/>
        <w:snapToGrid w:val="0"/>
        <w:spacing w:line="360" w:lineRule="auto"/>
        <w:ind w:left="100" w:right="-20"/>
        <w:jc w:val="center"/>
        <w:rPr>
          <w:rFonts w:ascii="宋体" w:hAnsi="宋体" w:cs="宋体"/>
          <w:kern w:val="0"/>
          <w:sz w:val="28"/>
          <w:szCs w:val="28"/>
          <w:lang w:val="zh-CN" w:bidi="zh-CN"/>
        </w:rPr>
      </w:pPr>
      <w:r>
        <w:rPr>
          <w:rFonts w:hint="eastAsia" w:ascii="宋体" w:hAnsi="宋体" w:cs="宋体"/>
          <w:kern w:val="0"/>
          <w:sz w:val="28"/>
          <w:szCs w:val="28"/>
          <w:lang w:val="zh-CN" w:bidi="zh-CN"/>
        </w:rPr>
        <w:t>法定代表人（单位负责人）身份证明</w:t>
      </w:r>
    </w:p>
    <w:p w14:paraId="3AE2B014">
      <w:pPr>
        <w:tabs>
          <w:tab w:val="left" w:pos="3880"/>
        </w:tabs>
        <w:autoSpaceDE w:val="0"/>
        <w:autoSpaceDN w:val="0"/>
        <w:adjustRightInd w:val="0"/>
        <w:snapToGrid w:val="0"/>
        <w:spacing w:line="360" w:lineRule="auto"/>
        <w:ind w:left="100" w:right="-20"/>
        <w:jc w:val="left"/>
        <w:rPr>
          <w:rFonts w:ascii="宋体" w:hAnsi="宋体" w:cs="宋体"/>
          <w:kern w:val="0"/>
          <w:position w:val="-4"/>
          <w:szCs w:val="21"/>
        </w:rPr>
      </w:pPr>
    </w:p>
    <w:p w14:paraId="1C2CE934">
      <w:pPr>
        <w:tabs>
          <w:tab w:val="left" w:pos="3880"/>
        </w:tabs>
        <w:autoSpaceDE w:val="0"/>
        <w:autoSpaceDN w:val="0"/>
        <w:adjustRightInd w:val="0"/>
        <w:snapToGrid w:val="0"/>
        <w:spacing w:line="360" w:lineRule="auto"/>
        <w:ind w:left="100" w:right="-20"/>
        <w:jc w:val="left"/>
        <w:rPr>
          <w:rFonts w:ascii="宋体" w:hAnsi="宋体" w:cs="宋体"/>
          <w:kern w:val="0"/>
          <w:szCs w:val="21"/>
          <w:u w:val="single"/>
        </w:rPr>
      </w:pPr>
      <w:r>
        <w:rPr>
          <w:rFonts w:hint="eastAsia" w:ascii="宋体" w:hAnsi="宋体" w:cs="宋体"/>
          <w:kern w:val="0"/>
          <w:position w:val="-4"/>
          <w:szCs w:val="21"/>
        </w:rPr>
        <w:t>投标人名</w:t>
      </w:r>
      <w:r>
        <w:rPr>
          <w:rFonts w:hint="eastAsia" w:ascii="宋体" w:hAnsi="宋体" w:cs="宋体"/>
          <w:spacing w:val="-2"/>
          <w:kern w:val="0"/>
          <w:position w:val="-4"/>
          <w:szCs w:val="21"/>
        </w:rPr>
        <w:t>称</w:t>
      </w:r>
      <w:r>
        <w:rPr>
          <w:rFonts w:hint="eastAsia" w:ascii="宋体" w:hAnsi="宋体" w:cs="宋体"/>
          <w:kern w:val="0"/>
          <w:position w:val="-4"/>
          <w:szCs w:val="21"/>
        </w:rPr>
        <w:t>：</w:t>
      </w:r>
      <w:r>
        <w:rPr>
          <w:rFonts w:hint="eastAsia" w:ascii="宋体" w:hAnsi="宋体" w:cs="宋体"/>
          <w:kern w:val="0"/>
          <w:position w:val="-4"/>
          <w:szCs w:val="21"/>
          <w:u w:val="single"/>
        </w:rPr>
        <w:t xml:space="preserve">               </w:t>
      </w:r>
    </w:p>
    <w:p w14:paraId="23689FA3">
      <w:pPr>
        <w:tabs>
          <w:tab w:val="left" w:pos="3880"/>
        </w:tabs>
        <w:autoSpaceDE w:val="0"/>
        <w:autoSpaceDN w:val="0"/>
        <w:adjustRightInd w:val="0"/>
        <w:snapToGrid w:val="0"/>
        <w:spacing w:line="360" w:lineRule="auto"/>
        <w:ind w:left="100" w:right="-20"/>
        <w:jc w:val="left"/>
        <w:rPr>
          <w:rFonts w:ascii="宋体" w:hAnsi="宋体" w:cs="宋体"/>
          <w:kern w:val="0"/>
          <w:szCs w:val="21"/>
          <w:u w:val="single"/>
        </w:rPr>
      </w:pPr>
      <w:r>
        <w:rPr>
          <w:rFonts w:hint="eastAsia" w:ascii="宋体" w:hAnsi="宋体" w:cs="宋体"/>
          <w:kern w:val="0"/>
          <w:position w:val="-2"/>
          <w:szCs w:val="21"/>
        </w:rPr>
        <w:t>统一社会信用代码：</w:t>
      </w:r>
      <w:r>
        <w:rPr>
          <w:rFonts w:hint="eastAsia" w:ascii="宋体" w:hAnsi="宋体" w:cs="宋体"/>
          <w:kern w:val="0"/>
          <w:position w:val="-4"/>
          <w:szCs w:val="21"/>
          <w:u w:val="single"/>
        </w:rPr>
        <w:t xml:space="preserve">               </w:t>
      </w:r>
    </w:p>
    <w:p w14:paraId="4E8AA478">
      <w:pPr>
        <w:tabs>
          <w:tab w:val="left" w:pos="3880"/>
        </w:tabs>
        <w:autoSpaceDE w:val="0"/>
        <w:autoSpaceDN w:val="0"/>
        <w:adjustRightInd w:val="0"/>
        <w:snapToGrid w:val="0"/>
        <w:spacing w:line="360" w:lineRule="auto"/>
        <w:ind w:left="100" w:right="-20"/>
        <w:jc w:val="left"/>
        <w:rPr>
          <w:rFonts w:ascii="宋体" w:hAnsi="宋体" w:cs="宋体"/>
          <w:kern w:val="0"/>
          <w:szCs w:val="21"/>
          <w:u w:val="single"/>
        </w:rPr>
      </w:pPr>
      <w:r>
        <w:rPr>
          <w:rFonts w:hint="eastAsia" w:ascii="宋体" w:hAnsi="宋体" w:cs="宋体"/>
          <w:kern w:val="0"/>
          <w:position w:val="-2"/>
          <w:szCs w:val="21"/>
        </w:rPr>
        <w:t>注册地址：</w:t>
      </w:r>
      <w:r>
        <w:rPr>
          <w:rFonts w:hint="eastAsia" w:ascii="宋体" w:hAnsi="宋体" w:cs="宋体"/>
          <w:kern w:val="0"/>
          <w:position w:val="-4"/>
          <w:szCs w:val="21"/>
          <w:u w:val="single"/>
        </w:rPr>
        <w:t xml:space="preserve">               </w:t>
      </w:r>
    </w:p>
    <w:p w14:paraId="38A3D34A">
      <w:pPr>
        <w:tabs>
          <w:tab w:val="left" w:pos="2400"/>
          <w:tab w:val="left" w:pos="3880"/>
          <w:tab w:val="left" w:pos="5340"/>
          <w:tab w:val="left" w:pos="6820"/>
        </w:tabs>
        <w:autoSpaceDE w:val="0"/>
        <w:autoSpaceDN w:val="0"/>
        <w:adjustRightInd w:val="0"/>
        <w:snapToGrid w:val="0"/>
        <w:spacing w:line="360" w:lineRule="auto"/>
        <w:ind w:right="-23"/>
        <w:jc w:val="left"/>
        <w:rPr>
          <w:rFonts w:ascii="宋体" w:hAnsi="宋体" w:cs="宋体"/>
          <w:kern w:val="0"/>
          <w:szCs w:val="21"/>
        </w:rPr>
      </w:pPr>
      <w:r>
        <w:rPr>
          <w:rFonts w:hint="eastAsia" w:ascii="宋体" w:hAnsi="宋体" w:cs="宋体"/>
          <w:kern w:val="0"/>
          <w:position w:val="-2"/>
          <w:szCs w:val="21"/>
        </w:rPr>
        <w:t>姓名</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性别</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年</w:t>
      </w:r>
      <w:r>
        <w:rPr>
          <w:rFonts w:hint="eastAsia" w:ascii="宋体" w:hAnsi="宋体" w:cs="宋体"/>
          <w:spacing w:val="-2"/>
          <w:kern w:val="0"/>
          <w:position w:val="-2"/>
          <w:szCs w:val="21"/>
        </w:rPr>
        <w:t>龄</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职</w:t>
      </w:r>
      <w:r>
        <w:rPr>
          <w:rFonts w:hint="eastAsia" w:ascii="宋体" w:hAnsi="宋体" w:cs="宋体"/>
          <w:spacing w:val="-2"/>
          <w:kern w:val="0"/>
          <w:position w:val="-2"/>
          <w:szCs w:val="21"/>
        </w:rPr>
        <w:t>务</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系</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u w:val="single"/>
        </w:rPr>
        <w:t>投标人</w:t>
      </w:r>
      <w:r>
        <w:rPr>
          <w:rFonts w:hint="eastAsia" w:ascii="宋体" w:hAnsi="宋体" w:cs="宋体"/>
          <w:spacing w:val="-2"/>
          <w:kern w:val="0"/>
          <w:position w:val="-2"/>
          <w:szCs w:val="21"/>
          <w:u w:val="single"/>
        </w:rPr>
        <w:t>名</w:t>
      </w:r>
      <w:r>
        <w:rPr>
          <w:rFonts w:hint="eastAsia" w:ascii="宋体" w:hAnsi="宋体" w:cs="宋体"/>
          <w:kern w:val="0"/>
          <w:position w:val="-2"/>
          <w:szCs w:val="21"/>
          <w:u w:val="single"/>
        </w:rPr>
        <w:t xml:space="preserve">称  </w:t>
      </w:r>
      <w:r>
        <w:rPr>
          <w:rFonts w:hint="eastAsia" w:ascii="宋体" w:hAnsi="宋体" w:cs="宋体"/>
          <w:spacing w:val="-2"/>
          <w:kern w:val="0"/>
          <w:position w:val="-2"/>
          <w:szCs w:val="21"/>
        </w:rPr>
        <w:t>）</w:t>
      </w:r>
      <w:r>
        <w:rPr>
          <w:rFonts w:hint="eastAsia" w:ascii="宋体" w:hAnsi="宋体" w:cs="宋体"/>
          <w:kern w:val="0"/>
          <w:position w:val="-2"/>
          <w:szCs w:val="21"/>
        </w:rPr>
        <w:t>的</w:t>
      </w:r>
      <w:r>
        <w:rPr>
          <w:rFonts w:hint="eastAsia" w:ascii="宋体" w:hAnsi="宋体" w:cs="宋体"/>
          <w:spacing w:val="-2"/>
          <w:kern w:val="0"/>
          <w:position w:val="-2"/>
          <w:szCs w:val="21"/>
        </w:rPr>
        <w:t>法定</w:t>
      </w:r>
      <w:r>
        <w:rPr>
          <w:rFonts w:hint="eastAsia" w:ascii="宋体" w:hAnsi="宋体" w:cs="宋体"/>
          <w:kern w:val="0"/>
          <w:position w:val="-2"/>
          <w:szCs w:val="21"/>
        </w:rPr>
        <w:t>代表</w:t>
      </w:r>
      <w:r>
        <w:rPr>
          <w:rFonts w:hint="eastAsia" w:ascii="宋体" w:hAnsi="宋体" w:cs="宋体"/>
          <w:spacing w:val="-2"/>
          <w:kern w:val="0"/>
          <w:position w:val="-2"/>
          <w:szCs w:val="21"/>
        </w:rPr>
        <w:t>人</w:t>
      </w:r>
      <w:r>
        <w:rPr>
          <w:rFonts w:hint="eastAsia" w:ascii="宋体" w:hAnsi="宋体" w:cs="宋体"/>
          <w:kern w:val="0"/>
          <w:position w:val="-2"/>
          <w:szCs w:val="21"/>
        </w:rPr>
        <w:t>（</w:t>
      </w:r>
      <w:r>
        <w:rPr>
          <w:rFonts w:hint="eastAsia" w:ascii="宋体" w:hAnsi="宋体" w:cs="宋体"/>
          <w:spacing w:val="-2"/>
          <w:kern w:val="0"/>
          <w:position w:val="-2"/>
          <w:szCs w:val="21"/>
        </w:rPr>
        <w:t>单</w:t>
      </w:r>
      <w:r>
        <w:rPr>
          <w:rFonts w:hint="eastAsia" w:ascii="宋体" w:hAnsi="宋体" w:cs="宋体"/>
          <w:kern w:val="0"/>
          <w:position w:val="-2"/>
          <w:szCs w:val="21"/>
        </w:rPr>
        <w:t>位</w:t>
      </w:r>
      <w:r>
        <w:rPr>
          <w:rFonts w:hint="eastAsia" w:ascii="宋体" w:hAnsi="宋体" w:cs="宋体"/>
          <w:spacing w:val="-2"/>
          <w:kern w:val="0"/>
          <w:position w:val="-2"/>
          <w:szCs w:val="21"/>
        </w:rPr>
        <w:t>负</w:t>
      </w:r>
      <w:r>
        <w:rPr>
          <w:rFonts w:hint="eastAsia" w:ascii="宋体" w:hAnsi="宋体" w:cs="宋体"/>
          <w:kern w:val="0"/>
          <w:position w:val="-2"/>
          <w:szCs w:val="21"/>
        </w:rPr>
        <w:t>责</w:t>
      </w:r>
      <w:r>
        <w:rPr>
          <w:rFonts w:hint="eastAsia" w:ascii="宋体" w:hAnsi="宋体" w:cs="宋体"/>
          <w:spacing w:val="-2"/>
          <w:kern w:val="0"/>
          <w:position w:val="-2"/>
          <w:szCs w:val="21"/>
        </w:rPr>
        <w:t>人</w:t>
      </w:r>
      <w:r>
        <w:rPr>
          <w:rFonts w:hint="eastAsia" w:ascii="宋体" w:hAnsi="宋体" w:cs="宋体"/>
          <w:spacing w:val="-106"/>
          <w:kern w:val="0"/>
          <w:position w:val="-2"/>
          <w:szCs w:val="21"/>
        </w:rPr>
        <w:t>）</w:t>
      </w:r>
      <w:r>
        <w:rPr>
          <w:rFonts w:hint="eastAsia" w:ascii="宋体" w:hAnsi="宋体" w:cs="宋体"/>
          <w:kern w:val="0"/>
          <w:position w:val="-2"/>
          <w:szCs w:val="21"/>
        </w:rPr>
        <w:t>。</w:t>
      </w:r>
    </w:p>
    <w:p w14:paraId="3725194C">
      <w:pPr>
        <w:autoSpaceDE w:val="0"/>
        <w:autoSpaceDN w:val="0"/>
        <w:adjustRightInd w:val="0"/>
        <w:snapToGrid w:val="0"/>
        <w:spacing w:line="360" w:lineRule="auto"/>
        <w:ind w:left="520" w:right="-20"/>
        <w:jc w:val="left"/>
        <w:rPr>
          <w:rFonts w:ascii="宋体" w:hAnsi="宋体" w:cs="宋体"/>
          <w:kern w:val="0"/>
          <w:szCs w:val="21"/>
        </w:rPr>
      </w:pPr>
      <w:r>
        <w:rPr>
          <w:rFonts w:hint="eastAsia" w:ascii="宋体" w:hAnsi="宋体" w:cs="宋体"/>
          <w:kern w:val="0"/>
          <w:szCs w:val="21"/>
        </w:rPr>
        <w:t>特此</w:t>
      </w:r>
      <w:r>
        <w:rPr>
          <w:rFonts w:hint="eastAsia" w:ascii="宋体" w:hAnsi="宋体" w:cs="宋体"/>
          <w:spacing w:val="-2"/>
          <w:kern w:val="0"/>
          <w:szCs w:val="21"/>
        </w:rPr>
        <w:t>证</w:t>
      </w:r>
      <w:r>
        <w:rPr>
          <w:rFonts w:hint="eastAsia" w:ascii="宋体" w:hAnsi="宋体" w:cs="宋体"/>
          <w:kern w:val="0"/>
          <w:szCs w:val="21"/>
        </w:rPr>
        <w:t>明。</w:t>
      </w:r>
    </w:p>
    <w:p w14:paraId="70AE9FEB">
      <w:pPr>
        <w:autoSpaceDE w:val="0"/>
        <w:autoSpaceDN w:val="0"/>
        <w:adjustRightInd w:val="0"/>
        <w:snapToGrid w:val="0"/>
        <w:spacing w:line="360" w:lineRule="auto"/>
        <w:ind w:left="100" w:right="4231"/>
        <w:jc w:val="left"/>
        <w:rPr>
          <w:rFonts w:ascii="宋体" w:hAnsi="宋体" w:cs="宋体"/>
          <w:kern w:val="0"/>
          <w:szCs w:val="21"/>
        </w:rPr>
      </w:pPr>
      <w:r>
        <w:rPr>
          <w:rFonts w:hint="eastAsia" w:ascii="宋体" w:hAnsi="宋体" w:cs="宋体"/>
          <w:kern w:val="0"/>
          <w:szCs w:val="21"/>
        </w:rPr>
        <w:t>附：</w:t>
      </w: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身</w:t>
      </w:r>
      <w:r>
        <w:rPr>
          <w:rFonts w:hint="eastAsia" w:ascii="宋体" w:hAnsi="宋体" w:cs="宋体"/>
          <w:spacing w:val="-2"/>
          <w:kern w:val="0"/>
          <w:szCs w:val="21"/>
        </w:rPr>
        <w:t>份</w:t>
      </w:r>
      <w:r>
        <w:rPr>
          <w:rFonts w:hint="eastAsia" w:ascii="宋体" w:hAnsi="宋体" w:cs="宋体"/>
          <w:kern w:val="0"/>
          <w:szCs w:val="21"/>
        </w:rPr>
        <w:t>证</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r>
        <w:rPr>
          <w:rFonts w:hint="eastAsia" w:ascii="宋体" w:hAnsi="宋体" w:cs="宋体"/>
          <w:kern w:val="0"/>
          <w:szCs w:val="21"/>
        </w:rPr>
        <w:t>。</w:t>
      </w:r>
    </w:p>
    <w:tbl>
      <w:tblPr>
        <w:tblStyle w:val="44"/>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19"/>
      </w:tblGrid>
      <w:tr w14:paraId="13F46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8119" w:type="dxa"/>
            <w:tcBorders>
              <w:tl2br w:val="nil"/>
              <w:tr2bl w:val="nil"/>
            </w:tcBorders>
            <w:noWrap/>
            <w:vAlign w:val="center"/>
          </w:tcPr>
          <w:p w14:paraId="78514AA9">
            <w:pPr>
              <w:adjustRightInd w:val="0"/>
              <w:snapToGrid w:val="0"/>
              <w:spacing w:line="360" w:lineRule="auto"/>
              <w:jc w:val="center"/>
              <w:rPr>
                <w:rFonts w:ascii="宋体" w:hAnsi="宋体" w:cs="宋体"/>
                <w:szCs w:val="21"/>
              </w:rPr>
            </w:pPr>
            <w:r>
              <w:rPr>
                <w:rFonts w:hint="eastAsia" w:ascii="宋体" w:hAnsi="宋体" w:cs="宋体"/>
                <w:szCs w:val="21"/>
              </w:rPr>
              <w:t>身份证（正反面）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14:paraId="3377405E">
      <w:pPr>
        <w:adjustRightInd w:val="0"/>
        <w:snapToGrid w:val="0"/>
        <w:spacing w:line="360" w:lineRule="auto"/>
        <w:rPr>
          <w:rFonts w:ascii="宋体" w:hAnsi="宋体" w:cs="宋体"/>
          <w:szCs w:val="21"/>
        </w:rPr>
      </w:pPr>
    </w:p>
    <w:p w14:paraId="4D0029AE">
      <w:pPr>
        <w:adjustRightInd w:val="0"/>
        <w:snapToGrid w:val="0"/>
        <w:spacing w:line="360" w:lineRule="auto"/>
        <w:rPr>
          <w:rFonts w:ascii="宋体" w:hAnsi="宋体" w:cs="宋体"/>
          <w:szCs w:val="21"/>
        </w:rPr>
      </w:pPr>
      <w:r>
        <w:rPr>
          <w:rFonts w:hint="eastAsia" w:ascii="宋体" w:hAnsi="宋体" w:cs="宋体"/>
          <w:szCs w:val="21"/>
        </w:rPr>
        <w:t>注：投标人代表为法定代表人（单位负责人）的提供。自然人投标的无需提供。</w:t>
      </w:r>
    </w:p>
    <w:p w14:paraId="6FE3712D">
      <w:pPr>
        <w:adjustRightInd w:val="0"/>
        <w:snapToGrid w:val="0"/>
        <w:spacing w:line="360" w:lineRule="auto"/>
        <w:rPr>
          <w:rFonts w:ascii="宋体" w:hAnsi="宋体" w:cs="宋体"/>
          <w:szCs w:val="21"/>
        </w:rPr>
      </w:pPr>
    </w:p>
    <w:p w14:paraId="55A6F4A9">
      <w:pPr>
        <w:adjustRightInd w:val="0"/>
        <w:snapToGrid w:val="0"/>
        <w:spacing w:line="360" w:lineRule="auto"/>
        <w:rPr>
          <w:rFonts w:ascii="宋体" w:hAnsi="宋体" w:cs="宋体"/>
          <w:szCs w:val="21"/>
        </w:rPr>
      </w:pPr>
      <w:r>
        <w:rPr>
          <w:rFonts w:hint="eastAsia" w:ascii="宋体" w:hAnsi="宋体" w:cs="宋体"/>
          <w:szCs w:val="21"/>
        </w:rPr>
        <w:t>投标人名称（盖单位章）：</w:t>
      </w:r>
    </w:p>
    <w:p w14:paraId="5E85E2F0">
      <w:pPr>
        <w:adjustRightInd w:val="0"/>
        <w:snapToGrid w:val="0"/>
        <w:spacing w:line="360" w:lineRule="auto"/>
        <w:ind w:right="420"/>
        <w:rPr>
          <w:rFonts w:ascii="宋体" w:hAnsi="宋体" w:cs="宋体"/>
          <w:szCs w:val="21"/>
        </w:rPr>
      </w:pPr>
    </w:p>
    <w:p w14:paraId="12BF2DAF">
      <w:pPr>
        <w:adjustRightInd w:val="0"/>
        <w:snapToGrid w:val="0"/>
        <w:spacing w:line="360" w:lineRule="auto"/>
        <w:ind w:right="420"/>
        <w:rPr>
          <w:rFonts w:ascii="宋体" w:hAnsi="宋体" w:cs="宋体"/>
          <w:szCs w:val="21"/>
        </w:rPr>
      </w:pPr>
      <w:r>
        <w:rPr>
          <w:rFonts w:hint="eastAsia" w:ascii="宋体" w:hAnsi="宋体" w:cs="宋体"/>
          <w:szCs w:val="21"/>
        </w:rPr>
        <w:t>日期：  年   月  日</w:t>
      </w:r>
    </w:p>
    <w:p w14:paraId="3C6E201B">
      <w:pPr>
        <w:adjustRightInd w:val="0"/>
        <w:snapToGrid w:val="0"/>
        <w:spacing w:line="360" w:lineRule="auto"/>
        <w:rPr>
          <w:rFonts w:ascii="宋体" w:hAnsi="宋体" w:cs="宋体"/>
        </w:rPr>
      </w:pPr>
    </w:p>
    <w:p w14:paraId="4285CDE0">
      <w:pPr>
        <w:widowControl/>
        <w:jc w:val="left"/>
        <w:rPr>
          <w:rFonts w:ascii="宋体" w:hAnsi="宋体" w:cs="宋体"/>
        </w:rPr>
      </w:pPr>
      <w:r>
        <w:rPr>
          <w:rFonts w:hint="eastAsia" w:ascii="宋体" w:hAnsi="宋体" w:cs="宋体"/>
        </w:rPr>
        <w:br w:type="page"/>
      </w:r>
    </w:p>
    <w:p w14:paraId="0FB934CA">
      <w:pPr>
        <w:pStyle w:val="4"/>
        <w:adjustRightInd w:val="0"/>
        <w:snapToGrid w:val="0"/>
        <w:spacing w:before="0" w:after="0" w:line="360" w:lineRule="auto"/>
        <w:jc w:val="center"/>
        <w:rPr>
          <w:rFonts w:ascii="宋体" w:hAnsi="宋体" w:cs="宋体"/>
          <w:b w:val="0"/>
          <w:bCs w:val="0"/>
          <w:kern w:val="0"/>
          <w:sz w:val="28"/>
          <w:szCs w:val="28"/>
          <w:lang w:val="zh-CN" w:bidi="zh-CN"/>
        </w:rPr>
      </w:pPr>
      <w:bookmarkStart w:id="115" w:name="_Toc25355"/>
      <w:r>
        <w:rPr>
          <w:rFonts w:hint="eastAsia" w:ascii="宋体" w:hAnsi="宋体" w:cs="宋体"/>
          <w:b w:val="0"/>
          <w:bCs w:val="0"/>
          <w:kern w:val="0"/>
          <w:sz w:val="28"/>
          <w:szCs w:val="28"/>
          <w:lang w:val="zh-CN" w:bidi="zh-CN"/>
        </w:rPr>
        <w:t>授权委托书</w:t>
      </w:r>
      <w:bookmarkEnd w:id="115"/>
    </w:p>
    <w:p w14:paraId="5B088643">
      <w:pPr>
        <w:autoSpaceDE w:val="0"/>
        <w:autoSpaceDN w:val="0"/>
        <w:adjustRightInd w:val="0"/>
        <w:snapToGrid w:val="0"/>
        <w:spacing w:line="360" w:lineRule="auto"/>
        <w:ind w:firstLine="446" w:firstLineChars="200"/>
        <w:jc w:val="left"/>
        <w:rPr>
          <w:rFonts w:ascii="宋体" w:hAnsi="宋体" w:cs="宋体"/>
          <w:b/>
          <w:spacing w:val="6"/>
          <w:szCs w:val="21"/>
        </w:rPr>
      </w:pPr>
    </w:p>
    <w:p w14:paraId="10D0DDB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position w:val="-4"/>
          <w:szCs w:val="21"/>
          <w:u w:val="single"/>
        </w:rPr>
        <w:t xml:space="preserve">       </w:t>
      </w:r>
      <w:r>
        <w:rPr>
          <w:rFonts w:hint="eastAsia" w:ascii="宋体" w:hAnsi="宋体" w:cs="宋体"/>
          <w:kern w:val="0"/>
          <w:szCs w:val="21"/>
        </w:rPr>
        <w:t>（姓名、职务）系</w:t>
      </w:r>
      <w:r>
        <w:rPr>
          <w:rFonts w:hint="eastAsia" w:ascii="宋体" w:hAnsi="宋体" w:cs="宋体"/>
          <w:kern w:val="0"/>
          <w:position w:val="-4"/>
          <w:szCs w:val="21"/>
          <w:u w:val="single"/>
        </w:rPr>
        <w:t xml:space="preserve">       </w:t>
      </w:r>
      <w:r>
        <w:rPr>
          <w:rFonts w:hint="eastAsia" w:ascii="宋体" w:hAnsi="宋体" w:cs="宋体"/>
          <w:kern w:val="0"/>
          <w:szCs w:val="21"/>
        </w:rPr>
        <w:t>（</w:t>
      </w:r>
      <w:r>
        <w:rPr>
          <w:rFonts w:hint="eastAsia" w:ascii="宋体" w:hAnsi="宋体" w:cs="宋体"/>
          <w:szCs w:val="21"/>
        </w:rPr>
        <w:t>投标人</w:t>
      </w:r>
      <w:r>
        <w:rPr>
          <w:rFonts w:hint="eastAsia" w:ascii="宋体" w:hAnsi="宋体" w:cs="宋体"/>
          <w:kern w:val="0"/>
          <w:szCs w:val="21"/>
        </w:rPr>
        <w:t>名称）的法定代表人（</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，现授权</w:t>
      </w:r>
      <w:r>
        <w:rPr>
          <w:rFonts w:hint="eastAsia" w:ascii="宋体" w:hAnsi="宋体" w:cs="宋体"/>
          <w:kern w:val="0"/>
          <w:position w:val="-4"/>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position w:val="-4"/>
          <w:szCs w:val="21"/>
          <w:u w:val="single"/>
        </w:rPr>
        <w:t xml:space="preserve">       </w:t>
      </w:r>
      <w:r>
        <w:rPr>
          <w:rFonts w:hint="eastAsia" w:ascii="宋体" w:hAnsi="宋体" w:cs="宋体"/>
          <w:kern w:val="0"/>
          <w:szCs w:val="21"/>
        </w:rPr>
        <w:t>（项目名称）（</w:t>
      </w:r>
      <w:r>
        <w:rPr>
          <w:rFonts w:hint="eastAsia" w:ascii="宋体" w:hAnsi="宋体" w:cs="宋体"/>
        </w:rPr>
        <w:t>政府</w:t>
      </w:r>
      <w:r>
        <w:rPr>
          <w:rFonts w:hint="eastAsia" w:ascii="宋体" w:hAnsi="宋体" w:cs="宋体"/>
          <w:iCs/>
        </w:rPr>
        <w:t>采购编号：</w:t>
      </w:r>
      <w:r>
        <w:rPr>
          <w:rFonts w:hint="eastAsia" w:ascii="宋体" w:hAnsi="宋体" w:cs="宋体"/>
          <w:kern w:val="0"/>
          <w:position w:val="-4"/>
          <w:szCs w:val="21"/>
          <w:u w:val="single"/>
        </w:rPr>
        <w:t xml:space="preserve">       </w:t>
      </w:r>
      <w:r>
        <w:rPr>
          <w:rFonts w:hint="eastAsia" w:ascii="宋体" w:hAnsi="宋体" w:cs="宋体"/>
          <w:kern w:val="0"/>
          <w:szCs w:val="21"/>
        </w:rPr>
        <w:t>委托代理编号：</w:t>
      </w:r>
      <w:r>
        <w:rPr>
          <w:rFonts w:hint="eastAsia" w:ascii="宋体" w:hAnsi="宋体" w:cs="宋体"/>
          <w:kern w:val="0"/>
          <w:position w:val="-4"/>
          <w:szCs w:val="21"/>
          <w:u w:val="single"/>
        </w:rPr>
        <w:t xml:space="preserve">       </w:t>
      </w:r>
      <w:r>
        <w:rPr>
          <w:rFonts w:hint="eastAsia" w:ascii="宋体" w:hAnsi="宋体" w:cs="宋体"/>
          <w:kern w:val="0"/>
          <w:szCs w:val="21"/>
        </w:rPr>
        <w:t>）投标文件、签订合同和处理有关事宜，其法律后果由我方承担。</w:t>
      </w:r>
    </w:p>
    <w:p w14:paraId="2671040F">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position w:val="-4"/>
          <w:szCs w:val="21"/>
          <w:u w:val="single"/>
        </w:rPr>
        <w:t xml:space="preserve">       </w:t>
      </w:r>
      <w:r>
        <w:rPr>
          <w:rFonts w:hint="eastAsia" w:ascii="宋体" w:hAnsi="宋体" w:cs="宋体"/>
          <w:kern w:val="0"/>
          <w:szCs w:val="21"/>
        </w:rPr>
        <w:t>。</w:t>
      </w:r>
    </w:p>
    <w:p w14:paraId="44F69A81">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7BC0F152">
      <w:pPr>
        <w:adjustRightInd w:val="0"/>
        <w:snapToGrid w:val="0"/>
        <w:spacing w:line="360" w:lineRule="auto"/>
        <w:ind w:firstLine="435"/>
        <w:rPr>
          <w:rFonts w:ascii="宋体" w:hAnsi="宋体" w:cs="宋体"/>
          <w:kern w:val="0"/>
          <w:szCs w:val="21"/>
        </w:rPr>
      </w:pPr>
      <w:r>
        <w:rPr>
          <w:rFonts w:hint="eastAsia" w:ascii="宋体" w:hAnsi="宋体" w:cs="宋体"/>
          <w:szCs w:val="21"/>
        </w:rPr>
        <w:t>本授权书于</w:t>
      </w:r>
      <w:r>
        <w:rPr>
          <w:rFonts w:hint="eastAsia" w:ascii="宋体" w:hAnsi="宋体" w:cs="宋体"/>
          <w:kern w:val="0"/>
          <w:position w:val="-4"/>
          <w:szCs w:val="21"/>
          <w:u w:val="single"/>
        </w:rPr>
        <w:t xml:space="preserve">   </w:t>
      </w:r>
      <w:r>
        <w:rPr>
          <w:rFonts w:hint="eastAsia" w:ascii="宋体" w:hAnsi="宋体" w:cs="宋体"/>
          <w:szCs w:val="21"/>
        </w:rPr>
        <w:t>年</w:t>
      </w:r>
      <w:r>
        <w:rPr>
          <w:rFonts w:hint="eastAsia" w:ascii="宋体" w:hAnsi="宋体" w:cs="宋体"/>
          <w:kern w:val="0"/>
          <w:position w:val="-4"/>
          <w:szCs w:val="21"/>
          <w:u w:val="single"/>
        </w:rPr>
        <w:t xml:space="preserve">   </w:t>
      </w:r>
      <w:r>
        <w:rPr>
          <w:rFonts w:hint="eastAsia" w:ascii="宋体" w:hAnsi="宋体" w:cs="宋体"/>
          <w:szCs w:val="21"/>
        </w:rPr>
        <w:t>月</w:t>
      </w:r>
      <w:r>
        <w:rPr>
          <w:rFonts w:hint="eastAsia" w:ascii="宋体" w:hAnsi="宋体" w:cs="宋体"/>
          <w:kern w:val="0"/>
          <w:position w:val="-4"/>
          <w:szCs w:val="21"/>
          <w:u w:val="single"/>
        </w:rPr>
        <w:t xml:space="preserve">   </w:t>
      </w:r>
      <w:r>
        <w:rPr>
          <w:rFonts w:hint="eastAsia" w:ascii="宋体" w:hAnsi="宋体" w:cs="宋体"/>
          <w:szCs w:val="21"/>
        </w:rPr>
        <w:t>日签字生效，特此声明。</w:t>
      </w:r>
    </w:p>
    <w:tbl>
      <w:tblPr>
        <w:tblStyle w:val="44"/>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9"/>
      </w:tblGrid>
      <w:tr w14:paraId="4A4087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7839" w:type="dxa"/>
            <w:tcBorders>
              <w:tl2br w:val="nil"/>
              <w:tr2bl w:val="nil"/>
            </w:tcBorders>
            <w:noWrap/>
            <w:vAlign w:val="center"/>
          </w:tcPr>
          <w:p w14:paraId="689B617D">
            <w:pPr>
              <w:adjustRightInd w:val="0"/>
              <w:snapToGrid w:val="0"/>
              <w:spacing w:line="360" w:lineRule="auto"/>
              <w:jc w:val="center"/>
              <w:rPr>
                <w:rFonts w:ascii="宋体" w:hAnsi="宋体" w:cs="宋体"/>
                <w:szCs w:val="21"/>
              </w:rPr>
            </w:pPr>
            <w:r>
              <w:rPr>
                <w:rFonts w:hint="eastAsia" w:ascii="宋体" w:hAnsi="宋体" w:cs="宋体"/>
                <w:szCs w:val="21"/>
              </w:rPr>
              <w:t>身份证（正反面）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14:paraId="119B1E57">
      <w:pPr>
        <w:adjustRightInd w:val="0"/>
        <w:snapToGrid w:val="0"/>
        <w:spacing w:line="360" w:lineRule="auto"/>
        <w:ind w:firstLine="420" w:firstLineChars="200"/>
        <w:rPr>
          <w:rFonts w:ascii="宋体" w:hAnsi="宋体" w:cs="宋体"/>
          <w:szCs w:val="21"/>
        </w:rPr>
      </w:pPr>
    </w:p>
    <w:p w14:paraId="0B4A5325">
      <w:pPr>
        <w:adjustRightInd w:val="0"/>
        <w:snapToGrid w:val="0"/>
        <w:spacing w:line="360" w:lineRule="auto"/>
        <w:rPr>
          <w:rFonts w:ascii="宋体" w:hAnsi="宋体" w:cs="宋体"/>
          <w:szCs w:val="21"/>
        </w:rPr>
      </w:pPr>
      <w:r>
        <w:rPr>
          <w:rFonts w:hint="eastAsia" w:ascii="宋体" w:hAnsi="宋体" w:cs="宋体"/>
          <w:szCs w:val="21"/>
        </w:rPr>
        <w:t>注：投标人代表不是投标人的法定代表人（单位负责人）的提供。法定代表人和自然人投标的无需提供。</w:t>
      </w:r>
    </w:p>
    <w:p w14:paraId="7BA4E8EB">
      <w:pPr>
        <w:adjustRightInd w:val="0"/>
        <w:snapToGrid w:val="0"/>
        <w:spacing w:line="360" w:lineRule="auto"/>
        <w:ind w:firstLine="420" w:firstLineChars="200"/>
        <w:rPr>
          <w:rFonts w:ascii="宋体" w:hAnsi="宋体" w:cs="宋体"/>
          <w:szCs w:val="21"/>
        </w:rPr>
      </w:pPr>
    </w:p>
    <w:p w14:paraId="19A9712C">
      <w:pPr>
        <w:adjustRightInd w:val="0"/>
        <w:snapToGrid w:val="0"/>
        <w:spacing w:line="360" w:lineRule="auto"/>
        <w:ind w:firstLine="420" w:firstLineChars="200"/>
        <w:rPr>
          <w:rFonts w:ascii="宋体" w:hAnsi="宋体" w:cs="宋体"/>
          <w:szCs w:val="21"/>
        </w:rPr>
      </w:pPr>
    </w:p>
    <w:p w14:paraId="10A22911">
      <w:pPr>
        <w:adjustRightInd w:val="0"/>
        <w:snapToGrid w:val="0"/>
        <w:spacing w:line="360" w:lineRule="auto"/>
        <w:rPr>
          <w:rFonts w:ascii="宋体" w:hAnsi="宋体" w:cs="宋体"/>
          <w:szCs w:val="21"/>
        </w:rPr>
      </w:pPr>
      <w:r>
        <w:rPr>
          <w:rFonts w:hint="eastAsia" w:ascii="宋体" w:hAnsi="宋体" w:cs="宋体"/>
          <w:szCs w:val="21"/>
        </w:rPr>
        <w:t>投标人名称（盖单位章）：</w:t>
      </w:r>
    </w:p>
    <w:p w14:paraId="37BFD6EE">
      <w:pPr>
        <w:adjustRightInd w:val="0"/>
        <w:snapToGrid w:val="0"/>
        <w:spacing w:line="360" w:lineRule="auto"/>
        <w:ind w:right="420"/>
        <w:rPr>
          <w:rFonts w:ascii="宋体" w:hAnsi="宋体" w:cs="宋体"/>
          <w:szCs w:val="21"/>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（签字或印章）：</w:t>
      </w:r>
    </w:p>
    <w:p w14:paraId="461D944E">
      <w:pPr>
        <w:adjustRightInd w:val="0"/>
        <w:snapToGrid w:val="0"/>
        <w:spacing w:line="360" w:lineRule="auto"/>
        <w:ind w:right="420"/>
        <w:rPr>
          <w:rFonts w:ascii="宋体" w:hAnsi="宋体" w:cs="宋体"/>
          <w:szCs w:val="21"/>
        </w:rPr>
      </w:pPr>
      <w:r>
        <w:rPr>
          <w:rFonts w:hint="eastAsia" w:ascii="宋体" w:hAnsi="宋体" w:cs="宋体"/>
          <w:szCs w:val="21"/>
        </w:rPr>
        <w:t>委托代理人（签字或印章）：</w:t>
      </w:r>
    </w:p>
    <w:p w14:paraId="133596C1">
      <w:pPr>
        <w:adjustRightInd w:val="0"/>
        <w:snapToGrid w:val="0"/>
        <w:spacing w:line="360" w:lineRule="auto"/>
        <w:ind w:right="420"/>
        <w:rPr>
          <w:rFonts w:ascii="宋体" w:hAnsi="宋体" w:cs="宋体"/>
          <w:szCs w:val="21"/>
        </w:rPr>
      </w:pPr>
      <w:r>
        <w:rPr>
          <w:rFonts w:hint="eastAsia" w:ascii="宋体" w:hAnsi="宋体" w:cs="宋体"/>
          <w:szCs w:val="21"/>
        </w:rPr>
        <w:t>日期：   年   月   日</w:t>
      </w:r>
    </w:p>
    <w:p w14:paraId="27BAE5CA">
      <w:pPr>
        <w:adjustRightInd w:val="0"/>
        <w:snapToGrid w:val="0"/>
        <w:spacing w:line="360" w:lineRule="auto"/>
        <w:jc w:val="left"/>
        <w:rPr>
          <w:rFonts w:ascii="宋体" w:hAnsi="宋体" w:cs="宋体"/>
          <w:bCs/>
          <w:sz w:val="28"/>
          <w:szCs w:val="28"/>
        </w:rPr>
      </w:pPr>
      <w:r>
        <w:rPr>
          <w:rFonts w:hint="eastAsia" w:ascii="宋体" w:hAnsi="宋体" w:cs="宋体"/>
          <w:bCs/>
          <w:sz w:val="28"/>
          <w:szCs w:val="28"/>
        </w:rPr>
        <w:br w:type="page"/>
      </w:r>
    </w:p>
    <w:p w14:paraId="790A16BD">
      <w:pPr>
        <w:pStyle w:val="4"/>
        <w:adjustRightInd w:val="0"/>
        <w:snapToGrid w:val="0"/>
        <w:spacing w:before="0" w:after="0" w:line="360" w:lineRule="auto"/>
        <w:jc w:val="center"/>
        <w:rPr>
          <w:rFonts w:ascii="宋体" w:hAnsi="宋体" w:cs="宋体"/>
          <w:sz w:val="28"/>
          <w:szCs w:val="28"/>
        </w:rPr>
      </w:pPr>
      <w:bookmarkStart w:id="116" w:name="_Toc16087"/>
      <w:bookmarkStart w:id="117" w:name="_Toc1934"/>
      <w:bookmarkStart w:id="118" w:name="_Toc6747"/>
      <w:bookmarkStart w:id="119" w:name="_Toc11560"/>
      <w:r>
        <w:rPr>
          <w:rFonts w:hint="eastAsia" w:ascii="宋体" w:hAnsi="宋体" w:cs="宋体"/>
          <w:sz w:val="28"/>
          <w:szCs w:val="28"/>
        </w:rPr>
        <w:t>（四）投标人提供的资格证明文件</w:t>
      </w:r>
      <w:bookmarkEnd w:id="116"/>
      <w:bookmarkEnd w:id="117"/>
      <w:bookmarkEnd w:id="118"/>
      <w:bookmarkEnd w:id="119"/>
    </w:p>
    <w:p w14:paraId="58935F7D">
      <w:pPr>
        <w:pStyle w:val="22"/>
        <w:adjustRightInd w:val="0"/>
        <w:snapToGrid w:val="0"/>
        <w:spacing w:line="360" w:lineRule="auto"/>
        <w:jc w:val="center"/>
        <w:rPr>
          <w:rFonts w:hAnsi="宋体" w:cs="宋体"/>
          <w:b/>
          <w:bCs/>
          <w:sz w:val="24"/>
          <w:szCs w:val="24"/>
        </w:rPr>
      </w:pPr>
    </w:p>
    <w:p w14:paraId="4939BAD4">
      <w:pPr>
        <w:pStyle w:val="22"/>
        <w:adjustRightInd w:val="0"/>
        <w:snapToGrid w:val="0"/>
        <w:spacing w:line="360" w:lineRule="auto"/>
        <w:jc w:val="center"/>
        <w:rPr>
          <w:rFonts w:hAnsi="宋体" w:cs="宋体"/>
          <w:b/>
          <w:bCs/>
          <w:sz w:val="28"/>
          <w:szCs w:val="28"/>
        </w:rPr>
      </w:pPr>
      <w:r>
        <w:rPr>
          <w:rFonts w:hint="eastAsia" w:hAnsi="宋体" w:cs="宋体"/>
          <w:b/>
          <w:bCs/>
          <w:sz w:val="28"/>
          <w:szCs w:val="28"/>
        </w:rPr>
        <w:t>须  知</w:t>
      </w:r>
    </w:p>
    <w:p w14:paraId="20E84E56">
      <w:pPr>
        <w:tabs>
          <w:tab w:val="left" w:pos="4725"/>
        </w:tabs>
        <w:adjustRightInd w:val="0"/>
        <w:snapToGrid w:val="0"/>
        <w:spacing w:before="161" w:beforeLines="50" w:line="360" w:lineRule="auto"/>
        <w:ind w:firstLine="422" w:firstLineChars="200"/>
        <w:rPr>
          <w:rFonts w:ascii="宋体" w:hAnsi="宋体" w:cs="宋体"/>
          <w:b/>
          <w:bCs/>
          <w:szCs w:val="21"/>
        </w:rPr>
      </w:pPr>
      <w:r>
        <w:rPr>
          <w:rFonts w:hint="eastAsia" w:ascii="宋体" w:hAnsi="宋体" w:cs="宋体"/>
          <w:b/>
          <w:szCs w:val="21"/>
        </w:rPr>
        <w:t>1、投标人</w:t>
      </w:r>
      <w:r>
        <w:rPr>
          <w:rFonts w:hint="eastAsia" w:ascii="宋体" w:hAnsi="宋体" w:cs="宋体"/>
          <w:b/>
          <w:bCs/>
          <w:szCs w:val="21"/>
        </w:rPr>
        <w:t>应按第二章第14.1款要求提供下列的证明材料</w:t>
      </w:r>
    </w:p>
    <w:p w14:paraId="6472A758">
      <w:pPr>
        <w:tabs>
          <w:tab w:val="left" w:pos="4725"/>
        </w:tabs>
        <w:adjustRightInd w:val="0"/>
        <w:snapToGrid w:val="0"/>
        <w:spacing w:before="161" w:beforeLines="50" w:line="360" w:lineRule="auto"/>
        <w:ind w:firstLine="420" w:firstLineChars="200"/>
        <w:rPr>
          <w:rFonts w:ascii="宋体" w:hAnsi="宋体" w:cs="宋体"/>
          <w:szCs w:val="21"/>
        </w:rPr>
      </w:pPr>
      <w:r>
        <w:rPr>
          <w:rFonts w:hint="eastAsia" w:ascii="宋体" w:hAnsi="宋体" w:cs="宋体"/>
          <w:szCs w:val="21"/>
        </w:rPr>
        <w:t>附件1-2 法人或者其他组织的营业执照等主体资格证明文件，自然人的身份证明</w:t>
      </w:r>
    </w:p>
    <w:p w14:paraId="03E065DE">
      <w:pPr>
        <w:pStyle w:val="5"/>
        <w:adjustRightInd w:val="0"/>
        <w:snapToGrid w:val="0"/>
        <w:spacing w:before="161" w:beforeLines="5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附件1-3  湖南省政府采购供应商资格承诺函（格式）</w:t>
      </w:r>
    </w:p>
    <w:p w14:paraId="566C4A02">
      <w:pPr>
        <w:tabs>
          <w:tab w:val="left" w:pos="4725"/>
        </w:tabs>
        <w:adjustRightInd w:val="0"/>
        <w:snapToGrid w:val="0"/>
        <w:spacing w:before="161" w:beforeLines="50" w:line="360" w:lineRule="auto"/>
        <w:ind w:firstLine="420" w:firstLineChars="200"/>
        <w:rPr>
          <w:rFonts w:ascii="宋体" w:hAnsi="宋体" w:cs="宋体"/>
          <w:szCs w:val="21"/>
        </w:rPr>
      </w:pPr>
      <w:r>
        <w:rPr>
          <w:rFonts w:hint="eastAsia" w:ascii="宋体" w:hAnsi="宋体" w:cs="宋体"/>
          <w:szCs w:val="21"/>
        </w:rPr>
        <w:t>附件1-4 符合特定资格条件证明材料复印件或者情况说明</w:t>
      </w:r>
    </w:p>
    <w:p w14:paraId="7C4899B8">
      <w:pPr>
        <w:tabs>
          <w:tab w:val="left" w:pos="4725"/>
        </w:tabs>
        <w:adjustRightInd w:val="0"/>
        <w:snapToGrid w:val="0"/>
        <w:spacing w:before="161" w:beforeLines="50" w:line="360" w:lineRule="auto"/>
        <w:ind w:firstLine="420" w:firstLineChars="200"/>
        <w:rPr>
          <w:rFonts w:ascii="宋体" w:hAnsi="宋体" w:cs="宋体"/>
          <w:szCs w:val="21"/>
        </w:rPr>
      </w:pPr>
      <w:r>
        <w:rPr>
          <w:rFonts w:hint="eastAsia" w:ascii="宋体" w:hAnsi="宋体" w:cs="宋体"/>
          <w:szCs w:val="21"/>
        </w:rPr>
        <w:t>附件1-5联合体协议书（格式）（联合体形式投标的提供，本项目无需提供）</w:t>
      </w:r>
    </w:p>
    <w:p w14:paraId="103D7EB5">
      <w:pPr>
        <w:tabs>
          <w:tab w:val="left" w:pos="4725"/>
        </w:tabs>
        <w:adjustRightInd w:val="0"/>
        <w:snapToGrid w:val="0"/>
        <w:spacing w:before="161" w:beforeLines="50" w:line="360" w:lineRule="auto"/>
        <w:ind w:firstLine="420" w:firstLineChars="200"/>
        <w:rPr>
          <w:rFonts w:ascii="宋体" w:hAnsi="宋体" w:cs="宋体"/>
          <w:szCs w:val="21"/>
        </w:rPr>
      </w:pPr>
      <w:r>
        <w:rPr>
          <w:rFonts w:hint="eastAsia" w:ascii="宋体" w:hAnsi="宋体" w:cs="宋体"/>
          <w:szCs w:val="21"/>
        </w:rPr>
        <w:t>2、投标人以联合体形式投标的，除应提交联合协议书（本节附件4）外，参加联合体的各方均应提交上款资格证明材料。</w:t>
      </w:r>
    </w:p>
    <w:p w14:paraId="34366A1E">
      <w:pPr>
        <w:tabs>
          <w:tab w:val="left" w:pos="4725"/>
        </w:tabs>
        <w:adjustRightInd w:val="0"/>
        <w:snapToGrid w:val="0"/>
        <w:spacing w:line="360" w:lineRule="auto"/>
        <w:rPr>
          <w:rFonts w:ascii="宋体" w:hAnsi="宋体" w:cs="宋体"/>
          <w:szCs w:val="21"/>
        </w:rPr>
      </w:pPr>
    </w:p>
    <w:p w14:paraId="016CF660">
      <w:pPr>
        <w:widowControl/>
        <w:adjustRightInd w:val="0"/>
        <w:snapToGrid w:val="0"/>
        <w:spacing w:line="360" w:lineRule="auto"/>
        <w:jc w:val="left"/>
        <w:rPr>
          <w:rFonts w:ascii="宋体" w:hAnsi="宋体" w:cs="宋体"/>
          <w:szCs w:val="21"/>
        </w:rPr>
      </w:pPr>
      <w:r>
        <w:rPr>
          <w:rFonts w:hint="eastAsia" w:ascii="宋体" w:hAnsi="宋体" w:cs="宋体"/>
          <w:szCs w:val="21"/>
        </w:rPr>
        <w:br w:type="page"/>
      </w:r>
    </w:p>
    <w:p w14:paraId="2C8949EA">
      <w:pPr>
        <w:pStyle w:val="5"/>
        <w:rPr>
          <w:rFonts w:ascii="宋体" w:hAnsi="宋体" w:eastAsia="宋体" w:cs="宋体"/>
          <w:b w:val="0"/>
          <w:sz w:val="21"/>
          <w:szCs w:val="21"/>
        </w:rPr>
      </w:pPr>
      <w:bookmarkStart w:id="120" w:name="_Toc11922"/>
      <w:r>
        <w:rPr>
          <w:rFonts w:hint="eastAsia" w:ascii="宋体" w:hAnsi="宋体" w:eastAsia="宋体" w:cs="宋体"/>
          <w:b w:val="0"/>
          <w:sz w:val="21"/>
          <w:szCs w:val="21"/>
        </w:rPr>
        <w:t>附件1-2 法人或者其他组织的营业执照等主体资格证明文件，自然人的身份证明</w:t>
      </w:r>
      <w:bookmarkEnd w:id="120"/>
    </w:p>
    <w:p w14:paraId="6D0089E0">
      <w:pPr>
        <w:widowControl/>
        <w:adjustRightInd w:val="0"/>
        <w:snapToGrid w:val="0"/>
        <w:spacing w:line="360" w:lineRule="auto"/>
        <w:jc w:val="center"/>
        <w:rPr>
          <w:rFonts w:ascii="宋体" w:hAnsi="宋体" w:cs="宋体"/>
          <w:b/>
          <w:sz w:val="28"/>
          <w:szCs w:val="28"/>
        </w:rPr>
      </w:pPr>
      <w:r>
        <w:rPr>
          <w:rFonts w:hint="eastAsia" w:ascii="宋体" w:hAnsi="宋体" w:cs="宋体"/>
          <w:b/>
          <w:sz w:val="28"/>
          <w:szCs w:val="28"/>
        </w:rPr>
        <w:t>法人或者其他组织的营业执照等主体资格证明文件，自然人的身份证明</w:t>
      </w:r>
    </w:p>
    <w:p w14:paraId="514943E6">
      <w:pPr>
        <w:widowControl/>
        <w:adjustRightInd w:val="0"/>
        <w:snapToGrid w:val="0"/>
        <w:spacing w:before="161" w:beforeLines="50" w:line="360" w:lineRule="auto"/>
        <w:ind w:firstLine="420" w:firstLineChars="200"/>
        <w:jc w:val="left"/>
        <w:rPr>
          <w:rFonts w:ascii="宋体" w:hAnsi="宋体" w:cs="宋体"/>
          <w:szCs w:val="21"/>
        </w:rPr>
      </w:pPr>
    </w:p>
    <w:p w14:paraId="01461BE7">
      <w:pPr>
        <w:adjustRightInd w:val="0"/>
        <w:snapToGrid w:val="0"/>
        <w:spacing w:before="161" w:beforeLines="50" w:line="360" w:lineRule="auto"/>
        <w:ind w:firstLine="420" w:firstLineChars="200"/>
        <w:rPr>
          <w:rFonts w:ascii="宋体" w:hAnsi="宋体" w:cs="宋体"/>
          <w:szCs w:val="21"/>
        </w:rPr>
      </w:pPr>
      <w:r>
        <w:rPr>
          <w:rFonts w:hint="eastAsia" w:ascii="宋体" w:hAnsi="宋体" w:cs="宋体"/>
          <w:szCs w:val="21"/>
        </w:rPr>
        <w:t>注：按第二章第14.1（2）项要求提供。</w:t>
      </w:r>
    </w:p>
    <w:p w14:paraId="1600BC3D">
      <w:pPr>
        <w:adjustRightInd w:val="0"/>
        <w:snapToGrid w:val="0"/>
        <w:spacing w:before="161" w:beforeLines="50" w:line="360" w:lineRule="auto"/>
        <w:ind w:firstLine="420" w:firstLineChars="200"/>
        <w:rPr>
          <w:rFonts w:ascii="宋体" w:hAnsi="宋体" w:cs="宋体"/>
        </w:rPr>
      </w:pPr>
      <w:r>
        <w:rPr>
          <w:rFonts w:hint="eastAsia" w:ascii="宋体" w:hAnsi="宋体" w:cs="宋体"/>
          <w:szCs w:val="21"/>
        </w:rPr>
        <w:t>（1）</w:t>
      </w:r>
      <w:r>
        <w:rPr>
          <w:rFonts w:hint="eastAsia" w:ascii="宋体" w:hAnsi="宋体" w:cs="宋体"/>
        </w:rPr>
        <w:t>投标人为法人的，应提交营业执照或法人登记证书的复印件；</w:t>
      </w:r>
    </w:p>
    <w:p w14:paraId="011B323F">
      <w:pPr>
        <w:adjustRightInd w:val="0"/>
        <w:snapToGrid w:val="0"/>
        <w:spacing w:before="161" w:beforeLines="50" w:line="360" w:lineRule="auto"/>
        <w:ind w:firstLine="420" w:firstLineChars="200"/>
        <w:rPr>
          <w:rFonts w:ascii="宋体" w:hAnsi="宋体" w:cs="宋体"/>
        </w:rPr>
      </w:pPr>
      <w:r>
        <w:rPr>
          <w:rFonts w:hint="eastAsia" w:ascii="宋体" w:hAnsi="宋体" w:cs="宋体"/>
          <w:szCs w:val="21"/>
        </w:rPr>
        <w:t>（2）</w:t>
      </w:r>
      <w:r>
        <w:rPr>
          <w:rFonts w:hint="eastAsia" w:ascii="宋体" w:hAnsi="宋体" w:cs="宋体"/>
        </w:rPr>
        <w:t>投标人为非法人组织的，应提交依法登记证书复印件；</w:t>
      </w:r>
    </w:p>
    <w:p w14:paraId="4FBDE977">
      <w:pPr>
        <w:adjustRightInd w:val="0"/>
        <w:snapToGrid w:val="0"/>
        <w:spacing w:before="161" w:beforeLines="50" w:line="360" w:lineRule="auto"/>
        <w:ind w:firstLine="420" w:firstLineChars="200"/>
        <w:rPr>
          <w:rFonts w:ascii="宋体" w:hAnsi="宋体" w:cs="宋体"/>
        </w:rPr>
      </w:pPr>
      <w:r>
        <w:rPr>
          <w:rFonts w:hint="eastAsia" w:ascii="宋体" w:hAnsi="宋体" w:cs="宋体"/>
          <w:szCs w:val="21"/>
        </w:rPr>
        <w:t>（3）</w:t>
      </w:r>
      <w:r>
        <w:rPr>
          <w:rFonts w:hint="eastAsia" w:ascii="宋体" w:hAnsi="宋体" w:cs="宋体"/>
        </w:rPr>
        <w:t>投标人为个体工商户的，应提交个体工商户营业执照复印件；</w:t>
      </w:r>
    </w:p>
    <w:p w14:paraId="75E341FE">
      <w:pPr>
        <w:adjustRightInd w:val="0"/>
        <w:snapToGrid w:val="0"/>
        <w:spacing w:before="161" w:beforeLines="50" w:line="360" w:lineRule="auto"/>
        <w:ind w:firstLine="420" w:firstLineChars="200"/>
        <w:rPr>
          <w:rFonts w:ascii="宋体" w:hAnsi="宋体" w:cs="宋体"/>
        </w:rPr>
      </w:pPr>
      <w:r>
        <w:rPr>
          <w:rFonts w:hint="eastAsia" w:ascii="宋体" w:hAnsi="宋体" w:cs="宋体"/>
          <w:szCs w:val="21"/>
        </w:rPr>
        <w:t>（4）</w:t>
      </w:r>
      <w:r>
        <w:rPr>
          <w:rFonts w:hint="eastAsia" w:ascii="宋体" w:hAnsi="宋体" w:cs="宋体"/>
        </w:rPr>
        <w:t>投标人为自然人的，应提交自然人的身份证明复印件。</w:t>
      </w:r>
    </w:p>
    <w:p w14:paraId="0201C4EB">
      <w:pPr>
        <w:adjustRightInd w:val="0"/>
        <w:snapToGrid w:val="0"/>
        <w:spacing w:before="161" w:beforeLines="50" w:line="360" w:lineRule="auto"/>
        <w:ind w:firstLine="420" w:firstLineChars="200"/>
        <w:rPr>
          <w:rFonts w:ascii="宋体" w:hAnsi="宋体" w:cs="宋体"/>
        </w:rPr>
      </w:pPr>
    </w:p>
    <w:p w14:paraId="634141B8">
      <w:pPr>
        <w:widowControl/>
        <w:jc w:val="left"/>
        <w:rPr>
          <w:rFonts w:ascii="宋体" w:hAnsi="宋体" w:cs="宋体"/>
          <w:bCs/>
          <w:szCs w:val="21"/>
        </w:rPr>
      </w:pPr>
      <w:r>
        <w:rPr>
          <w:rFonts w:hint="eastAsia" w:ascii="宋体" w:hAnsi="宋体" w:cs="宋体"/>
          <w:b/>
          <w:szCs w:val="21"/>
        </w:rPr>
        <w:br w:type="page"/>
      </w:r>
    </w:p>
    <w:p w14:paraId="63175423">
      <w:pPr>
        <w:pStyle w:val="5"/>
        <w:adjustRightInd w:val="0"/>
        <w:snapToGrid w:val="0"/>
        <w:spacing w:before="161" w:beforeLines="50" w:after="0" w:line="360" w:lineRule="auto"/>
        <w:rPr>
          <w:rFonts w:ascii="宋体" w:hAnsi="宋体" w:eastAsia="宋体" w:cs="宋体"/>
          <w:b w:val="0"/>
          <w:sz w:val="21"/>
          <w:szCs w:val="21"/>
        </w:rPr>
      </w:pPr>
      <w:bookmarkStart w:id="121" w:name="_Toc18787"/>
      <w:r>
        <w:rPr>
          <w:rFonts w:hint="eastAsia" w:ascii="宋体" w:hAnsi="宋体" w:eastAsia="宋体" w:cs="宋体"/>
          <w:b w:val="0"/>
          <w:sz w:val="21"/>
          <w:szCs w:val="21"/>
        </w:rPr>
        <w:t>附件1-3 湖南省政府采购供应商资格承诺函（格式）</w:t>
      </w:r>
      <w:bookmarkEnd w:id="121"/>
    </w:p>
    <w:p w14:paraId="114F2A88">
      <w:pPr>
        <w:spacing w:line="400" w:lineRule="exact"/>
        <w:ind w:firstLine="586" w:firstLineChars="200"/>
        <w:jc w:val="center"/>
        <w:rPr>
          <w:rFonts w:ascii="黑体" w:hAnsi="黑体" w:eastAsia="黑体"/>
          <w:b/>
          <w:spacing w:val="6"/>
          <w:sz w:val="28"/>
          <w:szCs w:val="28"/>
        </w:rPr>
      </w:pPr>
    </w:p>
    <w:p w14:paraId="0E95A0B4">
      <w:pPr>
        <w:spacing w:line="400" w:lineRule="exact"/>
        <w:ind w:firstLine="586" w:firstLineChars="200"/>
        <w:jc w:val="center"/>
        <w:rPr>
          <w:rFonts w:ascii="黑体" w:hAnsi="黑体" w:eastAsia="黑体"/>
          <w:b/>
          <w:spacing w:val="6"/>
          <w:sz w:val="28"/>
          <w:szCs w:val="28"/>
        </w:rPr>
      </w:pPr>
      <w:r>
        <w:rPr>
          <w:rFonts w:hint="eastAsia" w:ascii="黑体" w:hAnsi="黑体" w:eastAsia="黑体"/>
          <w:b/>
          <w:spacing w:val="6"/>
          <w:sz w:val="28"/>
          <w:szCs w:val="28"/>
        </w:rPr>
        <w:t>湖南省政府采购供应商资格承诺函</w:t>
      </w:r>
    </w:p>
    <w:p w14:paraId="45D940F9">
      <w:pPr>
        <w:spacing w:line="380" w:lineRule="exact"/>
        <w:rPr>
          <w:rFonts w:ascii="宋体" w:hAnsi="宋体" w:cs="宋体"/>
          <w:szCs w:val="21"/>
        </w:rPr>
      </w:pPr>
    </w:p>
    <w:p w14:paraId="50A4CB24">
      <w:pPr>
        <w:spacing w:before="221" w:line="380" w:lineRule="exact"/>
        <w:ind w:firstLine="976" w:firstLineChars="400"/>
        <w:rPr>
          <w:rFonts w:ascii="宋体" w:hAnsi="宋体" w:cs="宋体"/>
          <w:spacing w:val="17"/>
          <w:szCs w:val="21"/>
        </w:rPr>
      </w:pPr>
      <w:r>
        <w:rPr>
          <w:rFonts w:hint="eastAsia" w:ascii="宋体" w:hAnsi="宋体" w:cs="宋体"/>
          <w:spacing w:val="17"/>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7B72554">
      <w:pPr>
        <w:spacing w:before="221" w:line="380" w:lineRule="exact"/>
        <w:ind w:firstLine="732" w:firstLineChars="300"/>
        <w:rPr>
          <w:rFonts w:ascii="宋体" w:hAnsi="宋体" w:cs="宋体"/>
          <w:spacing w:val="17"/>
          <w:szCs w:val="21"/>
        </w:rPr>
      </w:pPr>
      <w:r>
        <w:rPr>
          <w:rFonts w:hint="eastAsia" w:ascii="宋体" w:hAnsi="宋体" w:cs="宋体"/>
          <w:spacing w:val="17"/>
          <w:szCs w:val="21"/>
        </w:rPr>
        <w:t>按照《政府采购促进中小企业发展管理办法》(财库〔2020〕46号),本公司企业规模为: 大型口 中型口 小型□ 微型□</w:t>
      </w:r>
    </w:p>
    <w:p w14:paraId="2EFED24C">
      <w:pPr>
        <w:spacing w:before="221" w:line="380" w:lineRule="exact"/>
        <w:ind w:firstLine="732" w:firstLineChars="300"/>
        <w:rPr>
          <w:rFonts w:ascii="宋体" w:hAnsi="宋体" w:cs="宋体"/>
          <w:spacing w:val="17"/>
          <w:szCs w:val="21"/>
        </w:rPr>
      </w:pPr>
    </w:p>
    <w:p w14:paraId="1FFEBA99">
      <w:pPr>
        <w:pStyle w:val="42"/>
      </w:pPr>
    </w:p>
    <w:p w14:paraId="27ECA89B">
      <w:pPr>
        <w:spacing w:line="380" w:lineRule="exact"/>
        <w:rPr>
          <w:rFonts w:ascii="宋体" w:hAnsi="宋体" w:cs="宋体"/>
          <w:szCs w:val="21"/>
        </w:rPr>
      </w:pPr>
    </w:p>
    <w:p w14:paraId="1CE0396F">
      <w:pPr>
        <w:spacing w:line="380" w:lineRule="exact"/>
        <w:rPr>
          <w:rFonts w:ascii="宋体" w:hAnsi="宋体" w:cs="宋体"/>
          <w:szCs w:val="21"/>
        </w:rPr>
      </w:pPr>
    </w:p>
    <w:p w14:paraId="0816E8E9">
      <w:pPr>
        <w:spacing w:before="221" w:line="360" w:lineRule="auto"/>
        <w:ind w:firstLine="5124" w:firstLineChars="2100"/>
        <w:rPr>
          <w:rFonts w:ascii="宋体" w:hAnsi="宋体" w:cs="宋体"/>
          <w:spacing w:val="17"/>
          <w:szCs w:val="21"/>
        </w:rPr>
      </w:pPr>
      <w:r>
        <w:rPr>
          <w:rFonts w:hint="eastAsia" w:ascii="宋体" w:hAnsi="宋体" w:cs="宋体"/>
          <w:spacing w:val="17"/>
          <w:szCs w:val="21"/>
        </w:rPr>
        <w:t>公司(单位)名称(盖章)</w:t>
      </w:r>
    </w:p>
    <w:p w14:paraId="227487E1">
      <w:pPr>
        <w:pStyle w:val="17"/>
        <w:spacing w:line="360" w:lineRule="auto"/>
      </w:pPr>
      <w:r>
        <w:rPr>
          <w:rFonts w:hint="eastAsia" w:ascii="宋体" w:hAnsi="宋体" w:cs="宋体"/>
          <w:spacing w:val="17"/>
          <w:szCs w:val="21"/>
        </w:rPr>
        <w:t xml:space="preserve">                                         日    期：  </w:t>
      </w:r>
    </w:p>
    <w:p w14:paraId="12991CA2">
      <w:pPr>
        <w:spacing w:line="380" w:lineRule="exact"/>
        <w:rPr>
          <w:rFonts w:ascii="宋体" w:hAnsi="宋体" w:cs="宋体"/>
          <w:szCs w:val="21"/>
        </w:rPr>
      </w:pPr>
    </w:p>
    <w:p w14:paraId="3BAED007">
      <w:pPr>
        <w:spacing w:line="380" w:lineRule="exact"/>
        <w:rPr>
          <w:rFonts w:ascii="宋体" w:hAnsi="宋体" w:cs="宋体"/>
          <w:szCs w:val="21"/>
        </w:rPr>
      </w:pPr>
    </w:p>
    <w:p w14:paraId="7620D552">
      <w:pPr>
        <w:spacing w:line="380" w:lineRule="exact"/>
        <w:rPr>
          <w:rFonts w:ascii="宋体" w:hAnsi="宋体" w:cs="宋体"/>
          <w:szCs w:val="21"/>
        </w:rPr>
      </w:pPr>
    </w:p>
    <w:p w14:paraId="59D5604C">
      <w:pPr>
        <w:tabs>
          <w:tab w:val="left" w:pos="14099"/>
        </w:tabs>
        <w:spacing w:before="61" w:line="380" w:lineRule="exact"/>
        <w:ind w:firstLine="12559"/>
        <w:rPr>
          <w:rFonts w:ascii="宋体" w:hAnsi="宋体" w:cs="宋体"/>
          <w:szCs w:val="21"/>
        </w:rPr>
      </w:pPr>
      <w:r>
        <w:rPr>
          <w:rFonts w:hint="eastAsia" w:ascii="宋体" w:hAnsi="宋体" w:cs="宋体"/>
          <w:position w:val="-1"/>
          <w:szCs w:val="21"/>
          <w:u w:val="single"/>
        </w:rPr>
        <w:tab/>
      </w:r>
    </w:p>
    <w:p w14:paraId="2F3903A7">
      <w:pPr>
        <w:spacing w:before="221" w:line="380" w:lineRule="exact"/>
        <w:ind w:firstLine="732" w:firstLineChars="300"/>
        <w:rPr>
          <w:rFonts w:ascii="宋体" w:hAnsi="宋体" w:cs="宋体"/>
          <w:spacing w:val="17"/>
          <w:szCs w:val="21"/>
        </w:rPr>
      </w:pPr>
      <w:r>
        <w:rPr>
          <w:rFonts w:hint="eastAsia" w:ascii="宋体" w:hAnsi="宋体" w:cs="宋体"/>
          <w:spacing w:val="17"/>
          <w:szCs w:val="21"/>
        </w:rPr>
        <w:t>机构代码：</w:t>
      </w:r>
      <w:r>
        <w:rPr>
          <w:rFonts w:hint="eastAsia" w:ascii="宋体" w:hAnsi="宋体" w:cs="宋体"/>
          <w:b/>
          <w:bCs/>
          <w:spacing w:val="17"/>
          <w:szCs w:val="21"/>
          <w:u w:val="single"/>
        </w:rPr>
        <w:t xml:space="preserve">      </w:t>
      </w:r>
      <w:r>
        <w:rPr>
          <w:rFonts w:hint="eastAsia" w:ascii="宋体" w:hAnsi="宋体" w:cs="宋体"/>
          <w:spacing w:val="17"/>
          <w:szCs w:val="21"/>
        </w:rPr>
        <w:t>、注册登记机构：</w:t>
      </w:r>
      <w:r>
        <w:rPr>
          <w:rFonts w:hint="eastAsia" w:ascii="宋体" w:hAnsi="宋体" w:cs="宋体"/>
          <w:b/>
          <w:bCs/>
          <w:spacing w:val="17"/>
          <w:szCs w:val="21"/>
          <w:u w:val="single"/>
        </w:rPr>
        <w:t xml:space="preserve">      </w:t>
      </w:r>
      <w:r>
        <w:rPr>
          <w:rFonts w:hint="eastAsia" w:ascii="宋体" w:hAnsi="宋体" w:cs="宋体"/>
          <w:spacing w:val="17"/>
          <w:szCs w:val="21"/>
        </w:rPr>
        <w:t>、日期：</w:t>
      </w:r>
      <w:r>
        <w:rPr>
          <w:rFonts w:hint="eastAsia" w:ascii="宋体" w:hAnsi="宋体" w:cs="宋体"/>
          <w:b/>
          <w:bCs/>
          <w:spacing w:val="17"/>
          <w:szCs w:val="21"/>
          <w:u w:val="single"/>
        </w:rPr>
        <w:t xml:space="preserve">      </w:t>
      </w:r>
      <w:r>
        <w:rPr>
          <w:rFonts w:hint="eastAsia" w:ascii="宋体" w:hAnsi="宋体" w:cs="宋体"/>
          <w:spacing w:val="17"/>
          <w:szCs w:val="21"/>
        </w:rPr>
        <w:t>、有效期:</w:t>
      </w:r>
      <w:r>
        <w:rPr>
          <w:rFonts w:hint="eastAsia" w:ascii="宋体" w:hAnsi="宋体" w:cs="宋体"/>
          <w:b/>
          <w:bCs/>
          <w:spacing w:val="17"/>
          <w:szCs w:val="21"/>
          <w:u w:val="single"/>
        </w:rPr>
        <w:t xml:space="preserve">      </w:t>
      </w:r>
      <w:r>
        <w:rPr>
          <w:rFonts w:hint="eastAsia" w:ascii="宋体" w:hAnsi="宋体" w:cs="宋体"/>
          <w:spacing w:val="17"/>
          <w:szCs w:val="21"/>
        </w:rPr>
        <w:t>、注册资本:</w:t>
      </w:r>
      <w:r>
        <w:rPr>
          <w:rFonts w:hint="eastAsia" w:ascii="宋体" w:hAnsi="宋体" w:cs="宋体"/>
          <w:b/>
          <w:bCs/>
          <w:spacing w:val="17"/>
          <w:szCs w:val="21"/>
          <w:u w:val="single"/>
        </w:rPr>
        <w:t xml:space="preserve">      </w:t>
      </w:r>
      <w:r>
        <w:rPr>
          <w:rFonts w:hint="eastAsia" w:ascii="宋体" w:hAnsi="宋体" w:cs="宋体"/>
          <w:spacing w:val="17"/>
          <w:szCs w:val="21"/>
        </w:rPr>
        <w:t>、地 址:</w:t>
      </w:r>
      <w:r>
        <w:rPr>
          <w:rFonts w:hint="eastAsia" w:ascii="宋体" w:hAnsi="宋体" w:cs="宋体"/>
          <w:b/>
          <w:bCs/>
          <w:spacing w:val="17"/>
          <w:szCs w:val="21"/>
          <w:u w:val="single"/>
        </w:rPr>
        <w:t xml:space="preserve">      </w:t>
      </w:r>
      <w:r>
        <w:rPr>
          <w:rFonts w:hint="eastAsia" w:ascii="宋体" w:hAnsi="宋体" w:cs="宋体"/>
          <w:spacing w:val="17"/>
          <w:szCs w:val="21"/>
        </w:rPr>
        <w:t>、经济行业:</w:t>
      </w:r>
      <w:r>
        <w:rPr>
          <w:rFonts w:hint="eastAsia" w:ascii="宋体" w:hAnsi="宋体" w:cs="宋体"/>
          <w:b/>
          <w:bCs/>
          <w:spacing w:val="17"/>
          <w:szCs w:val="21"/>
          <w:u w:val="single"/>
        </w:rPr>
        <w:t xml:space="preserve">      </w:t>
      </w:r>
      <w:r>
        <w:rPr>
          <w:rFonts w:hint="eastAsia" w:ascii="宋体" w:hAnsi="宋体" w:cs="宋体"/>
          <w:spacing w:val="17"/>
          <w:szCs w:val="21"/>
        </w:rPr>
        <w:t>、经济性质:</w:t>
      </w:r>
      <w:r>
        <w:rPr>
          <w:rFonts w:hint="eastAsia" w:ascii="宋体" w:hAnsi="宋体" w:cs="宋体"/>
          <w:b/>
          <w:bCs/>
          <w:spacing w:val="17"/>
          <w:szCs w:val="21"/>
          <w:u w:val="single"/>
        </w:rPr>
        <w:t xml:space="preserve">      </w:t>
      </w:r>
    </w:p>
    <w:p w14:paraId="24D29065">
      <w:pPr>
        <w:spacing w:before="221" w:line="380" w:lineRule="exact"/>
        <w:ind w:firstLine="732" w:firstLineChars="300"/>
        <w:rPr>
          <w:rFonts w:ascii="宋体" w:hAnsi="宋体" w:cs="宋体"/>
          <w:spacing w:val="17"/>
          <w:szCs w:val="21"/>
        </w:rPr>
      </w:pPr>
      <w:r>
        <w:rPr>
          <w:rFonts w:hint="eastAsia" w:ascii="宋体" w:hAnsi="宋体" w:cs="宋体"/>
          <w:spacing w:val="17"/>
          <w:szCs w:val="21"/>
        </w:rPr>
        <w:t>法定代表人(负责人)姓名</w:t>
      </w:r>
      <w:r>
        <w:rPr>
          <w:rFonts w:hint="eastAsia" w:ascii="宋体" w:hAnsi="宋体" w:cs="宋体"/>
          <w:b/>
          <w:bCs/>
          <w:spacing w:val="17"/>
          <w:szCs w:val="21"/>
        </w:rPr>
        <w:t>(签字)：</w:t>
      </w:r>
      <w:r>
        <w:rPr>
          <w:rFonts w:hint="eastAsia" w:ascii="宋体" w:hAnsi="宋体" w:cs="宋体"/>
          <w:b/>
          <w:bCs/>
          <w:spacing w:val="17"/>
          <w:szCs w:val="21"/>
          <w:u w:val="single"/>
        </w:rPr>
        <w:t xml:space="preserve">      </w:t>
      </w:r>
      <w:r>
        <w:rPr>
          <w:rFonts w:hint="eastAsia" w:ascii="宋体" w:hAnsi="宋体" w:cs="宋体"/>
          <w:spacing w:val="17"/>
          <w:szCs w:val="21"/>
        </w:rPr>
        <w:t>、身份证号：</w:t>
      </w:r>
      <w:r>
        <w:rPr>
          <w:rFonts w:hint="eastAsia" w:ascii="宋体" w:hAnsi="宋体" w:cs="宋体"/>
          <w:b/>
          <w:bCs/>
          <w:spacing w:val="17"/>
          <w:szCs w:val="21"/>
          <w:u w:val="single"/>
        </w:rPr>
        <w:t xml:space="preserve">      </w:t>
      </w:r>
      <w:r>
        <w:rPr>
          <w:rFonts w:hint="eastAsia" w:ascii="宋体" w:hAnsi="宋体" w:cs="宋体"/>
          <w:spacing w:val="17"/>
          <w:szCs w:val="21"/>
        </w:rPr>
        <w:t>、手机号:</w:t>
      </w:r>
      <w:r>
        <w:rPr>
          <w:rFonts w:hint="eastAsia" w:ascii="宋体" w:hAnsi="宋体" w:cs="宋体"/>
          <w:b/>
          <w:bCs/>
          <w:spacing w:val="17"/>
          <w:szCs w:val="21"/>
          <w:u w:val="single"/>
        </w:rPr>
        <w:t xml:space="preserve">      </w:t>
      </w:r>
    </w:p>
    <w:p w14:paraId="59D78FFD">
      <w:pPr>
        <w:spacing w:before="221" w:line="380" w:lineRule="exact"/>
        <w:ind w:firstLine="732" w:firstLineChars="300"/>
        <w:rPr>
          <w:rFonts w:ascii="宋体" w:hAnsi="宋体" w:cs="宋体"/>
          <w:spacing w:val="17"/>
          <w:szCs w:val="21"/>
        </w:rPr>
      </w:pPr>
      <w:r>
        <w:rPr>
          <w:rFonts w:hint="eastAsia" w:ascii="宋体" w:hAnsi="宋体" w:cs="宋体"/>
          <w:spacing w:val="17"/>
          <w:szCs w:val="21"/>
        </w:rPr>
        <w:t>授权代表人姓名</w:t>
      </w:r>
      <w:r>
        <w:rPr>
          <w:rFonts w:hint="eastAsia" w:ascii="宋体" w:hAnsi="宋体" w:cs="宋体"/>
          <w:b/>
          <w:bCs/>
          <w:spacing w:val="17"/>
          <w:szCs w:val="21"/>
        </w:rPr>
        <w:t>(签字)：</w:t>
      </w:r>
      <w:r>
        <w:rPr>
          <w:rFonts w:hint="eastAsia" w:ascii="宋体" w:hAnsi="宋体" w:cs="宋体"/>
          <w:b/>
          <w:bCs/>
          <w:spacing w:val="17"/>
          <w:szCs w:val="21"/>
          <w:u w:val="single"/>
        </w:rPr>
        <w:t xml:space="preserve">        </w:t>
      </w:r>
      <w:r>
        <w:rPr>
          <w:rFonts w:hint="eastAsia" w:ascii="宋体" w:hAnsi="宋体" w:cs="宋体"/>
          <w:spacing w:val="17"/>
          <w:szCs w:val="21"/>
        </w:rPr>
        <w:t>、身份证号:</w:t>
      </w:r>
      <w:r>
        <w:rPr>
          <w:rFonts w:hint="eastAsia" w:ascii="宋体" w:hAnsi="宋体" w:cs="宋体"/>
          <w:b/>
          <w:bCs/>
          <w:spacing w:val="17"/>
          <w:szCs w:val="21"/>
          <w:u w:val="single"/>
        </w:rPr>
        <w:t xml:space="preserve">      </w:t>
      </w:r>
      <w:r>
        <w:rPr>
          <w:rFonts w:hint="eastAsia" w:ascii="宋体" w:hAnsi="宋体" w:cs="宋体"/>
          <w:spacing w:val="17"/>
          <w:szCs w:val="21"/>
        </w:rPr>
        <w:t>、手机号:</w:t>
      </w:r>
      <w:r>
        <w:rPr>
          <w:rFonts w:hint="eastAsia" w:ascii="宋体" w:hAnsi="宋体" w:cs="宋体"/>
          <w:b/>
          <w:bCs/>
          <w:spacing w:val="17"/>
          <w:szCs w:val="21"/>
          <w:u w:val="single"/>
        </w:rPr>
        <w:t xml:space="preserve">      </w:t>
      </w:r>
    </w:p>
    <w:p w14:paraId="5CC03774">
      <w:pPr>
        <w:spacing w:line="400" w:lineRule="exact"/>
        <w:rPr>
          <w:rFonts w:ascii="宋体" w:hAnsi="宋体" w:cs="宋体"/>
          <w:szCs w:val="21"/>
        </w:rPr>
      </w:pPr>
      <w:r>
        <w:rPr>
          <w:rFonts w:hint="eastAsia" w:ascii="宋体" w:hAnsi="宋体" w:cs="宋体"/>
          <w:color w:val="FF0000"/>
          <w:sz w:val="24"/>
        </w:rPr>
        <w:br w:type="page"/>
      </w:r>
      <w:bookmarkStart w:id="122" w:name="_Toc8383"/>
      <w:r>
        <w:rPr>
          <w:rFonts w:hint="eastAsia" w:ascii="宋体" w:hAnsi="宋体" w:cs="宋体"/>
          <w:szCs w:val="21"/>
        </w:rPr>
        <w:t>附件1-4 符合特定资格条件证明材料复印件或者情况说明</w:t>
      </w:r>
      <w:bookmarkEnd w:id="122"/>
    </w:p>
    <w:p w14:paraId="0B893B64">
      <w:pPr>
        <w:widowControl/>
        <w:adjustRightInd w:val="0"/>
        <w:snapToGrid w:val="0"/>
        <w:spacing w:line="360" w:lineRule="auto"/>
        <w:jc w:val="center"/>
        <w:rPr>
          <w:rFonts w:ascii="宋体" w:hAnsi="宋体" w:cs="宋体"/>
          <w:b/>
          <w:sz w:val="28"/>
          <w:szCs w:val="28"/>
        </w:rPr>
      </w:pPr>
    </w:p>
    <w:p w14:paraId="49726938">
      <w:pPr>
        <w:widowControl/>
        <w:adjustRightInd w:val="0"/>
        <w:snapToGrid w:val="0"/>
        <w:spacing w:line="360" w:lineRule="auto"/>
        <w:jc w:val="center"/>
        <w:rPr>
          <w:rFonts w:ascii="宋体" w:hAnsi="宋体" w:cs="宋体"/>
          <w:b/>
          <w:sz w:val="28"/>
          <w:szCs w:val="28"/>
        </w:rPr>
      </w:pPr>
      <w:r>
        <w:rPr>
          <w:rFonts w:hint="eastAsia" w:ascii="宋体" w:hAnsi="宋体" w:cs="宋体"/>
          <w:b/>
          <w:sz w:val="28"/>
          <w:szCs w:val="28"/>
        </w:rPr>
        <w:t>符合特定资格条件证明材料复印件或者情况说明</w:t>
      </w:r>
    </w:p>
    <w:p w14:paraId="1CF2CADE">
      <w:pPr>
        <w:rPr>
          <w:rFonts w:ascii="宋体" w:hAnsi="宋体" w:cs="宋体"/>
          <w:szCs w:val="21"/>
        </w:rPr>
      </w:pPr>
    </w:p>
    <w:p w14:paraId="24B32628">
      <w:pPr>
        <w:rPr>
          <w:rFonts w:ascii="宋体" w:hAnsi="宋体" w:cs="宋体"/>
          <w:szCs w:val="21"/>
        </w:rPr>
      </w:pPr>
      <w:r>
        <w:rPr>
          <w:rFonts w:hint="eastAsia" w:ascii="宋体" w:hAnsi="宋体" w:cs="宋体"/>
          <w:szCs w:val="21"/>
        </w:rPr>
        <w:t>注：按第二章第14.1（3）项要求提供。</w:t>
      </w:r>
    </w:p>
    <w:p w14:paraId="1FF3AEA5">
      <w:pPr>
        <w:rPr>
          <w:rFonts w:ascii="宋体" w:hAnsi="宋体" w:cs="宋体"/>
          <w:szCs w:val="21"/>
        </w:rPr>
      </w:pPr>
      <w:r>
        <w:rPr>
          <w:rFonts w:hint="eastAsia" w:ascii="宋体" w:hAnsi="宋体" w:cs="宋体"/>
          <w:szCs w:val="21"/>
        </w:rPr>
        <w:br w:type="page"/>
      </w:r>
    </w:p>
    <w:bookmarkEnd w:id="110"/>
    <w:p w14:paraId="57A12413">
      <w:pPr>
        <w:adjustRightInd w:val="0"/>
        <w:snapToGrid w:val="0"/>
        <w:spacing w:line="360" w:lineRule="auto"/>
        <w:jc w:val="center"/>
        <w:rPr>
          <w:rFonts w:ascii="宋体" w:hAnsi="宋体" w:cs="宋体"/>
          <w:sz w:val="32"/>
          <w:szCs w:val="32"/>
        </w:rPr>
      </w:pPr>
    </w:p>
    <w:p w14:paraId="44FAB767">
      <w:pPr>
        <w:adjustRightInd w:val="0"/>
        <w:snapToGrid w:val="0"/>
        <w:spacing w:line="360" w:lineRule="auto"/>
        <w:jc w:val="center"/>
        <w:rPr>
          <w:rFonts w:ascii="宋体" w:hAnsi="宋体" w:cs="宋体"/>
          <w:sz w:val="32"/>
          <w:szCs w:val="32"/>
        </w:rPr>
      </w:pPr>
    </w:p>
    <w:p w14:paraId="54A1442E">
      <w:pPr>
        <w:pStyle w:val="42"/>
      </w:pPr>
    </w:p>
    <w:p w14:paraId="631ECDA7">
      <w:pPr>
        <w:pStyle w:val="22"/>
        <w:adjustRightInd w:val="0"/>
        <w:snapToGrid w:val="0"/>
        <w:spacing w:line="360" w:lineRule="auto"/>
        <w:jc w:val="center"/>
        <w:rPr>
          <w:rFonts w:hAnsi="宋体" w:cs="宋体"/>
          <w:bCs/>
          <w:sz w:val="72"/>
          <w:szCs w:val="72"/>
        </w:rPr>
      </w:pPr>
      <w:r>
        <w:rPr>
          <w:rFonts w:hint="eastAsia" w:hAnsi="宋体" w:cs="宋体"/>
          <w:bCs/>
          <w:sz w:val="72"/>
          <w:szCs w:val="72"/>
        </w:rPr>
        <w:t>政府采购</w:t>
      </w:r>
    </w:p>
    <w:p w14:paraId="574C8EC3">
      <w:pPr>
        <w:adjustRightInd w:val="0"/>
        <w:snapToGrid w:val="0"/>
        <w:spacing w:line="360" w:lineRule="auto"/>
        <w:jc w:val="center"/>
        <w:rPr>
          <w:rFonts w:ascii="宋体" w:hAnsi="宋体" w:cs="宋体"/>
          <w:b/>
          <w:bCs/>
          <w:sz w:val="84"/>
          <w:szCs w:val="84"/>
        </w:rPr>
      </w:pPr>
      <w:r>
        <w:rPr>
          <w:rFonts w:hint="eastAsia" w:ascii="宋体" w:hAnsi="宋体" w:cs="宋体"/>
          <w:b/>
          <w:bCs/>
          <w:sz w:val="84"/>
          <w:szCs w:val="84"/>
        </w:rPr>
        <w:t>投 标 文 件</w:t>
      </w:r>
    </w:p>
    <w:p w14:paraId="4C307411">
      <w:pPr>
        <w:pStyle w:val="3"/>
        <w:adjustRightInd w:val="0"/>
        <w:snapToGrid w:val="0"/>
        <w:jc w:val="center"/>
        <w:rPr>
          <w:rFonts w:ascii="宋体" w:hAnsi="宋体" w:cs="宋体"/>
          <w:sz w:val="44"/>
          <w:szCs w:val="44"/>
        </w:rPr>
      </w:pPr>
      <w:bookmarkStart w:id="123" w:name="_Toc6890"/>
      <w:r>
        <w:rPr>
          <w:rFonts w:hint="eastAsia" w:ascii="宋体" w:hAnsi="宋体" w:cs="宋体"/>
          <w:sz w:val="44"/>
          <w:szCs w:val="44"/>
        </w:rPr>
        <w:t>第二部分 商务文件</w:t>
      </w:r>
      <w:bookmarkEnd w:id="123"/>
    </w:p>
    <w:p w14:paraId="38031128">
      <w:pPr>
        <w:adjustRightInd w:val="0"/>
        <w:snapToGrid w:val="0"/>
        <w:spacing w:line="360" w:lineRule="auto"/>
        <w:rPr>
          <w:rFonts w:ascii="宋体" w:hAnsi="宋体" w:cs="宋体"/>
          <w:sz w:val="32"/>
          <w:szCs w:val="32"/>
        </w:rPr>
      </w:pPr>
    </w:p>
    <w:p w14:paraId="46BD96C0">
      <w:pPr>
        <w:pStyle w:val="22"/>
        <w:adjustRightInd w:val="0"/>
        <w:snapToGrid w:val="0"/>
        <w:spacing w:line="360" w:lineRule="auto"/>
        <w:ind w:firstLine="1988" w:firstLineChars="660"/>
        <w:rPr>
          <w:rFonts w:hAnsi="宋体" w:cs="宋体"/>
          <w:b/>
          <w:bCs/>
          <w:sz w:val="30"/>
          <w:szCs w:val="30"/>
        </w:rPr>
      </w:pPr>
    </w:p>
    <w:p w14:paraId="52D1EEB6">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采购项目名称:</w:t>
      </w:r>
      <w:r>
        <w:rPr>
          <w:rFonts w:hint="eastAsia" w:hAnsi="宋体" w:cs="宋体"/>
          <w:b/>
          <w:bCs/>
          <w:sz w:val="30"/>
          <w:szCs w:val="30"/>
          <w:u w:val="single"/>
        </w:rPr>
        <w:t xml:space="preserve">                       </w:t>
      </w:r>
    </w:p>
    <w:p w14:paraId="5FB6C27D">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政府采购编号:</w:t>
      </w:r>
      <w:r>
        <w:rPr>
          <w:rFonts w:hint="eastAsia" w:hAnsi="宋体" w:cs="宋体"/>
          <w:b/>
          <w:bCs/>
          <w:sz w:val="30"/>
          <w:szCs w:val="30"/>
          <w:u w:val="single"/>
        </w:rPr>
        <w:t xml:space="preserve">                       </w:t>
      </w:r>
    </w:p>
    <w:p w14:paraId="23CE9844">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委托代理编号:</w:t>
      </w:r>
      <w:r>
        <w:rPr>
          <w:rFonts w:hint="eastAsia" w:hAnsi="宋体" w:cs="宋体"/>
          <w:b/>
          <w:bCs/>
          <w:sz w:val="30"/>
          <w:szCs w:val="30"/>
          <w:u w:val="single"/>
        </w:rPr>
        <w:t xml:space="preserve">                       </w:t>
      </w:r>
    </w:p>
    <w:p w14:paraId="78952BF1">
      <w:pPr>
        <w:adjustRightInd w:val="0"/>
        <w:snapToGrid w:val="0"/>
        <w:spacing w:line="360" w:lineRule="auto"/>
        <w:rPr>
          <w:rFonts w:ascii="宋体" w:hAnsi="宋体" w:cs="宋体"/>
          <w:sz w:val="30"/>
          <w:szCs w:val="30"/>
        </w:rPr>
      </w:pPr>
    </w:p>
    <w:p w14:paraId="304D4F34">
      <w:pPr>
        <w:adjustRightInd w:val="0"/>
        <w:snapToGrid w:val="0"/>
        <w:spacing w:line="360" w:lineRule="auto"/>
        <w:rPr>
          <w:rFonts w:ascii="宋体" w:hAnsi="宋体" w:cs="宋体"/>
          <w:sz w:val="30"/>
          <w:szCs w:val="30"/>
        </w:rPr>
      </w:pPr>
    </w:p>
    <w:p w14:paraId="76CB95BD">
      <w:pPr>
        <w:adjustRightInd w:val="0"/>
        <w:snapToGrid w:val="0"/>
        <w:spacing w:line="360" w:lineRule="auto"/>
        <w:rPr>
          <w:rFonts w:ascii="宋体" w:hAnsi="宋体" w:cs="宋体"/>
          <w:sz w:val="30"/>
          <w:szCs w:val="30"/>
        </w:rPr>
      </w:pPr>
    </w:p>
    <w:p w14:paraId="3E44116E">
      <w:pPr>
        <w:adjustRightInd w:val="0"/>
        <w:snapToGrid w:val="0"/>
        <w:spacing w:line="360" w:lineRule="auto"/>
        <w:rPr>
          <w:rFonts w:ascii="宋体" w:hAnsi="宋体" w:cs="宋体"/>
          <w:sz w:val="30"/>
          <w:szCs w:val="30"/>
        </w:rPr>
      </w:pPr>
    </w:p>
    <w:p w14:paraId="795D90AC">
      <w:pPr>
        <w:adjustRightInd w:val="0"/>
        <w:snapToGrid w:val="0"/>
        <w:spacing w:line="360" w:lineRule="auto"/>
        <w:ind w:left="1273" w:leftChars="606" w:firstLine="2"/>
        <w:rPr>
          <w:rFonts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14:paraId="07FDFFF9">
      <w:pPr>
        <w:adjustRightInd w:val="0"/>
        <w:snapToGrid w:val="0"/>
        <w:spacing w:line="360" w:lineRule="auto"/>
        <w:jc w:val="center"/>
        <w:rPr>
          <w:rFonts w:ascii="宋体" w:hAnsi="宋体" w:cs="宋体"/>
          <w:sz w:val="32"/>
          <w:szCs w:val="32"/>
        </w:rPr>
      </w:pPr>
      <w:r>
        <w:rPr>
          <w:rFonts w:hint="eastAsia" w:ascii="宋体" w:hAnsi="宋体" w:cs="宋体"/>
          <w:sz w:val="32"/>
          <w:szCs w:val="32"/>
        </w:rPr>
        <w:t>年  月  日</w:t>
      </w:r>
    </w:p>
    <w:p w14:paraId="05DEC0CC">
      <w:pPr>
        <w:widowControl/>
        <w:jc w:val="left"/>
        <w:rPr>
          <w:rFonts w:ascii="宋体" w:hAnsi="宋体" w:cs="宋体"/>
          <w:b/>
          <w:bCs/>
          <w:sz w:val="28"/>
          <w:szCs w:val="28"/>
        </w:rPr>
      </w:pPr>
      <w:r>
        <w:rPr>
          <w:rFonts w:hint="eastAsia" w:ascii="宋体" w:hAnsi="宋体" w:cs="宋体"/>
          <w:u w:val="single"/>
        </w:rPr>
        <w:br w:type="page"/>
      </w:r>
    </w:p>
    <w:p w14:paraId="399262A9">
      <w:pPr>
        <w:pStyle w:val="4"/>
        <w:adjustRightInd w:val="0"/>
        <w:snapToGrid w:val="0"/>
        <w:spacing w:before="0" w:after="0" w:line="360" w:lineRule="auto"/>
        <w:jc w:val="center"/>
        <w:rPr>
          <w:rFonts w:ascii="宋体" w:hAnsi="宋体" w:cs="宋体"/>
          <w:sz w:val="28"/>
          <w:szCs w:val="28"/>
        </w:rPr>
      </w:pPr>
      <w:bookmarkStart w:id="124" w:name="_Toc31629"/>
      <w:bookmarkStart w:id="125" w:name="_Toc32186"/>
      <w:r>
        <w:rPr>
          <w:rFonts w:hint="eastAsia" w:ascii="宋体" w:hAnsi="宋体" w:cs="宋体"/>
          <w:sz w:val="28"/>
          <w:szCs w:val="28"/>
        </w:rPr>
        <w:t>二、投标函</w:t>
      </w:r>
      <w:bookmarkEnd w:id="124"/>
      <w:bookmarkEnd w:id="125"/>
    </w:p>
    <w:p w14:paraId="463530AB">
      <w:pPr>
        <w:adjustRightInd w:val="0"/>
        <w:snapToGrid w:val="0"/>
        <w:spacing w:before="161" w:beforeLines="50"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1731BCFC">
      <w:pPr>
        <w:adjustRightInd w:val="0"/>
        <w:snapToGrid w:val="0"/>
        <w:spacing w:before="161" w:beforeLines="50" w:line="360" w:lineRule="auto"/>
        <w:ind w:firstLine="435"/>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（项目名称）的投标邀请（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），签字代表 </w:t>
      </w:r>
      <w:r>
        <w:rPr>
          <w:rFonts w:hint="eastAsia" w:ascii="宋体" w:hAnsi="宋体"/>
          <w:szCs w:val="21"/>
          <w:u w:val="single"/>
        </w:rPr>
        <w:t xml:space="preserve">      </w:t>
      </w:r>
      <w:r>
        <w:rPr>
          <w:rFonts w:hint="eastAsia" w:ascii="宋体" w:hAnsi="宋体"/>
          <w:szCs w:val="21"/>
        </w:rPr>
        <w:t>（姓名、职务）经正式授权并代表投标人</w:t>
      </w:r>
      <w:r>
        <w:rPr>
          <w:rFonts w:hint="eastAsia" w:ascii="宋体" w:hAnsi="宋体"/>
          <w:szCs w:val="21"/>
          <w:u w:val="single"/>
        </w:rPr>
        <w:t xml:space="preserve">       </w:t>
      </w:r>
      <w:r>
        <w:rPr>
          <w:rFonts w:hint="eastAsia" w:ascii="宋体" w:hAnsi="宋体"/>
          <w:szCs w:val="21"/>
        </w:rPr>
        <w:t xml:space="preserve"> （投标人名称）提交下述投标文件：投标文件电子文档</w:t>
      </w:r>
      <w:r>
        <w:rPr>
          <w:rFonts w:hint="eastAsia" w:ascii="宋体" w:hAnsi="宋体"/>
          <w:szCs w:val="21"/>
          <w:u w:val="single"/>
        </w:rPr>
        <w:t xml:space="preserve">   </w:t>
      </w:r>
      <w:r>
        <w:rPr>
          <w:rFonts w:hint="eastAsia" w:ascii="宋体" w:hAnsi="宋体"/>
          <w:szCs w:val="21"/>
        </w:rPr>
        <w:t>份，参加采购项目第</w:t>
      </w:r>
      <w:r>
        <w:rPr>
          <w:rFonts w:hint="eastAsia" w:ascii="宋体" w:hAnsi="宋体"/>
          <w:szCs w:val="21"/>
          <w:u w:val="single"/>
        </w:rPr>
        <w:t xml:space="preserve">   </w:t>
      </w:r>
      <w:r>
        <w:rPr>
          <w:rFonts w:hint="eastAsia" w:ascii="宋体" w:hAnsi="宋体"/>
          <w:szCs w:val="21"/>
        </w:rPr>
        <w:t>包投标，并在此声明，所递交的投标文件内容完整、真实。</w:t>
      </w:r>
    </w:p>
    <w:p w14:paraId="61496556">
      <w:pPr>
        <w:adjustRightInd w:val="0"/>
        <w:snapToGrid w:val="0"/>
        <w:spacing w:before="161" w:beforeLines="50"/>
        <w:ind w:firstLine="422" w:firstLineChars="200"/>
        <w:rPr>
          <w:rFonts w:ascii="宋体" w:hAnsi="宋体" w:cs="宋体"/>
          <w:b/>
          <w:szCs w:val="21"/>
        </w:rPr>
      </w:pPr>
      <w:r>
        <w:rPr>
          <w:rFonts w:hint="eastAsia" w:ascii="宋体" w:hAnsi="宋体" w:cs="宋体"/>
          <w:b/>
          <w:szCs w:val="21"/>
        </w:rPr>
        <w:t>第一部分 资格证明文件</w:t>
      </w:r>
    </w:p>
    <w:p w14:paraId="086A0B63">
      <w:pPr>
        <w:adjustRightInd w:val="0"/>
        <w:snapToGrid w:val="0"/>
        <w:spacing w:before="161" w:beforeLines="50"/>
        <w:ind w:firstLine="630" w:firstLineChars="300"/>
        <w:rPr>
          <w:rFonts w:ascii="宋体" w:hAnsi="宋体" w:cs="宋体"/>
          <w:szCs w:val="21"/>
        </w:rPr>
      </w:pPr>
      <w:r>
        <w:rPr>
          <w:rFonts w:hint="eastAsia" w:ascii="宋体" w:hAnsi="宋体" w:cs="宋体"/>
          <w:szCs w:val="21"/>
        </w:rPr>
        <w:t>资格证明文件封面</w:t>
      </w:r>
    </w:p>
    <w:p w14:paraId="0B22CB30">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一、资格证明材料</w:t>
      </w:r>
    </w:p>
    <w:p w14:paraId="3D3F4130">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（一）开标一览表</w:t>
      </w:r>
    </w:p>
    <w:p w14:paraId="17718A27">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（二）投标保证金</w:t>
      </w:r>
    </w:p>
    <w:p w14:paraId="1B1750F9">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（三）法定代表人（单位负责人）身份证明或授权委托书</w:t>
      </w:r>
    </w:p>
    <w:p w14:paraId="4BD853A5">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（四）投标人具备投标资格的证明文件</w:t>
      </w:r>
    </w:p>
    <w:p w14:paraId="51A70C81">
      <w:pPr>
        <w:adjustRightInd w:val="0"/>
        <w:snapToGrid w:val="0"/>
        <w:spacing w:before="161" w:beforeLines="50"/>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第二部分 商务文件</w:t>
      </w:r>
    </w:p>
    <w:p w14:paraId="6DDAFAA7">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商务文件封面</w:t>
      </w:r>
    </w:p>
    <w:p w14:paraId="70A2FA05">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二、投标函</w:t>
      </w:r>
    </w:p>
    <w:p w14:paraId="5A608F42">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三、分项价格表</w:t>
      </w:r>
    </w:p>
    <w:p w14:paraId="72EB0273">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四、提供政府采购政策产品等证明材料</w:t>
      </w:r>
    </w:p>
    <w:p w14:paraId="2287A45F">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五、类似业绩</w:t>
      </w:r>
    </w:p>
    <w:p w14:paraId="515D2584">
      <w:pPr>
        <w:adjustRightInd w:val="0"/>
        <w:snapToGrid w:val="0"/>
        <w:spacing w:before="161" w:beforeLines="50"/>
        <w:ind w:firstLine="630" w:firstLineChars="30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六、技术服务能力</w:t>
      </w:r>
    </w:p>
    <w:p w14:paraId="1412543B">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七</w:t>
      </w:r>
      <w:r>
        <w:rPr>
          <w:rFonts w:hint="eastAsia" w:asciiTheme="minorEastAsia" w:hAnsiTheme="minorEastAsia" w:eastAsiaTheme="minorEastAsia" w:cstheme="minorEastAsia"/>
          <w:szCs w:val="21"/>
        </w:rPr>
        <w:t>、培训方案</w:t>
      </w:r>
    </w:p>
    <w:p w14:paraId="6E43A22B">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八</w:t>
      </w:r>
      <w:r>
        <w:rPr>
          <w:rFonts w:hint="eastAsia" w:asciiTheme="minorEastAsia" w:hAnsiTheme="minorEastAsia" w:eastAsiaTheme="minorEastAsia" w:cstheme="minorEastAsia"/>
          <w:szCs w:val="21"/>
        </w:rPr>
        <w:t>、售后服务</w:t>
      </w:r>
    </w:p>
    <w:p w14:paraId="5FD5634D">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九</w:t>
      </w:r>
      <w:r>
        <w:rPr>
          <w:rFonts w:hint="eastAsia" w:asciiTheme="minorEastAsia" w:hAnsiTheme="minorEastAsia" w:eastAsiaTheme="minorEastAsia" w:cstheme="minorEastAsia"/>
          <w:szCs w:val="21"/>
        </w:rPr>
        <w:t>、投标人认为需要提供的其他资料</w:t>
      </w:r>
    </w:p>
    <w:p w14:paraId="54EC31D3">
      <w:pPr>
        <w:adjustRightInd w:val="0"/>
        <w:snapToGrid w:val="0"/>
        <w:spacing w:before="161" w:beforeLines="50"/>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第三部分 技术文件</w:t>
      </w:r>
    </w:p>
    <w:p w14:paraId="4B57E6C6">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技术文件封面</w:t>
      </w:r>
    </w:p>
    <w:p w14:paraId="1558E319">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九、采购需求响应</w:t>
      </w:r>
    </w:p>
    <w:p w14:paraId="38247841">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十、响应偏离表</w:t>
      </w:r>
    </w:p>
    <w:p w14:paraId="366B1E3D">
      <w:pPr>
        <w:adjustRightInd w:val="0"/>
        <w:snapToGrid w:val="0"/>
        <w:spacing w:before="161" w:beforeLines="50"/>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十一、投标货物符合招标文件规定的证明文件</w:t>
      </w:r>
    </w:p>
    <w:p w14:paraId="19043525">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十二、</w:t>
      </w:r>
      <w:r>
        <w:rPr>
          <w:rFonts w:hint="eastAsia" w:ascii="宋体" w:hAnsi="宋体" w:cs="宋体"/>
          <w:szCs w:val="21"/>
          <w:lang w:eastAsia="zh-CN"/>
        </w:rPr>
        <w:t>设计</w:t>
      </w:r>
      <w:r>
        <w:rPr>
          <w:rFonts w:hint="eastAsia" w:ascii="宋体" w:hAnsi="宋体" w:cs="宋体"/>
          <w:szCs w:val="21"/>
        </w:rPr>
        <w:t>方案</w:t>
      </w:r>
    </w:p>
    <w:p w14:paraId="3CBAFB7C">
      <w:pPr>
        <w:adjustRightInd w:val="0"/>
        <w:snapToGrid w:val="0"/>
        <w:spacing w:before="161" w:beforeLines="50"/>
        <w:ind w:firstLine="630" w:firstLineChars="300"/>
        <w:rPr>
          <w:rFonts w:ascii="宋体" w:hAnsi="宋体" w:cs="宋体"/>
          <w:szCs w:val="21"/>
        </w:rPr>
      </w:pPr>
      <w:r>
        <w:rPr>
          <w:rFonts w:hint="eastAsia" w:ascii="宋体" w:hAnsi="宋体" w:cs="宋体"/>
          <w:szCs w:val="21"/>
        </w:rPr>
        <w:t>十三、</w:t>
      </w:r>
      <w:r>
        <w:rPr>
          <w:rFonts w:hint="eastAsia" w:ascii="宋体" w:hAnsi="宋体" w:cs="宋体"/>
          <w:szCs w:val="21"/>
          <w:lang w:eastAsia="zh-CN"/>
        </w:rPr>
        <w:t>实施</w:t>
      </w:r>
      <w:r>
        <w:rPr>
          <w:rFonts w:hint="eastAsia" w:ascii="宋体" w:hAnsi="宋体" w:cs="宋体"/>
          <w:szCs w:val="21"/>
        </w:rPr>
        <w:t>方案</w:t>
      </w:r>
    </w:p>
    <w:p w14:paraId="1875B116">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在此，签字代表宣布同意如下：</w:t>
      </w:r>
    </w:p>
    <w:p w14:paraId="5B3697B8">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1、投标人严格按照招标文件的规定报价，见《开标一览表》。</w:t>
      </w:r>
    </w:p>
    <w:p w14:paraId="3A09F3F3">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2、投标人将按招标文件的规定履行合同责任和义务。</w:t>
      </w:r>
    </w:p>
    <w:p w14:paraId="2AD660AD">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3、投标人已详细审查招标文件。我们完全理解并同意放弃对这方面有不明及误解的权力。</w:t>
      </w:r>
    </w:p>
    <w:p w14:paraId="7143B419">
      <w:pPr>
        <w:adjustRightInd w:val="0"/>
        <w:snapToGrid w:val="0"/>
        <w:spacing w:before="161" w:beforeLines="50" w:line="360" w:lineRule="auto"/>
        <w:ind w:firstLine="420" w:firstLineChars="200"/>
        <w:rPr>
          <w:rFonts w:ascii="宋体" w:hAnsi="宋体"/>
        </w:rPr>
      </w:pPr>
      <w:r>
        <w:rPr>
          <w:rFonts w:hint="eastAsia" w:ascii="宋体" w:hAnsi="宋体"/>
          <w:szCs w:val="21"/>
        </w:rPr>
        <w:t>4、本投标有效期为自招标文件规定的提交投标文件截止之日起</w:t>
      </w:r>
      <w:r>
        <w:rPr>
          <w:rFonts w:hint="eastAsia" w:ascii="宋体" w:hAnsi="宋体"/>
          <w:szCs w:val="21"/>
          <w:u w:val="single"/>
        </w:rPr>
        <w:t xml:space="preserve">    </w:t>
      </w:r>
      <w:r>
        <w:rPr>
          <w:rFonts w:hint="eastAsia" w:ascii="宋体" w:hAnsi="宋体"/>
          <w:szCs w:val="21"/>
        </w:rPr>
        <w:t>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14:paraId="56942488">
      <w:pPr>
        <w:adjustRightInd w:val="0"/>
        <w:snapToGrid w:val="0"/>
        <w:spacing w:before="161" w:beforeLines="50" w:line="360" w:lineRule="auto"/>
        <w:ind w:firstLine="420" w:firstLineChars="200"/>
        <w:rPr>
          <w:rFonts w:ascii="宋体" w:hAnsi="宋体"/>
        </w:rPr>
      </w:pPr>
      <w:r>
        <w:rPr>
          <w:rFonts w:hint="eastAsia" w:ascii="宋体" w:hAnsi="宋体"/>
        </w:rPr>
        <w:t>5、</w:t>
      </w:r>
      <w:r>
        <w:rPr>
          <w:rFonts w:hint="eastAsia" w:ascii="宋体" w:hAnsi="宋体"/>
          <w:szCs w:val="21"/>
        </w:rPr>
        <w:t>同意提供贵方可能要求的与其投标有关的一切数据或资料。</w:t>
      </w:r>
    </w:p>
    <w:p w14:paraId="506BCD6E">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6、与本投标有关的一切正式往来信函请寄：</w:t>
      </w:r>
    </w:p>
    <w:p w14:paraId="1BEE5F6C">
      <w:pPr>
        <w:adjustRightInd w:val="0"/>
        <w:snapToGrid w:val="0"/>
        <w:spacing w:before="161" w:beforeLines="50"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 xml:space="preserve"> 。</w:t>
      </w:r>
    </w:p>
    <w:p w14:paraId="7BDCCC9A">
      <w:pPr>
        <w:adjustRightInd w:val="0"/>
        <w:snapToGrid w:val="0"/>
        <w:spacing w:before="161" w:beforeLines="50" w:line="360" w:lineRule="auto"/>
        <w:ind w:firstLine="420" w:firstLineChars="200"/>
        <w:rPr>
          <w:rFonts w:ascii="宋体" w:hAnsi="宋体"/>
          <w:szCs w:val="21"/>
        </w:rPr>
      </w:pPr>
    </w:p>
    <w:p w14:paraId="1860E797">
      <w:pPr>
        <w:pStyle w:val="22"/>
        <w:adjustRightInd w:val="0"/>
        <w:snapToGrid w:val="0"/>
        <w:spacing w:before="161" w:beforeLines="50" w:line="360" w:lineRule="auto"/>
        <w:rPr>
          <w:rFonts w:hAnsi="宋体"/>
        </w:rPr>
      </w:pPr>
    </w:p>
    <w:p w14:paraId="0D0405BB">
      <w:pPr>
        <w:pStyle w:val="22"/>
        <w:adjustRightInd w:val="0"/>
        <w:snapToGrid w:val="0"/>
        <w:spacing w:before="161" w:beforeLines="50" w:line="360" w:lineRule="auto"/>
        <w:rPr>
          <w:rFonts w:hAnsi="宋体"/>
        </w:rPr>
      </w:pPr>
      <w:r>
        <w:rPr>
          <w:rFonts w:hint="eastAsia" w:hAnsi="宋体"/>
        </w:rPr>
        <w:t xml:space="preserve">投标人名称（盖单位章）：                       </w:t>
      </w:r>
    </w:p>
    <w:p w14:paraId="69C1D5B4">
      <w:pPr>
        <w:adjustRightInd w:val="0"/>
        <w:snapToGrid w:val="0"/>
        <w:spacing w:before="161" w:beforeLines="50"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BA2679D">
      <w:pPr>
        <w:rPr>
          <w:rFonts w:ascii="宋体" w:hAnsi="宋体" w:cs="宋体"/>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cs="宋体"/>
          <w:b/>
          <w:bCs/>
          <w:sz w:val="28"/>
          <w:szCs w:val="28"/>
        </w:rPr>
        <w:br w:type="page"/>
      </w:r>
    </w:p>
    <w:p w14:paraId="5E2075D6">
      <w:pPr>
        <w:pStyle w:val="4"/>
        <w:adjustRightInd w:val="0"/>
        <w:snapToGrid w:val="0"/>
        <w:spacing w:before="0" w:after="0" w:line="360" w:lineRule="auto"/>
        <w:jc w:val="center"/>
        <w:rPr>
          <w:rFonts w:ascii="黑体" w:hAnsi="宋体" w:eastAsia="黑体"/>
          <w:sz w:val="28"/>
          <w:szCs w:val="28"/>
        </w:rPr>
      </w:pPr>
      <w:bookmarkStart w:id="126" w:name="_Toc29343"/>
      <w:bookmarkStart w:id="127" w:name="_Toc27532"/>
      <w:r>
        <w:rPr>
          <w:rFonts w:hint="eastAsia" w:ascii="黑体" w:hAnsi="宋体" w:eastAsia="黑体"/>
          <w:sz w:val="28"/>
          <w:szCs w:val="28"/>
        </w:rPr>
        <w:t>三、分项报价</w:t>
      </w:r>
      <w:bookmarkEnd w:id="126"/>
    </w:p>
    <w:p w14:paraId="664D905D">
      <w:pPr>
        <w:pStyle w:val="5"/>
        <w:jc w:val="left"/>
        <w:rPr>
          <w:rFonts w:ascii="黑体" w:hAnsi="宋体" w:cs="微软雅黑"/>
          <w:b w:val="0"/>
          <w:kern w:val="0"/>
          <w:sz w:val="21"/>
          <w:szCs w:val="21"/>
        </w:rPr>
      </w:pPr>
      <w:bookmarkStart w:id="128" w:name="_Toc18071"/>
      <w:r>
        <w:rPr>
          <w:rFonts w:hint="eastAsia" w:ascii="黑体" w:hAnsi="华文中宋" w:cs="宋体"/>
          <w:b w:val="0"/>
          <w:bCs w:val="0"/>
          <w:spacing w:val="6"/>
          <w:kern w:val="0"/>
          <w:sz w:val="21"/>
          <w:szCs w:val="21"/>
        </w:rPr>
        <w:t xml:space="preserve">附件3-1 </w:t>
      </w:r>
      <w:r>
        <w:rPr>
          <w:rFonts w:hint="eastAsia" w:ascii="黑体" w:hAnsi="宋体" w:cs="微软雅黑"/>
          <w:b w:val="0"/>
          <w:spacing w:val="-2"/>
          <w:kern w:val="0"/>
          <w:sz w:val="21"/>
          <w:szCs w:val="21"/>
        </w:rPr>
        <w:t>分</w:t>
      </w:r>
      <w:r>
        <w:rPr>
          <w:rFonts w:hint="eastAsia" w:ascii="黑体" w:hAnsi="宋体" w:cs="微软雅黑"/>
          <w:b w:val="0"/>
          <w:kern w:val="0"/>
          <w:sz w:val="21"/>
          <w:szCs w:val="21"/>
        </w:rPr>
        <w:t>项</w:t>
      </w:r>
      <w:r>
        <w:rPr>
          <w:rFonts w:hint="eastAsia" w:ascii="黑体" w:hAnsi="宋体" w:cs="微软雅黑"/>
          <w:b w:val="0"/>
          <w:spacing w:val="-2"/>
          <w:kern w:val="0"/>
          <w:sz w:val="21"/>
          <w:szCs w:val="21"/>
        </w:rPr>
        <w:t>报</w:t>
      </w:r>
      <w:r>
        <w:rPr>
          <w:rFonts w:hint="eastAsia" w:ascii="黑体" w:hAnsi="宋体" w:cs="微软雅黑"/>
          <w:b w:val="0"/>
          <w:kern w:val="0"/>
          <w:sz w:val="21"/>
          <w:szCs w:val="21"/>
        </w:rPr>
        <w:t>价说明</w:t>
      </w:r>
      <w:bookmarkEnd w:id="128"/>
      <w:r>
        <w:rPr>
          <w:rFonts w:hint="eastAsia" w:ascii="黑体" w:hAnsi="宋体" w:cs="微软雅黑"/>
          <w:b w:val="0"/>
          <w:kern w:val="0"/>
          <w:sz w:val="21"/>
          <w:szCs w:val="21"/>
        </w:rPr>
        <w:t xml:space="preserve">  </w:t>
      </w:r>
    </w:p>
    <w:p w14:paraId="1E2F44B6">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76DD9A83">
      <w:pPr>
        <w:autoSpaceDE w:val="0"/>
        <w:autoSpaceDN w:val="0"/>
        <w:adjustRightInd w:val="0"/>
        <w:snapToGrid w:val="0"/>
        <w:spacing w:line="360" w:lineRule="auto"/>
        <w:jc w:val="left"/>
        <w:rPr>
          <w:rFonts w:ascii="宋体" w:hAnsi="宋体" w:cs="微软雅黑"/>
          <w:kern w:val="0"/>
          <w:szCs w:val="21"/>
        </w:rPr>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37757C94"/>
    <w:p w14:paraId="0049B74F">
      <w:pPr>
        <w:pStyle w:val="5"/>
        <w:jc w:val="left"/>
        <w:rPr>
          <w:rFonts w:ascii="黑体" w:hAnsi="宋体" w:cs="微软雅黑"/>
          <w:b w:val="0"/>
          <w:kern w:val="0"/>
          <w:sz w:val="21"/>
          <w:szCs w:val="21"/>
        </w:rPr>
      </w:pPr>
      <w:bookmarkStart w:id="129" w:name="_Toc3545"/>
      <w:r>
        <w:rPr>
          <w:rFonts w:hint="eastAsia" w:ascii="黑体" w:hAnsi="华文中宋" w:cs="宋体"/>
          <w:b w:val="0"/>
          <w:bCs w:val="0"/>
          <w:spacing w:val="6"/>
          <w:kern w:val="0"/>
          <w:sz w:val="21"/>
          <w:szCs w:val="21"/>
        </w:rPr>
        <w:t xml:space="preserve">附件3-2 </w:t>
      </w:r>
      <w:r>
        <w:rPr>
          <w:rFonts w:hint="eastAsia" w:ascii="黑体" w:hAnsi="宋体" w:cs="微软雅黑"/>
          <w:b w:val="0"/>
          <w:spacing w:val="-2"/>
          <w:kern w:val="0"/>
          <w:position w:val="-3"/>
          <w:sz w:val="21"/>
          <w:szCs w:val="21"/>
        </w:rPr>
        <w:t>分</w:t>
      </w:r>
      <w:r>
        <w:rPr>
          <w:rFonts w:hint="eastAsia" w:ascii="黑体" w:hAnsi="宋体" w:cs="微软雅黑"/>
          <w:b w:val="0"/>
          <w:kern w:val="0"/>
          <w:position w:val="-3"/>
          <w:sz w:val="21"/>
          <w:szCs w:val="21"/>
        </w:rPr>
        <w:t>项</w:t>
      </w:r>
      <w:r>
        <w:rPr>
          <w:rFonts w:hint="eastAsia" w:ascii="黑体" w:hAnsi="宋体" w:cs="微软雅黑"/>
          <w:b w:val="0"/>
          <w:spacing w:val="-2"/>
          <w:kern w:val="0"/>
          <w:position w:val="-3"/>
          <w:sz w:val="21"/>
          <w:szCs w:val="21"/>
        </w:rPr>
        <w:t>报</w:t>
      </w:r>
      <w:r>
        <w:rPr>
          <w:rFonts w:hint="eastAsia" w:ascii="黑体" w:hAnsi="宋体" w:cs="微软雅黑"/>
          <w:b w:val="0"/>
          <w:kern w:val="0"/>
          <w:position w:val="-3"/>
          <w:sz w:val="21"/>
          <w:szCs w:val="21"/>
        </w:rPr>
        <w:t>价明细表</w:t>
      </w:r>
      <w:bookmarkEnd w:id="129"/>
    </w:p>
    <w:p w14:paraId="41F3A1F3">
      <w:pPr>
        <w:adjustRightInd w:val="0"/>
        <w:snapToGrid w:val="0"/>
        <w:spacing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4BE35C8A">
      <w:pPr>
        <w:adjustRightInd w:val="0"/>
        <w:snapToGrid w:val="0"/>
        <w:spacing w:line="360" w:lineRule="auto"/>
        <w:rPr>
          <w:rFonts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C7FE42D">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43"/>
        <w:tblW w:w="9759" w:type="dxa"/>
        <w:tblInd w:w="-611" w:type="dxa"/>
        <w:tblLayout w:type="fixed"/>
        <w:tblCellMar>
          <w:top w:w="0" w:type="dxa"/>
          <w:left w:w="0" w:type="dxa"/>
          <w:bottom w:w="0" w:type="dxa"/>
          <w:right w:w="0" w:type="dxa"/>
        </w:tblCellMar>
      </w:tblPr>
      <w:tblGrid>
        <w:gridCol w:w="537"/>
        <w:gridCol w:w="916"/>
        <w:gridCol w:w="1421"/>
        <w:gridCol w:w="1042"/>
        <w:gridCol w:w="1042"/>
        <w:gridCol w:w="853"/>
        <w:gridCol w:w="1010"/>
        <w:gridCol w:w="884"/>
        <w:gridCol w:w="1027"/>
        <w:gridCol w:w="1027"/>
      </w:tblGrid>
      <w:tr w14:paraId="4F475433">
        <w:tblPrEx>
          <w:tblCellMar>
            <w:top w:w="0" w:type="dxa"/>
            <w:left w:w="0" w:type="dxa"/>
            <w:bottom w:w="0" w:type="dxa"/>
            <w:right w:w="0" w:type="dxa"/>
          </w:tblCellMar>
        </w:tblPrEx>
        <w:trPr>
          <w:trHeight w:val="415" w:hRule="exact"/>
        </w:trPr>
        <w:tc>
          <w:tcPr>
            <w:tcW w:w="1453" w:type="dxa"/>
            <w:gridSpan w:val="2"/>
            <w:vMerge w:val="restart"/>
            <w:tcBorders>
              <w:top w:val="double" w:color="auto" w:sz="4" w:space="0"/>
              <w:left w:val="double" w:color="auto" w:sz="4" w:space="0"/>
              <w:right w:val="single" w:color="auto" w:sz="6" w:space="0"/>
            </w:tcBorders>
            <w:vAlign w:val="center"/>
          </w:tcPr>
          <w:p w14:paraId="154C70AF">
            <w:pPr>
              <w:autoSpaceDE w:val="0"/>
              <w:autoSpaceDN w:val="0"/>
              <w:adjustRightInd w:val="0"/>
              <w:snapToGrid w:val="0"/>
              <w:spacing w:line="320" w:lineRule="exact"/>
              <w:ind w:right="-23"/>
              <w:jc w:val="center"/>
              <w:rPr>
                <w:rFonts w:ascii="宋体" w:hAnsi="宋体" w:cs="宋体"/>
                <w:szCs w:val="21"/>
              </w:rPr>
            </w:pPr>
            <w:r>
              <w:rPr>
                <w:rFonts w:hint="eastAsia" w:ascii="宋体" w:hAnsi="宋体" w:cs="宋体"/>
                <w:szCs w:val="21"/>
              </w:rPr>
              <w:t>分项项目名称</w:t>
            </w:r>
          </w:p>
          <w:p w14:paraId="2CD7D97A">
            <w:pPr>
              <w:autoSpaceDE w:val="0"/>
              <w:autoSpaceDN w:val="0"/>
              <w:adjustRightInd w:val="0"/>
              <w:snapToGrid w:val="0"/>
              <w:spacing w:line="320" w:lineRule="exact"/>
              <w:ind w:right="-23"/>
              <w:jc w:val="center"/>
              <w:rPr>
                <w:rFonts w:ascii="宋体" w:hAnsi="宋体" w:cs="宋体"/>
                <w:szCs w:val="21"/>
              </w:rPr>
            </w:pPr>
            <w:r>
              <w:rPr>
                <w:rFonts w:hint="eastAsia" w:ascii="宋体" w:hAnsi="宋体" w:cs="宋体"/>
                <w:szCs w:val="21"/>
              </w:rPr>
              <w:t>（条目号/品目名）</w:t>
            </w:r>
          </w:p>
        </w:tc>
        <w:tc>
          <w:tcPr>
            <w:tcW w:w="1421" w:type="dxa"/>
            <w:vMerge w:val="restart"/>
            <w:tcBorders>
              <w:top w:val="double" w:color="auto" w:sz="4" w:space="0"/>
              <w:left w:val="single" w:color="auto" w:sz="6" w:space="0"/>
              <w:bottom w:val="single" w:color="auto" w:sz="6" w:space="0"/>
              <w:right w:val="single" w:color="auto" w:sz="4" w:space="0"/>
            </w:tcBorders>
            <w:vAlign w:val="center"/>
          </w:tcPr>
          <w:p w14:paraId="25CF51DA">
            <w:pPr>
              <w:autoSpaceDE w:val="0"/>
              <w:autoSpaceDN w:val="0"/>
              <w:adjustRightInd w:val="0"/>
              <w:snapToGrid w:val="0"/>
              <w:spacing w:line="320" w:lineRule="exact"/>
              <w:ind w:right="-23"/>
              <w:jc w:val="center"/>
              <w:rPr>
                <w:rFonts w:ascii="宋体" w:hAnsi="宋体" w:cs="宋体"/>
                <w:szCs w:val="21"/>
              </w:rPr>
            </w:pPr>
            <w:r>
              <w:rPr>
                <w:rFonts w:hint="eastAsia" w:ascii="宋体" w:hAnsi="宋体" w:cs="宋体"/>
                <w:szCs w:val="21"/>
              </w:rPr>
              <w:t>规格型号</w:t>
            </w:r>
          </w:p>
          <w:p w14:paraId="0E2C6C61">
            <w:pPr>
              <w:autoSpaceDE w:val="0"/>
              <w:autoSpaceDN w:val="0"/>
              <w:adjustRightInd w:val="0"/>
              <w:snapToGrid w:val="0"/>
              <w:spacing w:line="320" w:lineRule="exact"/>
              <w:ind w:right="-23"/>
              <w:jc w:val="center"/>
              <w:rPr>
                <w:rFonts w:ascii="宋体" w:hAnsi="宋体" w:cs="宋体"/>
                <w:szCs w:val="21"/>
              </w:rPr>
            </w:pPr>
            <w:r>
              <w:rPr>
                <w:rFonts w:hint="eastAsia" w:ascii="宋体" w:hAnsi="宋体" w:cs="宋体"/>
                <w:szCs w:val="21"/>
              </w:rPr>
              <w:t>（或项目特征描述</w:t>
            </w:r>
            <w:r>
              <w:rPr>
                <w:rFonts w:ascii="宋体" w:hAnsi="宋体" w:cs="宋体"/>
                <w:szCs w:val="21"/>
              </w:rPr>
              <w:t>）</w:t>
            </w:r>
          </w:p>
        </w:tc>
        <w:tc>
          <w:tcPr>
            <w:tcW w:w="1042" w:type="dxa"/>
            <w:vMerge w:val="restart"/>
            <w:tcBorders>
              <w:top w:val="double" w:color="auto" w:sz="4" w:space="0"/>
              <w:left w:val="single" w:color="auto" w:sz="4" w:space="0"/>
              <w:bottom w:val="single" w:color="auto" w:sz="6" w:space="0"/>
              <w:right w:val="single" w:color="auto" w:sz="6" w:space="0"/>
            </w:tcBorders>
            <w:vAlign w:val="center"/>
          </w:tcPr>
          <w:p w14:paraId="175F389C">
            <w:pPr>
              <w:autoSpaceDE w:val="0"/>
              <w:autoSpaceDN w:val="0"/>
              <w:adjustRightInd w:val="0"/>
              <w:snapToGrid w:val="0"/>
              <w:spacing w:line="320" w:lineRule="exact"/>
              <w:ind w:right="-23"/>
              <w:jc w:val="center"/>
              <w:rPr>
                <w:rFonts w:ascii="宋体" w:hAnsi="宋体"/>
                <w:szCs w:val="21"/>
              </w:rPr>
            </w:pPr>
            <w:r>
              <w:rPr>
                <w:rFonts w:hint="eastAsia" w:ascii="宋体" w:hAnsi="宋体"/>
                <w:szCs w:val="21"/>
              </w:rPr>
              <w:t>品牌/产地/厂商</w:t>
            </w:r>
          </w:p>
        </w:tc>
        <w:tc>
          <w:tcPr>
            <w:tcW w:w="1042" w:type="dxa"/>
            <w:vMerge w:val="restart"/>
            <w:tcBorders>
              <w:top w:val="double" w:color="auto" w:sz="4" w:space="0"/>
              <w:left w:val="single" w:color="auto" w:sz="6" w:space="0"/>
              <w:right w:val="single" w:color="auto" w:sz="4" w:space="0"/>
            </w:tcBorders>
            <w:vAlign w:val="center"/>
          </w:tcPr>
          <w:p w14:paraId="640B7210">
            <w:pPr>
              <w:autoSpaceDE w:val="0"/>
              <w:autoSpaceDN w:val="0"/>
              <w:adjustRightInd w:val="0"/>
              <w:snapToGrid w:val="0"/>
              <w:spacing w:line="320" w:lineRule="exact"/>
              <w:ind w:right="-23"/>
              <w:jc w:val="center"/>
              <w:rPr>
                <w:rFonts w:ascii="宋体" w:hAnsi="宋体"/>
                <w:kern w:val="0"/>
                <w:szCs w:val="21"/>
              </w:rPr>
            </w:pPr>
            <w:r>
              <w:rPr>
                <w:rFonts w:ascii="宋体" w:hAnsi="宋体" w:cs="宋体"/>
                <w:szCs w:val="21"/>
              </w:rPr>
              <w:t>中小企业</w:t>
            </w:r>
          </w:p>
        </w:tc>
        <w:tc>
          <w:tcPr>
            <w:tcW w:w="853" w:type="dxa"/>
            <w:vMerge w:val="restart"/>
            <w:tcBorders>
              <w:top w:val="double" w:color="auto" w:sz="4" w:space="0"/>
              <w:left w:val="single" w:color="auto" w:sz="6" w:space="0"/>
              <w:right w:val="single" w:color="auto" w:sz="4" w:space="0"/>
            </w:tcBorders>
            <w:vAlign w:val="center"/>
          </w:tcPr>
          <w:p w14:paraId="1F8D412C">
            <w:pPr>
              <w:autoSpaceDE w:val="0"/>
              <w:autoSpaceDN w:val="0"/>
              <w:adjustRightInd w:val="0"/>
              <w:snapToGrid w:val="0"/>
              <w:spacing w:line="320" w:lineRule="exact"/>
              <w:ind w:right="-23"/>
              <w:jc w:val="center"/>
              <w:rPr>
                <w:rFonts w:ascii="宋体" w:hAnsi="宋体" w:cs="微软雅黑"/>
                <w:kern w:val="0"/>
                <w:position w:val="-1"/>
                <w:szCs w:val="21"/>
              </w:rPr>
            </w:pPr>
            <w:r>
              <w:rPr>
                <w:rFonts w:hint="eastAsia" w:ascii="宋体" w:hAnsi="宋体"/>
                <w:kern w:val="0"/>
                <w:szCs w:val="21"/>
              </w:rPr>
              <w:t>数量/单位</w:t>
            </w:r>
          </w:p>
        </w:tc>
        <w:tc>
          <w:tcPr>
            <w:tcW w:w="1894" w:type="dxa"/>
            <w:gridSpan w:val="2"/>
            <w:tcBorders>
              <w:top w:val="double" w:color="auto" w:sz="4" w:space="0"/>
              <w:left w:val="single" w:color="auto" w:sz="4" w:space="0"/>
              <w:bottom w:val="single" w:color="auto" w:sz="6" w:space="0"/>
              <w:right w:val="single" w:color="auto" w:sz="6" w:space="0"/>
            </w:tcBorders>
            <w:vAlign w:val="center"/>
          </w:tcPr>
          <w:p w14:paraId="427C13E2">
            <w:pPr>
              <w:autoSpaceDE w:val="0"/>
              <w:autoSpaceDN w:val="0"/>
              <w:adjustRightInd w:val="0"/>
              <w:snapToGrid w:val="0"/>
              <w:spacing w:line="320" w:lineRule="exact"/>
              <w:ind w:right="-23"/>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1027" w:type="dxa"/>
            <w:vMerge w:val="restart"/>
            <w:tcBorders>
              <w:top w:val="double" w:color="auto" w:sz="4" w:space="0"/>
              <w:left w:val="single" w:color="auto" w:sz="6" w:space="0"/>
              <w:right w:val="double" w:color="auto" w:sz="4" w:space="0"/>
            </w:tcBorders>
            <w:vAlign w:val="center"/>
          </w:tcPr>
          <w:p w14:paraId="5B5759AA">
            <w:pPr>
              <w:autoSpaceDE w:val="0"/>
              <w:autoSpaceDN w:val="0"/>
              <w:adjustRightInd w:val="0"/>
              <w:snapToGrid w:val="0"/>
              <w:spacing w:line="320" w:lineRule="exact"/>
              <w:ind w:right="-23"/>
              <w:jc w:val="center"/>
              <w:rPr>
                <w:rFonts w:ascii="宋体" w:hAnsi="宋体" w:cs="微软雅黑"/>
                <w:kern w:val="0"/>
                <w:position w:val="-1"/>
                <w:szCs w:val="21"/>
              </w:rPr>
            </w:pPr>
            <w:r>
              <w:rPr>
                <w:rFonts w:ascii="宋体" w:hAnsi="宋体" w:cs="宋体"/>
                <w:szCs w:val="21"/>
              </w:rPr>
              <w:t>政策功能编码</w:t>
            </w:r>
          </w:p>
        </w:tc>
        <w:tc>
          <w:tcPr>
            <w:tcW w:w="1027" w:type="dxa"/>
            <w:vMerge w:val="restart"/>
            <w:tcBorders>
              <w:top w:val="double" w:color="auto" w:sz="4" w:space="0"/>
              <w:left w:val="single" w:color="auto" w:sz="6" w:space="0"/>
              <w:bottom w:val="single" w:color="auto" w:sz="6" w:space="0"/>
              <w:right w:val="double" w:color="auto" w:sz="4" w:space="0"/>
            </w:tcBorders>
            <w:vAlign w:val="center"/>
          </w:tcPr>
          <w:p w14:paraId="162C8F7A">
            <w:pPr>
              <w:autoSpaceDE w:val="0"/>
              <w:autoSpaceDN w:val="0"/>
              <w:adjustRightInd w:val="0"/>
              <w:snapToGrid w:val="0"/>
              <w:spacing w:line="320" w:lineRule="exact"/>
              <w:ind w:right="-23"/>
              <w:jc w:val="center"/>
              <w:rPr>
                <w:rFonts w:ascii="宋体" w:hAnsi="宋体" w:cs="微软雅黑"/>
                <w:kern w:val="0"/>
                <w:position w:val="-1"/>
                <w:szCs w:val="21"/>
              </w:rPr>
            </w:pPr>
            <w:r>
              <w:rPr>
                <w:rFonts w:hint="eastAsia" w:ascii="宋体" w:hAnsi="宋体" w:cs="微软雅黑"/>
                <w:kern w:val="0"/>
                <w:position w:val="-1"/>
                <w:szCs w:val="21"/>
              </w:rPr>
              <w:t>备注</w:t>
            </w:r>
          </w:p>
        </w:tc>
      </w:tr>
      <w:tr w14:paraId="575B7C4F">
        <w:tblPrEx>
          <w:tblCellMar>
            <w:top w:w="0" w:type="dxa"/>
            <w:left w:w="0" w:type="dxa"/>
            <w:bottom w:w="0" w:type="dxa"/>
            <w:right w:w="0" w:type="dxa"/>
          </w:tblCellMar>
        </w:tblPrEx>
        <w:trPr>
          <w:trHeight w:val="513" w:hRule="exact"/>
        </w:trPr>
        <w:tc>
          <w:tcPr>
            <w:tcW w:w="1453" w:type="dxa"/>
            <w:gridSpan w:val="2"/>
            <w:vMerge w:val="continue"/>
            <w:tcBorders>
              <w:left w:val="double" w:color="auto" w:sz="4" w:space="0"/>
              <w:bottom w:val="single" w:color="auto" w:sz="6" w:space="0"/>
              <w:right w:val="single" w:color="auto" w:sz="6" w:space="0"/>
            </w:tcBorders>
          </w:tcPr>
          <w:p w14:paraId="7A2D0278">
            <w:pPr>
              <w:autoSpaceDE w:val="0"/>
              <w:autoSpaceDN w:val="0"/>
              <w:adjustRightInd w:val="0"/>
              <w:snapToGrid w:val="0"/>
              <w:spacing w:line="320" w:lineRule="exact"/>
              <w:ind w:left="352" w:right="-23"/>
              <w:jc w:val="left"/>
              <w:rPr>
                <w:rFonts w:ascii="宋体" w:hAnsi="宋体"/>
                <w:kern w:val="0"/>
                <w:szCs w:val="21"/>
              </w:rPr>
            </w:pPr>
          </w:p>
        </w:tc>
        <w:tc>
          <w:tcPr>
            <w:tcW w:w="1421" w:type="dxa"/>
            <w:vMerge w:val="continue"/>
            <w:tcBorders>
              <w:top w:val="single" w:color="auto" w:sz="6" w:space="0"/>
              <w:left w:val="single" w:color="auto" w:sz="6" w:space="0"/>
              <w:bottom w:val="single" w:color="auto" w:sz="6" w:space="0"/>
              <w:right w:val="single" w:color="auto" w:sz="4" w:space="0"/>
            </w:tcBorders>
            <w:vAlign w:val="center"/>
          </w:tcPr>
          <w:p w14:paraId="31C3C7DF">
            <w:pPr>
              <w:autoSpaceDE w:val="0"/>
              <w:autoSpaceDN w:val="0"/>
              <w:adjustRightInd w:val="0"/>
              <w:snapToGrid w:val="0"/>
              <w:spacing w:line="320" w:lineRule="exact"/>
              <w:ind w:right="-23"/>
              <w:jc w:val="center"/>
              <w:rPr>
                <w:rFonts w:ascii="宋体" w:hAnsi="宋体"/>
                <w:kern w:val="0"/>
                <w:szCs w:val="21"/>
              </w:rPr>
            </w:pPr>
          </w:p>
        </w:tc>
        <w:tc>
          <w:tcPr>
            <w:tcW w:w="1042" w:type="dxa"/>
            <w:vMerge w:val="continue"/>
            <w:tcBorders>
              <w:top w:val="single" w:color="auto" w:sz="6" w:space="0"/>
              <w:left w:val="single" w:color="auto" w:sz="4" w:space="0"/>
              <w:bottom w:val="single" w:color="auto" w:sz="6" w:space="0"/>
              <w:right w:val="single" w:color="auto" w:sz="6" w:space="0"/>
            </w:tcBorders>
            <w:vAlign w:val="center"/>
          </w:tcPr>
          <w:p w14:paraId="26AFC31B">
            <w:pPr>
              <w:autoSpaceDE w:val="0"/>
              <w:autoSpaceDN w:val="0"/>
              <w:adjustRightInd w:val="0"/>
              <w:snapToGrid w:val="0"/>
              <w:spacing w:line="320" w:lineRule="exact"/>
              <w:ind w:right="-23"/>
              <w:jc w:val="center"/>
              <w:rPr>
                <w:rFonts w:ascii="宋体" w:hAnsi="宋体"/>
                <w:kern w:val="0"/>
                <w:szCs w:val="21"/>
              </w:rPr>
            </w:pPr>
          </w:p>
        </w:tc>
        <w:tc>
          <w:tcPr>
            <w:tcW w:w="1042" w:type="dxa"/>
            <w:vMerge w:val="continue"/>
            <w:tcBorders>
              <w:left w:val="single" w:color="auto" w:sz="6" w:space="0"/>
              <w:bottom w:val="single" w:color="auto" w:sz="6" w:space="0"/>
              <w:right w:val="single" w:color="auto" w:sz="4" w:space="0"/>
            </w:tcBorders>
            <w:vAlign w:val="center"/>
          </w:tcPr>
          <w:p w14:paraId="08E2FBD3">
            <w:pPr>
              <w:autoSpaceDE w:val="0"/>
              <w:autoSpaceDN w:val="0"/>
              <w:adjustRightInd w:val="0"/>
              <w:snapToGrid w:val="0"/>
              <w:spacing w:line="320" w:lineRule="exact"/>
              <w:ind w:right="-23"/>
              <w:jc w:val="center"/>
              <w:rPr>
                <w:rFonts w:ascii="宋体" w:hAnsi="宋体"/>
                <w:kern w:val="0"/>
                <w:szCs w:val="21"/>
              </w:rPr>
            </w:pPr>
          </w:p>
        </w:tc>
        <w:tc>
          <w:tcPr>
            <w:tcW w:w="853" w:type="dxa"/>
            <w:vMerge w:val="continue"/>
            <w:tcBorders>
              <w:left w:val="single" w:color="auto" w:sz="6" w:space="0"/>
              <w:bottom w:val="single" w:color="auto" w:sz="6" w:space="0"/>
              <w:right w:val="single" w:color="auto" w:sz="4" w:space="0"/>
            </w:tcBorders>
            <w:vAlign w:val="center"/>
          </w:tcPr>
          <w:p w14:paraId="6EAECE38">
            <w:pPr>
              <w:autoSpaceDE w:val="0"/>
              <w:autoSpaceDN w:val="0"/>
              <w:adjustRightInd w:val="0"/>
              <w:snapToGrid w:val="0"/>
              <w:spacing w:line="320" w:lineRule="exact"/>
              <w:ind w:right="-23"/>
              <w:jc w:val="center"/>
              <w:rPr>
                <w:rFonts w:ascii="宋体" w:hAnsi="宋体"/>
                <w:kern w:val="0"/>
                <w:szCs w:val="21"/>
              </w:rPr>
            </w:pPr>
          </w:p>
        </w:tc>
        <w:tc>
          <w:tcPr>
            <w:tcW w:w="1010" w:type="dxa"/>
            <w:tcBorders>
              <w:top w:val="single" w:color="auto" w:sz="6" w:space="0"/>
              <w:left w:val="single" w:color="auto" w:sz="4" w:space="0"/>
              <w:bottom w:val="single" w:color="auto" w:sz="6" w:space="0"/>
              <w:right w:val="single" w:color="auto" w:sz="4" w:space="0"/>
            </w:tcBorders>
            <w:vAlign w:val="center"/>
          </w:tcPr>
          <w:p w14:paraId="18391066">
            <w:pPr>
              <w:autoSpaceDE w:val="0"/>
              <w:autoSpaceDN w:val="0"/>
              <w:adjustRightInd w:val="0"/>
              <w:snapToGrid w:val="0"/>
              <w:spacing w:line="320" w:lineRule="exact"/>
              <w:ind w:right="-23"/>
              <w:jc w:val="center"/>
              <w:rPr>
                <w:rFonts w:ascii="宋体" w:hAnsi="宋体"/>
                <w:kern w:val="0"/>
                <w:szCs w:val="21"/>
              </w:rPr>
            </w:pPr>
            <w:r>
              <w:rPr>
                <w:rFonts w:hint="eastAsia" w:ascii="宋体" w:hAnsi="宋体" w:cs="微软雅黑"/>
                <w:kern w:val="0"/>
                <w:position w:val="-1"/>
                <w:szCs w:val="21"/>
              </w:rPr>
              <w:t>单价</w:t>
            </w:r>
          </w:p>
        </w:tc>
        <w:tc>
          <w:tcPr>
            <w:tcW w:w="884" w:type="dxa"/>
            <w:tcBorders>
              <w:top w:val="single" w:color="auto" w:sz="6" w:space="0"/>
              <w:left w:val="single" w:color="auto" w:sz="4" w:space="0"/>
              <w:bottom w:val="single" w:color="auto" w:sz="6" w:space="0"/>
              <w:right w:val="single" w:color="auto" w:sz="6" w:space="0"/>
            </w:tcBorders>
            <w:vAlign w:val="center"/>
          </w:tcPr>
          <w:p w14:paraId="3D89C165">
            <w:pPr>
              <w:autoSpaceDE w:val="0"/>
              <w:autoSpaceDN w:val="0"/>
              <w:adjustRightInd w:val="0"/>
              <w:snapToGrid w:val="0"/>
              <w:spacing w:line="320" w:lineRule="exact"/>
              <w:ind w:left="70" w:right="-23"/>
              <w:jc w:val="center"/>
              <w:rPr>
                <w:rFonts w:ascii="宋体" w:hAnsi="宋体"/>
                <w:kern w:val="0"/>
                <w:szCs w:val="21"/>
              </w:rPr>
            </w:pPr>
            <w:r>
              <w:rPr>
                <w:rFonts w:hint="eastAsia" w:ascii="宋体" w:hAnsi="宋体"/>
                <w:kern w:val="0"/>
                <w:szCs w:val="21"/>
              </w:rPr>
              <w:t>小计</w:t>
            </w:r>
          </w:p>
        </w:tc>
        <w:tc>
          <w:tcPr>
            <w:tcW w:w="1027" w:type="dxa"/>
            <w:vMerge w:val="continue"/>
            <w:tcBorders>
              <w:left w:val="single" w:color="auto" w:sz="6" w:space="0"/>
              <w:bottom w:val="single" w:color="auto" w:sz="6" w:space="0"/>
              <w:right w:val="double" w:color="auto" w:sz="4" w:space="0"/>
            </w:tcBorders>
          </w:tcPr>
          <w:p w14:paraId="1A1C6094">
            <w:pPr>
              <w:autoSpaceDE w:val="0"/>
              <w:autoSpaceDN w:val="0"/>
              <w:adjustRightInd w:val="0"/>
              <w:snapToGrid w:val="0"/>
              <w:spacing w:line="320" w:lineRule="exact"/>
              <w:ind w:left="422" w:right="-23"/>
              <w:jc w:val="left"/>
              <w:rPr>
                <w:rFonts w:ascii="宋体" w:hAnsi="宋体"/>
                <w:kern w:val="0"/>
                <w:szCs w:val="21"/>
              </w:rPr>
            </w:pPr>
          </w:p>
        </w:tc>
        <w:tc>
          <w:tcPr>
            <w:tcW w:w="1027" w:type="dxa"/>
            <w:vMerge w:val="continue"/>
            <w:tcBorders>
              <w:top w:val="single" w:color="auto" w:sz="6" w:space="0"/>
              <w:left w:val="single" w:color="auto" w:sz="6" w:space="0"/>
              <w:bottom w:val="single" w:color="auto" w:sz="6" w:space="0"/>
              <w:right w:val="double" w:color="auto" w:sz="4" w:space="0"/>
            </w:tcBorders>
          </w:tcPr>
          <w:p w14:paraId="0C68FC58">
            <w:pPr>
              <w:autoSpaceDE w:val="0"/>
              <w:autoSpaceDN w:val="0"/>
              <w:adjustRightInd w:val="0"/>
              <w:snapToGrid w:val="0"/>
              <w:spacing w:line="320" w:lineRule="exact"/>
              <w:ind w:left="422" w:right="-23"/>
              <w:jc w:val="left"/>
              <w:rPr>
                <w:rFonts w:ascii="宋体" w:hAnsi="宋体"/>
                <w:kern w:val="0"/>
                <w:szCs w:val="21"/>
              </w:rPr>
            </w:pPr>
          </w:p>
        </w:tc>
      </w:tr>
      <w:tr w14:paraId="40FBBB54">
        <w:tblPrEx>
          <w:tblCellMar>
            <w:top w:w="0" w:type="dxa"/>
            <w:left w:w="0" w:type="dxa"/>
            <w:bottom w:w="0" w:type="dxa"/>
            <w:right w:w="0" w:type="dxa"/>
          </w:tblCellMar>
        </w:tblPrEx>
        <w:trPr>
          <w:trHeight w:val="378" w:hRule="exact"/>
        </w:trPr>
        <w:tc>
          <w:tcPr>
            <w:tcW w:w="537" w:type="dxa"/>
            <w:tcBorders>
              <w:top w:val="single" w:color="auto" w:sz="6" w:space="0"/>
              <w:left w:val="double" w:color="auto" w:sz="4" w:space="0"/>
              <w:bottom w:val="single" w:color="auto" w:sz="6" w:space="0"/>
              <w:right w:val="single" w:color="auto" w:sz="6" w:space="0"/>
            </w:tcBorders>
            <w:vAlign w:val="center"/>
          </w:tcPr>
          <w:p w14:paraId="3493C08A">
            <w:pPr>
              <w:jc w:val="center"/>
              <w:rPr>
                <w:rFonts w:ascii="宋体" w:hAnsi="宋体" w:cs="宋体"/>
              </w:rPr>
            </w:pPr>
            <w:r>
              <w:rPr>
                <w:rFonts w:hint="eastAsia" w:ascii="宋体" w:hAnsi="宋体" w:cs="宋体"/>
              </w:rPr>
              <w:t>1</w:t>
            </w:r>
          </w:p>
        </w:tc>
        <w:tc>
          <w:tcPr>
            <w:tcW w:w="916" w:type="dxa"/>
            <w:tcBorders>
              <w:top w:val="single" w:color="auto" w:sz="6" w:space="0"/>
              <w:left w:val="single" w:color="auto" w:sz="6" w:space="0"/>
              <w:bottom w:val="single" w:color="auto" w:sz="6" w:space="0"/>
              <w:right w:val="single" w:color="auto" w:sz="6" w:space="0"/>
            </w:tcBorders>
            <w:vAlign w:val="center"/>
          </w:tcPr>
          <w:p w14:paraId="71C66409">
            <w:pPr>
              <w:autoSpaceDE w:val="0"/>
              <w:autoSpaceDN w:val="0"/>
              <w:adjustRightInd w:val="0"/>
              <w:snapToGrid w:val="0"/>
              <w:spacing w:line="360" w:lineRule="auto"/>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375036C9">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7F7AD041">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4D95A956">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2145E8E2">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6" w:space="0"/>
              <w:bottom w:val="single" w:color="auto" w:sz="6" w:space="0"/>
              <w:right w:val="single" w:color="auto" w:sz="6" w:space="0"/>
            </w:tcBorders>
          </w:tcPr>
          <w:p w14:paraId="4E1EFB8D">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24C19369">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548A8B4E">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7808BE1B">
            <w:pPr>
              <w:autoSpaceDE w:val="0"/>
              <w:autoSpaceDN w:val="0"/>
              <w:adjustRightInd w:val="0"/>
              <w:snapToGrid w:val="0"/>
              <w:spacing w:line="360" w:lineRule="auto"/>
              <w:jc w:val="left"/>
              <w:rPr>
                <w:rFonts w:ascii="宋体" w:hAnsi="宋体"/>
                <w:kern w:val="0"/>
                <w:szCs w:val="21"/>
              </w:rPr>
            </w:pPr>
          </w:p>
        </w:tc>
      </w:tr>
      <w:tr w14:paraId="6C91FCDC">
        <w:tblPrEx>
          <w:tblCellMar>
            <w:top w:w="0" w:type="dxa"/>
            <w:left w:w="0" w:type="dxa"/>
            <w:bottom w:w="0" w:type="dxa"/>
            <w:right w:w="0" w:type="dxa"/>
          </w:tblCellMar>
        </w:tblPrEx>
        <w:trPr>
          <w:trHeight w:val="415" w:hRule="exact"/>
        </w:trPr>
        <w:tc>
          <w:tcPr>
            <w:tcW w:w="537" w:type="dxa"/>
            <w:tcBorders>
              <w:top w:val="single" w:color="auto" w:sz="6" w:space="0"/>
              <w:left w:val="double" w:color="auto" w:sz="4" w:space="0"/>
              <w:bottom w:val="single" w:color="auto" w:sz="6" w:space="0"/>
              <w:right w:val="single" w:color="auto" w:sz="6" w:space="0"/>
            </w:tcBorders>
            <w:vAlign w:val="center"/>
          </w:tcPr>
          <w:p w14:paraId="7DA66B6C">
            <w:pPr>
              <w:jc w:val="center"/>
              <w:rPr>
                <w:rFonts w:ascii="宋体" w:hAnsi="宋体" w:cs="宋体"/>
              </w:rPr>
            </w:pPr>
            <w:r>
              <w:rPr>
                <w:rFonts w:hint="eastAsia" w:ascii="宋体" w:hAnsi="宋体" w:cs="宋体"/>
              </w:rPr>
              <w:t>2</w:t>
            </w:r>
          </w:p>
        </w:tc>
        <w:tc>
          <w:tcPr>
            <w:tcW w:w="916" w:type="dxa"/>
            <w:tcBorders>
              <w:top w:val="single" w:color="auto" w:sz="6" w:space="0"/>
              <w:left w:val="single" w:color="auto" w:sz="6" w:space="0"/>
              <w:bottom w:val="single" w:color="auto" w:sz="6" w:space="0"/>
              <w:right w:val="single" w:color="auto" w:sz="6" w:space="0"/>
            </w:tcBorders>
            <w:vAlign w:val="center"/>
          </w:tcPr>
          <w:p w14:paraId="11D43142">
            <w:pPr>
              <w:autoSpaceDE w:val="0"/>
              <w:autoSpaceDN w:val="0"/>
              <w:adjustRightInd w:val="0"/>
              <w:snapToGrid w:val="0"/>
              <w:spacing w:line="360" w:lineRule="auto"/>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06014C6C">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2736BCC5">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1A949B0D">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4879F32D">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6" w:space="0"/>
              <w:bottom w:val="single" w:color="auto" w:sz="6" w:space="0"/>
              <w:right w:val="single" w:color="auto" w:sz="6" w:space="0"/>
            </w:tcBorders>
          </w:tcPr>
          <w:p w14:paraId="3FD961B0">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7827EA77">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688541F7">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67735FE4">
            <w:pPr>
              <w:autoSpaceDE w:val="0"/>
              <w:autoSpaceDN w:val="0"/>
              <w:adjustRightInd w:val="0"/>
              <w:snapToGrid w:val="0"/>
              <w:spacing w:line="360" w:lineRule="auto"/>
              <w:jc w:val="left"/>
              <w:rPr>
                <w:rFonts w:ascii="宋体" w:hAnsi="宋体"/>
                <w:kern w:val="0"/>
                <w:szCs w:val="21"/>
              </w:rPr>
            </w:pPr>
          </w:p>
        </w:tc>
      </w:tr>
      <w:tr w14:paraId="5D42B770">
        <w:tblPrEx>
          <w:tblCellMar>
            <w:top w:w="0" w:type="dxa"/>
            <w:left w:w="0" w:type="dxa"/>
            <w:bottom w:w="0" w:type="dxa"/>
            <w:right w:w="0" w:type="dxa"/>
          </w:tblCellMar>
        </w:tblPrEx>
        <w:trPr>
          <w:trHeight w:val="415" w:hRule="exact"/>
        </w:trPr>
        <w:tc>
          <w:tcPr>
            <w:tcW w:w="537" w:type="dxa"/>
            <w:tcBorders>
              <w:top w:val="single" w:color="auto" w:sz="6" w:space="0"/>
              <w:left w:val="double" w:color="auto" w:sz="4" w:space="0"/>
              <w:bottom w:val="single" w:color="auto" w:sz="6" w:space="0"/>
              <w:right w:val="single" w:color="auto" w:sz="6" w:space="0"/>
            </w:tcBorders>
            <w:vAlign w:val="center"/>
          </w:tcPr>
          <w:p w14:paraId="3FF4B7C7">
            <w:pPr>
              <w:jc w:val="center"/>
              <w:rPr>
                <w:rFonts w:ascii="宋体" w:hAnsi="宋体" w:cs="宋体"/>
              </w:rPr>
            </w:pPr>
            <w:r>
              <w:rPr>
                <w:rFonts w:hint="eastAsia" w:ascii="宋体" w:hAnsi="宋体" w:cs="宋体"/>
              </w:rPr>
              <w:t>3</w:t>
            </w:r>
          </w:p>
        </w:tc>
        <w:tc>
          <w:tcPr>
            <w:tcW w:w="916" w:type="dxa"/>
            <w:tcBorders>
              <w:top w:val="single" w:color="auto" w:sz="6" w:space="0"/>
              <w:left w:val="single" w:color="auto" w:sz="6" w:space="0"/>
              <w:bottom w:val="single" w:color="auto" w:sz="6" w:space="0"/>
              <w:right w:val="single" w:color="auto" w:sz="6" w:space="0"/>
            </w:tcBorders>
            <w:vAlign w:val="center"/>
          </w:tcPr>
          <w:p w14:paraId="7F27E8DE">
            <w:pPr>
              <w:autoSpaceDE w:val="0"/>
              <w:autoSpaceDN w:val="0"/>
              <w:adjustRightInd w:val="0"/>
              <w:snapToGrid w:val="0"/>
              <w:spacing w:line="360" w:lineRule="auto"/>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273A6FFB">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097B6938">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485A174B">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77254EB5">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6" w:space="0"/>
              <w:bottom w:val="single" w:color="auto" w:sz="6" w:space="0"/>
              <w:right w:val="single" w:color="auto" w:sz="6" w:space="0"/>
            </w:tcBorders>
          </w:tcPr>
          <w:p w14:paraId="41192068">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221F96E6">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1250C2F7">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2D7F0525">
            <w:pPr>
              <w:autoSpaceDE w:val="0"/>
              <w:autoSpaceDN w:val="0"/>
              <w:adjustRightInd w:val="0"/>
              <w:snapToGrid w:val="0"/>
              <w:spacing w:line="360" w:lineRule="auto"/>
              <w:jc w:val="left"/>
              <w:rPr>
                <w:rFonts w:ascii="宋体" w:hAnsi="宋体"/>
                <w:kern w:val="0"/>
                <w:szCs w:val="21"/>
              </w:rPr>
            </w:pPr>
          </w:p>
        </w:tc>
      </w:tr>
      <w:tr w14:paraId="3F40C237">
        <w:tblPrEx>
          <w:tblCellMar>
            <w:top w:w="0" w:type="dxa"/>
            <w:left w:w="0" w:type="dxa"/>
            <w:bottom w:w="0" w:type="dxa"/>
            <w:right w:w="0" w:type="dxa"/>
          </w:tblCellMar>
        </w:tblPrEx>
        <w:trPr>
          <w:trHeight w:val="415" w:hRule="exact"/>
        </w:trPr>
        <w:tc>
          <w:tcPr>
            <w:tcW w:w="537" w:type="dxa"/>
            <w:tcBorders>
              <w:top w:val="single" w:color="auto" w:sz="6" w:space="0"/>
              <w:left w:val="double" w:color="auto" w:sz="4" w:space="0"/>
              <w:bottom w:val="single" w:color="auto" w:sz="6" w:space="0"/>
              <w:right w:val="single" w:color="auto" w:sz="6" w:space="0"/>
            </w:tcBorders>
            <w:vAlign w:val="center"/>
          </w:tcPr>
          <w:p w14:paraId="64EA39D4">
            <w:pPr>
              <w:jc w:val="center"/>
              <w:rPr>
                <w:rFonts w:ascii="宋体" w:hAnsi="宋体" w:cs="宋体"/>
              </w:rPr>
            </w:pPr>
            <w:r>
              <w:rPr>
                <w:rFonts w:hint="eastAsia" w:ascii="宋体" w:hAnsi="宋体" w:cs="宋体"/>
              </w:rPr>
              <w:t>4</w:t>
            </w:r>
          </w:p>
        </w:tc>
        <w:tc>
          <w:tcPr>
            <w:tcW w:w="916" w:type="dxa"/>
            <w:tcBorders>
              <w:top w:val="single" w:color="auto" w:sz="6" w:space="0"/>
              <w:left w:val="single" w:color="auto" w:sz="6" w:space="0"/>
              <w:bottom w:val="single" w:color="auto" w:sz="6" w:space="0"/>
              <w:right w:val="single" w:color="auto" w:sz="6" w:space="0"/>
            </w:tcBorders>
            <w:vAlign w:val="center"/>
          </w:tcPr>
          <w:p w14:paraId="126B5874">
            <w:pPr>
              <w:autoSpaceDE w:val="0"/>
              <w:autoSpaceDN w:val="0"/>
              <w:adjustRightInd w:val="0"/>
              <w:snapToGrid w:val="0"/>
              <w:spacing w:line="360" w:lineRule="auto"/>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6BE36A16">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665D1088">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779BED16">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6B5B51CB">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4" w:space="0"/>
              <w:bottom w:val="single" w:color="auto" w:sz="6" w:space="0"/>
              <w:right w:val="single" w:color="auto" w:sz="6" w:space="0"/>
            </w:tcBorders>
          </w:tcPr>
          <w:p w14:paraId="73D86E87">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608B0788">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084C1E17">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2AF5DB57">
            <w:pPr>
              <w:autoSpaceDE w:val="0"/>
              <w:autoSpaceDN w:val="0"/>
              <w:adjustRightInd w:val="0"/>
              <w:snapToGrid w:val="0"/>
              <w:spacing w:line="360" w:lineRule="auto"/>
              <w:jc w:val="left"/>
              <w:rPr>
                <w:rFonts w:ascii="宋体" w:hAnsi="宋体"/>
                <w:kern w:val="0"/>
                <w:szCs w:val="21"/>
              </w:rPr>
            </w:pPr>
          </w:p>
        </w:tc>
      </w:tr>
      <w:tr w14:paraId="35B6F692">
        <w:tblPrEx>
          <w:tblCellMar>
            <w:top w:w="0" w:type="dxa"/>
            <w:left w:w="0" w:type="dxa"/>
            <w:bottom w:w="0" w:type="dxa"/>
            <w:right w:w="0" w:type="dxa"/>
          </w:tblCellMar>
        </w:tblPrEx>
        <w:trPr>
          <w:trHeight w:val="415" w:hRule="exact"/>
        </w:trPr>
        <w:tc>
          <w:tcPr>
            <w:tcW w:w="537" w:type="dxa"/>
            <w:tcBorders>
              <w:top w:val="single" w:color="auto" w:sz="6" w:space="0"/>
              <w:left w:val="double" w:color="auto" w:sz="4" w:space="0"/>
              <w:bottom w:val="single" w:color="auto" w:sz="6" w:space="0"/>
              <w:right w:val="single" w:color="auto" w:sz="6" w:space="0"/>
            </w:tcBorders>
            <w:vAlign w:val="center"/>
          </w:tcPr>
          <w:p w14:paraId="6E724A7D">
            <w:pPr>
              <w:jc w:val="center"/>
              <w:rPr>
                <w:rFonts w:ascii="宋体" w:hAnsi="宋体" w:cs="宋体"/>
              </w:rPr>
            </w:pPr>
            <w:r>
              <w:rPr>
                <w:rFonts w:hint="eastAsia" w:ascii="宋体" w:hAnsi="宋体" w:cs="宋体"/>
              </w:rPr>
              <w:t>5</w:t>
            </w:r>
          </w:p>
        </w:tc>
        <w:tc>
          <w:tcPr>
            <w:tcW w:w="916" w:type="dxa"/>
            <w:tcBorders>
              <w:top w:val="single" w:color="auto" w:sz="6" w:space="0"/>
              <w:left w:val="single" w:color="auto" w:sz="6" w:space="0"/>
              <w:bottom w:val="single" w:color="auto" w:sz="6" w:space="0"/>
              <w:right w:val="single" w:color="auto" w:sz="6" w:space="0"/>
            </w:tcBorders>
            <w:vAlign w:val="center"/>
          </w:tcPr>
          <w:p w14:paraId="456592C9">
            <w:pPr>
              <w:autoSpaceDE w:val="0"/>
              <w:autoSpaceDN w:val="0"/>
              <w:adjustRightInd w:val="0"/>
              <w:snapToGrid w:val="0"/>
              <w:spacing w:line="360" w:lineRule="auto"/>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65FA18B4">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63ACD06D">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21F29D69">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20978D1B">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4" w:space="0"/>
              <w:bottom w:val="single" w:color="auto" w:sz="6" w:space="0"/>
              <w:right w:val="single" w:color="auto" w:sz="6" w:space="0"/>
            </w:tcBorders>
          </w:tcPr>
          <w:p w14:paraId="4CBD9CFF">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4E24A691">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7A15F4B0">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17D56F2D">
            <w:pPr>
              <w:autoSpaceDE w:val="0"/>
              <w:autoSpaceDN w:val="0"/>
              <w:adjustRightInd w:val="0"/>
              <w:snapToGrid w:val="0"/>
              <w:spacing w:line="360" w:lineRule="auto"/>
              <w:jc w:val="left"/>
              <w:rPr>
                <w:rFonts w:ascii="宋体" w:hAnsi="宋体"/>
                <w:kern w:val="0"/>
                <w:szCs w:val="21"/>
              </w:rPr>
            </w:pPr>
          </w:p>
        </w:tc>
      </w:tr>
      <w:tr w14:paraId="22102B7C">
        <w:tblPrEx>
          <w:tblCellMar>
            <w:top w:w="0" w:type="dxa"/>
            <w:left w:w="0" w:type="dxa"/>
            <w:bottom w:w="0" w:type="dxa"/>
            <w:right w:w="0" w:type="dxa"/>
          </w:tblCellMar>
        </w:tblPrEx>
        <w:trPr>
          <w:trHeight w:val="415" w:hRule="exact"/>
        </w:trPr>
        <w:tc>
          <w:tcPr>
            <w:tcW w:w="537" w:type="dxa"/>
            <w:tcBorders>
              <w:top w:val="single" w:color="auto" w:sz="6" w:space="0"/>
              <w:left w:val="double" w:color="auto" w:sz="4" w:space="0"/>
              <w:bottom w:val="single" w:color="auto" w:sz="6" w:space="0"/>
              <w:right w:val="single" w:color="auto" w:sz="6" w:space="0"/>
            </w:tcBorders>
            <w:vAlign w:val="center"/>
          </w:tcPr>
          <w:p w14:paraId="2852C997">
            <w:pPr>
              <w:jc w:val="center"/>
            </w:pPr>
            <w:r>
              <w:t>…</w:t>
            </w:r>
          </w:p>
        </w:tc>
        <w:tc>
          <w:tcPr>
            <w:tcW w:w="916" w:type="dxa"/>
            <w:tcBorders>
              <w:top w:val="single" w:color="auto" w:sz="6" w:space="0"/>
              <w:left w:val="single" w:color="auto" w:sz="6" w:space="0"/>
              <w:bottom w:val="single" w:color="auto" w:sz="6" w:space="0"/>
              <w:right w:val="single" w:color="auto" w:sz="6" w:space="0"/>
            </w:tcBorders>
          </w:tcPr>
          <w:p w14:paraId="12E27425">
            <w:pPr>
              <w:autoSpaceDE w:val="0"/>
              <w:autoSpaceDN w:val="0"/>
              <w:adjustRightInd w:val="0"/>
              <w:snapToGrid w:val="0"/>
              <w:spacing w:line="360" w:lineRule="auto"/>
              <w:ind w:left="527" w:right="507"/>
              <w:jc w:val="center"/>
              <w:rPr>
                <w:rFonts w:ascii="宋体" w:hAnsi="宋体"/>
                <w:kern w:val="0"/>
                <w:szCs w:val="21"/>
              </w:rPr>
            </w:pPr>
          </w:p>
        </w:tc>
        <w:tc>
          <w:tcPr>
            <w:tcW w:w="1421" w:type="dxa"/>
            <w:tcBorders>
              <w:top w:val="single" w:color="auto" w:sz="6" w:space="0"/>
              <w:left w:val="single" w:color="auto" w:sz="6" w:space="0"/>
              <w:bottom w:val="single" w:color="auto" w:sz="6" w:space="0"/>
              <w:right w:val="single" w:color="auto" w:sz="4" w:space="0"/>
            </w:tcBorders>
          </w:tcPr>
          <w:p w14:paraId="1A954229">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4" w:space="0"/>
              <w:bottom w:val="single" w:color="auto" w:sz="6" w:space="0"/>
              <w:right w:val="single" w:color="auto" w:sz="6" w:space="0"/>
            </w:tcBorders>
          </w:tcPr>
          <w:p w14:paraId="7A39B232">
            <w:pPr>
              <w:autoSpaceDE w:val="0"/>
              <w:autoSpaceDN w:val="0"/>
              <w:adjustRightInd w:val="0"/>
              <w:snapToGrid w:val="0"/>
              <w:spacing w:line="360" w:lineRule="auto"/>
              <w:jc w:val="left"/>
              <w:rPr>
                <w:rFonts w:ascii="宋体" w:hAnsi="宋体"/>
                <w:kern w:val="0"/>
                <w:szCs w:val="21"/>
              </w:rPr>
            </w:pPr>
          </w:p>
        </w:tc>
        <w:tc>
          <w:tcPr>
            <w:tcW w:w="1042" w:type="dxa"/>
            <w:tcBorders>
              <w:top w:val="single" w:color="auto" w:sz="6" w:space="0"/>
              <w:left w:val="single" w:color="auto" w:sz="6" w:space="0"/>
              <w:bottom w:val="single" w:color="auto" w:sz="6" w:space="0"/>
              <w:right w:val="single" w:color="auto" w:sz="4" w:space="0"/>
            </w:tcBorders>
          </w:tcPr>
          <w:p w14:paraId="712AD8BB">
            <w:pPr>
              <w:autoSpaceDE w:val="0"/>
              <w:autoSpaceDN w:val="0"/>
              <w:adjustRightInd w:val="0"/>
              <w:snapToGrid w:val="0"/>
              <w:spacing w:line="360" w:lineRule="auto"/>
              <w:jc w:val="left"/>
              <w:rPr>
                <w:rFonts w:ascii="宋体" w:hAnsi="宋体"/>
                <w:kern w:val="0"/>
                <w:szCs w:val="21"/>
              </w:rPr>
            </w:pPr>
          </w:p>
        </w:tc>
        <w:tc>
          <w:tcPr>
            <w:tcW w:w="853" w:type="dxa"/>
            <w:tcBorders>
              <w:top w:val="single" w:color="auto" w:sz="6" w:space="0"/>
              <w:left w:val="single" w:color="auto" w:sz="6" w:space="0"/>
              <w:bottom w:val="single" w:color="auto" w:sz="6" w:space="0"/>
              <w:right w:val="single" w:color="auto" w:sz="4" w:space="0"/>
            </w:tcBorders>
          </w:tcPr>
          <w:p w14:paraId="3329B296">
            <w:pPr>
              <w:autoSpaceDE w:val="0"/>
              <w:autoSpaceDN w:val="0"/>
              <w:adjustRightInd w:val="0"/>
              <w:snapToGrid w:val="0"/>
              <w:spacing w:line="360" w:lineRule="auto"/>
              <w:jc w:val="left"/>
              <w:rPr>
                <w:rFonts w:ascii="宋体" w:hAnsi="宋体"/>
                <w:kern w:val="0"/>
                <w:szCs w:val="21"/>
              </w:rPr>
            </w:pPr>
          </w:p>
        </w:tc>
        <w:tc>
          <w:tcPr>
            <w:tcW w:w="1010" w:type="dxa"/>
            <w:tcBorders>
              <w:top w:val="single" w:color="auto" w:sz="6" w:space="0"/>
              <w:left w:val="single" w:color="auto" w:sz="4" w:space="0"/>
              <w:bottom w:val="single" w:color="auto" w:sz="6" w:space="0"/>
              <w:right w:val="single" w:color="auto" w:sz="6" w:space="0"/>
            </w:tcBorders>
          </w:tcPr>
          <w:p w14:paraId="7E427EFA">
            <w:pPr>
              <w:autoSpaceDE w:val="0"/>
              <w:autoSpaceDN w:val="0"/>
              <w:adjustRightInd w:val="0"/>
              <w:snapToGrid w:val="0"/>
              <w:spacing w:line="360" w:lineRule="auto"/>
              <w:jc w:val="left"/>
              <w:rPr>
                <w:rFonts w:ascii="宋体" w:hAnsi="宋体"/>
                <w:kern w:val="0"/>
                <w:szCs w:val="21"/>
              </w:rPr>
            </w:pPr>
          </w:p>
        </w:tc>
        <w:tc>
          <w:tcPr>
            <w:tcW w:w="884" w:type="dxa"/>
            <w:tcBorders>
              <w:top w:val="single" w:color="auto" w:sz="6" w:space="0"/>
              <w:left w:val="single" w:color="auto" w:sz="6" w:space="0"/>
              <w:bottom w:val="single" w:color="auto" w:sz="6" w:space="0"/>
              <w:right w:val="single" w:color="auto" w:sz="6" w:space="0"/>
            </w:tcBorders>
          </w:tcPr>
          <w:p w14:paraId="1BFCB232">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3719C7DF">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single" w:color="auto" w:sz="6" w:space="0"/>
              <w:right w:val="double" w:color="auto" w:sz="4" w:space="0"/>
            </w:tcBorders>
          </w:tcPr>
          <w:p w14:paraId="57966665">
            <w:pPr>
              <w:autoSpaceDE w:val="0"/>
              <w:autoSpaceDN w:val="0"/>
              <w:adjustRightInd w:val="0"/>
              <w:snapToGrid w:val="0"/>
              <w:spacing w:line="360" w:lineRule="auto"/>
              <w:jc w:val="left"/>
              <w:rPr>
                <w:rFonts w:ascii="宋体" w:hAnsi="宋体"/>
                <w:kern w:val="0"/>
                <w:szCs w:val="21"/>
              </w:rPr>
            </w:pPr>
          </w:p>
        </w:tc>
      </w:tr>
      <w:tr w14:paraId="216B6354">
        <w:tblPrEx>
          <w:tblCellMar>
            <w:top w:w="0" w:type="dxa"/>
            <w:left w:w="0" w:type="dxa"/>
            <w:bottom w:w="0" w:type="dxa"/>
            <w:right w:w="0" w:type="dxa"/>
          </w:tblCellMar>
        </w:tblPrEx>
        <w:trPr>
          <w:trHeight w:val="415" w:hRule="exact"/>
        </w:trPr>
        <w:tc>
          <w:tcPr>
            <w:tcW w:w="1453" w:type="dxa"/>
            <w:gridSpan w:val="2"/>
            <w:tcBorders>
              <w:top w:val="single" w:color="auto" w:sz="6" w:space="0"/>
              <w:left w:val="double" w:color="auto" w:sz="4" w:space="0"/>
              <w:bottom w:val="double" w:color="auto" w:sz="4" w:space="0"/>
              <w:right w:val="single" w:color="auto" w:sz="6" w:space="0"/>
            </w:tcBorders>
            <w:vAlign w:val="center"/>
          </w:tcPr>
          <w:p w14:paraId="42BC2128">
            <w:pPr>
              <w:autoSpaceDE w:val="0"/>
              <w:autoSpaceDN w:val="0"/>
              <w:adjustRightInd w:val="0"/>
              <w:snapToGrid w:val="0"/>
              <w:spacing w:line="360" w:lineRule="auto"/>
              <w:jc w:val="center"/>
              <w:rPr>
                <w:rFonts w:ascii="宋体" w:hAnsi="宋体" w:cs="微软雅黑"/>
                <w:kern w:val="0"/>
                <w:position w:val="-1"/>
                <w:szCs w:val="21"/>
              </w:rPr>
            </w:pPr>
          </w:p>
        </w:tc>
        <w:tc>
          <w:tcPr>
            <w:tcW w:w="5368" w:type="dxa"/>
            <w:gridSpan w:val="5"/>
            <w:tcBorders>
              <w:top w:val="single" w:color="auto" w:sz="6" w:space="0"/>
              <w:left w:val="double" w:color="auto" w:sz="4" w:space="0"/>
              <w:bottom w:val="double" w:color="auto" w:sz="4" w:space="0"/>
              <w:right w:val="single" w:color="auto" w:sz="6" w:space="0"/>
            </w:tcBorders>
            <w:vAlign w:val="center"/>
          </w:tcPr>
          <w:p w14:paraId="0F0CBE08">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投标报价（元）：</w:t>
            </w:r>
          </w:p>
        </w:tc>
        <w:tc>
          <w:tcPr>
            <w:tcW w:w="884" w:type="dxa"/>
            <w:tcBorders>
              <w:top w:val="single" w:color="auto" w:sz="6" w:space="0"/>
              <w:left w:val="single" w:color="auto" w:sz="6" w:space="0"/>
              <w:bottom w:val="double" w:color="auto" w:sz="4" w:space="0"/>
              <w:right w:val="single" w:color="auto" w:sz="6" w:space="0"/>
            </w:tcBorders>
          </w:tcPr>
          <w:p w14:paraId="063F47EA">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double" w:color="auto" w:sz="4" w:space="0"/>
              <w:right w:val="double" w:color="auto" w:sz="4" w:space="0"/>
            </w:tcBorders>
          </w:tcPr>
          <w:p w14:paraId="57B36D46">
            <w:pPr>
              <w:autoSpaceDE w:val="0"/>
              <w:autoSpaceDN w:val="0"/>
              <w:adjustRightInd w:val="0"/>
              <w:snapToGrid w:val="0"/>
              <w:spacing w:line="360" w:lineRule="auto"/>
              <w:jc w:val="left"/>
              <w:rPr>
                <w:rFonts w:ascii="宋体" w:hAnsi="宋体"/>
                <w:kern w:val="0"/>
                <w:szCs w:val="21"/>
              </w:rPr>
            </w:pPr>
          </w:p>
        </w:tc>
        <w:tc>
          <w:tcPr>
            <w:tcW w:w="1027" w:type="dxa"/>
            <w:tcBorders>
              <w:top w:val="single" w:color="auto" w:sz="6" w:space="0"/>
              <w:left w:val="single" w:color="auto" w:sz="6" w:space="0"/>
              <w:bottom w:val="double" w:color="auto" w:sz="4" w:space="0"/>
              <w:right w:val="double" w:color="auto" w:sz="4" w:space="0"/>
            </w:tcBorders>
          </w:tcPr>
          <w:p w14:paraId="115B0327">
            <w:pPr>
              <w:autoSpaceDE w:val="0"/>
              <w:autoSpaceDN w:val="0"/>
              <w:adjustRightInd w:val="0"/>
              <w:snapToGrid w:val="0"/>
              <w:spacing w:line="360" w:lineRule="auto"/>
              <w:jc w:val="left"/>
              <w:rPr>
                <w:rFonts w:ascii="宋体" w:hAnsi="宋体"/>
                <w:kern w:val="0"/>
                <w:szCs w:val="21"/>
              </w:rPr>
            </w:pPr>
          </w:p>
        </w:tc>
      </w:tr>
    </w:tbl>
    <w:p w14:paraId="2030ADC6">
      <w:pPr>
        <w:adjustRightInd w:val="0"/>
        <w:snapToGrid w:val="0"/>
        <w:spacing w:line="360" w:lineRule="auto"/>
        <w:rPr>
          <w:rFonts w:ascii="宋体" w:hAnsi="宋体"/>
          <w:szCs w:val="21"/>
        </w:rPr>
      </w:pPr>
      <w:r>
        <w:rPr>
          <w:rFonts w:hint="eastAsia" w:ascii="宋体" w:hAnsi="宋体"/>
          <w:szCs w:val="21"/>
        </w:rPr>
        <w:t>注：1.</w:t>
      </w:r>
      <w:r>
        <w:rPr>
          <w:rFonts w:hint="eastAsia" w:ascii="宋体" w:hAnsi="宋体"/>
          <w:b/>
          <w:szCs w:val="21"/>
        </w:rPr>
        <w:t>本表应对应</w:t>
      </w:r>
      <w:r>
        <w:rPr>
          <w:rFonts w:hint="eastAsia" w:ascii="宋体" w:hAnsi="宋体"/>
          <w:szCs w:val="21"/>
        </w:rPr>
        <w:t>“</w:t>
      </w:r>
      <w:r>
        <w:rPr>
          <w:rFonts w:hint="eastAsia" w:ascii="宋体" w:hAnsi="宋体"/>
          <w:b/>
          <w:szCs w:val="21"/>
        </w:rPr>
        <w:t>开标一览表</w:t>
      </w:r>
      <w:r>
        <w:rPr>
          <w:rFonts w:hint="eastAsia" w:ascii="宋体" w:hAnsi="宋体"/>
          <w:szCs w:val="21"/>
        </w:rPr>
        <w:t>”</w:t>
      </w:r>
      <w:r>
        <w:rPr>
          <w:rFonts w:hint="eastAsia" w:ascii="宋体" w:hAnsi="宋体"/>
          <w:b/>
          <w:szCs w:val="21"/>
        </w:rPr>
        <w:t>，按包填写</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2033FB1C">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投标无效</w:t>
      </w:r>
      <w:r>
        <w:rPr>
          <w:rFonts w:hint="eastAsia" w:ascii="宋体" w:hAnsi="宋体"/>
          <w:szCs w:val="21"/>
        </w:rPr>
        <w:t>。</w:t>
      </w:r>
    </w:p>
    <w:p w14:paraId="69123F48">
      <w:pPr>
        <w:adjustRightInd w:val="0"/>
        <w:snapToGrid w:val="0"/>
        <w:spacing w:line="360" w:lineRule="auto"/>
        <w:ind w:firstLine="420" w:firstLineChars="200"/>
        <w:rPr>
          <w:rFonts w:ascii="宋体" w:hAnsi="宋体"/>
          <w:szCs w:val="21"/>
        </w:rPr>
      </w:pPr>
      <w:r>
        <w:rPr>
          <w:rFonts w:hint="eastAsia" w:ascii="宋体" w:hAnsi="宋体"/>
          <w:szCs w:val="21"/>
        </w:rPr>
        <w:t>3.如果开标一览表内容与本表内容不一致的，以开标一览表内容为准。</w:t>
      </w:r>
    </w:p>
    <w:p w14:paraId="1BAE9FAB">
      <w:pPr>
        <w:adjustRightInd w:val="0"/>
        <w:snapToGrid w:val="0"/>
        <w:spacing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2CA540CF">
      <w:pPr>
        <w:adjustRightInd w:val="0"/>
        <w:snapToGrid w:val="0"/>
        <w:spacing w:line="360" w:lineRule="auto"/>
        <w:ind w:firstLine="420" w:firstLineChars="200"/>
        <w:rPr>
          <w:rFonts w:ascii="宋体" w:hAnsi="宋体"/>
          <w:szCs w:val="21"/>
        </w:rPr>
      </w:pPr>
      <w:r>
        <w:rPr>
          <w:rFonts w:hint="eastAsia" w:ascii="宋体" w:hAnsi="宋体"/>
          <w:szCs w:val="21"/>
        </w:rPr>
        <w:t>5.</w:t>
      </w:r>
      <w:r>
        <w:rPr>
          <w:rFonts w:hint="eastAsia" w:ascii="宋体" w:hAnsi="宋体" w:cs="宋体"/>
          <w:szCs w:val="21"/>
        </w:rPr>
        <w:t>中小企业是指制造厂商为“中型企业”或者“小型、微型企业”。政策功能编码是指产品的中国环境标志认证证书编号、节能标志认证证书号。</w:t>
      </w:r>
    </w:p>
    <w:p w14:paraId="1493B180">
      <w:pPr>
        <w:adjustRightInd w:val="0"/>
        <w:snapToGrid w:val="0"/>
        <w:spacing w:line="360" w:lineRule="auto"/>
        <w:rPr>
          <w:rFonts w:ascii="宋体" w:hAnsi="宋体"/>
          <w:szCs w:val="21"/>
        </w:rPr>
      </w:pPr>
    </w:p>
    <w:p w14:paraId="421E3476">
      <w:pPr>
        <w:adjustRightInd w:val="0"/>
        <w:snapToGrid w:val="0"/>
        <w:spacing w:line="360" w:lineRule="auto"/>
        <w:rPr>
          <w:rFonts w:ascii="宋体" w:hAnsi="宋体"/>
          <w:szCs w:val="21"/>
        </w:rPr>
      </w:pPr>
      <w:r>
        <w:rPr>
          <w:rFonts w:hint="eastAsia" w:ascii="宋体" w:hAnsi="宋体"/>
          <w:szCs w:val="21"/>
        </w:rPr>
        <w:t>投标人名称（盖单位章）：</w:t>
      </w:r>
    </w:p>
    <w:p w14:paraId="1506EAA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416E95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5270841">
      <w:pPr>
        <w:pStyle w:val="153"/>
        <w:rPr>
          <w:rFonts w:ascii="黑体" w:hAnsi="宋体" w:eastAsia="黑体" w:cs="微软雅黑"/>
          <w:b w:val="0"/>
          <w:bCs/>
          <w:kern w:val="0"/>
          <w:position w:val="-3"/>
          <w:szCs w:val="21"/>
        </w:rPr>
      </w:pPr>
    </w:p>
    <w:p w14:paraId="794BE489">
      <w:pPr>
        <w:pStyle w:val="4"/>
        <w:adjustRightInd w:val="0"/>
        <w:snapToGrid w:val="0"/>
        <w:spacing w:before="0" w:after="0" w:line="360" w:lineRule="auto"/>
        <w:jc w:val="center"/>
        <w:rPr>
          <w:rFonts w:ascii="宋体" w:hAnsi="宋体" w:cs="宋体"/>
          <w:sz w:val="28"/>
          <w:szCs w:val="28"/>
        </w:rPr>
      </w:pPr>
    </w:p>
    <w:p w14:paraId="3DE3DCBF">
      <w:pPr>
        <w:pStyle w:val="4"/>
        <w:adjustRightInd w:val="0"/>
        <w:snapToGrid w:val="0"/>
        <w:spacing w:before="0" w:after="0" w:line="360" w:lineRule="auto"/>
        <w:jc w:val="center"/>
        <w:rPr>
          <w:rFonts w:ascii="宋体" w:hAnsi="宋体" w:cs="宋体"/>
          <w:sz w:val="28"/>
          <w:szCs w:val="28"/>
        </w:rPr>
      </w:pPr>
      <w:r>
        <w:rPr>
          <w:rFonts w:hint="eastAsia" w:ascii="宋体" w:hAnsi="宋体" w:cs="宋体"/>
          <w:sz w:val="28"/>
          <w:szCs w:val="28"/>
        </w:rPr>
        <w:t>四、</w:t>
      </w:r>
      <w:bookmarkEnd w:id="127"/>
      <w:r>
        <w:rPr>
          <w:rFonts w:hint="eastAsia" w:ascii="宋体" w:hAnsi="宋体" w:cs="宋体"/>
          <w:sz w:val="28"/>
          <w:szCs w:val="28"/>
        </w:rPr>
        <w:t>提供政府采购政策产品等证明材料</w:t>
      </w:r>
    </w:p>
    <w:p w14:paraId="708AB4A1">
      <w:pPr>
        <w:widowControl/>
        <w:adjustRightInd w:val="0"/>
        <w:snapToGrid w:val="0"/>
        <w:spacing w:line="360" w:lineRule="auto"/>
        <w:ind w:firstLine="446" w:firstLineChars="200"/>
        <w:jc w:val="left"/>
        <w:rPr>
          <w:rFonts w:ascii="宋体" w:hAnsi="宋体" w:cs="宋体"/>
          <w:b/>
          <w:bCs/>
          <w:spacing w:val="6"/>
          <w:kern w:val="0"/>
          <w:szCs w:val="21"/>
        </w:rPr>
      </w:pPr>
    </w:p>
    <w:p w14:paraId="384994E6">
      <w:pPr>
        <w:widowControl/>
        <w:adjustRightInd w:val="0"/>
        <w:snapToGrid w:val="0"/>
        <w:spacing w:line="360" w:lineRule="auto"/>
        <w:ind w:firstLine="446" w:firstLineChars="200"/>
        <w:jc w:val="left"/>
        <w:rPr>
          <w:rFonts w:ascii="宋体" w:hAnsi="宋体" w:cs="宋体"/>
          <w:b/>
          <w:bCs/>
          <w:spacing w:val="6"/>
          <w:kern w:val="0"/>
          <w:szCs w:val="21"/>
        </w:rPr>
      </w:pPr>
      <w:r>
        <w:rPr>
          <w:rFonts w:hint="eastAsia" w:ascii="宋体" w:hAnsi="宋体" w:cs="宋体"/>
          <w:b/>
          <w:bCs/>
          <w:spacing w:val="6"/>
          <w:kern w:val="0"/>
          <w:szCs w:val="21"/>
        </w:rPr>
        <w:t>附件4-1 中小企业声明函</w:t>
      </w:r>
    </w:p>
    <w:p w14:paraId="73D7D9C7">
      <w:pPr>
        <w:adjustRightInd w:val="0"/>
        <w:snapToGrid w:val="0"/>
        <w:spacing w:line="360" w:lineRule="auto"/>
        <w:ind w:firstLine="586" w:firstLineChars="200"/>
        <w:jc w:val="center"/>
        <w:rPr>
          <w:rFonts w:ascii="宋体" w:hAnsi="宋体" w:cs="宋体"/>
          <w:b/>
          <w:bCs/>
          <w:spacing w:val="6"/>
          <w:kern w:val="0"/>
          <w:sz w:val="28"/>
          <w:szCs w:val="28"/>
        </w:rPr>
      </w:pPr>
      <w:r>
        <w:rPr>
          <w:rFonts w:hint="eastAsia" w:ascii="宋体" w:hAnsi="宋体" w:cs="宋体"/>
          <w:b/>
          <w:bCs/>
          <w:spacing w:val="6"/>
          <w:kern w:val="0"/>
          <w:sz w:val="28"/>
          <w:szCs w:val="28"/>
        </w:rPr>
        <w:t>中小企业声明函（货物）</w:t>
      </w:r>
    </w:p>
    <w:p w14:paraId="4B7863AA">
      <w:pPr>
        <w:adjustRightInd w:val="0"/>
        <w:snapToGrid w:val="0"/>
        <w:spacing w:line="360" w:lineRule="auto"/>
        <w:ind w:firstLine="446" w:firstLineChars="200"/>
        <w:jc w:val="center"/>
        <w:rPr>
          <w:rFonts w:ascii="宋体" w:hAnsi="宋体" w:cs="宋体"/>
          <w:b/>
          <w:bCs/>
          <w:spacing w:val="6"/>
          <w:kern w:val="0"/>
          <w:sz w:val="28"/>
          <w:szCs w:val="28"/>
        </w:rPr>
      </w:pPr>
      <w:r>
        <w:rPr>
          <w:rFonts w:hint="eastAsia" w:ascii="宋体" w:hAnsi="宋体" w:cs="宋体"/>
          <w:b/>
          <w:spacing w:val="6"/>
          <w:kern w:val="0"/>
          <w:szCs w:val="21"/>
        </w:rPr>
        <w:t>(不满足以下条件的无需填写）</w:t>
      </w:r>
    </w:p>
    <w:p w14:paraId="4C672A9A">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本公司（联合体）郑重声明，根据《政府采购促进中小企业发展管理办法》（财库﹝2020﹞46 号）的规定，本公司（联合体）参加</w:t>
      </w:r>
      <w:r>
        <w:rPr>
          <w:rFonts w:hint="eastAsia" w:ascii="宋体" w:hAnsi="宋体" w:cs="宋体"/>
          <w:spacing w:val="6"/>
          <w:szCs w:val="21"/>
          <w:u w:val="single"/>
        </w:rPr>
        <w:t xml:space="preserve"> （单位名称）</w:t>
      </w:r>
      <w:r>
        <w:rPr>
          <w:rFonts w:hint="eastAsia" w:ascii="宋体" w:hAnsi="宋体" w:cs="宋体"/>
          <w:spacing w:val="6"/>
          <w:szCs w:val="21"/>
        </w:rPr>
        <w:t xml:space="preserve"> 的</w:t>
      </w:r>
      <w:r>
        <w:rPr>
          <w:rFonts w:hint="eastAsia" w:ascii="宋体" w:hAnsi="宋体" w:cs="宋体"/>
          <w:spacing w:val="6"/>
          <w:szCs w:val="21"/>
          <w:u w:val="single"/>
        </w:rPr>
        <w:t xml:space="preserve"> （项目名称） </w:t>
      </w:r>
      <w:r>
        <w:rPr>
          <w:rFonts w:hint="eastAsia" w:ascii="宋体" w:hAnsi="宋体" w:cs="宋体"/>
          <w:spacing w:val="6"/>
          <w:szCs w:val="21"/>
        </w:rPr>
        <w:t>采购活动，提供的货物全部由符合政策要求的中小企业制造。相关企业（含联合体中的中小企业、签订分包意向协议的中小企业）的具体情况如下：</w:t>
      </w:r>
    </w:p>
    <w:p w14:paraId="240177D8">
      <w:pPr>
        <w:numPr>
          <w:ilvl w:val="0"/>
          <w:numId w:val="6"/>
        </w:num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u w:val="single"/>
        </w:rPr>
        <w:t>（标的名称）</w:t>
      </w:r>
      <w:r>
        <w:rPr>
          <w:rFonts w:hint="eastAsia" w:ascii="宋体" w:hAnsi="宋体" w:cs="宋体"/>
          <w:spacing w:val="6"/>
          <w:szCs w:val="21"/>
        </w:rPr>
        <w:t xml:space="preserve"> ，属于</w:t>
      </w:r>
      <w:r>
        <w:rPr>
          <w:rFonts w:hint="eastAsia" w:ascii="宋体" w:hAnsi="宋体" w:cs="宋体"/>
          <w:spacing w:val="6"/>
          <w:szCs w:val="21"/>
          <w:u w:val="single"/>
        </w:rPr>
        <w:t xml:space="preserve"> （采购文件中明确的所属行业）</w:t>
      </w:r>
      <w:r>
        <w:rPr>
          <w:rFonts w:hint="eastAsia" w:ascii="宋体" w:hAnsi="宋体" w:cs="宋体"/>
          <w:spacing w:val="6"/>
          <w:szCs w:val="21"/>
        </w:rPr>
        <w:t>行业；制造商为</w:t>
      </w:r>
      <w:r>
        <w:rPr>
          <w:rFonts w:hint="eastAsia" w:ascii="宋体" w:hAnsi="宋体" w:cs="宋体"/>
          <w:spacing w:val="6"/>
          <w:szCs w:val="21"/>
          <w:u w:val="single"/>
        </w:rPr>
        <w:t xml:space="preserve"> （企业名称）</w:t>
      </w:r>
      <w:r>
        <w:rPr>
          <w:rFonts w:hint="eastAsia" w:ascii="宋体" w:hAnsi="宋体" w:cs="宋体"/>
          <w:spacing w:val="6"/>
          <w:szCs w:val="21"/>
        </w:rPr>
        <w:t>，从业人员</w:t>
      </w:r>
      <w:r>
        <w:rPr>
          <w:rFonts w:hint="eastAsia" w:ascii="宋体" w:hAnsi="宋体" w:cs="宋体"/>
          <w:spacing w:val="6"/>
          <w:szCs w:val="21"/>
          <w:u w:val="single"/>
        </w:rPr>
        <w:t xml:space="preserve">    </w:t>
      </w:r>
      <w:r>
        <w:rPr>
          <w:rFonts w:hint="eastAsia" w:ascii="宋体" w:hAnsi="宋体" w:cs="宋体"/>
          <w:spacing w:val="6"/>
          <w:szCs w:val="21"/>
        </w:rPr>
        <w:t>人，营业收入为</w:t>
      </w:r>
      <w:r>
        <w:rPr>
          <w:rFonts w:hint="eastAsia" w:ascii="宋体" w:hAnsi="宋体" w:cs="宋体"/>
          <w:spacing w:val="6"/>
          <w:szCs w:val="21"/>
          <w:u w:val="single"/>
        </w:rPr>
        <w:t xml:space="preserve">    </w:t>
      </w:r>
      <w:r>
        <w:rPr>
          <w:rFonts w:hint="eastAsia" w:ascii="宋体" w:hAnsi="宋体" w:cs="宋体"/>
          <w:spacing w:val="6"/>
          <w:szCs w:val="21"/>
        </w:rPr>
        <w:t>万元，资产总额为</w:t>
      </w:r>
      <w:r>
        <w:rPr>
          <w:rFonts w:hint="eastAsia" w:ascii="宋体" w:hAnsi="宋体" w:cs="宋体"/>
          <w:spacing w:val="6"/>
          <w:szCs w:val="21"/>
          <w:u w:val="single"/>
        </w:rPr>
        <w:t xml:space="preserve">    </w:t>
      </w:r>
      <w:r>
        <w:rPr>
          <w:rFonts w:hint="eastAsia" w:ascii="宋体" w:hAnsi="宋体" w:cs="宋体"/>
          <w:spacing w:val="6"/>
          <w:szCs w:val="21"/>
        </w:rPr>
        <w:t>万元，属于</w:t>
      </w:r>
      <w:r>
        <w:rPr>
          <w:rFonts w:hint="eastAsia" w:ascii="宋体" w:hAnsi="宋体" w:cs="宋体"/>
          <w:spacing w:val="6"/>
          <w:szCs w:val="21"/>
          <w:u w:val="single"/>
        </w:rPr>
        <w:t xml:space="preserve"> （中型企业、小型企业、微型企业） </w:t>
      </w:r>
      <w:r>
        <w:rPr>
          <w:rFonts w:hint="eastAsia" w:ascii="宋体" w:hAnsi="宋体" w:cs="宋体"/>
          <w:spacing w:val="6"/>
          <w:szCs w:val="21"/>
        </w:rPr>
        <w:t>；</w:t>
      </w:r>
    </w:p>
    <w:p w14:paraId="08EDBC4C">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 xml:space="preserve">2. </w:t>
      </w:r>
      <w:r>
        <w:rPr>
          <w:rFonts w:hint="eastAsia" w:ascii="宋体" w:hAnsi="宋体" w:cs="宋体"/>
          <w:spacing w:val="6"/>
          <w:szCs w:val="21"/>
          <w:u w:val="single"/>
        </w:rPr>
        <w:t xml:space="preserve">（标的名称） </w:t>
      </w:r>
      <w:r>
        <w:rPr>
          <w:rFonts w:hint="eastAsia" w:ascii="宋体" w:hAnsi="宋体" w:cs="宋体"/>
          <w:spacing w:val="6"/>
          <w:szCs w:val="21"/>
        </w:rPr>
        <w:t>，属于</w:t>
      </w:r>
      <w:r>
        <w:rPr>
          <w:rFonts w:hint="eastAsia" w:ascii="宋体" w:hAnsi="宋体" w:cs="宋体"/>
          <w:spacing w:val="6"/>
          <w:szCs w:val="21"/>
          <w:u w:val="single"/>
        </w:rPr>
        <w:t xml:space="preserve"> （采购文件中明确的所属行业）</w:t>
      </w:r>
      <w:r>
        <w:rPr>
          <w:rFonts w:hint="eastAsia" w:ascii="宋体" w:hAnsi="宋体" w:cs="宋体"/>
          <w:spacing w:val="6"/>
          <w:szCs w:val="21"/>
        </w:rPr>
        <w:t>行业 ；制造商为</w:t>
      </w:r>
      <w:r>
        <w:rPr>
          <w:rFonts w:hint="eastAsia" w:ascii="宋体" w:hAnsi="宋体" w:cs="宋体"/>
          <w:spacing w:val="6"/>
          <w:szCs w:val="21"/>
          <w:u w:val="single"/>
        </w:rPr>
        <w:t xml:space="preserve"> （企业名称） </w:t>
      </w:r>
      <w:r>
        <w:rPr>
          <w:rFonts w:hint="eastAsia" w:ascii="宋体" w:hAnsi="宋体" w:cs="宋体"/>
          <w:spacing w:val="6"/>
          <w:szCs w:val="21"/>
        </w:rPr>
        <w:t>，从业人员</w:t>
      </w:r>
      <w:r>
        <w:rPr>
          <w:rFonts w:hint="eastAsia" w:ascii="宋体" w:hAnsi="宋体" w:cs="宋体"/>
          <w:spacing w:val="6"/>
          <w:szCs w:val="21"/>
          <w:u w:val="single"/>
        </w:rPr>
        <w:t xml:space="preserve">   </w:t>
      </w:r>
      <w:r>
        <w:rPr>
          <w:rFonts w:hint="eastAsia" w:ascii="宋体" w:hAnsi="宋体" w:cs="宋体"/>
          <w:spacing w:val="6"/>
          <w:szCs w:val="21"/>
        </w:rPr>
        <w:t>人，营业收入为</w:t>
      </w:r>
      <w:r>
        <w:rPr>
          <w:rFonts w:hint="eastAsia" w:ascii="宋体" w:hAnsi="宋体" w:cs="宋体"/>
          <w:spacing w:val="6"/>
          <w:szCs w:val="21"/>
          <w:u w:val="single"/>
        </w:rPr>
        <w:t xml:space="preserve">   </w:t>
      </w:r>
      <w:r>
        <w:rPr>
          <w:rFonts w:hint="eastAsia" w:ascii="宋体" w:hAnsi="宋体" w:cs="宋体"/>
          <w:spacing w:val="6"/>
          <w:szCs w:val="21"/>
        </w:rPr>
        <w:t>万元，资产总额为</w:t>
      </w:r>
      <w:r>
        <w:rPr>
          <w:rFonts w:hint="eastAsia" w:ascii="宋体" w:hAnsi="宋体" w:cs="宋体"/>
          <w:spacing w:val="6"/>
          <w:szCs w:val="21"/>
          <w:u w:val="single"/>
        </w:rPr>
        <w:t xml:space="preserve">    </w:t>
      </w:r>
      <w:r>
        <w:rPr>
          <w:rFonts w:hint="eastAsia" w:ascii="宋体" w:hAnsi="宋体" w:cs="宋体"/>
          <w:spacing w:val="6"/>
          <w:szCs w:val="21"/>
        </w:rPr>
        <w:t>万元，属于</w:t>
      </w:r>
      <w:r>
        <w:rPr>
          <w:rFonts w:hint="eastAsia" w:ascii="宋体" w:hAnsi="宋体" w:cs="宋体"/>
          <w:spacing w:val="6"/>
          <w:szCs w:val="21"/>
          <w:u w:val="single"/>
        </w:rPr>
        <w:t xml:space="preserve"> （中型企业、小型企业、微型企业）</w:t>
      </w:r>
      <w:r>
        <w:rPr>
          <w:rFonts w:hint="eastAsia" w:ascii="宋体" w:hAnsi="宋体" w:cs="宋体"/>
          <w:spacing w:val="6"/>
          <w:szCs w:val="21"/>
        </w:rPr>
        <w:t>；</w:t>
      </w:r>
    </w:p>
    <w:p w14:paraId="675C3CFC">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w:t>
      </w:r>
    </w:p>
    <w:p w14:paraId="6447EEE0">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14:paraId="4068E6B6">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本企业对上述声明内容的真实性负责。如有虚假，将依法承担相应责任。</w:t>
      </w:r>
    </w:p>
    <w:p w14:paraId="45508407">
      <w:pPr>
        <w:adjustRightInd w:val="0"/>
        <w:snapToGrid w:val="0"/>
        <w:spacing w:line="360" w:lineRule="auto"/>
        <w:ind w:firstLine="4662" w:firstLineChars="2100"/>
        <w:rPr>
          <w:rFonts w:ascii="宋体" w:hAnsi="宋体" w:cs="宋体"/>
          <w:spacing w:val="6"/>
          <w:szCs w:val="21"/>
        </w:rPr>
      </w:pPr>
      <w:r>
        <w:rPr>
          <w:rFonts w:hint="eastAsia" w:ascii="宋体" w:hAnsi="宋体" w:cs="宋体"/>
          <w:spacing w:val="6"/>
          <w:szCs w:val="21"/>
        </w:rPr>
        <w:t>企业名称（盖章）：</w:t>
      </w:r>
    </w:p>
    <w:p w14:paraId="0EF5AF98">
      <w:pPr>
        <w:adjustRightInd w:val="0"/>
        <w:snapToGrid w:val="0"/>
        <w:spacing w:line="360" w:lineRule="auto"/>
        <w:ind w:firstLine="4662" w:firstLineChars="2100"/>
        <w:rPr>
          <w:rFonts w:ascii="宋体" w:hAnsi="宋体" w:cs="宋体"/>
          <w:spacing w:val="6"/>
          <w:szCs w:val="21"/>
        </w:rPr>
      </w:pPr>
      <w:r>
        <w:rPr>
          <w:rFonts w:hint="eastAsia" w:ascii="宋体" w:hAnsi="宋体" w:cs="宋体"/>
          <w:spacing w:val="6"/>
          <w:szCs w:val="21"/>
        </w:rPr>
        <w:t>日 期：</w:t>
      </w:r>
    </w:p>
    <w:p w14:paraId="4C14CB1B">
      <w:pPr>
        <w:widowControl/>
        <w:jc w:val="left"/>
        <w:rPr>
          <w:rFonts w:ascii="宋体" w:hAnsi="宋体" w:cs="宋体"/>
          <w:kern w:val="0"/>
          <w:sz w:val="18"/>
          <w:szCs w:val="18"/>
          <w:lang w:bidi="ar"/>
        </w:rPr>
      </w:pPr>
    </w:p>
    <w:p w14:paraId="32BECB89">
      <w:pPr>
        <w:widowControl/>
        <w:jc w:val="left"/>
        <w:rPr>
          <w:rFonts w:ascii="宋体" w:hAnsi="宋体" w:cs="宋体"/>
          <w:spacing w:val="6"/>
          <w:kern w:val="0"/>
          <w:szCs w:val="21"/>
        </w:rPr>
      </w:pPr>
      <w:r>
        <w:rPr>
          <w:rFonts w:hint="eastAsia" w:ascii="宋体" w:hAnsi="宋体" w:cs="宋体"/>
          <w:b/>
          <w:bCs/>
          <w:kern w:val="0"/>
          <w:sz w:val="18"/>
          <w:szCs w:val="18"/>
          <w:lang w:bidi="ar"/>
        </w:rPr>
        <w:t>备注：本项目仅对小微企业进行政策优惠，从业人员、营业收入、资产总额填报上一年度数据，无上一年度数据的新成立企业可不填报。</w:t>
      </w:r>
    </w:p>
    <w:p w14:paraId="5C27554C">
      <w:pPr>
        <w:rPr>
          <w:rFonts w:ascii="宋体" w:hAnsi="宋体" w:eastAsia="黑体" w:cs="宋体"/>
          <w:b/>
          <w:bCs/>
          <w:sz w:val="28"/>
          <w:szCs w:val="28"/>
        </w:rPr>
      </w:pPr>
      <w:bookmarkStart w:id="130" w:name="_Toc14938"/>
      <w:r>
        <w:rPr>
          <w:rFonts w:hint="eastAsia" w:ascii="宋体" w:hAnsi="宋体" w:eastAsia="黑体" w:cs="宋体"/>
          <w:b/>
          <w:bCs/>
          <w:sz w:val="28"/>
          <w:szCs w:val="28"/>
        </w:rPr>
        <w:br w:type="page"/>
      </w:r>
    </w:p>
    <w:p w14:paraId="0C7814EF">
      <w:pPr>
        <w:spacing w:line="360" w:lineRule="auto"/>
        <w:ind w:firstLine="446" w:firstLineChars="200"/>
        <w:rPr>
          <w:rFonts w:ascii="黑体" w:hAnsi="宋体"/>
          <w:b/>
          <w:szCs w:val="21"/>
        </w:rPr>
      </w:pPr>
      <w:bookmarkStart w:id="131" w:name="_Toc20651266"/>
      <w:r>
        <w:rPr>
          <w:rFonts w:hint="eastAsia" w:ascii="黑体" w:hAnsi="华文中宋" w:cs="宋体"/>
          <w:b/>
          <w:bCs/>
          <w:spacing w:val="6"/>
          <w:kern w:val="0"/>
          <w:szCs w:val="21"/>
        </w:rPr>
        <w:t>附页 1</w:t>
      </w:r>
      <w:r>
        <w:rPr>
          <w:rFonts w:hint="eastAsia" w:ascii="黑体" w:hAnsi="宋体"/>
          <w:b/>
          <w:szCs w:val="21"/>
        </w:rPr>
        <w:t>价格评审优惠货物清单</w:t>
      </w:r>
      <w:bookmarkEnd w:id="131"/>
    </w:p>
    <w:p w14:paraId="304A0F41">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26838152">
      <w:pPr>
        <w:adjustRightInd w:val="0"/>
        <w:snapToGrid w:val="0"/>
        <w:spacing w:before="50" w:line="360" w:lineRule="auto"/>
        <w:rPr>
          <w:rFonts w:ascii="宋体" w:hAnsi="宋体"/>
          <w:szCs w:val="21"/>
        </w:rPr>
      </w:pP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3AB7EF9D">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682CF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5DBFA56B">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以下为投标人提供的享受价格评审优惠的货物，投标人对本表的真实性负责。如有虚假，将依法承担相应责任。</w:t>
            </w:r>
          </w:p>
        </w:tc>
      </w:tr>
      <w:tr w14:paraId="0AC312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0F0C373">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39C45B8B">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69D4BED">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5036910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179C1590">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4103F39B">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7572E45F">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63908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167A74AC">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5520FBFB">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66EBD930">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0E04044A">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573EDD57">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49B8EA35">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131D5843">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5149A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2276852">
            <w:pPr>
              <w:adjustRightInd w:val="0"/>
              <w:snapToGrid w:val="0"/>
              <w:spacing w:line="360" w:lineRule="auto"/>
              <w:jc w:val="center"/>
              <w:rPr>
                <w:rFonts w:ascii="宋体" w:hAnsi="宋体"/>
                <w:szCs w:val="21"/>
              </w:rPr>
            </w:pPr>
          </w:p>
        </w:tc>
        <w:tc>
          <w:tcPr>
            <w:tcW w:w="1134" w:type="dxa"/>
            <w:vAlign w:val="center"/>
          </w:tcPr>
          <w:p w14:paraId="47E7ECBE">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6A2239D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133C0E5">
            <w:pPr>
              <w:adjustRightInd w:val="0"/>
              <w:snapToGrid w:val="0"/>
              <w:spacing w:line="360" w:lineRule="auto"/>
              <w:jc w:val="center"/>
              <w:rPr>
                <w:rFonts w:ascii="宋体" w:hAnsi="宋体"/>
                <w:szCs w:val="21"/>
              </w:rPr>
            </w:pPr>
          </w:p>
        </w:tc>
        <w:tc>
          <w:tcPr>
            <w:tcW w:w="1701" w:type="dxa"/>
            <w:vAlign w:val="center"/>
          </w:tcPr>
          <w:p w14:paraId="1CACD929">
            <w:pPr>
              <w:adjustRightInd w:val="0"/>
              <w:snapToGrid w:val="0"/>
              <w:spacing w:line="360" w:lineRule="auto"/>
              <w:jc w:val="center"/>
              <w:rPr>
                <w:rFonts w:ascii="宋体" w:hAnsi="宋体"/>
                <w:szCs w:val="21"/>
              </w:rPr>
            </w:pPr>
          </w:p>
        </w:tc>
        <w:tc>
          <w:tcPr>
            <w:tcW w:w="1843" w:type="dxa"/>
          </w:tcPr>
          <w:p w14:paraId="5FB6DBFB">
            <w:pPr>
              <w:adjustRightInd w:val="0"/>
              <w:snapToGrid w:val="0"/>
              <w:spacing w:line="360" w:lineRule="auto"/>
              <w:jc w:val="center"/>
              <w:rPr>
                <w:rFonts w:ascii="宋体" w:hAnsi="宋体"/>
                <w:szCs w:val="21"/>
              </w:rPr>
            </w:pPr>
          </w:p>
        </w:tc>
        <w:tc>
          <w:tcPr>
            <w:tcW w:w="1134" w:type="dxa"/>
            <w:vAlign w:val="center"/>
          </w:tcPr>
          <w:p w14:paraId="4393F891">
            <w:pPr>
              <w:adjustRightInd w:val="0"/>
              <w:snapToGrid w:val="0"/>
              <w:spacing w:line="360" w:lineRule="auto"/>
              <w:jc w:val="center"/>
              <w:rPr>
                <w:rFonts w:ascii="宋体" w:hAnsi="宋体"/>
                <w:szCs w:val="21"/>
              </w:rPr>
            </w:pPr>
          </w:p>
        </w:tc>
      </w:tr>
      <w:tr w14:paraId="73D7C7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51C2540">
            <w:pPr>
              <w:adjustRightInd w:val="0"/>
              <w:snapToGrid w:val="0"/>
              <w:spacing w:line="360" w:lineRule="auto"/>
              <w:jc w:val="center"/>
              <w:rPr>
                <w:rFonts w:ascii="宋体" w:hAnsi="宋体"/>
                <w:szCs w:val="21"/>
              </w:rPr>
            </w:pPr>
          </w:p>
        </w:tc>
        <w:tc>
          <w:tcPr>
            <w:tcW w:w="1134" w:type="dxa"/>
            <w:vAlign w:val="center"/>
          </w:tcPr>
          <w:p w14:paraId="6170F53B">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AD02342">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5EE964B">
            <w:pPr>
              <w:adjustRightInd w:val="0"/>
              <w:snapToGrid w:val="0"/>
              <w:spacing w:line="360" w:lineRule="auto"/>
              <w:jc w:val="center"/>
              <w:rPr>
                <w:rFonts w:ascii="宋体" w:hAnsi="宋体"/>
                <w:szCs w:val="21"/>
              </w:rPr>
            </w:pPr>
          </w:p>
        </w:tc>
        <w:tc>
          <w:tcPr>
            <w:tcW w:w="1701" w:type="dxa"/>
            <w:vAlign w:val="center"/>
          </w:tcPr>
          <w:p w14:paraId="419B5DBC">
            <w:pPr>
              <w:adjustRightInd w:val="0"/>
              <w:snapToGrid w:val="0"/>
              <w:spacing w:line="360" w:lineRule="auto"/>
              <w:jc w:val="center"/>
              <w:rPr>
                <w:rFonts w:ascii="宋体" w:hAnsi="宋体"/>
                <w:szCs w:val="21"/>
              </w:rPr>
            </w:pPr>
          </w:p>
        </w:tc>
        <w:tc>
          <w:tcPr>
            <w:tcW w:w="1843" w:type="dxa"/>
          </w:tcPr>
          <w:p w14:paraId="13512398">
            <w:pPr>
              <w:adjustRightInd w:val="0"/>
              <w:snapToGrid w:val="0"/>
              <w:spacing w:line="360" w:lineRule="auto"/>
              <w:jc w:val="center"/>
              <w:rPr>
                <w:rFonts w:ascii="宋体" w:hAnsi="宋体"/>
                <w:szCs w:val="21"/>
              </w:rPr>
            </w:pPr>
          </w:p>
        </w:tc>
        <w:tc>
          <w:tcPr>
            <w:tcW w:w="1134" w:type="dxa"/>
            <w:vAlign w:val="center"/>
          </w:tcPr>
          <w:p w14:paraId="5EE25E27">
            <w:pPr>
              <w:adjustRightInd w:val="0"/>
              <w:snapToGrid w:val="0"/>
              <w:spacing w:line="360" w:lineRule="auto"/>
              <w:jc w:val="center"/>
              <w:rPr>
                <w:rFonts w:ascii="宋体" w:hAnsi="宋体"/>
                <w:szCs w:val="21"/>
              </w:rPr>
            </w:pPr>
          </w:p>
        </w:tc>
      </w:tr>
      <w:tr w14:paraId="566E63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815115">
            <w:pPr>
              <w:adjustRightInd w:val="0"/>
              <w:snapToGrid w:val="0"/>
              <w:spacing w:line="360" w:lineRule="auto"/>
              <w:jc w:val="center"/>
              <w:rPr>
                <w:rFonts w:ascii="宋体" w:hAnsi="宋体"/>
                <w:szCs w:val="21"/>
              </w:rPr>
            </w:pPr>
          </w:p>
        </w:tc>
        <w:tc>
          <w:tcPr>
            <w:tcW w:w="1134" w:type="dxa"/>
            <w:vAlign w:val="center"/>
          </w:tcPr>
          <w:p w14:paraId="326A3CCE">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2D1B293">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55DE960">
            <w:pPr>
              <w:adjustRightInd w:val="0"/>
              <w:snapToGrid w:val="0"/>
              <w:spacing w:line="360" w:lineRule="auto"/>
              <w:jc w:val="center"/>
              <w:rPr>
                <w:rFonts w:ascii="宋体" w:hAnsi="宋体"/>
                <w:szCs w:val="21"/>
              </w:rPr>
            </w:pPr>
          </w:p>
        </w:tc>
        <w:tc>
          <w:tcPr>
            <w:tcW w:w="1701" w:type="dxa"/>
            <w:vAlign w:val="center"/>
          </w:tcPr>
          <w:p w14:paraId="40100EA9">
            <w:pPr>
              <w:adjustRightInd w:val="0"/>
              <w:snapToGrid w:val="0"/>
              <w:spacing w:line="360" w:lineRule="auto"/>
              <w:jc w:val="center"/>
              <w:rPr>
                <w:rFonts w:ascii="宋体" w:hAnsi="宋体"/>
                <w:szCs w:val="21"/>
              </w:rPr>
            </w:pPr>
          </w:p>
        </w:tc>
        <w:tc>
          <w:tcPr>
            <w:tcW w:w="1843" w:type="dxa"/>
          </w:tcPr>
          <w:p w14:paraId="188DA43D">
            <w:pPr>
              <w:adjustRightInd w:val="0"/>
              <w:snapToGrid w:val="0"/>
              <w:spacing w:line="360" w:lineRule="auto"/>
              <w:jc w:val="center"/>
              <w:rPr>
                <w:rFonts w:ascii="宋体" w:hAnsi="宋体"/>
                <w:szCs w:val="21"/>
              </w:rPr>
            </w:pPr>
          </w:p>
        </w:tc>
        <w:tc>
          <w:tcPr>
            <w:tcW w:w="1134" w:type="dxa"/>
            <w:vAlign w:val="center"/>
          </w:tcPr>
          <w:p w14:paraId="69E1F577">
            <w:pPr>
              <w:adjustRightInd w:val="0"/>
              <w:snapToGrid w:val="0"/>
              <w:spacing w:line="360" w:lineRule="auto"/>
              <w:jc w:val="center"/>
              <w:rPr>
                <w:rFonts w:ascii="宋体" w:hAnsi="宋体"/>
                <w:szCs w:val="21"/>
              </w:rPr>
            </w:pPr>
          </w:p>
        </w:tc>
      </w:tr>
      <w:tr w14:paraId="580001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9A72772">
            <w:pPr>
              <w:adjustRightInd w:val="0"/>
              <w:snapToGrid w:val="0"/>
              <w:spacing w:line="360" w:lineRule="auto"/>
              <w:jc w:val="center"/>
              <w:rPr>
                <w:rFonts w:ascii="宋体" w:hAnsi="宋体"/>
                <w:szCs w:val="21"/>
              </w:rPr>
            </w:pPr>
          </w:p>
        </w:tc>
        <w:tc>
          <w:tcPr>
            <w:tcW w:w="1134" w:type="dxa"/>
            <w:vAlign w:val="center"/>
          </w:tcPr>
          <w:p w14:paraId="3338ADEB">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09F5EE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2889FA2">
            <w:pPr>
              <w:adjustRightInd w:val="0"/>
              <w:snapToGrid w:val="0"/>
              <w:spacing w:line="360" w:lineRule="auto"/>
              <w:jc w:val="center"/>
              <w:rPr>
                <w:rFonts w:ascii="宋体" w:hAnsi="宋体"/>
                <w:szCs w:val="21"/>
              </w:rPr>
            </w:pPr>
          </w:p>
        </w:tc>
        <w:tc>
          <w:tcPr>
            <w:tcW w:w="1701" w:type="dxa"/>
            <w:vAlign w:val="center"/>
          </w:tcPr>
          <w:p w14:paraId="37A8CFC9">
            <w:pPr>
              <w:adjustRightInd w:val="0"/>
              <w:snapToGrid w:val="0"/>
              <w:spacing w:line="360" w:lineRule="auto"/>
              <w:jc w:val="center"/>
              <w:rPr>
                <w:rFonts w:ascii="宋体" w:hAnsi="宋体"/>
                <w:szCs w:val="21"/>
              </w:rPr>
            </w:pPr>
          </w:p>
        </w:tc>
        <w:tc>
          <w:tcPr>
            <w:tcW w:w="1843" w:type="dxa"/>
          </w:tcPr>
          <w:p w14:paraId="50DCD267">
            <w:pPr>
              <w:adjustRightInd w:val="0"/>
              <w:snapToGrid w:val="0"/>
              <w:spacing w:line="360" w:lineRule="auto"/>
              <w:jc w:val="center"/>
              <w:rPr>
                <w:rFonts w:ascii="宋体" w:hAnsi="宋体"/>
                <w:szCs w:val="21"/>
              </w:rPr>
            </w:pPr>
          </w:p>
        </w:tc>
        <w:tc>
          <w:tcPr>
            <w:tcW w:w="1134" w:type="dxa"/>
            <w:vAlign w:val="center"/>
          </w:tcPr>
          <w:p w14:paraId="764C8554">
            <w:pPr>
              <w:adjustRightInd w:val="0"/>
              <w:snapToGrid w:val="0"/>
              <w:spacing w:line="360" w:lineRule="auto"/>
              <w:jc w:val="center"/>
              <w:rPr>
                <w:rFonts w:ascii="宋体" w:hAnsi="宋体"/>
                <w:szCs w:val="21"/>
              </w:rPr>
            </w:pPr>
          </w:p>
        </w:tc>
      </w:tr>
      <w:tr w14:paraId="7EBE9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4BA65DD">
            <w:pPr>
              <w:adjustRightInd w:val="0"/>
              <w:snapToGrid w:val="0"/>
              <w:spacing w:line="360" w:lineRule="auto"/>
              <w:jc w:val="center"/>
              <w:rPr>
                <w:rFonts w:ascii="宋体" w:hAnsi="宋体"/>
                <w:szCs w:val="21"/>
              </w:rPr>
            </w:pPr>
          </w:p>
        </w:tc>
        <w:tc>
          <w:tcPr>
            <w:tcW w:w="1134" w:type="dxa"/>
            <w:vAlign w:val="center"/>
          </w:tcPr>
          <w:p w14:paraId="436B054A">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57AACEB">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2B547E4A">
            <w:pPr>
              <w:adjustRightInd w:val="0"/>
              <w:snapToGrid w:val="0"/>
              <w:spacing w:line="360" w:lineRule="auto"/>
              <w:jc w:val="center"/>
              <w:rPr>
                <w:rFonts w:ascii="宋体" w:hAnsi="宋体"/>
                <w:szCs w:val="21"/>
              </w:rPr>
            </w:pPr>
          </w:p>
        </w:tc>
        <w:tc>
          <w:tcPr>
            <w:tcW w:w="1701" w:type="dxa"/>
            <w:vAlign w:val="center"/>
          </w:tcPr>
          <w:p w14:paraId="7E86D4FA">
            <w:pPr>
              <w:adjustRightInd w:val="0"/>
              <w:snapToGrid w:val="0"/>
              <w:spacing w:line="360" w:lineRule="auto"/>
              <w:jc w:val="center"/>
              <w:rPr>
                <w:rFonts w:ascii="宋体" w:hAnsi="宋体"/>
                <w:szCs w:val="21"/>
              </w:rPr>
            </w:pPr>
          </w:p>
        </w:tc>
        <w:tc>
          <w:tcPr>
            <w:tcW w:w="1843" w:type="dxa"/>
          </w:tcPr>
          <w:p w14:paraId="346308EA">
            <w:pPr>
              <w:adjustRightInd w:val="0"/>
              <w:snapToGrid w:val="0"/>
              <w:spacing w:line="360" w:lineRule="auto"/>
              <w:jc w:val="center"/>
              <w:rPr>
                <w:rFonts w:ascii="宋体" w:hAnsi="宋体"/>
                <w:szCs w:val="21"/>
              </w:rPr>
            </w:pPr>
          </w:p>
        </w:tc>
        <w:tc>
          <w:tcPr>
            <w:tcW w:w="1134" w:type="dxa"/>
            <w:vAlign w:val="center"/>
          </w:tcPr>
          <w:p w14:paraId="5BE82B0F">
            <w:pPr>
              <w:adjustRightInd w:val="0"/>
              <w:snapToGrid w:val="0"/>
              <w:spacing w:line="360" w:lineRule="auto"/>
              <w:jc w:val="center"/>
              <w:rPr>
                <w:rFonts w:ascii="宋体" w:hAnsi="宋体"/>
                <w:szCs w:val="21"/>
              </w:rPr>
            </w:pPr>
          </w:p>
        </w:tc>
      </w:tr>
      <w:tr w14:paraId="025156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AEEA35E">
            <w:pPr>
              <w:adjustRightInd w:val="0"/>
              <w:snapToGrid w:val="0"/>
              <w:spacing w:line="360" w:lineRule="auto"/>
              <w:jc w:val="center"/>
              <w:rPr>
                <w:rFonts w:ascii="宋体" w:hAnsi="宋体"/>
                <w:szCs w:val="21"/>
              </w:rPr>
            </w:pPr>
          </w:p>
        </w:tc>
        <w:tc>
          <w:tcPr>
            <w:tcW w:w="1134" w:type="dxa"/>
            <w:vAlign w:val="center"/>
          </w:tcPr>
          <w:p w14:paraId="48EF135A">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6F2CA2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7E22E0B">
            <w:pPr>
              <w:adjustRightInd w:val="0"/>
              <w:snapToGrid w:val="0"/>
              <w:spacing w:line="360" w:lineRule="auto"/>
              <w:jc w:val="center"/>
              <w:rPr>
                <w:rFonts w:ascii="宋体" w:hAnsi="宋体"/>
                <w:szCs w:val="21"/>
              </w:rPr>
            </w:pPr>
          </w:p>
        </w:tc>
        <w:tc>
          <w:tcPr>
            <w:tcW w:w="1701" w:type="dxa"/>
            <w:vAlign w:val="center"/>
          </w:tcPr>
          <w:p w14:paraId="1A14ECD7">
            <w:pPr>
              <w:adjustRightInd w:val="0"/>
              <w:snapToGrid w:val="0"/>
              <w:spacing w:line="360" w:lineRule="auto"/>
              <w:jc w:val="center"/>
              <w:rPr>
                <w:rFonts w:ascii="宋体" w:hAnsi="宋体"/>
                <w:szCs w:val="21"/>
              </w:rPr>
            </w:pPr>
          </w:p>
        </w:tc>
        <w:tc>
          <w:tcPr>
            <w:tcW w:w="1843" w:type="dxa"/>
          </w:tcPr>
          <w:p w14:paraId="15A79A85">
            <w:pPr>
              <w:adjustRightInd w:val="0"/>
              <w:snapToGrid w:val="0"/>
              <w:spacing w:line="360" w:lineRule="auto"/>
              <w:jc w:val="center"/>
              <w:rPr>
                <w:rFonts w:ascii="宋体" w:hAnsi="宋体"/>
                <w:szCs w:val="21"/>
              </w:rPr>
            </w:pPr>
          </w:p>
        </w:tc>
        <w:tc>
          <w:tcPr>
            <w:tcW w:w="1134" w:type="dxa"/>
            <w:vAlign w:val="center"/>
          </w:tcPr>
          <w:p w14:paraId="101F34AA">
            <w:pPr>
              <w:adjustRightInd w:val="0"/>
              <w:snapToGrid w:val="0"/>
              <w:spacing w:line="360" w:lineRule="auto"/>
              <w:jc w:val="center"/>
              <w:rPr>
                <w:rFonts w:ascii="宋体" w:hAnsi="宋体"/>
                <w:szCs w:val="21"/>
              </w:rPr>
            </w:pPr>
          </w:p>
        </w:tc>
      </w:tr>
      <w:tr w14:paraId="50A34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F6B3B61">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0C6FDD5B">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61172313">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B36554A">
            <w:pPr>
              <w:adjustRightInd w:val="0"/>
              <w:snapToGrid w:val="0"/>
              <w:spacing w:line="360" w:lineRule="auto"/>
              <w:jc w:val="center"/>
              <w:rPr>
                <w:rFonts w:ascii="宋体" w:hAnsi="宋体"/>
                <w:szCs w:val="21"/>
              </w:rPr>
            </w:pPr>
          </w:p>
        </w:tc>
        <w:tc>
          <w:tcPr>
            <w:tcW w:w="1701" w:type="dxa"/>
            <w:vAlign w:val="center"/>
          </w:tcPr>
          <w:p w14:paraId="1D9456BB">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64E79595">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5EC1E48F">
            <w:pPr>
              <w:adjustRightInd w:val="0"/>
              <w:snapToGrid w:val="0"/>
              <w:spacing w:line="360" w:lineRule="auto"/>
              <w:jc w:val="center"/>
              <w:rPr>
                <w:rFonts w:ascii="宋体" w:hAnsi="宋体"/>
                <w:szCs w:val="21"/>
              </w:rPr>
            </w:pPr>
            <w:r>
              <w:rPr>
                <w:rFonts w:hint="eastAsia" w:ascii="宋体" w:hAnsi="宋体"/>
                <w:b/>
                <w:szCs w:val="21"/>
              </w:rPr>
              <w:t>/</w:t>
            </w:r>
          </w:p>
        </w:tc>
      </w:tr>
    </w:tbl>
    <w:p w14:paraId="07EC5979">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4-1、附件4-2、附件4-3的，且提供的货物为小型、微型企业制造的，包括视同小型、微型企业，享受评审中价格扣除的监狱企业、残疾人福利性单位制造的货物。货物制造商类型填写小型、微型企业或监狱企业或残疾人福利性单位。</w:t>
      </w:r>
    </w:p>
    <w:p w14:paraId="751CD7E6">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0F2666FD">
      <w:pPr>
        <w:adjustRightInd w:val="0"/>
        <w:snapToGrid w:val="0"/>
        <w:spacing w:line="360" w:lineRule="auto"/>
        <w:rPr>
          <w:rFonts w:ascii="宋体" w:hAnsi="宋体"/>
          <w:szCs w:val="21"/>
        </w:rPr>
      </w:pPr>
    </w:p>
    <w:p w14:paraId="3901325E">
      <w:pPr>
        <w:adjustRightInd w:val="0"/>
        <w:snapToGrid w:val="0"/>
        <w:spacing w:line="360" w:lineRule="auto"/>
        <w:rPr>
          <w:rFonts w:ascii="宋体" w:hAnsi="宋体"/>
          <w:szCs w:val="21"/>
        </w:rPr>
      </w:pPr>
    </w:p>
    <w:p w14:paraId="5ADEE94C">
      <w:pPr>
        <w:adjustRightInd w:val="0"/>
        <w:snapToGrid w:val="0"/>
        <w:spacing w:line="360" w:lineRule="auto"/>
        <w:rPr>
          <w:rFonts w:ascii="宋体" w:hAnsi="宋体"/>
          <w:szCs w:val="21"/>
        </w:rPr>
      </w:pPr>
    </w:p>
    <w:p w14:paraId="0F578225">
      <w:pPr>
        <w:adjustRightInd w:val="0"/>
        <w:snapToGrid w:val="0"/>
        <w:spacing w:line="360" w:lineRule="auto"/>
        <w:rPr>
          <w:rFonts w:ascii="宋体" w:hAnsi="宋体"/>
          <w:szCs w:val="21"/>
        </w:rPr>
      </w:pPr>
      <w:r>
        <w:rPr>
          <w:rFonts w:hint="eastAsia" w:ascii="宋体" w:hAnsi="宋体"/>
          <w:szCs w:val="21"/>
        </w:rPr>
        <w:t>投标人名称（盖单位章）：</w:t>
      </w:r>
    </w:p>
    <w:p w14:paraId="0CF8F103">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w:t>
      </w:r>
      <w:r>
        <w:rPr>
          <w:rFonts w:hint="eastAsia" w:ascii="宋体" w:hAnsi="宋体"/>
          <w:szCs w:val="21"/>
          <w:u w:val="single"/>
        </w:rPr>
        <w:t xml:space="preserve">       </w:t>
      </w:r>
    </w:p>
    <w:p w14:paraId="56072943">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E9116F8">
      <w:pPr>
        <w:rPr>
          <w:rFonts w:ascii="宋体" w:hAnsi="宋体" w:eastAsia="黑体" w:cs="宋体"/>
          <w:b/>
          <w:bCs/>
          <w:sz w:val="28"/>
          <w:szCs w:val="28"/>
        </w:rPr>
      </w:pPr>
      <w:r>
        <w:rPr>
          <w:rFonts w:hint="eastAsia" w:ascii="宋体" w:hAnsi="宋体" w:eastAsia="黑体" w:cs="宋体"/>
          <w:b/>
          <w:bCs/>
          <w:sz w:val="28"/>
          <w:szCs w:val="28"/>
        </w:rPr>
        <w:br w:type="page"/>
      </w:r>
    </w:p>
    <w:p w14:paraId="06C87772">
      <w:pPr>
        <w:widowControl/>
        <w:adjustRightInd w:val="0"/>
        <w:snapToGrid w:val="0"/>
        <w:spacing w:line="360" w:lineRule="auto"/>
        <w:ind w:firstLine="446" w:firstLineChars="200"/>
        <w:jc w:val="left"/>
        <w:rPr>
          <w:rFonts w:ascii="宋体" w:hAnsi="宋体" w:cs="宋体"/>
          <w:b/>
          <w:bCs/>
          <w:spacing w:val="6"/>
          <w:kern w:val="0"/>
          <w:szCs w:val="21"/>
        </w:rPr>
      </w:pPr>
    </w:p>
    <w:p w14:paraId="7BF9B4F1">
      <w:pPr>
        <w:widowControl/>
        <w:adjustRightInd w:val="0"/>
        <w:snapToGrid w:val="0"/>
        <w:spacing w:line="360" w:lineRule="auto"/>
        <w:ind w:firstLine="446" w:firstLineChars="200"/>
        <w:jc w:val="left"/>
        <w:rPr>
          <w:rFonts w:ascii="宋体" w:hAnsi="宋体" w:cs="宋体"/>
          <w:b/>
          <w:bCs/>
          <w:spacing w:val="6"/>
          <w:kern w:val="0"/>
          <w:szCs w:val="21"/>
        </w:rPr>
      </w:pPr>
      <w:r>
        <w:rPr>
          <w:rFonts w:hint="eastAsia" w:ascii="宋体" w:hAnsi="宋体" w:cs="宋体"/>
          <w:b/>
          <w:bCs/>
          <w:spacing w:val="6"/>
          <w:kern w:val="0"/>
          <w:szCs w:val="21"/>
        </w:rPr>
        <w:t>附件4-2残疾人福利性单位声明函</w:t>
      </w:r>
    </w:p>
    <w:p w14:paraId="62CF3E9F">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rPr>
        <w:t>残疾人福利性单位声明函</w:t>
      </w:r>
      <w:bookmarkEnd w:id="130"/>
    </w:p>
    <w:p w14:paraId="18CAB364">
      <w:pPr>
        <w:adjustRightInd w:val="0"/>
        <w:snapToGrid w:val="0"/>
        <w:spacing w:line="360" w:lineRule="auto"/>
        <w:jc w:val="center"/>
        <w:rPr>
          <w:rFonts w:ascii="宋体" w:hAnsi="宋体" w:cs="宋体"/>
          <w:b/>
          <w:spacing w:val="6"/>
          <w:szCs w:val="21"/>
        </w:rPr>
      </w:pPr>
      <w:r>
        <w:rPr>
          <w:rFonts w:hint="eastAsia" w:ascii="宋体" w:hAnsi="宋体" w:cs="宋体"/>
          <w:b/>
          <w:spacing w:val="6"/>
          <w:szCs w:val="21"/>
        </w:rPr>
        <w:t>(不属于残疾人福利性单位的无需填写)</w:t>
      </w:r>
    </w:p>
    <w:p w14:paraId="6BE5D5F9">
      <w:pPr>
        <w:adjustRightInd w:val="0"/>
        <w:snapToGrid w:val="0"/>
        <w:spacing w:line="360" w:lineRule="auto"/>
        <w:ind w:firstLine="444" w:firstLineChars="200"/>
        <w:rPr>
          <w:rFonts w:ascii="宋体" w:hAnsi="宋体" w:cs="宋体"/>
          <w:spacing w:val="6"/>
          <w:szCs w:val="21"/>
        </w:rPr>
      </w:pPr>
    </w:p>
    <w:p w14:paraId="4EAE323B">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〔2017〕141</w:t>
      </w:r>
      <w:r>
        <w:rPr>
          <w:rFonts w:hint="eastAsia" w:ascii="宋体" w:hAnsi="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F0991AE">
      <w:pPr>
        <w:adjustRightInd w:val="0"/>
        <w:snapToGrid w:val="0"/>
        <w:spacing w:line="360" w:lineRule="auto"/>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14:paraId="5B773EF8">
      <w:pPr>
        <w:adjustRightInd w:val="0"/>
        <w:snapToGrid w:val="0"/>
        <w:spacing w:line="360" w:lineRule="auto"/>
        <w:ind w:firstLine="444" w:firstLineChars="200"/>
        <w:rPr>
          <w:rFonts w:ascii="宋体" w:hAnsi="宋体" w:cs="宋体"/>
          <w:spacing w:val="6"/>
          <w:szCs w:val="21"/>
        </w:rPr>
      </w:pPr>
    </w:p>
    <w:p w14:paraId="27654E1B">
      <w:pPr>
        <w:adjustRightInd w:val="0"/>
        <w:snapToGrid w:val="0"/>
        <w:spacing w:line="360" w:lineRule="auto"/>
        <w:ind w:firstLine="444" w:firstLineChars="200"/>
        <w:rPr>
          <w:rFonts w:ascii="宋体" w:hAnsi="宋体" w:cs="宋体"/>
          <w:spacing w:val="6"/>
          <w:szCs w:val="21"/>
        </w:rPr>
      </w:pPr>
    </w:p>
    <w:p w14:paraId="787E09A3">
      <w:pPr>
        <w:tabs>
          <w:tab w:val="left" w:pos="4860"/>
        </w:tabs>
        <w:adjustRightInd w:val="0"/>
        <w:snapToGrid w:val="0"/>
        <w:spacing w:line="360" w:lineRule="auto"/>
        <w:ind w:right="1560" w:firstLine="444" w:firstLineChars="200"/>
        <w:jc w:val="center"/>
        <w:rPr>
          <w:rFonts w:ascii="宋体" w:hAnsi="宋体" w:cs="宋体"/>
          <w:spacing w:val="6"/>
          <w:szCs w:val="21"/>
        </w:rPr>
      </w:pPr>
      <w:r>
        <w:rPr>
          <w:rFonts w:hint="eastAsia" w:ascii="宋体" w:hAnsi="宋体" w:cs="宋体"/>
          <w:spacing w:val="6"/>
          <w:szCs w:val="21"/>
        </w:rPr>
        <w:t xml:space="preserve">               单位名称（盖章）：</w:t>
      </w:r>
    </w:p>
    <w:p w14:paraId="3D6B813F">
      <w:pPr>
        <w:tabs>
          <w:tab w:val="left" w:pos="4860"/>
        </w:tabs>
        <w:adjustRightInd w:val="0"/>
        <w:snapToGrid w:val="0"/>
        <w:spacing w:line="360" w:lineRule="auto"/>
        <w:ind w:right="1560" w:firstLine="444" w:firstLineChars="200"/>
        <w:jc w:val="center"/>
        <w:rPr>
          <w:rFonts w:ascii="宋体" w:hAnsi="宋体" w:cs="宋体"/>
          <w:spacing w:val="6"/>
          <w:szCs w:val="21"/>
        </w:rPr>
      </w:pPr>
      <w:r>
        <w:rPr>
          <w:rFonts w:hint="eastAsia" w:ascii="宋体" w:hAnsi="宋体" w:cs="宋体"/>
          <w:spacing w:val="6"/>
          <w:szCs w:val="21"/>
        </w:rPr>
        <w:t xml:space="preserve">       日  期：</w:t>
      </w:r>
    </w:p>
    <w:p w14:paraId="4B382A30">
      <w:pPr>
        <w:pStyle w:val="63"/>
        <w:rPr>
          <w:rFonts w:cs="宋体"/>
          <w:spacing w:val="6"/>
        </w:rPr>
      </w:pPr>
    </w:p>
    <w:p w14:paraId="4F5F91A2">
      <w:pPr>
        <w:adjustRightInd w:val="0"/>
        <w:snapToGrid w:val="0"/>
        <w:spacing w:line="360" w:lineRule="auto"/>
        <w:jc w:val="center"/>
        <w:rPr>
          <w:rFonts w:ascii="宋体" w:hAnsi="宋体" w:cs="宋体"/>
          <w:b/>
          <w:sz w:val="28"/>
          <w:szCs w:val="28"/>
        </w:rPr>
      </w:pPr>
    </w:p>
    <w:p w14:paraId="416FF4AA">
      <w:pPr>
        <w:adjustRightInd w:val="0"/>
        <w:snapToGrid w:val="0"/>
        <w:spacing w:line="360" w:lineRule="auto"/>
        <w:jc w:val="center"/>
        <w:rPr>
          <w:rFonts w:ascii="宋体" w:hAnsi="宋体" w:cs="宋体"/>
          <w:b/>
          <w:sz w:val="28"/>
          <w:szCs w:val="28"/>
        </w:rPr>
      </w:pPr>
    </w:p>
    <w:p w14:paraId="65EFA9A7">
      <w:pPr>
        <w:adjustRightInd w:val="0"/>
        <w:snapToGrid w:val="0"/>
        <w:spacing w:line="360" w:lineRule="auto"/>
        <w:jc w:val="center"/>
        <w:rPr>
          <w:rFonts w:ascii="宋体" w:hAnsi="宋体" w:cs="宋体"/>
          <w:b/>
          <w:sz w:val="28"/>
          <w:szCs w:val="28"/>
        </w:rPr>
      </w:pPr>
      <w:r>
        <w:rPr>
          <w:rFonts w:hint="eastAsia" w:ascii="宋体" w:hAnsi="宋体" w:cs="宋体"/>
          <w:b/>
          <w:sz w:val="28"/>
          <w:szCs w:val="28"/>
        </w:rPr>
        <w:t>监狱企业证明资料</w:t>
      </w:r>
    </w:p>
    <w:p w14:paraId="0B2DFADA">
      <w:pPr>
        <w:adjustRightInd w:val="0"/>
        <w:snapToGrid w:val="0"/>
        <w:spacing w:line="360" w:lineRule="auto"/>
        <w:jc w:val="center"/>
        <w:rPr>
          <w:rFonts w:ascii="宋体" w:hAnsi="宋体" w:cs="宋体"/>
          <w:b/>
          <w:spacing w:val="6"/>
          <w:szCs w:val="21"/>
        </w:rPr>
      </w:pPr>
      <w:r>
        <w:rPr>
          <w:rFonts w:hint="eastAsia" w:ascii="宋体" w:hAnsi="宋体" w:cs="宋体"/>
          <w:b/>
          <w:spacing w:val="6"/>
          <w:szCs w:val="21"/>
        </w:rPr>
        <w:t>（不属于监狱企业的无需提供）</w:t>
      </w:r>
    </w:p>
    <w:p w14:paraId="1DB4C814">
      <w:pPr>
        <w:adjustRightInd w:val="0"/>
        <w:snapToGrid w:val="0"/>
        <w:spacing w:line="360" w:lineRule="auto"/>
        <w:rPr>
          <w:rFonts w:ascii="宋体" w:hAnsi="宋体" w:cs="宋体"/>
          <w:szCs w:val="21"/>
        </w:rPr>
      </w:pPr>
    </w:p>
    <w:p w14:paraId="6D26F687">
      <w:pPr>
        <w:adjustRightInd w:val="0"/>
        <w:snapToGrid w:val="0"/>
        <w:spacing w:line="360" w:lineRule="auto"/>
        <w:ind w:firstLine="444" w:firstLineChars="200"/>
        <w:rPr>
          <w:rFonts w:ascii="宋体" w:hAnsi="宋体" w:cs="宋体"/>
          <w:szCs w:val="21"/>
        </w:rPr>
      </w:pPr>
      <w:r>
        <w:rPr>
          <w:rFonts w:hint="eastAsia" w:ascii="宋体" w:hAnsi="宋体" w:cs="宋体"/>
          <w:bCs/>
          <w:spacing w:val="6"/>
          <w:kern w:val="0"/>
          <w:szCs w:val="21"/>
        </w:rPr>
        <w:t>备注：</w:t>
      </w:r>
      <w:r>
        <w:rPr>
          <w:rFonts w:hint="eastAsia" w:ascii="宋体" w:hAnsi="宋体" w:cs="宋体"/>
          <w:szCs w:val="21"/>
        </w:rPr>
        <w:t>按</w:t>
      </w:r>
      <w:r>
        <w:rPr>
          <w:rFonts w:hint="eastAsia" w:ascii="宋体" w:hAnsi="宋体" w:cs="宋体"/>
          <w:spacing w:val="6"/>
          <w:szCs w:val="21"/>
        </w:rPr>
        <w:t>《</w:t>
      </w:r>
      <w:r>
        <w:rPr>
          <w:rFonts w:hint="eastAsia" w:ascii="宋体" w:hAnsi="宋体" w:cs="宋体"/>
          <w:szCs w:val="21"/>
        </w:rPr>
        <w:t>财政部 司法部关于政府采购支持监狱企业发展有关问题的通知</w:t>
      </w:r>
      <w:r>
        <w:rPr>
          <w:rFonts w:hint="eastAsia" w:ascii="宋体" w:hAnsi="宋体" w:cs="宋体"/>
          <w:spacing w:val="6"/>
          <w:szCs w:val="21"/>
        </w:rPr>
        <w:t>》（</w:t>
      </w:r>
      <w:r>
        <w:rPr>
          <w:rFonts w:hint="eastAsia" w:ascii="宋体" w:hAnsi="宋体" w:cs="宋体"/>
          <w:szCs w:val="21"/>
        </w:rPr>
        <w:t>财库〔2014〕68号）文件规定提供证明文件（复印件）。</w:t>
      </w:r>
    </w:p>
    <w:p w14:paraId="0C2DF28A"/>
    <w:p w14:paraId="0D74B20A">
      <w:pPr>
        <w:widowControl/>
        <w:adjustRightInd w:val="0"/>
        <w:snapToGrid w:val="0"/>
        <w:spacing w:line="360" w:lineRule="auto"/>
        <w:jc w:val="left"/>
        <w:rPr>
          <w:rFonts w:ascii="宋体" w:hAnsi="宋体" w:cs="宋体"/>
          <w:kern w:val="0"/>
          <w:szCs w:val="21"/>
        </w:rPr>
      </w:pPr>
    </w:p>
    <w:p w14:paraId="64814DC9">
      <w:pPr>
        <w:widowControl/>
        <w:adjustRightInd w:val="0"/>
        <w:snapToGrid w:val="0"/>
        <w:spacing w:line="360" w:lineRule="auto"/>
        <w:jc w:val="left"/>
        <w:rPr>
          <w:rFonts w:ascii="宋体" w:hAnsi="宋体" w:cs="宋体"/>
          <w:b/>
          <w:bCs/>
          <w:spacing w:val="6"/>
          <w:kern w:val="0"/>
          <w:szCs w:val="21"/>
        </w:rPr>
      </w:pPr>
      <w:r>
        <w:rPr>
          <w:rFonts w:hint="eastAsia" w:ascii="宋体" w:hAnsi="宋体" w:cs="宋体"/>
          <w:b/>
          <w:bCs/>
          <w:spacing w:val="6"/>
          <w:kern w:val="0"/>
          <w:szCs w:val="21"/>
        </w:rPr>
        <w:br w:type="page"/>
      </w:r>
      <w:r>
        <w:rPr>
          <w:rFonts w:hint="eastAsia" w:ascii="宋体" w:hAnsi="宋体" w:cs="宋体"/>
          <w:b/>
          <w:bCs/>
          <w:spacing w:val="6"/>
          <w:kern w:val="0"/>
          <w:szCs w:val="21"/>
        </w:rPr>
        <w:t>附件4-3优先采购产品清单</w:t>
      </w:r>
    </w:p>
    <w:p w14:paraId="4A16BFC3">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298EE610">
      <w:pPr>
        <w:adjustRightInd w:val="0"/>
        <w:snapToGrid w:val="0"/>
        <w:spacing w:line="360" w:lineRule="auto"/>
        <w:rPr>
          <w:rFonts w:ascii="宋体" w:hAnsi="宋体"/>
          <w:szCs w:val="21"/>
        </w:rPr>
      </w:pP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805DA29">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413A29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4F877465">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3784E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33582CA3">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7E9C13D5">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00EEE48D">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7DF81BEA">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466F306A">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7EA4DE70">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18723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44128EB">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6C6A7674">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5F56B7BC">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08EB5811">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6953C19C">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580BEBF3">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D4EAB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E4EACAF">
            <w:pPr>
              <w:adjustRightInd w:val="0"/>
              <w:snapToGrid w:val="0"/>
              <w:spacing w:line="360" w:lineRule="auto"/>
              <w:jc w:val="left"/>
              <w:rPr>
                <w:rFonts w:ascii="宋体" w:hAnsi="宋体"/>
                <w:b/>
                <w:szCs w:val="21"/>
              </w:rPr>
            </w:pPr>
            <w:r>
              <w:rPr>
                <w:rFonts w:hint="eastAsia" w:ascii="宋体" w:hAnsi="宋体"/>
                <w:b/>
                <w:szCs w:val="21"/>
              </w:rPr>
              <w:t>节能产品</w:t>
            </w:r>
          </w:p>
        </w:tc>
      </w:tr>
      <w:tr w14:paraId="1DDE27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9A0C064">
            <w:pPr>
              <w:adjustRightInd w:val="0"/>
              <w:snapToGrid w:val="0"/>
              <w:spacing w:line="360" w:lineRule="auto"/>
              <w:jc w:val="center"/>
              <w:rPr>
                <w:rFonts w:ascii="宋体" w:hAnsi="宋体"/>
                <w:b/>
                <w:szCs w:val="21"/>
              </w:rPr>
            </w:pPr>
          </w:p>
        </w:tc>
        <w:tc>
          <w:tcPr>
            <w:tcW w:w="1739" w:type="dxa"/>
            <w:vAlign w:val="center"/>
          </w:tcPr>
          <w:p w14:paraId="3A197520">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044AA84C">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AE77AE7">
            <w:pPr>
              <w:adjustRightInd w:val="0"/>
              <w:snapToGrid w:val="0"/>
              <w:spacing w:line="360" w:lineRule="auto"/>
              <w:jc w:val="left"/>
              <w:rPr>
                <w:rFonts w:ascii="宋体" w:hAnsi="宋体"/>
                <w:b/>
                <w:szCs w:val="21"/>
              </w:rPr>
            </w:pPr>
          </w:p>
        </w:tc>
        <w:tc>
          <w:tcPr>
            <w:tcW w:w="1984" w:type="dxa"/>
            <w:vAlign w:val="center"/>
          </w:tcPr>
          <w:p w14:paraId="678268C4">
            <w:pPr>
              <w:adjustRightInd w:val="0"/>
              <w:snapToGrid w:val="0"/>
              <w:spacing w:line="360" w:lineRule="auto"/>
              <w:jc w:val="center"/>
              <w:rPr>
                <w:rFonts w:ascii="宋体" w:hAnsi="宋体"/>
                <w:b/>
                <w:szCs w:val="21"/>
              </w:rPr>
            </w:pPr>
          </w:p>
        </w:tc>
        <w:tc>
          <w:tcPr>
            <w:tcW w:w="1843" w:type="dxa"/>
          </w:tcPr>
          <w:p w14:paraId="19F780D0">
            <w:pPr>
              <w:adjustRightInd w:val="0"/>
              <w:snapToGrid w:val="0"/>
              <w:spacing w:line="360" w:lineRule="auto"/>
              <w:jc w:val="center"/>
              <w:rPr>
                <w:rFonts w:ascii="宋体" w:hAnsi="宋体"/>
                <w:b/>
                <w:szCs w:val="21"/>
              </w:rPr>
            </w:pPr>
          </w:p>
        </w:tc>
      </w:tr>
      <w:tr w14:paraId="27FC9E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9FB877B">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7D49C5E">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5A28B633">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AE013DD">
            <w:pPr>
              <w:adjustRightInd w:val="0"/>
              <w:snapToGrid w:val="0"/>
              <w:spacing w:line="360" w:lineRule="auto"/>
              <w:jc w:val="left"/>
              <w:rPr>
                <w:rFonts w:ascii="宋体" w:hAnsi="宋体"/>
                <w:b/>
                <w:szCs w:val="21"/>
              </w:rPr>
            </w:pPr>
          </w:p>
        </w:tc>
        <w:tc>
          <w:tcPr>
            <w:tcW w:w="1984" w:type="dxa"/>
            <w:vAlign w:val="center"/>
          </w:tcPr>
          <w:p w14:paraId="117C2D79">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6AB9C6AD">
            <w:pPr>
              <w:adjustRightInd w:val="0"/>
              <w:snapToGrid w:val="0"/>
              <w:spacing w:line="360" w:lineRule="auto"/>
              <w:jc w:val="center"/>
              <w:rPr>
                <w:rFonts w:ascii="宋体" w:hAnsi="宋体"/>
                <w:b/>
                <w:szCs w:val="21"/>
              </w:rPr>
            </w:pPr>
            <w:r>
              <w:rPr>
                <w:rFonts w:hint="eastAsia" w:ascii="宋体" w:hAnsi="宋体"/>
                <w:b/>
                <w:szCs w:val="21"/>
              </w:rPr>
              <w:t>/</w:t>
            </w:r>
          </w:p>
        </w:tc>
      </w:tr>
      <w:tr w14:paraId="28B82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C56012F">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1A4C2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9D37A24">
            <w:pPr>
              <w:adjustRightInd w:val="0"/>
              <w:snapToGrid w:val="0"/>
              <w:spacing w:line="360" w:lineRule="auto"/>
              <w:jc w:val="center"/>
              <w:rPr>
                <w:rFonts w:ascii="宋体" w:hAnsi="宋体"/>
                <w:b/>
                <w:szCs w:val="21"/>
              </w:rPr>
            </w:pPr>
          </w:p>
        </w:tc>
        <w:tc>
          <w:tcPr>
            <w:tcW w:w="1739" w:type="dxa"/>
            <w:vAlign w:val="center"/>
          </w:tcPr>
          <w:p w14:paraId="0F41F360">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78BCD039">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0D593989">
            <w:pPr>
              <w:adjustRightInd w:val="0"/>
              <w:snapToGrid w:val="0"/>
              <w:spacing w:line="360" w:lineRule="auto"/>
              <w:jc w:val="left"/>
              <w:rPr>
                <w:rFonts w:ascii="宋体" w:hAnsi="宋体"/>
                <w:b/>
                <w:szCs w:val="21"/>
              </w:rPr>
            </w:pPr>
          </w:p>
        </w:tc>
        <w:tc>
          <w:tcPr>
            <w:tcW w:w="1984" w:type="dxa"/>
            <w:vAlign w:val="center"/>
          </w:tcPr>
          <w:p w14:paraId="1C0604BF">
            <w:pPr>
              <w:adjustRightInd w:val="0"/>
              <w:snapToGrid w:val="0"/>
              <w:spacing w:line="360" w:lineRule="auto"/>
              <w:jc w:val="center"/>
              <w:rPr>
                <w:rFonts w:ascii="宋体" w:hAnsi="宋体"/>
                <w:b/>
                <w:szCs w:val="21"/>
              </w:rPr>
            </w:pPr>
          </w:p>
        </w:tc>
        <w:tc>
          <w:tcPr>
            <w:tcW w:w="1843" w:type="dxa"/>
          </w:tcPr>
          <w:p w14:paraId="33810836">
            <w:pPr>
              <w:adjustRightInd w:val="0"/>
              <w:snapToGrid w:val="0"/>
              <w:spacing w:line="360" w:lineRule="auto"/>
              <w:jc w:val="center"/>
              <w:rPr>
                <w:rFonts w:ascii="宋体" w:hAnsi="宋体"/>
                <w:b/>
                <w:szCs w:val="21"/>
              </w:rPr>
            </w:pPr>
          </w:p>
        </w:tc>
      </w:tr>
      <w:tr w14:paraId="6CF26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705B300">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21D0727">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3B61627B">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6E7696E">
            <w:pPr>
              <w:adjustRightInd w:val="0"/>
              <w:snapToGrid w:val="0"/>
              <w:spacing w:line="360" w:lineRule="auto"/>
              <w:jc w:val="left"/>
              <w:rPr>
                <w:rFonts w:ascii="宋体" w:hAnsi="宋体"/>
                <w:b/>
                <w:szCs w:val="21"/>
              </w:rPr>
            </w:pPr>
          </w:p>
        </w:tc>
        <w:tc>
          <w:tcPr>
            <w:tcW w:w="1984" w:type="dxa"/>
            <w:vAlign w:val="center"/>
          </w:tcPr>
          <w:p w14:paraId="21251C98">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3F861CB4">
            <w:pPr>
              <w:adjustRightInd w:val="0"/>
              <w:snapToGrid w:val="0"/>
              <w:spacing w:line="360" w:lineRule="auto"/>
              <w:jc w:val="center"/>
              <w:rPr>
                <w:rFonts w:ascii="宋体" w:hAnsi="宋体"/>
                <w:b/>
                <w:szCs w:val="21"/>
              </w:rPr>
            </w:pPr>
            <w:r>
              <w:rPr>
                <w:rFonts w:hint="eastAsia" w:ascii="宋体" w:hAnsi="宋体"/>
                <w:b/>
                <w:szCs w:val="21"/>
              </w:rPr>
              <w:t>/</w:t>
            </w:r>
          </w:p>
        </w:tc>
      </w:tr>
    </w:tbl>
    <w:p w14:paraId="70158DC0">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本表用于计算政府采购优先采购产品（节能产品或环境标志产品）的政府采购政策加分或者价格扣除。</w:t>
      </w:r>
    </w:p>
    <w:p w14:paraId="2C2F2057">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08C76C33">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3、栏目6“政策功能编码”是指货物的中国环境标志认证证书编号、中国节能标志认证证书号（货物同时属于节能产品、环境标志产品，只须填写一种）。</w:t>
      </w:r>
    </w:p>
    <w:p w14:paraId="68567F55">
      <w:pPr>
        <w:adjustRightInd w:val="0"/>
        <w:snapToGrid w:val="0"/>
        <w:spacing w:line="360" w:lineRule="auto"/>
        <w:rPr>
          <w:rFonts w:ascii="宋体" w:hAnsi="宋体"/>
          <w:szCs w:val="21"/>
        </w:rPr>
      </w:pPr>
    </w:p>
    <w:p w14:paraId="4A0C5258">
      <w:pPr>
        <w:adjustRightInd w:val="0"/>
        <w:snapToGrid w:val="0"/>
        <w:spacing w:line="360" w:lineRule="auto"/>
        <w:rPr>
          <w:rFonts w:ascii="宋体" w:hAnsi="宋体"/>
          <w:szCs w:val="21"/>
        </w:rPr>
      </w:pPr>
    </w:p>
    <w:p w14:paraId="69CBCA54">
      <w:pPr>
        <w:adjustRightInd w:val="0"/>
        <w:snapToGrid w:val="0"/>
        <w:spacing w:line="360" w:lineRule="auto"/>
        <w:rPr>
          <w:rFonts w:ascii="宋体" w:hAnsi="宋体"/>
          <w:szCs w:val="21"/>
        </w:rPr>
      </w:pPr>
      <w:r>
        <w:rPr>
          <w:rFonts w:hint="eastAsia" w:ascii="宋体" w:hAnsi="宋体"/>
          <w:szCs w:val="21"/>
        </w:rPr>
        <w:t>投标人名称（盖单位章）：</w:t>
      </w:r>
    </w:p>
    <w:p w14:paraId="24CA2EB7">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w:t>
      </w:r>
      <w:r>
        <w:rPr>
          <w:rFonts w:hint="eastAsia" w:ascii="宋体" w:hAnsi="宋体"/>
          <w:szCs w:val="21"/>
          <w:u w:val="single"/>
        </w:rPr>
        <w:t xml:space="preserve">       </w:t>
      </w:r>
    </w:p>
    <w:p w14:paraId="5D0151A0">
      <w:r>
        <w:rPr>
          <w:rFonts w:hint="eastAsia"/>
        </w:rPr>
        <w:t>日期：        年    月   日</w:t>
      </w:r>
    </w:p>
    <w:p w14:paraId="0650898B">
      <w:pPr>
        <w:rPr>
          <w:rFonts w:ascii="宋体" w:hAnsi="宋体"/>
          <w:b/>
          <w:bCs/>
          <w:sz w:val="32"/>
          <w:szCs w:val="21"/>
        </w:rPr>
      </w:pPr>
      <w:r>
        <w:rPr>
          <w:spacing w:val="6"/>
          <w:szCs w:val="21"/>
        </w:rPr>
        <w:br w:type="page"/>
      </w:r>
    </w:p>
    <w:p w14:paraId="6B2C7BDC">
      <w:pPr>
        <w:rPr>
          <w:rFonts w:ascii="宋体" w:hAnsi="宋体" w:cs="宋体"/>
          <w:spacing w:val="6"/>
          <w:kern w:val="0"/>
          <w:szCs w:val="21"/>
        </w:rPr>
      </w:pPr>
    </w:p>
    <w:p w14:paraId="188DC051">
      <w:pPr>
        <w:rPr>
          <w:rFonts w:ascii="宋体" w:hAnsi="宋体" w:cs="宋体"/>
          <w:szCs w:val="21"/>
          <w:highlight w:val="yellow"/>
        </w:rPr>
      </w:pPr>
    </w:p>
    <w:p w14:paraId="62A8A3EF">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rPr>
        <w:t>五、类似业绩</w:t>
      </w:r>
    </w:p>
    <w:p w14:paraId="6E39E41D">
      <w:pPr>
        <w:adjustRightInd w:val="0"/>
        <w:snapToGrid w:val="0"/>
        <w:spacing w:before="161" w:beforeLines="50" w:line="360" w:lineRule="auto"/>
        <w:ind w:firstLine="420" w:firstLineChars="200"/>
        <w:rPr>
          <w:rFonts w:ascii="宋体" w:hAnsi="宋体" w:cs="宋体"/>
        </w:rPr>
      </w:pPr>
      <w:r>
        <w:rPr>
          <w:rFonts w:hint="eastAsia" w:ascii="宋体" w:hAnsi="宋体" w:cs="宋体"/>
        </w:rPr>
        <w:t>备注：提供本项目招标文件采购需求及评标方法自行编辑。</w:t>
      </w:r>
    </w:p>
    <w:p w14:paraId="5D69D199">
      <w:pPr>
        <w:rPr>
          <w:rFonts w:ascii="宋体" w:hAnsi="宋体" w:cs="宋体"/>
        </w:rPr>
      </w:pPr>
    </w:p>
    <w:p w14:paraId="6D073C89">
      <w:pPr>
        <w:rPr>
          <w:rFonts w:ascii="宋体" w:hAnsi="宋体" w:cs="宋体"/>
        </w:rPr>
      </w:pPr>
    </w:p>
    <w:p w14:paraId="6EE267E7">
      <w:pPr>
        <w:pStyle w:val="13"/>
      </w:pPr>
    </w:p>
    <w:p w14:paraId="57EA6B9A">
      <w:pPr>
        <w:pStyle w:val="13"/>
        <w:rPr>
          <w:rFonts w:ascii="宋体" w:hAnsi="宋体" w:cs="宋体"/>
        </w:rPr>
      </w:pPr>
    </w:p>
    <w:p w14:paraId="44D34A12">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lang w:eastAsia="zh-CN"/>
        </w:rPr>
        <w:t>六</w:t>
      </w:r>
      <w:r>
        <w:rPr>
          <w:rFonts w:hint="eastAsia" w:ascii="宋体" w:hAnsi="宋体" w:eastAsia="黑体" w:cs="宋体"/>
          <w:b/>
          <w:bCs/>
          <w:sz w:val="28"/>
          <w:szCs w:val="28"/>
        </w:rPr>
        <w:t>、</w:t>
      </w:r>
      <w:r>
        <w:rPr>
          <w:rFonts w:hint="eastAsia" w:ascii="宋体" w:hAnsi="宋体" w:eastAsia="黑体" w:cs="宋体"/>
          <w:b/>
          <w:bCs/>
          <w:sz w:val="28"/>
          <w:szCs w:val="28"/>
          <w:lang w:eastAsia="zh-CN"/>
        </w:rPr>
        <w:t>技术服务能力</w:t>
      </w:r>
    </w:p>
    <w:p w14:paraId="2B89E692">
      <w:pPr>
        <w:adjustRightInd w:val="0"/>
        <w:snapToGrid w:val="0"/>
        <w:spacing w:before="161" w:beforeLines="50" w:line="360" w:lineRule="auto"/>
        <w:ind w:firstLine="420" w:firstLineChars="200"/>
        <w:rPr>
          <w:rFonts w:ascii="宋体" w:hAnsi="宋体" w:eastAsia="宋体" w:cs="宋体"/>
        </w:rPr>
      </w:pPr>
      <w:r>
        <w:rPr>
          <w:rFonts w:hint="eastAsia" w:ascii="宋体" w:hAnsi="宋体" w:eastAsia="宋体" w:cs="宋体"/>
        </w:rPr>
        <w:t>备注：提供本项目招标文件采购需求及评标方法自行编辑。</w:t>
      </w:r>
    </w:p>
    <w:p w14:paraId="412E27D4"/>
    <w:p w14:paraId="1C2A8380">
      <w:pPr>
        <w:pStyle w:val="13"/>
      </w:pPr>
    </w:p>
    <w:p w14:paraId="6D0582AD">
      <w:pPr>
        <w:pStyle w:val="13"/>
      </w:pPr>
    </w:p>
    <w:p w14:paraId="7ED857D0">
      <w:pPr>
        <w:adjustRightInd w:val="0"/>
        <w:snapToGrid w:val="0"/>
        <w:spacing w:line="360" w:lineRule="auto"/>
        <w:jc w:val="center"/>
        <w:outlineLvl w:val="2"/>
        <w:rPr>
          <w:rFonts w:hint="eastAsia" w:ascii="宋体" w:hAnsi="宋体" w:eastAsia="黑体" w:cs="宋体"/>
          <w:b/>
          <w:bCs/>
          <w:sz w:val="28"/>
          <w:szCs w:val="28"/>
          <w:lang w:eastAsia="zh-CN"/>
        </w:rPr>
      </w:pPr>
    </w:p>
    <w:p w14:paraId="7582CF01">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lang w:eastAsia="zh-CN"/>
        </w:rPr>
        <w:t>七</w:t>
      </w:r>
      <w:r>
        <w:rPr>
          <w:rFonts w:hint="eastAsia" w:ascii="宋体" w:hAnsi="宋体" w:eastAsia="黑体" w:cs="宋体"/>
          <w:b/>
          <w:bCs/>
          <w:sz w:val="28"/>
          <w:szCs w:val="28"/>
        </w:rPr>
        <w:t>、培训方案</w:t>
      </w:r>
    </w:p>
    <w:p w14:paraId="77F41614">
      <w:pPr>
        <w:adjustRightInd w:val="0"/>
        <w:snapToGrid w:val="0"/>
        <w:spacing w:before="161" w:beforeLines="50" w:line="360" w:lineRule="auto"/>
        <w:ind w:firstLine="420" w:firstLineChars="200"/>
        <w:rPr>
          <w:rFonts w:ascii="宋体" w:hAnsi="宋体" w:cs="宋体"/>
        </w:rPr>
      </w:pPr>
      <w:r>
        <w:rPr>
          <w:rFonts w:hint="eastAsia" w:ascii="宋体" w:hAnsi="宋体" w:cs="宋体"/>
        </w:rPr>
        <w:t>备注：提供本项目招标文件采购需求及评标方法自行编辑。</w:t>
      </w:r>
    </w:p>
    <w:p w14:paraId="352D3AB1">
      <w:pPr>
        <w:pStyle w:val="13"/>
        <w:rPr>
          <w:rFonts w:ascii="宋体" w:hAnsi="宋体" w:cs="宋体"/>
        </w:rPr>
      </w:pPr>
    </w:p>
    <w:p w14:paraId="4D2F4BFC">
      <w:pPr>
        <w:rPr>
          <w:rFonts w:ascii="宋体" w:hAnsi="宋体" w:cs="宋体"/>
        </w:rPr>
      </w:pPr>
    </w:p>
    <w:p w14:paraId="6A6449F1">
      <w:pPr>
        <w:pStyle w:val="13"/>
        <w:rPr>
          <w:rFonts w:ascii="宋体" w:hAnsi="宋体" w:cs="宋体"/>
        </w:rPr>
      </w:pPr>
    </w:p>
    <w:p w14:paraId="2CC2A3DB">
      <w:pPr>
        <w:rPr>
          <w:rFonts w:ascii="宋体" w:hAnsi="宋体" w:cs="宋体"/>
        </w:rPr>
      </w:pPr>
    </w:p>
    <w:p w14:paraId="16884871"/>
    <w:p w14:paraId="13AE311D"/>
    <w:p w14:paraId="1615EA3C">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lang w:eastAsia="zh-CN"/>
        </w:rPr>
        <w:t>八</w:t>
      </w:r>
      <w:r>
        <w:rPr>
          <w:rFonts w:hint="eastAsia" w:ascii="宋体" w:hAnsi="宋体" w:eastAsia="黑体" w:cs="宋体"/>
          <w:b/>
          <w:bCs/>
          <w:sz w:val="28"/>
          <w:szCs w:val="28"/>
        </w:rPr>
        <w:t>、售后服务</w:t>
      </w:r>
    </w:p>
    <w:p w14:paraId="096B9BD4">
      <w:pPr>
        <w:adjustRightInd w:val="0"/>
        <w:snapToGrid w:val="0"/>
        <w:spacing w:before="161" w:beforeLines="50" w:line="360" w:lineRule="auto"/>
        <w:ind w:firstLine="420" w:firstLineChars="200"/>
        <w:rPr>
          <w:rFonts w:ascii="宋体" w:hAnsi="宋体" w:cs="宋体"/>
        </w:rPr>
      </w:pPr>
      <w:r>
        <w:rPr>
          <w:rFonts w:hint="eastAsia" w:ascii="宋体" w:hAnsi="宋体" w:cs="宋体"/>
        </w:rPr>
        <w:t>备注：提供本项目招标文件采购需求及评标方法自行编辑。</w:t>
      </w:r>
    </w:p>
    <w:p w14:paraId="13E1D386">
      <w:pPr>
        <w:pStyle w:val="13"/>
        <w:rPr>
          <w:rFonts w:ascii="宋体" w:hAnsi="宋体" w:cs="宋体"/>
        </w:rPr>
      </w:pPr>
    </w:p>
    <w:p w14:paraId="5DFFAD1B"/>
    <w:p w14:paraId="361A01D2">
      <w:pPr>
        <w:pStyle w:val="13"/>
      </w:pPr>
    </w:p>
    <w:p w14:paraId="4E485950"/>
    <w:p w14:paraId="3057876C"/>
    <w:p w14:paraId="31B36A53">
      <w:pPr>
        <w:pStyle w:val="13"/>
      </w:pPr>
    </w:p>
    <w:p w14:paraId="6F907846">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lang w:eastAsia="zh-CN"/>
        </w:rPr>
        <w:t>九</w:t>
      </w:r>
      <w:r>
        <w:rPr>
          <w:rFonts w:hint="eastAsia" w:ascii="宋体" w:hAnsi="宋体" w:eastAsia="黑体" w:cs="宋体"/>
          <w:b/>
          <w:bCs/>
          <w:sz w:val="28"/>
          <w:szCs w:val="28"/>
        </w:rPr>
        <w:t>、投标人认为需提供的其他资料</w:t>
      </w:r>
    </w:p>
    <w:p w14:paraId="77F0522E">
      <w:pPr>
        <w:adjustRightInd w:val="0"/>
        <w:snapToGrid w:val="0"/>
        <w:spacing w:before="161" w:beforeLines="50" w:line="360" w:lineRule="auto"/>
        <w:ind w:firstLine="420" w:firstLineChars="200"/>
        <w:rPr>
          <w:rFonts w:ascii="宋体" w:hAnsi="宋体" w:cs="宋体"/>
        </w:rPr>
      </w:pPr>
      <w:r>
        <w:rPr>
          <w:rFonts w:hint="eastAsia" w:ascii="宋体" w:hAnsi="宋体" w:cs="宋体"/>
          <w:szCs w:val="21"/>
        </w:rPr>
        <w:br w:type="page"/>
      </w:r>
    </w:p>
    <w:p w14:paraId="6F294D9D">
      <w:pPr>
        <w:pStyle w:val="22"/>
        <w:adjustRightInd w:val="0"/>
        <w:snapToGrid w:val="0"/>
        <w:spacing w:line="360" w:lineRule="auto"/>
        <w:jc w:val="center"/>
        <w:rPr>
          <w:rFonts w:hAnsi="宋体" w:cs="宋体"/>
          <w:bCs/>
          <w:sz w:val="72"/>
          <w:szCs w:val="72"/>
        </w:rPr>
      </w:pPr>
    </w:p>
    <w:p w14:paraId="0FE4BF1C">
      <w:pPr>
        <w:pStyle w:val="22"/>
        <w:adjustRightInd w:val="0"/>
        <w:snapToGrid w:val="0"/>
        <w:spacing w:line="360" w:lineRule="auto"/>
        <w:jc w:val="center"/>
        <w:rPr>
          <w:rFonts w:hAnsi="宋体" w:cs="宋体"/>
          <w:bCs/>
          <w:sz w:val="72"/>
          <w:szCs w:val="72"/>
        </w:rPr>
      </w:pPr>
      <w:r>
        <w:rPr>
          <w:rFonts w:hint="eastAsia" w:hAnsi="宋体" w:cs="宋体"/>
          <w:bCs/>
          <w:sz w:val="72"/>
          <w:szCs w:val="72"/>
        </w:rPr>
        <w:t>政府采购</w:t>
      </w:r>
    </w:p>
    <w:p w14:paraId="6BDA4863">
      <w:pPr>
        <w:adjustRightInd w:val="0"/>
        <w:snapToGrid w:val="0"/>
        <w:spacing w:line="360" w:lineRule="auto"/>
        <w:jc w:val="center"/>
        <w:rPr>
          <w:rFonts w:ascii="宋体" w:hAnsi="宋体" w:cs="宋体"/>
          <w:b/>
          <w:bCs/>
          <w:sz w:val="84"/>
          <w:szCs w:val="84"/>
        </w:rPr>
      </w:pPr>
      <w:r>
        <w:rPr>
          <w:rFonts w:hint="eastAsia" w:ascii="宋体" w:hAnsi="宋体" w:cs="宋体"/>
          <w:b/>
          <w:bCs/>
          <w:sz w:val="84"/>
          <w:szCs w:val="84"/>
        </w:rPr>
        <w:t>投 标 文 件</w:t>
      </w:r>
    </w:p>
    <w:p w14:paraId="0A5A2094">
      <w:pPr>
        <w:pStyle w:val="3"/>
        <w:adjustRightInd w:val="0"/>
        <w:snapToGrid w:val="0"/>
        <w:jc w:val="center"/>
        <w:rPr>
          <w:rFonts w:ascii="宋体" w:hAnsi="宋体" w:cs="宋体"/>
          <w:sz w:val="44"/>
          <w:szCs w:val="44"/>
        </w:rPr>
      </w:pPr>
      <w:bookmarkStart w:id="132" w:name="_Toc15033"/>
      <w:r>
        <w:rPr>
          <w:rFonts w:hint="eastAsia" w:ascii="宋体" w:hAnsi="宋体" w:cs="宋体"/>
          <w:sz w:val="44"/>
          <w:szCs w:val="44"/>
        </w:rPr>
        <w:t>第三部分 技术文件</w:t>
      </w:r>
      <w:bookmarkEnd w:id="132"/>
    </w:p>
    <w:p w14:paraId="2536C414">
      <w:pPr>
        <w:adjustRightInd w:val="0"/>
        <w:snapToGrid w:val="0"/>
        <w:spacing w:line="360" w:lineRule="auto"/>
        <w:rPr>
          <w:rFonts w:ascii="宋体" w:hAnsi="宋体" w:cs="宋体"/>
          <w:sz w:val="32"/>
          <w:szCs w:val="32"/>
        </w:rPr>
      </w:pPr>
    </w:p>
    <w:p w14:paraId="7C6B739B">
      <w:pPr>
        <w:pStyle w:val="22"/>
        <w:adjustRightInd w:val="0"/>
        <w:snapToGrid w:val="0"/>
        <w:spacing w:line="360" w:lineRule="auto"/>
        <w:ind w:firstLine="1988" w:firstLineChars="660"/>
        <w:rPr>
          <w:rFonts w:hAnsi="宋体" w:cs="宋体"/>
          <w:b/>
          <w:bCs/>
          <w:sz w:val="30"/>
          <w:szCs w:val="30"/>
        </w:rPr>
      </w:pPr>
    </w:p>
    <w:p w14:paraId="13DED4D1">
      <w:pPr>
        <w:pStyle w:val="22"/>
        <w:adjustRightInd w:val="0"/>
        <w:snapToGrid w:val="0"/>
        <w:spacing w:line="360" w:lineRule="auto"/>
        <w:ind w:firstLine="1988" w:firstLineChars="660"/>
        <w:rPr>
          <w:rFonts w:hAnsi="宋体" w:cs="宋体"/>
          <w:b/>
          <w:bCs/>
          <w:sz w:val="30"/>
          <w:szCs w:val="30"/>
        </w:rPr>
      </w:pPr>
    </w:p>
    <w:p w14:paraId="3F5CD3EC">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采购项目名称:</w:t>
      </w:r>
      <w:r>
        <w:rPr>
          <w:rFonts w:hint="eastAsia" w:hAnsi="宋体" w:cs="宋体"/>
          <w:b/>
          <w:bCs/>
          <w:sz w:val="30"/>
          <w:szCs w:val="30"/>
          <w:u w:val="single"/>
        </w:rPr>
        <w:t xml:space="preserve">                       </w:t>
      </w:r>
    </w:p>
    <w:p w14:paraId="3A8D3D44">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政府采购编号:</w:t>
      </w:r>
      <w:r>
        <w:rPr>
          <w:rFonts w:hint="eastAsia" w:hAnsi="宋体" w:cs="宋体"/>
          <w:b/>
          <w:bCs/>
          <w:sz w:val="30"/>
          <w:szCs w:val="30"/>
          <w:u w:val="single"/>
        </w:rPr>
        <w:t xml:space="preserve">                       </w:t>
      </w:r>
    </w:p>
    <w:p w14:paraId="26980E3D">
      <w:pPr>
        <w:pStyle w:val="22"/>
        <w:adjustRightInd w:val="0"/>
        <w:snapToGrid w:val="0"/>
        <w:spacing w:line="360" w:lineRule="auto"/>
        <w:ind w:firstLine="1988" w:firstLineChars="660"/>
        <w:rPr>
          <w:rFonts w:hAnsi="宋体" w:cs="宋体"/>
          <w:b/>
          <w:bCs/>
          <w:sz w:val="30"/>
          <w:szCs w:val="30"/>
          <w:u w:val="single"/>
        </w:rPr>
      </w:pPr>
      <w:r>
        <w:rPr>
          <w:rFonts w:hint="eastAsia" w:hAnsi="宋体" w:cs="宋体"/>
          <w:b/>
          <w:bCs/>
          <w:sz w:val="30"/>
          <w:szCs w:val="30"/>
        </w:rPr>
        <w:t>委托代理编号:</w:t>
      </w:r>
      <w:r>
        <w:rPr>
          <w:rFonts w:hint="eastAsia" w:hAnsi="宋体" w:cs="宋体"/>
          <w:b/>
          <w:bCs/>
          <w:sz w:val="30"/>
          <w:szCs w:val="30"/>
          <w:u w:val="single"/>
        </w:rPr>
        <w:t xml:space="preserve">                       </w:t>
      </w:r>
    </w:p>
    <w:p w14:paraId="16A91A8F">
      <w:pPr>
        <w:adjustRightInd w:val="0"/>
        <w:snapToGrid w:val="0"/>
        <w:spacing w:line="360" w:lineRule="auto"/>
        <w:rPr>
          <w:rFonts w:ascii="宋体" w:hAnsi="宋体" w:cs="宋体"/>
          <w:sz w:val="30"/>
          <w:szCs w:val="30"/>
        </w:rPr>
      </w:pPr>
    </w:p>
    <w:p w14:paraId="73C6BEC0">
      <w:pPr>
        <w:pStyle w:val="12"/>
      </w:pPr>
    </w:p>
    <w:p w14:paraId="4CAEC311">
      <w:pPr>
        <w:adjustRightInd w:val="0"/>
        <w:snapToGrid w:val="0"/>
        <w:spacing w:line="360" w:lineRule="auto"/>
        <w:rPr>
          <w:rFonts w:ascii="宋体" w:hAnsi="宋体" w:cs="宋体"/>
          <w:sz w:val="30"/>
          <w:szCs w:val="30"/>
        </w:rPr>
      </w:pPr>
    </w:p>
    <w:p w14:paraId="46BD0D9E">
      <w:pPr>
        <w:adjustRightInd w:val="0"/>
        <w:snapToGrid w:val="0"/>
        <w:spacing w:line="360" w:lineRule="auto"/>
        <w:rPr>
          <w:rFonts w:ascii="宋体" w:hAnsi="宋体" w:cs="宋体"/>
          <w:sz w:val="30"/>
          <w:szCs w:val="30"/>
        </w:rPr>
      </w:pPr>
    </w:p>
    <w:p w14:paraId="0B363430">
      <w:pPr>
        <w:adjustRightInd w:val="0"/>
        <w:snapToGrid w:val="0"/>
        <w:spacing w:line="360" w:lineRule="auto"/>
        <w:rPr>
          <w:rFonts w:ascii="宋体" w:hAnsi="宋体" w:cs="宋体"/>
          <w:sz w:val="30"/>
          <w:szCs w:val="30"/>
        </w:rPr>
      </w:pPr>
    </w:p>
    <w:p w14:paraId="3C6B822F">
      <w:pPr>
        <w:adjustRightInd w:val="0"/>
        <w:snapToGrid w:val="0"/>
        <w:spacing w:line="360" w:lineRule="auto"/>
        <w:ind w:left="1273" w:leftChars="606" w:firstLine="2"/>
        <w:rPr>
          <w:rFonts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14:paraId="59E2E9D3">
      <w:pPr>
        <w:adjustRightInd w:val="0"/>
        <w:snapToGrid w:val="0"/>
        <w:spacing w:line="360" w:lineRule="auto"/>
        <w:jc w:val="center"/>
        <w:rPr>
          <w:rFonts w:ascii="宋体" w:hAnsi="宋体" w:cs="宋体"/>
          <w:sz w:val="32"/>
          <w:szCs w:val="32"/>
        </w:rPr>
      </w:pPr>
      <w:r>
        <w:rPr>
          <w:rFonts w:hint="eastAsia" w:ascii="宋体" w:hAnsi="宋体" w:cs="宋体"/>
          <w:sz w:val="32"/>
          <w:szCs w:val="32"/>
        </w:rPr>
        <w:t>年  月  日</w:t>
      </w:r>
    </w:p>
    <w:p w14:paraId="373C907C">
      <w:pPr>
        <w:rPr>
          <w:rFonts w:ascii="宋体" w:hAnsi="宋体" w:cs="宋体"/>
          <w:sz w:val="28"/>
          <w:szCs w:val="28"/>
        </w:rPr>
      </w:pPr>
      <w:r>
        <w:rPr>
          <w:rFonts w:hint="eastAsia" w:ascii="宋体" w:hAnsi="宋体" w:cs="宋体"/>
          <w:u w:val="single"/>
        </w:rPr>
        <w:br w:type="page"/>
      </w:r>
    </w:p>
    <w:p w14:paraId="710012B1">
      <w:pPr>
        <w:adjustRightInd w:val="0"/>
        <w:snapToGrid w:val="0"/>
        <w:spacing w:line="360" w:lineRule="auto"/>
        <w:jc w:val="center"/>
        <w:outlineLvl w:val="2"/>
        <w:rPr>
          <w:rFonts w:ascii="宋体" w:hAnsi="宋体" w:eastAsia="黑体" w:cs="宋体"/>
          <w:b/>
          <w:bCs/>
          <w:sz w:val="28"/>
          <w:szCs w:val="28"/>
        </w:rPr>
      </w:pPr>
      <w:bookmarkStart w:id="133" w:name="_Toc9738"/>
      <w:r>
        <w:rPr>
          <w:rFonts w:hint="eastAsia" w:ascii="宋体" w:hAnsi="宋体" w:eastAsia="黑体" w:cs="宋体"/>
          <w:b/>
          <w:bCs/>
          <w:sz w:val="28"/>
          <w:szCs w:val="28"/>
          <w:lang w:eastAsia="zh-CN"/>
        </w:rPr>
        <w:t>十</w:t>
      </w:r>
      <w:r>
        <w:rPr>
          <w:rFonts w:hint="eastAsia" w:ascii="宋体" w:hAnsi="宋体" w:eastAsia="黑体" w:cs="宋体"/>
          <w:b/>
          <w:bCs/>
          <w:sz w:val="28"/>
          <w:szCs w:val="28"/>
        </w:rPr>
        <w:t>、采购需求响应</w:t>
      </w:r>
    </w:p>
    <w:p w14:paraId="117C7AAE">
      <w:pPr>
        <w:adjustRightInd w:val="0"/>
        <w:snapToGrid w:val="0"/>
        <w:spacing w:line="360" w:lineRule="auto"/>
        <w:ind w:left="-88" w:leftChars="-42"/>
        <w:jc w:val="center"/>
        <w:rPr>
          <w:rFonts w:ascii="宋体" w:hAnsi="宋体" w:cs="宋体"/>
          <w:sz w:val="24"/>
        </w:rPr>
      </w:pPr>
    </w:p>
    <w:p w14:paraId="40249E5B">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投标人应按招标文件第五章采购需求自行编写采购需求响应文件（其内容可包括，且不限于详细的序号、货物名称、制造商名称、型号规格、技术指标和性能、售后服务和技术服务的组织及保证措施等，格式自拟）。</w:t>
      </w:r>
    </w:p>
    <w:p w14:paraId="7AE9F0B6">
      <w:pPr>
        <w:pStyle w:val="24"/>
        <w:adjustRightInd w:val="0"/>
        <w:snapToGrid w:val="0"/>
        <w:spacing w:line="360" w:lineRule="auto"/>
        <w:ind w:left="-88" w:leftChars="-42"/>
        <w:rPr>
          <w:rFonts w:ascii="宋体" w:hAnsi="宋体"/>
          <w:bCs/>
          <w:sz w:val="21"/>
          <w:szCs w:val="21"/>
        </w:rPr>
      </w:pPr>
    </w:p>
    <w:p w14:paraId="595A98D1"/>
    <w:p w14:paraId="0501C622"/>
    <w:p w14:paraId="5F2C79E7">
      <w:pPr>
        <w:adjustRightInd w:val="0"/>
        <w:snapToGrid w:val="0"/>
        <w:spacing w:line="360" w:lineRule="auto"/>
        <w:rPr>
          <w:rFonts w:ascii="宋体" w:hAnsi="宋体"/>
          <w:szCs w:val="21"/>
        </w:rPr>
      </w:pPr>
    </w:p>
    <w:p w14:paraId="55C649CF">
      <w:pPr>
        <w:adjustRightInd w:val="0"/>
        <w:snapToGrid w:val="0"/>
        <w:spacing w:line="360" w:lineRule="auto"/>
        <w:rPr>
          <w:rFonts w:ascii="宋体" w:hAnsi="宋体"/>
          <w:szCs w:val="21"/>
        </w:rPr>
      </w:pPr>
      <w:r>
        <w:rPr>
          <w:rFonts w:hint="eastAsia" w:ascii="宋体" w:hAnsi="宋体"/>
          <w:szCs w:val="21"/>
        </w:rPr>
        <w:t>投标人名称（盖单位章）：</w:t>
      </w:r>
    </w:p>
    <w:p w14:paraId="1E1502FD">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05FFF33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C5B5EA2"/>
    <w:p w14:paraId="2DB35E42"/>
    <w:p w14:paraId="09DC724D">
      <w:pPr>
        <w:pStyle w:val="5"/>
        <w:adjustRightInd w:val="0"/>
        <w:snapToGrid w:val="0"/>
        <w:spacing w:before="161" w:beforeLines="50" w:after="0" w:line="360" w:lineRule="auto"/>
        <w:rPr>
          <w:rFonts w:ascii="黑体" w:hAnsi="黑体"/>
          <w:b w:val="0"/>
          <w:sz w:val="21"/>
          <w:szCs w:val="21"/>
        </w:rPr>
      </w:pPr>
      <w:bookmarkStart w:id="134" w:name="_Toc21855"/>
      <w:r>
        <w:rPr>
          <w:rFonts w:hint="eastAsia" w:ascii="黑体" w:hAnsi="黑体" w:cs="宋体"/>
          <w:b w:val="0"/>
          <w:spacing w:val="6"/>
          <w:kern w:val="0"/>
          <w:sz w:val="21"/>
          <w:szCs w:val="21"/>
        </w:rPr>
        <w:t>附件9-1 响应</w:t>
      </w:r>
      <w:r>
        <w:rPr>
          <w:rFonts w:hint="eastAsia" w:ascii="黑体" w:hAnsi="黑体"/>
          <w:b w:val="0"/>
          <w:sz w:val="21"/>
          <w:szCs w:val="21"/>
        </w:rPr>
        <w:t>一览表</w:t>
      </w:r>
      <w:bookmarkEnd w:id="134"/>
    </w:p>
    <w:p w14:paraId="14576973">
      <w:pPr>
        <w:adjustRightInd w:val="0"/>
        <w:snapToGrid w:val="0"/>
        <w:spacing w:before="161" w:beforeLines="50" w:line="360" w:lineRule="auto"/>
        <w:jc w:val="center"/>
        <w:rPr>
          <w:rFonts w:ascii="黑体" w:hAnsi="黑体" w:eastAsia="黑体"/>
          <w:b/>
          <w:bCs/>
          <w:sz w:val="28"/>
          <w:szCs w:val="28"/>
        </w:rPr>
      </w:pPr>
      <w:r>
        <w:rPr>
          <w:rFonts w:hint="eastAsia" w:ascii="黑体" w:hAnsi="黑体" w:eastAsia="黑体"/>
          <w:b/>
          <w:bCs/>
          <w:sz w:val="28"/>
          <w:szCs w:val="28"/>
        </w:rPr>
        <w:t>响应一览表</w:t>
      </w:r>
    </w:p>
    <w:p w14:paraId="1B6E8B62">
      <w:pPr>
        <w:jc w:val="center"/>
        <w:rPr>
          <w:rFonts w:ascii="宋体" w:hAnsi="宋体"/>
          <w:szCs w:val="21"/>
        </w:rPr>
      </w:pPr>
    </w:p>
    <w:tbl>
      <w:tblPr>
        <w:tblStyle w:val="43"/>
        <w:tblW w:w="958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2124"/>
        <w:gridCol w:w="1451"/>
        <w:gridCol w:w="1542"/>
        <w:gridCol w:w="1026"/>
        <w:gridCol w:w="868"/>
        <w:gridCol w:w="932"/>
        <w:gridCol w:w="963"/>
      </w:tblGrid>
      <w:tr w14:paraId="2A1205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675" w:type="dxa"/>
            <w:vMerge w:val="restart"/>
            <w:vAlign w:val="center"/>
          </w:tcPr>
          <w:p w14:paraId="1509047D">
            <w:pPr>
              <w:jc w:val="center"/>
              <w:rPr>
                <w:szCs w:val="21"/>
              </w:rPr>
            </w:pPr>
            <w:r>
              <w:rPr>
                <w:rFonts w:hint="eastAsia"/>
                <w:szCs w:val="21"/>
              </w:rPr>
              <w:t>序号</w:t>
            </w:r>
          </w:p>
        </w:tc>
        <w:tc>
          <w:tcPr>
            <w:tcW w:w="2124" w:type="dxa"/>
            <w:vMerge w:val="restart"/>
            <w:tcBorders>
              <w:left w:val="single" w:color="auto" w:sz="4" w:space="0"/>
            </w:tcBorders>
            <w:vAlign w:val="center"/>
          </w:tcPr>
          <w:p w14:paraId="3D857452">
            <w:pPr>
              <w:jc w:val="center"/>
              <w:rPr>
                <w:szCs w:val="21"/>
              </w:rPr>
            </w:pPr>
            <w:r>
              <w:rPr>
                <w:rFonts w:hint="eastAsia"/>
                <w:szCs w:val="21"/>
              </w:rPr>
              <w:t>分项项目名称</w:t>
            </w:r>
          </w:p>
          <w:p w14:paraId="4DB72888">
            <w:pPr>
              <w:jc w:val="center"/>
              <w:rPr>
                <w:szCs w:val="21"/>
              </w:rPr>
            </w:pPr>
            <w:r>
              <w:rPr>
                <w:rFonts w:hint="eastAsia"/>
                <w:szCs w:val="21"/>
              </w:rPr>
              <w:t>（条目号/品目名称）</w:t>
            </w:r>
          </w:p>
        </w:tc>
        <w:tc>
          <w:tcPr>
            <w:tcW w:w="1451" w:type="dxa"/>
            <w:vMerge w:val="restart"/>
            <w:vAlign w:val="center"/>
          </w:tcPr>
          <w:p w14:paraId="4A493D2F">
            <w:pPr>
              <w:jc w:val="center"/>
              <w:rPr>
                <w:szCs w:val="21"/>
              </w:rPr>
            </w:pPr>
            <w:r>
              <w:rPr>
                <w:rFonts w:ascii="宋体" w:hAnsi="宋体" w:cs="宋体"/>
                <w:szCs w:val="21"/>
              </w:rPr>
              <w:t>制造商名称</w:t>
            </w:r>
            <w:r>
              <w:rPr>
                <w:rFonts w:hint="eastAsia" w:ascii="宋体" w:hAnsi="宋体" w:cs="宋体"/>
                <w:szCs w:val="21"/>
              </w:rPr>
              <w:t>/</w:t>
            </w:r>
            <w:r>
              <w:rPr>
                <w:rFonts w:ascii="宋体" w:hAnsi="宋体" w:cs="宋体"/>
                <w:szCs w:val="21"/>
              </w:rPr>
              <w:t>型号规格</w:t>
            </w:r>
          </w:p>
        </w:tc>
        <w:tc>
          <w:tcPr>
            <w:tcW w:w="1542" w:type="dxa"/>
            <w:vMerge w:val="restart"/>
            <w:vAlign w:val="center"/>
          </w:tcPr>
          <w:p w14:paraId="5D8A0044">
            <w:pPr>
              <w:jc w:val="center"/>
              <w:rPr>
                <w:szCs w:val="21"/>
              </w:rPr>
            </w:pPr>
            <w:r>
              <w:rPr>
                <w:rFonts w:hint="eastAsia"/>
                <w:szCs w:val="21"/>
              </w:rPr>
              <w:t>主要技术参数或规格</w:t>
            </w:r>
          </w:p>
        </w:tc>
        <w:tc>
          <w:tcPr>
            <w:tcW w:w="1026" w:type="dxa"/>
            <w:vMerge w:val="restart"/>
            <w:vAlign w:val="center"/>
          </w:tcPr>
          <w:p w14:paraId="060DA4B2">
            <w:pPr>
              <w:jc w:val="center"/>
              <w:rPr>
                <w:szCs w:val="21"/>
              </w:rPr>
            </w:pPr>
            <w:r>
              <w:rPr>
                <w:rFonts w:hint="eastAsia"/>
                <w:szCs w:val="21"/>
              </w:rPr>
              <w:t>数量</w:t>
            </w:r>
          </w:p>
          <w:p w14:paraId="570243FD">
            <w:pPr>
              <w:jc w:val="center"/>
              <w:rPr>
                <w:szCs w:val="21"/>
              </w:rPr>
            </w:pPr>
            <w:r>
              <w:rPr>
                <w:rFonts w:hint="eastAsia"/>
                <w:szCs w:val="21"/>
              </w:rPr>
              <w:t>（台套）</w:t>
            </w:r>
          </w:p>
        </w:tc>
        <w:tc>
          <w:tcPr>
            <w:tcW w:w="1800" w:type="dxa"/>
            <w:gridSpan w:val="2"/>
            <w:vAlign w:val="center"/>
          </w:tcPr>
          <w:p w14:paraId="194DF2E5">
            <w:pPr>
              <w:jc w:val="center"/>
              <w:rPr>
                <w:szCs w:val="21"/>
              </w:rPr>
            </w:pPr>
            <w:r>
              <w:rPr>
                <w:rFonts w:hint="eastAsia"/>
                <w:szCs w:val="21"/>
              </w:rPr>
              <w:t>交货</w:t>
            </w:r>
          </w:p>
        </w:tc>
        <w:tc>
          <w:tcPr>
            <w:tcW w:w="963" w:type="dxa"/>
            <w:vMerge w:val="restart"/>
            <w:vAlign w:val="center"/>
          </w:tcPr>
          <w:p w14:paraId="6B12DF28">
            <w:pPr>
              <w:jc w:val="center"/>
              <w:rPr>
                <w:szCs w:val="21"/>
              </w:rPr>
            </w:pPr>
            <w:r>
              <w:rPr>
                <w:rFonts w:hint="eastAsia"/>
                <w:szCs w:val="21"/>
              </w:rPr>
              <w:t>备注</w:t>
            </w:r>
          </w:p>
        </w:tc>
      </w:tr>
      <w:tr w14:paraId="5EA209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675" w:type="dxa"/>
            <w:vMerge w:val="continue"/>
            <w:vAlign w:val="center"/>
          </w:tcPr>
          <w:p w14:paraId="70028903">
            <w:pPr>
              <w:jc w:val="center"/>
              <w:rPr>
                <w:szCs w:val="21"/>
              </w:rPr>
            </w:pPr>
          </w:p>
        </w:tc>
        <w:tc>
          <w:tcPr>
            <w:tcW w:w="2124" w:type="dxa"/>
            <w:vMerge w:val="continue"/>
            <w:tcBorders>
              <w:left w:val="single" w:color="auto" w:sz="4" w:space="0"/>
            </w:tcBorders>
            <w:vAlign w:val="center"/>
          </w:tcPr>
          <w:p w14:paraId="36432E7D">
            <w:pPr>
              <w:jc w:val="center"/>
              <w:rPr>
                <w:szCs w:val="21"/>
              </w:rPr>
            </w:pPr>
          </w:p>
        </w:tc>
        <w:tc>
          <w:tcPr>
            <w:tcW w:w="1451" w:type="dxa"/>
            <w:vMerge w:val="continue"/>
            <w:vAlign w:val="center"/>
          </w:tcPr>
          <w:p w14:paraId="47B8EF22">
            <w:pPr>
              <w:jc w:val="center"/>
              <w:rPr>
                <w:szCs w:val="21"/>
              </w:rPr>
            </w:pPr>
          </w:p>
        </w:tc>
        <w:tc>
          <w:tcPr>
            <w:tcW w:w="1542" w:type="dxa"/>
            <w:vMerge w:val="continue"/>
            <w:vAlign w:val="center"/>
          </w:tcPr>
          <w:p w14:paraId="229DE895">
            <w:pPr>
              <w:jc w:val="center"/>
              <w:rPr>
                <w:szCs w:val="21"/>
              </w:rPr>
            </w:pPr>
          </w:p>
        </w:tc>
        <w:tc>
          <w:tcPr>
            <w:tcW w:w="1026" w:type="dxa"/>
            <w:vMerge w:val="continue"/>
            <w:vAlign w:val="center"/>
          </w:tcPr>
          <w:p w14:paraId="6D64056E">
            <w:pPr>
              <w:jc w:val="center"/>
              <w:rPr>
                <w:szCs w:val="21"/>
              </w:rPr>
            </w:pPr>
          </w:p>
        </w:tc>
        <w:tc>
          <w:tcPr>
            <w:tcW w:w="868" w:type="dxa"/>
            <w:vAlign w:val="center"/>
          </w:tcPr>
          <w:p w14:paraId="0489F091">
            <w:pPr>
              <w:jc w:val="center"/>
              <w:rPr>
                <w:szCs w:val="21"/>
              </w:rPr>
            </w:pPr>
            <w:r>
              <w:rPr>
                <w:rFonts w:hint="eastAsia"/>
                <w:szCs w:val="21"/>
              </w:rPr>
              <w:t>时间</w:t>
            </w:r>
          </w:p>
        </w:tc>
        <w:tc>
          <w:tcPr>
            <w:tcW w:w="932" w:type="dxa"/>
            <w:vAlign w:val="center"/>
          </w:tcPr>
          <w:p w14:paraId="18C54C98">
            <w:pPr>
              <w:jc w:val="center"/>
              <w:rPr>
                <w:szCs w:val="21"/>
              </w:rPr>
            </w:pPr>
            <w:r>
              <w:rPr>
                <w:rFonts w:hint="eastAsia"/>
                <w:szCs w:val="21"/>
              </w:rPr>
              <w:t>地点</w:t>
            </w:r>
          </w:p>
        </w:tc>
        <w:tc>
          <w:tcPr>
            <w:tcW w:w="963" w:type="dxa"/>
            <w:vMerge w:val="continue"/>
          </w:tcPr>
          <w:p w14:paraId="134B0A2D">
            <w:pPr>
              <w:rPr>
                <w:szCs w:val="21"/>
              </w:rPr>
            </w:pPr>
          </w:p>
        </w:tc>
      </w:tr>
      <w:tr w14:paraId="508E1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5" w:type="dxa"/>
          </w:tcPr>
          <w:p w14:paraId="092F58E7">
            <w:pPr>
              <w:rPr>
                <w:szCs w:val="21"/>
              </w:rPr>
            </w:pPr>
          </w:p>
        </w:tc>
        <w:tc>
          <w:tcPr>
            <w:tcW w:w="2124" w:type="dxa"/>
            <w:tcBorders>
              <w:left w:val="single" w:color="auto" w:sz="4" w:space="0"/>
            </w:tcBorders>
          </w:tcPr>
          <w:p w14:paraId="54538085">
            <w:pPr>
              <w:rPr>
                <w:szCs w:val="21"/>
              </w:rPr>
            </w:pPr>
          </w:p>
        </w:tc>
        <w:tc>
          <w:tcPr>
            <w:tcW w:w="1451" w:type="dxa"/>
          </w:tcPr>
          <w:p w14:paraId="68A975B3">
            <w:pPr>
              <w:rPr>
                <w:szCs w:val="21"/>
              </w:rPr>
            </w:pPr>
          </w:p>
        </w:tc>
        <w:tc>
          <w:tcPr>
            <w:tcW w:w="1542" w:type="dxa"/>
          </w:tcPr>
          <w:p w14:paraId="2CFADAC1">
            <w:pPr>
              <w:rPr>
                <w:szCs w:val="21"/>
              </w:rPr>
            </w:pPr>
          </w:p>
        </w:tc>
        <w:tc>
          <w:tcPr>
            <w:tcW w:w="1026" w:type="dxa"/>
          </w:tcPr>
          <w:p w14:paraId="43E2FF53">
            <w:pPr>
              <w:rPr>
                <w:szCs w:val="21"/>
              </w:rPr>
            </w:pPr>
          </w:p>
        </w:tc>
        <w:tc>
          <w:tcPr>
            <w:tcW w:w="868" w:type="dxa"/>
            <w:tcBorders>
              <w:bottom w:val="single" w:color="auto" w:sz="4" w:space="0"/>
            </w:tcBorders>
          </w:tcPr>
          <w:p w14:paraId="6B0077DD">
            <w:pPr>
              <w:rPr>
                <w:szCs w:val="21"/>
              </w:rPr>
            </w:pPr>
          </w:p>
        </w:tc>
        <w:tc>
          <w:tcPr>
            <w:tcW w:w="932" w:type="dxa"/>
            <w:tcBorders>
              <w:bottom w:val="single" w:color="auto" w:sz="4" w:space="0"/>
            </w:tcBorders>
          </w:tcPr>
          <w:p w14:paraId="619970B2">
            <w:pPr>
              <w:rPr>
                <w:szCs w:val="21"/>
              </w:rPr>
            </w:pPr>
          </w:p>
        </w:tc>
        <w:tc>
          <w:tcPr>
            <w:tcW w:w="963" w:type="dxa"/>
          </w:tcPr>
          <w:p w14:paraId="27184C43">
            <w:pPr>
              <w:rPr>
                <w:szCs w:val="21"/>
              </w:rPr>
            </w:pPr>
          </w:p>
        </w:tc>
      </w:tr>
      <w:tr w14:paraId="6487F0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5" w:type="dxa"/>
          </w:tcPr>
          <w:p w14:paraId="27F95437">
            <w:pPr>
              <w:rPr>
                <w:szCs w:val="21"/>
              </w:rPr>
            </w:pPr>
          </w:p>
        </w:tc>
        <w:tc>
          <w:tcPr>
            <w:tcW w:w="2124" w:type="dxa"/>
            <w:tcBorders>
              <w:left w:val="single" w:color="auto" w:sz="4" w:space="0"/>
            </w:tcBorders>
          </w:tcPr>
          <w:p w14:paraId="1104CBD7">
            <w:pPr>
              <w:rPr>
                <w:szCs w:val="21"/>
              </w:rPr>
            </w:pPr>
          </w:p>
        </w:tc>
        <w:tc>
          <w:tcPr>
            <w:tcW w:w="1451" w:type="dxa"/>
          </w:tcPr>
          <w:p w14:paraId="253065F5">
            <w:pPr>
              <w:rPr>
                <w:szCs w:val="21"/>
              </w:rPr>
            </w:pPr>
          </w:p>
        </w:tc>
        <w:tc>
          <w:tcPr>
            <w:tcW w:w="1542" w:type="dxa"/>
          </w:tcPr>
          <w:p w14:paraId="6214DC26">
            <w:pPr>
              <w:rPr>
                <w:szCs w:val="21"/>
              </w:rPr>
            </w:pPr>
          </w:p>
        </w:tc>
        <w:tc>
          <w:tcPr>
            <w:tcW w:w="1026" w:type="dxa"/>
          </w:tcPr>
          <w:p w14:paraId="60FABA7B">
            <w:pPr>
              <w:rPr>
                <w:szCs w:val="21"/>
              </w:rPr>
            </w:pPr>
          </w:p>
        </w:tc>
        <w:tc>
          <w:tcPr>
            <w:tcW w:w="868" w:type="dxa"/>
            <w:tcBorders>
              <w:top w:val="single" w:color="auto" w:sz="4" w:space="0"/>
              <w:bottom w:val="single" w:color="auto" w:sz="4" w:space="0"/>
            </w:tcBorders>
          </w:tcPr>
          <w:p w14:paraId="70154954">
            <w:pPr>
              <w:rPr>
                <w:szCs w:val="21"/>
              </w:rPr>
            </w:pPr>
          </w:p>
        </w:tc>
        <w:tc>
          <w:tcPr>
            <w:tcW w:w="932" w:type="dxa"/>
            <w:tcBorders>
              <w:top w:val="single" w:color="auto" w:sz="4" w:space="0"/>
              <w:bottom w:val="single" w:color="auto" w:sz="4" w:space="0"/>
            </w:tcBorders>
          </w:tcPr>
          <w:p w14:paraId="618E37B9">
            <w:pPr>
              <w:rPr>
                <w:szCs w:val="21"/>
              </w:rPr>
            </w:pPr>
          </w:p>
        </w:tc>
        <w:tc>
          <w:tcPr>
            <w:tcW w:w="963" w:type="dxa"/>
          </w:tcPr>
          <w:p w14:paraId="29F3125A">
            <w:pPr>
              <w:rPr>
                <w:szCs w:val="21"/>
              </w:rPr>
            </w:pPr>
          </w:p>
        </w:tc>
      </w:tr>
      <w:tr w14:paraId="3EFA40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5" w:type="dxa"/>
          </w:tcPr>
          <w:p w14:paraId="2105263C">
            <w:pPr>
              <w:rPr>
                <w:szCs w:val="21"/>
              </w:rPr>
            </w:pPr>
          </w:p>
        </w:tc>
        <w:tc>
          <w:tcPr>
            <w:tcW w:w="2124" w:type="dxa"/>
            <w:tcBorders>
              <w:left w:val="single" w:color="auto" w:sz="4" w:space="0"/>
            </w:tcBorders>
          </w:tcPr>
          <w:p w14:paraId="3A8564A8">
            <w:pPr>
              <w:rPr>
                <w:szCs w:val="21"/>
              </w:rPr>
            </w:pPr>
          </w:p>
        </w:tc>
        <w:tc>
          <w:tcPr>
            <w:tcW w:w="1451" w:type="dxa"/>
          </w:tcPr>
          <w:p w14:paraId="503036C5">
            <w:pPr>
              <w:rPr>
                <w:szCs w:val="21"/>
              </w:rPr>
            </w:pPr>
          </w:p>
        </w:tc>
        <w:tc>
          <w:tcPr>
            <w:tcW w:w="1542" w:type="dxa"/>
          </w:tcPr>
          <w:p w14:paraId="4289E789">
            <w:pPr>
              <w:rPr>
                <w:szCs w:val="21"/>
              </w:rPr>
            </w:pPr>
          </w:p>
        </w:tc>
        <w:tc>
          <w:tcPr>
            <w:tcW w:w="1026" w:type="dxa"/>
          </w:tcPr>
          <w:p w14:paraId="13B979C0">
            <w:pPr>
              <w:rPr>
                <w:szCs w:val="21"/>
              </w:rPr>
            </w:pPr>
          </w:p>
        </w:tc>
        <w:tc>
          <w:tcPr>
            <w:tcW w:w="868" w:type="dxa"/>
            <w:tcBorders>
              <w:top w:val="single" w:color="auto" w:sz="4" w:space="0"/>
              <w:bottom w:val="single" w:color="auto" w:sz="4" w:space="0"/>
            </w:tcBorders>
          </w:tcPr>
          <w:p w14:paraId="76DB7995">
            <w:pPr>
              <w:rPr>
                <w:szCs w:val="21"/>
              </w:rPr>
            </w:pPr>
          </w:p>
        </w:tc>
        <w:tc>
          <w:tcPr>
            <w:tcW w:w="932" w:type="dxa"/>
            <w:tcBorders>
              <w:top w:val="single" w:color="auto" w:sz="4" w:space="0"/>
              <w:bottom w:val="single" w:color="auto" w:sz="4" w:space="0"/>
            </w:tcBorders>
          </w:tcPr>
          <w:p w14:paraId="77533DB9">
            <w:pPr>
              <w:rPr>
                <w:szCs w:val="21"/>
              </w:rPr>
            </w:pPr>
          </w:p>
        </w:tc>
        <w:tc>
          <w:tcPr>
            <w:tcW w:w="963" w:type="dxa"/>
          </w:tcPr>
          <w:p w14:paraId="18FBFC0B">
            <w:pPr>
              <w:rPr>
                <w:szCs w:val="21"/>
              </w:rPr>
            </w:pPr>
          </w:p>
        </w:tc>
      </w:tr>
      <w:tr w14:paraId="1827A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5" w:type="dxa"/>
          </w:tcPr>
          <w:p w14:paraId="20BF92CF">
            <w:pPr>
              <w:rPr>
                <w:szCs w:val="21"/>
              </w:rPr>
            </w:pPr>
          </w:p>
        </w:tc>
        <w:tc>
          <w:tcPr>
            <w:tcW w:w="2124" w:type="dxa"/>
            <w:tcBorders>
              <w:left w:val="single" w:color="auto" w:sz="4" w:space="0"/>
            </w:tcBorders>
          </w:tcPr>
          <w:p w14:paraId="63F1D542">
            <w:pPr>
              <w:rPr>
                <w:szCs w:val="21"/>
              </w:rPr>
            </w:pPr>
          </w:p>
        </w:tc>
        <w:tc>
          <w:tcPr>
            <w:tcW w:w="1451" w:type="dxa"/>
          </w:tcPr>
          <w:p w14:paraId="15626C48">
            <w:pPr>
              <w:rPr>
                <w:szCs w:val="21"/>
              </w:rPr>
            </w:pPr>
          </w:p>
        </w:tc>
        <w:tc>
          <w:tcPr>
            <w:tcW w:w="1542" w:type="dxa"/>
          </w:tcPr>
          <w:p w14:paraId="03A8AF83">
            <w:pPr>
              <w:rPr>
                <w:szCs w:val="21"/>
              </w:rPr>
            </w:pPr>
          </w:p>
        </w:tc>
        <w:tc>
          <w:tcPr>
            <w:tcW w:w="1026" w:type="dxa"/>
          </w:tcPr>
          <w:p w14:paraId="4A20AEC5">
            <w:pPr>
              <w:rPr>
                <w:szCs w:val="21"/>
              </w:rPr>
            </w:pPr>
          </w:p>
        </w:tc>
        <w:tc>
          <w:tcPr>
            <w:tcW w:w="868" w:type="dxa"/>
            <w:tcBorders>
              <w:top w:val="single" w:color="auto" w:sz="4" w:space="0"/>
              <w:bottom w:val="single" w:color="auto" w:sz="4" w:space="0"/>
            </w:tcBorders>
          </w:tcPr>
          <w:p w14:paraId="7919F992">
            <w:pPr>
              <w:rPr>
                <w:szCs w:val="21"/>
              </w:rPr>
            </w:pPr>
          </w:p>
        </w:tc>
        <w:tc>
          <w:tcPr>
            <w:tcW w:w="932" w:type="dxa"/>
            <w:tcBorders>
              <w:top w:val="single" w:color="auto" w:sz="4" w:space="0"/>
              <w:bottom w:val="single" w:color="auto" w:sz="4" w:space="0"/>
            </w:tcBorders>
          </w:tcPr>
          <w:p w14:paraId="0C32F6DA">
            <w:pPr>
              <w:rPr>
                <w:szCs w:val="21"/>
              </w:rPr>
            </w:pPr>
          </w:p>
        </w:tc>
        <w:tc>
          <w:tcPr>
            <w:tcW w:w="963" w:type="dxa"/>
          </w:tcPr>
          <w:p w14:paraId="651C04F1">
            <w:pPr>
              <w:rPr>
                <w:szCs w:val="21"/>
              </w:rPr>
            </w:pPr>
          </w:p>
        </w:tc>
      </w:tr>
      <w:tr w14:paraId="0EF9F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5" w:type="dxa"/>
          </w:tcPr>
          <w:p w14:paraId="48DF5249">
            <w:pPr>
              <w:rPr>
                <w:szCs w:val="21"/>
              </w:rPr>
            </w:pPr>
          </w:p>
        </w:tc>
        <w:tc>
          <w:tcPr>
            <w:tcW w:w="2124" w:type="dxa"/>
            <w:tcBorders>
              <w:left w:val="single" w:color="auto" w:sz="4" w:space="0"/>
            </w:tcBorders>
          </w:tcPr>
          <w:p w14:paraId="2F090CA8">
            <w:pPr>
              <w:rPr>
                <w:szCs w:val="21"/>
              </w:rPr>
            </w:pPr>
          </w:p>
        </w:tc>
        <w:tc>
          <w:tcPr>
            <w:tcW w:w="1451" w:type="dxa"/>
          </w:tcPr>
          <w:p w14:paraId="73935F06">
            <w:pPr>
              <w:rPr>
                <w:szCs w:val="21"/>
              </w:rPr>
            </w:pPr>
          </w:p>
        </w:tc>
        <w:tc>
          <w:tcPr>
            <w:tcW w:w="1542" w:type="dxa"/>
          </w:tcPr>
          <w:p w14:paraId="7A1EDE12">
            <w:pPr>
              <w:rPr>
                <w:szCs w:val="21"/>
              </w:rPr>
            </w:pPr>
          </w:p>
        </w:tc>
        <w:tc>
          <w:tcPr>
            <w:tcW w:w="1026" w:type="dxa"/>
          </w:tcPr>
          <w:p w14:paraId="66A69BA9">
            <w:pPr>
              <w:rPr>
                <w:szCs w:val="21"/>
              </w:rPr>
            </w:pPr>
          </w:p>
        </w:tc>
        <w:tc>
          <w:tcPr>
            <w:tcW w:w="868" w:type="dxa"/>
            <w:tcBorders>
              <w:top w:val="single" w:color="auto" w:sz="4" w:space="0"/>
            </w:tcBorders>
          </w:tcPr>
          <w:p w14:paraId="4F122B74">
            <w:pPr>
              <w:rPr>
                <w:szCs w:val="21"/>
              </w:rPr>
            </w:pPr>
          </w:p>
        </w:tc>
        <w:tc>
          <w:tcPr>
            <w:tcW w:w="932" w:type="dxa"/>
            <w:tcBorders>
              <w:top w:val="single" w:color="auto" w:sz="4" w:space="0"/>
            </w:tcBorders>
          </w:tcPr>
          <w:p w14:paraId="2C1CE4ED">
            <w:pPr>
              <w:rPr>
                <w:szCs w:val="21"/>
              </w:rPr>
            </w:pPr>
          </w:p>
        </w:tc>
        <w:tc>
          <w:tcPr>
            <w:tcW w:w="963" w:type="dxa"/>
          </w:tcPr>
          <w:p w14:paraId="586380B5">
            <w:pPr>
              <w:rPr>
                <w:szCs w:val="21"/>
              </w:rPr>
            </w:pPr>
          </w:p>
        </w:tc>
      </w:tr>
    </w:tbl>
    <w:p w14:paraId="66EE345A">
      <w:pPr>
        <w:adjustRightInd w:val="0"/>
        <w:snapToGrid w:val="0"/>
        <w:spacing w:line="360" w:lineRule="auto"/>
      </w:pPr>
      <w:r>
        <w:rPr>
          <w:rFonts w:hint="eastAsia"/>
        </w:rPr>
        <w:t>注：非固定格式，投标人可以自行调整。</w:t>
      </w:r>
    </w:p>
    <w:p w14:paraId="654157F7">
      <w:pPr>
        <w:spacing w:line="360" w:lineRule="auto"/>
      </w:pPr>
      <w:r>
        <w:rPr>
          <w:szCs w:val="21"/>
        </w:rPr>
        <w:t xml:space="preserve">  </w:t>
      </w:r>
    </w:p>
    <w:p w14:paraId="0CEC12B6">
      <w:pPr>
        <w:spacing w:before="50" w:line="360" w:lineRule="auto"/>
      </w:pPr>
      <w:r>
        <w:rPr>
          <w:rFonts w:ascii="宋体" w:hAnsi="宋体" w:cs="宋体"/>
          <w:szCs w:val="21"/>
        </w:rPr>
        <w:t>投标人名称（单位章）：</w:t>
      </w:r>
      <w:r>
        <w:rPr>
          <w:szCs w:val="21"/>
        </w:rPr>
        <w:t xml:space="preserve"> </w:t>
      </w:r>
    </w:p>
    <w:p w14:paraId="78F387E8">
      <w:pPr>
        <w:spacing w:before="50" w:line="360" w:lineRule="auto"/>
      </w:pPr>
      <w:r>
        <w:rPr>
          <w:rFonts w:ascii="宋体" w:hAnsi="宋体" w:cs="宋体"/>
          <w:szCs w:val="21"/>
        </w:rPr>
        <w:t>法定代表人或其授权的代理人(</w:t>
      </w:r>
      <w:r>
        <w:rPr>
          <w:rFonts w:hint="eastAsia" w:ascii="宋体" w:hAnsi="宋体" w:cs="宋体"/>
          <w:szCs w:val="21"/>
        </w:rPr>
        <w:t>签字或印章）</w:t>
      </w:r>
      <w:r>
        <w:rPr>
          <w:rFonts w:ascii="宋体" w:hAnsi="宋体" w:cs="宋体"/>
          <w:szCs w:val="21"/>
        </w:rPr>
        <w:t>：</w:t>
      </w:r>
      <w:r>
        <w:rPr>
          <w:szCs w:val="21"/>
        </w:rPr>
        <w:t xml:space="preserve"> </w:t>
      </w:r>
    </w:p>
    <w:p w14:paraId="6C13D226">
      <w:r>
        <w:rPr>
          <w:rFonts w:hint="eastAsia" w:ascii="宋体" w:hAnsi="宋体"/>
          <w:szCs w:val="22"/>
          <w:lang w:bidi="ar"/>
        </w:rPr>
        <w:t>日期：   年   月   日</w:t>
      </w:r>
    </w:p>
    <w:p w14:paraId="63386ABC">
      <w:pPr>
        <w:rPr>
          <w:rFonts w:ascii="宋体" w:hAnsi="宋体" w:cs="宋体"/>
          <w:b/>
          <w:bCs/>
          <w:sz w:val="32"/>
          <w:szCs w:val="21"/>
        </w:rPr>
      </w:pPr>
      <w:r>
        <w:rPr>
          <w:rFonts w:hint="eastAsia" w:ascii="宋体" w:hAnsi="宋体" w:cs="宋体"/>
          <w:b/>
          <w:bCs/>
          <w:sz w:val="32"/>
          <w:szCs w:val="21"/>
        </w:rPr>
        <w:br w:type="page"/>
      </w:r>
    </w:p>
    <w:p w14:paraId="7FC618FB">
      <w:pPr>
        <w:adjustRightInd w:val="0"/>
        <w:snapToGrid w:val="0"/>
        <w:spacing w:line="360" w:lineRule="auto"/>
        <w:jc w:val="center"/>
        <w:outlineLvl w:val="2"/>
        <w:rPr>
          <w:rFonts w:ascii="宋体" w:hAnsi="宋体" w:eastAsia="黑体" w:cs="宋体"/>
          <w:b/>
          <w:bCs/>
          <w:sz w:val="28"/>
          <w:szCs w:val="28"/>
        </w:rPr>
      </w:pPr>
      <w:r>
        <w:rPr>
          <w:rFonts w:hint="eastAsia" w:ascii="宋体" w:hAnsi="宋体" w:eastAsia="黑体" w:cs="宋体"/>
          <w:b/>
          <w:bCs/>
          <w:sz w:val="28"/>
          <w:szCs w:val="28"/>
        </w:rPr>
        <w:t>十</w:t>
      </w:r>
      <w:r>
        <w:rPr>
          <w:rFonts w:hint="eastAsia" w:ascii="宋体" w:hAnsi="宋体" w:eastAsia="黑体" w:cs="宋体"/>
          <w:b/>
          <w:bCs/>
          <w:sz w:val="28"/>
          <w:szCs w:val="28"/>
          <w:lang w:eastAsia="zh-CN"/>
        </w:rPr>
        <w:t>一</w:t>
      </w:r>
      <w:r>
        <w:rPr>
          <w:rFonts w:hint="eastAsia" w:ascii="宋体" w:hAnsi="宋体" w:eastAsia="黑体" w:cs="宋体"/>
          <w:b/>
          <w:bCs/>
          <w:sz w:val="28"/>
          <w:szCs w:val="28"/>
        </w:rPr>
        <w:t>、响应偏离表</w:t>
      </w:r>
    </w:p>
    <w:p w14:paraId="12A08A1C">
      <w:pPr>
        <w:adjustRightInd w:val="0"/>
        <w:snapToGrid w:val="0"/>
        <w:spacing w:before="161" w:beforeLines="50" w:line="360" w:lineRule="auto"/>
        <w:rPr>
          <w:rFonts w:ascii="宋体" w:hAnsi="宋体" w:cs="宋体"/>
        </w:rPr>
      </w:pPr>
    </w:p>
    <w:p w14:paraId="2000E085">
      <w:pPr>
        <w:pStyle w:val="4"/>
        <w:adjustRightInd w:val="0"/>
        <w:snapToGrid w:val="0"/>
        <w:spacing w:before="0" w:after="0" w:line="360" w:lineRule="auto"/>
        <w:jc w:val="center"/>
        <w:rPr>
          <w:rFonts w:ascii="宋体" w:hAnsi="宋体" w:cs="宋体"/>
          <w:sz w:val="28"/>
          <w:szCs w:val="28"/>
        </w:rPr>
      </w:pPr>
      <w:bookmarkStart w:id="135" w:name="_Toc31026"/>
      <w:bookmarkStart w:id="136" w:name="_Toc22465"/>
      <w:bookmarkStart w:id="137" w:name="_Toc1343"/>
      <w:r>
        <w:rPr>
          <w:rFonts w:hint="eastAsia" w:ascii="宋体" w:hAnsi="宋体" w:cs="宋体"/>
          <w:sz w:val="28"/>
          <w:szCs w:val="28"/>
        </w:rPr>
        <w:t>（1）采购需求偏离表</w:t>
      </w:r>
      <w:bookmarkEnd w:id="135"/>
      <w:bookmarkEnd w:id="136"/>
      <w:bookmarkEnd w:id="137"/>
    </w:p>
    <w:p w14:paraId="23CAA357">
      <w:pPr>
        <w:adjustRightInd w:val="0"/>
        <w:snapToGrid w:val="0"/>
        <w:spacing w:line="360" w:lineRule="auto"/>
        <w:ind w:left="-88" w:leftChars="-42"/>
        <w:jc w:val="center"/>
        <w:rPr>
          <w:rFonts w:ascii="宋体" w:hAnsi="宋体" w:cs="宋体"/>
          <w:sz w:val="24"/>
        </w:rPr>
      </w:pPr>
    </w:p>
    <w:p w14:paraId="48C83770">
      <w:pPr>
        <w:adjustRightInd w:val="0"/>
        <w:snapToGrid w:val="0"/>
        <w:spacing w:line="360" w:lineRule="auto"/>
        <w:rPr>
          <w:rFonts w:ascii="宋体" w:hAnsi="宋体" w:cs="宋体"/>
          <w:szCs w:val="21"/>
        </w:rPr>
      </w:pPr>
      <w:r>
        <w:rPr>
          <w:rFonts w:hint="eastAsia" w:ascii="宋体" w:hAnsi="宋体" w:cs="宋体"/>
          <w:szCs w:val="21"/>
        </w:rPr>
        <w:t>委托代理编号：</w:t>
      </w:r>
      <w:r>
        <w:rPr>
          <w:rFonts w:hint="eastAsia" w:ascii="宋体" w:hAnsi="宋体" w:cs="宋体"/>
          <w:szCs w:val="21"/>
          <w:u w:val="single"/>
        </w:rPr>
        <w:t xml:space="preserve">            </w:t>
      </w:r>
      <w:r>
        <w:rPr>
          <w:rFonts w:hint="eastAsia" w:ascii="宋体" w:hAnsi="宋体" w:cs="宋体"/>
          <w:szCs w:val="21"/>
        </w:rPr>
        <w:t xml:space="preserve">                       项目名称：</w:t>
      </w:r>
      <w:r>
        <w:rPr>
          <w:rFonts w:hint="eastAsia" w:ascii="宋体" w:hAnsi="宋体" w:cs="宋体"/>
          <w:szCs w:val="21"/>
          <w:u w:val="single"/>
        </w:rPr>
        <w:t xml:space="preserve">             </w:t>
      </w:r>
      <w:r>
        <w:rPr>
          <w:rFonts w:hint="eastAsia" w:ascii="宋体" w:hAnsi="宋体" w:cs="宋体"/>
          <w:szCs w:val="21"/>
        </w:rPr>
        <w:t xml:space="preserve"> </w:t>
      </w:r>
    </w:p>
    <w:p w14:paraId="47AECC3C">
      <w:pPr>
        <w:adjustRightInd w:val="0"/>
        <w:snapToGrid w:val="0"/>
        <w:spacing w:before="161" w:beforeLines="50" w:line="360" w:lineRule="auto"/>
        <w:rPr>
          <w:rFonts w:ascii="宋体" w:hAnsi="宋体" w:cs="宋体"/>
          <w:spacing w:val="28"/>
          <w:szCs w:val="21"/>
        </w:rPr>
      </w:pPr>
      <w:r>
        <w:rPr>
          <w:rFonts w:hint="eastAsia" w:ascii="宋体" w:hAnsi="宋体" w:cs="宋体"/>
          <w:szCs w:val="21"/>
        </w:rPr>
        <w:t>包号：</w:t>
      </w:r>
      <w:r>
        <w:rPr>
          <w:rFonts w:hint="eastAsia" w:ascii="宋体" w:hAnsi="宋体" w:cs="宋体"/>
          <w:szCs w:val="21"/>
          <w:u w:val="single"/>
        </w:rPr>
        <w:t xml:space="preserve">              </w:t>
      </w:r>
      <w:r>
        <w:rPr>
          <w:rFonts w:hint="eastAsia" w:ascii="宋体" w:hAnsi="宋体" w:cs="宋体"/>
          <w:szCs w:val="21"/>
        </w:rPr>
        <w:t xml:space="preserve">                               包名称：</w:t>
      </w:r>
      <w:r>
        <w:rPr>
          <w:rFonts w:hint="eastAsia" w:ascii="宋体" w:hAnsi="宋体" w:cs="宋体"/>
          <w:szCs w:val="21"/>
          <w:u w:val="single"/>
        </w:rPr>
        <w:t xml:space="preserve">             </w:t>
      </w:r>
      <w:r>
        <w:rPr>
          <w:rFonts w:hint="eastAsia" w:ascii="宋体" w:hAnsi="宋体" w:cs="宋体"/>
          <w:szCs w:val="21"/>
        </w:rPr>
        <w:t xml:space="preserve"> </w:t>
      </w:r>
    </w:p>
    <w:tbl>
      <w:tblPr>
        <w:tblStyle w:val="43"/>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14:paraId="1C0ED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737" w:type="dxa"/>
            <w:tcBorders>
              <w:tl2br w:val="nil"/>
              <w:tr2bl w:val="nil"/>
            </w:tcBorders>
            <w:noWrap/>
            <w:vAlign w:val="center"/>
          </w:tcPr>
          <w:p w14:paraId="1B94571D">
            <w:pPr>
              <w:adjustRightInd w:val="0"/>
              <w:snapToGrid w:val="0"/>
              <w:spacing w:before="50" w:line="360" w:lineRule="auto"/>
              <w:ind w:left="-88" w:leftChars="-42"/>
              <w:jc w:val="center"/>
              <w:rPr>
                <w:rFonts w:ascii="宋体" w:hAnsi="宋体" w:cs="宋体"/>
                <w:szCs w:val="21"/>
              </w:rPr>
            </w:pPr>
            <w:r>
              <w:rPr>
                <w:rFonts w:hint="eastAsia" w:ascii="宋体" w:hAnsi="宋体" w:cs="宋体"/>
                <w:bCs/>
                <w:szCs w:val="21"/>
              </w:rPr>
              <w:t>序</w:t>
            </w:r>
            <w:r>
              <w:rPr>
                <w:rFonts w:hint="eastAsia" w:ascii="宋体" w:hAnsi="宋体" w:cs="宋体"/>
                <w:szCs w:val="21"/>
              </w:rPr>
              <w:t>号</w:t>
            </w:r>
          </w:p>
        </w:tc>
        <w:tc>
          <w:tcPr>
            <w:tcW w:w="2410" w:type="dxa"/>
            <w:tcBorders>
              <w:tl2br w:val="nil"/>
              <w:tr2bl w:val="nil"/>
            </w:tcBorders>
            <w:noWrap/>
            <w:vAlign w:val="center"/>
          </w:tcPr>
          <w:p w14:paraId="71FED814">
            <w:pPr>
              <w:adjustRightInd w:val="0"/>
              <w:snapToGrid w:val="0"/>
              <w:spacing w:before="50" w:line="360" w:lineRule="auto"/>
              <w:ind w:left="-88" w:leftChars="-42"/>
              <w:jc w:val="center"/>
              <w:rPr>
                <w:rFonts w:ascii="宋体" w:hAnsi="宋体" w:cs="宋体"/>
                <w:szCs w:val="21"/>
              </w:rPr>
            </w:pPr>
            <w:r>
              <w:rPr>
                <w:rFonts w:hint="eastAsia" w:ascii="宋体" w:hAnsi="宋体" w:cs="宋体"/>
                <w:szCs w:val="21"/>
              </w:rPr>
              <w:t>招标文件章节</w:t>
            </w:r>
            <w:r>
              <w:rPr>
                <w:rFonts w:hint="eastAsia" w:ascii="宋体" w:hAnsi="宋体" w:cs="宋体"/>
                <w:bCs/>
                <w:szCs w:val="21"/>
              </w:rPr>
              <w:t>条</w:t>
            </w:r>
            <w:r>
              <w:rPr>
                <w:rFonts w:hint="eastAsia" w:ascii="宋体" w:hAnsi="宋体" w:cs="宋体"/>
                <w:szCs w:val="21"/>
              </w:rPr>
              <w:t>款号</w:t>
            </w:r>
          </w:p>
        </w:tc>
        <w:tc>
          <w:tcPr>
            <w:tcW w:w="1985" w:type="dxa"/>
            <w:tcBorders>
              <w:tl2br w:val="nil"/>
              <w:tr2bl w:val="nil"/>
            </w:tcBorders>
            <w:noWrap/>
          </w:tcPr>
          <w:p w14:paraId="6AA7FEB7">
            <w:pPr>
              <w:adjustRightInd w:val="0"/>
              <w:snapToGrid w:val="0"/>
              <w:spacing w:before="50" w:line="360" w:lineRule="auto"/>
              <w:jc w:val="center"/>
              <w:rPr>
                <w:rFonts w:ascii="宋体" w:hAnsi="宋体" w:cs="宋体"/>
              </w:rPr>
            </w:pPr>
            <w:r>
              <w:rPr>
                <w:rFonts w:hint="eastAsia" w:ascii="宋体" w:hAnsi="宋体" w:cs="宋体"/>
              </w:rPr>
              <w:t>招标文件要求</w:t>
            </w:r>
          </w:p>
        </w:tc>
        <w:tc>
          <w:tcPr>
            <w:tcW w:w="2126" w:type="dxa"/>
            <w:tcBorders>
              <w:tl2br w:val="nil"/>
              <w:tr2bl w:val="nil"/>
            </w:tcBorders>
            <w:noWrap/>
          </w:tcPr>
          <w:p w14:paraId="4A4349C3">
            <w:pPr>
              <w:adjustRightInd w:val="0"/>
              <w:snapToGrid w:val="0"/>
              <w:spacing w:before="50" w:line="360" w:lineRule="auto"/>
              <w:jc w:val="center"/>
              <w:rPr>
                <w:rFonts w:ascii="宋体" w:hAnsi="宋体" w:cs="宋体"/>
              </w:rPr>
            </w:pPr>
            <w:r>
              <w:rPr>
                <w:rFonts w:hint="eastAsia" w:ascii="宋体" w:hAnsi="宋体" w:cs="宋体"/>
              </w:rPr>
              <w:t>投标文件应答</w:t>
            </w:r>
          </w:p>
        </w:tc>
        <w:tc>
          <w:tcPr>
            <w:tcW w:w="1756" w:type="dxa"/>
            <w:tcBorders>
              <w:tl2br w:val="nil"/>
              <w:tr2bl w:val="nil"/>
            </w:tcBorders>
            <w:noWrap/>
            <w:vAlign w:val="center"/>
          </w:tcPr>
          <w:p w14:paraId="6497B9B7">
            <w:pPr>
              <w:adjustRightInd w:val="0"/>
              <w:snapToGrid w:val="0"/>
              <w:spacing w:before="50" w:line="360" w:lineRule="auto"/>
              <w:ind w:left="-88" w:leftChars="-42"/>
              <w:jc w:val="center"/>
              <w:rPr>
                <w:rFonts w:ascii="宋体" w:hAnsi="宋体" w:cs="宋体"/>
                <w:szCs w:val="21"/>
              </w:rPr>
            </w:pPr>
            <w:r>
              <w:rPr>
                <w:rFonts w:hint="eastAsia" w:ascii="宋体" w:hAnsi="宋体" w:cs="宋体"/>
                <w:szCs w:val="21"/>
              </w:rPr>
              <w:t>偏离说明</w:t>
            </w:r>
          </w:p>
        </w:tc>
      </w:tr>
      <w:tr w14:paraId="3D58E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737" w:type="dxa"/>
            <w:tcBorders>
              <w:tl2br w:val="nil"/>
              <w:tr2bl w:val="nil"/>
            </w:tcBorders>
            <w:noWrap/>
            <w:vAlign w:val="center"/>
          </w:tcPr>
          <w:p w14:paraId="01479652">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5ADB8128">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274A45D5">
            <w:pPr>
              <w:adjustRightInd w:val="0"/>
              <w:snapToGrid w:val="0"/>
              <w:spacing w:before="50" w:line="360" w:lineRule="auto"/>
              <w:ind w:left="-88" w:leftChars="-42"/>
              <w:jc w:val="center"/>
              <w:rPr>
                <w:rFonts w:ascii="宋体" w:hAnsi="宋体" w:cs="宋体"/>
                <w:szCs w:val="21"/>
              </w:rPr>
            </w:pPr>
          </w:p>
        </w:tc>
        <w:tc>
          <w:tcPr>
            <w:tcW w:w="2126" w:type="dxa"/>
            <w:tcBorders>
              <w:tl2br w:val="nil"/>
              <w:tr2bl w:val="nil"/>
            </w:tcBorders>
            <w:noWrap/>
            <w:vAlign w:val="center"/>
          </w:tcPr>
          <w:p w14:paraId="45650222">
            <w:pPr>
              <w:adjustRightInd w:val="0"/>
              <w:snapToGrid w:val="0"/>
              <w:spacing w:before="50" w:line="360" w:lineRule="auto"/>
              <w:ind w:left="-88" w:leftChars="-42"/>
              <w:jc w:val="center"/>
              <w:rPr>
                <w:rFonts w:ascii="宋体" w:hAnsi="宋体" w:cs="宋体"/>
                <w:szCs w:val="21"/>
              </w:rPr>
            </w:pPr>
          </w:p>
        </w:tc>
        <w:tc>
          <w:tcPr>
            <w:tcW w:w="1756" w:type="dxa"/>
            <w:tcBorders>
              <w:tl2br w:val="nil"/>
              <w:tr2bl w:val="nil"/>
            </w:tcBorders>
            <w:noWrap/>
            <w:vAlign w:val="center"/>
          </w:tcPr>
          <w:p w14:paraId="6BDEE337">
            <w:pPr>
              <w:adjustRightInd w:val="0"/>
              <w:snapToGrid w:val="0"/>
              <w:spacing w:before="50" w:line="360" w:lineRule="auto"/>
              <w:ind w:left="-88" w:leftChars="-42"/>
              <w:jc w:val="center"/>
              <w:rPr>
                <w:rFonts w:ascii="宋体" w:hAnsi="宋体" w:cs="宋体"/>
                <w:szCs w:val="21"/>
              </w:rPr>
            </w:pPr>
          </w:p>
        </w:tc>
      </w:tr>
      <w:tr w14:paraId="13A8B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14:paraId="2DD23A88">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790590EF">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7300A0DE">
            <w:pPr>
              <w:adjustRightInd w:val="0"/>
              <w:snapToGrid w:val="0"/>
              <w:spacing w:before="50" w:line="360" w:lineRule="auto"/>
              <w:ind w:left="-88" w:leftChars="-42"/>
              <w:jc w:val="center"/>
              <w:rPr>
                <w:rFonts w:ascii="宋体" w:hAnsi="宋体" w:cs="宋体"/>
                <w:szCs w:val="21"/>
              </w:rPr>
            </w:pPr>
          </w:p>
        </w:tc>
        <w:tc>
          <w:tcPr>
            <w:tcW w:w="2126" w:type="dxa"/>
            <w:tcBorders>
              <w:tl2br w:val="nil"/>
              <w:tr2bl w:val="nil"/>
            </w:tcBorders>
            <w:noWrap/>
            <w:vAlign w:val="center"/>
          </w:tcPr>
          <w:p w14:paraId="5539E88D">
            <w:pPr>
              <w:adjustRightInd w:val="0"/>
              <w:snapToGrid w:val="0"/>
              <w:spacing w:before="50" w:line="360" w:lineRule="auto"/>
              <w:ind w:left="-88" w:leftChars="-42"/>
              <w:jc w:val="center"/>
              <w:rPr>
                <w:rFonts w:ascii="宋体" w:hAnsi="宋体" w:cs="宋体"/>
                <w:szCs w:val="21"/>
              </w:rPr>
            </w:pPr>
          </w:p>
        </w:tc>
        <w:tc>
          <w:tcPr>
            <w:tcW w:w="1756" w:type="dxa"/>
            <w:tcBorders>
              <w:tl2br w:val="nil"/>
              <w:tr2bl w:val="nil"/>
            </w:tcBorders>
            <w:noWrap/>
            <w:vAlign w:val="center"/>
          </w:tcPr>
          <w:p w14:paraId="721718E4">
            <w:pPr>
              <w:adjustRightInd w:val="0"/>
              <w:snapToGrid w:val="0"/>
              <w:spacing w:before="50" w:line="360" w:lineRule="auto"/>
              <w:ind w:left="-88" w:leftChars="-42"/>
              <w:jc w:val="center"/>
              <w:rPr>
                <w:rFonts w:ascii="宋体" w:hAnsi="宋体" w:cs="宋体"/>
                <w:szCs w:val="21"/>
              </w:rPr>
            </w:pPr>
          </w:p>
        </w:tc>
      </w:tr>
      <w:tr w14:paraId="173FC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14:paraId="4E619D38">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18ED6CF0">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32916544">
            <w:pPr>
              <w:adjustRightInd w:val="0"/>
              <w:snapToGrid w:val="0"/>
              <w:spacing w:before="50" w:line="360" w:lineRule="auto"/>
              <w:ind w:left="-88" w:leftChars="-42"/>
              <w:jc w:val="center"/>
              <w:rPr>
                <w:rFonts w:ascii="宋体" w:hAnsi="宋体" w:cs="宋体"/>
                <w:szCs w:val="21"/>
              </w:rPr>
            </w:pPr>
          </w:p>
        </w:tc>
        <w:tc>
          <w:tcPr>
            <w:tcW w:w="2126" w:type="dxa"/>
            <w:tcBorders>
              <w:tl2br w:val="nil"/>
              <w:tr2bl w:val="nil"/>
            </w:tcBorders>
            <w:noWrap/>
            <w:vAlign w:val="center"/>
          </w:tcPr>
          <w:p w14:paraId="46ACB83C">
            <w:pPr>
              <w:adjustRightInd w:val="0"/>
              <w:snapToGrid w:val="0"/>
              <w:spacing w:before="50" w:line="360" w:lineRule="auto"/>
              <w:ind w:left="-88" w:leftChars="-42"/>
              <w:jc w:val="center"/>
              <w:rPr>
                <w:rFonts w:ascii="宋体" w:hAnsi="宋体" w:cs="宋体"/>
                <w:szCs w:val="21"/>
              </w:rPr>
            </w:pPr>
          </w:p>
        </w:tc>
        <w:tc>
          <w:tcPr>
            <w:tcW w:w="1756" w:type="dxa"/>
            <w:tcBorders>
              <w:tl2br w:val="nil"/>
              <w:tr2bl w:val="nil"/>
            </w:tcBorders>
            <w:noWrap/>
            <w:vAlign w:val="center"/>
          </w:tcPr>
          <w:p w14:paraId="0F02B215">
            <w:pPr>
              <w:adjustRightInd w:val="0"/>
              <w:snapToGrid w:val="0"/>
              <w:spacing w:before="50" w:line="360" w:lineRule="auto"/>
              <w:ind w:left="-88" w:leftChars="-42"/>
              <w:jc w:val="center"/>
              <w:rPr>
                <w:rFonts w:ascii="宋体" w:hAnsi="宋体" w:cs="宋体"/>
                <w:szCs w:val="21"/>
              </w:rPr>
            </w:pPr>
          </w:p>
        </w:tc>
      </w:tr>
      <w:tr w14:paraId="29587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14:paraId="34342980">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3F3497C2">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673EE67B">
            <w:pPr>
              <w:adjustRightInd w:val="0"/>
              <w:snapToGrid w:val="0"/>
              <w:spacing w:before="50" w:line="360" w:lineRule="auto"/>
              <w:ind w:left="-88" w:leftChars="-42"/>
              <w:jc w:val="center"/>
              <w:rPr>
                <w:rFonts w:ascii="宋体" w:hAnsi="宋体" w:cs="宋体"/>
                <w:szCs w:val="21"/>
              </w:rPr>
            </w:pPr>
          </w:p>
        </w:tc>
        <w:tc>
          <w:tcPr>
            <w:tcW w:w="2126" w:type="dxa"/>
            <w:tcBorders>
              <w:tl2br w:val="nil"/>
              <w:tr2bl w:val="nil"/>
            </w:tcBorders>
            <w:noWrap/>
            <w:vAlign w:val="center"/>
          </w:tcPr>
          <w:p w14:paraId="2C5B30EB">
            <w:pPr>
              <w:adjustRightInd w:val="0"/>
              <w:snapToGrid w:val="0"/>
              <w:spacing w:before="50" w:line="360" w:lineRule="auto"/>
              <w:ind w:left="-88" w:leftChars="-42"/>
              <w:jc w:val="center"/>
              <w:rPr>
                <w:rFonts w:ascii="宋体" w:hAnsi="宋体" w:cs="宋体"/>
                <w:szCs w:val="21"/>
              </w:rPr>
            </w:pPr>
          </w:p>
        </w:tc>
        <w:tc>
          <w:tcPr>
            <w:tcW w:w="1756" w:type="dxa"/>
            <w:tcBorders>
              <w:tl2br w:val="nil"/>
              <w:tr2bl w:val="nil"/>
            </w:tcBorders>
            <w:noWrap/>
            <w:vAlign w:val="center"/>
          </w:tcPr>
          <w:p w14:paraId="1C02E6FE">
            <w:pPr>
              <w:adjustRightInd w:val="0"/>
              <w:snapToGrid w:val="0"/>
              <w:spacing w:before="50" w:line="360" w:lineRule="auto"/>
              <w:ind w:left="-88" w:leftChars="-42"/>
              <w:jc w:val="center"/>
              <w:rPr>
                <w:rFonts w:ascii="宋体" w:hAnsi="宋体" w:cs="宋体"/>
                <w:szCs w:val="21"/>
              </w:rPr>
            </w:pPr>
          </w:p>
        </w:tc>
      </w:tr>
      <w:tr w14:paraId="47055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14:paraId="59761E22">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5A74E90F">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795A1012">
            <w:pPr>
              <w:adjustRightInd w:val="0"/>
              <w:snapToGrid w:val="0"/>
              <w:spacing w:before="50" w:line="360" w:lineRule="auto"/>
              <w:ind w:left="-88" w:leftChars="-42"/>
              <w:jc w:val="center"/>
              <w:rPr>
                <w:rFonts w:ascii="宋体" w:hAnsi="宋体" w:cs="宋体"/>
                <w:szCs w:val="21"/>
              </w:rPr>
            </w:pPr>
          </w:p>
        </w:tc>
        <w:tc>
          <w:tcPr>
            <w:tcW w:w="2126" w:type="dxa"/>
            <w:tcBorders>
              <w:tl2br w:val="nil"/>
              <w:tr2bl w:val="nil"/>
            </w:tcBorders>
            <w:noWrap/>
            <w:vAlign w:val="center"/>
          </w:tcPr>
          <w:p w14:paraId="39723C21">
            <w:pPr>
              <w:adjustRightInd w:val="0"/>
              <w:snapToGrid w:val="0"/>
              <w:spacing w:before="50" w:line="360" w:lineRule="auto"/>
              <w:ind w:left="-88" w:leftChars="-42"/>
              <w:jc w:val="center"/>
              <w:rPr>
                <w:rFonts w:ascii="宋体" w:hAnsi="宋体" w:cs="宋体"/>
                <w:szCs w:val="21"/>
              </w:rPr>
            </w:pPr>
          </w:p>
        </w:tc>
        <w:tc>
          <w:tcPr>
            <w:tcW w:w="1756" w:type="dxa"/>
            <w:tcBorders>
              <w:tl2br w:val="nil"/>
              <w:tr2bl w:val="nil"/>
            </w:tcBorders>
            <w:noWrap/>
            <w:vAlign w:val="center"/>
          </w:tcPr>
          <w:p w14:paraId="75040BE9">
            <w:pPr>
              <w:adjustRightInd w:val="0"/>
              <w:snapToGrid w:val="0"/>
              <w:spacing w:before="50" w:line="360" w:lineRule="auto"/>
              <w:ind w:left="-88" w:leftChars="-42"/>
              <w:jc w:val="center"/>
              <w:rPr>
                <w:rFonts w:ascii="宋体" w:hAnsi="宋体" w:cs="宋体"/>
                <w:szCs w:val="21"/>
              </w:rPr>
            </w:pPr>
          </w:p>
        </w:tc>
      </w:tr>
      <w:tr w14:paraId="66232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14:paraId="04CFC1FE">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18FE3048">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1D94CC77">
            <w:pPr>
              <w:adjustRightInd w:val="0"/>
              <w:snapToGrid w:val="0"/>
              <w:spacing w:before="50" w:line="360" w:lineRule="auto"/>
              <w:ind w:left="-88" w:leftChars="-42"/>
              <w:jc w:val="center"/>
              <w:rPr>
                <w:rFonts w:ascii="宋体" w:hAnsi="宋体" w:cs="宋体"/>
                <w:szCs w:val="21"/>
              </w:rPr>
            </w:pPr>
          </w:p>
        </w:tc>
        <w:tc>
          <w:tcPr>
            <w:tcW w:w="3882" w:type="dxa"/>
            <w:gridSpan w:val="2"/>
            <w:tcBorders>
              <w:tl2br w:val="nil"/>
              <w:tr2bl w:val="nil"/>
            </w:tcBorders>
            <w:noWrap/>
            <w:vAlign w:val="center"/>
          </w:tcPr>
          <w:p w14:paraId="23A4F691">
            <w:pPr>
              <w:adjustRightInd w:val="0"/>
              <w:snapToGrid w:val="0"/>
              <w:spacing w:before="50" w:line="360" w:lineRule="auto"/>
              <w:ind w:firstLine="422" w:firstLineChars="200"/>
              <w:rPr>
                <w:rFonts w:ascii="宋体" w:hAnsi="宋体" w:cs="宋体"/>
                <w:szCs w:val="21"/>
              </w:rPr>
            </w:pPr>
            <w:r>
              <w:rPr>
                <w:rFonts w:hint="eastAsia" w:ascii="宋体" w:hAnsi="宋体" w:cs="宋体"/>
                <w:b/>
                <w:szCs w:val="21"/>
              </w:rPr>
              <w:t>投标人保证：除本采购需求偏离表列出的偏离外，我单位对招标文件的其他采购需求条款完全响应，无偏离。</w:t>
            </w:r>
          </w:p>
        </w:tc>
      </w:tr>
    </w:tbl>
    <w:p w14:paraId="0E998542">
      <w:pPr>
        <w:adjustRightInd w:val="0"/>
        <w:snapToGrid w:val="0"/>
        <w:spacing w:before="50" w:line="360" w:lineRule="auto"/>
        <w:ind w:left="-88" w:leftChars="-42"/>
        <w:rPr>
          <w:rFonts w:ascii="宋体" w:hAnsi="宋体" w:cs="宋体"/>
          <w:szCs w:val="21"/>
        </w:rPr>
      </w:pPr>
      <w:r>
        <w:rPr>
          <w:rFonts w:hint="eastAsia" w:ascii="宋体" w:hAnsi="宋体" w:cs="宋体"/>
          <w:b/>
          <w:szCs w:val="21"/>
        </w:rPr>
        <w:t>备注</w:t>
      </w:r>
      <w:r>
        <w:rPr>
          <w:rFonts w:hint="eastAsia" w:ascii="宋体" w:hAnsi="宋体" w:cs="宋体"/>
          <w:szCs w:val="21"/>
        </w:rPr>
        <w:t>：（1）投标人应根据招标文件第五章“采购需求”填写本表；</w:t>
      </w:r>
    </w:p>
    <w:p w14:paraId="1BE25B80">
      <w:pPr>
        <w:adjustRightInd w:val="0"/>
        <w:snapToGrid w:val="0"/>
        <w:spacing w:before="50" w:line="360" w:lineRule="auto"/>
        <w:ind w:left="-88" w:leftChars="-42" w:firstLine="420" w:firstLineChars="200"/>
        <w:rPr>
          <w:rFonts w:ascii="宋体" w:hAnsi="宋体" w:cs="宋体"/>
          <w:b/>
          <w:szCs w:val="21"/>
        </w:rPr>
      </w:pPr>
      <w:r>
        <w:rPr>
          <w:rFonts w:hint="eastAsia" w:ascii="宋体" w:hAnsi="宋体" w:cs="宋体"/>
          <w:szCs w:val="21"/>
        </w:rPr>
        <w:t>（2）</w:t>
      </w:r>
      <w:r>
        <w:rPr>
          <w:rFonts w:hint="eastAsia" w:ascii="宋体" w:hAnsi="宋体" w:cs="宋体"/>
          <w:b/>
          <w:szCs w:val="21"/>
        </w:rPr>
        <w:t>投标人如果对招标文件第五章“采购需求”的响应有偏离，应将偏离条款逐条如实应答，并作出说明；</w:t>
      </w:r>
    </w:p>
    <w:p w14:paraId="233E6F28">
      <w:pPr>
        <w:adjustRightInd w:val="0"/>
        <w:snapToGrid w:val="0"/>
        <w:spacing w:before="50" w:line="360" w:lineRule="auto"/>
        <w:ind w:left="-88" w:leftChars="-42" w:firstLine="420" w:firstLineChars="200"/>
        <w:rPr>
          <w:rFonts w:ascii="宋体" w:hAnsi="宋体" w:cs="宋体"/>
          <w:szCs w:val="21"/>
        </w:rPr>
      </w:pPr>
      <w:r>
        <w:rPr>
          <w:rFonts w:hint="eastAsia" w:ascii="宋体" w:hAnsi="宋体" w:cs="宋体"/>
          <w:szCs w:val="21"/>
        </w:rPr>
        <w:t>（3）如不提供此表，则视为投标人不满足招标文件第五章的所有条款要求，其</w:t>
      </w:r>
      <w:r>
        <w:rPr>
          <w:rFonts w:hint="eastAsia" w:ascii="宋体" w:hAnsi="宋体" w:cs="宋体"/>
          <w:b/>
          <w:szCs w:val="21"/>
        </w:rPr>
        <w:t>投标无效</w:t>
      </w:r>
      <w:r>
        <w:rPr>
          <w:rFonts w:hint="eastAsia" w:ascii="宋体" w:hAnsi="宋体" w:cs="宋体"/>
          <w:szCs w:val="21"/>
        </w:rPr>
        <w:t>。</w:t>
      </w:r>
    </w:p>
    <w:p w14:paraId="10D8106C">
      <w:pPr>
        <w:adjustRightInd w:val="0"/>
        <w:snapToGrid w:val="0"/>
        <w:spacing w:before="50" w:line="360" w:lineRule="auto"/>
        <w:ind w:left="-88" w:leftChars="-42" w:firstLine="420" w:firstLineChars="200"/>
        <w:rPr>
          <w:rFonts w:ascii="宋体" w:hAnsi="宋体" w:cs="宋体"/>
          <w:szCs w:val="21"/>
        </w:rPr>
      </w:pPr>
      <w:r>
        <w:rPr>
          <w:rFonts w:hint="eastAsia" w:ascii="宋体" w:hAnsi="宋体" w:cs="宋体"/>
          <w:szCs w:val="21"/>
        </w:rPr>
        <w:t>（4）在采购人与成交投标人签订合同时，如成交投标人未在投标文件“采购需求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14:paraId="74A6F05D">
      <w:pPr>
        <w:adjustRightInd w:val="0"/>
        <w:snapToGrid w:val="0"/>
        <w:spacing w:before="50" w:line="360" w:lineRule="auto"/>
        <w:rPr>
          <w:rFonts w:ascii="宋体" w:hAnsi="宋体" w:cs="宋体"/>
          <w:szCs w:val="21"/>
        </w:rPr>
      </w:pPr>
    </w:p>
    <w:p w14:paraId="6C22C3BD">
      <w:pPr>
        <w:adjustRightInd w:val="0"/>
        <w:snapToGrid w:val="0"/>
        <w:spacing w:before="50" w:line="360" w:lineRule="auto"/>
        <w:rPr>
          <w:rFonts w:ascii="宋体" w:hAnsi="宋体" w:cs="宋体"/>
          <w:szCs w:val="21"/>
        </w:rPr>
      </w:pPr>
      <w:r>
        <w:rPr>
          <w:rFonts w:hint="eastAsia" w:ascii="宋体" w:hAnsi="宋体" w:cs="宋体"/>
          <w:szCs w:val="21"/>
        </w:rPr>
        <w:t>投标人名称（盖单位章）：</w:t>
      </w:r>
    </w:p>
    <w:p w14:paraId="1B9344B5">
      <w:pPr>
        <w:adjustRightInd w:val="0"/>
        <w:snapToGrid w:val="0"/>
        <w:spacing w:before="50" w:line="360" w:lineRule="auto"/>
        <w:rPr>
          <w:rFonts w:ascii="宋体" w:hAnsi="宋体" w:cs="宋体"/>
          <w:szCs w:val="21"/>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或其授权的代理人（签字或印章）：</w:t>
      </w:r>
    </w:p>
    <w:p w14:paraId="2BE71C94">
      <w:pPr>
        <w:adjustRightInd w:val="0"/>
        <w:snapToGrid w:val="0"/>
        <w:spacing w:line="360" w:lineRule="auto"/>
        <w:rPr>
          <w:rFonts w:ascii="宋体" w:hAnsi="宋体" w:cs="宋体"/>
        </w:rPr>
      </w:pPr>
      <w:r>
        <w:rPr>
          <w:rFonts w:hint="eastAsia" w:ascii="宋体" w:hAnsi="宋体"/>
          <w:szCs w:val="22"/>
          <w:lang w:bidi="ar"/>
        </w:rPr>
        <w:t>日期：   年   月   日</w:t>
      </w:r>
    </w:p>
    <w:p w14:paraId="533E44B5">
      <w:pPr>
        <w:adjustRightInd w:val="0"/>
        <w:snapToGrid w:val="0"/>
        <w:spacing w:line="360" w:lineRule="auto"/>
        <w:rPr>
          <w:rFonts w:ascii="宋体" w:hAnsi="宋体" w:cs="宋体"/>
          <w:szCs w:val="21"/>
        </w:rPr>
      </w:pPr>
    </w:p>
    <w:p w14:paraId="7677280C">
      <w:pPr>
        <w:adjustRightInd w:val="0"/>
        <w:snapToGrid w:val="0"/>
        <w:spacing w:line="360" w:lineRule="auto"/>
        <w:rPr>
          <w:rFonts w:ascii="宋体" w:hAnsi="宋体" w:cs="宋体"/>
          <w:sz w:val="28"/>
          <w:szCs w:val="28"/>
        </w:rPr>
        <w:sectPr>
          <w:headerReference r:id="rId11" w:type="default"/>
          <w:footerReference r:id="rId12" w:type="default"/>
          <w:pgSz w:w="11905" w:h="16838"/>
          <w:pgMar w:top="1440" w:right="1587" w:bottom="1440" w:left="1587" w:header="1020" w:footer="567" w:gutter="0"/>
          <w:cols w:space="0" w:num="1"/>
          <w:docGrid w:type="lines" w:linePitch="323" w:charSpace="0"/>
        </w:sectPr>
      </w:pPr>
    </w:p>
    <w:p w14:paraId="30249180">
      <w:pPr>
        <w:pStyle w:val="4"/>
        <w:adjustRightInd w:val="0"/>
        <w:snapToGrid w:val="0"/>
        <w:spacing w:before="0" w:after="0" w:line="360" w:lineRule="auto"/>
        <w:jc w:val="center"/>
        <w:rPr>
          <w:rFonts w:ascii="宋体" w:hAnsi="宋体" w:cs="宋体"/>
          <w:sz w:val="28"/>
          <w:szCs w:val="28"/>
        </w:rPr>
      </w:pPr>
      <w:bookmarkStart w:id="138" w:name="_Toc32303"/>
      <w:bookmarkStart w:id="139" w:name="_Toc3846"/>
      <w:bookmarkStart w:id="140" w:name="_Toc6946"/>
      <w:bookmarkStart w:id="141" w:name="_Toc25311"/>
      <w:r>
        <w:rPr>
          <w:rFonts w:hint="eastAsia" w:ascii="宋体" w:hAnsi="宋体" w:cs="宋体"/>
          <w:sz w:val="28"/>
          <w:szCs w:val="28"/>
        </w:rPr>
        <w:t>（2）合同条款偏离表</w:t>
      </w:r>
      <w:bookmarkEnd w:id="138"/>
      <w:bookmarkEnd w:id="139"/>
      <w:bookmarkEnd w:id="140"/>
      <w:bookmarkEnd w:id="141"/>
    </w:p>
    <w:p w14:paraId="13B82039">
      <w:pPr>
        <w:adjustRightInd w:val="0"/>
        <w:snapToGrid w:val="0"/>
        <w:spacing w:line="360" w:lineRule="auto"/>
        <w:rPr>
          <w:rFonts w:ascii="宋体" w:hAnsi="宋体" w:cs="宋体"/>
          <w:szCs w:val="21"/>
        </w:rPr>
      </w:pPr>
      <w:r>
        <w:rPr>
          <w:rFonts w:hint="eastAsia" w:ascii="宋体" w:hAnsi="宋体" w:cs="宋体"/>
          <w:szCs w:val="21"/>
        </w:rPr>
        <w:t>委托代理编号：</w:t>
      </w:r>
      <w:r>
        <w:rPr>
          <w:rFonts w:hint="eastAsia" w:ascii="宋体" w:hAnsi="宋体" w:cs="宋体"/>
          <w:szCs w:val="21"/>
          <w:u w:val="single"/>
        </w:rPr>
        <w:t xml:space="preserve">            </w:t>
      </w:r>
      <w:r>
        <w:rPr>
          <w:rFonts w:hint="eastAsia" w:ascii="宋体" w:hAnsi="宋体" w:cs="宋体"/>
          <w:szCs w:val="21"/>
        </w:rPr>
        <w:t xml:space="preserve">                       项目名称：</w:t>
      </w:r>
      <w:r>
        <w:rPr>
          <w:rFonts w:hint="eastAsia" w:ascii="宋体" w:hAnsi="宋体" w:cs="宋体"/>
          <w:szCs w:val="21"/>
          <w:u w:val="single"/>
        </w:rPr>
        <w:t xml:space="preserve">             </w:t>
      </w:r>
      <w:r>
        <w:rPr>
          <w:rFonts w:hint="eastAsia" w:ascii="宋体" w:hAnsi="宋体" w:cs="宋体"/>
          <w:szCs w:val="21"/>
        </w:rPr>
        <w:t xml:space="preserve"> </w:t>
      </w:r>
    </w:p>
    <w:p w14:paraId="3CBAF171">
      <w:pPr>
        <w:adjustRightInd w:val="0"/>
        <w:snapToGrid w:val="0"/>
        <w:spacing w:before="50" w:line="360" w:lineRule="auto"/>
        <w:rPr>
          <w:rFonts w:ascii="宋体" w:hAnsi="宋体" w:cs="宋体"/>
          <w:b/>
          <w:bCs/>
          <w:szCs w:val="21"/>
          <w:u w:val="single"/>
        </w:rPr>
      </w:pPr>
      <w:r>
        <w:rPr>
          <w:rFonts w:hint="eastAsia" w:ascii="宋体" w:hAnsi="宋体" w:cs="宋体"/>
          <w:szCs w:val="21"/>
        </w:rPr>
        <w:t>包号：</w:t>
      </w:r>
      <w:r>
        <w:rPr>
          <w:rFonts w:hint="eastAsia" w:ascii="宋体" w:hAnsi="宋体" w:cs="宋体"/>
          <w:szCs w:val="21"/>
          <w:u w:val="single"/>
        </w:rPr>
        <w:t xml:space="preserve">              </w:t>
      </w:r>
      <w:r>
        <w:rPr>
          <w:rFonts w:hint="eastAsia" w:ascii="宋体" w:hAnsi="宋体" w:cs="宋体"/>
          <w:szCs w:val="21"/>
        </w:rPr>
        <w:t xml:space="preserve">                               包名称：</w:t>
      </w:r>
      <w:r>
        <w:rPr>
          <w:rFonts w:hint="eastAsia" w:ascii="宋体" w:hAnsi="宋体" w:cs="宋体"/>
          <w:szCs w:val="21"/>
          <w:u w:val="single"/>
        </w:rPr>
        <w:t xml:space="preserve">             </w:t>
      </w:r>
    </w:p>
    <w:tbl>
      <w:tblPr>
        <w:tblStyle w:val="43"/>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95"/>
        <w:gridCol w:w="2410"/>
        <w:gridCol w:w="1985"/>
        <w:gridCol w:w="2082"/>
        <w:gridCol w:w="1942"/>
      </w:tblGrid>
      <w:tr w14:paraId="4CDD1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595" w:type="dxa"/>
            <w:tcBorders>
              <w:tl2br w:val="nil"/>
              <w:tr2bl w:val="nil"/>
            </w:tcBorders>
            <w:noWrap/>
            <w:vAlign w:val="center"/>
          </w:tcPr>
          <w:p w14:paraId="4C22CB85">
            <w:pPr>
              <w:adjustRightInd w:val="0"/>
              <w:snapToGrid w:val="0"/>
              <w:spacing w:before="50" w:line="360" w:lineRule="auto"/>
              <w:ind w:left="-88" w:leftChars="-42"/>
              <w:jc w:val="center"/>
              <w:rPr>
                <w:rFonts w:ascii="宋体" w:hAnsi="宋体" w:cs="宋体"/>
                <w:szCs w:val="21"/>
              </w:rPr>
            </w:pPr>
            <w:r>
              <w:rPr>
                <w:rFonts w:hint="eastAsia" w:ascii="宋体" w:hAnsi="宋体" w:cs="宋体"/>
                <w:bCs/>
                <w:szCs w:val="21"/>
              </w:rPr>
              <w:t>序</w:t>
            </w:r>
            <w:r>
              <w:rPr>
                <w:rFonts w:hint="eastAsia" w:ascii="宋体" w:hAnsi="宋体" w:cs="宋体"/>
                <w:szCs w:val="21"/>
              </w:rPr>
              <w:t>号</w:t>
            </w:r>
          </w:p>
        </w:tc>
        <w:tc>
          <w:tcPr>
            <w:tcW w:w="2410" w:type="dxa"/>
            <w:tcBorders>
              <w:tl2br w:val="nil"/>
              <w:tr2bl w:val="nil"/>
            </w:tcBorders>
            <w:noWrap/>
            <w:vAlign w:val="center"/>
          </w:tcPr>
          <w:p w14:paraId="3819AAD2">
            <w:pPr>
              <w:adjustRightInd w:val="0"/>
              <w:snapToGrid w:val="0"/>
              <w:spacing w:before="50" w:line="360" w:lineRule="auto"/>
              <w:ind w:left="-88" w:leftChars="-42"/>
              <w:jc w:val="center"/>
              <w:rPr>
                <w:rFonts w:ascii="宋体" w:hAnsi="宋体" w:cs="宋体"/>
                <w:szCs w:val="21"/>
              </w:rPr>
            </w:pPr>
            <w:r>
              <w:rPr>
                <w:rFonts w:hint="eastAsia" w:ascii="宋体" w:hAnsi="宋体" w:cs="宋体"/>
                <w:szCs w:val="21"/>
              </w:rPr>
              <w:t>招标文件章节</w:t>
            </w:r>
            <w:r>
              <w:rPr>
                <w:rFonts w:hint="eastAsia" w:ascii="宋体" w:hAnsi="宋体" w:cs="宋体"/>
                <w:bCs/>
                <w:szCs w:val="21"/>
              </w:rPr>
              <w:t>条</w:t>
            </w:r>
            <w:r>
              <w:rPr>
                <w:rFonts w:hint="eastAsia" w:ascii="宋体" w:hAnsi="宋体" w:cs="宋体"/>
                <w:szCs w:val="21"/>
              </w:rPr>
              <w:t>款号</w:t>
            </w:r>
          </w:p>
        </w:tc>
        <w:tc>
          <w:tcPr>
            <w:tcW w:w="1985" w:type="dxa"/>
            <w:tcBorders>
              <w:tl2br w:val="nil"/>
              <w:tr2bl w:val="nil"/>
            </w:tcBorders>
            <w:noWrap/>
            <w:vAlign w:val="center"/>
          </w:tcPr>
          <w:p w14:paraId="1BE6BBED">
            <w:pPr>
              <w:adjustRightInd w:val="0"/>
              <w:snapToGrid w:val="0"/>
              <w:spacing w:before="50" w:line="360" w:lineRule="auto"/>
              <w:ind w:left="-88" w:leftChars="-42"/>
              <w:jc w:val="center"/>
              <w:rPr>
                <w:rFonts w:ascii="宋体" w:hAnsi="宋体" w:cs="宋体"/>
                <w:szCs w:val="21"/>
              </w:rPr>
            </w:pPr>
            <w:r>
              <w:rPr>
                <w:rFonts w:hint="eastAsia" w:ascii="宋体" w:hAnsi="宋体" w:cs="宋体"/>
              </w:rPr>
              <w:t>招标文件要求</w:t>
            </w:r>
          </w:p>
        </w:tc>
        <w:tc>
          <w:tcPr>
            <w:tcW w:w="2082" w:type="dxa"/>
            <w:tcBorders>
              <w:tl2br w:val="nil"/>
              <w:tr2bl w:val="nil"/>
            </w:tcBorders>
            <w:noWrap/>
            <w:vAlign w:val="center"/>
          </w:tcPr>
          <w:p w14:paraId="07CF9813">
            <w:pPr>
              <w:adjustRightInd w:val="0"/>
              <w:snapToGrid w:val="0"/>
              <w:spacing w:before="50" w:line="360" w:lineRule="auto"/>
              <w:jc w:val="center"/>
              <w:rPr>
                <w:rFonts w:ascii="宋体" w:hAnsi="宋体" w:cs="宋体"/>
                <w:szCs w:val="21"/>
              </w:rPr>
            </w:pPr>
            <w:r>
              <w:rPr>
                <w:rFonts w:hint="eastAsia" w:ascii="宋体" w:hAnsi="宋体" w:cs="宋体"/>
              </w:rPr>
              <w:t>投标文件的应答</w:t>
            </w:r>
          </w:p>
        </w:tc>
        <w:tc>
          <w:tcPr>
            <w:tcW w:w="1942" w:type="dxa"/>
            <w:tcBorders>
              <w:tl2br w:val="nil"/>
              <w:tr2bl w:val="nil"/>
            </w:tcBorders>
            <w:noWrap/>
            <w:vAlign w:val="center"/>
          </w:tcPr>
          <w:p w14:paraId="38BC8989">
            <w:pPr>
              <w:adjustRightInd w:val="0"/>
              <w:snapToGrid w:val="0"/>
              <w:spacing w:before="50" w:line="360" w:lineRule="auto"/>
              <w:ind w:left="-88" w:leftChars="-42"/>
              <w:jc w:val="center"/>
              <w:rPr>
                <w:rFonts w:ascii="宋体" w:hAnsi="宋体" w:cs="宋体"/>
                <w:szCs w:val="21"/>
              </w:rPr>
            </w:pPr>
            <w:r>
              <w:rPr>
                <w:rFonts w:hint="eastAsia" w:ascii="宋体" w:hAnsi="宋体" w:cs="宋体"/>
                <w:szCs w:val="21"/>
              </w:rPr>
              <w:t>偏离说明</w:t>
            </w:r>
          </w:p>
        </w:tc>
      </w:tr>
      <w:tr w14:paraId="76054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26C3C615">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6371EF73">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tcPr>
          <w:p w14:paraId="12768F97">
            <w:pPr>
              <w:adjustRightInd w:val="0"/>
              <w:snapToGrid w:val="0"/>
              <w:spacing w:before="50" w:line="360" w:lineRule="auto"/>
              <w:rPr>
                <w:rFonts w:ascii="宋体" w:hAnsi="宋体" w:cs="宋体"/>
              </w:rPr>
            </w:pPr>
          </w:p>
        </w:tc>
        <w:tc>
          <w:tcPr>
            <w:tcW w:w="2082" w:type="dxa"/>
            <w:tcBorders>
              <w:tl2br w:val="nil"/>
              <w:tr2bl w:val="nil"/>
            </w:tcBorders>
            <w:noWrap/>
          </w:tcPr>
          <w:p w14:paraId="78D6DBD8">
            <w:pPr>
              <w:adjustRightInd w:val="0"/>
              <w:snapToGrid w:val="0"/>
              <w:spacing w:before="50" w:line="360" w:lineRule="auto"/>
              <w:rPr>
                <w:rFonts w:ascii="宋体" w:hAnsi="宋体" w:cs="宋体"/>
              </w:rPr>
            </w:pPr>
          </w:p>
        </w:tc>
        <w:tc>
          <w:tcPr>
            <w:tcW w:w="1942" w:type="dxa"/>
            <w:tcBorders>
              <w:tl2br w:val="nil"/>
              <w:tr2bl w:val="nil"/>
            </w:tcBorders>
            <w:noWrap/>
          </w:tcPr>
          <w:p w14:paraId="1A26662C">
            <w:pPr>
              <w:adjustRightInd w:val="0"/>
              <w:snapToGrid w:val="0"/>
              <w:spacing w:before="50" w:line="360" w:lineRule="auto"/>
              <w:ind w:left="-88" w:leftChars="-42"/>
              <w:jc w:val="center"/>
              <w:rPr>
                <w:rFonts w:ascii="宋体" w:hAnsi="宋体" w:cs="宋体"/>
                <w:szCs w:val="21"/>
              </w:rPr>
            </w:pPr>
          </w:p>
        </w:tc>
      </w:tr>
      <w:tr w14:paraId="7E0F7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22776C46">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0F3EF9BD">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40DBA0BF">
            <w:pPr>
              <w:adjustRightInd w:val="0"/>
              <w:snapToGrid w:val="0"/>
              <w:spacing w:before="50" w:line="360" w:lineRule="auto"/>
              <w:ind w:left="-88" w:leftChars="-42"/>
              <w:jc w:val="center"/>
              <w:rPr>
                <w:rFonts w:ascii="宋体" w:hAnsi="宋体" w:cs="宋体"/>
                <w:szCs w:val="21"/>
              </w:rPr>
            </w:pPr>
          </w:p>
        </w:tc>
        <w:tc>
          <w:tcPr>
            <w:tcW w:w="2082" w:type="dxa"/>
            <w:tcBorders>
              <w:tl2br w:val="nil"/>
              <w:tr2bl w:val="nil"/>
            </w:tcBorders>
            <w:noWrap/>
            <w:vAlign w:val="center"/>
          </w:tcPr>
          <w:p w14:paraId="0C0C4753">
            <w:pPr>
              <w:adjustRightInd w:val="0"/>
              <w:snapToGrid w:val="0"/>
              <w:spacing w:before="50" w:line="360" w:lineRule="auto"/>
              <w:ind w:left="-88" w:leftChars="-42"/>
              <w:jc w:val="center"/>
              <w:rPr>
                <w:rFonts w:ascii="宋体" w:hAnsi="宋体" w:cs="宋体"/>
                <w:szCs w:val="21"/>
              </w:rPr>
            </w:pPr>
          </w:p>
        </w:tc>
        <w:tc>
          <w:tcPr>
            <w:tcW w:w="1942" w:type="dxa"/>
            <w:tcBorders>
              <w:tl2br w:val="nil"/>
              <w:tr2bl w:val="nil"/>
            </w:tcBorders>
            <w:noWrap/>
            <w:vAlign w:val="center"/>
          </w:tcPr>
          <w:p w14:paraId="625383AF">
            <w:pPr>
              <w:adjustRightInd w:val="0"/>
              <w:snapToGrid w:val="0"/>
              <w:spacing w:before="50" w:line="360" w:lineRule="auto"/>
              <w:ind w:left="-88" w:leftChars="-42"/>
              <w:jc w:val="center"/>
              <w:rPr>
                <w:rFonts w:ascii="宋体" w:hAnsi="宋体" w:cs="宋体"/>
                <w:szCs w:val="21"/>
              </w:rPr>
            </w:pPr>
          </w:p>
        </w:tc>
      </w:tr>
      <w:tr w14:paraId="7B23A9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6ECD4838">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66C7CDD9">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442FA598">
            <w:pPr>
              <w:adjustRightInd w:val="0"/>
              <w:snapToGrid w:val="0"/>
              <w:spacing w:before="50" w:line="360" w:lineRule="auto"/>
              <w:ind w:left="-88" w:leftChars="-42"/>
              <w:jc w:val="center"/>
              <w:rPr>
                <w:rFonts w:ascii="宋体" w:hAnsi="宋体" w:cs="宋体"/>
                <w:szCs w:val="21"/>
              </w:rPr>
            </w:pPr>
          </w:p>
        </w:tc>
        <w:tc>
          <w:tcPr>
            <w:tcW w:w="2082" w:type="dxa"/>
            <w:tcBorders>
              <w:tl2br w:val="nil"/>
              <w:tr2bl w:val="nil"/>
            </w:tcBorders>
            <w:noWrap/>
            <w:vAlign w:val="center"/>
          </w:tcPr>
          <w:p w14:paraId="429FA7C1">
            <w:pPr>
              <w:adjustRightInd w:val="0"/>
              <w:snapToGrid w:val="0"/>
              <w:spacing w:before="50" w:line="360" w:lineRule="auto"/>
              <w:ind w:left="-88" w:leftChars="-42"/>
              <w:jc w:val="center"/>
              <w:rPr>
                <w:rFonts w:ascii="宋体" w:hAnsi="宋体" w:cs="宋体"/>
                <w:szCs w:val="21"/>
              </w:rPr>
            </w:pPr>
          </w:p>
        </w:tc>
        <w:tc>
          <w:tcPr>
            <w:tcW w:w="1942" w:type="dxa"/>
            <w:tcBorders>
              <w:tl2br w:val="nil"/>
              <w:tr2bl w:val="nil"/>
            </w:tcBorders>
            <w:noWrap/>
            <w:vAlign w:val="center"/>
          </w:tcPr>
          <w:p w14:paraId="4390A4CE">
            <w:pPr>
              <w:adjustRightInd w:val="0"/>
              <w:snapToGrid w:val="0"/>
              <w:spacing w:before="50" w:line="360" w:lineRule="auto"/>
              <w:ind w:left="-88" w:leftChars="-42"/>
              <w:jc w:val="center"/>
              <w:rPr>
                <w:rFonts w:ascii="宋体" w:hAnsi="宋体" w:cs="宋体"/>
                <w:szCs w:val="21"/>
              </w:rPr>
            </w:pPr>
          </w:p>
        </w:tc>
      </w:tr>
      <w:tr w14:paraId="00DA1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3F8E8890">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5A58EA8C">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6C2AABFC">
            <w:pPr>
              <w:adjustRightInd w:val="0"/>
              <w:snapToGrid w:val="0"/>
              <w:spacing w:before="50" w:line="360" w:lineRule="auto"/>
              <w:ind w:left="-88" w:leftChars="-42"/>
              <w:jc w:val="center"/>
              <w:rPr>
                <w:rFonts w:ascii="宋体" w:hAnsi="宋体" w:cs="宋体"/>
                <w:szCs w:val="21"/>
              </w:rPr>
            </w:pPr>
          </w:p>
        </w:tc>
        <w:tc>
          <w:tcPr>
            <w:tcW w:w="2082" w:type="dxa"/>
            <w:tcBorders>
              <w:tl2br w:val="nil"/>
              <w:tr2bl w:val="nil"/>
            </w:tcBorders>
            <w:noWrap/>
            <w:vAlign w:val="center"/>
          </w:tcPr>
          <w:p w14:paraId="50C34203">
            <w:pPr>
              <w:adjustRightInd w:val="0"/>
              <w:snapToGrid w:val="0"/>
              <w:spacing w:before="50" w:line="360" w:lineRule="auto"/>
              <w:ind w:left="-88" w:leftChars="-42"/>
              <w:jc w:val="center"/>
              <w:rPr>
                <w:rFonts w:ascii="宋体" w:hAnsi="宋体" w:cs="宋体"/>
                <w:szCs w:val="21"/>
              </w:rPr>
            </w:pPr>
          </w:p>
        </w:tc>
        <w:tc>
          <w:tcPr>
            <w:tcW w:w="1942" w:type="dxa"/>
            <w:tcBorders>
              <w:tl2br w:val="nil"/>
              <w:tr2bl w:val="nil"/>
            </w:tcBorders>
            <w:noWrap/>
            <w:vAlign w:val="center"/>
          </w:tcPr>
          <w:p w14:paraId="2343B7F1">
            <w:pPr>
              <w:adjustRightInd w:val="0"/>
              <w:snapToGrid w:val="0"/>
              <w:spacing w:before="50" w:line="360" w:lineRule="auto"/>
              <w:ind w:left="-88" w:leftChars="-42"/>
              <w:jc w:val="center"/>
              <w:rPr>
                <w:rFonts w:ascii="宋体" w:hAnsi="宋体" w:cs="宋体"/>
                <w:szCs w:val="21"/>
              </w:rPr>
            </w:pPr>
          </w:p>
        </w:tc>
      </w:tr>
      <w:tr w14:paraId="41028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157264BB">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28833944">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143931F5">
            <w:pPr>
              <w:adjustRightInd w:val="0"/>
              <w:snapToGrid w:val="0"/>
              <w:spacing w:before="50" w:line="360" w:lineRule="auto"/>
              <w:ind w:left="-88" w:leftChars="-42"/>
              <w:jc w:val="center"/>
              <w:rPr>
                <w:rFonts w:ascii="宋体" w:hAnsi="宋体" w:cs="宋体"/>
                <w:szCs w:val="21"/>
              </w:rPr>
            </w:pPr>
          </w:p>
        </w:tc>
        <w:tc>
          <w:tcPr>
            <w:tcW w:w="2082" w:type="dxa"/>
            <w:tcBorders>
              <w:tl2br w:val="nil"/>
              <w:tr2bl w:val="nil"/>
            </w:tcBorders>
            <w:noWrap/>
            <w:vAlign w:val="center"/>
          </w:tcPr>
          <w:p w14:paraId="153F89AA">
            <w:pPr>
              <w:adjustRightInd w:val="0"/>
              <w:snapToGrid w:val="0"/>
              <w:spacing w:before="50" w:line="360" w:lineRule="auto"/>
              <w:ind w:left="-88" w:leftChars="-42"/>
              <w:jc w:val="center"/>
              <w:rPr>
                <w:rFonts w:ascii="宋体" w:hAnsi="宋体" w:cs="宋体"/>
                <w:szCs w:val="21"/>
              </w:rPr>
            </w:pPr>
          </w:p>
        </w:tc>
        <w:tc>
          <w:tcPr>
            <w:tcW w:w="1942" w:type="dxa"/>
            <w:tcBorders>
              <w:tl2br w:val="nil"/>
              <w:tr2bl w:val="nil"/>
            </w:tcBorders>
            <w:noWrap/>
            <w:vAlign w:val="center"/>
          </w:tcPr>
          <w:p w14:paraId="2B8A9376">
            <w:pPr>
              <w:adjustRightInd w:val="0"/>
              <w:snapToGrid w:val="0"/>
              <w:spacing w:before="50" w:line="360" w:lineRule="auto"/>
              <w:ind w:left="-88" w:leftChars="-42"/>
              <w:jc w:val="center"/>
              <w:rPr>
                <w:rFonts w:ascii="宋体" w:hAnsi="宋体" w:cs="宋体"/>
                <w:szCs w:val="21"/>
              </w:rPr>
            </w:pPr>
          </w:p>
        </w:tc>
      </w:tr>
      <w:tr w14:paraId="78916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17D2F5EF">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7ACD9B22">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0B210802">
            <w:pPr>
              <w:adjustRightInd w:val="0"/>
              <w:snapToGrid w:val="0"/>
              <w:spacing w:before="50" w:line="360" w:lineRule="auto"/>
              <w:ind w:left="-88" w:leftChars="-42"/>
              <w:jc w:val="center"/>
              <w:rPr>
                <w:rFonts w:ascii="宋体" w:hAnsi="宋体" w:cs="宋体"/>
                <w:szCs w:val="21"/>
              </w:rPr>
            </w:pPr>
          </w:p>
        </w:tc>
        <w:tc>
          <w:tcPr>
            <w:tcW w:w="2082" w:type="dxa"/>
            <w:tcBorders>
              <w:tl2br w:val="nil"/>
              <w:tr2bl w:val="nil"/>
            </w:tcBorders>
            <w:noWrap/>
            <w:vAlign w:val="center"/>
          </w:tcPr>
          <w:p w14:paraId="3EF047C1">
            <w:pPr>
              <w:adjustRightInd w:val="0"/>
              <w:snapToGrid w:val="0"/>
              <w:spacing w:before="50" w:line="360" w:lineRule="auto"/>
              <w:ind w:left="-88" w:leftChars="-42"/>
              <w:jc w:val="center"/>
              <w:rPr>
                <w:rFonts w:ascii="宋体" w:hAnsi="宋体" w:cs="宋体"/>
                <w:szCs w:val="21"/>
              </w:rPr>
            </w:pPr>
          </w:p>
        </w:tc>
        <w:tc>
          <w:tcPr>
            <w:tcW w:w="1942" w:type="dxa"/>
            <w:tcBorders>
              <w:tl2br w:val="nil"/>
              <w:tr2bl w:val="nil"/>
            </w:tcBorders>
            <w:noWrap/>
            <w:vAlign w:val="center"/>
          </w:tcPr>
          <w:p w14:paraId="716184FB">
            <w:pPr>
              <w:adjustRightInd w:val="0"/>
              <w:snapToGrid w:val="0"/>
              <w:spacing w:before="50" w:line="360" w:lineRule="auto"/>
              <w:ind w:left="-88" w:leftChars="-42"/>
              <w:jc w:val="center"/>
              <w:rPr>
                <w:rFonts w:ascii="宋体" w:hAnsi="宋体" w:cs="宋体"/>
                <w:szCs w:val="21"/>
              </w:rPr>
            </w:pPr>
          </w:p>
        </w:tc>
      </w:tr>
      <w:tr w14:paraId="3F330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14:paraId="2D158FF6">
            <w:pPr>
              <w:adjustRightInd w:val="0"/>
              <w:snapToGrid w:val="0"/>
              <w:spacing w:before="50" w:line="360" w:lineRule="auto"/>
              <w:ind w:left="-88" w:leftChars="-42"/>
              <w:jc w:val="center"/>
              <w:rPr>
                <w:rFonts w:ascii="宋体" w:hAnsi="宋体" w:cs="宋体"/>
                <w:szCs w:val="21"/>
              </w:rPr>
            </w:pPr>
          </w:p>
        </w:tc>
        <w:tc>
          <w:tcPr>
            <w:tcW w:w="2410" w:type="dxa"/>
            <w:tcBorders>
              <w:tl2br w:val="nil"/>
              <w:tr2bl w:val="nil"/>
            </w:tcBorders>
            <w:noWrap/>
            <w:vAlign w:val="center"/>
          </w:tcPr>
          <w:p w14:paraId="4C36E4EB">
            <w:pPr>
              <w:adjustRightInd w:val="0"/>
              <w:snapToGrid w:val="0"/>
              <w:spacing w:before="50" w:line="360" w:lineRule="auto"/>
              <w:ind w:left="-88" w:leftChars="-42"/>
              <w:jc w:val="center"/>
              <w:rPr>
                <w:rFonts w:ascii="宋体" w:hAnsi="宋体" w:cs="宋体"/>
                <w:szCs w:val="21"/>
              </w:rPr>
            </w:pPr>
          </w:p>
        </w:tc>
        <w:tc>
          <w:tcPr>
            <w:tcW w:w="1985" w:type="dxa"/>
            <w:tcBorders>
              <w:tl2br w:val="nil"/>
              <w:tr2bl w:val="nil"/>
            </w:tcBorders>
            <w:noWrap/>
            <w:vAlign w:val="center"/>
          </w:tcPr>
          <w:p w14:paraId="715FC9A3">
            <w:pPr>
              <w:adjustRightInd w:val="0"/>
              <w:snapToGrid w:val="0"/>
              <w:spacing w:before="50" w:line="360" w:lineRule="auto"/>
              <w:ind w:left="-88" w:leftChars="-42"/>
              <w:jc w:val="center"/>
              <w:rPr>
                <w:rFonts w:ascii="宋体" w:hAnsi="宋体" w:cs="宋体"/>
                <w:szCs w:val="21"/>
              </w:rPr>
            </w:pPr>
          </w:p>
        </w:tc>
        <w:tc>
          <w:tcPr>
            <w:tcW w:w="4024" w:type="dxa"/>
            <w:gridSpan w:val="2"/>
            <w:tcBorders>
              <w:tl2br w:val="nil"/>
              <w:tr2bl w:val="nil"/>
            </w:tcBorders>
            <w:noWrap/>
            <w:vAlign w:val="center"/>
          </w:tcPr>
          <w:p w14:paraId="18B87A64">
            <w:pPr>
              <w:adjustRightInd w:val="0"/>
              <w:snapToGrid w:val="0"/>
              <w:spacing w:before="50" w:line="360" w:lineRule="auto"/>
              <w:ind w:firstLine="422" w:firstLineChars="200"/>
              <w:jc w:val="left"/>
              <w:rPr>
                <w:rFonts w:ascii="宋体" w:hAnsi="宋体" w:cs="宋体"/>
                <w:b/>
                <w:szCs w:val="21"/>
              </w:rPr>
            </w:pPr>
            <w:r>
              <w:rPr>
                <w:rFonts w:hint="eastAsia" w:ascii="宋体" w:hAnsi="宋体" w:cs="宋体"/>
                <w:b/>
                <w:szCs w:val="21"/>
              </w:rPr>
              <w:t>投标人保证：除本合同条款偏离表列出的偏离外，我单位对招标文件的其他商务、合同条款完全响应，无偏离。</w:t>
            </w:r>
          </w:p>
        </w:tc>
      </w:tr>
    </w:tbl>
    <w:p w14:paraId="67742CF3">
      <w:pPr>
        <w:adjustRightInd w:val="0"/>
        <w:snapToGrid w:val="0"/>
        <w:spacing w:before="50" w:line="360" w:lineRule="auto"/>
        <w:ind w:left="-88" w:leftChars="-42"/>
        <w:rPr>
          <w:rFonts w:ascii="宋体" w:hAnsi="宋体" w:cs="宋体"/>
          <w:szCs w:val="21"/>
        </w:rPr>
      </w:pPr>
      <w:r>
        <w:rPr>
          <w:rFonts w:hint="eastAsia" w:ascii="宋体" w:hAnsi="宋体" w:cs="宋体"/>
          <w:b/>
          <w:szCs w:val="21"/>
        </w:rPr>
        <w:t>备注</w:t>
      </w:r>
      <w:r>
        <w:rPr>
          <w:rFonts w:hint="eastAsia" w:ascii="宋体" w:hAnsi="宋体" w:cs="宋体"/>
          <w:szCs w:val="21"/>
        </w:rPr>
        <w:t>：（1）投标人应根据招标文件第六章“政府采购合同”填写本表；</w:t>
      </w:r>
    </w:p>
    <w:p w14:paraId="7784F256">
      <w:pPr>
        <w:adjustRightInd w:val="0"/>
        <w:snapToGrid w:val="0"/>
        <w:spacing w:before="50" w:line="360" w:lineRule="auto"/>
        <w:ind w:left="-88" w:leftChars="-42" w:firstLine="420" w:firstLineChars="200"/>
        <w:rPr>
          <w:rFonts w:ascii="宋体" w:hAnsi="宋体" w:cs="宋体"/>
          <w:b/>
          <w:szCs w:val="21"/>
        </w:rPr>
      </w:pPr>
      <w:r>
        <w:rPr>
          <w:rFonts w:hint="eastAsia" w:ascii="宋体" w:hAnsi="宋体" w:cs="宋体"/>
          <w:szCs w:val="21"/>
        </w:rPr>
        <w:t>（2）</w:t>
      </w:r>
      <w:r>
        <w:rPr>
          <w:rFonts w:hint="eastAsia" w:ascii="宋体" w:hAnsi="宋体" w:cs="宋体"/>
          <w:b/>
          <w:szCs w:val="21"/>
        </w:rPr>
        <w:t>投标人如果对招标文件第六章“政府采购合同”的响应有偏离，应将偏离条款逐条如实应答，并作出说明；</w:t>
      </w:r>
    </w:p>
    <w:p w14:paraId="11D294A5">
      <w:pPr>
        <w:adjustRightInd w:val="0"/>
        <w:snapToGrid w:val="0"/>
        <w:spacing w:before="50" w:line="360" w:lineRule="auto"/>
        <w:ind w:left="-88" w:leftChars="-42" w:firstLine="420" w:firstLineChars="200"/>
        <w:rPr>
          <w:rFonts w:ascii="宋体" w:hAnsi="宋体" w:cs="宋体"/>
          <w:szCs w:val="21"/>
        </w:rPr>
      </w:pPr>
      <w:r>
        <w:rPr>
          <w:rFonts w:hint="eastAsia" w:ascii="宋体" w:hAnsi="宋体" w:cs="宋体"/>
          <w:szCs w:val="21"/>
        </w:rPr>
        <w:t>（3）如不提供此表，则视为投标人不满足招标文件第六章的所有条款要求，其</w:t>
      </w:r>
      <w:r>
        <w:rPr>
          <w:rFonts w:hint="eastAsia" w:ascii="宋体" w:hAnsi="宋体" w:cs="宋体"/>
          <w:b/>
          <w:szCs w:val="21"/>
        </w:rPr>
        <w:t>投标无效</w:t>
      </w:r>
      <w:r>
        <w:rPr>
          <w:rFonts w:hint="eastAsia" w:ascii="宋体" w:hAnsi="宋体" w:cs="宋体"/>
          <w:szCs w:val="21"/>
        </w:rPr>
        <w:t>。</w:t>
      </w:r>
    </w:p>
    <w:p w14:paraId="5B312EA2">
      <w:pPr>
        <w:adjustRightInd w:val="0"/>
        <w:snapToGrid w:val="0"/>
        <w:spacing w:before="50" w:line="360" w:lineRule="auto"/>
        <w:ind w:left="-88" w:leftChars="-42" w:firstLine="420" w:firstLineChars="200"/>
        <w:rPr>
          <w:rFonts w:ascii="宋体" w:hAnsi="宋体" w:cs="宋体"/>
          <w:szCs w:val="21"/>
        </w:rPr>
      </w:pPr>
      <w:r>
        <w:rPr>
          <w:rFonts w:hint="eastAsia" w:ascii="宋体" w:hAnsi="宋体" w:cs="宋体"/>
          <w:szCs w:val="21"/>
        </w:rPr>
        <w:t>（4）在采购人与成交投标人签订合同时，如成交投标人未在投标文件“合同条款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14:paraId="7AC911E8">
      <w:pPr>
        <w:adjustRightInd w:val="0"/>
        <w:snapToGrid w:val="0"/>
        <w:spacing w:before="50" w:line="360" w:lineRule="auto"/>
        <w:rPr>
          <w:rFonts w:ascii="宋体" w:hAnsi="宋体" w:cs="宋体"/>
          <w:szCs w:val="21"/>
        </w:rPr>
      </w:pPr>
    </w:p>
    <w:p w14:paraId="408C7143">
      <w:pPr>
        <w:adjustRightInd w:val="0"/>
        <w:snapToGrid w:val="0"/>
        <w:spacing w:before="50" w:line="360" w:lineRule="auto"/>
        <w:rPr>
          <w:rFonts w:ascii="宋体" w:hAnsi="宋体" w:cs="宋体"/>
          <w:szCs w:val="21"/>
        </w:rPr>
      </w:pPr>
    </w:p>
    <w:p w14:paraId="2646A320">
      <w:pPr>
        <w:adjustRightInd w:val="0"/>
        <w:snapToGrid w:val="0"/>
        <w:spacing w:before="50" w:line="360" w:lineRule="auto"/>
        <w:rPr>
          <w:rFonts w:ascii="宋体" w:hAnsi="宋体" w:cs="宋体"/>
          <w:szCs w:val="21"/>
        </w:rPr>
      </w:pPr>
      <w:r>
        <w:rPr>
          <w:rFonts w:hint="eastAsia" w:ascii="宋体" w:hAnsi="宋体" w:cs="宋体"/>
          <w:szCs w:val="21"/>
        </w:rPr>
        <w:t>投标人名称（盖单位章）：</w:t>
      </w:r>
    </w:p>
    <w:p w14:paraId="5F6B9586">
      <w:pPr>
        <w:adjustRightInd w:val="0"/>
        <w:snapToGrid w:val="0"/>
        <w:spacing w:before="50" w:line="360" w:lineRule="auto"/>
        <w:rPr>
          <w:rFonts w:ascii="宋体" w:hAnsi="宋体" w:cs="宋体"/>
          <w:szCs w:val="21"/>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或其授权的代理人（签字或印章）：</w:t>
      </w:r>
    </w:p>
    <w:p w14:paraId="12836F79">
      <w:pPr>
        <w:adjustRightInd w:val="0"/>
        <w:snapToGrid w:val="0"/>
        <w:spacing w:before="161" w:beforeLines="50" w:line="360" w:lineRule="auto"/>
        <w:rPr>
          <w:rFonts w:ascii="宋体" w:hAnsi="宋体" w:cs="宋体"/>
        </w:rPr>
      </w:pPr>
      <w:r>
        <w:rPr>
          <w:rFonts w:hint="eastAsia" w:ascii="宋体" w:hAnsi="宋体"/>
          <w:szCs w:val="22"/>
          <w:lang w:bidi="ar"/>
        </w:rPr>
        <w:t>日期：   年   月   日</w:t>
      </w:r>
    </w:p>
    <w:p w14:paraId="71FBC03D">
      <w:pPr>
        <w:adjustRightInd w:val="0"/>
        <w:snapToGrid w:val="0"/>
        <w:spacing w:before="161" w:beforeLines="50" w:line="360" w:lineRule="auto"/>
        <w:ind w:firstLine="420" w:firstLineChars="200"/>
        <w:rPr>
          <w:rFonts w:ascii="宋体" w:hAnsi="宋体" w:cs="宋体"/>
        </w:rPr>
      </w:pPr>
    </w:p>
    <w:p w14:paraId="291EE5CF">
      <w:pPr>
        <w:adjustRightInd w:val="0"/>
        <w:snapToGrid w:val="0"/>
        <w:spacing w:before="161" w:beforeLines="50" w:line="360" w:lineRule="auto"/>
        <w:ind w:firstLine="420" w:firstLineChars="200"/>
        <w:rPr>
          <w:rFonts w:ascii="宋体" w:hAnsi="宋体" w:cs="宋体"/>
        </w:rPr>
      </w:pPr>
    </w:p>
    <w:p w14:paraId="15861640">
      <w:pPr>
        <w:adjustRightInd w:val="0"/>
        <w:snapToGrid w:val="0"/>
        <w:spacing w:line="360" w:lineRule="auto"/>
        <w:jc w:val="center"/>
        <w:outlineLvl w:val="2"/>
        <w:rPr>
          <w:rFonts w:ascii="宋体" w:hAnsi="宋体" w:cs="宋体"/>
          <w:b/>
          <w:bCs/>
          <w:sz w:val="32"/>
          <w:szCs w:val="21"/>
        </w:rPr>
      </w:pPr>
      <w:r>
        <w:rPr>
          <w:rFonts w:hint="eastAsia" w:ascii="宋体" w:hAnsi="宋体" w:cs="宋体"/>
          <w:b/>
          <w:bCs/>
          <w:sz w:val="32"/>
          <w:szCs w:val="21"/>
        </w:rPr>
        <w:t>十</w:t>
      </w:r>
      <w:r>
        <w:rPr>
          <w:rFonts w:hint="eastAsia" w:ascii="宋体" w:hAnsi="宋体" w:cs="宋体"/>
          <w:b/>
          <w:bCs/>
          <w:sz w:val="32"/>
          <w:szCs w:val="21"/>
          <w:lang w:eastAsia="zh-CN"/>
        </w:rPr>
        <w:t>二</w:t>
      </w:r>
      <w:r>
        <w:rPr>
          <w:rFonts w:hint="eastAsia" w:ascii="宋体" w:hAnsi="宋体" w:cs="宋体"/>
          <w:b/>
          <w:bCs/>
          <w:sz w:val="32"/>
          <w:szCs w:val="21"/>
        </w:rPr>
        <w:t>、投标货物符合招标文件规定的证明文件</w:t>
      </w:r>
    </w:p>
    <w:p w14:paraId="1C759585">
      <w:pPr>
        <w:spacing w:before="156" w:line="360" w:lineRule="auto"/>
        <w:rPr>
          <w:szCs w:val="21"/>
        </w:rPr>
      </w:pPr>
      <w:r>
        <w:rPr>
          <w:rFonts w:ascii="宋体" w:hAnsi="宋体" w:cs="宋体"/>
          <w:b/>
          <w:bCs/>
          <w:szCs w:val="21"/>
        </w:rPr>
        <w:t>备注</w:t>
      </w:r>
      <w:r>
        <w:rPr>
          <w:rFonts w:ascii="宋体" w:hAnsi="宋体" w:cs="宋体"/>
          <w:szCs w:val="21"/>
        </w:rPr>
        <w:t>：</w:t>
      </w:r>
      <w:r>
        <w:rPr>
          <w:rFonts w:hint="eastAsia" w:ascii="宋体" w:hAnsi="宋体" w:cs="宋体"/>
          <w:szCs w:val="21"/>
        </w:rPr>
        <w:t>1、</w:t>
      </w:r>
      <w:r>
        <w:rPr>
          <w:rFonts w:ascii="宋体" w:hAnsi="宋体" w:cs="宋体"/>
          <w:szCs w:val="21"/>
        </w:rPr>
        <w:t>提供</w:t>
      </w:r>
      <w:r>
        <w:rPr>
          <w:rFonts w:hint="eastAsia" w:ascii="宋体" w:hAnsi="宋体" w:cs="宋体"/>
          <w:szCs w:val="21"/>
        </w:rPr>
        <w:t>招标文件</w:t>
      </w:r>
      <w:r>
        <w:rPr>
          <w:rFonts w:ascii="宋体" w:hAnsi="宋体" w:cs="宋体"/>
          <w:szCs w:val="21"/>
        </w:rPr>
        <w:t>“技术规格、参数及要求”规定（包括投标货物的强制性认证、注册等）的证明材料复印件</w:t>
      </w:r>
      <w:r>
        <w:rPr>
          <w:szCs w:val="21"/>
        </w:rPr>
        <w:t xml:space="preserve"> </w:t>
      </w:r>
      <w:r>
        <w:rPr>
          <w:rFonts w:hint="eastAsia"/>
          <w:szCs w:val="21"/>
        </w:rPr>
        <w:t>；</w:t>
      </w:r>
    </w:p>
    <w:p w14:paraId="03796043">
      <w:pPr>
        <w:spacing w:line="360" w:lineRule="auto"/>
        <w:ind w:firstLine="420" w:firstLineChars="200"/>
        <w:rPr>
          <w:rFonts w:ascii="宋体" w:hAnsi="宋体" w:cs="宋体"/>
        </w:rPr>
      </w:pPr>
      <w:r>
        <w:rPr>
          <w:rFonts w:hint="eastAsia" w:ascii="宋体" w:hAnsi="宋体" w:cs="宋体"/>
        </w:rPr>
        <w:t>2、本项目采购产品中如属于《节能产品政府采购品目清单》中以“</w:t>
      </w:r>
      <w:r>
        <w:rPr>
          <w:rFonts w:hint="eastAsia" w:ascii="宋体" w:hAnsi="宋体" w:cs="宋体"/>
          <w:kern w:val="0"/>
        </w:rPr>
        <w:sym w:font="Wingdings" w:char="F0AB"/>
      </w:r>
      <w:r>
        <w:rPr>
          <w:rFonts w:hint="eastAsia" w:ascii="宋体" w:hAnsi="宋体" w:cs="宋体"/>
        </w:rPr>
        <w:t>”标注的政府强制采购产品，投标人所投产品应当取得国家确定的认证机构出具的、处于有效期之内的节能产品认证证书，并在投标文件中提供证书复印件，否则视为无效投标。</w:t>
      </w:r>
    </w:p>
    <w:p w14:paraId="09756AB6">
      <w:pPr>
        <w:spacing w:before="156" w:line="360" w:lineRule="auto"/>
        <w:ind w:firstLine="420" w:firstLineChars="200"/>
      </w:pPr>
      <w:r>
        <w:rPr>
          <w:rFonts w:hint="eastAsia" w:ascii="宋体" w:hAnsi="宋体" w:cs="宋体"/>
        </w:rPr>
        <w:t>3、节能产品认证证书内容注明“详见证书附件”的，应提供其附件，以证明认证证书与响应文件一致。否则视为无效响应。</w:t>
      </w:r>
      <w:r>
        <w:rPr>
          <w:szCs w:val="21"/>
        </w:rPr>
        <w:t xml:space="preserve"> </w:t>
      </w:r>
    </w:p>
    <w:bookmarkEnd w:id="133"/>
    <w:p w14:paraId="3047A748">
      <w:pPr>
        <w:adjustRightInd w:val="0"/>
        <w:snapToGrid w:val="0"/>
        <w:spacing w:line="360" w:lineRule="auto"/>
        <w:jc w:val="center"/>
        <w:outlineLvl w:val="2"/>
        <w:rPr>
          <w:rFonts w:ascii="宋体" w:hAnsi="宋体" w:cs="宋体"/>
          <w:b/>
          <w:bCs/>
          <w:sz w:val="32"/>
          <w:szCs w:val="21"/>
        </w:rPr>
      </w:pPr>
    </w:p>
    <w:p w14:paraId="13BBE6F2"/>
    <w:p w14:paraId="04618F41"/>
    <w:p w14:paraId="070172EA"/>
    <w:p w14:paraId="342B31BA">
      <w:pPr>
        <w:adjustRightInd w:val="0"/>
        <w:snapToGrid w:val="0"/>
        <w:spacing w:line="360" w:lineRule="auto"/>
        <w:jc w:val="center"/>
        <w:outlineLvl w:val="2"/>
        <w:rPr>
          <w:rFonts w:ascii="宋体" w:hAnsi="宋体" w:cs="宋体"/>
          <w:b/>
          <w:bCs/>
          <w:sz w:val="32"/>
          <w:szCs w:val="21"/>
        </w:rPr>
      </w:pPr>
      <w:r>
        <w:rPr>
          <w:rFonts w:hint="eastAsia" w:ascii="宋体" w:hAnsi="宋体" w:cs="宋体"/>
          <w:b/>
          <w:bCs/>
          <w:sz w:val="32"/>
          <w:szCs w:val="21"/>
        </w:rPr>
        <w:t>十</w:t>
      </w:r>
      <w:r>
        <w:rPr>
          <w:rFonts w:hint="eastAsia" w:ascii="宋体" w:hAnsi="宋体" w:cs="宋体"/>
          <w:b/>
          <w:bCs/>
          <w:sz w:val="32"/>
          <w:szCs w:val="21"/>
          <w:lang w:eastAsia="zh-CN"/>
        </w:rPr>
        <w:t>三</w:t>
      </w:r>
      <w:r>
        <w:rPr>
          <w:rFonts w:hint="eastAsia" w:ascii="宋体" w:hAnsi="宋体" w:cs="宋体"/>
          <w:b/>
          <w:bCs/>
          <w:sz w:val="32"/>
          <w:szCs w:val="21"/>
        </w:rPr>
        <w:t>、</w:t>
      </w:r>
      <w:r>
        <w:rPr>
          <w:rFonts w:hint="eastAsia" w:ascii="宋体" w:hAnsi="宋体" w:cs="宋体"/>
          <w:b/>
          <w:bCs/>
          <w:sz w:val="32"/>
          <w:szCs w:val="21"/>
          <w:lang w:eastAsia="zh-CN"/>
        </w:rPr>
        <w:t>设计</w:t>
      </w:r>
      <w:r>
        <w:rPr>
          <w:rFonts w:hint="eastAsia" w:ascii="宋体" w:hAnsi="宋体" w:cs="宋体"/>
          <w:b/>
          <w:bCs/>
          <w:sz w:val="32"/>
          <w:szCs w:val="21"/>
        </w:rPr>
        <w:t>方案</w:t>
      </w:r>
    </w:p>
    <w:p w14:paraId="02CE5ED4">
      <w:pPr>
        <w:adjustRightInd w:val="0"/>
        <w:snapToGrid w:val="0"/>
        <w:spacing w:before="161" w:beforeLines="50" w:line="360" w:lineRule="auto"/>
        <w:rPr>
          <w:rFonts w:ascii="宋体" w:hAnsi="宋体" w:cs="宋体"/>
        </w:rPr>
      </w:pPr>
      <w:r>
        <w:rPr>
          <w:rFonts w:hint="eastAsia" w:ascii="宋体" w:hAnsi="宋体" w:cs="宋体"/>
        </w:rPr>
        <w:t>备注：提供本项目招标文件采购需求及评标方法自行编辑。</w:t>
      </w:r>
    </w:p>
    <w:p w14:paraId="0CC14E56"/>
    <w:p w14:paraId="2E7A2FC8">
      <w:pPr>
        <w:pStyle w:val="35"/>
      </w:pPr>
    </w:p>
    <w:p w14:paraId="5B17D9DC">
      <w:pPr>
        <w:pStyle w:val="35"/>
      </w:pPr>
    </w:p>
    <w:p w14:paraId="71F6D7F6">
      <w:pPr>
        <w:adjustRightInd w:val="0"/>
        <w:snapToGrid w:val="0"/>
        <w:spacing w:line="360" w:lineRule="auto"/>
        <w:jc w:val="center"/>
        <w:outlineLvl w:val="2"/>
        <w:rPr>
          <w:rFonts w:ascii="宋体" w:hAnsi="宋体" w:cs="宋体"/>
          <w:b/>
          <w:bCs/>
          <w:sz w:val="32"/>
          <w:szCs w:val="21"/>
        </w:rPr>
      </w:pPr>
      <w:r>
        <w:rPr>
          <w:rFonts w:hint="eastAsia" w:ascii="宋体" w:hAnsi="宋体" w:cs="宋体"/>
          <w:b/>
          <w:bCs/>
          <w:sz w:val="32"/>
          <w:szCs w:val="21"/>
        </w:rPr>
        <w:t>十</w:t>
      </w:r>
      <w:r>
        <w:rPr>
          <w:rFonts w:hint="eastAsia" w:ascii="宋体" w:hAnsi="宋体" w:cs="宋体"/>
          <w:b/>
          <w:bCs/>
          <w:sz w:val="32"/>
          <w:szCs w:val="21"/>
          <w:lang w:eastAsia="zh-CN"/>
        </w:rPr>
        <w:t>四</w:t>
      </w:r>
      <w:r>
        <w:rPr>
          <w:rFonts w:hint="eastAsia" w:ascii="宋体" w:hAnsi="宋体" w:cs="宋体"/>
          <w:b/>
          <w:bCs/>
          <w:sz w:val="32"/>
          <w:szCs w:val="21"/>
        </w:rPr>
        <w:t>、</w:t>
      </w:r>
      <w:r>
        <w:rPr>
          <w:rFonts w:hint="eastAsia" w:ascii="宋体" w:hAnsi="宋体" w:cs="宋体"/>
          <w:b/>
          <w:bCs/>
          <w:sz w:val="32"/>
          <w:szCs w:val="21"/>
          <w:lang w:eastAsia="zh-CN"/>
        </w:rPr>
        <w:t>实施</w:t>
      </w:r>
      <w:r>
        <w:rPr>
          <w:rFonts w:hint="eastAsia" w:ascii="宋体" w:hAnsi="宋体" w:cs="宋体"/>
          <w:b/>
          <w:bCs/>
          <w:sz w:val="32"/>
          <w:szCs w:val="21"/>
        </w:rPr>
        <w:t>方案</w:t>
      </w:r>
    </w:p>
    <w:p w14:paraId="1E9A0A7F">
      <w:pPr>
        <w:adjustRightInd w:val="0"/>
        <w:snapToGrid w:val="0"/>
        <w:spacing w:before="161" w:beforeLines="50" w:line="360" w:lineRule="auto"/>
        <w:rPr>
          <w:rFonts w:ascii="宋体" w:hAnsi="宋体" w:cs="宋体"/>
        </w:rPr>
      </w:pPr>
      <w:r>
        <w:rPr>
          <w:rFonts w:hint="eastAsia" w:ascii="宋体" w:hAnsi="宋体" w:cs="宋体"/>
        </w:rPr>
        <w:t>备注：提供本项目招标文件采购需求及评标方法自行编辑。</w:t>
      </w:r>
    </w:p>
    <w:p w14:paraId="3591E8DC">
      <w:pPr>
        <w:pStyle w:val="63"/>
        <w:rPr>
          <w:rFonts w:cs="宋体"/>
        </w:rPr>
      </w:pPr>
    </w:p>
    <w:p w14:paraId="562FC966"/>
    <w:p w14:paraId="6A8EB917">
      <w:pPr>
        <w:pStyle w:val="13"/>
      </w:pPr>
    </w:p>
    <w:p w14:paraId="1657E40E">
      <w:pPr>
        <w:pStyle w:val="61"/>
        <w:spacing w:before="161" w:after="161"/>
      </w:pPr>
    </w:p>
    <w:p w14:paraId="0AFEBE53">
      <w:pPr>
        <w:adjustRightInd w:val="0"/>
        <w:snapToGrid w:val="0"/>
        <w:spacing w:line="360" w:lineRule="auto"/>
        <w:jc w:val="center"/>
        <w:outlineLvl w:val="2"/>
        <w:rPr>
          <w:rFonts w:ascii="宋体" w:hAnsi="宋体" w:cs="宋体"/>
          <w:b/>
          <w:bCs/>
          <w:sz w:val="32"/>
          <w:szCs w:val="21"/>
        </w:rPr>
      </w:pPr>
    </w:p>
    <w:p w14:paraId="7A954BE4">
      <w:pPr>
        <w:rPr>
          <w:rFonts w:ascii="宋体" w:hAnsi="宋体" w:cs="宋体"/>
          <w:b/>
          <w:bCs/>
          <w:sz w:val="32"/>
          <w:szCs w:val="21"/>
          <w:highlight w:val="yellow"/>
        </w:rPr>
      </w:pPr>
    </w:p>
    <w:sectPr>
      <w:footerReference r:id="rId13" w:type="default"/>
      <w:pgSz w:w="11905" w:h="16838"/>
      <w:pgMar w:top="1440" w:right="1587" w:bottom="1440" w:left="1587" w:header="1020" w:footer="567"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E6EE7">
    <w:pPr>
      <w:pStyle w:val="27"/>
      <w:pBdr>
        <w:top w:val="single" w:color="auto" w:sz="4" w:space="1"/>
      </w:pBdr>
      <w:ind w:right="360" w:firstLine="540" w:firstLineChars="300"/>
    </w:pPr>
    <w:r>
      <w:rPr>
        <w:rFonts w:hint="eastAsia"/>
      </w:rPr>
      <w:t xml:space="preserve">湖南浦建招标有限公司                                                              </w:t>
    </w:r>
  </w:p>
  <w:p w14:paraId="4F57FB2B">
    <w:pPr>
      <w:pStyle w:val="27"/>
      <w:tabs>
        <w:tab w:val="left" w:pos="7035"/>
        <w:tab w:val="clear" w:pos="8306"/>
      </w:tabs>
      <w:ind w:firstLine="540" w:firstLineChars="300"/>
    </w:pPr>
    <w:r>
      <w:rPr>
        <w:rFonts w:hint="eastAsia"/>
      </w:rPr>
      <w:drawing>
        <wp:anchor distT="0" distB="0" distL="114300" distR="114300" simplePos="0" relativeHeight="251662336" behindDoc="0" locked="0" layoutInCell="1" allowOverlap="1">
          <wp:simplePos x="0" y="0"/>
          <wp:positionH relativeFrom="column">
            <wp:posOffset>0</wp:posOffset>
          </wp:positionH>
          <wp:positionV relativeFrom="paragraph">
            <wp:posOffset>-179070</wp:posOffset>
          </wp:positionV>
          <wp:extent cx="330835" cy="247015"/>
          <wp:effectExtent l="0" t="0" r="12065" b="635"/>
          <wp:wrapNone/>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
                  <a:stretch>
                    <a:fillRect/>
                  </a:stretch>
                </pic:blipFill>
                <pic:spPr>
                  <a:xfrm>
                    <a:off x="0" y="0"/>
                    <a:ext cx="330835" cy="247015"/>
                  </a:xfrm>
                  <a:prstGeom prst="rect">
                    <a:avLst/>
                  </a:prstGeom>
                  <a:noFill/>
                  <a:ln>
                    <a:noFill/>
                  </a:ln>
                </pic:spPr>
              </pic:pic>
            </a:graphicData>
          </a:graphic>
        </wp:anchor>
      </w:drawing>
    </w:r>
    <w:r>
      <w:rPr>
        <w:rFonts w:hint="eastAsia"/>
      </w:rPr>
      <w:t>地   址：湖南省株洲市天元区庐山路明峰银座1栋17楼1705-1718室</w:t>
    </w:r>
    <w:r>
      <w:tab/>
    </w:r>
  </w:p>
  <w:p w14:paraId="30A50086">
    <w:pPr>
      <w:pStyle w:val="27"/>
      <w:ind w:firstLine="540" w:firstLineChars="300"/>
    </w:pPr>
    <w:r>
      <w:rPr>
        <w:rFonts w:hint="eastAsia"/>
      </w:rPr>
      <w:t>联系电话：0731—28522277      传   真：0731—28670666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B6CD6">
    <w:pPr>
      <w:pBdr>
        <w:bottom w:val="single" w:color="auto" w:sz="4" w:space="1"/>
      </w:pBdr>
      <w:rPr>
        <w:rFonts w:ascii="宋体" w:hAnsi="宋体" w:cs="宋体"/>
      </w:rPr>
    </w:pPr>
  </w:p>
  <w:p w14:paraId="25D8CE1E">
    <w:pPr>
      <w:pStyle w:val="27"/>
      <w:tabs>
        <w:tab w:val="clear" w:pos="4153"/>
      </w:tabs>
      <w:ind w:left="180" w:right="359" w:rightChars="171" w:hanging="180" w:hangingChars="100"/>
      <w:jc w:val="center"/>
      <w:rPr>
        <w:rFonts w:eastAsia="楷体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B4E3">
    <w:pPr>
      <w:pBdr>
        <w:bottom w:val="single" w:color="auto" w:sz="4" w:space="1"/>
      </w:pBdr>
      <w:rPr>
        <w:rFonts w:ascii="宋体" w:hAnsi="宋体" w:cs="宋体"/>
      </w:rPr>
    </w:pPr>
  </w:p>
  <w:p w14:paraId="2E08B295">
    <w:pPr>
      <w:pStyle w:val="27"/>
      <w:tabs>
        <w:tab w:val="clear" w:pos="4153"/>
      </w:tabs>
      <w:ind w:left="180" w:right="359" w:rightChars="171" w:hanging="180" w:hangingChars="100"/>
      <w:jc w:val="center"/>
      <w:rPr>
        <w:rFonts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CEA72">
    <w:pPr>
      <w:pBdr>
        <w:bottom w:val="single" w:color="auto" w:sz="4" w:space="1"/>
      </w:pBdr>
      <w:rPr>
        <w:rFonts w:ascii="宋体" w:hAnsi="宋体" w:cs="宋体"/>
      </w:rPr>
    </w:pPr>
  </w:p>
  <w:p w14:paraId="193CE2F8">
    <w:pPr>
      <w:pStyle w:val="27"/>
      <w:tabs>
        <w:tab w:val="clear" w:pos="4153"/>
      </w:tabs>
      <w:ind w:left="180" w:right="359" w:rightChars="171" w:hanging="180" w:hangingChars="100"/>
      <w:jc w:val="center"/>
      <w:rPr>
        <w:rFonts w:eastAsia="楷体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FBC5">
    <w:pPr>
      <w:pBdr>
        <w:bottom w:val="single" w:color="auto" w:sz="4" w:space="1"/>
      </w:pBdr>
      <w:rPr>
        <w:rFonts w:ascii="宋体" w:hAnsi="宋体" w:cs="宋体"/>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90043">
                          <w:pPr>
                            <w:pStyle w:val="27"/>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68290043">
                    <w:pPr>
                      <w:pStyle w:val="27"/>
                    </w:pPr>
                    <w:r>
                      <w:fldChar w:fldCharType="begin"/>
                    </w:r>
                    <w:r>
                      <w:instrText xml:space="preserve"> PAGE  \* MERGEFORMAT </w:instrText>
                    </w:r>
                    <w:r>
                      <w:fldChar w:fldCharType="separate"/>
                    </w:r>
                    <w:r>
                      <w:t>168</w:t>
                    </w:r>
                    <w:r>
                      <w:fldChar w:fldCharType="end"/>
                    </w:r>
                  </w:p>
                </w:txbxContent>
              </v:textbox>
            </v:shape>
          </w:pict>
        </mc:Fallback>
      </mc:AlternateContent>
    </w:r>
  </w:p>
  <w:p w14:paraId="6B751302">
    <w:pPr>
      <w:pStyle w:val="27"/>
      <w:pBdr>
        <w:top w:val="single" w:color="auto" w:sz="4" w:space="1"/>
      </w:pBdr>
      <w:tabs>
        <w:tab w:val="right" w:pos="8484"/>
        <w:tab w:val="clear" w:pos="4153"/>
        <w:tab w:val="clear" w:pos="8306"/>
      </w:tabs>
      <w:ind w:right="360" w:firstLine="90" w:firstLineChars="50"/>
    </w:pPr>
    <w:r>
      <w:rPr>
        <w:rFonts w:hint="eastAsia"/>
      </w:rPr>
      <w:drawing>
        <wp:anchor distT="0" distB="0" distL="114300" distR="114300" simplePos="0" relativeHeight="251659264" behindDoc="0" locked="0" layoutInCell="1" allowOverlap="1">
          <wp:simplePos x="0" y="0"/>
          <wp:positionH relativeFrom="column">
            <wp:posOffset>-207645</wp:posOffset>
          </wp:positionH>
          <wp:positionV relativeFrom="paragraph">
            <wp:posOffset>5715</wp:posOffset>
          </wp:positionV>
          <wp:extent cx="330835" cy="247015"/>
          <wp:effectExtent l="0" t="0" r="12065" b="635"/>
          <wp:wrapNone/>
          <wp:docPr id="4" name="图片 15" descr="179289670145126679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1792896701451266796312"/>
                  <pic:cNvPicPr>
                    <a:picLocks noChangeAspect="1"/>
                  </pic:cNvPicPr>
                </pic:nvPicPr>
                <pic:blipFill>
                  <a:blip r:embed="rId1"/>
                  <a:stretch>
                    <a:fillRect/>
                  </a:stretch>
                </pic:blipFill>
                <pic:spPr>
                  <a:xfrm>
                    <a:off x="0" y="0"/>
                    <a:ext cx="330835" cy="247015"/>
                  </a:xfrm>
                  <a:prstGeom prst="rect">
                    <a:avLst/>
                  </a:prstGeom>
                  <a:noFill/>
                  <a:ln>
                    <a:noFill/>
                  </a:ln>
                </pic:spPr>
              </pic:pic>
            </a:graphicData>
          </a:graphic>
        </wp:anchor>
      </w:drawing>
    </w:r>
    <w:r>
      <w:rPr>
        <w:rFonts w:hint="eastAsia"/>
      </w:rPr>
      <w:t xml:space="preserve"> </w:t>
    </w:r>
    <w:r>
      <mc:AlternateContent>
        <mc:Choice Requires="wps">
          <w:drawing>
            <wp:anchor distT="0" distB="0" distL="114300" distR="114300" simplePos="0" relativeHeight="251660288" behindDoc="0" locked="0" layoutInCell="1" allowOverlap="1">
              <wp:simplePos x="0" y="0"/>
              <wp:positionH relativeFrom="margin">
                <wp:posOffset>5702935</wp:posOffset>
              </wp:positionH>
              <wp:positionV relativeFrom="paragraph">
                <wp:posOffset>0</wp:posOffset>
              </wp:positionV>
              <wp:extent cx="114935" cy="131445"/>
              <wp:effectExtent l="0" t="0" r="0" b="0"/>
              <wp:wrapNone/>
              <wp:docPr id="5" name="矩形 5"/>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09C8D54A">
                          <w:pPr>
                            <w:pStyle w:val="27"/>
                            <w:rPr>
                              <w:rStyle w:val="47"/>
                            </w:rPr>
                          </w:pPr>
                        </w:p>
                      </w:txbxContent>
                    </wps:txbx>
                    <wps:bodyPr wrap="none" lIns="0" tIns="0" rIns="0" bIns="0">
                      <a:spAutoFit/>
                    </wps:bodyPr>
                  </wps:wsp>
                </a:graphicData>
              </a:graphic>
            </wp:anchor>
          </w:drawing>
        </mc:Choice>
        <mc:Fallback>
          <w:pict>
            <v:rect id="_x0000_s1026" o:spid="_x0000_s1026" o:spt="1" style="position:absolute;left:0pt;margin-left:449.05pt;margin-top:0pt;height:10.35pt;width:9.05pt;mso-position-horizontal-relative:margin;mso-wrap-style:none;z-index:251660288;mso-width-relative:page;mso-height-relative:page;" filled="f" stroked="f" coordsize="21600,21600" o:gfxdata="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XHJnM1AAAAAcBAAAPAAAAAAAAAAEAIAAAACIAAABkcnMvZG93bnJldi54bWxQSwECFAAU&#10;AAAACACHTuJABJV24bwBAAB+AwAADgAAAAAAAAABACAAAAAjAQAAZHJzL2Uyb0RvYy54bWxQSwUG&#10;AAAAAAYABgBZAQAAUQUAAAAA&#10;">
              <v:fill on="f" focussize="0,0"/>
              <v:stroke on="f"/>
              <v:imagedata o:title=""/>
              <o:lock v:ext="edit" aspectratio="f"/>
              <v:textbox inset="0mm,0mm,0mm,0mm" style="mso-fit-shape-to-text:t;">
                <w:txbxContent>
                  <w:p w14:paraId="09C8D54A">
                    <w:pPr>
                      <w:pStyle w:val="27"/>
                      <w:rPr>
                        <w:rStyle w:val="47"/>
                      </w:rPr>
                    </w:pPr>
                  </w:p>
                </w:txbxContent>
              </v:textbox>
            </v:rect>
          </w:pict>
        </mc:Fallback>
      </mc:AlternateContent>
    </w:r>
    <w:r>
      <w:rPr>
        <w:rFonts w:hint="eastAsia"/>
      </w:rPr>
      <w:t xml:space="preserve">湖南浦建招标有限公司         </w:t>
    </w:r>
    <w:r>
      <w:tab/>
    </w:r>
  </w:p>
  <w:p w14:paraId="32226B5A">
    <w:pPr>
      <w:pStyle w:val="27"/>
      <w:pBdr>
        <w:top w:val="single" w:color="auto" w:sz="4" w:space="1"/>
      </w:pBdr>
      <w:ind w:right="360" w:firstLine="180" w:firstLineChars="100"/>
    </w:pPr>
    <w:r>
      <w:rPr>
        <w:rFonts w:hint="eastAsia"/>
      </w:rPr>
      <w:t>地   址：湖南省株洲市天元区庐山路明峰银座17楼1701-1718室</w:t>
    </w:r>
  </w:p>
  <w:p w14:paraId="710E0B92">
    <w:pPr>
      <w:pStyle w:val="27"/>
      <w:ind w:left="178" w:leftChars="85" w:right="359" w:rightChars="171"/>
      <w:rPr>
        <w:rFonts w:eastAsia="楷体_GB2312"/>
      </w:rPr>
    </w:pPr>
    <w:r>
      <w:rPr>
        <w:rFonts w:hint="eastAsia"/>
      </w:rPr>
      <w:t xml:space="preserve">联系电话：0731—28522277                 0731—28670666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7FFC">
    <w:pPr>
      <w:pBdr>
        <w:bottom w:val="single" w:color="auto" w:sz="4" w:space="1"/>
      </w:pBdr>
      <w:rPr>
        <w:rFonts w:ascii="宋体" w:hAnsi="宋体" w:cs="宋体"/>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E5064">
                          <w:pPr>
                            <w:pStyle w:val="27"/>
                          </w:pPr>
                          <w:r>
                            <w:fldChar w:fldCharType="begin"/>
                          </w:r>
                          <w:r>
                            <w:instrText xml:space="preserve"> PAGE  \* MERGEFORMAT </w:instrText>
                          </w:r>
                          <w:r>
                            <w:fldChar w:fldCharType="separate"/>
                          </w:r>
                          <w:r>
                            <w:t>205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55BE5064">
                    <w:pPr>
                      <w:pStyle w:val="27"/>
                    </w:pPr>
                    <w:r>
                      <w:fldChar w:fldCharType="begin"/>
                    </w:r>
                    <w:r>
                      <w:instrText xml:space="preserve"> PAGE  \* MERGEFORMAT </w:instrText>
                    </w:r>
                    <w:r>
                      <w:fldChar w:fldCharType="separate"/>
                    </w:r>
                    <w:r>
                      <w:t>205</w:t>
                    </w:r>
                    <w:r>
                      <w:fldChar w:fldCharType="end"/>
                    </w:r>
                  </w:p>
                </w:txbxContent>
              </v:textbox>
            </v:shape>
          </w:pict>
        </mc:Fallback>
      </mc:AlternateContent>
    </w:r>
  </w:p>
  <w:p w14:paraId="75DA5CE1">
    <w:pPr>
      <w:pStyle w:val="27"/>
      <w:pBdr>
        <w:top w:val="single" w:color="auto" w:sz="4" w:space="1"/>
      </w:pBdr>
      <w:tabs>
        <w:tab w:val="right" w:pos="8484"/>
        <w:tab w:val="clear" w:pos="4153"/>
        <w:tab w:val="clear" w:pos="8306"/>
      </w:tabs>
      <w:ind w:right="360" w:firstLine="90" w:firstLineChars="50"/>
    </w:pPr>
    <w:r>
      <mc:AlternateContent>
        <mc:Choice Requires="wps">
          <w:drawing>
            <wp:anchor distT="0" distB="0" distL="114300" distR="114300" simplePos="0" relativeHeight="251661312" behindDoc="0" locked="0" layoutInCell="1" allowOverlap="1">
              <wp:simplePos x="0" y="0"/>
              <wp:positionH relativeFrom="margin">
                <wp:posOffset>5702935</wp:posOffset>
              </wp:positionH>
              <wp:positionV relativeFrom="paragraph">
                <wp:posOffset>0</wp:posOffset>
              </wp:positionV>
              <wp:extent cx="114935" cy="131445"/>
              <wp:effectExtent l="0" t="0" r="0" b="0"/>
              <wp:wrapNone/>
              <wp:docPr id="7" name="矩形 7"/>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22FC7E25">
                          <w:pPr>
                            <w:pStyle w:val="27"/>
                            <w:rPr>
                              <w:rStyle w:val="47"/>
                            </w:rPr>
                          </w:pPr>
                        </w:p>
                      </w:txbxContent>
                    </wps:txbx>
                    <wps:bodyPr wrap="none" lIns="0" tIns="0" rIns="0" bIns="0">
                      <a:spAutoFit/>
                    </wps:bodyPr>
                  </wps:wsp>
                </a:graphicData>
              </a:graphic>
            </wp:anchor>
          </w:drawing>
        </mc:Choice>
        <mc:Fallback>
          <w:pict>
            <v:rect id="_x0000_s1026" o:spid="_x0000_s1026" o:spt="1" style="position:absolute;left:0pt;margin-left:449.05pt;margin-top:0pt;height:10.35pt;width:9.05pt;mso-position-horizontal-relative:margin;mso-wrap-style:none;z-index:251661312;mso-width-relative:page;mso-height-relative:page;" filled="f" stroked="f" coordsize="21600,21600" o:gfxdata="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ccmczUAAAABwEAAA8AAAAAAAAAAQAgAAAAIgAAAGRycy9kb3ducmV2LnhtbFBLAQIU&#10;ABQAAAAIAIdO4kB69KOQvgEAAH4DAAAOAAAAAAAAAAEAIAAAACMBAABkcnMvZTJvRG9jLnhtbFBL&#10;BQYAAAAABgAGAFkBAABTBQAAAAA=&#10;">
              <v:fill on="f" focussize="0,0"/>
              <v:stroke on="f"/>
              <v:imagedata o:title=""/>
              <o:lock v:ext="edit" aspectratio="f"/>
              <v:textbox inset="0mm,0mm,0mm,0mm" style="mso-fit-shape-to-text:t;">
                <w:txbxContent>
                  <w:p w14:paraId="22FC7E25">
                    <w:pPr>
                      <w:pStyle w:val="27"/>
                      <w:rPr>
                        <w:rStyle w:val="47"/>
                      </w:rPr>
                    </w:pPr>
                  </w:p>
                </w:txbxContent>
              </v:textbox>
            </v:rect>
          </w:pict>
        </mc:Fallback>
      </mc:AlternateContent>
    </w:r>
    <w:r>
      <w:rPr>
        <w:rFonts w:hint="eastAsia"/>
      </w:rPr>
      <w:t xml:space="preserve">湖南浦建招标有限公司         </w:t>
    </w:r>
    <w:r>
      <w:tab/>
    </w:r>
  </w:p>
  <w:p w14:paraId="0A52E981">
    <w:pPr>
      <w:pStyle w:val="27"/>
      <w:pBdr>
        <w:top w:val="single" w:color="auto" w:sz="4" w:space="1"/>
      </w:pBdr>
      <w:ind w:right="360" w:firstLine="180" w:firstLineChars="100"/>
    </w:pPr>
    <w:r>
      <w:rPr>
        <w:rFonts w:hint="eastAsia"/>
      </w:rPr>
      <w:t>地   址：湖南省株洲市天元区庐山路明峰银座17楼1701-1718室</w:t>
    </w:r>
  </w:p>
  <w:p w14:paraId="27571434">
    <w:pPr>
      <w:pStyle w:val="27"/>
      <w:ind w:left="178" w:leftChars="85" w:right="359" w:rightChars="171"/>
      <w:rPr>
        <w:rFonts w:eastAsia="楷体_GB2312"/>
      </w:rPr>
    </w:pPr>
    <w:r>
      <w:rPr>
        <w:rFonts w:hint="eastAsia"/>
      </w:rPr>
      <w:t xml:space="preserve">联系电话：0731—28522277                 0731—28670666  </w:t>
    </w:r>
  </w:p>
  <w:p w14:paraId="09055890">
    <w:pPr>
      <w:pStyle w:val="27"/>
      <w:ind w:left="180" w:right="359" w:rightChars="171" w:hanging="180" w:hangingChars="100"/>
      <w:rPr>
        <w:rFonts w:eastAsia="楷体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FFD1E">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3D42">
    <w:pPr>
      <w:pStyle w:val="28"/>
      <w:pBdr>
        <w:bottom w:val="none" w:color="auto" w:sz="0" w:space="0"/>
      </w:pBdr>
      <w:jc w:val="left"/>
    </w:pPr>
    <w:r>
      <w:rPr>
        <w:rFonts w:hint="eastAsia" w:ascii="宋体" w:hAnsi="宋体"/>
        <w:szCs w:val="21"/>
        <w:u w:val="single"/>
        <w:lang w:eastAsia="zh-CN"/>
      </w:rPr>
      <w:t>株洲市第八中学科创楼报告厅设备采购项目</w:t>
    </w:r>
    <w:r>
      <w:rPr>
        <w:rFonts w:hint="eastAsia" w:ascii="宋体" w:hAnsi="宋体"/>
        <w:szCs w:val="21"/>
        <w:u w:val="single"/>
      </w:rPr>
      <w:t xml:space="preserve">   </w:t>
    </w:r>
    <w:r>
      <w:rPr>
        <w:rFonts w:hint="eastAsia"/>
        <w:u w:val="single"/>
      </w:rPr>
      <w:t xml:space="preserve">                                   公开</w:t>
    </w:r>
    <w:r>
      <w:rPr>
        <w:rFonts w:hint="eastAsia" w:ascii="宋体" w:hAnsi="宋体"/>
        <w:szCs w:val="21"/>
        <w:u w:val="single"/>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80AC0">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811DD">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5B2B">
    <w:pPr>
      <w:pStyle w:val="28"/>
      <w:jc w:val="both"/>
    </w:pPr>
    <w:r>
      <w:rPr>
        <w:rFonts w:hint="eastAsia" w:ascii="宋体" w:hAnsi="宋体"/>
        <w:szCs w:val="21"/>
        <w:lang w:eastAsia="zh-CN"/>
      </w:rPr>
      <w:t>株洲市第八中学科创楼报告厅设备采购项目</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91AAE"/>
    <w:multiLevelType w:val="singleLevel"/>
    <w:tmpl w:val="87D91AAE"/>
    <w:lvl w:ilvl="0" w:tentative="0">
      <w:start w:val="1"/>
      <w:numFmt w:val="decimal"/>
      <w:lvlText w:val="%1."/>
      <w:lvlJc w:val="left"/>
      <w:pPr>
        <w:tabs>
          <w:tab w:val="left" w:pos="312"/>
        </w:tabs>
      </w:pPr>
    </w:lvl>
  </w:abstractNum>
  <w:abstractNum w:abstractNumId="1">
    <w:nsid w:val="9FA63140"/>
    <w:multiLevelType w:val="singleLevel"/>
    <w:tmpl w:val="9FA63140"/>
    <w:lvl w:ilvl="0" w:tentative="0">
      <w:start w:val="4"/>
      <w:numFmt w:val="decimal"/>
      <w:lvlText w:val="%1."/>
      <w:lvlJc w:val="left"/>
      <w:pPr>
        <w:tabs>
          <w:tab w:val="left" w:pos="312"/>
        </w:tabs>
      </w:pPr>
    </w:lvl>
  </w:abstractNum>
  <w:abstractNum w:abstractNumId="2">
    <w:nsid w:val="AFBC2381"/>
    <w:multiLevelType w:val="singleLevel"/>
    <w:tmpl w:val="AFBC2381"/>
    <w:lvl w:ilvl="0" w:tentative="0">
      <w:start w:val="1"/>
      <w:numFmt w:val="decimal"/>
      <w:suff w:val="space"/>
      <w:lvlText w:val="%1."/>
      <w:lvlJc w:val="left"/>
    </w:lvl>
  </w:abstractNum>
  <w:abstractNum w:abstractNumId="3">
    <w:nsid w:val="F1F0FCF6"/>
    <w:multiLevelType w:val="singleLevel"/>
    <w:tmpl w:val="F1F0FCF6"/>
    <w:lvl w:ilvl="0" w:tentative="0">
      <w:start w:val="6"/>
      <w:numFmt w:val="decimal"/>
      <w:lvlText w:val="%1."/>
      <w:lvlJc w:val="left"/>
      <w:pPr>
        <w:tabs>
          <w:tab w:val="left" w:pos="312"/>
        </w:tabs>
      </w:pPr>
    </w:lvl>
  </w:abstractNum>
  <w:abstractNum w:abstractNumId="4">
    <w:nsid w:val="736CED53"/>
    <w:multiLevelType w:val="singleLevel"/>
    <w:tmpl w:val="736CED53"/>
    <w:lvl w:ilvl="0" w:tentative="0">
      <w:start w:val="1"/>
      <w:numFmt w:val="decimal"/>
      <w:lvlText w:val="%1."/>
      <w:lvlJc w:val="left"/>
      <w:pPr>
        <w:tabs>
          <w:tab w:val="left" w:pos="312"/>
        </w:tabs>
      </w:pPr>
    </w:lvl>
  </w:abstractNum>
  <w:abstractNum w:abstractNumId="5">
    <w:nsid w:val="7D020557"/>
    <w:multiLevelType w:val="singleLevel"/>
    <w:tmpl w:val="7D020557"/>
    <w:lvl w:ilvl="0" w:tentative="0">
      <w:start w:val="1"/>
      <w:numFmt w:val="decimal"/>
      <w:lvlText w:val="%1."/>
      <w:lvlJc w:val="left"/>
      <w:pPr>
        <w:tabs>
          <w:tab w:val="left" w:pos="312"/>
        </w:tabs>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3NDRkNjYwNDNkMTc0MGNmMDQ5ZTMzZTY0NmFkZGU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366D8"/>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2F04"/>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4FBF"/>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A88"/>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3CE1"/>
    <w:rsid w:val="001C4E4C"/>
    <w:rsid w:val="001C5444"/>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46EF"/>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857"/>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B95"/>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0F1C"/>
    <w:rsid w:val="00291042"/>
    <w:rsid w:val="00291C24"/>
    <w:rsid w:val="00292441"/>
    <w:rsid w:val="00292F73"/>
    <w:rsid w:val="00293A07"/>
    <w:rsid w:val="002950BC"/>
    <w:rsid w:val="002958E2"/>
    <w:rsid w:val="00295CE8"/>
    <w:rsid w:val="002962B1"/>
    <w:rsid w:val="002965AD"/>
    <w:rsid w:val="00297B75"/>
    <w:rsid w:val="002A0C4E"/>
    <w:rsid w:val="002A15D6"/>
    <w:rsid w:val="002A1672"/>
    <w:rsid w:val="002A22D6"/>
    <w:rsid w:val="002A2619"/>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3E3"/>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810"/>
    <w:rsid w:val="00313A4D"/>
    <w:rsid w:val="00313F34"/>
    <w:rsid w:val="00314DB9"/>
    <w:rsid w:val="0031707F"/>
    <w:rsid w:val="00321E2F"/>
    <w:rsid w:val="003246F2"/>
    <w:rsid w:val="00324865"/>
    <w:rsid w:val="00324B01"/>
    <w:rsid w:val="00324E36"/>
    <w:rsid w:val="0032557C"/>
    <w:rsid w:val="00326478"/>
    <w:rsid w:val="0032788A"/>
    <w:rsid w:val="00330F17"/>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725"/>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1920"/>
    <w:rsid w:val="003D2A35"/>
    <w:rsid w:val="003D3B9A"/>
    <w:rsid w:val="003D42BA"/>
    <w:rsid w:val="003D4669"/>
    <w:rsid w:val="003D5E2A"/>
    <w:rsid w:val="003D6B57"/>
    <w:rsid w:val="003E0880"/>
    <w:rsid w:val="003E0893"/>
    <w:rsid w:val="003E0C00"/>
    <w:rsid w:val="003E288E"/>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3D9D"/>
    <w:rsid w:val="00456A2C"/>
    <w:rsid w:val="00457B50"/>
    <w:rsid w:val="00460668"/>
    <w:rsid w:val="004611C1"/>
    <w:rsid w:val="00462B72"/>
    <w:rsid w:val="00465AF5"/>
    <w:rsid w:val="004661B0"/>
    <w:rsid w:val="00466FEA"/>
    <w:rsid w:val="004702BD"/>
    <w:rsid w:val="00470775"/>
    <w:rsid w:val="0047091D"/>
    <w:rsid w:val="00472D5C"/>
    <w:rsid w:val="00473A7F"/>
    <w:rsid w:val="004757CB"/>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E7912"/>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07EF9"/>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762A6"/>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D1"/>
    <w:rsid w:val="005C0DE7"/>
    <w:rsid w:val="005C0F07"/>
    <w:rsid w:val="005C177B"/>
    <w:rsid w:val="005C1CA1"/>
    <w:rsid w:val="005C2DE6"/>
    <w:rsid w:val="005C3E05"/>
    <w:rsid w:val="005C4EBF"/>
    <w:rsid w:val="005C5098"/>
    <w:rsid w:val="005C58EB"/>
    <w:rsid w:val="005C5977"/>
    <w:rsid w:val="005C632A"/>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0E4"/>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BC2"/>
    <w:rsid w:val="00685D06"/>
    <w:rsid w:val="00686202"/>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2AE"/>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E1"/>
    <w:rsid w:val="006E5C6C"/>
    <w:rsid w:val="006E63DE"/>
    <w:rsid w:val="006E6A42"/>
    <w:rsid w:val="006E70D1"/>
    <w:rsid w:val="006F004C"/>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2C6A"/>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30"/>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55C1"/>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0C8E"/>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1C96"/>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2D24"/>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CBF"/>
    <w:rsid w:val="009A30BF"/>
    <w:rsid w:val="009A3F9F"/>
    <w:rsid w:val="009A4C47"/>
    <w:rsid w:val="009A5E9C"/>
    <w:rsid w:val="009A7525"/>
    <w:rsid w:val="009A7664"/>
    <w:rsid w:val="009A7FB8"/>
    <w:rsid w:val="009B06BC"/>
    <w:rsid w:val="009B101E"/>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5E35"/>
    <w:rsid w:val="009C7F22"/>
    <w:rsid w:val="009D09B9"/>
    <w:rsid w:val="009D7095"/>
    <w:rsid w:val="009E04AF"/>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65F1"/>
    <w:rsid w:val="00A3740A"/>
    <w:rsid w:val="00A40786"/>
    <w:rsid w:val="00A410EA"/>
    <w:rsid w:val="00A4267E"/>
    <w:rsid w:val="00A42F8F"/>
    <w:rsid w:val="00A43F6D"/>
    <w:rsid w:val="00A44AA1"/>
    <w:rsid w:val="00A45D07"/>
    <w:rsid w:val="00A47B85"/>
    <w:rsid w:val="00A513BE"/>
    <w:rsid w:val="00A51B00"/>
    <w:rsid w:val="00A53A4C"/>
    <w:rsid w:val="00A53AA9"/>
    <w:rsid w:val="00A54278"/>
    <w:rsid w:val="00A543D4"/>
    <w:rsid w:val="00A54ADC"/>
    <w:rsid w:val="00A572BD"/>
    <w:rsid w:val="00A57B0B"/>
    <w:rsid w:val="00A57F69"/>
    <w:rsid w:val="00A60510"/>
    <w:rsid w:val="00A611BB"/>
    <w:rsid w:val="00A64028"/>
    <w:rsid w:val="00A64425"/>
    <w:rsid w:val="00A668FB"/>
    <w:rsid w:val="00A6702B"/>
    <w:rsid w:val="00A71189"/>
    <w:rsid w:val="00A71D10"/>
    <w:rsid w:val="00A71D21"/>
    <w:rsid w:val="00A7220C"/>
    <w:rsid w:val="00A7265D"/>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1BA8"/>
    <w:rsid w:val="00AA4277"/>
    <w:rsid w:val="00AA4545"/>
    <w:rsid w:val="00AA4589"/>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3F8C"/>
    <w:rsid w:val="00AF4CCA"/>
    <w:rsid w:val="00AF7B5E"/>
    <w:rsid w:val="00B00935"/>
    <w:rsid w:val="00B00CF6"/>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A67"/>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023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4A36"/>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3B6F"/>
    <w:rsid w:val="00C94A69"/>
    <w:rsid w:val="00C9576D"/>
    <w:rsid w:val="00C957B6"/>
    <w:rsid w:val="00CA0823"/>
    <w:rsid w:val="00CA467A"/>
    <w:rsid w:val="00CA46D9"/>
    <w:rsid w:val="00CA473C"/>
    <w:rsid w:val="00CA4D6E"/>
    <w:rsid w:val="00CA5C85"/>
    <w:rsid w:val="00CA6433"/>
    <w:rsid w:val="00CA6F49"/>
    <w:rsid w:val="00CA752A"/>
    <w:rsid w:val="00CB003D"/>
    <w:rsid w:val="00CB066D"/>
    <w:rsid w:val="00CB0E79"/>
    <w:rsid w:val="00CB110F"/>
    <w:rsid w:val="00CB171B"/>
    <w:rsid w:val="00CB2335"/>
    <w:rsid w:val="00CB28D1"/>
    <w:rsid w:val="00CB2C90"/>
    <w:rsid w:val="00CB3788"/>
    <w:rsid w:val="00CB4902"/>
    <w:rsid w:val="00CB566F"/>
    <w:rsid w:val="00CB58B3"/>
    <w:rsid w:val="00CB65B0"/>
    <w:rsid w:val="00CB6604"/>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F2EFB"/>
    <w:rsid w:val="00CF42C0"/>
    <w:rsid w:val="00CF50E5"/>
    <w:rsid w:val="00CF5178"/>
    <w:rsid w:val="00CF565F"/>
    <w:rsid w:val="00CF5F28"/>
    <w:rsid w:val="00CF6927"/>
    <w:rsid w:val="00D042C6"/>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2DF8"/>
    <w:rsid w:val="00D4671F"/>
    <w:rsid w:val="00D468AC"/>
    <w:rsid w:val="00D506A7"/>
    <w:rsid w:val="00D51CC9"/>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5F1"/>
    <w:rsid w:val="00D83A2E"/>
    <w:rsid w:val="00D8453D"/>
    <w:rsid w:val="00D84D5F"/>
    <w:rsid w:val="00D854A2"/>
    <w:rsid w:val="00D85BA2"/>
    <w:rsid w:val="00D85DC3"/>
    <w:rsid w:val="00D8691F"/>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0712"/>
    <w:rsid w:val="00DC144A"/>
    <w:rsid w:val="00DC181C"/>
    <w:rsid w:val="00DC2440"/>
    <w:rsid w:val="00DC2A42"/>
    <w:rsid w:val="00DC30F3"/>
    <w:rsid w:val="00DC40C3"/>
    <w:rsid w:val="00DC4278"/>
    <w:rsid w:val="00DC4A83"/>
    <w:rsid w:val="00DC6706"/>
    <w:rsid w:val="00DC6C22"/>
    <w:rsid w:val="00DD1F39"/>
    <w:rsid w:val="00DD2D6E"/>
    <w:rsid w:val="00DD33A0"/>
    <w:rsid w:val="00DD3AC2"/>
    <w:rsid w:val="00DD3C69"/>
    <w:rsid w:val="00DD5C09"/>
    <w:rsid w:val="00DD7653"/>
    <w:rsid w:val="00DD790D"/>
    <w:rsid w:val="00DE07CA"/>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4FFB"/>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230"/>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1502"/>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1D95"/>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3FA3"/>
    <w:rsid w:val="00F25573"/>
    <w:rsid w:val="00F25733"/>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3E5E"/>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5FCA"/>
    <w:rsid w:val="00FC7057"/>
    <w:rsid w:val="00FC70C1"/>
    <w:rsid w:val="00FC7C5E"/>
    <w:rsid w:val="00FD0107"/>
    <w:rsid w:val="00FD0552"/>
    <w:rsid w:val="00FD1F7B"/>
    <w:rsid w:val="00FD2A36"/>
    <w:rsid w:val="00FD45B6"/>
    <w:rsid w:val="00FD5B9A"/>
    <w:rsid w:val="00FD5BAB"/>
    <w:rsid w:val="00FD6621"/>
    <w:rsid w:val="00FE058D"/>
    <w:rsid w:val="00FE2A35"/>
    <w:rsid w:val="00FE2FFD"/>
    <w:rsid w:val="00FE369C"/>
    <w:rsid w:val="00FE477F"/>
    <w:rsid w:val="00FE4CEE"/>
    <w:rsid w:val="00FE53AC"/>
    <w:rsid w:val="00FE6F80"/>
    <w:rsid w:val="00FE78F3"/>
    <w:rsid w:val="00FF0141"/>
    <w:rsid w:val="00FF1535"/>
    <w:rsid w:val="00FF309C"/>
    <w:rsid w:val="00FF5CDC"/>
    <w:rsid w:val="00FF6FAA"/>
    <w:rsid w:val="00FF771D"/>
    <w:rsid w:val="00FF77B0"/>
    <w:rsid w:val="01304D1C"/>
    <w:rsid w:val="013750BF"/>
    <w:rsid w:val="01585C7C"/>
    <w:rsid w:val="01C64431"/>
    <w:rsid w:val="01EB6CCC"/>
    <w:rsid w:val="02042650"/>
    <w:rsid w:val="02090669"/>
    <w:rsid w:val="026C5A85"/>
    <w:rsid w:val="029C760B"/>
    <w:rsid w:val="03246B86"/>
    <w:rsid w:val="0350044F"/>
    <w:rsid w:val="0392085B"/>
    <w:rsid w:val="03AF5656"/>
    <w:rsid w:val="04E52847"/>
    <w:rsid w:val="055B3806"/>
    <w:rsid w:val="05696E27"/>
    <w:rsid w:val="059E2014"/>
    <w:rsid w:val="05AB61E2"/>
    <w:rsid w:val="05AE7D0B"/>
    <w:rsid w:val="066E17CD"/>
    <w:rsid w:val="06712D0C"/>
    <w:rsid w:val="06FA1A29"/>
    <w:rsid w:val="06FA6568"/>
    <w:rsid w:val="07350992"/>
    <w:rsid w:val="075232EA"/>
    <w:rsid w:val="07547CFC"/>
    <w:rsid w:val="078226B4"/>
    <w:rsid w:val="07D33F82"/>
    <w:rsid w:val="08463D54"/>
    <w:rsid w:val="084837A5"/>
    <w:rsid w:val="084C7436"/>
    <w:rsid w:val="08582A45"/>
    <w:rsid w:val="08D55E73"/>
    <w:rsid w:val="08F6759F"/>
    <w:rsid w:val="09014680"/>
    <w:rsid w:val="093522E5"/>
    <w:rsid w:val="09A62ED4"/>
    <w:rsid w:val="09CD2034"/>
    <w:rsid w:val="0A2F5262"/>
    <w:rsid w:val="0A507888"/>
    <w:rsid w:val="0A5D02A3"/>
    <w:rsid w:val="0ABF7D86"/>
    <w:rsid w:val="0B0A07B8"/>
    <w:rsid w:val="0B1F6BBB"/>
    <w:rsid w:val="0B2E6FA1"/>
    <w:rsid w:val="0BF422BF"/>
    <w:rsid w:val="0BFD6B61"/>
    <w:rsid w:val="0C224451"/>
    <w:rsid w:val="0C7B7944"/>
    <w:rsid w:val="0CA60ED6"/>
    <w:rsid w:val="0CB16402"/>
    <w:rsid w:val="0CEB2E4E"/>
    <w:rsid w:val="0CF54541"/>
    <w:rsid w:val="0D077DD0"/>
    <w:rsid w:val="0D3E6FAB"/>
    <w:rsid w:val="0D4740EB"/>
    <w:rsid w:val="0D4E497E"/>
    <w:rsid w:val="0D832F3C"/>
    <w:rsid w:val="0D872F84"/>
    <w:rsid w:val="0E2C2FD8"/>
    <w:rsid w:val="0E9D4E90"/>
    <w:rsid w:val="0ED4188A"/>
    <w:rsid w:val="0ED835A0"/>
    <w:rsid w:val="0EE13D45"/>
    <w:rsid w:val="0F0719F1"/>
    <w:rsid w:val="0F85062C"/>
    <w:rsid w:val="0FB63742"/>
    <w:rsid w:val="0FF85509"/>
    <w:rsid w:val="104D33F6"/>
    <w:rsid w:val="105D200B"/>
    <w:rsid w:val="108005C5"/>
    <w:rsid w:val="108F3630"/>
    <w:rsid w:val="11444A93"/>
    <w:rsid w:val="115631CB"/>
    <w:rsid w:val="11C55E55"/>
    <w:rsid w:val="120B3B48"/>
    <w:rsid w:val="12B25FC2"/>
    <w:rsid w:val="136A7AAF"/>
    <w:rsid w:val="139318EF"/>
    <w:rsid w:val="139620B1"/>
    <w:rsid w:val="1404200E"/>
    <w:rsid w:val="14241CE0"/>
    <w:rsid w:val="145A4B66"/>
    <w:rsid w:val="146B5A49"/>
    <w:rsid w:val="147D0245"/>
    <w:rsid w:val="14946EDA"/>
    <w:rsid w:val="14972381"/>
    <w:rsid w:val="14AA1B1B"/>
    <w:rsid w:val="152A0E70"/>
    <w:rsid w:val="15301265"/>
    <w:rsid w:val="15A84CFD"/>
    <w:rsid w:val="16335E41"/>
    <w:rsid w:val="163A319C"/>
    <w:rsid w:val="1679639C"/>
    <w:rsid w:val="168454E7"/>
    <w:rsid w:val="16866209"/>
    <w:rsid w:val="168F051F"/>
    <w:rsid w:val="169E635C"/>
    <w:rsid w:val="16EF0F7F"/>
    <w:rsid w:val="170E0C3E"/>
    <w:rsid w:val="17132770"/>
    <w:rsid w:val="17810BC7"/>
    <w:rsid w:val="178B46E3"/>
    <w:rsid w:val="179E46C0"/>
    <w:rsid w:val="17BD366C"/>
    <w:rsid w:val="18732884"/>
    <w:rsid w:val="187512D6"/>
    <w:rsid w:val="189427AD"/>
    <w:rsid w:val="193273A3"/>
    <w:rsid w:val="19422F95"/>
    <w:rsid w:val="19740814"/>
    <w:rsid w:val="197417A9"/>
    <w:rsid w:val="19B03287"/>
    <w:rsid w:val="1A1F6AA4"/>
    <w:rsid w:val="1A3809A3"/>
    <w:rsid w:val="1A611BBB"/>
    <w:rsid w:val="1AB055B5"/>
    <w:rsid w:val="1B2B51AF"/>
    <w:rsid w:val="1B463D75"/>
    <w:rsid w:val="1B4F30FA"/>
    <w:rsid w:val="1BBD7BE7"/>
    <w:rsid w:val="1BD30862"/>
    <w:rsid w:val="1C024584"/>
    <w:rsid w:val="1C0A2C5C"/>
    <w:rsid w:val="1C45582C"/>
    <w:rsid w:val="1C4A1059"/>
    <w:rsid w:val="1C744E8E"/>
    <w:rsid w:val="1C8C0667"/>
    <w:rsid w:val="1CC253C7"/>
    <w:rsid w:val="1CC84941"/>
    <w:rsid w:val="1CEA2593"/>
    <w:rsid w:val="1CF10155"/>
    <w:rsid w:val="1D2A68D9"/>
    <w:rsid w:val="1D3C17D4"/>
    <w:rsid w:val="1D554E58"/>
    <w:rsid w:val="1D930BB9"/>
    <w:rsid w:val="1D9C189C"/>
    <w:rsid w:val="1DAF56C2"/>
    <w:rsid w:val="1DD3548B"/>
    <w:rsid w:val="1DEA24EE"/>
    <w:rsid w:val="1DED21D8"/>
    <w:rsid w:val="1E4B01BE"/>
    <w:rsid w:val="1E6C7E69"/>
    <w:rsid w:val="1EB302D7"/>
    <w:rsid w:val="1EBB4C78"/>
    <w:rsid w:val="1EC96DEA"/>
    <w:rsid w:val="1EDD2F7B"/>
    <w:rsid w:val="1F0E3DA5"/>
    <w:rsid w:val="1F163855"/>
    <w:rsid w:val="1F264FBF"/>
    <w:rsid w:val="1F272526"/>
    <w:rsid w:val="1F8E74F6"/>
    <w:rsid w:val="1F935EA4"/>
    <w:rsid w:val="1F9E2021"/>
    <w:rsid w:val="1FCB2EDF"/>
    <w:rsid w:val="20194EE4"/>
    <w:rsid w:val="204444B1"/>
    <w:rsid w:val="20566C4C"/>
    <w:rsid w:val="205729C5"/>
    <w:rsid w:val="209F2622"/>
    <w:rsid w:val="20A85E3A"/>
    <w:rsid w:val="20B55001"/>
    <w:rsid w:val="20CE49AC"/>
    <w:rsid w:val="213E7A85"/>
    <w:rsid w:val="214D44F3"/>
    <w:rsid w:val="21BE1B00"/>
    <w:rsid w:val="22033F90"/>
    <w:rsid w:val="22264EF8"/>
    <w:rsid w:val="22267F2C"/>
    <w:rsid w:val="2237485C"/>
    <w:rsid w:val="22561DFC"/>
    <w:rsid w:val="22611D24"/>
    <w:rsid w:val="22971035"/>
    <w:rsid w:val="22F75C0D"/>
    <w:rsid w:val="230C56CE"/>
    <w:rsid w:val="237476EB"/>
    <w:rsid w:val="238B6B31"/>
    <w:rsid w:val="239B2871"/>
    <w:rsid w:val="23B5012E"/>
    <w:rsid w:val="24131D9B"/>
    <w:rsid w:val="243C3E85"/>
    <w:rsid w:val="24500B24"/>
    <w:rsid w:val="248865C2"/>
    <w:rsid w:val="24BE012D"/>
    <w:rsid w:val="24D82326"/>
    <w:rsid w:val="25114177"/>
    <w:rsid w:val="251A6684"/>
    <w:rsid w:val="252E5D0B"/>
    <w:rsid w:val="255E5034"/>
    <w:rsid w:val="25810857"/>
    <w:rsid w:val="25A87D4D"/>
    <w:rsid w:val="26014E89"/>
    <w:rsid w:val="262621D1"/>
    <w:rsid w:val="26262334"/>
    <w:rsid w:val="2644442D"/>
    <w:rsid w:val="264A1D32"/>
    <w:rsid w:val="266A5E2E"/>
    <w:rsid w:val="278D44C9"/>
    <w:rsid w:val="28104D84"/>
    <w:rsid w:val="284C2C33"/>
    <w:rsid w:val="285919D7"/>
    <w:rsid w:val="28C7457B"/>
    <w:rsid w:val="28CF57EE"/>
    <w:rsid w:val="290F7096"/>
    <w:rsid w:val="29BB4267"/>
    <w:rsid w:val="2A2E0670"/>
    <w:rsid w:val="2A4F4A65"/>
    <w:rsid w:val="2A5C57F0"/>
    <w:rsid w:val="2AB34DE1"/>
    <w:rsid w:val="2ACB46DB"/>
    <w:rsid w:val="2AED5F5B"/>
    <w:rsid w:val="2B0901FB"/>
    <w:rsid w:val="2B652C78"/>
    <w:rsid w:val="2B997FCB"/>
    <w:rsid w:val="2BE253BB"/>
    <w:rsid w:val="2BED61CA"/>
    <w:rsid w:val="2BEE24B3"/>
    <w:rsid w:val="2BF74162"/>
    <w:rsid w:val="2BFD6039"/>
    <w:rsid w:val="2C0535DC"/>
    <w:rsid w:val="2C056CD7"/>
    <w:rsid w:val="2C210A56"/>
    <w:rsid w:val="2C567BB3"/>
    <w:rsid w:val="2C803019"/>
    <w:rsid w:val="2C8513AD"/>
    <w:rsid w:val="2CC86F80"/>
    <w:rsid w:val="2CFD2A26"/>
    <w:rsid w:val="2D013752"/>
    <w:rsid w:val="2DB21D74"/>
    <w:rsid w:val="2DCB7E04"/>
    <w:rsid w:val="2DDC0F70"/>
    <w:rsid w:val="2E162B98"/>
    <w:rsid w:val="2E273353"/>
    <w:rsid w:val="2E51094F"/>
    <w:rsid w:val="2EB70C34"/>
    <w:rsid w:val="2ED050CA"/>
    <w:rsid w:val="2EEB7D31"/>
    <w:rsid w:val="2F080C2C"/>
    <w:rsid w:val="2F340AA1"/>
    <w:rsid w:val="2F350136"/>
    <w:rsid w:val="2F4D7138"/>
    <w:rsid w:val="2F976C21"/>
    <w:rsid w:val="2FBC4699"/>
    <w:rsid w:val="300E2FCC"/>
    <w:rsid w:val="300F1B69"/>
    <w:rsid w:val="30174276"/>
    <w:rsid w:val="302C1D93"/>
    <w:rsid w:val="304C3545"/>
    <w:rsid w:val="307670E2"/>
    <w:rsid w:val="30895713"/>
    <w:rsid w:val="30C545DA"/>
    <w:rsid w:val="30C62284"/>
    <w:rsid w:val="31040148"/>
    <w:rsid w:val="313F3130"/>
    <w:rsid w:val="31466138"/>
    <w:rsid w:val="316E1E68"/>
    <w:rsid w:val="31A97B58"/>
    <w:rsid w:val="322E786B"/>
    <w:rsid w:val="3231747E"/>
    <w:rsid w:val="323F6514"/>
    <w:rsid w:val="32647278"/>
    <w:rsid w:val="327C2F21"/>
    <w:rsid w:val="32943604"/>
    <w:rsid w:val="32DC2D25"/>
    <w:rsid w:val="32F4282D"/>
    <w:rsid w:val="32FD5D4E"/>
    <w:rsid w:val="3330332D"/>
    <w:rsid w:val="333E5295"/>
    <w:rsid w:val="338502F4"/>
    <w:rsid w:val="339B5408"/>
    <w:rsid w:val="33A5558E"/>
    <w:rsid w:val="33D53ED4"/>
    <w:rsid w:val="3403234E"/>
    <w:rsid w:val="34290DEF"/>
    <w:rsid w:val="34727975"/>
    <w:rsid w:val="34AE7A5A"/>
    <w:rsid w:val="34BE4316"/>
    <w:rsid w:val="34C55DA0"/>
    <w:rsid w:val="34D92FDC"/>
    <w:rsid w:val="34D94F35"/>
    <w:rsid w:val="34E7506A"/>
    <w:rsid w:val="34ED659A"/>
    <w:rsid w:val="355A0E47"/>
    <w:rsid w:val="355B0760"/>
    <w:rsid w:val="35717C54"/>
    <w:rsid w:val="35886E48"/>
    <w:rsid w:val="35B57A8E"/>
    <w:rsid w:val="35C91DF7"/>
    <w:rsid w:val="35EC7624"/>
    <w:rsid w:val="36147D97"/>
    <w:rsid w:val="363470C6"/>
    <w:rsid w:val="36405F1E"/>
    <w:rsid w:val="368E084D"/>
    <w:rsid w:val="36F01959"/>
    <w:rsid w:val="373431FE"/>
    <w:rsid w:val="37BB2289"/>
    <w:rsid w:val="37E047D1"/>
    <w:rsid w:val="37E666B0"/>
    <w:rsid w:val="37F214F9"/>
    <w:rsid w:val="38103CF4"/>
    <w:rsid w:val="38150E48"/>
    <w:rsid w:val="382B1092"/>
    <w:rsid w:val="383D148E"/>
    <w:rsid w:val="38AA5BD5"/>
    <w:rsid w:val="38C26B8B"/>
    <w:rsid w:val="38DF5E2F"/>
    <w:rsid w:val="390F2BD2"/>
    <w:rsid w:val="391726A1"/>
    <w:rsid w:val="3970167F"/>
    <w:rsid w:val="3975496D"/>
    <w:rsid w:val="399C796E"/>
    <w:rsid w:val="39B93654"/>
    <w:rsid w:val="39F76D84"/>
    <w:rsid w:val="3A5E69D2"/>
    <w:rsid w:val="3A622A90"/>
    <w:rsid w:val="3A974841"/>
    <w:rsid w:val="3AD60EBE"/>
    <w:rsid w:val="3AE14365"/>
    <w:rsid w:val="3AE80991"/>
    <w:rsid w:val="3AFA464C"/>
    <w:rsid w:val="3B133BAE"/>
    <w:rsid w:val="3B1B2427"/>
    <w:rsid w:val="3B221D3C"/>
    <w:rsid w:val="3B3C5007"/>
    <w:rsid w:val="3B6D2712"/>
    <w:rsid w:val="3BA945C4"/>
    <w:rsid w:val="3BD10049"/>
    <w:rsid w:val="3C047A4D"/>
    <w:rsid w:val="3C1E6AE5"/>
    <w:rsid w:val="3C4F1745"/>
    <w:rsid w:val="3CA77894"/>
    <w:rsid w:val="3D4B2677"/>
    <w:rsid w:val="3D5018AF"/>
    <w:rsid w:val="3D745CCE"/>
    <w:rsid w:val="3D764AF4"/>
    <w:rsid w:val="3D932E36"/>
    <w:rsid w:val="3DB03FCF"/>
    <w:rsid w:val="3DB9435C"/>
    <w:rsid w:val="3DEC0798"/>
    <w:rsid w:val="3DF55242"/>
    <w:rsid w:val="3E0E0EF9"/>
    <w:rsid w:val="3E467D57"/>
    <w:rsid w:val="3E7B1011"/>
    <w:rsid w:val="3E853E58"/>
    <w:rsid w:val="3EA23048"/>
    <w:rsid w:val="3EC25724"/>
    <w:rsid w:val="3F6045BF"/>
    <w:rsid w:val="3F9904AC"/>
    <w:rsid w:val="3FD34919"/>
    <w:rsid w:val="3FE3142F"/>
    <w:rsid w:val="3FF15DE4"/>
    <w:rsid w:val="3FF71433"/>
    <w:rsid w:val="407068AC"/>
    <w:rsid w:val="40713C8B"/>
    <w:rsid w:val="40791147"/>
    <w:rsid w:val="40857178"/>
    <w:rsid w:val="410A417D"/>
    <w:rsid w:val="41A344F8"/>
    <w:rsid w:val="41C25FA8"/>
    <w:rsid w:val="41F20783"/>
    <w:rsid w:val="42075BA1"/>
    <w:rsid w:val="421F113C"/>
    <w:rsid w:val="42784DB3"/>
    <w:rsid w:val="42B5228D"/>
    <w:rsid w:val="42DB58C4"/>
    <w:rsid w:val="42FB5153"/>
    <w:rsid w:val="440B793C"/>
    <w:rsid w:val="44366C11"/>
    <w:rsid w:val="44852C56"/>
    <w:rsid w:val="44AF1AE6"/>
    <w:rsid w:val="452E4AC2"/>
    <w:rsid w:val="452E71B7"/>
    <w:rsid w:val="45390F04"/>
    <w:rsid w:val="45AB3679"/>
    <w:rsid w:val="45C5023F"/>
    <w:rsid w:val="465005B9"/>
    <w:rsid w:val="46713D38"/>
    <w:rsid w:val="46960EBC"/>
    <w:rsid w:val="46D10AFC"/>
    <w:rsid w:val="46F645CC"/>
    <w:rsid w:val="47195285"/>
    <w:rsid w:val="47216909"/>
    <w:rsid w:val="4766650C"/>
    <w:rsid w:val="4770243A"/>
    <w:rsid w:val="47FB08E4"/>
    <w:rsid w:val="482C7726"/>
    <w:rsid w:val="4889207B"/>
    <w:rsid w:val="48A00016"/>
    <w:rsid w:val="48D5547B"/>
    <w:rsid w:val="48D933B6"/>
    <w:rsid w:val="490C1868"/>
    <w:rsid w:val="491546D2"/>
    <w:rsid w:val="49AA2E57"/>
    <w:rsid w:val="4A043F10"/>
    <w:rsid w:val="4A2C508E"/>
    <w:rsid w:val="4AF63B9B"/>
    <w:rsid w:val="4B152832"/>
    <w:rsid w:val="4B412447"/>
    <w:rsid w:val="4B6E15EC"/>
    <w:rsid w:val="4B8C6A2E"/>
    <w:rsid w:val="4BA82682"/>
    <w:rsid w:val="4BAA0991"/>
    <w:rsid w:val="4BB35F15"/>
    <w:rsid w:val="4BC01FBA"/>
    <w:rsid w:val="4BE74367"/>
    <w:rsid w:val="4BFA5680"/>
    <w:rsid w:val="4C8521AD"/>
    <w:rsid w:val="4CAB66AC"/>
    <w:rsid w:val="4CD8042C"/>
    <w:rsid w:val="4CFE1094"/>
    <w:rsid w:val="4D085AA9"/>
    <w:rsid w:val="4D245859"/>
    <w:rsid w:val="4D8353A9"/>
    <w:rsid w:val="4DB50BA7"/>
    <w:rsid w:val="4DF24697"/>
    <w:rsid w:val="4DFC1303"/>
    <w:rsid w:val="4E4D2C46"/>
    <w:rsid w:val="4E905472"/>
    <w:rsid w:val="4EE25B1E"/>
    <w:rsid w:val="4F0A0FF2"/>
    <w:rsid w:val="4F456EFD"/>
    <w:rsid w:val="4F863AE0"/>
    <w:rsid w:val="4FBE4253"/>
    <w:rsid w:val="4FCC45FB"/>
    <w:rsid w:val="500F4B6D"/>
    <w:rsid w:val="50297AD0"/>
    <w:rsid w:val="50973E3F"/>
    <w:rsid w:val="50976E7E"/>
    <w:rsid w:val="50D50E25"/>
    <w:rsid w:val="50F82989"/>
    <w:rsid w:val="50FE3A3F"/>
    <w:rsid w:val="510B15E6"/>
    <w:rsid w:val="51113906"/>
    <w:rsid w:val="511B159F"/>
    <w:rsid w:val="511D7A65"/>
    <w:rsid w:val="51586419"/>
    <w:rsid w:val="518A6447"/>
    <w:rsid w:val="518B3EC0"/>
    <w:rsid w:val="51980829"/>
    <w:rsid w:val="51AE6039"/>
    <w:rsid w:val="51D83BB9"/>
    <w:rsid w:val="52063940"/>
    <w:rsid w:val="52334173"/>
    <w:rsid w:val="528B6BC7"/>
    <w:rsid w:val="52DE1AC2"/>
    <w:rsid w:val="53653581"/>
    <w:rsid w:val="53912171"/>
    <w:rsid w:val="54307B6E"/>
    <w:rsid w:val="54444280"/>
    <w:rsid w:val="544D1B39"/>
    <w:rsid w:val="54593006"/>
    <w:rsid w:val="54E91338"/>
    <w:rsid w:val="54F56D9D"/>
    <w:rsid w:val="54FE72D7"/>
    <w:rsid w:val="55041B33"/>
    <w:rsid w:val="55120D38"/>
    <w:rsid w:val="551A4B20"/>
    <w:rsid w:val="553426D6"/>
    <w:rsid w:val="554E114C"/>
    <w:rsid w:val="55571F3B"/>
    <w:rsid w:val="556877D0"/>
    <w:rsid w:val="55E90DB1"/>
    <w:rsid w:val="560A7010"/>
    <w:rsid w:val="56830726"/>
    <w:rsid w:val="56AB6FEB"/>
    <w:rsid w:val="57120E18"/>
    <w:rsid w:val="572846A7"/>
    <w:rsid w:val="57A36875"/>
    <w:rsid w:val="57B62C1A"/>
    <w:rsid w:val="580F5357"/>
    <w:rsid w:val="583470EA"/>
    <w:rsid w:val="58491EEE"/>
    <w:rsid w:val="58651F64"/>
    <w:rsid w:val="586C47B6"/>
    <w:rsid w:val="58CD434A"/>
    <w:rsid w:val="58E50675"/>
    <w:rsid w:val="58E649EE"/>
    <w:rsid w:val="59924AB1"/>
    <w:rsid w:val="59A37640"/>
    <w:rsid w:val="5A5C6442"/>
    <w:rsid w:val="5A5D4984"/>
    <w:rsid w:val="5AA004E9"/>
    <w:rsid w:val="5AC204A3"/>
    <w:rsid w:val="5B01264C"/>
    <w:rsid w:val="5B1A7AFF"/>
    <w:rsid w:val="5B485023"/>
    <w:rsid w:val="5C33452D"/>
    <w:rsid w:val="5CA909C5"/>
    <w:rsid w:val="5D191458"/>
    <w:rsid w:val="5D4F5A01"/>
    <w:rsid w:val="5D9D4937"/>
    <w:rsid w:val="5DBF40E0"/>
    <w:rsid w:val="5E08364D"/>
    <w:rsid w:val="5E1B3E5C"/>
    <w:rsid w:val="5EB67FF1"/>
    <w:rsid w:val="5EB96C36"/>
    <w:rsid w:val="5ED209B4"/>
    <w:rsid w:val="5EEA25F9"/>
    <w:rsid w:val="5F2144C4"/>
    <w:rsid w:val="5F667D6F"/>
    <w:rsid w:val="5FA57124"/>
    <w:rsid w:val="5FCA4856"/>
    <w:rsid w:val="5FDB260C"/>
    <w:rsid w:val="600474DF"/>
    <w:rsid w:val="60172D8E"/>
    <w:rsid w:val="603579E3"/>
    <w:rsid w:val="608F2579"/>
    <w:rsid w:val="60B20C49"/>
    <w:rsid w:val="61230F5B"/>
    <w:rsid w:val="61344C5A"/>
    <w:rsid w:val="61351776"/>
    <w:rsid w:val="619D0900"/>
    <w:rsid w:val="61DB4D1A"/>
    <w:rsid w:val="620962D4"/>
    <w:rsid w:val="6235591B"/>
    <w:rsid w:val="62C82825"/>
    <w:rsid w:val="63123548"/>
    <w:rsid w:val="631B5D45"/>
    <w:rsid w:val="64224726"/>
    <w:rsid w:val="647F7D4C"/>
    <w:rsid w:val="648341E5"/>
    <w:rsid w:val="64837D83"/>
    <w:rsid w:val="64926699"/>
    <w:rsid w:val="64E00E6D"/>
    <w:rsid w:val="64F8164D"/>
    <w:rsid w:val="65216EB0"/>
    <w:rsid w:val="65520E00"/>
    <w:rsid w:val="655E621E"/>
    <w:rsid w:val="6562503C"/>
    <w:rsid w:val="65AB0E0A"/>
    <w:rsid w:val="65CE23AE"/>
    <w:rsid w:val="65F93F17"/>
    <w:rsid w:val="6636630B"/>
    <w:rsid w:val="663D12E2"/>
    <w:rsid w:val="66943CF8"/>
    <w:rsid w:val="66B66C4E"/>
    <w:rsid w:val="66C325A6"/>
    <w:rsid w:val="66CB0EE2"/>
    <w:rsid w:val="66D8230C"/>
    <w:rsid w:val="66EA2740"/>
    <w:rsid w:val="67046310"/>
    <w:rsid w:val="67164C09"/>
    <w:rsid w:val="6720686F"/>
    <w:rsid w:val="677A3462"/>
    <w:rsid w:val="678056D4"/>
    <w:rsid w:val="67D75D30"/>
    <w:rsid w:val="680D3662"/>
    <w:rsid w:val="686D1925"/>
    <w:rsid w:val="689478DF"/>
    <w:rsid w:val="68977852"/>
    <w:rsid w:val="689C1F08"/>
    <w:rsid w:val="691C5825"/>
    <w:rsid w:val="693107DB"/>
    <w:rsid w:val="69434E72"/>
    <w:rsid w:val="694F7CAA"/>
    <w:rsid w:val="695751B4"/>
    <w:rsid w:val="6958716E"/>
    <w:rsid w:val="69735746"/>
    <w:rsid w:val="69D83509"/>
    <w:rsid w:val="69F30635"/>
    <w:rsid w:val="69F32CC8"/>
    <w:rsid w:val="6A252BDC"/>
    <w:rsid w:val="6A6079B9"/>
    <w:rsid w:val="6AC732CF"/>
    <w:rsid w:val="6AF506DD"/>
    <w:rsid w:val="6B0F149F"/>
    <w:rsid w:val="6B453112"/>
    <w:rsid w:val="6BCA7D47"/>
    <w:rsid w:val="6BE606D6"/>
    <w:rsid w:val="6BFA6B88"/>
    <w:rsid w:val="6BFB7C75"/>
    <w:rsid w:val="6C040369"/>
    <w:rsid w:val="6C08708C"/>
    <w:rsid w:val="6C6E603F"/>
    <w:rsid w:val="6D2620FF"/>
    <w:rsid w:val="6D3B6142"/>
    <w:rsid w:val="6D7C28B0"/>
    <w:rsid w:val="6D844C7E"/>
    <w:rsid w:val="6DEE183F"/>
    <w:rsid w:val="6DFA6436"/>
    <w:rsid w:val="6E059AED"/>
    <w:rsid w:val="6E556DE8"/>
    <w:rsid w:val="6E796295"/>
    <w:rsid w:val="6EA3773E"/>
    <w:rsid w:val="6ED749C9"/>
    <w:rsid w:val="6ED8035D"/>
    <w:rsid w:val="6EE064EB"/>
    <w:rsid w:val="6EF233C3"/>
    <w:rsid w:val="6EFBB6F3"/>
    <w:rsid w:val="6F060E0B"/>
    <w:rsid w:val="6F286FD3"/>
    <w:rsid w:val="6F3A309F"/>
    <w:rsid w:val="6F685621"/>
    <w:rsid w:val="6F6B3673"/>
    <w:rsid w:val="6FEF67BA"/>
    <w:rsid w:val="703C0D46"/>
    <w:rsid w:val="704B06F2"/>
    <w:rsid w:val="70572204"/>
    <w:rsid w:val="707978C4"/>
    <w:rsid w:val="707D50FC"/>
    <w:rsid w:val="70E91AF7"/>
    <w:rsid w:val="70F61965"/>
    <w:rsid w:val="712D491D"/>
    <w:rsid w:val="717C6329"/>
    <w:rsid w:val="71DC77DD"/>
    <w:rsid w:val="72040820"/>
    <w:rsid w:val="721B4BCD"/>
    <w:rsid w:val="723170D9"/>
    <w:rsid w:val="72477770"/>
    <w:rsid w:val="72902B04"/>
    <w:rsid w:val="72D84226"/>
    <w:rsid w:val="72E6342D"/>
    <w:rsid w:val="72FA2105"/>
    <w:rsid w:val="73675DCD"/>
    <w:rsid w:val="73993FFB"/>
    <w:rsid w:val="73F07553"/>
    <w:rsid w:val="740A146F"/>
    <w:rsid w:val="745042C2"/>
    <w:rsid w:val="748D1686"/>
    <w:rsid w:val="756C467A"/>
    <w:rsid w:val="757224E2"/>
    <w:rsid w:val="75AE346A"/>
    <w:rsid w:val="75EE7CE9"/>
    <w:rsid w:val="763847BF"/>
    <w:rsid w:val="767A6B4A"/>
    <w:rsid w:val="76F313DB"/>
    <w:rsid w:val="76F83467"/>
    <w:rsid w:val="76FF2522"/>
    <w:rsid w:val="771B207D"/>
    <w:rsid w:val="773D2381"/>
    <w:rsid w:val="77BE1157"/>
    <w:rsid w:val="77C774F2"/>
    <w:rsid w:val="77E646E1"/>
    <w:rsid w:val="77FD189C"/>
    <w:rsid w:val="782A5A80"/>
    <w:rsid w:val="78341662"/>
    <w:rsid w:val="78365E73"/>
    <w:rsid w:val="783748C1"/>
    <w:rsid w:val="783A6C9F"/>
    <w:rsid w:val="784604CA"/>
    <w:rsid w:val="789437DF"/>
    <w:rsid w:val="78A422CD"/>
    <w:rsid w:val="78A50ECD"/>
    <w:rsid w:val="78CA44B8"/>
    <w:rsid w:val="79186C11"/>
    <w:rsid w:val="791B731A"/>
    <w:rsid w:val="794F73C3"/>
    <w:rsid w:val="795D0407"/>
    <w:rsid w:val="79646E59"/>
    <w:rsid w:val="79845F8B"/>
    <w:rsid w:val="79E8522B"/>
    <w:rsid w:val="79F95D60"/>
    <w:rsid w:val="7A285C9F"/>
    <w:rsid w:val="7A712774"/>
    <w:rsid w:val="7A915D8D"/>
    <w:rsid w:val="7B326691"/>
    <w:rsid w:val="7B362EDE"/>
    <w:rsid w:val="7B5F30B1"/>
    <w:rsid w:val="7BB50B94"/>
    <w:rsid w:val="7C101927"/>
    <w:rsid w:val="7C412F09"/>
    <w:rsid w:val="7C5424EB"/>
    <w:rsid w:val="7C8A6529"/>
    <w:rsid w:val="7CDB0F38"/>
    <w:rsid w:val="7D0E417A"/>
    <w:rsid w:val="7D47720E"/>
    <w:rsid w:val="7D4B357F"/>
    <w:rsid w:val="7D6C528B"/>
    <w:rsid w:val="7D9B080E"/>
    <w:rsid w:val="7DDF7DC4"/>
    <w:rsid w:val="7DFD162B"/>
    <w:rsid w:val="7E0155BF"/>
    <w:rsid w:val="7E774D32"/>
    <w:rsid w:val="7EB35F85"/>
    <w:rsid w:val="7EC03B6B"/>
    <w:rsid w:val="7EE12760"/>
    <w:rsid w:val="7FD42F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jc w:val="center"/>
      <w:outlineLvl w:val="0"/>
    </w:pPr>
    <w:rPr>
      <w:b/>
      <w:bCs/>
      <w:sz w:val="24"/>
      <w:szCs w:val="20"/>
    </w:rPr>
  </w:style>
  <w:style w:type="paragraph" w:styleId="3">
    <w:name w:val="heading 2"/>
    <w:basedOn w:val="1"/>
    <w:next w:val="1"/>
    <w:link w:val="6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9"/>
    <w:qFormat/>
    <w:uiPriority w:val="0"/>
    <w:pPr>
      <w:keepNext/>
      <w:keepLines/>
      <w:spacing w:before="260" w:after="260" w:line="416" w:lineRule="auto"/>
      <w:outlineLvl w:val="2"/>
    </w:pPr>
    <w:rPr>
      <w:b/>
      <w:bCs/>
      <w:sz w:val="32"/>
      <w:szCs w:val="32"/>
    </w:rPr>
  </w:style>
  <w:style w:type="paragraph" w:styleId="5">
    <w:name w:val="heading 4"/>
    <w:basedOn w:val="1"/>
    <w:next w:val="1"/>
    <w:link w:val="7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3"/>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4"/>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5"/>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8"/>
    <w:semiHidden/>
    <w:qFormat/>
    <w:uiPriority w:val="0"/>
    <w:pPr>
      <w:shd w:val="clear" w:color="auto" w:fill="000080"/>
    </w:pPr>
  </w:style>
  <w:style w:type="paragraph" w:styleId="15">
    <w:name w:val="annotation text"/>
    <w:basedOn w:val="1"/>
    <w:link w:val="83"/>
    <w:semiHidden/>
    <w:qFormat/>
    <w:uiPriority w:val="0"/>
    <w:pPr>
      <w:jc w:val="left"/>
    </w:pPr>
  </w:style>
  <w:style w:type="paragraph" w:styleId="16">
    <w:name w:val="Salutation"/>
    <w:basedOn w:val="1"/>
    <w:next w:val="1"/>
    <w:link w:val="88"/>
    <w:qFormat/>
    <w:uiPriority w:val="0"/>
    <w:rPr>
      <w:rFonts w:ascii="仿宋_GB2312" w:eastAsia="仿宋_GB2312"/>
      <w:sz w:val="24"/>
    </w:rPr>
  </w:style>
  <w:style w:type="paragraph" w:styleId="17">
    <w:name w:val="Body Text"/>
    <w:basedOn w:val="1"/>
    <w:next w:val="1"/>
    <w:link w:val="77"/>
    <w:qFormat/>
    <w:uiPriority w:val="0"/>
    <w:pPr>
      <w:spacing w:after="120"/>
    </w:pPr>
  </w:style>
  <w:style w:type="paragraph" w:styleId="18">
    <w:name w:val="Body Text Indent"/>
    <w:basedOn w:val="1"/>
    <w:link w:val="80"/>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82"/>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93"/>
    <w:qFormat/>
    <w:uiPriority w:val="0"/>
    <w:rPr>
      <w:sz w:val="24"/>
      <w:szCs w:val="20"/>
    </w:rPr>
  </w:style>
  <w:style w:type="paragraph" w:styleId="25">
    <w:name w:val="Body Text Indent 2"/>
    <w:basedOn w:val="1"/>
    <w:link w:val="90"/>
    <w:qFormat/>
    <w:uiPriority w:val="0"/>
    <w:pPr>
      <w:spacing w:after="120" w:line="480" w:lineRule="auto"/>
      <w:ind w:left="420" w:leftChars="200"/>
    </w:pPr>
  </w:style>
  <w:style w:type="paragraph" w:styleId="26">
    <w:name w:val="Balloon Text"/>
    <w:basedOn w:val="1"/>
    <w:link w:val="105"/>
    <w:qFormat/>
    <w:uiPriority w:val="0"/>
    <w:rPr>
      <w:sz w:val="18"/>
      <w:szCs w:val="18"/>
    </w:rPr>
  </w:style>
  <w:style w:type="paragraph" w:styleId="27">
    <w:name w:val="footer"/>
    <w:basedOn w:val="1"/>
    <w:link w:val="78"/>
    <w:qFormat/>
    <w:uiPriority w:val="99"/>
    <w:pPr>
      <w:tabs>
        <w:tab w:val="center" w:pos="4153"/>
        <w:tab w:val="right" w:pos="8306"/>
      </w:tabs>
      <w:snapToGrid w:val="0"/>
      <w:jc w:val="left"/>
    </w:pPr>
    <w:rPr>
      <w:sz w:val="18"/>
      <w:szCs w:val="18"/>
    </w:rPr>
  </w:style>
  <w:style w:type="paragraph" w:styleId="28">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92"/>
    <w:qFormat/>
    <w:uiPriority w:val="0"/>
    <w:pPr>
      <w:spacing w:after="120"/>
      <w:ind w:left="420" w:leftChars="200"/>
    </w:pPr>
    <w:rPr>
      <w:sz w:val="16"/>
      <w:szCs w:val="16"/>
    </w:rPr>
  </w:style>
  <w:style w:type="paragraph" w:styleId="33">
    <w:name w:val="toc 2"/>
    <w:basedOn w:val="1"/>
    <w:next w:val="1"/>
    <w:unhideWhenUsed/>
    <w:qFormat/>
    <w:uiPriority w:val="39"/>
    <w:pPr>
      <w:spacing w:line="360" w:lineRule="auto"/>
      <w:ind w:left="200" w:leftChars="200"/>
    </w:pPr>
    <w:rPr>
      <w:rFonts w:eastAsiaTheme="majorEastAsia"/>
      <w:b/>
    </w:rPr>
  </w:style>
  <w:style w:type="paragraph" w:styleId="34">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5">
    <w:name w:val="Body Text 2"/>
    <w:basedOn w:val="1"/>
    <w:link w:val="89"/>
    <w:qFormat/>
    <w:uiPriority w:val="0"/>
    <w:pPr>
      <w:spacing w:after="120" w:line="480" w:lineRule="auto"/>
    </w:pPr>
  </w:style>
  <w:style w:type="paragraph" w:styleId="36">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link w:val="122"/>
    <w:qFormat/>
    <w:uiPriority w:val="0"/>
    <w:pPr>
      <w:jc w:val="center"/>
      <w:outlineLvl w:val="0"/>
    </w:pPr>
    <w:rPr>
      <w:rFonts w:asciiTheme="minorHAnsi" w:hAnsiTheme="minorHAnsi" w:eastAsiaTheme="minorEastAsia" w:cstheme="minorBidi"/>
      <w:b/>
      <w:sz w:val="32"/>
      <w:szCs w:val="22"/>
    </w:rPr>
  </w:style>
  <w:style w:type="paragraph" w:styleId="40">
    <w:name w:val="annotation subject"/>
    <w:basedOn w:val="15"/>
    <w:next w:val="15"/>
    <w:link w:val="104"/>
    <w:qFormat/>
    <w:uiPriority w:val="0"/>
    <w:rPr>
      <w:b/>
      <w:bCs/>
    </w:rPr>
  </w:style>
  <w:style w:type="paragraph" w:styleId="41">
    <w:name w:val="Body Text First Indent"/>
    <w:basedOn w:val="17"/>
    <w:unhideWhenUsed/>
    <w:qFormat/>
    <w:uiPriority w:val="0"/>
    <w:pPr>
      <w:ind w:firstLine="420" w:firstLineChars="100"/>
    </w:pPr>
  </w:style>
  <w:style w:type="paragraph" w:styleId="42">
    <w:name w:val="Body Text First Indent 2"/>
    <w:basedOn w:val="18"/>
    <w:unhideWhenUsed/>
    <w:qFormat/>
    <w:uiPriority w:val="99"/>
    <w:pPr>
      <w:ind w:firstLine="420" w:firstLineChars="2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basedOn w:val="45"/>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basedOn w:val="45"/>
    <w:qFormat/>
    <w:uiPriority w:val="20"/>
    <w:rPr>
      <w:b/>
      <w:bCs/>
    </w:rPr>
  </w:style>
  <w:style w:type="character" w:styleId="50">
    <w:name w:val="HTML Definition"/>
    <w:basedOn w:val="45"/>
    <w:semiHidden/>
    <w:unhideWhenUsed/>
    <w:qFormat/>
    <w:uiPriority w:val="99"/>
  </w:style>
  <w:style w:type="character" w:styleId="51">
    <w:name w:val="HTML Typewriter"/>
    <w:basedOn w:val="45"/>
    <w:semiHidden/>
    <w:unhideWhenUsed/>
    <w:qFormat/>
    <w:uiPriority w:val="99"/>
    <w:rPr>
      <w:rFonts w:hint="default" w:ascii="monospace" w:hAnsi="monospace" w:eastAsia="monospace" w:cs="monospace"/>
      <w:sz w:val="20"/>
    </w:rPr>
  </w:style>
  <w:style w:type="character" w:styleId="52">
    <w:name w:val="HTML Acronym"/>
    <w:basedOn w:val="45"/>
    <w:semiHidden/>
    <w:unhideWhenUsed/>
    <w:qFormat/>
    <w:uiPriority w:val="99"/>
  </w:style>
  <w:style w:type="character" w:styleId="53">
    <w:name w:val="HTML Variable"/>
    <w:basedOn w:val="45"/>
    <w:semiHidden/>
    <w:unhideWhenUsed/>
    <w:qFormat/>
    <w:uiPriority w:val="99"/>
  </w:style>
  <w:style w:type="character" w:styleId="54">
    <w:name w:val="Hyperlink"/>
    <w:basedOn w:val="45"/>
    <w:qFormat/>
    <w:uiPriority w:val="99"/>
    <w:rPr>
      <w:color w:val="136EC2"/>
      <w:u w:val="single"/>
    </w:rPr>
  </w:style>
  <w:style w:type="character" w:styleId="55">
    <w:name w:val="HTML Code"/>
    <w:basedOn w:val="45"/>
    <w:semiHidden/>
    <w:unhideWhenUsed/>
    <w:qFormat/>
    <w:uiPriority w:val="99"/>
    <w:rPr>
      <w:rFonts w:ascii="monospace" w:hAnsi="monospace" w:eastAsia="monospace" w:cs="monospace"/>
      <w:sz w:val="0"/>
      <w:szCs w:val="0"/>
      <w:bdr w:val="single" w:color="auto" w:sz="2" w:space="0"/>
    </w:rPr>
  </w:style>
  <w:style w:type="character" w:styleId="56">
    <w:name w:val="annotation reference"/>
    <w:qFormat/>
    <w:uiPriority w:val="0"/>
    <w:rPr>
      <w:sz w:val="21"/>
      <w:szCs w:val="21"/>
    </w:rPr>
  </w:style>
  <w:style w:type="character" w:styleId="57">
    <w:name w:val="HTML Cite"/>
    <w:basedOn w:val="45"/>
    <w:semiHidden/>
    <w:unhideWhenUsed/>
    <w:qFormat/>
    <w:uiPriority w:val="99"/>
  </w:style>
  <w:style w:type="character" w:styleId="58">
    <w:name w:val="HTML Keyboard"/>
    <w:basedOn w:val="45"/>
    <w:semiHidden/>
    <w:unhideWhenUsed/>
    <w:qFormat/>
    <w:uiPriority w:val="99"/>
    <w:rPr>
      <w:rFonts w:hint="default" w:ascii="monospace" w:hAnsi="monospace" w:eastAsia="monospace" w:cs="monospace"/>
      <w:sz w:val="20"/>
    </w:rPr>
  </w:style>
  <w:style w:type="character" w:styleId="59">
    <w:name w:val="HTML Sample"/>
    <w:basedOn w:val="45"/>
    <w:semiHidden/>
    <w:unhideWhenUsed/>
    <w:qFormat/>
    <w:uiPriority w:val="99"/>
    <w:rPr>
      <w:rFonts w:hint="default" w:ascii="monospace" w:hAnsi="monospace" w:eastAsia="monospace" w:cs="monospace"/>
    </w:rPr>
  </w:style>
  <w:style w:type="paragraph" w:customStyle="1" w:styleId="60">
    <w:name w:val="正文格式"/>
    <w:basedOn w:val="1"/>
    <w:qFormat/>
    <w:uiPriority w:val="0"/>
    <w:pPr>
      <w:widowControl/>
      <w:adjustRightInd w:val="0"/>
      <w:snapToGrid w:val="0"/>
      <w:spacing w:line="360" w:lineRule="auto"/>
      <w:ind w:firstLine="527"/>
      <w:textAlignment w:val="baseline"/>
    </w:pPr>
    <w:rPr>
      <w:kern w:val="0"/>
      <w:sz w:val="24"/>
    </w:rPr>
  </w:style>
  <w:style w:type="paragraph" w:customStyle="1" w:styleId="61">
    <w:name w:val="Char Char Char Char"/>
    <w:basedOn w:val="1"/>
    <w:qFormat/>
    <w:uiPriority w:val="0"/>
    <w:pPr>
      <w:spacing w:beforeLines="50" w:afterLines="50"/>
    </w:pPr>
    <w:rPr>
      <w:rFonts w:ascii="Tahoma" w:hAnsi="Tahoma"/>
      <w:sz w:val="24"/>
      <w:szCs w:val="20"/>
    </w:rPr>
  </w:style>
  <w:style w:type="paragraph" w:customStyle="1" w:styleId="62">
    <w:name w:val="表格文字"/>
    <w:basedOn w:val="1"/>
    <w:qFormat/>
    <w:uiPriority w:val="0"/>
    <w:pPr>
      <w:spacing w:before="25" w:after="25"/>
      <w:jc w:val="left"/>
    </w:pPr>
    <w:rPr>
      <w:bCs/>
      <w:spacing w:val="10"/>
      <w:kern w:val="0"/>
      <w:sz w:val="24"/>
    </w:rPr>
  </w:style>
  <w:style w:type="paragraph" w:customStyle="1" w:styleId="63">
    <w:name w:val="样式2"/>
    <w:basedOn w:val="64"/>
    <w:next w:val="1"/>
    <w:qFormat/>
    <w:uiPriority w:val="0"/>
    <w:pPr>
      <w:tabs>
        <w:tab w:val="left" w:pos="360"/>
      </w:tabs>
    </w:pPr>
    <w:rPr>
      <w:i/>
    </w:rPr>
  </w:style>
  <w:style w:type="paragraph" w:customStyle="1" w:styleId="64">
    <w:name w:val="样式1"/>
    <w:basedOn w:val="1"/>
    <w:next w:val="1"/>
    <w:link w:val="124"/>
    <w:qFormat/>
    <w:uiPriority w:val="0"/>
    <w:pPr>
      <w:tabs>
        <w:tab w:val="left" w:pos="360"/>
      </w:tabs>
      <w:adjustRightInd w:val="0"/>
      <w:ind w:left="360" w:hanging="360"/>
      <w:textAlignment w:val="baseline"/>
    </w:pPr>
    <w:rPr>
      <w:rFonts w:ascii="宋体" w:hAnsi="宋体"/>
      <w:kern w:val="0"/>
      <w:szCs w:val="21"/>
    </w:rPr>
  </w:style>
  <w:style w:type="paragraph" w:customStyle="1" w:styleId="65">
    <w:name w:val="正文1"/>
    <w:basedOn w:val="1"/>
    <w:qFormat/>
    <w:uiPriority w:val="0"/>
    <w:pPr>
      <w:spacing w:line="360" w:lineRule="auto"/>
      <w:ind w:firstLine="480" w:firstLineChars="200"/>
    </w:pPr>
    <w:rPr>
      <w:sz w:val="24"/>
    </w:rPr>
  </w:style>
  <w:style w:type="paragraph" w:customStyle="1" w:styleId="66">
    <w:name w:val="1 Char Char Char Char"/>
    <w:basedOn w:val="1"/>
    <w:qFormat/>
    <w:uiPriority w:val="0"/>
  </w:style>
  <w:style w:type="character" w:customStyle="1" w:styleId="67">
    <w:name w:val="标题 1 Char"/>
    <w:basedOn w:val="45"/>
    <w:link w:val="2"/>
    <w:qFormat/>
    <w:uiPriority w:val="0"/>
    <w:rPr>
      <w:rFonts w:ascii="Times New Roman" w:hAnsi="Times New Roman" w:eastAsia="宋体" w:cs="Times New Roman"/>
      <w:b/>
      <w:bCs/>
      <w:sz w:val="24"/>
      <w:szCs w:val="20"/>
    </w:rPr>
  </w:style>
  <w:style w:type="character" w:customStyle="1" w:styleId="68">
    <w:name w:val="标题 2 Char"/>
    <w:basedOn w:val="45"/>
    <w:link w:val="3"/>
    <w:qFormat/>
    <w:uiPriority w:val="0"/>
    <w:rPr>
      <w:rFonts w:ascii="Arial" w:hAnsi="Arial" w:eastAsia="宋体" w:cs="Times New Roman"/>
      <w:b/>
      <w:bCs/>
      <w:sz w:val="24"/>
      <w:szCs w:val="32"/>
    </w:rPr>
  </w:style>
  <w:style w:type="character" w:customStyle="1" w:styleId="69">
    <w:name w:val="标题 3 Char"/>
    <w:basedOn w:val="45"/>
    <w:link w:val="4"/>
    <w:qFormat/>
    <w:uiPriority w:val="0"/>
    <w:rPr>
      <w:rFonts w:ascii="Times New Roman" w:hAnsi="Times New Roman" w:eastAsia="宋体" w:cs="Times New Roman"/>
      <w:b/>
      <w:bCs/>
      <w:sz w:val="32"/>
      <w:szCs w:val="32"/>
    </w:rPr>
  </w:style>
  <w:style w:type="character" w:customStyle="1" w:styleId="70">
    <w:name w:val="标题 4 Char"/>
    <w:basedOn w:val="45"/>
    <w:link w:val="5"/>
    <w:qFormat/>
    <w:uiPriority w:val="0"/>
    <w:rPr>
      <w:rFonts w:ascii="Arial" w:hAnsi="Arial" w:eastAsia="黑体" w:cs="Times New Roman"/>
      <w:b/>
      <w:bCs/>
      <w:sz w:val="28"/>
      <w:szCs w:val="28"/>
    </w:rPr>
  </w:style>
  <w:style w:type="character" w:customStyle="1" w:styleId="71">
    <w:name w:val="标题 5 Char"/>
    <w:basedOn w:val="45"/>
    <w:link w:val="6"/>
    <w:qFormat/>
    <w:uiPriority w:val="0"/>
    <w:rPr>
      <w:rFonts w:ascii="Times New Roman" w:hAnsi="Times New Roman" w:eastAsia="宋体" w:cs="Times New Roman"/>
      <w:b/>
      <w:bCs/>
      <w:kern w:val="0"/>
      <w:sz w:val="28"/>
      <w:szCs w:val="28"/>
    </w:rPr>
  </w:style>
  <w:style w:type="character" w:customStyle="1" w:styleId="72">
    <w:name w:val="标题 6 Char"/>
    <w:basedOn w:val="45"/>
    <w:link w:val="7"/>
    <w:qFormat/>
    <w:uiPriority w:val="0"/>
    <w:rPr>
      <w:rFonts w:ascii="Arial" w:hAnsi="Arial" w:eastAsia="黑体" w:cs="Times New Roman"/>
      <w:b/>
      <w:bCs/>
      <w:kern w:val="0"/>
      <w:sz w:val="24"/>
      <w:szCs w:val="24"/>
    </w:rPr>
  </w:style>
  <w:style w:type="character" w:customStyle="1" w:styleId="73">
    <w:name w:val="标题 7 Char"/>
    <w:basedOn w:val="45"/>
    <w:link w:val="8"/>
    <w:qFormat/>
    <w:uiPriority w:val="0"/>
    <w:rPr>
      <w:rFonts w:ascii="Times New Roman" w:hAnsi="Times New Roman" w:eastAsia="宋体" w:cs="Times New Roman"/>
      <w:b/>
      <w:bCs/>
      <w:kern w:val="0"/>
      <w:sz w:val="24"/>
      <w:szCs w:val="24"/>
    </w:rPr>
  </w:style>
  <w:style w:type="character" w:customStyle="1" w:styleId="74">
    <w:name w:val="标题 8 Char"/>
    <w:basedOn w:val="45"/>
    <w:link w:val="9"/>
    <w:qFormat/>
    <w:uiPriority w:val="0"/>
    <w:rPr>
      <w:rFonts w:ascii="Arial" w:hAnsi="Arial" w:eastAsia="黑体" w:cs="Times New Roman"/>
      <w:kern w:val="0"/>
      <w:sz w:val="24"/>
      <w:szCs w:val="24"/>
    </w:rPr>
  </w:style>
  <w:style w:type="character" w:customStyle="1" w:styleId="75">
    <w:name w:val="标题 9 Char"/>
    <w:basedOn w:val="45"/>
    <w:link w:val="10"/>
    <w:qFormat/>
    <w:uiPriority w:val="0"/>
    <w:rPr>
      <w:rFonts w:ascii="Arial" w:hAnsi="Arial" w:eastAsia="黑体" w:cs="Times New Roman"/>
      <w:kern w:val="0"/>
      <w:szCs w:val="21"/>
    </w:rPr>
  </w:style>
  <w:style w:type="paragraph" w:customStyle="1" w:styleId="76">
    <w:name w:val="表格内容"/>
    <w:basedOn w:val="17"/>
    <w:qFormat/>
    <w:uiPriority w:val="0"/>
    <w:pPr>
      <w:suppressLineNumbers/>
      <w:suppressAutoHyphens/>
      <w:jc w:val="left"/>
    </w:pPr>
    <w:rPr>
      <w:rFonts w:cs="Tahoma"/>
      <w:kern w:val="0"/>
      <w:sz w:val="24"/>
    </w:rPr>
  </w:style>
  <w:style w:type="character" w:customStyle="1" w:styleId="77">
    <w:name w:val="正文文本 Char"/>
    <w:basedOn w:val="45"/>
    <w:link w:val="17"/>
    <w:qFormat/>
    <w:uiPriority w:val="0"/>
    <w:rPr>
      <w:rFonts w:ascii="Times New Roman" w:hAnsi="Times New Roman" w:eastAsia="宋体" w:cs="Times New Roman"/>
      <w:szCs w:val="24"/>
    </w:rPr>
  </w:style>
  <w:style w:type="character" w:customStyle="1" w:styleId="78">
    <w:name w:val="页脚 Char"/>
    <w:basedOn w:val="45"/>
    <w:link w:val="27"/>
    <w:qFormat/>
    <w:uiPriority w:val="99"/>
    <w:rPr>
      <w:rFonts w:ascii="Times New Roman" w:hAnsi="Times New Roman" w:eastAsia="宋体" w:cs="Times New Roman"/>
      <w:sz w:val="18"/>
      <w:szCs w:val="18"/>
    </w:rPr>
  </w:style>
  <w:style w:type="character" w:customStyle="1" w:styleId="79">
    <w:name w:val="页眉 Char"/>
    <w:basedOn w:val="45"/>
    <w:link w:val="28"/>
    <w:qFormat/>
    <w:uiPriority w:val="99"/>
    <w:rPr>
      <w:rFonts w:ascii="Times New Roman" w:hAnsi="Times New Roman" w:eastAsia="宋体" w:cs="Times New Roman"/>
      <w:sz w:val="18"/>
      <w:szCs w:val="18"/>
    </w:rPr>
  </w:style>
  <w:style w:type="character" w:customStyle="1" w:styleId="80">
    <w:name w:val="正文文本缩进 Char"/>
    <w:basedOn w:val="45"/>
    <w:link w:val="18"/>
    <w:qFormat/>
    <w:uiPriority w:val="0"/>
    <w:rPr>
      <w:rFonts w:ascii="Times New Roman" w:hAnsi="Times New Roman" w:eastAsia="宋体" w:cs="Times New Roman"/>
      <w:szCs w:val="24"/>
    </w:rPr>
  </w:style>
  <w:style w:type="paragraph" w:customStyle="1" w:styleId="81">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82">
    <w:name w:val="纯文本 Char"/>
    <w:basedOn w:val="45"/>
    <w:link w:val="22"/>
    <w:qFormat/>
    <w:uiPriority w:val="0"/>
    <w:rPr>
      <w:rFonts w:ascii="宋体" w:hAnsi="Courier New" w:eastAsia="宋体" w:cs="Courier New"/>
      <w:szCs w:val="21"/>
    </w:rPr>
  </w:style>
  <w:style w:type="character" w:customStyle="1" w:styleId="83">
    <w:name w:val="批注文字 Char"/>
    <w:basedOn w:val="45"/>
    <w:link w:val="15"/>
    <w:semiHidden/>
    <w:qFormat/>
    <w:uiPriority w:val="0"/>
    <w:rPr>
      <w:rFonts w:ascii="Times New Roman" w:hAnsi="Times New Roman" w:eastAsia="宋体" w:cs="Times New Roman"/>
      <w:szCs w:val="24"/>
    </w:rPr>
  </w:style>
  <w:style w:type="paragraph" w:customStyle="1" w:styleId="8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5">
    <w:name w:val="Char Char Char"/>
    <w:basedOn w:val="1"/>
    <w:qFormat/>
    <w:uiPriority w:val="0"/>
    <w:rPr>
      <w:rFonts w:ascii="宋体" w:hAnsi="宋体"/>
      <w:b/>
      <w:sz w:val="28"/>
      <w:szCs w:val="28"/>
    </w:rPr>
  </w:style>
  <w:style w:type="paragraph" w:customStyle="1" w:styleId="8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7">
    <w:name w:val="HTML 预设格式 Char"/>
    <w:basedOn w:val="45"/>
    <w:link w:val="36"/>
    <w:qFormat/>
    <w:uiPriority w:val="0"/>
    <w:rPr>
      <w:rFonts w:ascii="Arial" w:hAnsi="Arial" w:eastAsia="宋体" w:cs="Arial"/>
      <w:kern w:val="0"/>
      <w:sz w:val="24"/>
      <w:szCs w:val="24"/>
    </w:rPr>
  </w:style>
  <w:style w:type="character" w:customStyle="1" w:styleId="88">
    <w:name w:val="称呼 Char"/>
    <w:basedOn w:val="45"/>
    <w:link w:val="16"/>
    <w:qFormat/>
    <w:uiPriority w:val="0"/>
    <w:rPr>
      <w:rFonts w:ascii="仿宋_GB2312" w:hAnsi="Times New Roman" w:eastAsia="仿宋_GB2312" w:cs="Times New Roman"/>
      <w:sz w:val="24"/>
      <w:szCs w:val="24"/>
    </w:rPr>
  </w:style>
  <w:style w:type="character" w:customStyle="1" w:styleId="89">
    <w:name w:val="正文文本 2 Char"/>
    <w:basedOn w:val="45"/>
    <w:link w:val="35"/>
    <w:qFormat/>
    <w:uiPriority w:val="0"/>
    <w:rPr>
      <w:rFonts w:ascii="Times New Roman" w:hAnsi="Times New Roman" w:eastAsia="宋体" w:cs="Times New Roman"/>
      <w:szCs w:val="24"/>
    </w:rPr>
  </w:style>
  <w:style w:type="character" w:customStyle="1" w:styleId="90">
    <w:name w:val="正文文本缩进 2 Char"/>
    <w:basedOn w:val="45"/>
    <w:link w:val="25"/>
    <w:qFormat/>
    <w:uiPriority w:val="0"/>
    <w:rPr>
      <w:rFonts w:ascii="Times New Roman" w:hAnsi="Times New Roman" w:eastAsia="宋体" w:cs="Times New Roman"/>
      <w:szCs w:val="24"/>
    </w:rPr>
  </w:style>
  <w:style w:type="paragraph" w:customStyle="1" w:styleId="91">
    <w:name w:val="Char"/>
    <w:basedOn w:val="1"/>
    <w:qFormat/>
    <w:uiPriority w:val="0"/>
    <w:pPr>
      <w:tabs>
        <w:tab w:val="left" w:pos="360"/>
      </w:tabs>
      <w:ind w:left="360" w:hanging="360" w:hangingChars="200"/>
    </w:pPr>
    <w:rPr>
      <w:sz w:val="24"/>
    </w:rPr>
  </w:style>
  <w:style w:type="character" w:customStyle="1" w:styleId="92">
    <w:name w:val="正文文本缩进 3 Char"/>
    <w:basedOn w:val="45"/>
    <w:link w:val="32"/>
    <w:qFormat/>
    <w:uiPriority w:val="0"/>
    <w:rPr>
      <w:rFonts w:ascii="Times New Roman" w:hAnsi="Times New Roman" w:eastAsia="宋体" w:cs="Times New Roman"/>
      <w:sz w:val="16"/>
      <w:szCs w:val="16"/>
    </w:rPr>
  </w:style>
  <w:style w:type="character" w:customStyle="1" w:styleId="93">
    <w:name w:val="日期 Char"/>
    <w:basedOn w:val="45"/>
    <w:link w:val="24"/>
    <w:qFormat/>
    <w:uiPriority w:val="0"/>
    <w:rPr>
      <w:rFonts w:ascii="Times New Roman" w:hAnsi="Times New Roman" w:eastAsia="宋体" w:cs="Times New Roman"/>
      <w:sz w:val="24"/>
      <w:szCs w:val="20"/>
    </w:rPr>
  </w:style>
  <w:style w:type="character" w:customStyle="1" w:styleId="94">
    <w:name w:val="p0 Char"/>
    <w:link w:val="95"/>
    <w:qFormat/>
    <w:uiPriority w:val="0"/>
    <w:rPr>
      <w:rFonts w:eastAsia="宋体"/>
      <w:szCs w:val="21"/>
    </w:rPr>
  </w:style>
  <w:style w:type="paragraph" w:customStyle="1" w:styleId="95">
    <w:name w:val="p0"/>
    <w:basedOn w:val="1"/>
    <w:link w:val="94"/>
    <w:qFormat/>
    <w:uiPriority w:val="0"/>
    <w:pPr>
      <w:widowControl/>
    </w:pPr>
    <w:rPr>
      <w:rFonts w:asciiTheme="minorHAnsi" w:hAnsiTheme="minorHAnsi" w:cstheme="minorBidi"/>
      <w:szCs w:val="21"/>
    </w:rPr>
  </w:style>
  <w:style w:type="paragraph" w:customStyle="1" w:styleId="9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7">
    <w:name w:val="Char Char1 Char Char Char Char Char1 Char Char Char Char"/>
    <w:basedOn w:val="14"/>
    <w:qFormat/>
    <w:uiPriority w:val="0"/>
    <w:rPr>
      <w:rFonts w:ascii="Tahoma" w:hAnsi="Tahoma"/>
    </w:rPr>
  </w:style>
  <w:style w:type="character" w:customStyle="1" w:styleId="98">
    <w:name w:val="文档结构图 Char"/>
    <w:basedOn w:val="45"/>
    <w:link w:val="14"/>
    <w:semiHidden/>
    <w:qFormat/>
    <w:uiPriority w:val="0"/>
    <w:rPr>
      <w:rFonts w:ascii="Times New Roman" w:hAnsi="Times New Roman" w:eastAsia="宋体" w:cs="Times New Roman"/>
      <w:szCs w:val="24"/>
      <w:shd w:val="clear" w:color="auto" w:fill="000080"/>
    </w:rPr>
  </w:style>
  <w:style w:type="paragraph" w:customStyle="1" w:styleId="99">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0">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1">
    <w:name w:val="1"/>
    <w:basedOn w:val="1"/>
    <w:qFormat/>
    <w:uiPriority w:val="0"/>
    <w:pPr>
      <w:spacing w:afterLines="50" w:line="360" w:lineRule="auto"/>
    </w:pPr>
    <w:rPr>
      <w:rFonts w:ascii="宋体" w:hAnsi="宋体"/>
      <w:b/>
      <w:sz w:val="30"/>
      <w:szCs w:val="21"/>
    </w:rPr>
  </w:style>
  <w:style w:type="paragraph" w:customStyle="1" w:styleId="10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3">
    <w:name w:val="标题 1 +"/>
    <w:basedOn w:val="2"/>
    <w:next w:val="1"/>
    <w:qFormat/>
    <w:uiPriority w:val="0"/>
    <w:pPr>
      <w:keepLines/>
      <w:spacing w:line="600" w:lineRule="auto"/>
    </w:pPr>
    <w:rPr>
      <w:rFonts w:eastAsia="黑体"/>
      <w:kern w:val="0"/>
      <w:sz w:val="32"/>
      <w:szCs w:val="32"/>
    </w:rPr>
  </w:style>
  <w:style w:type="character" w:customStyle="1" w:styleId="104">
    <w:name w:val="批注主题 Char"/>
    <w:basedOn w:val="83"/>
    <w:link w:val="40"/>
    <w:qFormat/>
    <w:uiPriority w:val="0"/>
    <w:rPr>
      <w:rFonts w:ascii="Times New Roman" w:hAnsi="Times New Roman" w:eastAsia="宋体" w:cs="Times New Roman"/>
      <w:b/>
      <w:bCs/>
      <w:szCs w:val="24"/>
    </w:rPr>
  </w:style>
  <w:style w:type="character" w:customStyle="1" w:styleId="105">
    <w:name w:val="批注框文本 Char"/>
    <w:basedOn w:val="45"/>
    <w:link w:val="26"/>
    <w:qFormat/>
    <w:uiPriority w:val="0"/>
    <w:rPr>
      <w:rFonts w:ascii="Times New Roman" w:hAnsi="Times New Roman" w:eastAsia="宋体" w:cs="Times New Roman"/>
      <w:sz w:val="18"/>
      <w:szCs w:val="18"/>
    </w:rPr>
  </w:style>
  <w:style w:type="paragraph" w:customStyle="1" w:styleId="106">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8">
    <w:name w:val="Char1 Char Char Char 字元 Char Char 字元 Char 字元 Char1 Char Char Char"/>
    <w:basedOn w:val="1"/>
    <w:qFormat/>
    <w:uiPriority w:val="0"/>
    <w:rPr>
      <w:szCs w:val="20"/>
    </w:rPr>
  </w:style>
  <w:style w:type="paragraph" w:customStyle="1" w:styleId="109">
    <w:name w:val="p16"/>
    <w:basedOn w:val="1"/>
    <w:qFormat/>
    <w:uiPriority w:val="0"/>
    <w:pPr>
      <w:widowControl/>
      <w:jc w:val="left"/>
    </w:pPr>
    <w:rPr>
      <w:kern w:val="0"/>
      <w:szCs w:val="21"/>
    </w:rPr>
  </w:style>
  <w:style w:type="paragraph" w:customStyle="1" w:styleId="11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4">
    <w:name w:val="Char Char Char1 Char"/>
    <w:basedOn w:val="1"/>
    <w:qFormat/>
    <w:uiPriority w:val="0"/>
    <w:pPr>
      <w:tabs>
        <w:tab w:val="left" w:pos="360"/>
      </w:tabs>
      <w:snapToGrid w:val="0"/>
      <w:spacing w:line="360" w:lineRule="auto"/>
    </w:pPr>
    <w:rPr>
      <w:rFonts w:eastAsia="仿宋_GB2312" w:cs="宋体"/>
      <w:sz w:val="24"/>
    </w:rPr>
  </w:style>
  <w:style w:type="paragraph" w:styleId="115">
    <w:name w:val="List Paragraph"/>
    <w:basedOn w:val="1"/>
    <w:link w:val="121"/>
    <w:qFormat/>
    <w:uiPriority w:val="0"/>
    <w:pPr>
      <w:ind w:firstLine="420" w:firstLineChars="200"/>
    </w:pPr>
  </w:style>
  <w:style w:type="character" w:customStyle="1" w:styleId="116">
    <w:name w:val="fontstyle01"/>
    <w:basedOn w:val="45"/>
    <w:qFormat/>
    <w:uiPriority w:val="0"/>
    <w:rPr>
      <w:rFonts w:hint="eastAsia" w:ascii="宋体" w:hAnsi="宋体" w:eastAsia="宋体"/>
      <w:color w:val="000000"/>
      <w:sz w:val="24"/>
      <w:szCs w:val="24"/>
    </w:rPr>
  </w:style>
  <w:style w:type="character" w:customStyle="1" w:styleId="117">
    <w:name w:val="fontstyle11"/>
    <w:basedOn w:val="45"/>
    <w:qFormat/>
    <w:uiPriority w:val="0"/>
    <w:rPr>
      <w:rFonts w:hint="default" w:ascii="TimesNewRomanPSMT" w:hAnsi="TimesNewRomanPSMT"/>
      <w:color w:val="000000"/>
      <w:sz w:val="24"/>
      <w:szCs w:val="24"/>
    </w:rPr>
  </w:style>
  <w:style w:type="paragraph" w:customStyle="1" w:styleId="118">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9">
    <w:name w:val="fontstyle21"/>
    <w:basedOn w:val="45"/>
    <w:qFormat/>
    <w:uiPriority w:val="0"/>
    <w:rPr>
      <w:rFonts w:hint="eastAsia" w:ascii="宋体" w:hAnsi="宋体" w:eastAsia="宋体"/>
      <w:color w:val="993300"/>
      <w:sz w:val="24"/>
      <w:szCs w:val="24"/>
    </w:rPr>
  </w:style>
  <w:style w:type="character" w:customStyle="1" w:styleId="120">
    <w:name w:val="fontstyle31"/>
    <w:basedOn w:val="45"/>
    <w:qFormat/>
    <w:uiPriority w:val="0"/>
    <w:rPr>
      <w:rFonts w:hint="default" w:ascii="Arial" w:hAnsi="Arial" w:cs="Arial"/>
      <w:color w:val="993300"/>
      <w:sz w:val="24"/>
      <w:szCs w:val="24"/>
    </w:rPr>
  </w:style>
  <w:style w:type="character" w:customStyle="1" w:styleId="121">
    <w:name w:val="列出段落 Char"/>
    <w:link w:val="115"/>
    <w:qFormat/>
    <w:uiPriority w:val="0"/>
    <w:rPr>
      <w:rFonts w:ascii="Times New Roman" w:hAnsi="Times New Roman" w:eastAsia="宋体" w:cs="Times New Roman"/>
      <w:szCs w:val="24"/>
    </w:rPr>
  </w:style>
  <w:style w:type="character" w:customStyle="1" w:styleId="122">
    <w:name w:val="标题 Char"/>
    <w:link w:val="39"/>
    <w:qFormat/>
    <w:uiPriority w:val="0"/>
    <w:rPr>
      <w:b/>
      <w:sz w:val="32"/>
    </w:rPr>
  </w:style>
  <w:style w:type="character" w:customStyle="1" w:styleId="123">
    <w:name w:val="标题 Char1"/>
    <w:basedOn w:val="45"/>
    <w:qFormat/>
    <w:uiPriority w:val="10"/>
    <w:rPr>
      <w:rFonts w:eastAsia="宋体" w:asciiTheme="majorHAnsi" w:hAnsiTheme="majorHAnsi" w:cstheme="majorBidi"/>
      <w:b/>
      <w:bCs/>
      <w:sz w:val="32"/>
      <w:szCs w:val="32"/>
    </w:rPr>
  </w:style>
  <w:style w:type="character" w:customStyle="1" w:styleId="124">
    <w:name w:val="样式1 Char Char"/>
    <w:link w:val="64"/>
    <w:qFormat/>
    <w:uiPriority w:val="0"/>
    <w:rPr>
      <w:rFonts w:ascii="宋体" w:hAnsi="宋体" w:eastAsia="宋体" w:cs="Times New Roman"/>
      <w:kern w:val="0"/>
      <w:szCs w:val="21"/>
    </w:rPr>
  </w:style>
  <w:style w:type="character" w:customStyle="1" w:styleId="125">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6">
    <w:name w:val="Table Paragraph"/>
    <w:basedOn w:val="1"/>
    <w:qFormat/>
    <w:uiPriority w:val="1"/>
    <w:rPr>
      <w:rFonts w:ascii="宋体" w:hAnsi="宋体" w:cs="宋体"/>
      <w:lang w:val="zh-CN" w:bidi="zh-CN"/>
    </w:rPr>
  </w:style>
  <w:style w:type="paragraph" w:styleId="1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正文_35_0"/>
    <w:basedOn w:val="129"/>
    <w:qFormat/>
    <w:uiPriority w:val="0"/>
    <w:rPr>
      <w:rFonts w:cs="Times New Roman"/>
    </w:rPr>
  </w:style>
  <w:style w:type="paragraph" w:customStyle="1" w:styleId="129">
    <w:name w:val="正文_45"/>
    <w:next w:val="130"/>
    <w:qFormat/>
    <w:uiPriority w:val="0"/>
    <w:pPr>
      <w:widowControl w:val="0"/>
      <w:jc w:val="both"/>
    </w:pPr>
    <w:rPr>
      <w:rFonts w:ascii="Times New Roman" w:hAnsi="Times New Roman" w:eastAsia="宋体" w:cs="宋体"/>
      <w:kern w:val="2"/>
      <w:sz w:val="21"/>
      <w:szCs w:val="21"/>
      <w:lang w:val="en-US" w:eastAsia="zh-CN" w:bidi="ar-SA"/>
    </w:rPr>
  </w:style>
  <w:style w:type="paragraph" w:customStyle="1" w:styleId="130">
    <w:name w:val="正文首行缩进 2_43"/>
    <w:basedOn w:val="131"/>
    <w:qFormat/>
    <w:uiPriority w:val="99"/>
    <w:pPr>
      <w:ind w:firstLine="420" w:firstLineChars="200"/>
    </w:pPr>
  </w:style>
  <w:style w:type="paragraph" w:customStyle="1" w:styleId="131">
    <w:name w:val="正文文本缩进_44"/>
    <w:basedOn w:val="129"/>
    <w:qFormat/>
    <w:uiPriority w:val="99"/>
    <w:pPr>
      <w:spacing w:after="120"/>
      <w:ind w:left="420" w:leftChars="200"/>
    </w:pPr>
  </w:style>
  <w:style w:type="character" w:customStyle="1" w:styleId="132">
    <w:name w:val="10_5"/>
    <w:basedOn w:val="45"/>
    <w:qFormat/>
    <w:uiPriority w:val="0"/>
    <w:rPr>
      <w:rFonts w:hint="default" w:ascii="Times New Roman" w:hAnsi="Times New Roman" w:cs="Times New Roman"/>
    </w:rPr>
  </w:style>
  <w:style w:type="paragraph" w:customStyle="1" w:styleId="133">
    <w:name w:val="首行缩进"/>
    <w:basedOn w:val="1"/>
    <w:qFormat/>
    <w:uiPriority w:val="0"/>
    <w:rPr>
      <w:lang w:val="zh-CN"/>
    </w:rPr>
  </w:style>
  <w:style w:type="character" w:customStyle="1" w:styleId="134">
    <w:name w:val="font151"/>
    <w:basedOn w:val="45"/>
    <w:qFormat/>
    <w:uiPriority w:val="0"/>
    <w:rPr>
      <w:rFonts w:ascii="Calibri" w:hAnsi="Calibri" w:cs="Calibri"/>
      <w:color w:val="000000"/>
      <w:sz w:val="20"/>
      <w:szCs w:val="20"/>
      <w:u w:val="none"/>
    </w:rPr>
  </w:style>
  <w:style w:type="character" w:customStyle="1" w:styleId="135">
    <w:name w:val="font21"/>
    <w:basedOn w:val="45"/>
    <w:qFormat/>
    <w:uiPriority w:val="0"/>
    <w:rPr>
      <w:rFonts w:hint="eastAsia" w:ascii="宋体" w:hAnsi="宋体" w:eastAsia="宋体" w:cs="宋体"/>
      <w:color w:val="000000"/>
      <w:sz w:val="20"/>
      <w:szCs w:val="20"/>
      <w:u w:val="none"/>
    </w:rPr>
  </w:style>
  <w:style w:type="character" w:customStyle="1" w:styleId="136">
    <w:name w:val="font101"/>
    <w:basedOn w:val="45"/>
    <w:qFormat/>
    <w:uiPriority w:val="0"/>
    <w:rPr>
      <w:rFonts w:hint="eastAsia" w:ascii="宋体" w:hAnsi="宋体" w:eastAsia="宋体" w:cs="宋体"/>
      <w:color w:val="000000"/>
      <w:sz w:val="20"/>
      <w:szCs w:val="20"/>
      <w:u w:val="none"/>
    </w:rPr>
  </w:style>
  <w:style w:type="character" w:customStyle="1" w:styleId="137">
    <w:name w:val="font112"/>
    <w:basedOn w:val="45"/>
    <w:qFormat/>
    <w:uiPriority w:val="0"/>
    <w:rPr>
      <w:rFonts w:hint="eastAsia" w:ascii="宋体" w:hAnsi="宋体" w:eastAsia="宋体" w:cs="宋体"/>
      <w:color w:val="000000"/>
      <w:sz w:val="20"/>
      <w:szCs w:val="20"/>
      <w:u w:val="none"/>
    </w:rPr>
  </w:style>
  <w:style w:type="character" w:customStyle="1" w:styleId="138">
    <w:name w:val="font01"/>
    <w:basedOn w:val="45"/>
    <w:qFormat/>
    <w:uiPriority w:val="0"/>
    <w:rPr>
      <w:rFonts w:ascii="Calibri" w:hAnsi="Calibri" w:cs="Calibri"/>
      <w:color w:val="000000"/>
      <w:sz w:val="20"/>
      <w:szCs w:val="20"/>
      <w:u w:val="none"/>
    </w:rPr>
  </w:style>
  <w:style w:type="character" w:customStyle="1" w:styleId="139">
    <w:name w:val="mini-tree-nodetext2"/>
    <w:basedOn w:val="45"/>
    <w:qFormat/>
    <w:uiPriority w:val="0"/>
  </w:style>
  <w:style w:type="character" w:customStyle="1" w:styleId="140">
    <w:name w:val="mini-tree-nodetext3"/>
    <w:basedOn w:val="45"/>
    <w:qFormat/>
    <w:uiPriority w:val="0"/>
  </w:style>
  <w:style w:type="character" w:customStyle="1" w:styleId="141">
    <w:name w:val="font61"/>
    <w:basedOn w:val="45"/>
    <w:qFormat/>
    <w:uiPriority w:val="0"/>
    <w:rPr>
      <w:rFonts w:hint="eastAsia" w:ascii="宋体" w:hAnsi="宋体" w:eastAsia="宋体" w:cs="宋体"/>
      <w:color w:val="FF0000"/>
      <w:sz w:val="20"/>
      <w:szCs w:val="20"/>
      <w:u w:val="none"/>
    </w:rPr>
  </w:style>
  <w:style w:type="character" w:customStyle="1" w:styleId="142">
    <w:name w:val="font131"/>
    <w:basedOn w:val="45"/>
    <w:qFormat/>
    <w:uiPriority w:val="0"/>
    <w:rPr>
      <w:rFonts w:hint="eastAsia" w:ascii="宋体" w:hAnsi="宋体" w:eastAsia="宋体" w:cs="宋体"/>
      <w:color w:val="000000"/>
      <w:sz w:val="20"/>
      <w:szCs w:val="20"/>
      <w:u w:val="none"/>
    </w:rPr>
  </w:style>
  <w:style w:type="character" w:customStyle="1" w:styleId="143">
    <w:name w:val="font181"/>
    <w:basedOn w:val="45"/>
    <w:qFormat/>
    <w:uiPriority w:val="0"/>
    <w:rPr>
      <w:rFonts w:hint="eastAsia" w:ascii="宋体" w:hAnsi="宋体" w:eastAsia="宋体" w:cs="宋体"/>
      <w:color w:val="FF0000"/>
      <w:sz w:val="20"/>
      <w:szCs w:val="20"/>
      <w:u w:val="none"/>
    </w:rPr>
  </w:style>
  <w:style w:type="character" w:customStyle="1" w:styleId="144">
    <w:name w:val="font121"/>
    <w:basedOn w:val="45"/>
    <w:qFormat/>
    <w:uiPriority w:val="0"/>
    <w:rPr>
      <w:rFonts w:hint="eastAsia" w:ascii="宋体" w:hAnsi="宋体" w:eastAsia="宋体" w:cs="宋体"/>
      <w:color w:val="000000"/>
      <w:sz w:val="20"/>
      <w:szCs w:val="20"/>
      <w:u w:val="none"/>
    </w:rPr>
  </w:style>
  <w:style w:type="character" w:customStyle="1" w:styleId="145">
    <w:name w:val="font11"/>
    <w:basedOn w:val="45"/>
    <w:qFormat/>
    <w:uiPriority w:val="0"/>
    <w:rPr>
      <w:rFonts w:hint="eastAsia" w:ascii="宋体" w:hAnsi="宋体" w:eastAsia="宋体" w:cs="宋体"/>
      <w:color w:val="000000"/>
      <w:sz w:val="20"/>
      <w:szCs w:val="20"/>
      <w:u w:val="none"/>
    </w:rPr>
  </w:style>
  <w:style w:type="character" w:customStyle="1" w:styleId="146">
    <w:name w:val="font81"/>
    <w:basedOn w:val="45"/>
    <w:qFormat/>
    <w:uiPriority w:val="0"/>
    <w:rPr>
      <w:rFonts w:hint="eastAsia" w:ascii="宋体" w:hAnsi="宋体" w:eastAsia="宋体" w:cs="宋体"/>
      <w:color w:val="FF0000"/>
      <w:sz w:val="20"/>
      <w:szCs w:val="20"/>
      <w:u w:val="none"/>
    </w:rPr>
  </w:style>
  <w:style w:type="character" w:customStyle="1" w:styleId="147">
    <w:name w:val="font161"/>
    <w:basedOn w:val="45"/>
    <w:qFormat/>
    <w:uiPriority w:val="0"/>
    <w:rPr>
      <w:rFonts w:hint="eastAsia" w:ascii="宋体" w:hAnsi="宋体" w:eastAsia="宋体" w:cs="宋体"/>
      <w:color w:val="000000"/>
      <w:sz w:val="20"/>
      <w:szCs w:val="20"/>
      <w:u w:val="none"/>
    </w:rPr>
  </w:style>
  <w:style w:type="character" w:customStyle="1" w:styleId="148">
    <w:name w:val="font191"/>
    <w:basedOn w:val="45"/>
    <w:qFormat/>
    <w:uiPriority w:val="0"/>
    <w:rPr>
      <w:rFonts w:hint="eastAsia" w:ascii="宋体" w:hAnsi="宋体" w:eastAsia="宋体" w:cs="宋体"/>
      <w:color w:val="000000"/>
      <w:sz w:val="20"/>
      <w:szCs w:val="20"/>
      <w:u w:val="none"/>
      <w:vertAlign w:val="superscript"/>
    </w:rPr>
  </w:style>
  <w:style w:type="character" w:customStyle="1" w:styleId="149">
    <w:name w:val="font91"/>
    <w:basedOn w:val="45"/>
    <w:qFormat/>
    <w:uiPriority w:val="0"/>
    <w:rPr>
      <w:rFonts w:hint="eastAsia" w:ascii="宋体" w:hAnsi="宋体" w:eastAsia="宋体" w:cs="宋体"/>
      <w:color w:val="000000"/>
      <w:sz w:val="20"/>
      <w:szCs w:val="20"/>
      <w:u w:val="none"/>
    </w:rPr>
  </w:style>
  <w:style w:type="character" w:customStyle="1" w:styleId="150">
    <w:name w:val="font201"/>
    <w:basedOn w:val="45"/>
    <w:qFormat/>
    <w:uiPriority w:val="0"/>
    <w:rPr>
      <w:rFonts w:ascii="Arial" w:hAnsi="Arial" w:cs="Arial"/>
      <w:color w:val="000000"/>
      <w:sz w:val="20"/>
      <w:szCs w:val="20"/>
      <w:u w:val="none"/>
    </w:rPr>
  </w:style>
  <w:style w:type="character" w:customStyle="1" w:styleId="151">
    <w:name w:val="font41"/>
    <w:basedOn w:val="45"/>
    <w:qFormat/>
    <w:uiPriority w:val="0"/>
    <w:rPr>
      <w:rFonts w:hint="default" w:ascii="Calibri" w:hAnsi="Calibri" w:cs="Calibri"/>
      <w:color w:val="FF0000"/>
      <w:sz w:val="20"/>
      <w:szCs w:val="20"/>
      <w:u w:val="none"/>
    </w:rPr>
  </w:style>
  <w:style w:type="character" w:customStyle="1" w:styleId="152">
    <w:name w:val="font171"/>
    <w:basedOn w:val="45"/>
    <w:qFormat/>
    <w:uiPriority w:val="0"/>
    <w:rPr>
      <w:rFonts w:hint="eastAsia" w:ascii="宋体" w:hAnsi="宋体" w:eastAsia="宋体" w:cs="宋体"/>
      <w:color w:val="000000"/>
      <w:sz w:val="20"/>
      <w:szCs w:val="20"/>
      <w:u w:val="none"/>
      <w:vertAlign w:val="superscript"/>
    </w:rPr>
  </w:style>
  <w:style w:type="paragraph" w:customStyle="1" w:styleId="153">
    <w:name w:val="列出段落1"/>
    <w:basedOn w:val="1"/>
    <w:qFormat/>
    <w:uiPriority w:val="0"/>
    <w:pPr>
      <w:ind w:firstLine="420" w:firstLineChars="200"/>
    </w:pPr>
    <w:rPr>
      <w:rFonts w:ascii="Calibri" w:hAnsi="Calibri"/>
      <w:b/>
      <w:szCs w:val="22"/>
    </w:rPr>
  </w:style>
  <w:style w:type="character" w:customStyle="1" w:styleId="154">
    <w:name w:val="NormalCharacter"/>
    <w:qFormat/>
    <w:uiPriority w:val="0"/>
    <w:rPr>
      <w:rFonts w:ascii="Times New Roman" w:hAnsi="Times New Roman" w:eastAsia="宋体" w:cs="Times New Roman"/>
      <w:kern w:val="2"/>
      <w:sz w:val="21"/>
      <w:szCs w:val="24"/>
      <w:lang w:val="en-US" w:eastAsia="zh-CN" w:bidi="ar-SA"/>
    </w:rPr>
  </w:style>
  <w:style w:type="character" w:customStyle="1" w:styleId="155">
    <w:name w:val="font31"/>
    <w:basedOn w:val="45"/>
    <w:qFormat/>
    <w:uiPriority w:val="0"/>
    <w:rPr>
      <w:rFonts w:hint="eastAsia" w:ascii="微软雅黑" w:hAnsi="微软雅黑" w:eastAsia="微软雅黑" w:cs="微软雅黑"/>
      <w:color w:val="000000"/>
      <w:sz w:val="20"/>
      <w:szCs w:val="20"/>
      <w:u w:val="none"/>
    </w:rPr>
  </w:style>
  <w:style w:type="character" w:customStyle="1" w:styleId="156">
    <w:name w:val="mini-outputtext1"/>
    <w:basedOn w:val="45"/>
    <w:qFormat/>
    <w:uiPriority w:val="0"/>
  </w:style>
  <w:style w:type="paragraph" w:customStyle="1" w:styleId="157">
    <w:name w:val="Normal_4"/>
    <w:qFormat/>
    <w:uiPriority w:val="0"/>
    <w:pPr>
      <w:spacing w:before="120" w:after="240"/>
      <w:jc w:val="both"/>
    </w:pPr>
    <w:rPr>
      <w:rFonts w:ascii="Calibri" w:hAnsi="Calibri" w:eastAsia="Calibri" w:cs="Times New Roman"/>
      <w:sz w:val="22"/>
      <w:szCs w:val="22"/>
      <w:lang w:val="ru-RU" w:eastAsia="en-US" w:bidi="ar-SA"/>
    </w:rPr>
  </w:style>
  <w:style w:type="paragraph" w:customStyle="1" w:styleId="15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9">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160">
    <w:name w:val="l-btn-empty"/>
    <w:basedOn w:val="45"/>
    <w:qFormat/>
    <w:uiPriority w:val="0"/>
  </w:style>
  <w:style w:type="character" w:customStyle="1" w:styleId="161">
    <w:name w:val="l-btn-icon-left"/>
    <w:basedOn w:val="45"/>
    <w:qFormat/>
    <w:uiPriority w:val="0"/>
  </w:style>
  <w:style w:type="character" w:customStyle="1" w:styleId="162">
    <w:name w:val="l-btn-left"/>
    <w:basedOn w:val="45"/>
    <w:qFormat/>
    <w:uiPriority w:val="0"/>
  </w:style>
  <w:style w:type="character" w:customStyle="1" w:styleId="163">
    <w:name w:val="l-btn-left1"/>
    <w:basedOn w:val="45"/>
    <w:qFormat/>
    <w:uiPriority w:val="0"/>
  </w:style>
  <w:style w:type="character" w:customStyle="1" w:styleId="164">
    <w:name w:val="l-btn-left2"/>
    <w:basedOn w:val="45"/>
    <w:qFormat/>
    <w:uiPriority w:val="0"/>
  </w:style>
  <w:style w:type="character" w:customStyle="1" w:styleId="165">
    <w:name w:val="l-btn-left3"/>
    <w:basedOn w:val="45"/>
    <w:qFormat/>
    <w:uiPriority w:val="0"/>
  </w:style>
  <w:style w:type="character" w:customStyle="1" w:styleId="166">
    <w:name w:val="l-btn-icon-right"/>
    <w:basedOn w:val="45"/>
    <w:qFormat/>
    <w:uiPriority w:val="0"/>
  </w:style>
  <w:style w:type="character" w:customStyle="1" w:styleId="167">
    <w:name w:val="l-btn-text"/>
    <w:basedOn w:val="45"/>
    <w:qFormat/>
    <w:uiPriority w:val="0"/>
    <w:rPr>
      <w:sz w:val="18"/>
      <w:szCs w:val="18"/>
      <w:vertAlign w:val="baseline"/>
    </w:rPr>
  </w:style>
  <w:style w:type="character" w:customStyle="1" w:styleId="168">
    <w:name w:val="l-btn-left4"/>
    <w:basedOn w:val="45"/>
    <w:qFormat/>
    <w:uiPriority w:val="0"/>
  </w:style>
  <w:style w:type="character" w:customStyle="1" w:styleId="169">
    <w:name w:val="l-btn-left5"/>
    <w:basedOn w:val="45"/>
    <w:qFormat/>
    <w:uiPriority w:val="0"/>
  </w:style>
  <w:style w:type="paragraph" w:customStyle="1" w:styleId="170">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171">
    <w:name w:val="Table Normal"/>
    <w:semiHidden/>
    <w:unhideWhenUsed/>
    <w:qFormat/>
    <w:uiPriority w:val="0"/>
    <w:tblPr>
      <w:tblCellMar>
        <w:top w:w="0" w:type="dxa"/>
        <w:left w:w="0" w:type="dxa"/>
        <w:bottom w:w="0" w:type="dxa"/>
        <w:right w:w="0" w:type="dxa"/>
      </w:tblCellMar>
    </w:tblPr>
  </w:style>
  <w:style w:type="paragraph" w:customStyle="1" w:styleId="172">
    <w:name w:val="Table Text"/>
    <w:basedOn w:val="1"/>
    <w:semiHidden/>
    <w:qFormat/>
    <w:uiPriority w:val="0"/>
    <w:rPr>
      <w:rFonts w:ascii="宋体" w:hAnsi="宋体" w:cs="宋体"/>
      <w:szCs w:val="21"/>
      <w:lang w:eastAsia="en-US"/>
    </w:rPr>
  </w:style>
  <w:style w:type="paragraph" w:customStyle="1" w:styleId="17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4">
    <w:name w:val="UserStyle_0"/>
    <w:basedOn w:val="1"/>
    <w:qFormat/>
    <w:uiPriority w:val="0"/>
    <w:pPr>
      <w:ind w:firstLine="420" w:firstLineChars="200"/>
      <w:textAlignment w:val="baseline"/>
    </w:pPr>
    <w:rPr>
      <w:szCs w:val="21"/>
    </w:rPr>
  </w:style>
  <w:style w:type="character" w:customStyle="1" w:styleId="175">
    <w:name w:val="font71"/>
    <w:basedOn w:val="45"/>
    <w:qFormat/>
    <w:uiPriority w:val="0"/>
    <w:rPr>
      <w:rFonts w:hint="eastAsia" w:ascii="宋体" w:hAnsi="宋体" w:eastAsia="宋体" w:cs="宋体"/>
      <w:color w:val="000000"/>
      <w:sz w:val="20"/>
      <w:szCs w:val="20"/>
      <w:u w:val="none"/>
    </w:rPr>
  </w:style>
  <w:style w:type="character" w:customStyle="1" w:styleId="176">
    <w:name w:val="font141"/>
    <w:basedOn w:val="45"/>
    <w:qFormat/>
    <w:uiPriority w:val="0"/>
    <w:rPr>
      <w:rFonts w:hint="eastAsia" w:ascii="宋体" w:hAnsi="宋体" w:eastAsia="宋体" w:cs="宋体"/>
      <w:color w:val="FF0000"/>
      <w:sz w:val="20"/>
      <w:szCs w:val="20"/>
      <w:u w:val="none"/>
    </w:rPr>
  </w:style>
  <w:style w:type="character" w:customStyle="1" w:styleId="177">
    <w:name w:val="font51"/>
    <w:basedOn w:val="45"/>
    <w:qFormat/>
    <w:uiPriority w:val="0"/>
    <w:rPr>
      <w:rFonts w:hint="eastAsia" w:ascii="微软雅黑" w:hAnsi="微软雅黑" w:eastAsia="微软雅黑" w:cs="微软雅黑"/>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148</Pages>
  <Words>96085</Words>
  <Characters>107079</Characters>
  <Lines>1184</Lines>
  <Paragraphs>333</Paragraphs>
  <TotalTime>23</TotalTime>
  <ScaleCrop>false</ScaleCrop>
  <LinksUpToDate>false</LinksUpToDate>
  <CharactersWithSpaces>111760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2019-09-26T17:54:00Z</dcterms:created>
  <dc:creator>admin</dc:creator>
  <cp:lastModifiedBy>Administrator</cp:lastModifiedBy>
  <cp:lastPrinted>2026-02-08T09:45:00Z</cp:lastPrinted>
  <dcterms:modified xsi:type="dcterms:W3CDTF">2026-08-18T01:20:09Z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21A3726562DF4A82858225F1B283EC83_13</vt:lpwstr>
  </property>
  <property fmtid="{D5CDD505-2E9C-101B-9397-08002B2CF9AE}" pid="4" name="KSOTemplateDocerSaveRecord">
    <vt:lpwstr>eyJoZGlkIjoiNmQwMzlmMzI3ODc0MTNiZjc0YTk5M2EyMWE0N2VkMGYiLCJ1c2VySWQiOiIxNzI1NjYyNTIzIn0=</vt:lpwstr>
  </property>
</Properties>
</file>